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8F4AC" w14:textId="3B0405CB" w:rsidR="00EC71AA" w:rsidRDefault="00EC71AA" w:rsidP="00EC71AA">
      <w:pPr>
        <w:spacing w:before="100" w:beforeAutospacing="1" w:after="100" w:afterAutospacing="1" w:line="360" w:lineRule="auto"/>
        <w:ind w:left="1125" w:hanging="405"/>
        <w:jc w:val="both"/>
        <w:rPr>
          <w:bCs/>
          <w:sz w:val="24"/>
          <w:szCs w:val="24"/>
        </w:rPr>
      </w:pPr>
      <w:r w:rsidRPr="00EC71AA">
        <w:rPr>
          <w:bCs/>
          <w:i/>
          <w:iCs/>
          <w:sz w:val="24"/>
          <w:szCs w:val="24"/>
          <w:u w:val="single"/>
        </w:rPr>
        <w:t>Original Research Article</w:t>
      </w:r>
    </w:p>
    <w:p w14:paraId="4B9815AE" w14:textId="62913EF4" w:rsidR="00EC71AA" w:rsidRPr="00EC71AA" w:rsidRDefault="00EC71AA" w:rsidP="00EC71AA">
      <w:pPr>
        <w:spacing w:before="100" w:beforeAutospacing="1" w:after="100" w:afterAutospacing="1" w:line="360" w:lineRule="auto"/>
        <w:ind w:left="1125" w:hanging="405"/>
        <w:jc w:val="both"/>
        <w:rPr>
          <w:bCs/>
          <w:sz w:val="24"/>
          <w:szCs w:val="24"/>
        </w:rPr>
      </w:pPr>
      <w:r w:rsidRPr="00EC71AA">
        <w:rPr>
          <w:bCs/>
          <w:sz w:val="24"/>
          <w:szCs w:val="24"/>
        </w:rPr>
        <w:t xml:space="preserve">Integrated Virtual Screening of NPACT-Derived Phytochemicals as Potential FGFR1 Inhibitors for Cholangiocarcinoma Therapy: Molecular Docking, ADMET, MM-GBSA, and Molecular Dynamics. </w:t>
      </w:r>
    </w:p>
    <w:p w14:paraId="16410469" w14:textId="77777777" w:rsidR="00EC71AA" w:rsidRDefault="00EC71AA" w:rsidP="00EC71AA">
      <w:pPr>
        <w:spacing w:before="100" w:beforeAutospacing="1" w:after="100" w:afterAutospacing="1" w:line="360" w:lineRule="auto"/>
        <w:ind w:left="1125" w:hanging="405"/>
        <w:jc w:val="both"/>
      </w:pPr>
    </w:p>
    <w:p w14:paraId="33B1E99C" w14:textId="77777777" w:rsidR="00EC71AA" w:rsidRDefault="00EC71AA" w:rsidP="00F63E74">
      <w:pPr>
        <w:jc w:val="center"/>
        <w:rPr>
          <w:rFonts w:ascii="Arial" w:hAnsi="Arial" w:cs="Arial"/>
          <w:b/>
          <w:bCs/>
          <w:sz w:val="24"/>
          <w:szCs w:val="24"/>
        </w:rPr>
      </w:pPr>
    </w:p>
    <w:p w14:paraId="7465799A" w14:textId="56C737BB" w:rsidR="00072DBF" w:rsidRPr="004C4713" w:rsidRDefault="00072DBF" w:rsidP="00F63E74">
      <w:pPr>
        <w:jc w:val="center"/>
        <w:rPr>
          <w:rFonts w:ascii="Arial" w:hAnsi="Arial" w:cs="Arial"/>
          <w:b/>
          <w:bCs/>
          <w:sz w:val="24"/>
          <w:szCs w:val="24"/>
        </w:rPr>
      </w:pPr>
      <w:r w:rsidRPr="004C4713">
        <w:rPr>
          <w:rFonts w:ascii="Arial" w:hAnsi="Arial" w:cs="Arial"/>
          <w:b/>
          <w:bCs/>
          <w:sz w:val="24"/>
          <w:szCs w:val="24"/>
        </w:rPr>
        <w:t>ABSTRACT</w:t>
      </w:r>
    </w:p>
    <w:p w14:paraId="13A6E2FC" w14:textId="77777777" w:rsidR="007C2923" w:rsidRPr="000845E7" w:rsidRDefault="007C2923" w:rsidP="000845E7">
      <w:pPr>
        <w:spacing w:after="0" w:line="360" w:lineRule="auto"/>
        <w:jc w:val="both"/>
        <w:rPr>
          <w:rFonts w:ascii="Arial" w:hAnsi="Arial" w:cs="Arial"/>
          <w:sz w:val="20"/>
          <w:szCs w:val="20"/>
          <w:lang w:val="en-GB"/>
        </w:rPr>
      </w:pPr>
      <w:r w:rsidRPr="000845E7">
        <w:rPr>
          <w:rFonts w:ascii="Arial" w:hAnsi="Arial" w:cs="Arial"/>
          <w:sz w:val="20"/>
          <w:szCs w:val="20"/>
          <w:lang w:val="en-GB"/>
        </w:rPr>
        <w:t xml:space="preserve">Bile duct cancer (cholangiocarcinoma) is a rare but aggressive malignancy with poor prognosis and limited treatment options. Fibroblast growth factor receptor 1 (FGFR1), a key regulator of </w:t>
      </w:r>
      <w:proofErr w:type="spellStart"/>
      <w:r w:rsidRPr="000845E7">
        <w:rPr>
          <w:rFonts w:ascii="Arial" w:hAnsi="Arial" w:cs="Arial"/>
          <w:sz w:val="20"/>
          <w:szCs w:val="20"/>
          <w:lang w:val="en-GB"/>
        </w:rPr>
        <w:t>tumor</w:t>
      </w:r>
      <w:proofErr w:type="spellEnd"/>
      <w:r w:rsidRPr="000845E7">
        <w:rPr>
          <w:rFonts w:ascii="Arial" w:hAnsi="Arial" w:cs="Arial"/>
          <w:sz w:val="20"/>
          <w:szCs w:val="20"/>
          <w:lang w:val="en-GB"/>
        </w:rPr>
        <w:t xml:space="preserve"> growth and angiogenesis, has been identified as a plausible therapeutic target. Due to the limitations in the safety and selectivity of existing inhibitors, there is a growing interest in exploring natural compounds as alternative drug lead candidates. This study aimed to identify and evaluate plant-derived phytochemicals as potential FGFR1 inhibitors for the treatment of cholangiocarcinoma using an integrated computer-aided drug design approach.</w:t>
      </w:r>
    </w:p>
    <w:p w14:paraId="490DA1B5" w14:textId="77777777" w:rsidR="007C2923" w:rsidRPr="000845E7" w:rsidRDefault="007C2923" w:rsidP="000845E7">
      <w:pPr>
        <w:spacing w:after="0" w:line="360" w:lineRule="auto"/>
        <w:jc w:val="both"/>
        <w:rPr>
          <w:rFonts w:ascii="Arial" w:hAnsi="Arial" w:cs="Arial"/>
          <w:sz w:val="20"/>
          <w:szCs w:val="20"/>
          <w:lang w:val="en-GB"/>
        </w:rPr>
      </w:pPr>
      <w:r w:rsidRPr="000845E7">
        <w:rPr>
          <w:rFonts w:ascii="Arial" w:hAnsi="Arial" w:cs="Arial"/>
          <w:sz w:val="20"/>
          <w:szCs w:val="20"/>
          <w:lang w:val="en-GB"/>
        </w:rPr>
        <w:t xml:space="preserve">A structure-based virtual screening of 67 phytochemicals from the NPACT database was conducted. Molecular docking against FGFR1 (PDB ID: 7WCL) using </w:t>
      </w:r>
      <w:proofErr w:type="spellStart"/>
      <w:r w:rsidRPr="000845E7">
        <w:rPr>
          <w:rFonts w:ascii="Arial" w:hAnsi="Arial" w:cs="Arial"/>
          <w:sz w:val="20"/>
          <w:szCs w:val="20"/>
          <w:lang w:val="en-GB"/>
        </w:rPr>
        <w:t>iGEMDock</w:t>
      </w:r>
      <w:proofErr w:type="spellEnd"/>
      <w:r w:rsidRPr="000845E7">
        <w:rPr>
          <w:rFonts w:ascii="Arial" w:hAnsi="Arial" w:cs="Arial"/>
          <w:sz w:val="20"/>
          <w:szCs w:val="20"/>
          <w:lang w:val="en-GB"/>
        </w:rPr>
        <w:t xml:space="preserve"> and Molecular Operating Environment (MOE) identified 17 hit compounds with binding energies ranging from −12.3 to −9.8 kcal/mol (</w:t>
      </w:r>
      <w:proofErr w:type="spellStart"/>
      <w:r w:rsidRPr="000845E7">
        <w:rPr>
          <w:rFonts w:ascii="Arial" w:hAnsi="Arial" w:cs="Arial"/>
          <w:sz w:val="20"/>
          <w:szCs w:val="20"/>
          <w:lang w:val="en-GB"/>
        </w:rPr>
        <w:t>iGEMDock</w:t>
      </w:r>
      <w:proofErr w:type="spellEnd"/>
      <w:r w:rsidRPr="000845E7">
        <w:rPr>
          <w:rFonts w:ascii="Arial" w:hAnsi="Arial" w:cs="Arial"/>
          <w:sz w:val="20"/>
          <w:szCs w:val="20"/>
          <w:lang w:val="en-GB"/>
        </w:rPr>
        <w:t xml:space="preserve">) and −9.7 to −8.0 kcal/mol (MOE), outperforming </w:t>
      </w:r>
      <w:proofErr w:type="spellStart"/>
      <w:r w:rsidRPr="000845E7">
        <w:rPr>
          <w:rFonts w:ascii="Arial" w:hAnsi="Arial" w:cs="Arial"/>
          <w:sz w:val="20"/>
          <w:szCs w:val="20"/>
          <w:lang w:val="en-GB"/>
        </w:rPr>
        <w:t>Pemigatinib</w:t>
      </w:r>
      <w:proofErr w:type="spellEnd"/>
      <w:r w:rsidRPr="000845E7">
        <w:rPr>
          <w:rFonts w:ascii="Arial" w:hAnsi="Arial" w:cs="Arial"/>
          <w:sz w:val="20"/>
          <w:szCs w:val="20"/>
          <w:lang w:val="en-GB"/>
        </w:rPr>
        <w:t xml:space="preserve"> (−9.7 and −7.5 kcal/mol). Lipinski’s Rule of Five narrowed them down to seven drug-like candidates. ADMET screening further identified four compounds as pharmacokinetically acceptable. MM-GBSA analysis revealed that 10-Hydroxytrilobacin (-47.63 kcal/mol) and Mosin B (-45.09 kcal/mol) had superior binding free energies than </w:t>
      </w:r>
      <w:proofErr w:type="spellStart"/>
      <w:r w:rsidRPr="000845E7">
        <w:rPr>
          <w:rFonts w:ascii="Arial" w:hAnsi="Arial" w:cs="Arial"/>
          <w:sz w:val="20"/>
          <w:szCs w:val="20"/>
          <w:lang w:val="en-GB"/>
        </w:rPr>
        <w:t>Pemigatinib</w:t>
      </w:r>
      <w:proofErr w:type="spellEnd"/>
      <w:r w:rsidRPr="000845E7">
        <w:rPr>
          <w:rFonts w:ascii="Arial" w:hAnsi="Arial" w:cs="Arial"/>
          <w:sz w:val="20"/>
          <w:szCs w:val="20"/>
          <w:lang w:val="en-GB"/>
        </w:rPr>
        <w:t xml:space="preserve"> (-31.01 kcal/mol). These two lead compounds were subjected to 100 ns molecular dynamics simulation to confirm their interaction </w:t>
      </w:r>
      <w:proofErr w:type="spellStart"/>
      <w:r w:rsidRPr="000845E7">
        <w:rPr>
          <w:rFonts w:ascii="Arial" w:hAnsi="Arial" w:cs="Arial"/>
          <w:sz w:val="20"/>
          <w:szCs w:val="20"/>
          <w:lang w:val="en-GB"/>
        </w:rPr>
        <w:t>behavior</w:t>
      </w:r>
      <w:proofErr w:type="spellEnd"/>
      <w:r w:rsidRPr="000845E7">
        <w:rPr>
          <w:rFonts w:ascii="Arial" w:hAnsi="Arial" w:cs="Arial"/>
          <w:sz w:val="20"/>
          <w:szCs w:val="20"/>
          <w:lang w:val="en-GB"/>
        </w:rPr>
        <w:t xml:space="preserve"> and structural stability. </w:t>
      </w:r>
    </w:p>
    <w:p w14:paraId="3DEDE252" w14:textId="05DEA286" w:rsidR="007C2923" w:rsidRDefault="007C2923" w:rsidP="000845E7">
      <w:pPr>
        <w:spacing w:after="0" w:line="360" w:lineRule="auto"/>
        <w:jc w:val="both"/>
        <w:rPr>
          <w:rFonts w:ascii="Arial" w:hAnsi="Arial" w:cs="Arial"/>
          <w:sz w:val="20"/>
          <w:szCs w:val="20"/>
          <w:lang w:val="en-GB"/>
        </w:rPr>
      </w:pPr>
      <w:r w:rsidRPr="000845E7">
        <w:rPr>
          <w:rFonts w:ascii="Arial" w:hAnsi="Arial" w:cs="Arial"/>
          <w:sz w:val="20"/>
          <w:szCs w:val="20"/>
          <w:lang w:val="en-GB"/>
        </w:rPr>
        <w:t xml:space="preserve">Mosin B and 10-hydroxytrilobacin both surpassed </w:t>
      </w:r>
      <w:proofErr w:type="spellStart"/>
      <w:r w:rsidRPr="000845E7">
        <w:rPr>
          <w:rFonts w:ascii="Arial" w:hAnsi="Arial" w:cs="Arial"/>
          <w:sz w:val="20"/>
          <w:szCs w:val="20"/>
          <w:lang w:val="en-GB"/>
        </w:rPr>
        <w:t>pemigatinib</w:t>
      </w:r>
      <w:proofErr w:type="spellEnd"/>
      <w:r w:rsidRPr="000845E7">
        <w:rPr>
          <w:rFonts w:ascii="Arial" w:hAnsi="Arial" w:cs="Arial"/>
          <w:sz w:val="20"/>
          <w:szCs w:val="20"/>
          <w:lang w:val="en-GB"/>
        </w:rPr>
        <w:t xml:space="preserve"> across key structural metrics, establishing them as promising FGFR1 inhibitors with strong binding affinity, pharmacokinetic safety, and dynamic stability, and thus warranting further experimental validation for cholangiocarcinoma therapy.</w:t>
      </w:r>
    </w:p>
    <w:p w14:paraId="0D86849D" w14:textId="4701427F" w:rsidR="00050357" w:rsidRPr="00050357" w:rsidRDefault="00050357" w:rsidP="000845E7">
      <w:pPr>
        <w:spacing w:after="0" w:line="360" w:lineRule="auto"/>
        <w:jc w:val="both"/>
        <w:rPr>
          <w:rFonts w:ascii="Arial" w:hAnsi="Arial" w:cs="Arial"/>
          <w:b/>
          <w:bCs/>
          <w:sz w:val="20"/>
          <w:szCs w:val="20"/>
          <w:lang w:val="en-GB"/>
        </w:rPr>
      </w:pPr>
      <w:r w:rsidRPr="00050357">
        <w:rPr>
          <w:rFonts w:ascii="Arial" w:hAnsi="Arial" w:cs="Arial"/>
          <w:b/>
          <w:bCs/>
          <w:sz w:val="20"/>
          <w:szCs w:val="20"/>
          <w:lang w:val="en-GB"/>
        </w:rPr>
        <w:t>Graphical abstract</w:t>
      </w:r>
    </w:p>
    <w:p w14:paraId="6D0913E9" w14:textId="7D7F266A" w:rsidR="0052046B" w:rsidRPr="007C2923" w:rsidRDefault="0052046B" w:rsidP="00ED24B4">
      <w:pPr>
        <w:rPr>
          <w:lang w:val="en-GB"/>
        </w:rPr>
      </w:pPr>
      <w:r w:rsidRPr="00303D2C">
        <w:rPr>
          <w:rFonts w:ascii="Times New Roman" w:hAnsi="Times New Roman" w:cs="Times New Roman"/>
          <w:b/>
          <w:bCs/>
          <w:noProof/>
          <w:sz w:val="24"/>
          <w:szCs w:val="24"/>
        </w:rPr>
        <w:lastRenderedPageBreak/>
        <w:drawing>
          <wp:anchor distT="0" distB="0" distL="114300" distR="114300" simplePos="0" relativeHeight="251658266" behindDoc="0" locked="0" layoutInCell="1" allowOverlap="1" wp14:anchorId="11F74059" wp14:editId="464EB8B8">
            <wp:simplePos x="0" y="0"/>
            <wp:positionH relativeFrom="column">
              <wp:posOffset>381000</wp:posOffset>
            </wp:positionH>
            <wp:positionV relativeFrom="paragraph">
              <wp:posOffset>245745</wp:posOffset>
            </wp:positionV>
            <wp:extent cx="5139690" cy="3181350"/>
            <wp:effectExtent l="38100" t="38100" r="41910" b="38100"/>
            <wp:wrapSquare wrapText="bothSides"/>
            <wp:docPr id="10099207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9690" cy="318135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ED24B4">
        <w:rPr>
          <w:lang w:val="en-GB"/>
        </w:rPr>
        <w:br w:type="textWrapping" w:clear="all"/>
      </w:r>
    </w:p>
    <w:p w14:paraId="4F487547" w14:textId="77777777" w:rsidR="00ED24B4" w:rsidRDefault="00ED24B4" w:rsidP="00BB112F">
      <w:pPr>
        <w:rPr>
          <w:rFonts w:ascii="Arial" w:hAnsi="Arial" w:cs="Arial"/>
          <w:b/>
          <w:bCs/>
          <w:sz w:val="20"/>
          <w:szCs w:val="20"/>
          <w:lang w:val="en-GB"/>
        </w:rPr>
      </w:pPr>
    </w:p>
    <w:p w14:paraId="7B54BDEE" w14:textId="77777777" w:rsidR="00ED24B4" w:rsidRDefault="00ED24B4" w:rsidP="00BB112F">
      <w:pPr>
        <w:rPr>
          <w:rFonts w:ascii="Arial" w:hAnsi="Arial" w:cs="Arial"/>
          <w:b/>
          <w:bCs/>
          <w:sz w:val="20"/>
          <w:szCs w:val="20"/>
          <w:lang w:val="en-GB"/>
        </w:rPr>
      </w:pPr>
    </w:p>
    <w:p w14:paraId="1CA8B7F0" w14:textId="77777777" w:rsidR="00ED24B4" w:rsidRDefault="00ED24B4" w:rsidP="00BB112F">
      <w:pPr>
        <w:rPr>
          <w:rFonts w:ascii="Arial" w:hAnsi="Arial" w:cs="Arial"/>
          <w:b/>
          <w:bCs/>
          <w:sz w:val="20"/>
          <w:szCs w:val="20"/>
          <w:lang w:val="en-GB"/>
        </w:rPr>
      </w:pPr>
    </w:p>
    <w:p w14:paraId="5190CF2A" w14:textId="77777777" w:rsidR="00ED24B4" w:rsidRDefault="00ED24B4" w:rsidP="00BB112F">
      <w:pPr>
        <w:rPr>
          <w:rFonts w:ascii="Arial" w:hAnsi="Arial" w:cs="Arial"/>
          <w:b/>
          <w:bCs/>
          <w:sz w:val="20"/>
          <w:szCs w:val="20"/>
          <w:lang w:val="en-GB"/>
        </w:rPr>
      </w:pPr>
    </w:p>
    <w:p w14:paraId="2F476EE4" w14:textId="77777777" w:rsidR="00ED24B4" w:rsidRDefault="00ED24B4" w:rsidP="00BB112F">
      <w:pPr>
        <w:rPr>
          <w:rFonts w:ascii="Arial" w:hAnsi="Arial" w:cs="Arial"/>
          <w:b/>
          <w:bCs/>
          <w:sz w:val="20"/>
          <w:szCs w:val="20"/>
          <w:lang w:val="en-GB"/>
        </w:rPr>
      </w:pPr>
    </w:p>
    <w:p w14:paraId="604424A4" w14:textId="77777777" w:rsidR="00ED24B4" w:rsidRDefault="00ED24B4" w:rsidP="00BB112F">
      <w:pPr>
        <w:rPr>
          <w:rFonts w:ascii="Arial" w:hAnsi="Arial" w:cs="Arial"/>
          <w:b/>
          <w:bCs/>
          <w:sz w:val="20"/>
          <w:szCs w:val="20"/>
          <w:lang w:val="en-GB"/>
        </w:rPr>
      </w:pPr>
    </w:p>
    <w:p w14:paraId="478A2570" w14:textId="77777777" w:rsidR="00ED24B4" w:rsidRDefault="00ED24B4" w:rsidP="00BB112F">
      <w:pPr>
        <w:rPr>
          <w:rFonts w:ascii="Arial" w:hAnsi="Arial" w:cs="Arial"/>
          <w:b/>
          <w:bCs/>
          <w:sz w:val="20"/>
          <w:szCs w:val="20"/>
          <w:lang w:val="en-GB"/>
        </w:rPr>
      </w:pPr>
    </w:p>
    <w:p w14:paraId="1E6E3714" w14:textId="77777777" w:rsidR="00ED24B4" w:rsidRDefault="00ED24B4" w:rsidP="00BB112F">
      <w:pPr>
        <w:rPr>
          <w:rFonts w:ascii="Arial" w:hAnsi="Arial" w:cs="Arial"/>
          <w:b/>
          <w:bCs/>
          <w:sz w:val="20"/>
          <w:szCs w:val="20"/>
          <w:lang w:val="en-GB"/>
        </w:rPr>
      </w:pPr>
    </w:p>
    <w:p w14:paraId="14EAEFF8" w14:textId="77777777" w:rsidR="00ED24B4" w:rsidRDefault="00ED24B4" w:rsidP="00BB112F">
      <w:pPr>
        <w:rPr>
          <w:rFonts w:ascii="Arial" w:hAnsi="Arial" w:cs="Arial"/>
          <w:b/>
          <w:bCs/>
          <w:sz w:val="20"/>
          <w:szCs w:val="20"/>
          <w:lang w:val="en-GB"/>
        </w:rPr>
      </w:pPr>
    </w:p>
    <w:p w14:paraId="3C99FD08" w14:textId="7EC6E51F" w:rsidR="00072DBF" w:rsidRPr="000845E7" w:rsidRDefault="007C2923" w:rsidP="00BB112F">
      <w:pPr>
        <w:rPr>
          <w:rFonts w:ascii="Arial" w:hAnsi="Arial" w:cs="Arial"/>
          <w:sz w:val="20"/>
          <w:szCs w:val="20"/>
          <w:lang w:val="en-GB"/>
        </w:rPr>
      </w:pPr>
      <w:r w:rsidRPr="000845E7">
        <w:rPr>
          <w:rFonts w:ascii="Arial" w:hAnsi="Arial" w:cs="Arial"/>
          <w:b/>
          <w:bCs/>
          <w:sz w:val="20"/>
          <w:szCs w:val="20"/>
          <w:lang w:val="en-GB"/>
        </w:rPr>
        <w:t>Keywords:</w:t>
      </w:r>
      <w:r w:rsidRPr="000845E7">
        <w:rPr>
          <w:rFonts w:ascii="Arial" w:hAnsi="Arial" w:cs="Arial"/>
          <w:sz w:val="20"/>
          <w:szCs w:val="20"/>
          <w:lang w:val="en-GB"/>
        </w:rPr>
        <w:t xml:space="preserve"> 10-Hydroxytrilobacin, Cholangiocarcinoma therapy, Computer-aided Drug Design, FGFR1, Mosin B, </w:t>
      </w:r>
      <w:proofErr w:type="spellStart"/>
      <w:r w:rsidR="00DC6CBF">
        <w:rPr>
          <w:rFonts w:ascii="Arial" w:hAnsi="Arial" w:cs="Arial"/>
          <w:sz w:val="20"/>
          <w:szCs w:val="20"/>
          <w:lang w:val="en-GB"/>
        </w:rPr>
        <w:t>Pemigatinib</w:t>
      </w:r>
      <w:proofErr w:type="spellEnd"/>
      <w:r w:rsidR="004570A0">
        <w:rPr>
          <w:rFonts w:ascii="Arial" w:hAnsi="Arial" w:cs="Arial"/>
          <w:sz w:val="20"/>
          <w:szCs w:val="20"/>
          <w:lang w:val="en-GB"/>
        </w:rPr>
        <w:t xml:space="preserve">, </w:t>
      </w:r>
      <w:r w:rsidRPr="000845E7">
        <w:rPr>
          <w:rFonts w:ascii="Arial" w:hAnsi="Arial" w:cs="Arial"/>
          <w:sz w:val="20"/>
          <w:szCs w:val="20"/>
          <w:lang w:val="en-GB"/>
        </w:rPr>
        <w:t>Phytochemicals.</w:t>
      </w:r>
    </w:p>
    <w:p w14:paraId="0EA7FBF2" w14:textId="3E22B303" w:rsidR="00072DBF" w:rsidRPr="004C4713" w:rsidRDefault="00737D4B" w:rsidP="0035395B">
      <w:pPr>
        <w:pStyle w:val="ListParagraph"/>
        <w:numPr>
          <w:ilvl w:val="0"/>
          <w:numId w:val="1"/>
        </w:numPr>
        <w:spacing w:after="0" w:line="360" w:lineRule="auto"/>
        <w:jc w:val="both"/>
        <w:rPr>
          <w:rFonts w:ascii="Arial" w:hAnsi="Arial" w:cs="Arial"/>
          <w:b/>
          <w:bCs/>
          <w:sz w:val="24"/>
          <w:szCs w:val="24"/>
        </w:rPr>
      </w:pPr>
      <w:r w:rsidRPr="004C4713">
        <w:rPr>
          <w:rFonts w:ascii="Arial" w:hAnsi="Arial" w:cs="Arial"/>
          <w:b/>
          <w:bCs/>
          <w:sz w:val="24"/>
          <w:szCs w:val="24"/>
        </w:rPr>
        <w:t>INTRODUCTION</w:t>
      </w:r>
    </w:p>
    <w:p w14:paraId="3584BD0C" w14:textId="77777777" w:rsidR="0042394A" w:rsidRPr="00956245" w:rsidRDefault="007C2923" w:rsidP="0042394A">
      <w:pPr>
        <w:spacing w:after="0" w:line="360" w:lineRule="auto"/>
        <w:jc w:val="both"/>
        <w:rPr>
          <w:rFonts w:ascii="Arial" w:hAnsi="Arial" w:cs="Arial"/>
          <w:sz w:val="20"/>
          <w:szCs w:val="20"/>
          <w:lang w:val="en-GB"/>
        </w:rPr>
      </w:pPr>
      <w:r w:rsidRPr="0042394A">
        <w:rPr>
          <w:rFonts w:ascii="Arial" w:hAnsi="Arial" w:cs="Arial"/>
          <w:sz w:val="20"/>
          <w:szCs w:val="20"/>
        </w:rPr>
        <w:t xml:space="preserve">Bile duct cancer, also known as cholangiocarcinoma, is an aggressive and rare malignancy that originates from the epithelial lining of the biliary tract [1]. It is anatomically classified into intrahepatic, perihilar, and distal </w:t>
      </w:r>
      <w:proofErr w:type="spellStart"/>
      <w:r w:rsidRPr="0042394A">
        <w:rPr>
          <w:rFonts w:ascii="Arial" w:hAnsi="Arial" w:cs="Arial"/>
          <w:sz w:val="20"/>
          <w:szCs w:val="20"/>
        </w:rPr>
        <w:t>cholangiocarcinomas</w:t>
      </w:r>
      <w:proofErr w:type="spellEnd"/>
      <w:r w:rsidRPr="0042394A">
        <w:rPr>
          <w:rFonts w:ascii="Arial" w:hAnsi="Arial" w:cs="Arial"/>
          <w:sz w:val="20"/>
          <w:szCs w:val="20"/>
        </w:rPr>
        <w:t xml:space="preserve">, of which perihilar cholangiocarcinoma is the most common [2,3]. </w:t>
      </w:r>
      <w:r w:rsidR="0042394A" w:rsidRPr="00956245">
        <w:rPr>
          <w:rFonts w:ascii="Arial" w:hAnsi="Arial" w:cs="Arial"/>
          <w:sz w:val="20"/>
          <w:szCs w:val="20"/>
          <w:lang w:val="en-GB"/>
        </w:rPr>
        <w:t xml:space="preserve">Because of its deep anatomical location and nonspecific initial presentation, including pruritus, jaundice, and unexplained weight, diagnosis is usually delayed, and this is further causing poor clinical outcomes [4,5]. While improved diagnostic methods like MDCT and MRI have increased the precision of diagnosis, treatment with clear surgical margins remains the mainstay of curative treatment [6,7]. The surgical approaches, such as extended hepatectomy or pancreaticoduodenectomy, also vary according to </w:t>
      </w:r>
      <w:proofErr w:type="spellStart"/>
      <w:r w:rsidR="0042394A" w:rsidRPr="00956245">
        <w:rPr>
          <w:rFonts w:ascii="Arial" w:hAnsi="Arial" w:cs="Arial"/>
          <w:sz w:val="20"/>
          <w:szCs w:val="20"/>
          <w:lang w:val="en-GB"/>
        </w:rPr>
        <w:t>tumor</w:t>
      </w:r>
      <w:proofErr w:type="spellEnd"/>
      <w:r w:rsidR="0042394A" w:rsidRPr="00956245">
        <w:rPr>
          <w:rFonts w:ascii="Arial" w:hAnsi="Arial" w:cs="Arial"/>
          <w:sz w:val="20"/>
          <w:szCs w:val="20"/>
          <w:lang w:val="en-GB"/>
        </w:rPr>
        <w:t xml:space="preserve"> location. However, even with surgery, high recurrence and resistance to chemotherapy still mar long-term survival [8,9]. These challenges indicate the urgent need for improved and targeted treatment modalities.</w:t>
      </w:r>
    </w:p>
    <w:p w14:paraId="40554B4D" w14:textId="3176858C" w:rsidR="0042394A" w:rsidRPr="00956245" w:rsidRDefault="0042394A" w:rsidP="0042394A">
      <w:pPr>
        <w:spacing w:after="0" w:line="360" w:lineRule="auto"/>
        <w:jc w:val="both"/>
        <w:rPr>
          <w:rFonts w:ascii="Arial" w:hAnsi="Arial" w:cs="Arial"/>
          <w:sz w:val="20"/>
          <w:szCs w:val="20"/>
          <w:lang w:val="en-GB"/>
        </w:rPr>
      </w:pPr>
      <w:r w:rsidRPr="00956245">
        <w:rPr>
          <w:rFonts w:ascii="Arial" w:hAnsi="Arial" w:cs="Arial"/>
          <w:sz w:val="20"/>
          <w:szCs w:val="20"/>
          <w:lang w:val="en-GB"/>
        </w:rPr>
        <w:t xml:space="preserve">Recent studies at the molecular level have identified fibroblast growth factor receptor 1 (FGFR1) as a potent oncogenic driver in a number of different cancers, including cholangiocarcinoma [10]. FGFR1, a receptor tyrosine kinase, is responsible for governing basic cellular functions such as proliferation, differentiation, and angiogenesis. Abnormality in its function—attributable to gene amplification, mutation, or ligand-independent receptor activation—has been found liable for </w:t>
      </w:r>
      <w:proofErr w:type="spellStart"/>
      <w:r w:rsidRPr="00956245">
        <w:rPr>
          <w:rFonts w:ascii="Arial" w:hAnsi="Arial" w:cs="Arial"/>
          <w:sz w:val="20"/>
          <w:szCs w:val="20"/>
          <w:lang w:val="en-GB"/>
        </w:rPr>
        <w:t>tumor</w:t>
      </w:r>
      <w:proofErr w:type="spellEnd"/>
      <w:r w:rsidRPr="00956245">
        <w:rPr>
          <w:rFonts w:ascii="Arial" w:hAnsi="Arial" w:cs="Arial"/>
          <w:sz w:val="20"/>
          <w:szCs w:val="20"/>
          <w:lang w:val="en-GB"/>
        </w:rPr>
        <w:t xml:space="preserve"> growth, chemoresistance, and poor clinical outcomes of bile duct cancer [11]. Consequently, inhibiting FGFR1 </w:t>
      </w:r>
      <w:proofErr w:type="spellStart"/>
      <w:r w:rsidRPr="00956245">
        <w:rPr>
          <w:rFonts w:ascii="Arial" w:hAnsi="Arial" w:cs="Arial"/>
          <w:sz w:val="20"/>
          <w:szCs w:val="20"/>
          <w:lang w:val="en-GB"/>
        </w:rPr>
        <w:t>signaling</w:t>
      </w:r>
      <w:proofErr w:type="spellEnd"/>
      <w:r w:rsidRPr="00956245">
        <w:rPr>
          <w:rFonts w:ascii="Arial" w:hAnsi="Arial" w:cs="Arial"/>
          <w:sz w:val="20"/>
          <w:szCs w:val="20"/>
          <w:lang w:val="en-GB"/>
        </w:rPr>
        <w:t xml:space="preserve"> is an attractive target for therapy. Synthetic FGFR1 inhibitors such as </w:t>
      </w:r>
      <w:proofErr w:type="spellStart"/>
      <w:r w:rsidRPr="00956245">
        <w:rPr>
          <w:rFonts w:ascii="Arial" w:hAnsi="Arial" w:cs="Arial"/>
          <w:sz w:val="20"/>
          <w:szCs w:val="20"/>
          <w:lang w:val="en-GB"/>
        </w:rPr>
        <w:t>pemigatinib</w:t>
      </w:r>
      <w:proofErr w:type="spellEnd"/>
      <w:r w:rsidRPr="00956245">
        <w:rPr>
          <w:rFonts w:ascii="Arial" w:hAnsi="Arial" w:cs="Arial"/>
          <w:sz w:val="20"/>
          <w:szCs w:val="20"/>
          <w:lang w:val="en-GB"/>
        </w:rPr>
        <w:t xml:space="preserve"> have been identified, but high cost, potential toxicities, and poor selectivity are challenges for long-term clinical use [12</w:t>
      </w:r>
      <w:r w:rsidR="006E1B77">
        <w:rPr>
          <w:rFonts w:ascii="Arial" w:hAnsi="Arial" w:cs="Arial"/>
          <w:sz w:val="20"/>
          <w:szCs w:val="20"/>
          <w:lang w:val="en-GB"/>
        </w:rPr>
        <w:t>,13,</w:t>
      </w:r>
      <w:r w:rsidRPr="00956245">
        <w:rPr>
          <w:rFonts w:ascii="Arial" w:hAnsi="Arial" w:cs="Arial"/>
          <w:sz w:val="20"/>
          <w:szCs w:val="20"/>
          <w:lang w:val="en-GB"/>
        </w:rPr>
        <w:t xml:space="preserve">14]. This has generated </w:t>
      </w:r>
      <w:r w:rsidRPr="00956245">
        <w:rPr>
          <w:rFonts w:ascii="Arial" w:hAnsi="Arial" w:cs="Arial"/>
          <w:sz w:val="20"/>
          <w:szCs w:val="20"/>
          <w:lang w:val="en-GB"/>
        </w:rPr>
        <w:lastRenderedPageBreak/>
        <w:t>interest in the quest for safer, natural, plant-based alternatives that can modulate FGFR1 function with improved tolerability.</w:t>
      </w:r>
    </w:p>
    <w:p w14:paraId="2336AFED" w14:textId="0F63A92B" w:rsidR="0042394A" w:rsidRPr="00956245" w:rsidRDefault="0042394A" w:rsidP="0042394A">
      <w:pPr>
        <w:spacing w:after="0" w:line="360" w:lineRule="auto"/>
        <w:jc w:val="both"/>
        <w:rPr>
          <w:rFonts w:ascii="Arial" w:hAnsi="Arial" w:cs="Arial"/>
          <w:sz w:val="20"/>
          <w:szCs w:val="20"/>
          <w:lang w:val="en-GB"/>
        </w:rPr>
      </w:pPr>
      <w:r w:rsidRPr="00956245">
        <w:rPr>
          <w:rFonts w:ascii="Arial" w:hAnsi="Arial" w:cs="Arial"/>
          <w:sz w:val="20"/>
          <w:szCs w:val="20"/>
          <w:lang w:val="en-GB"/>
        </w:rPr>
        <w:t xml:space="preserve">Phytochemicals, naturally occurring bioactive compounds found in medicinal plants, have historically been investigated for anticancer properties since they have been shown to modulate intricate cell </w:t>
      </w:r>
      <w:proofErr w:type="spellStart"/>
      <w:r w:rsidRPr="00956245">
        <w:rPr>
          <w:rFonts w:ascii="Arial" w:hAnsi="Arial" w:cs="Arial"/>
          <w:sz w:val="20"/>
          <w:szCs w:val="20"/>
          <w:lang w:val="en-GB"/>
        </w:rPr>
        <w:t>signaling</w:t>
      </w:r>
      <w:proofErr w:type="spellEnd"/>
      <w:r w:rsidRPr="00956245">
        <w:rPr>
          <w:rFonts w:ascii="Arial" w:hAnsi="Arial" w:cs="Arial"/>
          <w:sz w:val="20"/>
          <w:szCs w:val="20"/>
          <w:lang w:val="en-GB"/>
        </w:rPr>
        <w:t xml:space="preserve">, including </w:t>
      </w:r>
      <w:proofErr w:type="spellStart"/>
      <w:r w:rsidRPr="00956245">
        <w:rPr>
          <w:rFonts w:ascii="Arial" w:hAnsi="Arial" w:cs="Arial"/>
          <w:sz w:val="20"/>
          <w:szCs w:val="20"/>
          <w:lang w:val="en-GB"/>
        </w:rPr>
        <w:t>tumor</w:t>
      </w:r>
      <w:proofErr w:type="spellEnd"/>
      <w:r w:rsidRPr="00956245">
        <w:rPr>
          <w:rFonts w:ascii="Arial" w:hAnsi="Arial" w:cs="Arial"/>
          <w:sz w:val="20"/>
          <w:szCs w:val="20"/>
          <w:lang w:val="en-GB"/>
        </w:rPr>
        <w:t xml:space="preserve"> growth and metastasis-critical </w:t>
      </w:r>
      <w:proofErr w:type="spellStart"/>
      <w:r w:rsidRPr="00956245">
        <w:rPr>
          <w:rFonts w:ascii="Arial" w:hAnsi="Arial" w:cs="Arial"/>
          <w:sz w:val="20"/>
          <w:szCs w:val="20"/>
          <w:lang w:val="en-GB"/>
        </w:rPr>
        <w:t>signaling</w:t>
      </w:r>
      <w:proofErr w:type="spellEnd"/>
      <w:r w:rsidRPr="00956245">
        <w:rPr>
          <w:rFonts w:ascii="Arial" w:hAnsi="Arial" w:cs="Arial"/>
          <w:sz w:val="20"/>
          <w:szCs w:val="20"/>
          <w:lang w:val="en-GB"/>
        </w:rPr>
        <w:t xml:space="preserve"> pathways [15</w:t>
      </w:r>
      <w:r w:rsidR="006E1B77">
        <w:rPr>
          <w:rFonts w:ascii="Arial" w:hAnsi="Arial" w:cs="Arial"/>
          <w:sz w:val="20"/>
          <w:szCs w:val="20"/>
          <w:lang w:val="en-GB"/>
        </w:rPr>
        <w:t>,16,</w:t>
      </w:r>
      <w:r w:rsidRPr="00956245">
        <w:rPr>
          <w:rFonts w:ascii="Arial" w:hAnsi="Arial" w:cs="Arial"/>
          <w:sz w:val="20"/>
          <w:szCs w:val="20"/>
          <w:lang w:val="en-GB"/>
        </w:rPr>
        <w:t>17]. They are structurally diverse, have minimal systemic toxicity, and their traditional usage further enhances their potential as viable drug candidates. However, not all phytochemicals are safe or effective, and high-throughput screening is an essential tool for discovering those having high therapeutic potential [16]. It is in this context that research on phytochemicals with FGFR1-inhibitory potential represents a compelling direction in cholangiocarcinoma, with the promise of developing cost-effective and biologically acceptable treatments [18].</w:t>
      </w:r>
    </w:p>
    <w:p w14:paraId="0407E09B" w14:textId="77777777" w:rsidR="0042394A" w:rsidRPr="00956245" w:rsidRDefault="0042394A" w:rsidP="0042394A">
      <w:pPr>
        <w:spacing w:after="0" w:line="360" w:lineRule="auto"/>
        <w:jc w:val="both"/>
        <w:rPr>
          <w:rFonts w:ascii="Arial" w:hAnsi="Arial" w:cs="Arial"/>
          <w:sz w:val="20"/>
          <w:szCs w:val="20"/>
          <w:lang w:val="en-GB"/>
        </w:rPr>
      </w:pPr>
      <w:r w:rsidRPr="00956245">
        <w:rPr>
          <w:rFonts w:ascii="Arial" w:hAnsi="Arial" w:cs="Arial"/>
          <w:sz w:val="20"/>
          <w:szCs w:val="20"/>
          <w:lang w:val="en-GB"/>
        </w:rPr>
        <w:t xml:space="preserve">Computational methods in drug design now provide an effective channel for the identification of candidates of this sort. In silico techniques have proven to be valuable tools for rational drug design [19]. These techniques offer efficient screening of large libraries of compounds to predict binding affinity, molecular stability, and pharmacokinetics and toxicology, followed by experimental validation. The NPACT (Naturally Occurring Plant-Based Anti-Cancerous Therapeutics) database is one such repository that consists of experimentally determined plant-based compounds with known anticancer activities [20,21]. Utilizing this database in combination with structure-based </w:t>
      </w:r>
      <w:proofErr w:type="spellStart"/>
      <w:r w:rsidRPr="00956245">
        <w:rPr>
          <w:rFonts w:ascii="Arial" w:hAnsi="Arial" w:cs="Arial"/>
          <w:sz w:val="20"/>
          <w:szCs w:val="20"/>
          <w:lang w:val="en-GB"/>
        </w:rPr>
        <w:t>modeling</w:t>
      </w:r>
      <w:proofErr w:type="spellEnd"/>
      <w:r w:rsidRPr="00956245">
        <w:rPr>
          <w:rFonts w:ascii="Arial" w:hAnsi="Arial" w:cs="Arial"/>
          <w:sz w:val="20"/>
          <w:szCs w:val="20"/>
          <w:lang w:val="en-GB"/>
        </w:rPr>
        <w:t xml:space="preserve"> allows for the systematic identification of phytochemicals that are capable of specifically inhibiting FGFR1 enzymatic activity.</w:t>
      </w:r>
    </w:p>
    <w:p w14:paraId="3D40550E" w14:textId="77777777" w:rsidR="0042394A" w:rsidRPr="00956245" w:rsidRDefault="0042394A" w:rsidP="0042394A">
      <w:pPr>
        <w:spacing w:after="0" w:line="360" w:lineRule="auto"/>
        <w:jc w:val="both"/>
        <w:rPr>
          <w:rFonts w:ascii="Arial" w:hAnsi="Arial" w:cs="Arial"/>
          <w:sz w:val="20"/>
          <w:szCs w:val="20"/>
          <w:lang w:val="en-GB"/>
        </w:rPr>
      </w:pPr>
      <w:r w:rsidRPr="00956245">
        <w:rPr>
          <w:rFonts w:ascii="Arial" w:hAnsi="Arial" w:cs="Arial"/>
          <w:sz w:val="20"/>
          <w:szCs w:val="20"/>
          <w:lang w:val="en-GB"/>
        </w:rPr>
        <w:t>This research uses computer-aided drug design (CADD) to evaluate 67 phytochemicals, sourced from the NPACT database, as potential inhibitors of FGFR1. Through an integrated molecular docking, molecular mechanics generalized born surface area (MM-GBSA) energy calculation, pharmacokinetics and toxicological evaluation, and molecular dynamics simulation, the study aims to identify potential lead compounds of therapeutic potential. By targeting the FGFR1 kinase domain, this research seeks to contribute to the discovery of novel, plant-based therapeutics for bile duct cancer treatment.</w:t>
      </w:r>
    </w:p>
    <w:p w14:paraId="1435309C" w14:textId="680BBD25" w:rsidR="002524C0" w:rsidRPr="004C4713" w:rsidRDefault="002524C0" w:rsidP="0042394A">
      <w:pPr>
        <w:pStyle w:val="NormalWeb"/>
        <w:spacing w:before="240" w:beforeAutospacing="0" w:after="0" w:afterAutospacing="0" w:line="360" w:lineRule="auto"/>
        <w:jc w:val="both"/>
        <w:rPr>
          <w:rFonts w:ascii="Arial" w:hAnsi="Arial" w:cs="Arial"/>
          <w:b/>
          <w:bCs/>
        </w:rPr>
      </w:pPr>
      <w:r w:rsidRPr="004C4713">
        <w:rPr>
          <w:rFonts w:ascii="Arial" w:hAnsi="Arial" w:cs="Arial"/>
          <w:b/>
          <w:bCs/>
        </w:rPr>
        <w:t>2.0 METHODOLOGY</w:t>
      </w:r>
    </w:p>
    <w:p w14:paraId="5796838C" w14:textId="22ED9577" w:rsidR="002524C0" w:rsidRPr="0035395B" w:rsidRDefault="002524C0" w:rsidP="0035395B">
      <w:pPr>
        <w:spacing w:after="0" w:line="360" w:lineRule="auto"/>
        <w:jc w:val="both"/>
        <w:rPr>
          <w:rFonts w:ascii="Arial" w:hAnsi="Arial" w:cs="Arial"/>
          <w:b/>
          <w:bCs/>
          <w:sz w:val="20"/>
          <w:szCs w:val="20"/>
        </w:rPr>
      </w:pPr>
      <w:r w:rsidRPr="0035395B">
        <w:rPr>
          <w:rFonts w:ascii="Arial" w:hAnsi="Arial" w:cs="Arial"/>
          <w:b/>
          <w:bCs/>
          <w:sz w:val="20"/>
          <w:szCs w:val="20"/>
        </w:rPr>
        <w:t>2.1 Protein Preparation and Active Site Prediction</w:t>
      </w:r>
    </w:p>
    <w:p w14:paraId="44417883" w14:textId="66FE6188" w:rsidR="002524C0" w:rsidRPr="0035395B" w:rsidRDefault="002524C0" w:rsidP="0035395B">
      <w:pPr>
        <w:spacing w:after="0" w:line="360" w:lineRule="auto"/>
        <w:jc w:val="both"/>
        <w:rPr>
          <w:rFonts w:ascii="Arial" w:hAnsi="Arial" w:cs="Arial"/>
          <w:sz w:val="20"/>
          <w:szCs w:val="20"/>
        </w:rPr>
      </w:pPr>
      <w:r w:rsidRPr="0035395B">
        <w:rPr>
          <w:rFonts w:ascii="Arial" w:hAnsi="Arial" w:cs="Arial"/>
          <w:sz w:val="20"/>
          <w:szCs w:val="20"/>
        </w:rPr>
        <w:t>The crystal structure of the</w:t>
      </w:r>
      <w:r w:rsidR="00847A85" w:rsidRPr="0035395B">
        <w:rPr>
          <w:rFonts w:ascii="Arial" w:hAnsi="Arial" w:cs="Arial"/>
          <w:sz w:val="20"/>
          <w:szCs w:val="20"/>
        </w:rPr>
        <w:t xml:space="preserve"> </w:t>
      </w:r>
      <w:r w:rsidRPr="0035395B">
        <w:rPr>
          <w:rFonts w:ascii="Arial" w:hAnsi="Arial" w:cs="Arial"/>
          <w:sz w:val="20"/>
          <w:szCs w:val="20"/>
        </w:rPr>
        <w:t>FGFR1 kinase domain (PDB ID: 7WCL; resolution: 2.50 Å) (</w:t>
      </w:r>
      <w:hyperlink r:id="rId8" w:history="1">
        <w:r w:rsidRPr="0035395B">
          <w:rPr>
            <w:rStyle w:val="Hyperlink"/>
            <w:rFonts w:ascii="Arial" w:hAnsi="Arial" w:cs="Arial"/>
            <w:sz w:val="20"/>
            <w:szCs w:val="20"/>
          </w:rPr>
          <w:t>https://doi.org/10.2210/pdb7WCL/pdb</w:t>
        </w:r>
      </w:hyperlink>
      <w:r w:rsidRPr="0035395B">
        <w:rPr>
          <w:rFonts w:ascii="Arial" w:hAnsi="Arial" w:cs="Arial"/>
          <w:sz w:val="20"/>
          <w:szCs w:val="20"/>
        </w:rPr>
        <w:t>) was retrieved from the Protein Data Bank (PDB) (</w:t>
      </w:r>
      <w:hyperlink r:id="rId9" w:tgtFrame="_new" w:history="1">
        <w:r w:rsidRPr="0035395B">
          <w:rPr>
            <w:rStyle w:val="Hyperlink"/>
            <w:rFonts w:ascii="Arial" w:hAnsi="Arial" w:cs="Arial"/>
            <w:sz w:val="20"/>
            <w:szCs w:val="20"/>
          </w:rPr>
          <w:t>https://www.rcsb.org</w:t>
        </w:r>
      </w:hyperlink>
      <w:r w:rsidRPr="0035395B">
        <w:rPr>
          <w:rFonts w:ascii="Arial" w:hAnsi="Arial" w:cs="Arial"/>
          <w:sz w:val="20"/>
          <w:szCs w:val="20"/>
        </w:rPr>
        <w:t xml:space="preserve">). This structure, comprising residues Gly456 to Asn763, was optimized using </w:t>
      </w:r>
      <w:proofErr w:type="spellStart"/>
      <w:r w:rsidRPr="0035395B">
        <w:rPr>
          <w:rFonts w:ascii="Arial" w:hAnsi="Arial" w:cs="Arial"/>
          <w:sz w:val="20"/>
          <w:szCs w:val="20"/>
        </w:rPr>
        <w:t>Biovia</w:t>
      </w:r>
      <w:proofErr w:type="spellEnd"/>
      <w:r w:rsidRPr="0035395B">
        <w:rPr>
          <w:rFonts w:ascii="Arial" w:hAnsi="Arial" w:cs="Arial"/>
          <w:sz w:val="20"/>
          <w:szCs w:val="20"/>
        </w:rPr>
        <w:t xml:space="preserve"> Discovery Studio 2021 to remove water molecules and correct bond geometries. The active binding pocket was predicted using the CASTp 3.0 web server, enabling site-specific docking by accurately mapping surface cavities and binding residues [19,23].</w:t>
      </w:r>
    </w:p>
    <w:tbl>
      <w:tblPr>
        <w:tblStyle w:val="TableGrid"/>
        <w:tblW w:w="9720" w:type="dxa"/>
        <w:tblInd w:w="-275" w:type="dxa"/>
        <w:tblLook w:val="04A0" w:firstRow="1" w:lastRow="0" w:firstColumn="1" w:lastColumn="0" w:noHBand="0" w:noVBand="1"/>
      </w:tblPr>
      <w:tblGrid>
        <w:gridCol w:w="9720"/>
      </w:tblGrid>
      <w:tr w:rsidR="002524C0" w:rsidRPr="00303D2C" w14:paraId="31621CEF" w14:textId="77777777" w:rsidTr="004C4713">
        <w:trPr>
          <w:trHeight w:val="2708"/>
        </w:trPr>
        <w:tc>
          <w:tcPr>
            <w:tcW w:w="9720" w:type="dxa"/>
          </w:tcPr>
          <w:p w14:paraId="1EB90D96" w14:textId="77777777" w:rsidR="002524C0" w:rsidRPr="00303D2C" w:rsidRDefault="002524C0" w:rsidP="00261B7D">
            <w:pPr>
              <w:jc w:val="both"/>
              <w:rPr>
                <w:rFonts w:ascii="Times New Roman" w:hAnsi="Times New Roman" w:cs="Times New Roman"/>
                <w:sz w:val="24"/>
                <w:szCs w:val="24"/>
                <w:lang w:val="en-GB"/>
              </w:rPr>
            </w:pPr>
            <w:r w:rsidRPr="00303D2C">
              <w:rPr>
                <w:rFonts w:ascii="Times New Roman" w:eastAsia="Times New Roman" w:hAnsi="Times New Roman" w:cs="Times New Roman"/>
                <w:sz w:val="24"/>
                <w:szCs w:val="24"/>
              </w:rPr>
              <w:lastRenderedPageBreak/>
              <w:t xml:space="preserve">  </w:t>
            </w:r>
            <w:r w:rsidRPr="00303D2C">
              <w:rPr>
                <w:rFonts w:ascii="Times New Roman" w:hAnsi="Times New Roman" w:cs="Times New Roman"/>
                <w:noProof/>
                <w:sz w:val="24"/>
                <w:szCs w:val="24"/>
              </w:rPr>
              <w:drawing>
                <wp:inline distT="0" distB="0" distL="0" distR="0" wp14:anchorId="4F063719" wp14:editId="3C7CA036">
                  <wp:extent cx="2801815" cy="1431290"/>
                  <wp:effectExtent l="38100" t="38100" r="36830" b="35560"/>
                  <wp:docPr id="405905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7959" cy="1511055"/>
                          </a:xfrm>
                          <a:prstGeom prst="rect">
                            <a:avLst/>
                          </a:prstGeom>
                          <a:noFill/>
                          <a:ln w="25400">
                            <a:solidFill>
                              <a:schemeClr val="tx1"/>
                            </a:solidFill>
                          </a:ln>
                        </pic:spPr>
                      </pic:pic>
                    </a:graphicData>
                  </a:graphic>
                </wp:inline>
              </w:drawing>
            </w:r>
            <w:r w:rsidRPr="00303D2C">
              <w:rPr>
                <w:rFonts w:ascii="Times New Roman" w:hAnsi="Times New Roman" w:cs="Times New Roman"/>
                <w:noProof/>
                <w:sz w:val="24"/>
                <w:szCs w:val="24"/>
              </w:rPr>
              <w:t xml:space="preserve"> </w:t>
            </w:r>
            <w:r w:rsidRPr="00303D2C">
              <w:rPr>
                <w:rFonts w:ascii="Times New Roman" w:eastAsia="Times New Roman" w:hAnsi="Times New Roman" w:cs="Times New Roman"/>
                <w:noProof/>
                <w:sz w:val="24"/>
                <w:szCs w:val="24"/>
              </w:rPr>
              <w:drawing>
                <wp:inline distT="0" distB="0" distL="0" distR="0" wp14:anchorId="141B0133" wp14:editId="6B09C33D">
                  <wp:extent cx="2917825" cy="1434871"/>
                  <wp:effectExtent l="38100" t="38100" r="34925" b="32385"/>
                  <wp:docPr id="2104149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49811" name=""/>
                          <pic:cNvPicPr/>
                        </pic:nvPicPr>
                        <pic:blipFill>
                          <a:blip r:embed="rId11"/>
                          <a:stretch>
                            <a:fillRect/>
                          </a:stretch>
                        </pic:blipFill>
                        <pic:spPr>
                          <a:xfrm>
                            <a:off x="0" y="0"/>
                            <a:ext cx="2977782" cy="1464355"/>
                          </a:xfrm>
                          <a:prstGeom prst="rect">
                            <a:avLst/>
                          </a:prstGeom>
                          <a:ln w="25400">
                            <a:solidFill>
                              <a:schemeClr val="tx1"/>
                            </a:solidFill>
                          </a:ln>
                        </pic:spPr>
                      </pic:pic>
                    </a:graphicData>
                  </a:graphic>
                </wp:inline>
              </w:drawing>
            </w:r>
          </w:p>
          <w:p w14:paraId="241AC0C5" w14:textId="366DD2A0" w:rsidR="002524C0" w:rsidRPr="00303D2C" w:rsidRDefault="004C4713" w:rsidP="00261B7D">
            <w:pPr>
              <w:jc w:val="both"/>
              <w:rPr>
                <w:rFonts w:ascii="Times New Roman" w:hAnsi="Times New Roman" w:cs="Times New Roman"/>
                <w:b/>
                <w:sz w:val="24"/>
                <w:szCs w:val="24"/>
              </w:rPr>
            </w:pPr>
            <w:r w:rsidRPr="003D60C8">
              <w:rPr>
                <w:rFonts w:ascii="Arial" w:eastAsia="Times New Roman" w:hAnsi="Arial" w:cs="Arial"/>
                <w:sz w:val="20"/>
                <w:szCs w:val="20"/>
              </w:rPr>
              <w:t xml:space="preserve">(a) </w:t>
            </w:r>
            <w:r w:rsidRPr="00555FC9">
              <w:rPr>
                <w:rFonts w:ascii="Arial" w:eastAsia="Times New Roman" w:hAnsi="Arial" w:cs="Arial"/>
                <w:sz w:val="20"/>
                <w:szCs w:val="20"/>
                <w:lang w:val="en-GB"/>
              </w:rPr>
              <w:t>cartoon model</w:t>
            </w:r>
            <w:r w:rsidRPr="003D60C8">
              <w:rPr>
                <w:rFonts w:ascii="Arial" w:eastAsia="Times New Roman" w:hAnsi="Arial" w:cs="Arial"/>
                <w:sz w:val="20"/>
                <w:szCs w:val="20"/>
              </w:rPr>
              <w:t xml:space="preserve">                                               </w:t>
            </w:r>
            <w:r>
              <w:rPr>
                <w:rFonts w:ascii="Arial" w:eastAsia="Times New Roman" w:hAnsi="Arial" w:cs="Arial"/>
                <w:sz w:val="20"/>
                <w:szCs w:val="20"/>
              </w:rPr>
              <w:t xml:space="preserve">        </w:t>
            </w:r>
            <w:proofErr w:type="gramStart"/>
            <w:r>
              <w:rPr>
                <w:rFonts w:ascii="Arial" w:eastAsia="Times New Roman" w:hAnsi="Arial" w:cs="Arial"/>
                <w:sz w:val="20"/>
                <w:szCs w:val="20"/>
              </w:rPr>
              <w:t xml:space="preserve">   </w:t>
            </w:r>
            <w:r w:rsidRPr="003D60C8">
              <w:rPr>
                <w:rFonts w:ascii="Arial" w:eastAsia="Times New Roman" w:hAnsi="Arial" w:cs="Arial"/>
                <w:sz w:val="20"/>
                <w:szCs w:val="20"/>
              </w:rPr>
              <w:t>(</w:t>
            </w:r>
            <w:proofErr w:type="gramEnd"/>
            <w:r w:rsidRPr="003D60C8">
              <w:rPr>
                <w:rFonts w:ascii="Arial" w:eastAsia="Times New Roman" w:hAnsi="Arial" w:cs="Arial"/>
                <w:sz w:val="20"/>
                <w:szCs w:val="20"/>
              </w:rPr>
              <w:t>b)</w:t>
            </w:r>
            <w:r>
              <w:rPr>
                <w:rFonts w:ascii="Arial" w:eastAsia="Times New Roman" w:hAnsi="Arial" w:cs="Arial"/>
                <w:sz w:val="20"/>
                <w:szCs w:val="20"/>
              </w:rPr>
              <w:t xml:space="preserve"> </w:t>
            </w:r>
            <w:r w:rsidRPr="00555FC9">
              <w:rPr>
                <w:rFonts w:ascii="Arial" w:eastAsia="Times New Roman" w:hAnsi="Arial" w:cs="Arial"/>
                <w:sz w:val="20"/>
                <w:szCs w:val="20"/>
                <w:lang w:val="en-GB"/>
              </w:rPr>
              <w:t>surface model with the active site coloured in yellow</w:t>
            </w:r>
            <w:r w:rsidRPr="00303D2C">
              <w:rPr>
                <w:rFonts w:ascii="Times New Roman" w:hAnsi="Times New Roman" w:cs="Times New Roman"/>
                <w:b/>
                <w:sz w:val="24"/>
                <w:szCs w:val="24"/>
              </w:rPr>
              <w:t xml:space="preserve"> </w:t>
            </w:r>
          </w:p>
        </w:tc>
      </w:tr>
    </w:tbl>
    <w:p w14:paraId="237782AE" w14:textId="77777777" w:rsidR="009B53C4" w:rsidRDefault="009B53C4" w:rsidP="00D010CC">
      <w:pPr>
        <w:pStyle w:val="NormalWeb"/>
        <w:spacing w:before="0" w:beforeAutospacing="0" w:after="0" w:afterAutospacing="0" w:line="360" w:lineRule="auto"/>
        <w:jc w:val="both"/>
        <w:rPr>
          <w:rFonts w:ascii="Arial" w:hAnsi="Arial" w:cs="Arial"/>
          <w:b/>
          <w:bCs/>
          <w:sz w:val="20"/>
          <w:szCs w:val="20"/>
        </w:rPr>
      </w:pPr>
    </w:p>
    <w:p w14:paraId="4E0273FE" w14:textId="64DDB19E" w:rsidR="009B53C4" w:rsidRPr="00D010CC" w:rsidRDefault="002524C0" w:rsidP="00D010CC">
      <w:pPr>
        <w:pStyle w:val="NormalWeb"/>
        <w:spacing w:before="0" w:beforeAutospacing="0" w:after="0" w:afterAutospacing="0" w:line="360" w:lineRule="auto"/>
        <w:jc w:val="both"/>
        <w:rPr>
          <w:rFonts w:ascii="Arial" w:hAnsi="Arial" w:cs="Arial"/>
          <w:sz w:val="20"/>
          <w:szCs w:val="20"/>
        </w:rPr>
      </w:pPr>
      <w:r w:rsidRPr="00D010CC">
        <w:rPr>
          <w:rFonts w:ascii="Arial" w:hAnsi="Arial" w:cs="Arial"/>
          <w:b/>
          <w:bCs/>
          <w:sz w:val="20"/>
          <w:szCs w:val="20"/>
        </w:rPr>
        <w:t xml:space="preserve">Figure 1: </w:t>
      </w:r>
      <w:r w:rsidRPr="00D010CC">
        <w:rPr>
          <w:rFonts w:ascii="Arial" w:hAnsi="Arial" w:cs="Arial"/>
          <w:sz w:val="20"/>
          <w:szCs w:val="20"/>
        </w:rPr>
        <w:t>Visualization of fibroblast growth factor receptor 1 kinase domain (PDB ID: 7WCL</w:t>
      </w:r>
      <w:r w:rsidR="004C4713">
        <w:rPr>
          <w:rFonts w:ascii="Arial" w:hAnsi="Arial" w:cs="Arial"/>
          <w:sz w:val="20"/>
          <w:szCs w:val="20"/>
        </w:rPr>
        <w:t>).</w:t>
      </w:r>
    </w:p>
    <w:p w14:paraId="5497267D" w14:textId="77777777" w:rsidR="004C4713" w:rsidRDefault="004C4713" w:rsidP="00DC3049">
      <w:pPr>
        <w:pStyle w:val="NormalWeb"/>
        <w:spacing w:before="0" w:beforeAutospacing="0" w:after="0" w:afterAutospacing="0" w:line="360" w:lineRule="auto"/>
        <w:jc w:val="both"/>
        <w:rPr>
          <w:rFonts w:ascii="Arial" w:hAnsi="Arial" w:cs="Arial"/>
          <w:b/>
          <w:bCs/>
          <w:sz w:val="20"/>
          <w:szCs w:val="20"/>
        </w:rPr>
      </w:pPr>
    </w:p>
    <w:p w14:paraId="4C935723" w14:textId="77777777" w:rsidR="002524C0" w:rsidRPr="00DC3049" w:rsidRDefault="002524C0" w:rsidP="00DC3049">
      <w:pPr>
        <w:pStyle w:val="NormalWeb"/>
        <w:spacing w:before="0" w:beforeAutospacing="0" w:after="0" w:afterAutospacing="0" w:line="360" w:lineRule="auto"/>
        <w:jc w:val="both"/>
        <w:rPr>
          <w:rFonts w:ascii="Arial" w:hAnsi="Arial" w:cs="Arial"/>
          <w:b/>
          <w:bCs/>
          <w:sz w:val="20"/>
          <w:szCs w:val="20"/>
        </w:rPr>
      </w:pPr>
      <w:r w:rsidRPr="00DC3049">
        <w:rPr>
          <w:rFonts w:ascii="Arial" w:hAnsi="Arial" w:cs="Arial"/>
          <w:b/>
          <w:bCs/>
          <w:sz w:val="20"/>
          <w:szCs w:val="20"/>
        </w:rPr>
        <w:t xml:space="preserve">2.2 Ligand Selection and Preparation </w:t>
      </w:r>
    </w:p>
    <w:p w14:paraId="021CBFBD" w14:textId="77777777" w:rsidR="00DC3049" w:rsidRPr="00173485" w:rsidRDefault="002524C0" w:rsidP="00DC3049">
      <w:pPr>
        <w:spacing w:after="0" w:line="360" w:lineRule="auto"/>
        <w:jc w:val="both"/>
        <w:rPr>
          <w:rFonts w:ascii="Arial" w:hAnsi="Arial" w:cs="Arial"/>
          <w:sz w:val="20"/>
          <w:szCs w:val="20"/>
          <w:lang w:val="en-GB"/>
        </w:rPr>
      </w:pPr>
      <w:r w:rsidRPr="00DC3049">
        <w:rPr>
          <w:rFonts w:ascii="Arial" w:hAnsi="Arial" w:cs="Arial"/>
          <w:sz w:val="20"/>
          <w:szCs w:val="20"/>
          <w:lang w:val="en-GB"/>
        </w:rPr>
        <w:t>For this research, the NPACT database (</w:t>
      </w:r>
      <w:hyperlink r:id="rId12" w:tgtFrame="_new" w:history="1">
        <w:r w:rsidRPr="00DC3049">
          <w:rPr>
            <w:rStyle w:val="Hyperlink"/>
            <w:rFonts w:ascii="Arial" w:hAnsi="Arial" w:cs="Arial"/>
            <w:sz w:val="20"/>
            <w:szCs w:val="20"/>
            <w:lang w:val="en-GB"/>
          </w:rPr>
          <w:t>http://crdd.osdd.net/raghava/npact/</w:t>
        </w:r>
      </w:hyperlink>
      <w:r w:rsidRPr="00DC3049">
        <w:rPr>
          <w:rFonts w:ascii="Arial" w:hAnsi="Arial" w:cs="Arial"/>
          <w:sz w:val="20"/>
          <w:szCs w:val="20"/>
          <w:lang w:val="en-GB"/>
        </w:rPr>
        <w:t xml:space="preserve">), which comprises 1,574 phytochemicals, was utilized. </w:t>
      </w:r>
      <w:r w:rsidR="00DC3049" w:rsidRPr="00173485">
        <w:rPr>
          <w:rFonts w:ascii="Arial" w:hAnsi="Arial" w:cs="Arial"/>
          <w:sz w:val="20"/>
          <w:szCs w:val="20"/>
          <w:lang w:val="en-GB"/>
        </w:rPr>
        <w:t>This database provides in-depth information on phytochemicals, including their structure, experimental data, inhibitory values, properties, cancer types, cell lines, target proteins, and drug-likeness values [21]. From the dataset, 67 bile duct cancer-specific phytochemicals were identified and retrieved. These compounds were initially provided in the SMILES format and subsequently converted to PDB format using Open Babel GUI software for compatibility with molecular docking tools [24].</w:t>
      </w:r>
    </w:p>
    <w:p w14:paraId="23F4798C" w14:textId="77777777" w:rsidR="00DC3049" w:rsidRPr="00173485" w:rsidRDefault="00DC3049" w:rsidP="00DC3049">
      <w:pPr>
        <w:spacing w:after="0" w:line="360" w:lineRule="auto"/>
        <w:jc w:val="both"/>
        <w:rPr>
          <w:rFonts w:ascii="Arial" w:hAnsi="Arial" w:cs="Arial"/>
          <w:sz w:val="20"/>
          <w:szCs w:val="20"/>
          <w:lang w:val="en-GB"/>
        </w:rPr>
      </w:pPr>
      <w:r w:rsidRPr="00173485">
        <w:rPr>
          <w:rFonts w:ascii="Arial" w:hAnsi="Arial" w:cs="Arial"/>
          <w:b/>
          <w:bCs/>
          <w:sz w:val="20"/>
          <w:szCs w:val="20"/>
          <w:lang w:val="en-GB"/>
        </w:rPr>
        <w:t>2.3 Molecular Docking Validation</w:t>
      </w:r>
    </w:p>
    <w:p w14:paraId="74E7B910" w14:textId="250ACC48" w:rsidR="00DC3049" w:rsidRPr="00173485" w:rsidRDefault="00DC3049" w:rsidP="00DC3049">
      <w:pPr>
        <w:spacing w:after="0" w:line="360" w:lineRule="auto"/>
        <w:jc w:val="both"/>
        <w:rPr>
          <w:rFonts w:ascii="Arial" w:hAnsi="Arial" w:cs="Arial"/>
          <w:sz w:val="20"/>
          <w:szCs w:val="20"/>
          <w:lang w:val="en-GB"/>
        </w:rPr>
      </w:pPr>
      <w:r w:rsidRPr="00173485">
        <w:rPr>
          <w:rFonts w:ascii="Arial" w:hAnsi="Arial" w:cs="Arial"/>
          <w:sz w:val="20"/>
          <w:szCs w:val="20"/>
          <w:lang w:val="en-GB"/>
        </w:rPr>
        <w:t xml:space="preserve">To obtain accurate predictions of potential drug effectiveness, the reliability of virtual screening was enhanced through consensus scoring by utilizing </w:t>
      </w:r>
      <w:proofErr w:type="spellStart"/>
      <w:r w:rsidRPr="00173485">
        <w:rPr>
          <w:rFonts w:ascii="Arial" w:hAnsi="Arial" w:cs="Arial"/>
          <w:sz w:val="20"/>
          <w:szCs w:val="20"/>
          <w:lang w:val="en-GB"/>
        </w:rPr>
        <w:t>AutoDock</w:t>
      </w:r>
      <w:proofErr w:type="spellEnd"/>
      <w:r w:rsidRPr="00173485">
        <w:rPr>
          <w:rFonts w:ascii="Arial" w:hAnsi="Arial" w:cs="Arial"/>
          <w:sz w:val="20"/>
          <w:szCs w:val="20"/>
          <w:lang w:val="en-GB"/>
        </w:rPr>
        <w:t xml:space="preserve"> Vina, </w:t>
      </w:r>
      <w:proofErr w:type="spellStart"/>
      <w:r w:rsidRPr="00173485">
        <w:rPr>
          <w:rFonts w:ascii="Arial" w:hAnsi="Arial" w:cs="Arial"/>
          <w:sz w:val="20"/>
          <w:szCs w:val="20"/>
          <w:lang w:val="en-GB"/>
        </w:rPr>
        <w:t>iGEMDock</w:t>
      </w:r>
      <w:proofErr w:type="spellEnd"/>
      <w:r w:rsidRPr="00173485">
        <w:rPr>
          <w:rFonts w:ascii="Arial" w:hAnsi="Arial" w:cs="Arial"/>
          <w:sz w:val="20"/>
          <w:szCs w:val="20"/>
          <w:lang w:val="en-GB"/>
        </w:rPr>
        <w:t>, and Molecular Operating Environment (MOE), each employing different algorithms [25</w:t>
      </w:r>
      <w:r w:rsidR="006E1B77">
        <w:rPr>
          <w:rFonts w:ascii="Arial" w:hAnsi="Arial" w:cs="Arial"/>
          <w:sz w:val="20"/>
          <w:szCs w:val="20"/>
          <w:lang w:val="en-GB"/>
        </w:rPr>
        <w:t>,26,</w:t>
      </w:r>
      <w:r w:rsidRPr="00173485">
        <w:rPr>
          <w:rFonts w:ascii="Arial" w:hAnsi="Arial" w:cs="Arial"/>
          <w:sz w:val="20"/>
          <w:szCs w:val="20"/>
          <w:lang w:val="en-GB"/>
        </w:rPr>
        <w:t xml:space="preserve">27]. The tools calculated the binding energies and interaction of the co-crystallized ligand, </w:t>
      </w:r>
      <w:proofErr w:type="spellStart"/>
      <w:r w:rsidRPr="00173485">
        <w:rPr>
          <w:rFonts w:ascii="Arial" w:hAnsi="Arial" w:cs="Arial"/>
          <w:sz w:val="20"/>
          <w:szCs w:val="20"/>
          <w:lang w:val="en-GB"/>
        </w:rPr>
        <w:t>pemigatinib</w:t>
      </w:r>
      <w:proofErr w:type="spellEnd"/>
      <w:r w:rsidRPr="00173485">
        <w:rPr>
          <w:rFonts w:ascii="Arial" w:hAnsi="Arial" w:cs="Arial"/>
          <w:sz w:val="20"/>
          <w:szCs w:val="20"/>
          <w:lang w:val="en-GB"/>
        </w:rPr>
        <w:t xml:space="preserve">, in the kinase-domain active site of fibroblast growth factor receptor 1. </w:t>
      </w:r>
      <w:proofErr w:type="spellStart"/>
      <w:r w:rsidRPr="00173485">
        <w:rPr>
          <w:rFonts w:ascii="Arial" w:hAnsi="Arial" w:cs="Arial"/>
          <w:sz w:val="20"/>
          <w:szCs w:val="20"/>
          <w:lang w:val="en-GB"/>
        </w:rPr>
        <w:t>iGEMDock</w:t>
      </w:r>
      <w:proofErr w:type="spellEnd"/>
      <w:r w:rsidRPr="00173485">
        <w:rPr>
          <w:rFonts w:ascii="Arial" w:hAnsi="Arial" w:cs="Arial"/>
          <w:sz w:val="20"/>
          <w:szCs w:val="20"/>
          <w:lang w:val="en-GB"/>
        </w:rPr>
        <w:t xml:space="preserve"> and MOE generated similar binding scores and structural conformations, making them appropriate for the primary docking phase. This consensus scoring reduced false positives and negatives, ensuring reliable predictions of potential drug effectiveness [19,23].</w:t>
      </w:r>
    </w:p>
    <w:p w14:paraId="78B39D69" w14:textId="77777777" w:rsidR="00DC3049" w:rsidRPr="00173485" w:rsidRDefault="00DC3049" w:rsidP="00DC3049">
      <w:pPr>
        <w:spacing w:after="0" w:line="360" w:lineRule="auto"/>
        <w:jc w:val="both"/>
        <w:rPr>
          <w:rFonts w:ascii="Arial" w:hAnsi="Arial" w:cs="Arial"/>
          <w:sz w:val="20"/>
          <w:szCs w:val="20"/>
          <w:lang w:val="en-GB"/>
        </w:rPr>
      </w:pPr>
      <w:r w:rsidRPr="00173485">
        <w:rPr>
          <w:rFonts w:ascii="Arial" w:hAnsi="Arial" w:cs="Arial"/>
          <w:b/>
          <w:bCs/>
          <w:sz w:val="20"/>
          <w:szCs w:val="20"/>
          <w:lang w:val="en-GB"/>
        </w:rPr>
        <w:t>2.4 Molecular Docking</w:t>
      </w:r>
    </w:p>
    <w:p w14:paraId="39175376" w14:textId="588778E2" w:rsidR="00DC3049" w:rsidRPr="00DC3049" w:rsidRDefault="00DC3049" w:rsidP="004E48B1">
      <w:pPr>
        <w:spacing w:after="0" w:line="360" w:lineRule="auto"/>
        <w:jc w:val="both"/>
        <w:rPr>
          <w:rFonts w:ascii="Arial" w:hAnsi="Arial" w:cs="Arial"/>
          <w:sz w:val="20"/>
          <w:szCs w:val="20"/>
          <w:lang w:val="en-GB"/>
        </w:rPr>
      </w:pPr>
      <w:r w:rsidRPr="00173485">
        <w:rPr>
          <w:rFonts w:ascii="Arial" w:hAnsi="Arial" w:cs="Arial"/>
          <w:sz w:val="20"/>
          <w:szCs w:val="20"/>
          <w:lang w:val="en-GB"/>
        </w:rPr>
        <w:t xml:space="preserve">For this research, </w:t>
      </w:r>
      <w:r w:rsidRPr="00173485">
        <w:rPr>
          <w:rFonts w:ascii="Arial" w:hAnsi="Arial" w:cs="Arial"/>
          <w:i/>
          <w:iCs/>
          <w:sz w:val="20"/>
          <w:szCs w:val="20"/>
          <w:lang w:val="en-GB"/>
        </w:rPr>
        <w:t>in silico</w:t>
      </w:r>
      <w:r w:rsidRPr="00173485">
        <w:rPr>
          <w:rFonts w:ascii="Arial" w:hAnsi="Arial" w:cs="Arial"/>
          <w:sz w:val="20"/>
          <w:szCs w:val="20"/>
          <w:lang w:val="en-GB"/>
        </w:rPr>
        <w:t xml:space="preserve"> molecular docking was utilized with </w:t>
      </w:r>
      <w:proofErr w:type="spellStart"/>
      <w:r w:rsidRPr="00173485">
        <w:rPr>
          <w:rFonts w:ascii="Arial" w:hAnsi="Arial" w:cs="Arial"/>
          <w:sz w:val="20"/>
          <w:szCs w:val="20"/>
          <w:lang w:val="en-GB"/>
        </w:rPr>
        <w:t>iGEMDock</w:t>
      </w:r>
      <w:proofErr w:type="spellEnd"/>
      <w:r w:rsidRPr="00173485">
        <w:rPr>
          <w:rFonts w:ascii="Arial" w:hAnsi="Arial" w:cs="Arial"/>
          <w:sz w:val="20"/>
          <w:szCs w:val="20"/>
          <w:lang w:val="en-GB"/>
        </w:rPr>
        <w:t xml:space="preserve"> and MOE to </w:t>
      </w:r>
      <w:proofErr w:type="spellStart"/>
      <w:r w:rsidRPr="00173485">
        <w:rPr>
          <w:rFonts w:ascii="Arial" w:hAnsi="Arial" w:cs="Arial"/>
          <w:sz w:val="20"/>
          <w:szCs w:val="20"/>
          <w:lang w:val="en-GB"/>
        </w:rPr>
        <w:t>analyze</w:t>
      </w:r>
      <w:proofErr w:type="spellEnd"/>
      <w:r w:rsidRPr="00173485">
        <w:rPr>
          <w:rFonts w:ascii="Arial" w:hAnsi="Arial" w:cs="Arial"/>
          <w:sz w:val="20"/>
          <w:szCs w:val="20"/>
          <w:lang w:val="en-GB"/>
        </w:rPr>
        <w:t xml:space="preserve"> the binding interactions of </w:t>
      </w:r>
      <w:proofErr w:type="spellStart"/>
      <w:r w:rsidRPr="00173485">
        <w:rPr>
          <w:rFonts w:ascii="Arial" w:hAnsi="Arial" w:cs="Arial"/>
          <w:sz w:val="20"/>
          <w:szCs w:val="20"/>
          <w:lang w:val="en-GB"/>
        </w:rPr>
        <w:t>pemigatinib</w:t>
      </w:r>
      <w:proofErr w:type="spellEnd"/>
      <w:r w:rsidRPr="00173485">
        <w:rPr>
          <w:rFonts w:ascii="Arial" w:hAnsi="Arial" w:cs="Arial"/>
          <w:sz w:val="20"/>
          <w:szCs w:val="20"/>
          <w:lang w:val="en-GB"/>
        </w:rPr>
        <w:t xml:space="preserve"> and 67 plant-based anticancer compounds with FGFR1.</w:t>
      </w:r>
    </w:p>
    <w:p w14:paraId="14B50F65" w14:textId="4EE9B2ED" w:rsidR="002524C0" w:rsidRPr="004E48B1" w:rsidRDefault="002524C0" w:rsidP="004E48B1">
      <w:pPr>
        <w:spacing w:after="0" w:line="360" w:lineRule="auto"/>
        <w:jc w:val="both"/>
        <w:rPr>
          <w:rFonts w:ascii="Arial" w:eastAsia="Times New Roman" w:hAnsi="Arial" w:cs="Arial"/>
          <w:b/>
          <w:bCs/>
          <w:kern w:val="0"/>
          <w:sz w:val="20"/>
          <w:szCs w:val="20"/>
          <w:lang w:val="en-GB"/>
          <w14:ligatures w14:val="none"/>
        </w:rPr>
      </w:pPr>
      <w:r w:rsidRPr="004E48B1">
        <w:rPr>
          <w:rFonts w:ascii="Arial" w:eastAsia="Times New Roman" w:hAnsi="Arial" w:cs="Arial"/>
          <w:b/>
          <w:bCs/>
          <w:kern w:val="0"/>
          <w:sz w:val="20"/>
          <w:szCs w:val="20"/>
          <w:lang w:val="en-GB"/>
          <w14:ligatures w14:val="none"/>
        </w:rPr>
        <w:t xml:space="preserve">2.4.1 </w:t>
      </w:r>
      <w:proofErr w:type="spellStart"/>
      <w:r w:rsidRPr="004E48B1">
        <w:rPr>
          <w:rFonts w:ascii="Arial" w:eastAsia="Times New Roman" w:hAnsi="Arial" w:cs="Arial"/>
          <w:b/>
          <w:bCs/>
          <w:kern w:val="0"/>
          <w:sz w:val="20"/>
          <w:szCs w:val="20"/>
          <w:lang w:val="en-GB"/>
          <w14:ligatures w14:val="none"/>
        </w:rPr>
        <w:t>iGEMDock</w:t>
      </w:r>
      <w:proofErr w:type="spellEnd"/>
    </w:p>
    <w:p w14:paraId="4C9E7E1F" w14:textId="77777777" w:rsidR="004E48B1" w:rsidRPr="002E2B18" w:rsidRDefault="004E48B1" w:rsidP="004E48B1">
      <w:pPr>
        <w:spacing w:after="0" w:line="360" w:lineRule="auto"/>
        <w:jc w:val="both"/>
        <w:rPr>
          <w:rFonts w:ascii="Arial" w:hAnsi="Arial" w:cs="Arial"/>
          <w:sz w:val="20"/>
          <w:szCs w:val="20"/>
          <w:lang w:val="en-GB"/>
        </w:rPr>
      </w:pPr>
      <w:bookmarkStart w:id="0" w:name="_Hlk198285232"/>
      <w:r w:rsidRPr="002E2B18">
        <w:rPr>
          <w:rFonts w:ascii="Arial" w:hAnsi="Arial" w:cs="Arial"/>
          <w:sz w:val="20"/>
          <w:szCs w:val="20"/>
          <w:lang w:val="en-GB"/>
        </w:rPr>
        <w:t xml:space="preserve">Molecular docking was conducted using </w:t>
      </w:r>
      <w:proofErr w:type="spellStart"/>
      <w:r w:rsidRPr="002E2B18">
        <w:rPr>
          <w:rFonts w:ascii="Arial" w:hAnsi="Arial" w:cs="Arial"/>
          <w:sz w:val="20"/>
          <w:szCs w:val="20"/>
          <w:lang w:val="en-GB"/>
        </w:rPr>
        <w:t>iGEMDock</w:t>
      </w:r>
      <w:proofErr w:type="spellEnd"/>
      <w:r w:rsidRPr="002E2B18">
        <w:rPr>
          <w:rFonts w:ascii="Arial" w:hAnsi="Arial" w:cs="Arial"/>
          <w:sz w:val="20"/>
          <w:szCs w:val="20"/>
          <w:lang w:val="en-GB"/>
        </w:rPr>
        <w:t xml:space="preserve"> version 2.1, utilizing its "prepare binding site" feature for setting docking parameters. An 8.0 Å-sized grid was set up around the active site. The docking precision parameters were set with a population number of 800, 10 solutions for each run, and 80 generations for each ligand that was docked. This configuration allowed comprehensive exploration of both binding orientations and affinity, allowing for reliable validation of the docking outcomes [19,28].</w:t>
      </w:r>
    </w:p>
    <w:p w14:paraId="7759549C" w14:textId="77777777" w:rsidR="004E48B1" w:rsidRPr="002E2B18" w:rsidRDefault="004E48B1" w:rsidP="004E48B1">
      <w:pPr>
        <w:spacing w:after="0" w:line="360" w:lineRule="auto"/>
        <w:jc w:val="both"/>
        <w:rPr>
          <w:rFonts w:ascii="Arial" w:hAnsi="Arial" w:cs="Arial"/>
          <w:sz w:val="20"/>
          <w:szCs w:val="20"/>
          <w:lang w:val="en-GB"/>
        </w:rPr>
      </w:pPr>
      <w:r w:rsidRPr="002E2B18">
        <w:rPr>
          <w:rFonts w:ascii="Arial" w:hAnsi="Arial" w:cs="Arial"/>
          <w:b/>
          <w:bCs/>
          <w:sz w:val="20"/>
          <w:szCs w:val="20"/>
          <w:lang w:val="en-GB"/>
        </w:rPr>
        <w:t>2.4.2 Molecular Operating Environment (MOE)</w:t>
      </w:r>
    </w:p>
    <w:p w14:paraId="390FCD59" w14:textId="77777777" w:rsidR="004E48B1" w:rsidRPr="002E2B18" w:rsidRDefault="004E48B1" w:rsidP="004E48B1">
      <w:pPr>
        <w:spacing w:after="0" w:line="360" w:lineRule="auto"/>
        <w:jc w:val="both"/>
        <w:rPr>
          <w:rFonts w:ascii="Arial" w:hAnsi="Arial" w:cs="Arial"/>
          <w:sz w:val="20"/>
          <w:szCs w:val="20"/>
          <w:lang w:val="en-GB"/>
        </w:rPr>
      </w:pPr>
      <w:r w:rsidRPr="002E2B18">
        <w:rPr>
          <w:rFonts w:ascii="Arial" w:hAnsi="Arial" w:cs="Arial"/>
          <w:sz w:val="20"/>
          <w:szCs w:val="20"/>
          <w:lang w:val="en-GB"/>
        </w:rPr>
        <w:lastRenderedPageBreak/>
        <w:t xml:space="preserve">The MOE platform was also employed to predict ligand binding affinity with FGFR1. The protein was </w:t>
      </w:r>
      <w:proofErr w:type="spellStart"/>
      <w:r w:rsidRPr="002E2B18">
        <w:rPr>
          <w:rFonts w:ascii="Arial" w:hAnsi="Arial" w:cs="Arial"/>
          <w:sz w:val="20"/>
          <w:szCs w:val="20"/>
          <w:lang w:val="en-GB"/>
        </w:rPr>
        <w:t>preprocessed</w:t>
      </w:r>
      <w:proofErr w:type="spellEnd"/>
      <w:r w:rsidRPr="002E2B18">
        <w:rPr>
          <w:rFonts w:ascii="Arial" w:hAnsi="Arial" w:cs="Arial"/>
          <w:sz w:val="20"/>
          <w:szCs w:val="20"/>
          <w:lang w:val="en-GB"/>
        </w:rPr>
        <w:t xml:space="preserve"> by the Structure Preparation module with the AMBER 99 force field for docking simulations [29]. Additionally, bioactive compounds were optimized by AMBER 10, including the addition of hydrogen, partial charges, and minimization of the energy for peptides. The target protein structure was protonated by the Protonate 3D module, which was designated as the receptor. The Site Finder module was used to recognize the active binding sites in the protonated receptor protein. Ligand docking was done by superimposing ligand atoms with receptor site points in triplets, generating five conformations for each compound. These conformers were ranked using the London </w:t>
      </w:r>
      <w:proofErr w:type="spellStart"/>
      <w:r w:rsidRPr="002E2B18">
        <w:rPr>
          <w:rFonts w:ascii="Arial" w:hAnsi="Arial" w:cs="Arial"/>
          <w:sz w:val="20"/>
          <w:szCs w:val="20"/>
          <w:lang w:val="en-GB"/>
        </w:rPr>
        <w:t>dG</w:t>
      </w:r>
      <w:proofErr w:type="spellEnd"/>
      <w:r w:rsidRPr="002E2B18">
        <w:rPr>
          <w:rFonts w:ascii="Arial" w:hAnsi="Arial" w:cs="Arial"/>
          <w:sz w:val="20"/>
          <w:szCs w:val="20"/>
          <w:lang w:val="en-GB"/>
        </w:rPr>
        <w:t xml:space="preserve"> scoring function in order to compute the binding free energy of each pose. The pose with the lowest binding score was selected as the final conformation, and binding interactions were carefully examined for precision and relevance [19,27,29].</w:t>
      </w:r>
    </w:p>
    <w:p w14:paraId="2E459FBB" w14:textId="77777777" w:rsidR="004E48B1" w:rsidRPr="002E2B18" w:rsidRDefault="004E48B1" w:rsidP="004E48B1">
      <w:pPr>
        <w:spacing w:after="0" w:line="360" w:lineRule="auto"/>
        <w:jc w:val="both"/>
        <w:rPr>
          <w:rFonts w:ascii="Arial" w:hAnsi="Arial" w:cs="Arial"/>
          <w:sz w:val="20"/>
          <w:szCs w:val="20"/>
          <w:lang w:val="en-GB"/>
        </w:rPr>
      </w:pPr>
      <w:r w:rsidRPr="002E2B18">
        <w:rPr>
          <w:rFonts w:ascii="Arial" w:hAnsi="Arial" w:cs="Arial"/>
          <w:b/>
          <w:bCs/>
          <w:sz w:val="20"/>
          <w:szCs w:val="20"/>
          <w:lang w:val="en-GB"/>
        </w:rPr>
        <w:t>2.5 Pharmacokinetic and Toxicological Prediction</w:t>
      </w:r>
    </w:p>
    <w:p w14:paraId="400D9EF4" w14:textId="77777777" w:rsidR="004E48B1" w:rsidRPr="002E2B18" w:rsidRDefault="004E48B1" w:rsidP="004E48B1">
      <w:pPr>
        <w:spacing w:after="0" w:line="360" w:lineRule="auto"/>
        <w:jc w:val="both"/>
        <w:rPr>
          <w:rFonts w:ascii="Arial" w:hAnsi="Arial" w:cs="Arial"/>
          <w:sz w:val="20"/>
          <w:szCs w:val="20"/>
          <w:lang w:val="en-GB"/>
        </w:rPr>
      </w:pPr>
      <w:r w:rsidRPr="002E2B18">
        <w:rPr>
          <w:rFonts w:ascii="Arial" w:hAnsi="Arial" w:cs="Arial"/>
          <w:b/>
          <w:bCs/>
          <w:sz w:val="20"/>
          <w:szCs w:val="20"/>
          <w:lang w:val="en-GB"/>
        </w:rPr>
        <w:t>2.5.1 Drug-likeness Prediction</w:t>
      </w:r>
    </w:p>
    <w:p w14:paraId="785B9626" w14:textId="590825EF" w:rsidR="009B53C4" w:rsidRPr="004E48B1" w:rsidRDefault="004E48B1" w:rsidP="004E48B1">
      <w:pPr>
        <w:spacing w:after="0" w:line="360" w:lineRule="auto"/>
        <w:jc w:val="both"/>
        <w:rPr>
          <w:rFonts w:ascii="Arial" w:hAnsi="Arial" w:cs="Arial"/>
          <w:sz w:val="20"/>
          <w:szCs w:val="20"/>
          <w:lang w:val="en-GB"/>
        </w:rPr>
      </w:pPr>
      <w:r w:rsidRPr="002E2B18">
        <w:rPr>
          <w:rFonts w:ascii="Arial" w:hAnsi="Arial" w:cs="Arial"/>
          <w:sz w:val="20"/>
          <w:szCs w:val="20"/>
          <w:lang w:val="en-GB"/>
        </w:rPr>
        <w:t xml:space="preserve">Lipinski's Rule of Five (Ro5) was used to evaluate the drug-likeness properties of the compounds [30,31]. This evaluation was done using </w:t>
      </w:r>
      <w:proofErr w:type="spellStart"/>
      <w:r w:rsidRPr="002E2B18">
        <w:rPr>
          <w:rFonts w:ascii="Arial" w:hAnsi="Arial" w:cs="Arial"/>
          <w:sz w:val="20"/>
          <w:szCs w:val="20"/>
          <w:lang w:val="en-GB"/>
        </w:rPr>
        <w:t>pkCSM</w:t>
      </w:r>
      <w:proofErr w:type="spellEnd"/>
      <w:r w:rsidRPr="002E2B18">
        <w:rPr>
          <w:rFonts w:ascii="Arial" w:hAnsi="Arial" w:cs="Arial"/>
          <w:sz w:val="20"/>
          <w:szCs w:val="20"/>
          <w:lang w:val="en-GB"/>
        </w:rPr>
        <w:t xml:space="preserve"> and </w:t>
      </w:r>
      <w:proofErr w:type="spellStart"/>
      <w:r w:rsidRPr="002E2B18">
        <w:rPr>
          <w:rFonts w:ascii="Arial" w:hAnsi="Arial" w:cs="Arial"/>
          <w:sz w:val="20"/>
          <w:szCs w:val="20"/>
          <w:lang w:val="en-GB"/>
        </w:rPr>
        <w:t>ADMETLab</w:t>
      </w:r>
      <w:proofErr w:type="spellEnd"/>
      <w:r w:rsidRPr="002E2B18">
        <w:rPr>
          <w:rFonts w:ascii="Arial" w:hAnsi="Arial" w:cs="Arial"/>
          <w:sz w:val="20"/>
          <w:szCs w:val="20"/>
          <w:lang w:val="en-GB"/>
        </w:rPr>
        <w:t xml:space="preserve"> 3.0 [32, 33]. The Ro5 considers essential molecular properties critical for oral bioavailability, including molecular weight, octanol-water partition coefficient (</w:t>
      </w:r>
      <w:proofErr w:type="spellStart"/>
      <w:r w:rsidRPr="002E2B18">
        <w:rPr>
          <w:rFonts w:ascii="Arial" w:hAnsi="Arial" w:cs="Arial"/>
          <w:sz w:val="20"/>
          <w:szCs w:val="20"/>
          <w:lang w:val="en-GB"/>
        </w:rPr>
        <w:t>logP</w:t>
      </w:r>
      <w:proofErr w:type="spellEnd"/>
      <w:r w:rsidRPr="002E2B18">
        <w:rPr>
          <w:rFonts w:ascii="Arial" w:hAnsi="Arial" w:cs="Arial"/>
          <w:sz w:val="20"/>
          <w:szCs w:val="20"/>
          <w:lang w:val="en-GB"/>
        </w:rPr>
        <w:t>), and hydrogen bond acceptors and donors [31].</w:t>
      </w:r>
      <w:bookmarkEnd w:id="0"/>
      <w:r w:rsidRPr="004E48B1">
        <w:rPr>
          <w:rFonts w:ascii="Arial" w:hAnsi="Arial" w:cs="Arial"/>
          <w:sz w:val="20"/>
          <w:szCs w:val="20"/>
          <w:lang w:val="en-GB"/>
        </w:rPr>
        <w:t xml:space="preserve"> </w:t>
      </w:r>
      <w:r w:rsidR="00275507" w:rsidRPr="004E48B1">
        <w:rPr>
          <w:rFonts w:ascii="Arial" w:hAnsi="Arial" w:cs="Arial"/>
          <w:bCs/>
          <w:iCs/>
          <w:sz w:val="20"/>
          <w:szCs w:val="20"/>
        </w:rPr>
        <w:t>This criterion, a refinement of drug-likeness, aids in predicting whether a compound possesses the pharmacological or biological activity suitable for oral administration in humans.</w:t>
      </w:r>
    </w:p>
    <w:p w14:paraId="6B589C59" w14:textId="42B6C2CA" w:rsidR="00275507" w:rsidRPr="00D010CC" w:rsidRDefault="00275507" w:rsidP="00D010CC">
      <w:pPr>
        <w:pStyle w:val="NormalWeb"/>
        <w:spacing w:before="0" w:beforeAutospacing="0" w:after="0" w:afterAutospacing="0" w:line="360" w:lineRule="auto"/>
        <w:jc w:val="both"/>
        <w:rPr>
          <w:rFonts w:ascii="Arial" w:hAnsi="Arial" w:cs="Arial"/>
          <w:bCs/>
          <w:iCs/>
          <w:sz w:val="20"/>
          <w:szCs w:val="20"/>
        </w:rPr>
      </w:pPr>
      <w:r w:rsidRPr="00D010CC">
        <w:rPr>
          <w:rFonts w:ascii="Arial" w:hAnsi="Arial" w:cs="Arial"/>
          <w:b/>
          <w:bCs/>
          <w:iCs/>
          <w:sz w:val="20"/>
          <w:szCs w:val="20"/>
        </w:rPr>
        <w:t xml:space="preserve">2.5.2 </w:t>
      </w:r>
      <w:r w:rsidR="00045DEB" w:rsidRPr="00D010CC">
        <w:rPr>
          <w:rFonts w:ascii="Arial" w:hAnsi="Arial" w:cs="Arial"/>
          <w:b/>
          <w:iCs/>
          <w:sz w:val="20"/>
          <w:szCs w:val="20"/>
        </w:rPr>
        <w:t>Absorption, Distribution, Metabolism, Excretion, and Toxicity</w:t>
      </w:r>
      <w:r w:rsidR="00045DEB" w:rsidRPr="00D010CC">
        <w:rPr>
          <w:rFonts w:ascii="Arial" w:hAnsi="Arial" w:cs="Arial"/>
          <w:bCs/>
          <w:iCs/>
          <w:sz w:val="20"/>
          <w:szCs w:val="20"/>
        </w:rPr>
        <w:t xml:space="preserve"> </w:t>
      </w:r>
      <w:r w:rsidR="00045DEB" w:rsidRPr="00D010CC">
        <w:rPr>
          <w:rFonts w:ascii="Arial" w:hAnsi="Arial" w:cs="Arial"/>
          <w:b/>
          <w:iCs/>
          <w:sz w:val="20"/>
          <w:szCs w:val="20"/>
        </w:rPr>
        <w:t>(</w:t>
      </w:r>
      <w:r w:rsidRPr="00D010CC">
        <w:rPr>
          <w:rFonts w:ascii="Arial" w:hAnsi="Arial" w:cs="Arial"/>
          <w:b/>
          <w:bCs/>
          <w:iCs/>
          <w:sz w:val="20"/>
          <w:szCs w:val="20"/>
        </w:rPr>
        <w:t>ADMET</w:t>
      </w:r>
      <w:r w:rsidR="00045DEB" w:rsidRPr="00D010CC">
        <w:rPr>
          <w:rFonts w:ascii="Arial" w:hAnsi="Arial" w:cs="Arial"/>
          <w:b/>
          <w:bCs/>
          <w:iCs/>
          <w:sz w:val="20"/>
          <w:szCs w:val="20"/>
        </w:rPr>
        <w:t>)</w:t>
      </w:r>
      <w:r w:rsidRPr="00D010CC">
        <w:rPr>
          <w:rFonts w:ascii="Arial" w:hAnsi="Arial" w:cs="Arial"/>
          <w:b/>
          <w:bCs/>
          <w:iCs/>
          <w:sz w:val="20"/>
          <w:szCs w:val="20"/>
        </w:rPr>
        <w:t xml:space="preserve"> Prediction</w:t>
      </w:r>
    </w:p>
    <w:p w14:paraId="4172F5A6" w14:textId="55B6FDBB" w:rsidR="00275507" w:rsidRPr="00D010CC" w:rsidRDefault="00275507" w:rsidP="00D010CC">
      <w:pPr>
        <w:pStyle w:val="NormalWeb"/>
        <w:spacing w:before="0" w:beforeAutospacing="0" w:after="0" w:afterAutospacing="0" w:line="360" w:lineRule="auto"/>
        <w:jc w:val="both"/>
        <w:rPr>
          <w:rFonts w:ascii="Arial" w:hAnsi="Arial" w:cs="Arial"/>
          <w:bCs/>
          <w:iCs/>
          <w:sz w:val="20"/>
          <w:szCs w:val="20"/>
        </w:rPr>
      </w:pPr>
      <w:r w:rsidRPr="00D010CC">
        <w:rPr>
          <w:rFonts w:ascii="Arial" w:hAnsi="Arial" w:cs="Arial"/>
          <w:bCs/>
          <w:iCs/>
          <w:sz w:val="20"/>
          <w:szCs w:val="20"/>
        </w:rPr>
        <w:t xml:space="preserve">The evaluation of small molecules in medicinal chemistry and pharmacokinetics necessitates critical ADMET studies [32]. </w:t>
      </w:r>
      <w:proofErr w:type="spellStart"/>
      <w:r w:rsidRPr="00D010CC">
        <w:rPr>
          <w:rFonts w:ascii="Arial" w:hAnsi="Arial" w:cs="Arial"/>
          <w:bCs/>
          <w:iCs/>
          <w:sz w:val="20"/>
          <w:szCs w:val="20"/>
        </w:rPr>
        <w:t>pkCSM</w:t>
      </w:r>
      <w:proofErr w:type="spellEnd"/>
      <w:r w:rsidRPr="00D010CC">
        <w:rPr>
          <w:rFonts w:ascii="Arial" w:hAnsi="Arial" w:cs="Arial"/>
          <w:bCs/>
          <w:iCs/>
          <w:sz w:val="20"/>
          <w:szCs w:val="20"/>
        </w:rPr>
        <w:t xml:space="preserve"> and </w:t>
      </w:r>
      <w:proofErr w:type="spellStart"/>
      <w:r w:rsidRPr="00D010CC">
        <w:rPr>
          <w:rFonts w:ascii="Arial" w:hAnsi="Arial" w:cs="Arial"/>
          <w:bCs/>
          <w:iCs/>
          <w:sz w:val="20"/>
          <w:szCs w:val="20"/>
        </w:rPr>
        <w:t>ADMETLab</w:t>
      </w:r>
      <w:proofErr w:type="spellEnd"/>
      <w:r w:rsidRPr="00D010CC">
        <w:rPr>
          <w:rFonts w:ascii="Arial" w:hAnsi="Arial" w:cs="Arial"/>
          <w:bCs/>
          <w:iCs/>
          <w:sz w:val="20"/>
          <w:szCs w:val="20"/>
        </w:rPr>
        <w:t xml:space="preserve"> 3.0 were used to investigate the ADMET properties of possible therapeutic candidates. Key parameters such as Caco-2 permeability, human intestinal absorption, P-glycoprotein inhibition, cytochrome P450 enzyme inhibition, half-life, total clearance, acute oral toxicity, </w:t>
      </w:r>
      <w:proofErr w:type="gramStart"/>
      <w:r w:rsidRPr="00D010CC">
        <w:rPr>
          <w:rFonts w:ascii="Arial" w:hAnsi="Arial" w:cs="Arial"/>
          <w:bCs/>
          <w:iCs/>
          <w:sz w:val="20"/>
          <w:szCs w:val="20"/>
        </w:rPr>
        <w:t>Ames</w:t>
      </w:r>
      <w:proofErr w:type="gramEnd"/>
      <w:r w:rsidRPr="00D010CC">
        <w:rPr>
          <w:rFonts w:ascii="Arial" w:hAnsi="Arial" w:cs="Arial"/>
          <w:bCs/>
          <w:iCs/>
          <w:sz w:val="20"/>
          <w:szCs w:val="20"/>
        </w:rPr>
        <w:t xml:space="preserve"> toxicity, carcinogenicity, hepatotoxicity, </w:t>
      </w:r>
      <w:proofErr w:type="spellStart"/>
      <w:r w:rsidRPr="00D010CC">
        <w:rPr>
          <w:rFonts w:ascii="Arial" w:hAnsi="Arial" w:cs="Arial"/>
          <w:bCs/>
          <w:iCs/>
          <w:sz w:val="20"/>
          <w:szCs w:val="20"/>
        </w:rPr>
        <w:t>hematotoxicity</w:t>
      </w:r>
      <w:proofErr w:type="spellEnd"/>
      <w:r w:rsidRPr="00D010CC">
        <w:rPr>
          <w:rFonts w:ascii="Arial" w:hAnsi="Arial" w:cs="Arial"/>
          <w:bCs/>
          <w:iCs/>
          <w:sz w:val="20"/>
          <w:szCs w:val="20"/>
        </w:rPr>
        <w:t>, nephrotoxicity, and human ether-a-go-go related gene (</w:t>
      </w:r>
      <w:proofErr w:type="spellStart"/>
      <w:r w:rsidRPr="00D010CC">
        <w:rPr>
          <w:rFonts w:ascii="Arial" w:hAnsi="Arial" w:cs="Arial"/>
          <w:bCs/>
          <w:iCs/>
          <w:sz w:val="20"/>
          <w:szCs w:val="20"/>
        </w:rPr>
        <w:t>hERG</w:t>
      </w:r>
      <w:proofErr w:type="spellEnd"/>
      <w:r w:rsidRPr="00D010CC">
        <w:rPr>
          <w:rFonts w:ascii="Arial" w:hAnsi="Arial" w:cs="Arial"/>
          <w:bCs/>
          <w:iCs/>
          <w:sz w:val="20"/>
          <w:szCs w:val="20"/>
        </w:rPr>
        <w:t xml:space="preserve">) inhibition were assessed [33-35]. This was done by entering the Simplified Molecular Input Line Entry System (SMILES) of the ligands from PubChem into the web servers </w:t>
      </w:r>
      <w:proofErr w:type="spellStart"/>
      <w:r w:rsidRPr="00D010CC">
        <w:rPr>
          <w:rFonts w:ascii="Arial" w:hAnsi="Arial" w:cs="Arial"/>
          <w:bCs/>
          <w:iCs/>
          <w:sz w:val="20"/>
          <w:szCs w:val="20"/>
        </w:rPr>
        <w:t>pkCSM</w:t>
      </w:r>
      <w:proofErr w:type="spellEnd"/>
      <w:r w:rsidRPr="00D010CC">
        <w:rPr>
          <w:rFonts w:ascii="Arial" w:hAnsi="Arial" w:cs="Arial"/>
          <w:bCs/>
          <w:iCs/>
          <w:sz w:val="20"/>
          <w:szCs w:val="20"/>
        </w:rPr>
        <w:t xml:space="preserve"> and </w:t>
      </w:r>
      <w:proofErr w:type="spellStart"/>
      <w:r w:rsidRPr="00D010CC">
        <w:rPr>
          <w:rFonts w:ascii="Arial" w:hAnsi="Arial" w:cs="Arial"/>
          <w:bCs/>
          <w:iCs/>
          <w:sz w:val="20"/>
          <w:szCs w:val="20"/>
        </w:rPr>
        <w:t>ADMETLab</w:t>
      </w:r>
      <w:proofErr w:type="spellEnd"/>
      <w:r w:rsidRPr="00D010CC">
        <w:rPr>
          <w:rFonts w:ascii="Arial" w:hAnsi="Arial" w:cs="Arial"/>
          <w:bCs/>
          <w:iCs/>
          <w:sz w:val="20"/>
          <w:szCs w:val="20"/>
        </w:rPr>
        <w:t xml:space="preserve"> 3.0, respectively.</w:t>
      </w:r>
    </w:p>
    <w:p w14:paraId="50EAAB89" w14:textId="77777777" w:rsidR="00275507" w:rsidRPr="00D010CC" w:rsidRDefault="00275507" w:rsidP="00D010CC">
      <w:pPr>
        <w:spacing w:after="0" w:line="360" w:lineRule="auto"/>
        <w:jc w:val="both"/>
        <w:rPr>
          <w:rFonts w:ascii="Arial" w:eastAsia="Times New Roman" w:hAnsi="Arial" w:cs="Arial"/>
          <w:bCs/>
          <w:kern w:val="0"/>
          <w:sz w:val="20"/>
          <w:szCs w:val="20"/>
          <w:lang w:val="en-GB" w:eastAsia="en-GB"/>
          <w14:ligatures w14:val="none"/>
        </w:rPr>
      </w:pPr>
      <w:r w:rsidRPr="00D010CC">
        <w:rPr>
          <w:rFonts w:ascii="Arial" w:eastAsia="Times New Roman" w:hAnsi="Arial" w:cs="Arial"/>
          <w:b/>
          <w:bCs/>
          <w:kern w:val="0"/>
          <w:sz w:val="20"/>
          <w:szCs w:val="20"/>
          <w:lang w:val="en-GB" w:eastAsia="en-GB"/>
          <w14:ligatures w14:val="none"/>
        </w:rPr>
        <w:t>2.6 Molecular Mechanics (MM-GBSA)</w:t>
      </w:r>
    </w:p>
    <w:p w14:paraId="680FC6A9" w14:textId="77777777" w:rsidR="00275507" w:rsidRPr="00D010CC" w:rsidRDefault="00275507" w:rsidP="00D010CC">
      <w:pPr>
        <w:spacing w:after="0" w:line="360" w:lineRule="auto"/>
        <w:jc w:val="both"/>
        <w:rPr>
          <w:rFonts w:ascii="Arial" w:eastAsia="Times New Roman" w:hAnsi="Arial" w:cs="Arial"/>
          <w:bCs/>
          <w:kern w:val="0"/>
          <w:sz w:val="20"/>
          <w:szCs w:val="20"/>
          <w:lang w:val="en-GB" w:eastAsia="en-GB"/>
          <w14:ligatures w14:val="none"/>
        </w:rPr>
      </w:pPr>
      <w:r w:rsidRPr="00D010CC">
        <w:rPr>
          <w:rFonts w:ascii="Arial" w:eastAsia="Times New Roman" w:hAnsi="Arial" w:cs="Arial"/>
          <w:bCs/>
          <w:kern w:val="0"/>
          <w:sz w:val="20"/>
          <w:szCs w:val="20"/>
          <w:lang w:val="en-GB" w:eastAsia="en-GB"/>
          <w14:ligatures w14:val="none"/>
        </w:rPr>
        <w:t>MM-GBSA analysis was performed using the Prime MM-GBSA tool in Maestro version 12.5 to calculate relative binding free energies of each ligand. This method decomposes energy contributions (electrostatic interactions, van der Waals forces, hydrogen bonds, and solvation energies) to determine binding free energy [19]. The binding free energy (</w:t>
      </w:r>
      <w:proofErr w:type="spellStart"/>
      <w:r w:rsidRPr="00D010CC">
        <w:rPr>
          <w:rFonts w:ascii="Arial" w:eastAsia="Times New Roman" w:hAnsi="Arial" w:cs="Arial"/>
          <w:bCs/>
          <w:kern w:val="0"/>
          <w:sz w:val="20"/>
          <w:szCs w:val="20"/>
          <w:lang w:val="en-GB" w:eastAsia="en-GB"/>
          <w14:ligatures w14:val="none"/>
        </w:rPr>
        <w:t>ΔG_bind</w:t>
      </w:r>
      <w:proofErr w:type="spellEnd"/>
      <w:r w:rsidRPr="00D010CC">
        <w:rPr>
          <w:rFonts w:ascii="Arial" w:eastAsia="Times New Roman" w:hAnsi="Arial" w:cs="Arial"/>
          <w:bCs/>
          <w:kern w:val="0"/>
          <w:sz w:val="20"/>
          <w:szCs w:val="20"/>
          <w:lang w:val="en-GB" w:eastAsia="en-GB"/>
          <w14:ligatures w14:val="none"/>
        </w:rPr>
        <w:t>) was calculated as:  </w:t>
      </w:r>
    </w:p>
    <w:p w14:paraId="55C37B4A" w14:textId="2B0B357D" w:rsidR="00275507" w:rsidRPr="00D010CC" w:rsidRDefault="00275507" w:rsidP="00D010CC">
      <w:pPr>
        <w:spacing w:after="0" w:line="360" w:lineRule="auto"/>
        <w:jc w:val="both"/>
        <w:rPr>
          <w:rFonts w:ascii="Arial" w:eastAsia="Times New Roman" w:hAnsi="Arial" w:cs="Arial"/>
          <w:bCs/>
          <w:kern w:val="0"/>
          <w:sz w:val="20"/>
          <w:szCs w:val="20"/>
          <w:lang w:val="en-GB" w:eastAsia="en-GB"/>
          <w14:ligatures w14:val="none"/>
        </w:rPr>
      </w:pPr>
      <w:r w:rsidRPr="00D010CC">
        <w:rPr>
          <w:rFonts w:ascii="Arial" w:eastAsia="Times New Roman" w:hAnsi="Arial" w:cs="Arial"/>
          <w:bCs/>
          <w:kern w:val="0"/>
          <w:sz w:val="20"/>
          <w:szCs w:val="20"/>
          <w:lang w:val="en-GB" w:eastAsia="en-GB"/>
          <w14:ligatures w14:val="none"/>
        </w:rPr>
        <w:t xml:space="preserve"> </w:t>
      </w:r>
      <w:proofErr w:type="spellStart"/>
      <w:r w:rsidRPr="00D010CC">
        <w:rPr>
          <w:rFonts w:ascii="Arial" w:eastAsia="Times New Roman" w:hAnsi="Arial" w:cs="Arial"/>
          <w:b/>
          <w:bCs/>
          <w:kern w:val="0"/>
          <w:sz w:val="20"/>
          <w:szCs w:val="20"/>
          <w:lang w:val="en-GB" w:eastAsia="en-GB"/>
          <w14:ligatures w14:val="none"/>
        </w:rPr>
        <w:t>ΔGbind</w:t>
      </w:r>
      <w:proofErr w:type="spellEnd"/>
      <w:r w:rsidRPr="00D010CC">
        <w:rPr>
          <w:rFonts w:ascii="Arial" w:eastAsia="Times New Roman" w:hAnsi="Arial" w:cs="Arial"/>
          <w:bCs/>
          <w:kern w:val="0"/>
          <w:sz w:val="20"/>
          <w:szCs w:val="20"/>
          <w:lang w:val="en-GB" w:eastAsia="en-GB"/>
          <w14:ligatures w14:val="none"/>
        </w:rPr>
        <w:t xml:space="preserve"> ​ = </w:t>
      </w:r>
      <w:r w:rsidRPr="00D010CC">
        <w:rPr>
          <w:rFonts w:ascii="Arial" w:eastAsia="Times New Roman" w:hAnsi="Arial" w:cs="Arial"/>
          <w:b/>
          <w:bCs/>
          <w:kern w:val="0"/>
          <w:sz w:val="20"/>
          <w:szCs w:val="20"/>
          <w:lang w:val="en-GB" w:eastAsia="en-GB"/>
          <w14:ligatures w14:val="none"/>
        </w:rPr>
        <w:t>ΔEMM</w:t>
      </w:r>
      <w:r w:rsidRPr="00D010CC">
        <w:rPr>
          <w:rFonts w:ascii="Arial" w:eastAsia="Times New Roman" w:hAnsi="Arial" w:cs="Arial"/>
          <w:bCs/>
          <w:kern w:val="0"/>
          <w:sz w:val="20"/>
          <w:szCs w:val="20"/>
          <w:lang w:val="en-GB" w:eastAsia="en-GB"/>
          <w14:ligatures w14:val="none"/>
        </w:rPr>
        <w:t xml:space="preserve"> ​+</w:t>
      </w:r>
      <w:r w:rsidRPr="00D010CC">
        <w:rPr>
          <w:rFonts w:ascii="Arial" w:eastAsia="Times New Roman" w:hAnsi="Arial" w:cs="Arial"/>
          <w:b/>
          <w:bCs/>
          <w:kern w:val="0"/>
          <w:sz w:val="20"/>
          <w:szCs w:val="20"/>
          <w:lang w:val="en-GB" w:eastAsia="en-GB"/>
          <w14:ligatures w14:val="none"/>
        </w:rPr>
        <w:t xml:space="preserve"> ΔGGB</w:t>
      </w:r>
      <w:r w:rsidRPr="00D010CC">
        <w:rPr>
          <w:rFonts w:ascii="Arial" w:eastAsia="Times New Roman" w:hAnsi="Arial" w:cs="Arial"/>
          <w:bCs/>
          <w:kern w:val="0"/>
          <w:sz w:val="20"/>
          <w:szCs w:val="20"/>
          <w:lang w:val="en-GB" w:eastAsia="en-GB"/>
          <w14:ligatures w14:val="none"/>
        </w:rPr>
        <w:t xml:space="preserve"> ​+</w:t>
      </w:r>
      <w:r w:rsidRPr="00D010CC">
        <w:rPr>
          <w:rFonts w:ascii="Arial" w:eastAsia="Times New Roman" w:hAnsi="Arial" w:cs="Arial"/>
          <w:b/>
          <w:bCs/>
          <w:kern w:val="0"/>
          <w:sz w:val="20"/>
          <w:szCs w:val="20"/>
          <w:lang w:val="en-GB" w:eastAsia="en-GB"/>
          <w14:ligatures w14:val="none"/>
        </w:rPr>
        <w:t xml:space="preserve"> ΔGSA.</w:t>
      </w:r>
      <w:r w:rsidRPr="00D010CC">
        <w:rPr>
          <w:rFonts w:ascii="Arial" w:eastAsia="Times New Roman" w:hAnsi="Arial" w:cs="Arial"/>
          <w:bCs/>
          <w:kern w:val="0"/>
          <w:sz w:val="20"/>
          <w:szCs w:val="20"/>
          <w:lang w:val="en-GB" w:eastAsia="en-GB"/>
          <w14:ligatures w14:val="none"/>
        </w:rPr>
        <w:t xml:space="preserve"> ​</w:t>
      </w:r>
    </w:p>
    <w:p w14:paraId="144A7846" w14:textId="77777777" w:rsidR="00A803B4" w:rsidRPr="00A803B4" w:rsidRDefault="00275507" w:rsidP="00A803B4">
      <w:pPr>
        <w:spacing w:after="0" w:line="360" w:lineRule="auto"/>
        <w:jc w:val="both"/>
        <w:rPr>
          <w:rFonts w:ascii="Arial" w:hAnsi="Arial" w:cs="Arial"/>
          <w:sz w:val="20"/>
          <w:szCs w:val="20"/>
          <w:lang w:val="en-GB"/>
        </w:rPr>
      </w:pPr>
      <w:r w:rsidRPr="00A803B4">
        <w:rPr>
          <w:rFonts w:ascii="Arial" w:eastAsia="Times New Roman" w:hAnsi="Arial" w:cs="Arial"/>
          <w:bCs/>
          <w:kern w:val="0"/>
          <w:sz w:val="20"/>
          <w:szCs w:val="20"/>
          <w:lang w:val="en-GB" w:eastAsia="en-GB"/>
          <w14:ligatures w14:val="none"/>
        </w:rPr>
        <w:t xml:space="preserve">where </w:t>
      </w:r>
      <w:r w:rsidRPr="00A803B4">
        <w:rPr>
          <w:rFonts w:ascii="Arial" w:eastAsia="Times New Roman" w:hAnsi="Arial" w:cs="Arial"/>
          <w:kern w:val="0"/>
          <w:sz w:val="20"/>
          <w:szCs w:val="20"/>
          <w:lang w:val="en-GB" w:eastAsia="en-GB"/>
          <w14:ligatures w14:val="none"/>
        </w:rPr>
        <w:t>ΔEMM</w:t>
      </w:r>
      <w:r w:rsidRPr="00A803B4">
        <w:rPr>
          <w:rFonts w:ascii="Arial" w:eastAsia="Times New Roman" w:hAnsi="Arial" w:cs="Arial"/>
          <w:bCs/>
          <w:kern w:val="0"/>
          <w:sz w:val="20"/>
          <w:szCs w:val="20"/>
          <w:lang w:val="en-GB" w:eastAsia="en-GB"/>
          <w14:ligatures w14:val="none"/>
        </w:rPr>
        <w:t xml:space="preserve"> equals </w:t>
      </w:r>
      <w:proofErr w:type="spellStart"/>
      <w:r w:rsidRPr="00A803B4">
        <w:rPr>
          <w:rFonts w:ascii="Arial" w:eastAsia="Times New Roman" w:hAnsi="Arial" w:cs="Arial"/>
          <w:bCs/>
          <w:kern w:val="0"/>
          <w:sz w:val="20"/>
          <w:szCs w:val="20"/>
          <w:lang w:val="en-GB" w:eastAsia="en-GB"/>
          <w14:ligatures w14:val="none"/>
        </w:rPr>
        <w:t>Eele</w:t>
      </w:r>
      <w:proofErr w:type="spellEnd"/>
      <w:r w:rsidRPr="00A803B4">
        <w:rPr>
          <w:rFonts w:ascii="Arial" w:eastAsia="Times New Roman" w:hAnsi="Arial" w:cs="Arial"/>
          <w:bCs/>
          <w:kern w:val="0"/>
          <w:sz w:val="20"/>
          <w:szCs w:val="20"/>
          <w:lang w:val="en-GB" w:eastAsia="en-GB"/>
          <w14:ligatures w14:val="none"/>
        </w:rPr>
        <w:t xml:space="preserve"> (electrostatic energy) + Evdw (van der Waals energy) + </w:t>
      </w:r>
      <w:proofErr w:type="spellStart"/>
      <w:r w:rsidRPr="00A803B4">
        <w:rPr>
          <w:rFonts w:ascii="Arial" w:eastAsia="Times New Roman" w:hAnsi="Arial" w:cs="Arial"/>
          <w:bCs/>
          <w:kern w:val="0"/>
          <w:sz w:val="20"/>
          <w:szCs w:val="20"/>
          <w:lang w:val="en-GB" w:eastAsia="en-GB"/>
          <w14:ligatures w14:val="none"/>
        </w:rPr>
        <w:t>EHbond</w:t>
      </w:r>
      <w:proofErr w:type="spellEnd"/>
      <w:r w:rsidRPr="00A803B4">
        <w:rPr>
          <w:rFonts w:ascii="Arial" w:eastAsia="Times New Roman" w:hAnsi="Arial" w:cs="Arial"/>
          <w:bCs/>
          <w:kern w:val="0"/>
          <w:sz w:val="20"/>
          <w:szCs w:val="20"/>
          <w:lang w:val="en-GB" w:eastAsia="en-GB"/>
          <w14:ligatures w14:val="none"/>
        </w:rPr>
        <w:t xml:space="preserve"> (hydrogen bond energy) + </w:t>
      </w:r>
      <w:proofErr w:type="spellStart"/>
      <w:r w:rsidRPr="00A803B4">
        <w:rPr>
          <w:rFonts w:ascii="Arial" w:eastAsia="Times New Roman" w:hAnsi="Arial" w:cs="Arial"/>
          <w:bCs/>
          <w:kern w:val="0"/>
          <w:sz w:val="20"/>
          <w:szCs w:val="20"/>
          <w:lang w:val="en-GB" w:eastAsia="en-GB"/>
          <w14:ligatures w14:val="none"/>
        </w:rPr>
        <w:t>Eint</w:t>
      </w:r>
      <w:proofErr w:type="spellEnd"/>
      <w:r w:rsidRPr="00A803B4">
        <w:rPr>
          <w:rFonts w:ascii="Arial" w:eastAsia="Times New Roman" w:hAnsi="Arial" w:cs="Arial"/>
          <w:bCs/>
          <w:kern w:val="0"/>
          <w:sz w:val="20"/>
          <w:szCs w:val="20"/>
          <w:lang w:val="en-GB" w:eastAsia="en-GB"/>
          <w14:ligatures w14:val="none"/>
        </w:rPr>
        <w:t xml:space="preserve"> (torsional angle energy) and represents molecular mechanical energy, ΔGGB is the polar solvation energy, and ΔGSA is the nonpolar solvation energy</w:t>
      </w:r>
      <w:bookmarkStart w:id="1" w:name="_Hlk198288426"/>
      <w:r w:rsidRPr="00A803B4">
        <w:rPr>
          <w:rFonts w:ascii="Arial" w:eastAsia="Times New Roman" w:hAnsi="Arial" w:cs="Arial"/>
          <w:bCs/>
          <w:kern w:val="0"/>
          <w:sz w:val="20"/>
          <w:szCs w:val="20"/>
          <w:lang w:val="en-GB" w:eastAsia="en-GB"/>
          <w14:ligatures w14:val="none"/>
        </w:rPr>
        <w:t xml:space="preserve">. </w:t>
      </w:r>
      <w:bookmarkEnd w:id="1"/>
      <w:r w:rsidR="00A803B4" w:rsidRPr="00A803B4">
        <w:rPr>
          <w:rFonts w:ascii="Arial" w:hAnsi="Arial" w:cs="Arial"/>
          <w:sz w:val="20"/>
          <w:szCs w:val="20"/>
          <w:lang w:val="en-GB"/>
        </w:rPr>
        <w:t>The findings from this analysis provided insight into the stability of binding of each ligand [23,29].</w:t>
      </w:r>
    </w:p>
    <w:p w14:paraId="07F4DD37" w14:textId="77777777" w:rsidR="00A803B4" w:rsidRPr="00A803B4" w:rsidRDefault="00A803B4" w:rsidP="00A803B4">
      <w:pPr>
        <w:spacing w:after="0" w:line="360" w:lineRule="auto"/>
        <w:jc w:val="both"/>
        <w:rPr>
          <w:rFonts w:ascii="Arial" w:hAnsi="Arial" w:cs="Arial"/>
          <w:b/>
          <w:bCs/>
          <w:sz w:val="20"/>
          <w:szCs w:val="20"/>
          <w:lang w:val="en-GB"/>
        </w:rPr>
      </w:pPr>
      <w:r w:rsidRPr="00A803B4">
        <w:rPr>
          <w:rFonts w:ascii="Arial" w:hAnsi="Arial" w:cs="Arial"/>
          <w:b/>
          <w:bCs/>
          <w:sz w:val="20"/>
          <w:szCs w:val="20"/>
          <w:lang w:val="en-GB"/>
        </w:rPr>
        <w:lastRenderedPageBreak/>
        <w:t>2.7 Molecular Dynamic (MD) Simulation</w:t>
      </w:r>
    </w:p>
    <w:p w14:paraId="57D73AE8" w14:textId="77777777" w:rsidR="00A803B4" w:rsidRPr="00A803B4" w:rsidRDefault="00A803B4"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t xml:space="preserve">MD simulations were conducted in order to evaluate the protein-ligand binding stability, conformational dynamics, and binding modes of the protein-ligand complexes [36]. These simulations provide a powerful approach for investigating atomic-level alterations within the complexes in dynamic conditions [19,23]. The GROMACS software version 2022, widely accepted for its precision in simulating proteins, lipids, and nucleic acids, was employed for the conduct of the simulations. The topologies of the protein and ligands were generated with CHARMM36 force fields and optimized according to protocols offered by GROMACS and </w:t>
      </w:r>
      <w:proofErr w:type="spellStart"/>
      <w:r w:rsidRPr="00A803B4">
        <w:rPr>
          <w:rFonts w:ascii="Arial" w:hAnsi="Arial" w:cs="Arial"/>
          <w:sz w:val="20"/>
          <w:szCs w:val="20"/>
          <w:lang w:val="en-GB"/>
        </w:rPr>
        <w:t>CGenFF</w:t>
      </w:r>
      <w:proofErr w:type="spellEnd"/>
      <w:r w:rsidRPr="00A803B4">
        <w:rPr>
          <w:rFonts w:ascii="Arial" w:hAnsi="Arial" w:cs="Arial"/>
          <w:sz w:val="20"/>
          <w:szCs w:val="20"/>
          <w:lang w:val="en-GB"/>
        </w:rPr>
        <w:t xml:space="preserve"> [28]. The protein-ligand complex was embedded in a dodecahedron box with counterions and simple point charge (SPC) water, with the use of the '</w:t>
      </w:r>
      <w:proofErr w:type="spellStart"/>
      <w:r w:rsidRPr="00A803B4">
        <w:rPr>
          <w:rFonts w:ascii="Arial" w:hAnsi="Arial" w:cs="Arial"/>
          <w:sz w:val="20"/>
          <w:szCs w:val="20"/>
          <w:lang w:val="en-GB"/>
        </w:rPr>
        <w:t>genion</w:t>
      </w:r>
      <w:proofErr w:type="spellEnd"/>
      <w:r w:rsidRPr="00A803B4">
        <w:rPr>
          <w:rFonts w:ascii="Arial" w:hAnsi="Arial" w:cs="Arial"/>
          <w:sz w:val="20"/>
          <w:szCs w:val="20"/>
          <w:lang w:val="en-GB"/>
        </w:rPr>
        <w:t>' tool for creating a neutralized, solvated condition for simulation purposes [35].</w:t>
      </w:r>
    </w:p>
    <w:p w14:paraId="789356EE" w14:textId="1DBC00B6" w:rsidR="00275507" w:rsidRPr="00A803B4" w:rsidRDefault="00A803B4"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t xml:space="preserve">To maintain system stability, iterative energy minimization was performed until the maximum force decreased below 100 kJ/mol/nm with the use of optimization methods such as the steepest descent and conjugate gradient methods [37]. Once a stable conformation at 5000 steps was established with the steepest descent approach, the system was equilibrated by employing the </w:t>
      </w:r>
      <w:proofErr w:type="spellStart"/>
      <w:r w:rsidRPr="00A803B4">
        <w:rPr>
          <w:rFonts w:ascii="Arial" w:hAnsi="Arial" w:cs="Arial"/>
          <w:sz w:val="20"/>
          <w:szCs w:val="20"/>
          <w:lang w:val="en-GB"/>
        </w:rPr>
        <w:t>Verlet</w:t>
      </w:r>
      <w:proofErr w:type="spellEnd"/>
      <w:r w:rsidRPr="00A803B4">
        <w:rPr>
          <w:rFonts w:ascii="Arial" w:hAnsi="Arial" w:cs="Arial"/>
          <w:sz w:val="20"/>
          <w:szCs w:val="20"/>
          <w:lang w:val="en-GB"/>
        </w:rPr>
        <w:t xml:space="preserve"> algorithm, from 0 to 300 K, for a duration of 100 picoseconds (</w:t>
      </w:r>
      <w:proofErr w:type="spellStart"/>
      <w:r w:rsidRPr="00A803B4">
        <w:rPr>
          <w:rFonts w:ascii="Arial" w:hAnsi="Arial" w:cs="Arial"/>
          <w:sz w:val="20"/>
          <w:szCs w:val="20"/>
          <w:lang w:val="en-GB"/>
        </w:rPr>
        <w:t>ps</w:t>
      </w:r>
      <w:proofErr w:type="spellEnd"/>
      <w:r w:rsidRPr="00A803B4">
        <w:rPr>
          <w:rFonts w:ascii="Arial" w:hAnsi="Arial" w:cs="Arial"/>
          <w:sz w:val="20"/>
          <w:szCs w:val="20"/>
          <w:lang w:val="en-GB"/>
        </w:rPr>
        <w:t xml:space="preserve">) with a 2 femtoseconds (fs) time step for the NVT ensemble (constant number of particles, volume, and temperature) [38,39]. This was followed by additional equilibration through the Berendsen algorithm with a </w:t>
      </w:r>
      <w:proofErr w:type="gramStart"/>
      <w:r w:rsidRPr="00A803B4">
        <w:rPr>
          <w:rFonts w:ascii="Arial" w:hAnsi="Arial" w:cs="Arial"/>
          <w:sz w:val="20"/>
          <w:szCs w:val="20"/>
          <w:lang w:val="en-GB"/>
        </w:rPr>
        <w:t>2 fs</w:t>
      </w:r>
      <w:proofErr w:type="gramEnd"/>
      <w:r w:rsidRPr="00A803B4">
        <w:rPr>
          <w:rFonts w:ascii="Arial" w:hAnsi="Arial" w:cs="Arial"/>
          <w:sz w:val="20"/>
          <w:szCs w:val="20"/>
          <w:lang w:val="en-GB"/>
        </w:rPr>
        <w:t xml:space="preserve"> time step for 100 </w:t>
      </w:r>
      <w:proofErr w:type="spellStart"/>
      <w:r w:rsidRPr="00A803B4">
        <w:rPr>
          <w:rFonts w:ascii="Arial" w:hAnsi="Arial" w:cs="Arial"/>
          <w:sz w:val="20"/>
          <w:szCs w:val="20"/>
          <w:lang w:val="en-GB"/>
        </w:rPr>
        <w:t>ps</w:t>
      </w:r>
      <w:proofErr w:type="spellEnd"/>
      <w:r w:rsidRPr="00A803B4">
        <w:rPr>
          <w:rFonts w:ascii="Arial" w:hAnsi="Arial" w:cs="Arial"/>
          <w:sz w:val="20"/>
          <w:szCs w:val="20"/>
          <w:lang w:val="en-GB"/>
        </w:rPr>
        <w:t xml:space="preserve"> with NPT conditions (constant number of particles, pressure, and temperature).</w:t>
      </w:r>
      <w:r>
        <w:rPr>
          <w:rFonts w:ascii="Arial" w:hAnsi="Arial" w:cs="Arial"/>
          <w:sz w:val="20"/>
          <w:szCs w:val="20"/>
          <w:lang w:val="en-GB"/>
        </w:rPr>
        <w:t xml:space="preserve"> </w:t>
      </w:r>
      <w:r w:rsidR="00275507" w:rsidRPr="00D010CC">
        <w:rPr>
          <w:rFonts w:ascii="Arial" w:eastAsia="Times New Roman" w:hAnsi="Arial" w:cs="Arial"/>
          <w:bCs/>
          <w:kern w:val="0"/>
          <w:sz w:val="20"/>
          <w:szCs w:val="20"/>
          <w:lang w:val="en-GB" w:eastAsia="en-GB"/>
          <w14:ligatures w14:val="none"/>
        </w:rPr>
        <w:t xml:space="preserve">The MD simulations were then conducted for a 100-nanosecond (ns) production run of the protein-ligand complexes [23]. Post-simulation analysis was performed using </w:t>
      </w:r>
      <w:proofErr w:type="spellStart"/>
      <w:r w:rsidR="00275507" w:rsidRPr="00D010CC">
        <w:rPr>
          <w:rFonts w:ascii="Arial" w:eastAsia="Times New Roman" w:hAnsi="Arial" w:cs="Arial"/>
          <w:bCs/>
          <w:kern w:val="0"/>
          <w:sz w:val="20"/>
          <w:szCs w:val="20"/>
          <w:lang w:val="en-GB" w:eastAsia="en-GB"/>
          <w14:ligatures w14:val="none"/>
        </w:rPr>
        <w:t>Xmgrace</w:t>
      </w:r>
      <w:proofErr w:type="spellEnd"/>
      <w:r w:rsidR="00275507" w:rsidRPr="00D010CC">
        <w:rPr>
          <w:rFonts w:ascii="Arial" w:eastAsia="Times New Roman" w:hAnsi="Arial" w:cs="Arial"/>
          <w:bCs/>
          <w:kern w:val="0"/>
          <w:sz w:val="20"/>
          <w:szCs w:val="20"/>
          <w:lang w:val="en-GB" w:eastAsia="en-GB"/>
          <w14:ligatures w14:val="none"/>
        </w:rPr>
        <w:t>, focusing on key parameters such as Root Mean Square Deviation (RMSD), Root Mean Square Fluctuation (RMSF), Radius of Gyration (</w:t>
      </w:r>
      <w:proofErr w:type="spellStart"/>
      <w:r w:rsidR="00275507" w:rsidRPr="00D010CC">
        <w:rPr>
          <w:rFonts w:ascii="Arial" w:eastAsia="Times New Roman" w:hAnsi="Arial" w:cs="Arial"/>
          <w:bCs/>
          <w:kern w:val="0"/>
          <w:sz w:val="20"/>
          <w:szCs w:val="20"/>
          <w:lang w:val="en-GB" w:eastAsia="en-GB"/>
          <w14:ligatures w14:val="none"/>
        </w:rPr>
        <w:t>R</w:t>
      </w:r>
      <w:r w:rsidR="00D1407C" w:rsidRPr="00D010CC">
        <w:rPr>
          <w:rFonts w:ascii="Arial" w:eastAsia="Times New Roman" w:hAnsi="Arial" w:cs="Arial"/>
          <w:bCs/>
          <w:kern w:val="0"/>
          <w:sz w:val="20"/>
          <w:szCs w:val="20"/>
          <w:lang w:val="en-GB" w:eastAsia="en-GB"/>
          <w14:ligatures w14:val="none"/>
        </w:rPr>
        <w:t>o</w:t>
      </w:r>
      <w:r w:rsidR="00275507" w:rsidRPr="00D010CC">
        <w:rPr>
          <w:rFonts w:ascii="Arial" w:eastAsia="Times New Roman" w:hAnsi="Arial" w:cs="Arial"/>
          <w:bCs/>
          <w:kern w:val="0"/>
          <w:sz w:val="20"/>
          <w:szCs w:val="20"/>
          <w:lang w:val="en-GB" w:eastAsia="en-GB"/>
          <w14:ligatures w14:val="none"/>
        </w:rPr>
        <w:t>G</w:t>
      </w:r>
      <w:proofErr w:type="spellEnd"/>
      <w:r w:rsidR="00275507" w:rsidRPr="00D010CC">
        <w:rPr>
          <w:rFonts w:ascii="Arial" w:eastAsia="Times New Roman" w:hAnsi="Arial" w:cs="Arial"/>
          <w:bCs/>
          <w:kern w:val="0"/>
          <w:sz w:val="20"/>
          <w:szCs w:val="20"/>
          <w:lang w:val="en-GB" w:eastAsia="en-GB"/>
          <w14:ligatures w14:val="none"/>
        </w:rPr>
        <w:t xml:space="preserve">), and Intermolecular Hydrogen Bonds. [35,36]. These analyses provided valuable insights into the stability and dynamic </w:t>
      </w:r>
      <w:proofErr w:type="spellStart"/>
      <w:r w:rsidR="00275507" w:rsidRPr="00D010CC">
        <w:rPr>
          <w:rFonts w:ascii="Arial" w:eastAsia="Times New Roman" w:hAnsi="Arial" w:cs="Arial"/>
          <w:bCs/>
          <w:kern w:val="0"/>
          <w:sz w:val="20"/>
          <w:szCs w:val="20"/>
          <w:lang w:val="en-GB" w:eastAsia="en-GB"/>
          <w14:ligatures w14:val="none"/>
        </w:rPr>
        <w:t>behavior</w:t>
      </w:r>
      <w:proofErr w:type="spellEnd"/>
      <w:r w:rsidR="00275507" w:rsidRPr="00D010CC">
        <w:rPr>
          <w:rFonts w:ascii="Arial" w:eastAsia="Times New Roman" w:hAnsi="Arial" w:cs="Arial"/>
          <w:bCs/>
          <w:kern w:val="0"/>
          <w:sz w:val="20"/>
          <w:szCs w:val="20"/>
          <w:lang w:val="en-GB" w:eastAsia="en-GB"/>
          <w14:ligatures w14:val="none"/>
        </w:rPr>
        <w:t xml:space="preserve"> of the protein-ligand complexes, allowing for a comprehensive understanding of their interaction mechanisms and stability under physiological conditions [23,29].</w:t>
      </w:r>
    </w:p>
    <w:p w14:paraId="4064BB17" w14:textId="05DFC863" w:rsidR="0035286A" w:rsidRPr="00F726BD" w:rsidRDefault="0035286A" w:rsidP="008C76B1">
      <w:pPr>
        <w:spacing w:before="240" w:after="0" w:line="360" w:lineRule="auto"/>
        <w:jc w:val="both"/>
        <w:rPr>
          <w:rFonts w:ascii="Arial" w:hAnsi="Arial" w:cs="Arial"/>
          <w:b/>
          <w:bCs/>
          <w:sz w:val="24"/>
          <w:szCs w:val="24"/>
        </w:rPr>
      </w:pPr>
      <w:r w:rsidRPr="00F726BD">
        <w:rPr>
          <w:rFonts w:ascii="Arial" w:hAnsi="Arial" w:cs="Arial"/>
          <w:b/>
          <w:bCs/>
          <w:sz w:val="24"/>
          <w:szCs w:val="24"/>
        </w:rPr>
        <w:t>3.0 RESULTS AND DISCUSSION</w:t>
      </w:r>
    </w:p>
    <w:p w14:paraId="157A519B" w14:textId="5E764BA3" w:rsidR="0035286A" w:rsidRPr="008C76B1" w:rsidRDefault="0035286A" w:rsidP="008C76B1">
      <w:pPr>
        <w:spacing w:after="0" w:line="360" w:lineRule="auto"/>
        <w:jc w:val="both"/>
        <w:rPr>
          <w:rFonts w:ascii="Arial" w:hAnsi="Arial" w:cs="Arial"/>
          <w:b/>
          <w:bCs/>
          <w:sz w:val="20"/>
          <w:szCs w:val="20"/>
        </w:rPr>
      </w:pPr>
      <w:r w:rsidRPr="008C76B1">
        <w:rPr>
          <w:rFonts w:ascii="Arial" w:hAnsi="Arial" w:cs="Arial"/>
          <w:b/>
          <w:bCs/>
          <w:sz w:val="20"/>
          <w:szCs w:val="20"/>
        </w:rPr>
        <w:t>3.1 Molecular Docking</w:t>
      </w:r>
    </w:p>
    <w:p w14:paraId="143D99E9" w14:textId="3396E495" w:rsidR="00706C5B" w:rsidRDefault="007C2923" w:rsidP="008C76B1">
      <w:pPr>
        <w:spacing w:after="0" w:line="360" w:lineRule="auto"/>
        <w:jc w:val="both"/>
        <w:rPr>
          <w:rFonts w:ascii="Arial" w:hAnsi="Arial" w:cs="Arial"/>
          <w:sz w:val="20"/>
          <w:szCs w:val="20"/>
          <w:lang w:val="en-GB"/>
        </w:rPr>
      </w:pPr>
      <w:r w:rsidRPr="008C76B1">
        <w:rPr>
          <w:rFonts w:ascii="Arial" w:hAnsi="Arial" w:cs="Arial"/>
          <w:sz w:val="20"/>
          <w:szCs w:val="20"/>
          <w:lang w:val="en-GB"/>
        </w:rPr>
        <w:t xml:space="preserve">Molecular docking was used to evaluate the binding potential of 67 phytochemicals obtained using the NPACT database against the FGFR1 kinase domain, using the </w:t>
      </w:r>
      <w:r w:rsidR="0052046B" w:rsidRPr="008C76B1">
        <w:rPr>
          <w:rFonts w:ascii="Arial" w:hAnsi="Arial" w:cs="Arial"/>
          <w:sz w:val="20"/>
          <w:szCs w:val="20"/>
          <w:lang w:val="en-GB"/>
        </w:rPr>
        <w:t>standard</w:t>
      </w:r>
      <w:r w:rsidRPr="008C76B1">
        <w:rPr>
          <w:rFonts w:ascii="Arial" w:hAnsi="Arial" w:cs="Arial"/>
          <w:sz w:val="20"/>
          <w:szCs w:val="20"/>
          <w:lang w:val="en-GB"/>
        </w:rPr>
        <w:t xml:space="preserve"> inhibitor </w:t>
      </w:r>
      <w:proofErr w:type="spellStart"/>
      <w:r w:rsidRPr="008C76B1">
        <w:rPr>
          <w:rFonts w:ascii="Arial" w:hAnsi="Arial" w:cs="Arial"/>
          <w:sz w:val="20"/>
          <w:szCs w:val="20"/>
          <w:lang w:val="en-GB"/>
        </w:rPr>
        <w:t>pemigatinib</w:t>
      </w:r>
      <w:proofErr w:type="spellEnd"/>
      <w:r w:rsidRPr="008C76B1">
        <w:rPr>
          <w:rFonts w:ascii="Arial" w:hAnsi="Arial" w:cs="Arial"/>
          <w:sz w:val="20"/>
          <w:szCs w:val="20"/>
          <w:lang w:val="en-GB"/>
        </w:rPr>
        <w:t xml:space="preserve">. Using both </w:t>
      </w:r>
      <w:proofErr w:type="spellStart"/>
      <w:r w:rsidRPr="008C76B1">
        <w:rPr>
          <w:rFonts w:ascii="Arial" w:hAnsi="Arial" w:cs="Arial"/>
          <w:sz w:val="20"/>
          <w:szCs w:val="20"/>
          <w:lang w:val="en-GB"/>
        </w:rPr>
        <w:t>iGEMDock</w:t>
      </w:r>
      <w:proofErr w:type="spellEnd"/>
      <w:r w:rsidRPr="008C76B1">
        <w:rPr>
          <w:rFonts w:ascii="Arial" w:hAnsi="Arial" w:cs="Arial"/>
          <w:sz w:val="20"/>
          <w:szCs w:val="20"/>
          <w:lang w:val="en-GB"/>
        </w:rPr>
        <w:t xml:space="preserve"> and MOE, the ligands were docked into the FGFR1 active site, targeting key binding residues His717, Ser723, and Asp720, reported previously as crucial for maintaining ligand-receptor stability [40</w:t>
      </w:r>
      <w:r w:rsidR="006E1B77">
        <w:rPr>
          <w:rFonts w:ascii="Arial" w:hAnsi="Arial" w:cs="Arial"/>
          <w:sz w:val="20"/>
          <w:szCs w:val="20"/>
          <w:lang w:val="en-GB"/>
        </w:rPr>
        <w:t>,41,42</w:t>
      </w:r>
      <w:r w:rsidRPr="008C76B1">
        <w:rPr>
          <w:rFonts w:ascii="Arial" w:hAnsi="Arial" w:cs="Arial"/>
          <w:sz w:val="20"/>
          <w:szCs w:val="20"/>
          <w:lang w:val="en-GB"/>
        </w:rPr>
        <w:t>42].</w:t>
      </w:r>
      <w:r w:rsidR="0052046B" w:rsidRPr="008C76B1">
        <w:rPr>
          <w:rFonts w:ascii="Arial" w:hAnsi="Arial" w:cs="Arial"/>
          <w:sz w:val="20"/>
          <w:szCs w:val="20"/>
          <w:lang w:val="en-GB"/>
        </w:rPr>
        <w:t xml:space="preserve"> </w:t>
      </w:r>
      <w:r w:rsidR="000845E7" w:rsidRPr="008C76B1">
        <w:rPr>
          <w:rFonts w:ascii="Arial" w:hAnsi="Arial" w:cs="Arial"/>
          <w:sz w:val="20"/>
          <w:szCs w:val="20"/>
          <w:lang w:val="en-GB"/>
        </w:rPr>
        <w:t xml:space="preserve">These findings are summarized in Table 1 and Figure 2. </w:t>
      </w:r>
    </w:p>
    <w:p w14:paraId="48CE610B" w14:textId="77777777" w:rsidR="00A803B4" w:rsidRDefault="00A803B4" w:rsidP="008C76B1">
      <w:pPr>
        <w:spacing w:after="0" w:line="360" w:lineRule="auto"/>
        <w:jc w:val="both"/>
        <w:rPr>
          <w:rFonts w:ascii="Arial" w:hAnsi="Arial" w:cs="Arial"/>
          <w:sz w:val="20"/>
          <w:szCs w:val="20"/>
          <w:lang w:val="en-GB"/>
        </w:rPr>
      </w:pPr>
    </w:p>
    <w:p w14:paraId="6D76ADAF" w14:textId="0E14A36E" w:rsidR="0052046B" w:rsidRPr="008C76B1" w:rsidRDefault="0052046B" w:rsidP="008C76B1">
      <w:pPr>
        <w:spacing w:after="0" w:line="360" w:lineRule="auto"/>
        <w:jc w:val="both"/>
        <w:rPr>
          <w:rFonts w:ascii="Arial" w:eastAsia="Times New Roman" w:hAnsi="Arial" w:cs="Arial"/>
          <w:kern w:val="0"/>
          <w:sz w:val="20"/>
          <w:szCs w:val="20"/>
        </w:rPr>
      </w:pPr>
      <w:r w:rsidRPr="00706C5B">
        <w:rPr>
          <w:rFonts w:ascii="Arial" w:eastAsia="Times New Roman" w:hAnsi="Arial" w:cs="Arial"/>
          <w:b/>
          <w:bCs/>
          <w:kern w:val="0"/>
          <w:sz w:val="20"/>
          <w:szCs w:val="20"/>
        </w:rPr>
        <w:t>Table 1:</w:t>
      </w:r>
      <w:r w:rsidRPr="008C76B1">
        <w:rPr>
          <w:rFonts w:ascii="Arial" w:eastAsia="Times New Roman" w:hAnsi="Arial" w:cs="Arial"/>
          <w:kern w:val="0"/>
          <w:sz w:val="20"/>
          <w:szCs w:val="20"/>
        </w:rPr>
        <w:t xml:space="preserve"> </w:t>
      </w:r>
      <w:r w:rsidRPr="008C76B1">
        <w:rPr>
          <w:rFonts w:ascii="Arial" w:hAnsi="Arial" w:cs="Arial"/>
          <w:sz w:val="20"/>
          <w:szCs w:val="20"/>
        </w:rPr>
        <w:t xml:space="preserve">Binding energies of </w:t>
      </w:r>
      <w:proofErr w:type="spellStart"/>
      <w:r w:rsidRPr="008C76B1">
        <w:rPr>
          <w:rFonts w:ascii="Arial" w:hAnsi="Arial" w:cs="Arial"/>
          <w:sz w:val="20"/>
          <w:szCs w:val="20"/>
        </w:rPr>
        <w:t>Pemigatinib</w:t>
      </w:r>
      <w:proofErr w:type="spellEnd"/>
      <w:r w:rsidRPr="008C76B1">
        <w:rPr>
          <w:rFonts w:ascii="Arial" w:hAnsi="Arial" w:cs="Arial"/>
          <w:sz w:val="20"/>
          <w:szCs w:val="20"/>
        </w:rPr>
        <w:t xml:space="preserve"> and the 67 ligands on </w:t>
      </w:r>
      <w:proofErr w:type="spellStart"/>
      <w:r w:rsidRPr="008C76B1">
        <w:rPr>
          <w:rFonts w:ascii="Arial" w:hAnsi="Arial" w:cs="Arial"/>
          <w:sz w:val="20"/>
          <w:szCs w:val="20"/>
        </w:rPr>
        <w:t>iGEMDock</w:t>
      </w:r>
      <w:proofErr w:type="spellEnd"/>
      <w:r w:rsidRPr="008C76B1">
        <w:rPr>
          <w:rFonts w:ascii="Arial" w:hAnsi="Arial" w:cs="Arial"/>
          <w:sz w:val="20"/>
          <w:szCs w:val="20"/>
        </w:rPr>
        <w:t xml:space="preserve"> and Molecular Operating Environment.</w:t>
      </w:r>
    </w:p>
    <w:tbl>
      <w:tblPr>
        <w:tblStyle w:val="TableGrid"/>
        <w:tblW w:w="0" w:type="auto"/>
        <w:tblInd w:w="265" w:type="dxa"/>
        <w:tblLook w:val="04A0" w:firstRow="1" w:lastRow="0" w:firstColumn="1" w:lastColumn="0" w:noHBand="0" w:noVBand="1"/>
      </w:tblPr>
      <w:tblGrid>
        <w:gridCol w:w="990"/>
        <w:gridCol w:w="5456"/>
        <w:gridCol w:w="1426"/>
        <w:gridCol w:w="1213"/>
      </w:tblGrid>
      <w:tr w:rsidR="0052046B" w:rsidRPr="008C76B1" w14:paraId="245B7B96" w14:textId="77777777" w:rsidTr="00261B7D">
        <w:tc>
          <w:tcPr>
            <w:tcW w:w="990" w:type="dxa"/>
            <w:tcBorders>
              <w:top w:val="single" w:sz="4" w:space="0" w:color="auto"/>
              <w:left w:val="single" w:sz="4" w:space="0" w:color="auto"/>
              <w:bottom w:val="single" w:sz="4" w:space="0" w:color="auto"/>
              <w:right w:val="single" w:sz="4" w:space="0" w:color="auto"/>
            </w:tcBorders>
            <w:hideMark/>
          </w:tcPr>
          <w:p w14:paraId="7CF215D8" w14:textId="77777777" w:rsidR="0052046B" w:rsidRPr="008C76B1" w:rsidRDefault="0052046B" w:rsidP="008C76B1">
            <w:pPr>
              <w:spacing w:line="360" w:lineRule="auto"/>
              <w:jc w:val="both"/>
              <w:rPr>
                <w:rFonts w:ascii="Arial" w:eastAsia="Times New Roman" w:hAnsi="Arial" w:cs="Arial"/>
                <w:b/>
                <w:bCs/>
                <w:kern w:val="0"/>
                <w:sz w:val="20"/>
                <w:szCs w:val="20"/>
              </w:rPr>
            </w:pPr>
            <w:r w:rsidRPr="008C76B1">
              <w:rPr>
                <w:rFonts w:ascii="Arial" w:eastAsia="Times New Roman" w:hAnsi="Arial" w:cs="Arial"/>
                <w:b/>
                <w:bCs/>
                <w:kern w:val="0"/>
                <w:sz w:val="20"/>
                <w:szCs w:val="20"/>
              </w:rPr>
              <w:t>S/N</w:t>
            </w:r>
          </w:p>
        </w:tc>
        <w:tc>
          <w:tcPr>
            <w:tcW w:w="5456" w:type="dxa"/>
            <w:tcBorders>
              <w:top w:val="single" w:sz="4" w:space="0" w:color="auto"/>
              <w:left w:val="single" w:sz="4" w:space="0" w:color="auto"/>
              <w:bottom w:val="single" w:sz="4" w:space="0" w:color="auto"/>
              <w:right w:val="single" w:sz="4" w:space="0" w:color="auto"/>
            </w:tcBorders>
            <w:hideMark/>
          </w:tcPr>
          <w:p w14:paraId="6E3D08A9" w14:textId="77777777" w:rsidR="0052046B" w:rsidRPr="008C76B1" w:rsidRDefault="0052046B" w:rsidP="008C76B1">
            <w:pPr>
              <w:spacing w:line="360" w:lineRule="auto"/>
              <w:jc w:val="both"/>
              <w:rPr>
                <w:rFonts w:ascii="Arial" w:eastAsia="Times New Roman" w:hAnsi="Arial" w:cs="Arial"/>
                <w:b/>
                <w:bCs/>
                <w:kern w:val="0"/>
                <w:sz w:val="20"/>
                <w:szCs w:val="20"/>
              </w:rPr>
            </w:pPr>
            <w:r w:rsidRPr="008C76B1">
              <w:rPr>
                <w:rFonts w:ascii="Arial" w:eastAsia="Times New Roman" w:hAnsi="Arial" w:cs="Arial"/>
                <w:b/>
                <w:bCs/>
                <w:kern w:val="0"/>
                <w:sz w:val="20"/>
                <w:szCs w:val="20"/>
              </w:rPr>
              <w:t>COMPOUND IDENTIFIER</w:t>
            </w:r>
          </w:p>
        </w:tc>
        <w:tc>
          <w:tcPr>
            <w:tcW w:w="1426" w:type="dxa"/>
            <w:tcBorders>
              <w:top w:val="single" w:sz="4" w:space="0" w:color="auto"/>
              <w:left w:val="single" w:sz="4" w:space="0" w:color="auto"/>
              <w:bottom w:val="single" w:sz="4" w:space="0" w:color="auto"/>
              <w:right w:val="single" w:sz="4" w:space="0" w:color="auto"/>
            </w:tcBorders>
            <w:hideMark/>
          </w:tcPr>
          <w:p w14:paraId="36822BB7" w14:textId="77777777" w:rsidR="0052046B" w:rsidRPr="008C76B1" w:rsidRDefault="0052046B" w:rsidP="008C76B1">
            <w:pPr>
              <w:spacing w:line="360" w:lineRule="auto"/>
              <w:jc w:val="both"/>
              <w:rPr>
                <w:rFonts w:ascii="Arial" w:hAnsi="Arial" w:cs="Arial"/>
                <w:b/>
                <w:bCs/>
                <w:sz w:val="20"/>
                <w:szCs w:val="20"/>
              </w:rPr>
            </w:pPr>
            <w:r w:rsidRPr="008C76B1">
              <w:rPr>
                <w:rFonts w:ascii="Arial" w:hAnsi="Arial" w:cs="Arial"/>
                <w:b/>
                <w:sz w:val="20"/>
                <w:szCs w:val="20"/>
              </w:rPr>
              <w:t>Binding affinity</w:t>
            </w:r>
          </w:p>
          <w:p w14:paraId="3AD3C9BF" w14:textId="77777777" w:rsidR="0052046B" w:rsidRPr="008C76B1" w:rsidRDefault="0052046B" w:rsidP="008C76B1">
            <w:pPr>
              <w:spacing w:line="360" w:lineRule="auto"/>
              <w:jc w:val="both"/>
              <w:rPr>
                <w:rFonts w:ascii="Arial" w:eastAsia="Times New Roman" w:hAnsi="Arial" w:cs="Arial"/>
                <w:b/>
                <w:bCs/>
                <w:kern w:val="0"/>
                <w:sz w:val="20"/>
                <w:szCs w:val="20"/>
              </w:rPr>
            </w:pPr>
            <w:r w:rsidRPr="008C76B1">
              <w:rPr>
                <w:rFonts w:ascii="Arial" w:hAnsi="Arial" w:cs="Arial"/>
                <w:b/>
                <w:sz w:val="20"/>
                <w:szCs w:val="20"/>
              </w:rPr>
              <w:lastRenderedPageBreak/>
              <w:t>(</w:t>
            </w:r>
            <w:proofErr w:type="spellStart"/>
            <w:r w:rsidRPr="008C76B1">
              <w:rPr>
                <w:rFonts w:ascii="Arial" w:hAnsi="Arial" w:cs="Arial"/>
                <w:b/>
                <w:sz w:val="20"/>
                <w:szCs w:val="20"/>
              </w:rPr>
              <w:t>iGEMDock</w:t>
            </w:r>
            <w:proofErr w:type="spellEnd"/>
            <w:r w:rsidRPr="008C76B1">
              <w:rPr>
                <w:rFonts w:ascii="Arial" w:hAnsi="Arial" w:cs="Arial"/>
                <w:b/>
                <w:sz w:val="20"/>
                <w:szCs w:val="20"/>
              </w:rPr>
              <w:t>)</w:t>
            </w:r>
            <w:r w:rsidRPr="008C76B1">
              <w:rPr>
                <w:rFonts w:ascii="Arial" w:hAnsi="Arial" w:cs="Arial"/>
                <w:b/>
                <w:bCs/>
                <w:sz w:val="20"/>
                <w:szCs w:val="20"/>
              </w:rPr>
              <w:t xml:space="preserve"> </w:t>
            </w:r>
            <w:r w:rsidRPr="008C76B1">
              <w:rPr>
                <w:rFonts w:ascii="Arial" w:hAnsi="Arial" w:cs="Arial"/>
                <w:b/>
                <w:sz w:val="20"/>
                <w:szCs w:val="20"/>
              </w:rPr>
              <w:t>Kcal/mol)</w:t>
            </w:r>
          </w:p>
        </w:tc>
        <w:tc>
          <w:tcPr>
            <w:tcW w:w="1213" w:type="dxa"/>
            <w:tcBorders>
              <w:top w:val="single" w:sz="4" w:space="0" w:color="auto"/>
              <w:left w:val="single" w:sz="4" w:space="0" w:color="auto"/>
              <w:bottom w:val="single" w:sz="4" w:space="0" w:color="auto"/>
              <w:right w:val="single" w:sz="4" w:space="0" w:color="auto"/>
            </w:tcBorders>
          </w:tcPr>
          <w:p w14:paraId="69EF7C0D" w14:textId="77777777" w:rsidR="0052046B" w:rsidRPr="008C76B1" w:rsidRDefault="0052046B" w:rsidP="008C76B1">
            <w:pPr>
              <w:spacing w:line="360" w:lineRule="auto"/>
              <w:jc w:val="both"/>
              <w:rPr>
                <w:rFonts w:ascii="Arial" w:hAnsi="Arial" w:cs="Arial"/>
                <w:b/>
                <w:bCs/>
                <w:sz w:val="20"/>
                <w:szCs w:val="20"/>
              </w:rPr>
            </w:pPr>
            <w:r w:rsidRPr="008C76B1">
              <w:rPr>
                <w:rFonts w:ascii="Arial" w:hAnsi="Arial" w:cs="Arial"/>
                <w:b/>
                <w:sz w:val="20"/>
                <w:szCs w:val="20"/>
              </w:rPr>
              <w:lastRenderedPageBreak/>
              <w:t>Binding affinity</w:t>
            </w:r>
          </w:p>
          <w:p w14:paraId="2376EC7F" w14:textId="77777777" w:rsidR="0052046B" w:rsidRPr="008C76B1" w:rsidRDefault="0052046B" w:rsidP="008C76B1">
            <w:pPr>
              <w:spacing w:line="360" w:lineRule="auto"/>
              <w:jc w:val="both"/>
              <w:rPr>
                <w:rFonts w:ascii="Arial" w:eastAsia="Times New Roman" w:hAnsi="Arial" w:cs="Arial"/>
                <w:b/>
                <w:bCs/>
                <w:kern w:val="0"/>
                <w:sz w:val="20"/>
                <w:szCs w:val="20"/>
              </w:rPr>
            </w:pPr>
            <w:r w:rsidRPr="008C76B1">
              <w:rPr>
                <w:rFonts w:ascii="Arial" w:hAnsi="Arial" w:cs="Arial"/>
                <w:b/>
                <w:sz w:val="20"/>
                <w:szCs w:val="20"/>
              </w:rPr>
              <w:lastRenderedPageBreak/>
              <w:t>(MOE)</w:t>
            </w:r>
            <w:r w:rsidRPr="008C76B1">
              <w:rPr>
                <w:rFonts w:ascii="Arial" w:hAnsi="Arial" w:cs="Arial"/>
                <w:b/>
                <w:bCs/>
                <w:sz w:val="20"/>
                <w:szCs w:val="20"/>
              </w:rPr>
              <w:t xml:space="preserve"> </w:t>
            </w:r>
            <w:r w:rsidRPr="008C76B1">
              <w:rPr>
                <w:rFonts w:ascii="Arial" w:hAnsi="Arial" w:cs="Arial"/>
                <w:b/>
                <w:sz w:val="20"/>
                <w:szCs w:val="20"/>
              </w:rPr>
              <w:t>Kcal/mol)</w:t>
            </w:r>
          </w:p>
        </w:tc>
      </w:tr>
      <w:tr w:rsidR="0052046B" w:rsidRPr="008C76B1" w14:paraId="45CE0ED7" w14:textId="77777777" w:rsidTr="00261B7D">
        <w:tc>
          <w:tcPr>
            <w:tcW w:w="990" w:type="dxa"/>
            <w:tcBorders>
              <w:top w:val="single" w:sz="4" w:space="0" w:color="auto"/>
              <w:left w:val="single" w:sz="4" w:space="0" w:color="auto"/>
              <w:bottom w:val="single" w:sz="4" w:space="0" w:color="auto"/>
              <w:right w:val="single" w:sz="4" w:space="0" w:color="auto"/>
            </w:tcBorders>
          </w:tcPr>
          <w:p w14:paraId="64A0ECDA" w14:textId="77777777" w:rsidR="0052046B" w:rsidRPr="008C76B1" w:rsidRDefault="0052046B" w:rsidP="00A803B4">
            <w:pPr>
              <w:spacing w:line="360" w:lineRule="auto"/>
              <w:jc w:val="center"/>
              <w:rPr>
                <w:rFonts w:ascii="Arial" w:eastAsia="Times New Roman" w:hAnsi="Arial" w:cs="Arial"/>
                <w:b/>
                <w:bCs/>
                <w:kern w:val="0"/>
                <w:sz w:val="20"/>
                <w:szCs w:val="20"/>
              </w:rPr>
            </w:pPr>
            <w:r w:rsidRPr="008C76B1">
              <w:rPr>
                <w:rFonts w:ascii="Arial" w:eastAsia="Times New Roman" w:hAnsi="Arial" w:cs="Arial"/>
                <w:kern w:val="0"/>
                <w:sz w:val="20"/>
                <w:szCs w:val="20"/>
              </w:rPr>
              <w:lastRenderedPageBreak/>
              <w:t>1</w:t>
            </w:r>
          </w:p>
        </w:tc>
        <w:tc>
          <w:tcPr>
            <w:tcW w:w="5456" w:type="dxa"/>
            <w:tcBorders>
              <w:top w:val="single" w:sz="4" w:space="0" w:color="auto"/>
              <w:left w:val="single" w:sz="4" w:space="0" w:color="auto"/>
              <w:bottom w:val="single" w:sz="4" w:space="0" w:color="auto"/>
              <w:right w:val="single" w:sz="4" w:space="0" w:color="auto"/>
            </w:tcBorders>
          </w:tcPr>
          <w:p w14:paraId="0CAB4C5A" w14:textId="77777777" w:rsidR="0052046B" w:rsidRPr="008C76B1" w:rsidRDefault="0052046B" w:rsidP="00A803B4">
            <w:pPr>
              <w:spacing w:line="360" w:lineRule="auto"/>
              <w:jc w:val="center"/>
              <w:rPr>
                <w:rFonts w:ascii="Arial" w:eastAsia="Times New Roman" w:hAnsi="Arial" w:cs="Arial"/>
                <w:bCs/>
                <w:kern w:val="0"/>
                <w:sz w:val="20"/>
                <w:szCs w:val="20"/>
              </w:rPr>
            </w:pPr>
            <w:proofErr w:type="spellStart"/>
            <w:r w:rsidRPr="008C76B1">
              <w:rPr>
                <w:rFonts w:ascii="Arial" w:eastAsia="Times New Roman" w:hAnsi="Arial" w:cs="Arial"/>
                <w:bCs/>
                <w:kern w:val="0"/>
                <w:sz w:val="20"/>
                <w:szCs w:val="20"/>
              </w:rPr>
              <w:t>Pemigatinib</w:t>
            </w:r>
            <w:proofErr w:type="spellEnd"/>
          </w:p>
          <w:p w14:paraId="229CD46A" w14:textId="77777777" w:rsidR="0052046B" w:rsidRPr="008C76B1" w:rsidRDefault="0052046B" w:rsidP="00A803B4">
            <w:pPr>
              <w:spacing w:line="360" w:lineRule="auto"/>
              <w:jc w:val="center"/>
              <w:rPr>
                <w:rFonts w:ascii="Arial" w:eastAsia="Times New Roman" w:hAnsi="Arial" w:cs="Arial"/>
                <w:b/>
                <w:bCs/>
                <w:kern w:val="0"/>
                <w:sz w:val="20"/>
                <w:szCs w:val="20"/>
              </w:rPr>
            </w:pPr>
            <w:r w:rsidRPr="008C76B1">
              <w:rPr>
                <w:rFonts w:ascii="Arial" w:eastAsia="Times New Roman" w:hAnsi="Arial" w:cs="Arial"/>
                <w:kern w:val="0"/>
                <w:sz w:val="20"/>
                <w:szCs w:val="20"/>
              </w:rPr>
              <w:t>(Standard Drug)</w:t>
            </w:r>
          </w:p>
        </w:tc>
        <w:tc>
          <w:tcPr>
            <w:tcW w:w="1426" w:type="dxa"/>
            <w:tcBorders>
              <w:top w:val="single" w:sz="4" w:space="0" w:color="auto"/>
              <w:left w:val="single" w:sz="4" w:space="0" w:color="auto"/>
              <w:bottom w:val="single" w:sz="4" w:space="0" w:color="auto"/>
              <w:right w:val="single" w:sz="4" w:space="0" w:color="auto"/>
            </w:tcBorders>
          </w:tcPr>
          <w:p w14:paraId="758DB76D" w14:textId="77777777" w:rsidR="0052046B" w:rsidRPr="008C76B1" w:rsidRDefault="0052046B" w:rsidP="00A803B4">
            <w:pPr>
              <w:spacing w:line="360" w:lineRule="auto"/>
              <w:jc w:val="center"/>
              <w:rPr>
                <w:rFonts w:ascii="Arial" w:eastAsia="Times New Roman" w:hAnsi="Arial" w:cs="Arial"/>
                <w:b/>
                <w:bCs/>
                <w:kern w:val="0"/>
                <w:sz w:val="20"/>
                <w:szCs w:val="20"/>
              </w:rPr>
            </w:pPr>
            <w:r w:rsidRPr="008C76B1">
              <w:rPr>
                <w:rFonts w:ascii="Arial" w:eastAsia="Times New Roman" w:hAnsi="Arial" w:cs="Arial"/>
                <w:kern w:val="0"/>
                <w:sz w:val="20"/>
                <w:szCs w:val="20"/>
              </w:rPr>
              <w:t>-9.7</w:t>
            </w:r>
          </w:p>
        </w:tc>
        <w:tc>
          <w:tcPr>
            <w:tcW w:w="1213" w:type="dxa"/>
            <w:tcBorders>
              <w:top w:val="single" w:sz="4" w:space="0" w:color="auto"/>
              <w:left w:val="single" w:sz="4" w:space="0" w:color="auto"/>
              <w:bottom w:val="single" w:sz="4" w:space="0" w:color="auto"/>
              <w:right w:val="single" w:sz="4" w:space="0" w:color="auto"/>
            </w:tcBorders>
          </w:tcPr>
          <w:p w14:paraId="58C2D76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-7.5</w:t>
            </w:r>
          </w:p>
        </w:tc>
      </w:tr>
      <w:tr w:rsidR="0052046B" w:rsidRPr="008C76B1" w14:paraId="0E894CD8" w14:textId="77777777" w:rsidTr="00261B7D">
        <w:tc>
          <w:tcPr>
            <w:tcW w:w="990" w:type="dxa"/>
            <w:tcBorders>
              <w:top w:val="single" w:sz="4" w:space="0" w:color="auto"/>
              <w:left w:val="single" w:sz="4" w:space="0" w:color="auto"/>
              <w:bottom w:val="single" w:sz="4" w:space="0" w:color="auto"/>
              <w:right w:val="single" w:sz="4" w:space="0" w:color="auto"/>
            </w:tcBorders>
          </w:tcPr>
          <w:p w14:paraId="0D1C1D1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w:t>
            </w:r>
          </w:p>
        </w:tc>
        <w:tc>
          <w:tcPr>
            <w:tcW w:w="5456" w:type="dxa"/>
            <w:tcBorders>
              <w:top w:val="single" w:sz="4" w:space="0" w:color="auto"/>
              <w:left w:val="single" w:sz="4" w:space="0" w:color="auto"/>
              <w:bottom w:val="single" w:sz="4" w:space="0" w:color="auto"/>
              <w:right w:val="single" w:sz="4" w:space="0" w:color="auto"/>
            </w:tcBorders>
            <w:hideMark/>
          </w:tcPr>
          <w:p w14:paraId="0A94735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10-Hydroxytrilobacin</w:t>
            </w:r>
          </w:p>
        </w:tc>
        <w:tc>
          <w:tcPr>
            <w:tcW w:w="1426" w:type="dxa"/>
            <w:tcBorders>
              <w:top w:val="single" w:sz="4" w:space="0" w:color="auto"/>
              <w:left w:val="single" w:sz="4" w:space="0" w:color="auto"/>
              <w:bottom w:val="single" w:sz="4" w:space="0" w:color="auto"/>
              <w:right w:val="single" w:sz="4" w:space="0" w:color="auto"/>
            </w:tcBorders>
            <w:hideMark/>
          </w:tcPr>
          <w:p w14:paraId="7C1999B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-12.3</w:t>
            </w:r>
          </w:p>
        </w:tc>
        <w:tc>
          <w:tcPr>
            <w:tcW w:w="1213" w:type="dxa"/>
            <w:tcBorders>
              <w:top w:val="single" w:sz="4" w:space="0" w:color="auto"/>
              <w:left w:val="single" w:sz="4" w:space="0" w:color="auto"/>
              <w:bottom w:val="single" w:sz="4" w:space="0" w:color="auto"/>
              <w:right w:val="single" w:sz="4" w:space="0" w:color="auto"/>
            </w:tcBorders>
          </w:tcPr>
          <w:p w14:paraId="7D2BA5E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-9.7</w:t>
            </w:r>
          </w:p>
        </w:tc>
      </w:tr>
      <w:tr w:rsidR="0052046B" w:rsidRPr="008C76B1" w14:paraId="5B03CF2E" w14:textId="77777777" w:rsidTr="00261B7D">
        <w:tc>
          <w:tcPr>
            <w:tcW w:w="990" w:type="dxa"/>
            <w:tcBorders>
              <w:top w:val="single" w:sz="4" w:space="0" w:color="auto"/>
              <w:left w:val="single" w:sz="4" w:space="0" w:color="auto"/>
              <w:bottom w:val="single" w:sz="4" w:space="0" w:color="auto"/>
              <w:right w:val="single" w:sz="4" w:space="0" w:color="auto"/>
            </w:tcBorders>
          </w:tcPr>
          <w:p w14:paraId="4455A28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w:t>
            </w:r>
          </w:p>
        </w:tc>
        <w:tc>
          <w:tcPr>
            <w:tcW w:w="5456" w:type="dxa"/>
            <w:tcBorders>
              <w:top w:val="single" w:sz="4" w:space="0" w:color="auto"/>
              <w:left w:val="single" w:sz="4" w:space="0" w:color="auto"/>
              <w:bottom w:val="single" w:sz="4" w:space="0" w:color="auto"/>
              <w:right w:val="single" w:sz="4" w:space="0" w:color="auto"/>
            </w:tcBorders>
            <w:hideMark/>
          </w:tcPr>
          <w:p w14:paraId="244A023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Mosin B</w:t>
            </w:r>
          </w:p>
        </w:tc>
        <w:tc>
          <w:tcPr>
            <w:tcW w:w="1426" w:type="dxa"/>
            <w:tcBorders>
              <w:top w:val="single" w:sz="4" w:space="0" w:color="auto"/>
              <w:left w:val="single" w:sz="4" w:space="0" w:color="auto"/>
              <w:bottom w:val="single" w:sz="4" w:space="0" w:color="auto"/>
              <w:right w:val="single" w:sz="4" w:space="0" w:color="auto"/>
            </w:tcBorders>
            <w:hideMark/>
          </w:tcPr>
          <w:p w14:paraId="4644EA8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-12.1</w:t>
            </w:r>
          </w:p>
        </w:tc>
        <w:tc>
          <w:tcPr>
            <w:tcW w:w="1213" w:type="dxa"/>
            <w:tcBorders>
              <w:top w:val="single" w:sz="4" w:space="0" w:color="auto"/>
              <w:left w:val="single" w:sz="4" w:space="0" w:color="auto"/>
              <w:bottom w:val="single" w:sz="4" w:space="0" w:color="auto"/>
              <w:right w:val="single" w:sz="4" w:space="0" w:color="auto"/>
            </w:tcBorders>
          </w:tcPr>
          <w:p w14:paraId="5CE5128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r>
      <w:tr w:rsidR="0052046B" w:rsidRPr="008C76B1" w14:paraId="71A08B93" w14:textId="77777777" w:rsidTr="00261B7D">
        <w:tc>
          <w:tcPr>
            <w:tcW w:w="990" w:type="dxa"/>
            <w:tcBorders>
              <w:top w:val="single" w:sz="4" w:space="0" w:color="auto"/>
              <w:left w:val="single" w:sz="4" w:space="0" w:color="auto"/>
              <w:bottom w:val="single" w:sz="4" w:space="0" w:color="auto"/>
              <w:right w:val="single" w:sz="4" w:space="0" w:color="auto"/>
            </w:tcBorders>
          </w:tcPr>
          <w:p w14:paraId="3C2FFC4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w:t>
            </w:r>
          </w:p>
        </w:tc>
        <w:tc>
          <w:tcPr>
            <w:tcW w:w="5456" w:type="dxa"/>
            <w:tcBorders>
              <w:top w:val="single" w:sz="4" w:space="0" w:color="auto"/>
              <w:left w:val="single" w:sz="4" w:space="0" w:color="auto"/>
              <w:bottom w:val="single" w:sz="4" w:space="0" w:color="auto"/>
              <w:right w:val="single" w:sz="4" w:space="0" w:color="auto"/>
            </w:tcBorders>
            <w:hideMark/>
          </w:tcPr>
          <w:p w14:paraId="17ED8D6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Rollinecins</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0F5673F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-11.3</w:t>
            </w:r>
          </w:p>
        </w:tc>
        <w:tc>
          <w:tcPr>
            <w:tcW w:w="1213" w:type="dxa"/>
            <w:tcBorders>
              <w:top w:val="single" w:sz="4" w:space="0" w:color="auto"/>
              <w:left w:val="single" w:sz="4" w:space="0" w:color="auto"/>
              <w:bottom w:val="single" w:sz="4" w:space="0" w:color="auto"/>
              <w:right w:val="single" w:sz="4" w:space="0" w:color="auto"/>
            </w:tcBorders>
          </w:tcPr>
          <w:p w14:paraId="02AAE85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-9.7</w:t>
            </w:r>
          </w:p>
        </w:tc>
      </w:tr>
      <w:tr w:rsidR="0052046B" w:rsidRPr="008C76B1" w14:paraId="750D64C1" w14:textId="77777777" w:rsidTr="00261B7D">
        <w:tc>
          <w:tcPr>
            <w:tcW w:w="990" w:type="dxa"/>
            <w:tcBorders>
              <w:top w:val="single" w:sz="4" w:space="0" w:color="auto"/>
              <w:left w:val="single" w:sz="4" w:space="0" w:color="auto"/>
              <w:bottom w:val="single" w:sz="4" w:space="0" w:color="auto"/>
              <w:right w:val="single" w:sz="4" w:space="0" w:color="auto"/>
            </w:tcBorders>
          </w:tcPr>
          <w:p w14:paraId="3717802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w:t>
            </w:r>
          </w:p>
        </w:tc>
        <w:tc>
          <w:tcPr>
            <w:tcW w:w="5456" w:type="dxa"/>
            <w:tcBorders>
              <w:top w:val="single" w:sz="4" w:space="0" w:color="auto"/>
              <w:left w:val="single" w:sz="4" w:space="0" w:color="auto"/>
              <w:bottom w:val="single" w:sz="4" w:space="0" w:color="auto"/>
              <w:right w:val="single" w:sz="4" w:space="0" w:color="auto"/>
            </w:tcBorders>
          </w:tcPr>
          <w:p w14:paraId="1B9C9C1C"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Glacins</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tcPr>
          <w:p w14:paraId="621D914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-11.1</w:t>
            </w:r>
          </w:p>
        </w:tc>
        <w:tc>
          <w:tcPr>
            <w:tcW w:w="1213" w:type="dxa"/>
            <w:tcBorders>
              <w:top w:val="single" w:sz="4" w:space="0" w:color="auto"/>
              <w:left w:val="single" w:sz="4" w:space="0" w:color="auto"/>
              <w:bottom w:val="single" w:sz="4" w:space="0" w:color="auto"/>
              <w:right w:val="single" w:sz="4" w:space="0" w:color="auto"/>
            </w:tcBorders>
          </w:tcPr>
          <w:p w14:paraId="235AFFA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r>
      <w:tr w:rsidR="0052046B" w:rsidRPr="008C76B1" w14:paraId="7B4D499B" w14:textId="77777777" w:rsidTr="00261B7D">
        <w:tc>
          <w:tcPr>
            <w:tcW w:w="990" w:type="dxa"/>
            <w:tcBorders>
              <w:top w:val="single" w:sz="4" w:space="0" w:color="auto"/>
              <w:left w:val="single" w:sz="4" w:space="0" w:color="auto"/>
              <w:bottom w:val="single" w:sz="4" w:space="0" w:color="auto"/>
              <w:right w:val="single" w:sz="4" w:space="0" w:color="auto"/>
            </w:tcBorders>
          </w:tcPr>
          <w:p w14:paraId="1DDF32D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w:t>
            </w:r>
          </w:p>
        </w:tc>
        <w:tc>
          <w:tcPr>
            <w:tcW w:w="5456" w:type="dxa"/>
            <w:tcBorders>
              <w:top w:val="single" w:sz="4" w:space="0" w:color="auto"/>
              <w:left w:val="single" w:sz="4" w:space="0" w:color="auto"/>
              <w:bottom w:val="single" w:sz="4" w:space="0" w:color="auto"/>
              <w:right w:val="single" w:sz="4" w:space="0" w:color="auto"/>
            </w:tcBorders>
          </w:tcPr>
          <w:p w14:paraId="16ADCC74"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Muricapentocin</w:t>
            </w:r>
            <w:proofErr w:type="spellEnd"/>
          </w:p>
        </w:tc>
        <w:tc>
          <w:tcPr>
            <w:tcW w:w="1426" w:type="dxa"/>
            <w:tcBorders>
              <w:top w:val="single" w:sz="4" w:space="0" w:color="auto"/>
              <w:left w:val="single" w:sz="4" w:space="0" w:color="auto"/>
              <w:bottom w:val="single" w:sz="4" w:space="0" w:color="auto"/>
              <w:right w:val="single" w:sz="4" w:space="0" w:color="auto"/>
            </w:tcBorders>
          </w:tcPr>
          <w:p w14:paraId="2489450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-10.8</w:t>
            </w:r>
          </w:p>
        </w:tc>
        <w:tc>
          <w:tcPr>
            <w:tcW w:w="1213" w:type="dxa"/>
            <w:tcBorders>
              <w:top w:val="single" w:sz="4" w:space="0" w:color="auto"/>
              <w:left w:val="single" w:sz="4" w:space="0" w:color="auto"/>
              <w:bottom w:val="single" w:sz="4" w:space="0" w:color="auto"/>
              <w:right w:val="single" w:sz="4" w:space="0" w:color="auto"/>
            </w:tcBorders>
          </w:tcPr>
          <w:p w14:paraId="4129CA9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40A944A7" w14:textId="77777777" w:rsidTr="00261B7D">
        <w:tc>
          <w:tcPr>
            <w:tcW w:w="990" w:type="dxa"/>
            <w:tcBorders>
              <w:top w:val="single" w:sz="4" w:space="0" w:color="auto"/>
              <w:left w:val="single" w:sz="4" w:space="0" w:color="auto"/>
              <w:bottom w:val="single" w:sz="4" w:space="0" w:color="auto"/>
              <w:right w:val="single" w:sz="4" w:space="0" w:color="auto"/>
            </w:tcBorders>
          </w:tcPr>
          <w:p w14:paraId="5F0DC83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w:t>
            </w:r>
          </w:p>
        </w:tc>
        <w:tc>
          <w:tcPr>
            <w:tcW w:w="5456" w:type="dxa"/>
            <w:tcBorders>
              <w:top w:val="single" w:sz="4" w:space="0" w:color="auto"/>
              <w:left w:val="single" w:sz="4" w:space="0" w:color="auto"/>
              <w:bottom w:val="single" w:sz="4" w:space="0" w:color="auto"/>
              <w:right w:val="single" w:sz="4" w:space="0" w:color="auto"/>
            </w:tcBorders>
            <w:hideMark/>
          </w:tcPr>
          <w:p w14:paraId="2EC64756"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Annoglaxin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07AB7CE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-10.7</w:t>
            </w:r>
          </w:p>
        </w:tc>
        <w:tc>
          <w:tcPr>
            <w:tcW w:w="1213" w:type="dxa"/>
            <w:tcBorders>
              <w:top w:val="single" w:sz="4" w:space="0" w:color="auto"/>
              <w:left w:val="single" w:sz="4" w:space="0" w:color="auto"/>
              <w:bottom w:val="single" w:sz="4" w:space="0" w:color="auto"/>
              <w:right w:val="single" w:sz="4" w:space="0" w:color="auto"/>
            </w:tcBorders>
          </w:tcPr>
          <w:p w14:paraId="58E4129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r>
      <w:tr w:rsidR="0052046B" w:rsidRPr="008C76B1" w14:paraId="21612C97" w14:textId="77777777" w:rsidTr="00261B7D">
        <w:tc>
          <w:tcPr>
            <w:tcW w:w="990" w:type="dxa"/>
            <w:tcBorders>
              <w:top w:val="single" w:sz="4" w:space="0" w:color="auto"/>
              <w:left w:val="single" w:sz="4" w:space="0" w:color="auto"/>
              <w:bottom w:val="single" w:sz="4" w:space="0" w:color="auto"/>
              <w:right w:val="single" w:sz="4" w:space="0" w:color="auto"/>
            </w:tcBorders>
          </w:tcPr>
          <w:p w14:paraId="38BB9DC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w:t>
            </w:r>
          </w:p>
        </w:tc>
        <w:tc>
          <w:tcPr>
            <w:tcW w:w="5456" w:type="dxa"/>
            <w:tcBorders>
              <w:top w:val="single" w:sz="4" w:space="0" w:color="auto"/>
              <w:left w:val="single" w:sz="4" w:space="0" w:color="auto"/>
              <w:bottom w:val="single" w:sz="4" w:space="0" w:color="auto"/>
              <w:right w:val="single" w:sz="4" w:space="0" w:color="auto"/>
            </w:tcBorders>
          </w:tcPr>
          <w:p w14:paraId="10A180D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Annomuricine E</w:t>
            </w:r>
          </w:p>
        </w:tc>
        <w:tc>
          <w:tcPr>
            <w:tcW w:w="1426" w:type="dxa"/>
            <w:tcBorders>
              <w:top w:val="single" w:sz="4" w:space="0" w:color="auto"/>
              <w:left w:val="single" w:sz="4" w:space="0" w:color="auto"/>
              <w:bottom w:val="single" w:sz="4" w:space="0" w:color="auto"/>
              <w:right w:val="single" w:sz="4" w:space="0" w:color="auto"/>
            </w:tcBorders>
          </w:tcPr>
          <w:p w14:paraId="1ED96B6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-10.6</w:t>
            </w:r>
          </w:p>
        </w:tc>
        <w:tc>
          <w:tcPr>
            <w:tcW w:w="1213" w:type="dxa"/>
            <w:tcBorders>
              <w:top w:val="single" w:sz="4" w:space="0" w:color="auto"/>
              <w:left w:val="single" w:sz="4" w:space="0" w:color="auto"/>
              <w:bottom w:val="single" w:sz="4" w:space="0" w:color="auto"/>
              <w:right w:val="single" w:sz="4" w:space="0" w:color="auto"/>
            </w:tcBorders>
          </w:tcPr>
          <w:p w14:paraId="15F98B4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r>
      <w:tr w:rsidR="0052046B" w:rsidRPr="008C76B1" w14:paraId="5570131A" w14:textId="77777777" w:rsidTr="00261B7D">
        <w:tc>
          <w:tcPr>
            <w:tcW w:w="990" w:type="dxa"/>
            <w:tcBorders>
              <w:top w:val="single" w:sz="4" w:space="0" w:color="auto"/>
              <w:left w:val="single" w:sz="4" w:space="0" w:color="auto"/>
              <w:bottom w:val="single" w:sz="4" w:space="0" w:color="auto"/>
              <w:right w:val="single" w:sz="4" w:space="0" w:color="auto"/>
            </w:tcBorders>
          </w:tcPr>
          <w:p w14:paraId="27F851C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w:t>
            </w:r>
          </w:p>
        </w:tc>
        <w:tc>
          <w:tcPr>
            <w:tcW w:w="5456" w:type="dxa"/>
            <w:tcBorders>
              <w:top w:val="single" w:sz="4" w:space="0" w:color="auto"/>
              <w:left w:val="single" w:sz="4" w:space="0" w:color="auto"/>
              <w:bottom w:val="single" w:sz="4" w:space="0" w:color="auto"/>
              <w:right w:val="single" w:sz="4" w:space="0" w:color="auto"/>
            </w:tcBorders>
            <w:hideMark/>
          </w:tcPr>
          <w:p w14:paraId="7C653C1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Rollinecins</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52BF3C8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-10.6</w:t>
            </w:r>
          </w:p>
        </w:tc>
        <w:tc>
          <w:tcPr>
            <w:tcW w:w="1213" w:type="dxa"/>
            <w:tcBorders>
              <w:top w:val="single" w:sz="4" w:space="0" w:color="auto"/>
              <w:left w:val="single" w:sz="4" w:space="0" w:color="auto"/>
              <w:bottom w:val="single" w:sz="4" w:space="0" w:color="auto"/>
              <w:right w:val="single" w:sz="4" w:space="0" w:color="auto"/>
            </w:tcBorders>
          </w:tcPr>
          <w:p w14:paraId="0D82291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-9.5</w:t>
            </w:r>
          </w:p>
        </w:tc>
      </w:tr>
      <w:tr w:rsidR="0052046B" w:rsidRPr="008C76B1" w14:paraId="6BCA1315" w14:textId="77777777" w:rsidTr="00261B7D">
        <w:tc>
          <w:tcPr>
            <w:tcW w:w="990" w:type="dxa"/>
            <w:tcBorders>
              <w:top w:val="single" w:sz="4" w:space="0" w:color="auto"/>
              <w:left w:val="single" w:sz="4" w:space="0" w:color="auto"/>
              <w:bottom w:val="single" w:sz="4" w:space="0" w:color="auto"/>
              <w:right w:val="single" w:sz="4" w:space="0" w:color="auto"/>
            </w:tcBorders>
          </w:tcPr>
          <w:p w14:paraId="4799B6E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w:t>
            </w:r>
          </w:p>
        </w:tc>
        <w:tc>
          <w:tcPr>
            <w:tcW w:w="5456" w:type="dxa"/>
            <w:tcBorders>
              <w:top w:val="single" w:sz="4" w:space="0" w:color="auto"/>
              <w:left w:val="single" w:sz="4" w:space="0" w:color="auto"/>
              <w:bottom w:val="single" w:sz="4" w:space="0" w:color="auto"/>
              <w:right w:val="single" w:sz="4" w:space="0" w:color="auto"/>
            </w:tcBorders>
            <w:hideMark/>
          </w:tcPr>
          <w:p w14:paraId="6F0B337A"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Longimicins</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1BC2D4E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-10.1</w:t>
            </w:r>
          </w:p>
        </w:tc>
        <w:tc>
          <w:tcPr>
            <w:tcW w:w="1213" w:type="dxa"/>
            <w:tcBorders>
              <w:top w:val="single" w:sz="4" w:space="0" w:color="auto"/>
              <w:left w:val="single" w:sz="4" w:space="0" w:color="auto"/>
              <w:bottom w:val="single" w:sz="4" w:space="0" w:color="auto"/>
              <w:right w:val="single" w:sz="4" w:space="0" w:color="auto"/>
            </w:tcBorders>
          </w:tcPr>
          <w:p w14:paraId="1C6F101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r>
      <w:tr w:rsidR="0052046B" w:rsidRPr="008C76B1" w14:paraId="12BF4039" w14:textId="77777777" w:rsidTr="00261B7D">
        <w:tc>
          <w:tcPr>
            <w:tcW w:w="990" w:type="dxa"/>
            <w:tcBorders>
              <w:top w:val="single" w:sz="4" w:space="0" w:color="auto"/>
              <w:left w:val="single" w:sz="4" w:space="0" w:color="auto"/>
              <w:bottom w:val="single" w:sz="4" w:space="0" w:color="auto"/>
              <w:right w:val="single" w:sz="4" w:space="0" w:color="auto"/>
            </w:tcBorders>
          </w:tcPr>
          <w:p w14:paraId="424AF1B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11</w:t>
            </w:r>
          </w:p>
        </w:tc>
        <w:tc>
          <w:tcPr>
            <w:tcW w:w="5456" w:type="dxa"/>
            <w:tcBorders>
              <w:top w:val="single" w:sz="4" w:space="0" w:color="auto"/>
              <w:left w:val="single" w:sz="4" w:space="0" w:color="auto"/>
              <w:bottom w:val="single" w:sz="4" w:space="0" w:color="auto"/>
              <w:right w:val="single" w:sz="4" w:space="0" w:color="auto"/>
            </w:tcBorders>
            <w:hideMark/>
          </w:tcPr>
          <w:p w14:paraId="502787F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Alpha-</w:t>
            </w:r>
            <w:proofErr w:type="spellStart"/>
            <w:r w:rsidRPr="008C76B1">
              <w:rPr>
                <w:rFonts w:ascii="Arial" w:eastAsia="Times New Roman" w:hAnsi="Arial" w:cs="Arial"/>
                <w:kern w:val="0"/>
                <w:sz w:val="20"/>
                <w:szCs w:val="20"/>
              </w:rPr>
              <w:t>hederin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1797049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-9.9</w:t>
            </w:r>
          </w:p>
        </w:tc>
        <w:tc>
          <w:tcPr>
            <w:tcW w:w="1213" w:type="dxa"/>
            <w:tcBorders>
              <w:top w:val="single" w:sz="4" w:space="0" w:color="auto"/>
              <w:left w:val="single" w:sz="4" w:space="0" w:color="auto"/>
              <w:bottom w:val="single" w:sz="4" w:space="0" w:color="auto"/>
              <w:right w:val="single" w:sz="4" w:space="0" w:color="auto"/>
            </w:tcBorders>
          </w:tcPr>
          <w:p w14:paraId="1796E44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-8.0</w:t>
            </w:r>
          </w:p>
        </w:tc>
      </w:tr>
      <w:tr w:rsidR="0052046B" w:rsidRPr="008C76B1" w14:paraId="19D6D262" w14:textId="77777777" w:rsidTr="00261B7D">
        <w:tc>
          <w:tcPr>
            <w:tcW w:w="990" w:type="dxa"/>
            <w:tcBorders>
              <w:top w:val="single" w:sz="4" w:space="0" w:color="auto"/>
              <w:left w:val="single" w:sz="4" w:space="0" w:color="auto"/>
              <w:bottom w:val="single" w:sz="4" w:space="0" w:color="auto"/>
              <w:right w:val="single" w:sz="4" w:space="0" w:color="auto"/>
            </w:tcBorders>
          </w:tcPr>
          <w:p w14:paraId="4E0F7D6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w:t>
            </w:r>
          </w:p>
        </w:tc>
        <w:tc>
          <w:tcPr>
            <w:tcW w:w="5456" w:type="dxa"/>
            <w:tcBorders>
              <w:top w:val="single" w:sz="4" w:space="0" w:color="auto"/>
              <w:left w:val="single" w:sz="4" w:space="0" w:color="auto"/>
              <w:bottom w:val="single" w:sz="4" w:space="0" w:color="auto"/>
              <w:right w:val="single" w:sz="4" w:space="0" w:color="auto"/>
            </w:tcBorders>
            <w:hideMark/>
          </w:tcPr>
          <w:p w14:paraId="434BE40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Annonacin A</w:t>
            </w:r>
          </w:p>
        </w:tc>
        <w:tc>
          <w:tcPr>
            <w:tcW w:w="1426" w:type="dxa"/>
            <w:tcBorders>
              <w:top w:val="single" w:sz="4" w:space="0" w:color="auto"/>
              <w:left w:val="single" w:sz="4" w:space="0" w:color="auto"/>
              <w:bottom w:val="single" w:sz="4" w:space="0" w:color="auto"/>
              <w:right w:val="single" w:sz="4" w:space="0" w:color="auto"/>
            </w:tcBorders>
            <w:hideMark/>
          </w:tcPr>
          <w:p w14:paraId="51782FD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-9.9</w:t>
            </w:r>
          </w:p>
        </w:tc>
        <w:tc>
          <w:tcPr>
            <w:tcW w:w="1213" w:type="dxa"/>
            <w:tcBorders>
              <w:top w:val="single" w:sz="4" w:space="0" w:color="auto"/>
              <w:left w:val="single" w:sz="4" w:space="0" w:color="auto"/>
              <w:bottom w:val="single" w:sz="4" w:space="0" w:color="auto"/>
              <w:right w:val="single" w:sz="4" w:space="0" w:color="auto"/>
            </w:tcBorders>
          </w:tcPr>
          <w:p w14:paraId="0AD1487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-9.7</w:t>
            </w:r>
          </w:p>
        </w:tc>
      </w:tr>
      <w:tr w:rsidR="0052046B" w:rsidRPr="008C76B1" w14:paraId="1E49DCE0" w14:textId="77777777" w:rsidTr="00261B7D">
        <w:tc>
          <w:tcPr>
            <w:tcW w:w="990" w:type="dxa"/>
            <w:tcBorders>
              <w:top w:val="single" w:sz="4" w:space="0" w:color="auto"/>
              <w:left w:val="single" w:sz="4" w:space="0" w:color="auto"/>
              <w:bottom w:val="single" w:sz="4" w:space="0" w:color="auto"/>
              <w:right w:val="single" w:sz="4" w:space="0" w:color="auto"/>
            </w:tcBorders>
          </w:tcPr>
          <w:p w14:paraId="6151AD7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13</w:t>
            </w:r>
          </w:p>
        </w:tc>
        <w:tc>
          <w:tcPr>
            <w:tcW w:w="5456" w:type="dxa"/>
            <w:tcBorders>
              <w:top w:val="single" w:sz="4" w:space="0" w:color="auto"/>
              <w:left w:val="single" w:sz="4" w:space="0" w:color="auto"/>
              <w:bottom w:val="single" w:sz="4" w:space="0" w:color="auto"/>
              <w:right w:val="single" w:sz="4" w:space="0" w:color="auto"/>
            </w:tcBorders>
            <w:hideMark/>
          </w:tcPr>
          <w:p w14:paraId="1578094B"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Asitrilobins</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3909470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-9.9</w:t>
            </w:r>
          </w:p>
        </w:tc>
        <w:tc>
          <w:tcPr>
            <w:tcW w:w="1213" w:type="dxa"/>
            <w:tcBorders>
              <w:top w:val="single" w:sz="4" w:space="0" w:color="auto"/>
              <w:left w:val="single" w:sz="4" w:space="0" w:color="auto"/>
              <w:bottom w:val="single" w:sz="4" w:space="0" w:color="auto"/>
              <w:right w:val="single" w:sz="4" w:space="0" w:color="auto"/>
            </w:tcBorders>
          </w:tcPr>
          <w:p w14:paraId="33F6CE0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17EAB5D2" w14:textId="77777777" w:rsidTr="00261B7D">
        <w:tc>
          <w:tcPr>
            <w:tcW w:w="990" w:type="dxa"/>
            <w:tcBorders>
              <w:top w:val="single" w:sz="4" w:space="0" w:color="auto"/>
              <w:left w:val="single" w:sz="4" w:space="0" w:color="auto"/>
              <w:bottom w:val="single" w:sz="4" w:space="0" w:color="auto"/>
              <w:right w:val="single" w:sz="4" w:space="0" w:color="auto"/>
            </w:tcBorders>
          </w:tcPr>
          <w:p w14:paraId="12AB2F0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14</w:t>
            </w:r>
          </w:p>
        </w:tc>
        <w:tc>
          <w:tcPr>
            <w:tcW w:w="5456" w:type="dxa"/>
            <w:tcBorders>
              <w:top w:val="single" w:sz="4" w:space="0" w:color="auto"/>
              <w:left w:val="single" w:sz="4" w:space="0" w:color="auto"/>
              <w:bottom w:val="single" w:sz="4" w:space="0" w:color="auto"/>
              <w:right w:val="single" w:sz="4" w:space="0" w:color="auto"/>
            </w:tcBorders>
            <w:hideMark/>
          </w:tcPr>
          <w:p w14:paraId="4C38EFF8"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Longimicins</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3F5AECA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-9.9</w:t>
            </w:r>
          </w:p>
        </w:tc>
        <w:tc>
          <w:tcPr>
            <w:tcW w:w="1213" w:type="dxa"/>
            <w:tcBorders>
              <w:top w:val="single" w:sz="4" w:space="0" w:color="auto"/>
              <w:left w:val="single" w:sz="4" w:space="0" w:color="auto"/>
              <w:bottom w:val="single" w:sz="4" w:space="0" w:color="auto"/>
              <w:right w:val="single" w:sz="4" w:space="0" w:color="auto"/>
            </w:tcBorders>
          </w:tcPr>
          <w:p w14:paraId="1E35FAF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r>
      <w:tr w:rsidR="0052046B" w:rsidRPr="008C76B1" w14:paraId="5AF973B6" w14:textId="77777777" w:rsidTr="00261B7D">
        <w:tc>
          <w:tcPr>
            <w:tcW w:w="990" w:type="dxa"/>
            <w:tcBorders>
              <w:top w:val="single" w:sz="4" w:space="0" w:color="auto"/>
              <w:left w:val="single" w:sz="4" w:space="0" w:color="auto"/>
              <w:bottom w:val="single" w:sz="4" w:space="0" w:color="auto"/>
              <w:right w:val="single" w:sz="4" w:space="0" w:color="auto"/>
            </w:tcBorders>
          </w:tcPr>
          <w:p w14:paraId="224E011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15</w:t>
            </w:r>
          </w:p>
        </w:tc>
        <w:tc>
          <w:tcPr>
            <w:tcW w:w="5456" w:type="dxa"/>
            <w:tcBorders>
              <w:top w:val="single" w:sz="4" w:space="0" w:color="auto"/>
              <w:left w:val="single" w:sz="4" w:space="0" w:color="auto"/>
              <w:bottom w:val="single" w:sz="4" w:space="0" w:color="auto"/>
              <w:right w:val="single" w:sz="4" w:space="0" w:color="auto"/>
            </w:tcBorders>
            <w:hideMark/>
          </w:tcPr>
          <w:p w14:paraId="258BE9D4"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Bullatetrocin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03963F2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3600E26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r>
      <w:tr w:rsidR="0052046B" w:rsidRPr="008C76B1" w14:paraId="0BD8C55E" w14:textId="77777777" w:rsidTr="00261B7D">
        <w:tc>
          <w:tcPr>
            <w:tcW w:w="990" w:type="dxa"/>
            <w:tcBorders>
              <w:top w:val="single" w:sz="4" w:space="0" w:color="auto"/>
              <w:left w:val="single" w:sz="4" w:space="0" w:color="auto"/>
              <w:bottom w:val="single" w:sz="4" w:space="0" w:color="auto"/>
              <w:right w:val="single" w:sz="4" w:space="0" w:color="auto"/>
            </w:tcBorders>
          </w:tcPr>
          <w:p w14:paraId="2ED8EA1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16</w:t>
            </w:r>
          </w:p>
        </w:tc>
        <w:tc>
          <w:tcPr>
            <w:tcW w:w="5456" w:type="dxa"/>
            <w:tcBorders>
              <w:top w:val="single" w:sz="4" w:space="0" w:color="auto"/>
              <w:left w:val="single" w:sz="4" w:space="0" w:color="auto"/>
              <w:bottom w:val="single" w:sz="4" w:space="0" w:color="auto"/>
              <w:right w:val="single" w:sz="4" w:space="0" w:color="auto"/>
            </w:tcBorders>
            <w:hideMark/>
          </w:tcPr>
          <w:p w14:paraId="5299D13E"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Goniothalamicin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1FD23A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174D4EE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r>
      <w:tr w:rsidR="0052046B" w:rsidRPr="008C76B1" w14:paraId="7B4BA415" w14:textId="77777777" w:rsidTr="00261B7D">
        <w:tc>
          <w:tcPr>
            <w:tcW w:w="990" w:type="dxa"/>
            <w:tcBorders>
              <w:top w:val="single" w:sz="4" w:space="0" w:color="auto"/>
              <w:left w:val="single" w:sz="4" w:space="0" w:color="auto"/>
              <w:bottom w:val="single" w:sz="4" w:space="0" w:color="auto"/>
              <w:right w:val="single" w:sz="4" w:space="0" w:color="auto"/>
            </w:tcBorders>
          </w:tcPr>
          <w:p w14:paraId="16186BA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17</w:t>
            </w:r>
          </w:p>
        </w:tc>
        <w:tc>
          <w:tcPr>
            <w:tcW w:w="5456" w:type="dxa"/>
            <w:tcBorders>
              <w:top w:val="single" w:sz="4" w:space="0" w:color="auto"/>
              <w:left w:val="single" w:sz="4" w:space="0" w:color="auto"/>
              <w:bottom w:val="single" w:sz="4" w:space="0" w:color="auto"/>
              <w:right w:val="single" w:sz="4" w:space="0" w:color="auto"/>
            </w:tcBorders>
            <w:hideMark/>
          </w:tcPr>
          <w:p w14:paraId="41E60071"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Longimicins</w:t>
            </w:r>
            <w:proofErr w:type="spellEnd"/>
            <w:r w:rsidRPr="008C76B1">
              <w:rPr>
                <w:rFonts w:ascii="Arial" w:eastAsia="Times New Roman" w:hAnsi="Arial" w:cs="Arial"/>
                <w:kern w:val="0"/>
                <w:sz w:val="20"/>
                <w:szCs w:val="20"/>
              </w:rPr>
              <w:t xml:space="preserve"> D</w:t>
            </w:r>
          </w:p>
        </w:tc>
        <w:tc>
          <w:tcPr>
            <w:tcW w:w="1426" w:type="dxa"/>
            <w:tcBorders>
              <w:top w:val="single" w:sz="4" w:space="0" w:color="auto"/>
              <w:left w:val="single" w:sz="4" w:space="0" w:color="auto"/>
              <w:bottom w:val="single" w:sz="4" w:space="0" w:color="auto"/>
              <w:right w:val="single" w:sz="4" w:space="0" w:color="auto"/>
            </w:tcBorders>
            <w:hideMark/>
          </w:tcPr>
          <w:p w14:paraId="2FABB9A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69FF1EC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r>
      <w:tr w:rsidR="0052046B" w:rsidRPr="008C76B1" w14:paraId="39E434EC" w14:textId="77777777" w:rsidTr="00261B7D">
        <w:tc>
          <w:tcPr>
            <w:tcW w:w="990" w:type="dxa"/>
            <w:tcBorders>
              <w:top w:val="single" w:sz="4" w:space="0" w:color="auto"/>
              <w:left w:val="single" w:sz="4" w:space="0" w:color="auto"/>
              <w:bottom w:val="single" w:sz="4" w:space="0" w:color="auto"/>
              <w:right w:val="single" w:sz="4" w:space="0" w:color="auto"/>
            </w:tcBorders>
          </w:tcPr>
          <w:p w14:paraId="1FE2AEE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18</w:t>
            </w:r>
          </w:p>
        </w:tc>
        <w:tc>
          <w:tcPr>
            <w:tcW w:w="5456" w:type="dxa"/>
            <w:tcBorders>
              <w:top w:val="single" w:sz="4" w:space="0" w:color="auto"/>
              <w:left w:val="single" w:sz="4" w:space="0" w:color="auto"/>
              <w:bottom w:val="single" w:sz="4" w:space="0" w:color="auto"/>
              <w:right w:val="single" w:sz="4" w:space="0" w:color="auto"/>
            </w:tcBorders>
          </w:tcPr>
          <w:p w14:paraId="565C450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Mosin C</w:t>
            </w:r>
          </w:p>
        </w:tc>
        <w:tc>
          <w:tcPr>
            <w:tcW w:w="1426" w:type="dxa"/>
            <w:tcBorders>
              <w:top w:val="single" w:sz="4" w:space="0" w:color="auto"/>
              <w:left w:val="single" w:sz="4" w:space="0" w:color="auto"/>
              <w:bottom w:val="single" w:sz="4" w:space="0" w:color="auto"/>
              <w:right w:val="single" w:sz="4" w:space="0" w:color="auto"/>
            </w:tcBorders>
          </w:tcPr>
          <w:p w14:paraId="2CD031F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4A18F10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4F854A5D" w14:textId="77777777" w:rsidTr="00261B7D">
        <w:tc>
          <w:tcPr>
            <w:tcW w:w="990" w:type="dxa"/>
            <w:tcBorders>
              <w:top w:val="single" w:sz="4" w:space="0" w:color="auto"/>
              <w:left w:val="single" w:sz="4" w:space="0" w:color="auto"/>
              <w:bottom w:val="single" w:sz="4" w:space="0" w:color="auto"/>
              <w:right w:val="single" w:sz="4" w:space="0" w:color="auto"/>
            </w:tcBorders>
          </w:tcPr>
          <w:p w14:paraId="02CF1A3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19</w:t>
            </w:r>
          </w:p>
        </w:tc>
        <w:tc>
          <w:tcPr>
            <w:tcW w:w="5456" w:type="dxa"/>
            <w:tcBorders>
              <w:top w:val="single" w:sz="4" w:space="0" w:color="auto"/>
              <w:left w:val="single" w:sz="4" w:space="0" w:color="auto"/>
              <w:bottom w:val="single" w:sz="4" w:space="0" w:color="auto"/>
              <w:right w:val="single" w:sz="4" w:space="0" w:color="auto"/>
            </w:tcBorders>
          </w:tcPr>
          <w:p w14:paraId="5E2DEA6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Meliavolkinin</w:t>
            </w:r>
            <w:proofErr w:type="spellEnd"/>
          </w:p>
        </w:tc>
        <w:tc>
          <w:tcPr>
            <w:tcW w:w="1426" w:type="dxa"/>
            <w:tcBorders>
              <w:top w:val="single" w:sz="4" w:space="0" w:color="auto"/>
              <w:left w:val="single" w:sz="4" w:space="0" w:color="auto"/>
              <w:bottom w:val="single" w:sz="4" w:space="0" w:color="auto"/>
              <w:right w:val="single" w:sz="4" w:space="0" w:color="auto"/>
            </w:tcBorders>
          </w:tcPr>
          <w:p w14:paraId="2286484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c>
          <w:tcPr>
            <w:tcW w:w="1213" w:type="dxa"/>
            <w:tcBorders>
              <w:top w:val="single" w:sz="4" w:space="0" w:color="auto"/>
              <w:left w:val="single" w:sz="4" w:space="0" w:color="auto"/>
              <w:bottom w:val="single" w:sz="4" w:space="0" w:color="auto"/>
              <w:right w:val="single" w:sz="4" w:space="0" w:color="auto"/>
            </w:tcBorders>
          </w:tcPr>
          <w:p w14:paraId="148F10D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r>
      <w:tr w:rsidR="0052046B" w:rsidRPr="008C76B1" w14:paraId="32A00243" w14:textId="77777777" w:rsidTr="00261B7D">
        <w:tc>
          <w:tcPr>
            <w:tcW w:w="990" w:type="dxa"/>
            <w:tcBorders>
              <w:top w:val="single" w:sz="4" w:space="0" w:color="auto"/>
              <w:left w:val="single" w:sz="4" w:space="0" w:color="auto"/>
              <w:bottom w:val="single" w:sz="4" w:space="0" w:color="auto"/>
              <w:right w:val="single" w:sz="4" w:space="0" w:color="auto"/>
            </w:tcBorders>
          </w:tcPr>
          <w:p w14:paraId="4782B83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20</w:t>
            </w:r>
          </w:p>
        </w:tc>
        <w:tc>
          <w:tcPr>
            <w:tcW w:w="5456" w:type="dxa"/>
            <w:tcBorders>
              <w:top w:val="single" w:sz="4" w:space="0" w:color="auto"/>
              <w:left w:val="single" w:sz="4" w:space="0" w:color="auto"/>
              <w:bottom w:val="single" w:sz="4" w:space="0" w:color="auto"/>
              <w:right w:val="single" w:sz="4" w:space="0" w:color="auto"/>
            </w:tcBorders>
            <w:hideMark/>
          </w:tcPr>
          <w:p w14:paraId="7CE1D51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(2,4-cis and trans)-</w:t>
            </w:r>
            <w:proofErr w:type="spellStart"/>
            <w:r w:rsidRPr="008C76B1">
              <w:rPr>
                <w:rFonts w:ascii="Arial" w:eastAsia="Times New Roman" w:hAnsi="Arial" w:cs="Arial"/>
                <w:kern w:val="0"/>
                <w:sz w:val="20"/>
                <w:szCs w:val="20"/>
              </w:rPr>
              <w:t>gigantecinone</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EB7EB2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-9.7</w:t>
            </w:r>
          </w:p>
        </w:tc>
        <w:tc>
          <w:tcPr>
            <w:tcW w:w="1213" w:type="dxa"/>
            <w:tcBorders>
              <w:top w:val="single" w:sz="4" w:space="0" w:color="auto"/>
              <w:left w:val="single" w:sz="4" w:space="0" w:color="auto"/>
              <w:bottom w:val="single" w:sz="4" w:space="0" w:color="auto"/>
              <w:right w:val="single" w:sz="4" w:space="0" w:color="auto"/>
            </w:tcBorders>
          </w:tcPr>
          <w:p w14:paraId="70C437D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-9.5</w:t>
            </w:r>
          </w:p>
        </w:tc>
      </w:tr>
      <w:tr w:rsidR="0052046B" w:rsidRPr="008C76B1" w14:paraId="390D2C1A" w14:textId="77777777" w:rsidTr="00261B7D">
        <w:tc>
          <w:tcPr>
            <w:tcW w:w="990" w:type="dxa"/>
            <w:tcBorders>
              <w:top w:val="single" w:sz="4" w:space="0" w:color="auto"/>
              <w:left w:val="single" w:sz="4" w:space="0" w:color="auto"/>
              <w:bottom w:val="single" w:sz="4" w:space="0" w:color="auto"/>
              <w:right w:val="single" w:sz="4" w:space="0" w:color="auto"/>
            </w:tcBorders>
          </w:tcPr>
          <w:p w14:paraId="3F838A4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21</w:t>
            </w:r>
          </w:p>
        </w:tc>
        <w:tc>
          <w:tcPr>
            <w:tcW w:w="5456" w:type="dxa"/>
            <w:tcBorders>
              <w:top w:val="single" w:sz="4" w:space="0" w:color="auto"/>
              <w:left w:val="single" w:sz="4" w:space="0" w:color="auto"/>
              <w:bottom w:val="single" w:sz="4" w:space="0" w:color="auto"/>
              <w:right w:val="single" w:sz="4" w:space="0" w:color="auto"/>
            </w:tcBorders>
            <w:hideMark/>
          </w:tcPr>
          <w:p w14:paraId="345B7EC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4-deoxygigantecin</w:t>
            </w:r>
          </w:p>
        </w:tc>
        <w:tc>
          <w:tcPr>
            <w:tcW w:w="1426" w:type="dxa"/>
            <w:tcBorders>
              <w:top w:val="single" w:sz="4" w:space="0" w:color="auto"/>
              <w:left w:val="single" w:sz="4" w:space="0" w:color="auto"/>
              <w:bottom w:val="single" w:sz="4" w:space="0" w:color="auto"/>
              <w:right w:val="single" w:sz="4" w:space="0" w:color="auto"/>
            </w:tcBorders>
            <w:hideMark/>
          </w:tcPr>
          <w:p w14:paraId="351BAE1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-9.6</w:t>
            </w:r>
          </w:p>
        </w:tc>
        <w:tc>
          <w:tcPr>
            <w:tcW w:w="1213" w:type="dxa"/>
            <w:tcBorders>
              <w:top w:val="single" w:sz="4" w:space="0" w:color="auto"/>
              <w:left w:val="single" w:sz="4" w:space="0" w:color="auto"/>
              <w:bottom w:val="single" w:sz="4" w:space="0" w:color="auto"/>
              <w:right w:val="single" w:sz="4" w:space="0" w:color="auto"/>
            </w:tcBorders>
          </w:tcPr>
          <w:p w14:paraId="01F1EC9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35E998EE" w14:textId="77777777" w:rsidTr="00261B7D">
        <w:tc>
          <w:tcPr>
            <w:tcW w:w="990" w:type="dxa"/>
            <w:tcBorders>
              <w:top w:val="single" w:sz="4" w:space="0" w:color="auto"/>
              <w:left w:val="single" w:sz="4" w:space="0" w:color="auto"/>
              <w:bottom w:val="single" w:sz="4" w:space="0" w:color="auto"/>
              <w:right w:val="single" w:sz="4" w:space="0" w:color="auto"/>
            </w:tcBorders>
          </w:tcPr>
          <w:p w14:paraId="4961A87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22</w:t>
            </w:r>
          </w:p>
        </w:tc>
        <w:tc>
          <w:tcPr>
            <w:tcW w:w="5456" w:type="dxa"/>
            <w:tcBorders>
              <w:top w:val="single" w:sz="4" w:space="0" w:color="auto"/>
              <w:left w:val="single" w:sz="4" w:space="0" w:color="auto"/>
              <w:bottom w:val="single" w:sz="4" w:space="0" w:color="auto"/>
              <w:right w:val="single" w:sz="4" w:space="0" w:color="auto"/>
            </w:tcBorders>
            <w:hideMark/>
          </w:tcPr>
          <w:p w14:paraId="428948A8"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Muricatetrocin</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27B523E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c>
          <w:tcPr>
            <w:tcW w:w="1213" w:type="dxa"/>
            <w:tcBorders>
              <w:top w:val="single" w:sz="4" w:space="0" w:color="auto"/>
              <w:left w:val="single" w:sz="4" w:space="0" w:color="auto"/>
              <w:bottom w:val="single" w:sz="4" w:space="0" w:color="auto"/>
              <w:right w:val="single" w:sz="4" w:space="0" w:color="auto"/>
            </w:tcBorders>
          </w:tcPr>
          <w:p w14:paraId="6B30459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-8.7</w:t>
            </w:r>
          </w:p>
        </w:tc>
      </w:tr>
      <w:tr w:rsidR="0052046B" w:rsidRPr="008C76B1" w14:paraId="63740F4B" w14:textId="77777777" w:rsidTr="00261B7D">
        <w:tc>
          <w:tcPr>
            <w:tcW w:w="990" w:type="dxa"/>
            <w:tcBorders>
              <w:top w:val="single" w:sz="4" w:space="0" w:color="auto"/>
              <w:left w:val="single" w:sz="4" w:space="0" w:color="auto"/>
              <w:bottom w:val="single" w:sz="4" w:space="0" w:color="auto"/>
              <w:right w:val="single" w:sz="4" w:space="0" w:color="auto"/>
            </w:tcBorders>
          </w:tcPr>
          <w:p w14:paraId="5D9CA06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23</w:t>
            </w:r>
          </w:p>
        </w:tc>
        <w:tc>
          <w:tcPr>
            <w:tcW w:w="5456" w:type="dxa"/>
            <w:tcBorders>
              <w:top w:val="single" w:sz="4" w:space="0" w:color="auto"/>
              <w:left w:val="single" w:sz="4" w:space="0" w:color="auto"/>
              <w:bottom w:val="single" w:sz="4" w:space="0" w:color="auto"/>
              <w:right w:val="single" w:sz="4" w:space="0" w:color="auto"/>
            </w:tcBorders>
            <w:hideMark/>
          </w:tcPr>
          <w:p w14:paraId="5CC357C1"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Muricoreacin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4D0A5F0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-9.4</w:t>
            </w:r>
          </w:p>
        </w:tc>
        <w:tc>
          <w:tcPr>
            <w:tcW w:w="1213" w:type="dxa"/>
            <w:tcBorders>
              <w:top w:val="single" w:sz="4" w:space="0" w:color="auto"/>
              <w:left w:val="single" w:sz="4" w:space="0" w:color="auto"/>
              <w:bottom w:val="single" w:sz="4" w:space="0" w:color="auto"/>
              <w:right w:val="single" w:sz="4" w:space="0" w:color="auto"/>
            </w:tcBorders>
          </w:tcPr>
          <w:p w14:paraId="21EB85A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r>
      <w:tr w:rsidR="0052046B" w:rsidRPr="008C76B1" w14:paraId="3C67272F" w14:textId="77777777" w:rsidTr="00261B7D">
        <w:tc>
          <w:tcPr>
            <w:tcW w:w="990" w:type="dxa"/>
            <w:tcBorders>
              <w:top w:val="single" w:sz="4" w:space="0" w:color="auto"/>
              <w:left w:val="single" w:sz="4" w:space="0" w:color="auto"/>
              <w:bottom w:val="single" w:sz="4" w:space="0" w:color="auto"/>
              <w:right w:val="single" w:sz="4" w:space="0" w:color="auto"/>
            </w:tcBorders>
          </w:tcPr>
          <w:p w14:paraId="767B9B1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24</w:t>
            </w:r>
          </w:p>
        </w:tc>
        <w:tc>
          <w:tcPr>
            <w:tcW w:w="5456" w:type="dxa"/>
            <w:tcBorders>
              <w:top w:val="single" w:sz="4" w:space="0" w:color="auto"/>
              <w:left w:val="single" w:sz="4" w:space="0" w:color="auto"/>
              <w:bottom w:val="single" w:sz="4" w:space="0" w:color="auto"/>
              <w:right w:val="single" w:sz="4" w:space="0" w:color="auto"/>
            </w:tcBorders>
            <w:hideMark/>
          </w:tcPr>
          <w:p w14:paraId="7EF9C24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10-Hydroxyasimicin</w:t>
            </w:r>
          </w:p>
        </w:tc>
        <w:tc>
          <w:tcPr>
            <w:tcW w:w="1426" w:type="dxa"/>
            <w:tcBorders>
              <w:top w:val="single" w:sz="4" w:space="0" w:color="auto"/>
              <w:left w:val="single" w:sz="4" w:space="0" w:color="auto"/>
              <w:bottom w:val="single" w:sz="4" w:space="0" w:color="auto"/>
              <w:right w:val="single" w:sz="4" w:space="0" w:color="auto"/>
            </w:tcBorders>
            <w:hideMark/>
          </w:tcPr>
          <w:p w14:paraId="4EA01B6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c>
          <w:tcPr>
            <w:tcW w:w="1213" w:type="dxa"/>
            <w:tcBorders>
              <w:top w:val="single" w:sz="4" w:space="0" w:color="auto"/>
              <w:left w:val="single" w:sz="4" w:space="0" w:color="auto"/>
              <w:bottom w:val="single" w:sz="4" w:space="0" w:color="auto"/>
              <w:right w:val="single" w:sz="4" w:space="0" w:color="auto"/>
            </w:tcBorders>
          </w:tcPr>
          <w:p w14:paraId="6F481C0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r>
      <w:tr w:rsidR="0052046B" w:rsidRPr="008C76B1" w14:paraId="59EA8E6A" w14:textId="77777777" w:rsidTr="00261B7D">
        <w:tc>
          <w:tcPr>
            <w:tcW w:w="990" w:type="dxa"/>
            <w:tcBorders>
              <w:top w:val="single" w:sz="4" w:space="0" w:color="auto"/>
              <w:left w:val="single" w:sz="4" w:space="0" w:color="auto"/>
              <w:bottom w:val="single" w:sz="4" w:space="0" w:color="auto"/>
              <w:right w:val="single" w:sz="4" w:space="0" w:color="auto"/>
            </w:tcBorders>
          </w:tcPr>
          <w:p w14:paraId="5C57013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25</w:t>
            </w:r>
          </w:p>
        </w:tc>
        <w:tc>
          <w:tcPr>
            <w:tcW w:w="5456" w:type="dxa"/>
            <w:tcBorders>
              <w:top w:val="single" w:sz="4" w:space="0" w:color="auto"/>
              <w:left w:val="single" w:sz="4" w:space="0" w:color="auto"/>
              <w:bottom w:val="single" w:sz="4" w:space="0" w:color="auto"/>
              <w:right w:val="single" w:sz="4" w:space="0" w:color="auto"/>
            </w:tcBorders>
            <w:hideMark/>
          </w:tcPr>
          <w:p w14:paraId="10D6EF08"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Membranacin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209CBB0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c>
          <w:tcPr>
            <w:tcW w:w="1213" w:type="dxa"/>
            <w:tcBorders>
              <w:top w:val="single" w:sz="4" w:space="0" w:color="auto"/>
              <w:left w:val="single" w:sz="4" w:space="0" w:color="auto"/>
              <w:bottom w:val="single" w:sz="4" w:space="0" w:color="auto"/>
              <w:right w:val="single" w:sz="4" w:space="0" w:color="auto"/>
            </w:tcBorders>
          </w:tcPr>
          <w:p w14:paraId="37BFF36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3A597CC1" w14:textId="77777777" w:rsidTr="00261B7D">
        <w:tc>
          <w:tcPr>
            <w:tcW w:w="990" w:type="dxa"/>
            <w:tcBorders>
              <w:top w:val="single" w:sz="4" w:space="0" w:color="auto"/>
              <w:left w:val="single" w:sz="4" w:space="0" w:color="auto"/>
              <w:bottom w:val="single" w:sz="4" w:space="0" w:color="auto"/>
              <w:right w:val="single" w:sz="4" w:space="0" w:color="auto"/>
            </w:tcBorders>
          </w:tcPr>
          <w:p w14:paraId="16664EF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26</w:t>
            </w:r>
          </w:p>
        </w:tc>
        <w:tc>
          <w:tcPr>
            <w:tcW w:w="5456" w:type="dxa"/>
            <w:tcBorders>
              <w:top w:val="single" w:sz="4" w:space="0" w:color="auto"/>
              <w:left w:val="single" w:sz="4" w:space="0" w:color="auto"/>
              <w:bottom w:val="single" w:sz="4" w:space="0" w:color="auto"/>
              <w:right w:val="single" w:sz="4" w:space="0" w:color="auto"/>
            </w:tcBorders>
            <w:hideMark/>
          </w:tcPr>
          <w:p w14:paraId="6DF097D2"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Murihexocin</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41FD4CA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c>
          <w:tcPr>
            <w:tcW w:w="1213" w:type="dxa"/>
            <w:tcBorders>
              <w:top w:val="single" w:sz="4" w:space="0" w:color="auto"/>
              <w:left w:val="single" w:sz="4" w:space="0" w:color="auto"/>
              <w:bottom w:val="single" w:sz="4" w:space="0" w:color="auto"/>
              <w:right w:val="single" w:sz="4" w:space="0" w:color="auto"/>
            </w:tcBorders>
          </w:tcPr>
          <w:p w14:paraId="2D73463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r>
      <w:tr w:rsidR="0052046B" w:rsidRPr="008C76B1" w14:paraId="2EE970E4" w14:textId="77777777" w:rsidTr="00261B7D">
        <w:tc>
          <w:tcPr>
            <w:tcW w:w="990" w:type="dxa"/>
            <w:tcBorders>
              <w:top w:val="single" w:sz="4" w:space="0" w:color="auto"/>
              <w:left w:val="single" w:sz="4" w:space="0" w:color="auto"/>
              <w:bottom w:val="single" w:sz="4" w:space="0" w:color="auto"/>
              <w:right w:val="single" w:sz="4" w:space="0" w:color="auto"/>
            </w:tcBorders>
          </w:tcPr>
          <w:p w14:paraId="1613CA9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27</w:t>
            </w:r>
          </w:p>
        </w:tc>
        <w:tc>
          <w:tcPr>
            <w:tcW w:w="5456" w:type="dxa"/>
            <w:tcBorders>
              <w:top w:val="single" w:sz="4" w:space="0" w:color="auto"/>
              <w:left w:val="single" w:sz="4" w:space="0" w:color="auto"/>
              <w:bottom w:val="single" w:sz="4" w:space="0" w:color="auto"/>
              <w:right w:val="single" w:sz="4" w:space="0" w:color="auto"/>
            </w:tcBorders>
            <w:hideMark/>
          </w:tcPr>
          <w:p w14:paraId="10509BF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(2,4-cis and trans)-</w:t>
            </w:r>
            <w:proofErr w:type="spellStart"/>
            <w:r w:rsidRPr="008C76B1">
              <w:rPr>
                <w:rFonts w:ascii="Arial" w:eastAsia="Times New Roman" w:hAnsi="Arial" w:cs="Arial"/>
                <w:kern w:val="0"/>
                <w:sz w:val="20"/>
                <w:szCs w:val="20"/>
              </w:rPr>
              <w:t>squamoxinone</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F7D002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c>
          <w:tcPr>
            <w:tcW w:w="1213" w:type="dxa"/>
            <w:tcBorders>
              <w:top w:val="single" w:sz="4" w:space="0" w:color="auto"/>
              <w:left w:val="single" w:sz="4" w:space="0" w:color="auto"/>
              <w:bottom w:val="single" w:sz="4" w:space="0" w:color="auto"/>
              <w:right w:val="single" w:sz="4" w:space="0" w:color="auto"/>
            </w:tcBorders>
          </w:tcPr>
          <w:p w14:paraId="797C417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6839CF68" w14:textId="77777777" w:rsidTr="00261B7D">
        <w:tc>
          <w:tcPr>
            <w:tcW w:w="990" w:type="dxa"/>
            <w:tcBorders>
              <w:top w:val="single" w:sz="4" w:space="0" w:color="auto"/>
              <w:left w:val="single" w:sz="4" w:space="0" w:color="auto"/>
              <w:bottom w:val="single" w:sz="4" w:space="0" w:color="auto"/>
              <w:right w:val="single" w:sz="4" w:space="0" w:color="auto"/>
            </w:tcBorders>
          </w:tcPr>
          <w:p w14:paraId="4C9CA6E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28</w:t>
            </w:r>
          </w:p>
        </w:tc>
        <w:tc>
          <w:tcPr>
            <w:tcW w:w="5456" w:type="dxa"/>
            <w:tcBorders>
              <w:top w:val="single" w:sz="4" w:space="0" w:color="auto"/>
              <w:left w:val="single" w:sz="4" w:space="0" w:color="auto"/>
              <w:bottom w:val="single" w:sz="4" w:space="0" w:color="auto"/>
              <w:right w:val="single" w:sz="4" w:space="0" w:color="auto"/>
            </w:tcBorders>
            <w:hideMark/>
          </w:tcPr>
          <w:p w14:paraId="30BAED97" w14:textId="1F599E35"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Rollidecin</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0E398A4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c>
          <w:tcPr>
            <w:tcW w:w="1213" w:type="dxa"/>
            <w:tcBorders>
              <w:top w:val="single" w:sz="4" w:space="0" w:color="auto"/>
              <w:left w:val="single" w:sz="4" w:space="0" w:color="auto"/>
              <w:bottom w:val="single" w:sz="4" w:space="0" w:color="auto"/>
              <w:right w:val="single" w:sz="4" w:space="0" w:color="auto"/>
            </w:tcBorders>
          </w:tcPr>
          <w:p w14:paraId="5079B5A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r>
      <w:tr w:rsidR="0052046B" w:rsidRPr="008C76B1" w14:paraId="32861CB3" w14:textId="77777777" w:rsidTr="00261B7D">
        <w:tc>
          <w:tcPr>
            <w:tcW w:w="990" w:type="dxa"/>
            <w:tcBorders>
              <w:top w:val="single" w:sz="4" w:space="0" w:color="auto"/>
              <w:left w:val="single" w:sz="4" w:space="0" w:color="auto"/>
              <w:bottom w:val="single" w:sz="4" w:space="0" w:color="auto"/>
              <w:right w:val="single" w:sz="4" w:space="0" w:color="auto"/>
            </w:tcBorders>
          </w:tcPr>
          <w:p w14:paraId="0CD6B48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29</w:t>
            </w:r>
          </w:p>
        </w:tc>
        <w:tc>
          <w:tcPr>
            <w:tcW w:w="5456" w:type="dxa"/>
            <w:tcBorders>
              <w:top w:val="single" w:sz="4" w:space="0" w:color="auto"/>
              <w:left w:val="single" w:sz="4" w:space="0" w:color="auto"/>
              <w:bottom w:val="single" w:sz="4" w:space="0" w:color="auto"/>
              <w:right w:val="single" w:sz="4" w:space="0" w:color="auto"/>
            </w:tcBorders>
            <w:hideMark/>
          </w:tcPr>
          <w:p w14:paraId="23D8808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Asitrilobins</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43C77A9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c>
          <w:tcPr>
            <w:tcW w:w="1213" w:type="dxa"/>
            <w:tcBorders>
              <w:top w:val="single" w:sz="4" w:space="0" w:color="auto"/>
              <w:left w:val="single" w:sz="4" w:space="0" w:color="auto"/>
              <w:bottom w:val="single" w:sz="4" w:space="0" w:color="auto"/>
              <w:right w:val="single" w:sz="4" w:space="0" w:color="auto"/>
            </w:tcBorders>
          </w:tcPr>
          <w:p w14:paraId="56B6812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r>
      <w:tr w:rsidR="0052046B" w:rsidRPr="008C76B1" w14:paraId="38C30A16" w14:textId="77777777" w:rsidTr="00261B7D">
        <w:tc>
          <w:tcPr>
            <w:tcW w:w="990" w:type="dxa"/>
            <w:tcBorders>
              <w:top w:val="single" w:sz="4" w:space="0" w:color="auto"/>
              <w:left w:val="single" w:sz="4" w:space="0" w:color="auto"/>
              <w:bottom w:val="single" w:sz="4" w:space="0" w:color="auto"/>
              <w:right w:val="single" w:sz="4" w:space="0" w:color="auto"/>
            </w:tcBorders>
          </w:tcPr>
          <w:p w14:paraId="5E07BCD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30</w:t>
            </w:r>
          </w:p>
        </w:tc>
        <w:tc>
          <w:tcPr>
            <w:tcW w:w="5456" w:type="dxa"/>
            <w:tcBorders>
              <w:top w:val="single" w:sz="4" w:space="0" w:color="auto"/>
              <w:left w:val="single" w:sz="4" w:space="0" w:color="auto"/>
              <w:bottom w:val="single" w:sz="4" w:space="0" w:color="auto"/>
              <w:right w:val="single" w:sz="4" w:space="0" w:color="auto"/>
            </w:tcBorders>
            <w:hideMark/>
          </w:tcPr>
          <w:p w14:paraId="69E47EB0"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Purpuracenin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DDD061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c>
          <w:tcPr>
            <w:tcW w:w="1213" w:type="dxa"/>
            <w:tcBorders>
              <w:top w:val="single" w:sz="4" w:space="0" w:color="auto"/>
              <w:left w:val="single" w:sz="4" w:space="0" w:color="auto"/>
              <w:bottom w:val="single" w:sz="4" w:space="0" w:color="auto"/>
              <w:right w:val="single" w:sz="4" w:space="0" w:color="auto"/>
            </w:tcBorders>
          </w:tcPr>
          <w:p w14:paraId="233EBC1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r>
      <w:tr w:rsidR="0052046B" w:rsidRPr="008C76B1" w14:paraId="5470D515" w14:textId="77777777" w:rsidTr="00261B7D">
        <w:tc>
          <w:tcPr>
            <w:tcW w:w="990" w:type="dxa"/>
            <w:tcBorders>
              <w:top w:val="single" w:sz="4" w:space="0" w:color="auto"/>
              <w:left w:val="single" w:sz="4" w:space="0" w:color="auto"/>
              <w:bottom w:val="single" w:sz="4" w:space="0" w:color="auto"/>
              <w:right w:val="single" w:sz="4" w:space="0" w:color="auto"/>
            </w:tcBorders>
          </w:tcPr>
          <w:p w14:paraId="2D66C34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31</w:t>
            </w:r>
          </w:p>
        </w:tc>
        <w:tc>
          <w:tcPr>
            <w:tcW w:w="5456" w:type="dxa"/>
            <w:tcBorders>
              <w:top w:val="single" w:sz="4" w:space="0" w:color="auto"/>
              <w:left w:val="single" w:sz="4" w:space="0" w:color="auto"/>
              <w:bottom w:val="single" w:sz="4" w:space="0" w:color="auto"/>
              <w:right w:val="single" w:sz="4" w:space="0" w:color="auto"/>
            </w:tcBorders>
            <w:hideMark/>
          </w:tcPr>
          <w:p w14:paraId="5A5DAFF0"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Uvaribonin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573378C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-9.1</w:t>
            </w:r>
          </w:p>
        </w:tc>
        <w:tc>
          <w:tcPr>
            <w:tcW w:w="1213" w:type="dxa"/>
            <w:tcBorders>
              <w:top w:val="single" w:sz="4" w:space="0" w:color="auto"/>
              <w:left w:val="single" w:sz="4" w:space="0" w:color="auto"/>
              <w:bottom w:val="single" w:sz="4" w:space="0" w:color="auto"/>
              <w:right w:val="single" w:sz="4" w:space="0" w:color="auto"/>
            </w:tcBorders>
          </w:tcPr>
          <w:p w14:paraId="6CAD6E6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44BD556B" w14:textId="77777777" w:rsidTr="00261B7D">
        <w:tc>
          <w:tcPr>
            <w:tcW w:w="990" w:type="dxa"/>
            <w:tcBorders>
              <w:top w:val="single" w:sz="4" w:space="0" w:color="auto"/>
              <w:left w:val="single" w:sz="4" w:space="0" w:color="auto"/>
              <w:bottom w:val="single" w:sz="4" w:space="0" w:color="auto"/>
              <w:right w:val="single" w:sz="4" w:space="0" w:color="auto"/>
            </w:tcBorders>
          </w:tcPr>
          <w:p w14:paraId="07AB700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32</w:t>
            </w:r>
          </w:p>
        </w:tc>
        <w:tc>
          <w:tcPr>
            <w:tcW w:w="5456" w:type="dxa"/>
            <w:tcBorders>
              <w:top w:val="single" w:sz="4" w:space="0" w:color="auto"/>
              <w:left w:val="single" w:sz="4" w:space="0" w:color="auto"/>
              <w:bottom w:val="single" w:sz="4" w:space="0" w:color="auto"/>
              <w:right w:val="single" w:sz="4" w:space="0" w:color="auto"/>
            </w:tcBorders>
            <w:hideMark/>
          </w:tcPr>
          <w:p w14:paraId="56F6925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22-epicalamistrin</w:t>
            </w:r>
          </w:p>
        </w:tc>
        <w:tc>
          <w:tcPr>
            <w:tcW w:w="1426" w:type="dxa"/>
            <w:tcBorders>
              <w:top w:val="single" w:sz="4" w:space="0" w:color="auto"/>
              <w:left w:val="single" w:sz="4" w:space="0" w:color="auto"/>
              <w:bottom w:val="single" w:sz="4" w:space="0" w:color="auto"/>
              <w:right w:val="single" w:sz="4" w:space="0" w:color="auto"/>
            </w:tcBorders>
            <w:hideMark/>
          </w:tcPr>
          <w:p w14:paraId="4C59EC5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c>
          <w:tcPr>
            <w:tcW w:w="1213" w:type="dxa"/>
            <w:tcBorders>
              <w:top w:val="single" w:sz="4" w:space="0" w:color="auto"/>
              <w:left w:val="single" w:sz="4" w:space="0" w:color="auto"/>
              <w:bottom w:val="single" w:sz="4" w:space="0" w:color="auto"/>
              <w:right w:val="single" w:sz="4" w:space="0" w:color="auto"/>
            </w:tcBorders>
          </w:tcPr>
          <w:p w14:paraId="30CD081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-9.5</w:t>
            </w:r>
          </w:p>
        </w:tc>
      </w:tr>
      <w:tr w:rsidR="0052046B" w:rsidRPr="008C76B1" w14:paraId="07D1D229" w14:textId="77777777" w:rsidTr="00261B7D">
        <w:tc>
          <w:tcPr>
            <w:tcW w:w="990" w:type="dxa"/>
            <w:tcBorders>
              <w:top w:val="single" w:sz="4" w:space="0" w:color="auto"/>
              <w:left w:val="single" w:sz="4" w:space="0" w:color="auto"/>
              <w:bottom w:val="single" w:sz="4" w:space="0" w:color="auto"/>
              <w:right w:val="single" w:sz="4" w:space="0" w:color="auto"/>
            </w:tcBorders>
          </w:tcPr>
          <w:p w14:paraId="2E82C0A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33</w:t>
            </w:r>
          </w:p>
        </w:tc>
        <w:tc>
          <w:tcPr>
            <w:tcW w:w="5456" w:type="dxa"/>
            <w:tcBorders>
              <w:top w:val="single" w:sz="4" w:space="0" w:color="auto"/>
              <w:left w:val="single" w:sz="4" w:space="0" w:color="auto"/>
              <w:bottom w:val="single" w:sz="4" w:space="0" w:color="auto"/>
              <w:right w:val="single" w:sz="4" w:space="0" w:color="auto"/>
            </w:tcBorders>
            <w:hideMark/>
          </w:tcPr>
          <w:p w14:paraId="69251417" w14:textId="2FAF43CF"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Rollidecin</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4E809F4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c>
          <w:tcPr>
            <w:tcW w:w="1213" w:type="dxa"/>
            <w:tcBorders>
              <w:top w:val="single" w:sz="4" w:space="0" w:color="auto"/>
              <w:left w:val="single" w:sz="4" w:space="0" w:color="auto"/>
              <w:bottom w:val="single" w:sz="4" w:space="0" w:color="auto"/>
              <w:right w:val="single" w:sz="4" w:space="0" w:color="auto"/>
            </w:tcBorders>
          </w:tcPr>
          <w:p w14:paraId="376A65D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-9.8</w:t>
            </w:r>
          </w:p>
        </w:tc>
      </w:tr>
      <w:tr w:rsidR="0052046B" w:rsidRPr="008C76B1" w14:paraId="014D14ED" w14:textId="77777777" w:rsidTr="00261B7D">
        <w:tc>
          <w:tcPr>
            <w:tcW w:w="990" w:type="dxa"/>
            <w:tcBorders>
              <w:top w:val="single" w:sz="4" w:space="0" w:color="auto"/>
              <w:left w:val="single" w:sz="4" w:space="0" w:color="auto"/>
              <w:bottom w:val="single" w:sz="4" w:space="0" w:color="auto"/>
              <w:right w:val="single" w:sz="4" w:space="0" w:color="auto"/>
            </w:tcBorders>
          </w:tcPr>
          <w:p w14:paraId="1778155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lastRenderedPageBreak/>
              <w:t>34</w:t>
            </w:r>
          </w:p>
        </w:tc>
        <w:tc>
          <w:tcPr>
            <w:tcW w:w="5456" w:type="dxa"/>
            <w:tcBorders>
              <w:top w:val="single" w:sz="4" w:space="0" w:color="auto"/>
              <w:left w:val="single" w:sz="4" w:space="0" w:color="auto"/>
              <w:bottom w:val="single" w:sz="4" w:space="0" w:color="auto"/>
              <w:right w:val="single" w:sz="4" w:space="0" w:color="auto"/>
            </w:tcBorders>
            <w:hideMark/>
          </w:tcPr>
          <w:p w14:paraId="74D73EAF" w14:textId="4B25DD9A"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Xanthone V1</w:t>
            </w:r>
          </w:p>
        </w:tc>
        <w:tc>
          <w:tcPr>
            <w:tcW w:w="1426" w:type="dxa"/>
            <w:tcBorders>
              <w:top w:val="single" w:sz="4" w:space="0" w:color="auto"/>
              <w:left w:val="single" w:sz="4" w:space="0" w:color="auto"/>
              <w:bottom w:val="single" w:sz="4" w:space="0" w:color="auto"/>
              <w:right w:val="single" w:sz="4" w:space="0" w:color="auto"/>
            </w:tcBorders>
            <w:hideMark/>
          </w:tcPr>
          <w:p w14:paraId="008CB37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c>
          <w:tcPr>
            <w:tcW w:w="1213" w:type="dxa"/>
            <w:tcBorders>
              <w:top w:val="single" w:sz="4" w:space="0" w:color="auto"/>
              <w:left w:val="single" w:sz="4" w:space="0" w:color="auto"/>
              <w:bottom w:val="single" w:sz="4" w:space="0" w:color="auto"/>
              <w:right w:val="single" w:sz="4" w:space="0" w:color="auto"/>
            </w:tcBorders>
          </w:tcPr>
          <w:p w14:paraId="30CE9C4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r>
      <w:tr w:rsidR="0052046B" w:rsidRPr="008C76B1" w14:paraId="0DFEBB01" w14:textId="77777777" w:rsidTr="00261B7D">
        <w:tc>
          <w:tcPr>
            <w:tcW w:w="990" w:type="dxa"/>
            <w:tcBorders>
              <w:top w:val="single" w:sz="4" w:space="0" w:color="auto"/>
              <w:left w:val="single" w:sz="4" w:space="0" w:color="auto"/>
              <w:bottom w:val="single" w:sz="4" w:space="0" w:color="auto"/>
              <w:right w:val="single" w:sz="4" w:space="0" w:color="auto"/>
            </w:tcBorders>
          </w:tcPr>
          <w:p w14:paraId="052886A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35</w:t>
            </w:r>
          </w:p>
        </w:tc>
        <w:tc>
          <w:tcPr>
            <w:tcW w:w="5456" w:type="dxa"/>
            <w:tcBorders>
              <w:top w:val="single" w:sz="4" w:space="0" w:color="auto"/>
              <w:left w:val="single" w:sz="4" w:space="0" w:color="auto"/>
              <w:bottom w:val="single" w:sz="4" w:space="0" w:color="auto"/>
              <w:right w:val="single" w:sz="4" w:space="0" w:color="auto"/>
            </w:tcBorders>
            <w:hideMark/>
          </w:tcPr>
          <w:p w14:paraId="7EC184F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w:t>
            </w:r>
            <w:proofErr w:type="spellStart"/>
            <w:r w:rsidRPr="008C76B1">
              <w:rPr>
                <w:rFonts w:ascii="Arial" w:eastAsia="Times New Roman" w:hAnsi="Arial" w:cs="Arial"/>
                <w:kern w:val="0"/>
                <w:sz w:val="20"/>
                <w:szCs w:val="20"/>
              </w:rPr>
              <w:t>tylophorinidine</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611828A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c>
          <w:tcPr>
            <w:tcW w:w="1213" w:type="dxa"/>
            <w:tcBorders>
              <w:top w:val="single" w:sz="4" w:space="0" w:color="auto"/>
              <w:left w:val="single" w:sz="4" w:space="0" w:color="auto"/>
              <w:bottom w:val="single" w:sz="4" w:space="0" w:color="auto"/>
              <w:right w:val="single" w:sz="4" w:space="0" w:color="auto"/>
            </w:tcBorders>
          </w:tcPr>
          <w:p w14:paraId="76DCC1A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-6.5</w:t>
            </w:r>
          </w:p>
        </w:tc>
      </w:tr>
      <w:tr w:rsidR="0052046B" w:rsidRPr="008C76B1" w14:paraId="6469FBEA" w14:textId="77777777" w:rsidTr="00261B7D">
        <w:tc>
          <w:tcPr>
            <w:tcW w:w="990" w:type="dxa"/>
            <w:tcBorders>
              <w:top w:val="single" w:sz="4" w:space="0" w:color="auto"/>
              <w:left w:val="single" w:sz="4" w:space="0" w:color="auto"/>
              <w:bottom w:val="single" w:sz="4" w:space="0" w:color="auto"/>
              <w:right w:val="single" w:sz="4" w:space="0" w:color="auto"/>
            </w:tcBorders>
          </w:tcPr>
          <w:p w14:paraId="0058CED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36</w:t>
            </w:r>
          </w:p>
        </w:tc>
        <w:tc>
          <w:tcPr>
            <w:tcW w:w="5456" w:type="dxa"/>
            <w:tcBorders>
              <w:top w:val="single" w:sz="4" w:space="0" w:color="auto"/>
              <w:left w:val="single" w:sz="4" w:space="0" w:color="auto"/>
              <w:bottom w:val="single" w:sz="4" w:space="0" w:color="auto"/>
              <w:right w:val="single" w:sz="4" w:space="0" w:color="auto"/>
            </w:tcBorders>
            <w:hideMark/>
          </w:tcPr>
          <w:p w14:paraId="6A03A76E"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Annoglaucin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293B0FF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c>
          <w:tcPr>
            <w:tcW w:w="1213" w:type="dxa"/>
            <w:tcBorders>
              <w:top w:val="single" w:sz="4" w:space="0" w:color="auto"/>
              <w:left w:val="single" w:sz="4" w:space="0" w:color="auto"/>
              <w:bottom w:val="single" w:sz="4" w:space="0" w:color="auto"/>
              <w:right w:val="single" w:sz="4" w:space="0" w:color="auto"/>
            </w:tcBorders>
          </w:tcPr>
          <w:p w14:paraId="59DF3E6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r>
      <w:tr w:rsidR="0052046B" w:rsidRPr="008C76B1" w14:paraId="36751159" w14:textId="77777777" w:rsidTr="00261B7D">
        <w:tc>
          <w:tcPr>
            <w:tcW w:w="990" w:type="dxa"/>
            <w:tcBorders>
              <w:top w:val="single" w:sz="4" w:space="0" w:color="auto"/>
              <w:left w:val="single" w:sz="4" w:space="0" w:color="auto"/>
              <w:bottom w:val="single" w:sz="4" w:space="0" w:color="auto"/>
              <w:right w:val="single" w:sz="4" w:space="0" w:color="auto"/>
            </w:tcBorders>
          </w:tcPr>
          <w:p w14:paraId="50F21B9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37</w:t>
            </w:r>
          </w:p>
        </w:tc>
        <w:tc>
          <w:tcPr>
            <w:tcW w:w="5456" w:type="dxa"/>
            <w:tcBorders>
              <w:top w:val="single" w:sz="4" w:space="0" w:color="auto"/>
              <w:left w:val="single" w:sz="4" w:space="0" w:color="auto"/>
              <w:bottom w:val="single" w:sz="4" w:space="0" w:color="auto"/>
              <w:right w:val="single" w:sz="4" w:space="0" w:color="auto"/>
            </w:tcBorders>
            <w:hideMark/>
          </w:tcPr>
          <w:p w14:paraId="7318888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Desacetyluvaricin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0F3A90B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c>
          <w:tcPr>
            <w:tcW w:w="1213" w:type="dxa"/>
            <w:tcBorders>
              <w:top w:val="single" w:sz="4" w:space="0" w:color="auto"/>
              <w:left w:val="single" w:sz="4" w:space="0" w:color="auto"/>
              <w:bottom w:val="single" w:sz="4" w:space="0" w:color="auto"/>
              <w:right w:val="single" w:sz="4" w:space="0" w:color="auto"/>
            </w:tcBorders>
          </w:tcPr>
          <w:p w14:paraId="54CF798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-9.0</w:t>
            </w:r>
          </w:p>
        </w:tc>
      </w:tr>
      <w:tr w:rsidR="0052046B" w:rsidRPr="008C76B1" w14:paraId="7C802A90" w14:textId="77777777" w:rsidTr="00261B7D">
        <w:tc>
          <w:tcPr>
            <w:tcW w:w="990" w:type="dxa"/>
            <w:tcBorders>
              <w:top w:val="single" w:sz="4" w:space="0" w:color="auto"/>
              <w:left w:val="single" w:sz="4" w:space="0" w:color="auto"/>
              <w:bottom w:val="single" w:sz="4" w:space="0" w:color="auto"/>
              <w:right w:val="single" w:sz="4" w:space="0" w:color="auto"/>
            </w:tcBorders>
          </w:tcPr>
          <w:p w14:paraId="442741B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38</w:t>
            </w:r>
          </w:p>
        </w:tc>
        <w:tc>
          <w:tcPr>
            <w:tcW w:w="5456" w:type="dxa"/>
            <w:tcBorders>
              <w:top w:val="single" w:sz="4" w:space="0" w:color="auto"/>
              <w:left w:val="single" w:sz="4" w:space="0" w:color="auto"/>
              <w:bottom w:val="single" w:sz="4" w:space="0" w:color="auto"/>
              <w:right w:val="single" w:sz="4" w:space="0" w:color="auto"/>
            </w:tcBorders>
            <w:hideMark/>
          </w:tcPr>
          <w:p w14:paraId="311221FE"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Purpurenin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1FAECC7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-8.8</w:t>
            </w:r>
          </w:p>
        </w:tc>
        <w:tc>
          <w:tcPr>
            <w:tcW w:w="1213" w:type="dxa"/>
            <w:tcBorders>
              <w:top w:val="single" w:sz="4" w:space="0" w:color="auto"/>
              <w:left w:val="single" w:sz="4" w:space="0" w:color="auto"/>
              <w:bottom w:val="single" w:sz="4" w:space="0" w:color="auto"/>
              <w:right w:val="single" w:sz="4" w:space="0" w:color="auto"/>
            </w:tcBorders>
          </w:tcPr>
          <w:p w14:paraId="0FE5C34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3E4E9D29" w14:textId="77777777" w:rsidTr="00261B7D">
        <w:tc>
          <w:tcPr>
            <w:tcW w:w="990" w:type="dxa"/>
            <w:tcBorders>
              <w:top w:val="single" w:sz="4" w:space="0" w:color="auto"/>
              <w:left w:val="single" w:sz="4" w:space="0" w:color="auto"/>
              <w:bottom w:val="single" w:sz="4" w:space="0" w:color="auto"/>
              <w:right w:val="single" w:sz="4" w:space="0" w:color="auto"/>
            </w:tcBorders>
          </w:tcPr>
          <w:p w14:paraId="5BEDDEF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39</w:t>
            </w:r>
          </w:p>
        </w:tc>
        <w:tc>
          <w:tcPr>
            <w:tcW w:w="5456" w:type="dxa"/>
            <w:tcBorders>
              <w:top w:val="single" w:sz="4" w:space="0" w:color="auto"/>
              <w:left w:val="single" w:sz="4" w:space="0" w:color="auto"/>
              <w:bottom w:val="single" w:sz="4" w:space="0" w:color="auto"/>
              <w:right w:val="single" w:sz="4" w:space="0" w:color="auto"/>
            </w:tcBorders>
            <w:hideMark/>
          </w:tcPr>
          <w:p w14:paraId="4F90290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20-hydroxy-12-deoxyphorbol angelate</w:t>
            </w:r>
          </w:p>
        </w:tc>
        <w:tc>
          <w:tcPr>
            <w:tcW w:w="1426" w:type="dxa"/>
            <w:tcBorders>
              <w:top w:val="single" w:sz="4" w:space="0" w:color="auto"/>
              <w:left w:val="single" w:sz="4" w:space="0" w:color="auto"/>
              <w:bottom w:val="single" w:sz="4" w:space="0" w:color="auto"/>
              <w:right w:val="single" w:sz="4" w:space="0" w:color="auto"/>
            </w:tcBorders>
            <w:hideMark/>
          </w:tcPr>
          <w:p w14:paraId="68822C2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-8.7</w:t>
            </w:r>
          </w:p>
        </w:tc>
        <w:tc>
          <w:tcPr>
            <w:tcW w:w="1213" w:type="dxa"/>
            <w:tcBorders>
              <w:top w:val="single" w:sz="4" w:space="0" w:color="auto"/>
              <w:left w:val="single" w:sz="4" w:space="0" w:color="auto"/>
              <w:bottom w:val="single" w:sz="4" w:space="0" w:color="auto"/>
              <w:right w:val="single" w:sz="4" w:space="0" w:color="auto"/>
            </w:tcBorders>
          </w:tcPr>
          <w:p w14:paraId="64E4F31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-6.5</w:t>
            </w:r>
          </w:p>
        </w:tc>
      </w:tr>
      <w:tr w:rsidR="0052046B" w:rsidRPr="008C76B1" w14:paraId="1B4FB4DA" w14:textId="77777777" w:rsidTr="00261B7D">
        <w:tc>
          <w:tcPr>
            <w:tcW w:w="990" w:type="dxa"/>
            <w:tcBorders>
              <w:top w:val="single" w:sz="4" w:space="0" w:color="auto"/>
              <w:left w:val="single" w:sz="4" w:space="0" w:color="auto"/>
              <w:bottom w:val="single" w:sz="4" w:space="0" w:color="auto"/>
              <w:right w:val="single" w:sz="4" w:space="0" w:color="auto"/>
            </w:tcBorders>
          </w:tcPr>
          <w:p w14:paraId="68F005A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40</w:t>
            </w:r>
          </w:p>
        </w:tc>
        <w:tc>
          <w:tcPr>
            <w:tcW w:w="5456" w:type="dxa"/>
            <w:tcBorders>
              <w:top w:val="single" w:sz="4" w:space="0" w:color="auto"/>
              <w:left w:val="single" w:sz="4" w:space="0" w:color="auto"/>
              <w:bottom w:val="single" w:sz="4" w:space="0" w:color="auto"/>
              <w:right w:val="single" w:sz="4" w:space="0" w:color="auto"/>
            </w:tcBorders>
            <w:hideMark/>
          </w:tcPr>
          <w:p w14:paraId="5B150C9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27-hydroxybullatacin</w:t>
            </w:r>
          </w:p>
        </w:tc>
        <w:tc>
          <w:tcPr>
            <w:tcW w:w="1426" w:type="dxa"/>
            <w:tcBorders>
              <w:top w:val="single" w:sz="4" w:space="0" w:color="auto"/>
              <w:left w:val="single" w:sz="4" w:space="0" w:color="auto"/>
              <w:bottom w:val="single" w:sz="4" w:space="0" w:color="auto"/>
              <w:right w:val="single" w:sz="4" w:space="0" w:color="auto"/>
            </w:tcBorders>
            <w:hideMark/>
          </w:tcPr>
          <w:p w14:paraId="5190D68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c>
          <w:tcPr>
            <w:tcW w:w="1213" w:type="dxa"/>
            <w:tcBorders>
              <w:top w:val="single" w:sz="4" w:space="0" w:color="auto"/>
              <w:left w:val="single" w:sz="4" w:space="0" w:color="auto"/>
              <w:bottom w:val="single" w:sz="4" w:space="0" w:color="auto"/>
              <w:right w:val="single" w:sz="4" w:space="0" w:color="auto"/>
            </w:tcBorders>
          </w:tcPr>
          <w:p w14:paraId="3C837C9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r>
      <w:tr w:rsidR="0052046B" w:rsidRPr="008C76B1" w14:paraId="01F35E2A" w14:textId="77777777" w:rsidTr="00261B7D">
        <w:tc>
          <w:tcPr>
            <w:tcW w:w="990" w:type="dxa"/>
            <w:tcBorders>
              <w:top w:val="single" w:sz="4" w:space="0" w:color="auto"/>
              <w:left w:val="single" w:sz="4" w:space="0" w:color="auto"/>
              <w:bottom w:val="single" w:sz="4" w:space="0" w:color="auto"/>
              <w:right w:val="single" w:sz="4" w:space="0" w:color="auto"/>
            </w:tcBorders>
          </w:tcPr>
          <w:p w14:paraId="5BD9DCA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41</w:t>
            </w:r>
          </w:p>
        </w:tc>
        <w:tc>
          <w:tcPr>
            <w:tcW w:w="5456" w:type="dxa"/>
            <w:tcBorders>
              <w:top w:val="single" w:sz="4" w:space="0" w:color="auto"/>
              <w:left w:val="single" w:sz="4" w:space="0" w:color="auto"/>
              <w:bottom w:val="single" w:sz="4" w:space="0" w:color="auto"/>
              <w:right w:val="single" w:sz="4" w:space="0" w:color="auto"/>
            </w:tcBorders>
            <w:hideMark/>
          </w:tcPr>
          <w:p w14:paraId="4FF38548"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Longimicins</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4C4CE9F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c>
          <w:tcPr>
            <w:tcW w:w="1213" w:type="dxa"/>
            <w:tcBorders>
              <w:top w:val="single" w:sz="4" w:space="0" w:color="auto"/>
              <w:left w:val="single" w:sz="4" w:space="0" w:color="auto"/>
              <w:bottom w:val="single" w:sz="4" w:space="0" w:color="auto"/>
              <w:right w:val="single" w:sz="4" w:space="0" w:color="auto"/>
            </w:tcBorders>
          </w:tcPr>
          <w:p w14:paraId="3DB91F5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-8.6</w:t>
            </w:r>
          </w:p>
        </w:tc>
      </w:tr>
      <w:tr w:rsidR="0052046B" w:rsidRPr="008C76B1" w14:paraId="451211F4" w14:textId="77777777" w:rsidTr="00261B7D">
        <w:tc>
          <w:tcPr>
            <w:tcW w:w="990" w:type="dxa"/>
            <w:tcBorders>
              <w:top w:val="single" w:sz="4" w:space="0" w:color="auto"/>
              <w:left w:val="single" w:sz="4" w:space="0" w:color="auto"/>
              <w:bottom w:val="single" w:sz="4" w:space="0" w:color="auto"/>
              <w:right w:val="single" w:sz="4" w:space="0" w:color="auto"/>
            </w:tcBorders>
          </w:tcPr>
          <w:p w14:paraId="70702EC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42</w:t>
            </w:r>
          </w:p>
        </w:tc>
        <w:tc>
          <w:tcPr>
            <w:tcW w:w="5456" w:type="dxa"/>
            <w:tcBorders>
              <w:top w:val="single" w:sz="4" w:space="0" w:color="auto"/>
              <w:left w:val="single" w:sz="4" w:space="0" w:color="auto"/>
              <w:bottom w:val="single" w:sz="4" w:space="0" w:color="auto"/>
              <w:right w:val="single" w:sz="4" w:space="0" w:color="auto"/>
            </w:tcBorders>
            <w:hideMark/>
          </w:tcPr>
          <w:p w14:paraId="1ABF40A5"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Melianin</w:t>
            </w:r>
            <w:proofErr w:type="spellEnd"/>
            <w:r w:rsidRPr="008C76B1">
              <w:rPr>
                <w:rFonts w:ascii="Arial" w:eastAsia="Times New Roman" w:hAnsi="Arial" w:cs="Arial"/>
                <w:kern w:val="0"/>
                <w:sz w:val="20"/>
                <w:szCs w:val="20"/>
              </w:rPr>
              <w:t xml:space="preserve"> B</w:t>
            </w:r>
          </w:p>
        </w:tc>
        <w:tc>
          <w:tcPr>
            <w:tcW w:w="1426" w:type="dxa"/>
            <w:tcBorders>
              <w:top w:val="single" w:sz="4" w:space="0" w:color="auto"/>
              <w:left w:val="single" w:sz="4" w:space="0" w:color="auto"/>
              <w:bottom w:val="single" w:sz="4" w:space="0" w:color="auto"/>
              <w:right w:val="single" w:sz="4" w:space="0" w:color="auto"/>
            </w:tcBorders>
            <w:hideMark/>
          </w:tcPr>
          <w:p w14:paraId="361FB4E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-8.5</w:t>
            </w:r>
          </w:p>
        </w:tc>
        <w:tc>
          <w:tcPr>
            <w:tcW w:w="1213" w:type="dxa"/>
            <w:tcBorders>
              <w:top w:val="single" w:sz="4" w:space="0" w:color="auto"/>
              <w:left w:val="single" w:sz="4" w:space="0" w:color="auto"/>
              <w:bottom w:val="single" w:sz="4" w:space="0" w:color="auto"/>
              <w:right w:val="single" w:sz="4" w:space="0" w:color="auto"/>
            </w:tcBorders>
          </w:tcPr>
          <w:p w14:paraId="796C269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-7.8</w:t>
            </w:r>
          </w:p>
        </w:tc>
      </w:tr>
      <w:tr w:rsidR="0052046B" w:rsidRPr="008C76B1" w14:paraId="424DD003" w14:textId="77777777" w:rsidTr="00261B7D">
        <w:tc>
          <w:tcPr>
            <w:tcW w:w="990" w:type="dxa"/>
            <w:tcBorders>
              <w:top w:val="single" w:sz="4" w:space="0" w:color="auto"/>
              <w:left w:val="single" w:sz="4" w:space="0" w:color="auto"/>
              <w:bottom w:val="single" w:sz="4" w:space="0" w:color="auto"/>
              <w:right w:val="single" w:sz="4" w:space="0" w:color="auto"/>
            </w:tcBorders>
          </w:tcPr>
          <w:p w14:paraId="61478B0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43</w:t>
            </w:r>
          </w:p>
        </w:tc>
        <w:tc>
          <w:tcPr>
            <w:tcW w:w="5456" w:type="dxa"/>
            <w:tcBorders>
              <w:top w:val="single" w:sz="4" w:space="0" w:color="auto"/>
              <w:left w:val="single" w:sz="4" w:space="0" w:color="auto"/>
              <w:bottom w:val="single" w:sz="4" w:space="0" w:color="auto"/>
              <w:right w:val="single" w:sz="4" w:space="0" w:color="auto"/>
            </w:tcBorders>
            <w:hideMark/>
          </w:tcPr>
          <w:p w14:paraId="10ADF0D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12-Deoxyphorbol 20-acetate 13-phenylacetate</w:t>
            </w:r>
          </w:p>
        </w:tc>
        <w:tc>
          <w:tcPr>
            <w:tcW w:w="1426" w:type="dxa"/>
            <w:tcBorders>
              <w:top w:val="single" w:sz="4" w:space="0" w:color="auto"/>
              <w:left w:val="single" w:sz="4" w:space="0" w:color="auto"/>
              <w:bottom w:val="single" w:sz="4" w:space="0" w:color="auto"/>
              <w:right w:val="single" w:sz="4" w:space="0" w:color="auto"/>
            </w:tcBorders>
            <w:hideMark/>
          </w:tcPr>
          <w:p w14:paraId="7BFCA19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-8.4</w:t>
            </w:r>
          </w:p>
        </w:tc>
        <w:tc>
          <w:tcPr>
            <w:tcW w:w="1213" w:type="dxa"/>
            <w:tcBorders>
              <w:top w:val="single" w:sz="4" w:space="0" w:color="auto"/>
              <w:left w:val="single" w:sz="4" w:space="0" w:color="auto"/>
              <w:bottom w:val="single" w:sz="4" w:space="0" w:color="auto"/>
              <w:right w:val="single" w:sz="4" w:space="0" w:color="auto"/>
            </w:tcBorders>
          </w:tcPr>
          <w:p w14:paraId="25D0475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r>
      <w:tr w:rsidR="0052046B" w:rsidRPr="008C76B1" w14:paraId="01D342A2" w14:textId="77777777" w:rsidTr="00261B7D">
        <w:tc>
          <w:tcPr>
            <w:tcW w:w="990" w:type="dxa"/>
            <w:tcBorders>
              <w:top w:val="single" w:sz="4" w:space="0" w:color="auto"/>
              <w:left w:val="single" w:sz="4" w:space="0" w:color="auto"/>
              <w:bottom w:val="single" w:sz="4" w:space="0" w:color="auto"/>
              <w:right w:val="single" w:sz="4" w:space="0" w:color="auto"/>
            </w:tcBorders>
          </w:tcPr>
          <w:p w14:paraId="3E31E32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44</w:t>
            </w:r>
          </w:p>
        </w:tc>
        <w:tc>
          <w:tcPr>
            <w:tcW w:w="5456" w:type="dxa"/>
            <w:tcBorders>
              <w:top w:val="single" w:sz="4" w:space="0" w:color="auto"/>
              <w:left w:val="single" w:sz="4" w:space="0" w:color="auto"/>
              <w:bottom w:val="single" w:sz="4" w:space="0" w:color="auto"/>
              <w:right w:val="single" w:sz="4" w:space="0" w:color="auto"/>
            </w:tcBorders>
            <w:hideMark/>
          </w:tcPr>
          <w:p w14:paraId="1AE3FD67"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Mosinone</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hideMark/>
          </w:tcPr>
          <w:p w14:paraId="377D0EA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-8.4</w:t>
            </w:r>
          </w:p>
        </w:tc>
        <w:tc>
          <w:tcPr>
            <w:tcW w:w="1213" w:type="dxa"/>
            <w:tcBorders>
              <w:top w:val="single" w:sz="4" w:space="0" w:color="auto"/>
              <w:left w:val="single" w:sz="4" w:space="0" w:color="auto"/>
              <w:bottom w:val="single" w:sz="4" w:space="0" w:color="auto"/>
              <w:right w:val="single" w:sz="4" w:space="0" w:color="auto"/>
            </w:tcBorders>
          </w:tcPr>
          <w:p w14:paraId="53A87D1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-9.2</w:t>
            </w:r>
          </w:p>
        </w:tc>
      </w:tr>
      <w:tr w:rsidR="0052046B" w:rsidRPr="008C76B1" w14:paraId="3512CCC8" w14:textId="77777777" w:rsidTr="00261B7D">
        <w:tc>
          <w:tcPr>
            <w:tcW w:w="990" w:type="dxa"/>
            <w:tcBorders>
              <w:top w:val="single" w:sz="4" w:space="0" w:color="auto"/>
              <w:left w:val="single" w:sz="4" w:space="0" w:color="auto"/>
              <w:bottom w:val="single" w:sz="4" w:space="0" w:color="auto"/>
              <w:right w:val="single" w:sz="4" w:space="0" w:color="auto"/>
            </w:tcBorders>
          </w:tcPr>
          <w:p w14:paraId="20AFF69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45</w:t>
            </w:r>
          </w:p>
        </w:tc>
        <w:tc>
          <w:tcPr>
            <w:tcW w:w="5456" w:type="dxa"/>
            <w:tcBorders>
              <w:top w:val="single" w:sz="4" w:space="0" w:color="auto"/>
              <w:left w:val="single" w:sz="4" w:space="0" w:color="auto"/>
              <w:bottom w:val="single" w:sz="4" w:space="0" w:color="auto"/>
              <w:right w:val="single" w:sz="4" w:space="0" w:color="auto"/>
            </w:tcBorders>
            <w:hideMark/>
          </w:tcPr>
          <w:p w14:paraId="19934850"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Resiniferol</w:t>
            </w:r>
            <w:proofErr w:type="spellEnd"/>
            <w:r w:rsidRPr="008C76B1">
              <w:rPr>
                <w:rFonts w:ascii="Arial" w:eastAsia="Times New Roman" w:hAnsi="Arial" w:cs="Arial"/>
                <w:kern w:val="0"/>
                <w:sz w:val="20"/>
                <w:szCs w:val="20"/>
              </w:rPr>
              <w:t xml:space="preserve"> 20-(4-hydroxy-3-methoxyphenylacetate) 9,13,14-ortho-phenylacetate</w:t>
            </w:r>
          </w:p>
        </w:tc>
        <w:tc>
          <w:tcPr>
            <w:tcW w:w="1426" w:type="dxa"/>
            <w:tcBorders>
              <w:top w:val="single" w:sz="4" w:space="0" w:color="auto"/>
              <w:left w:val="single" w:sz="4" w:space="0" w:color="auto"/>
              <w:bottom w:val="single" w:sz="4" w:space="0" w:color="auto"/>
              <w:right w:val="single" w:sz="4" w:space="0" w:color="auto"/>
            </w:tcBorders>
            <w:hideMark/>
          </w:tcPr>
          <w:p w14:paraId="4249E68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-8.4</w:t>
            </w:r>
          </w:p>
        </w:tc>
        <w:tc>
          <w:tcPr>
            <w:tcW w:w="1213" w:type="dxa"/>
            <w:tcBorders>
              <w:top w:val="single" w:sz="4" w:space="0" w:color="auto"/>
              <w:left w:val="single" w:sz="4" w:space="0" w:color="auto"/>
              <w:bottom w:val="single" w:sz="4" w:space="0" w:color="auto"/>
              <w:right w:val="single" w:sz="4" w:space="0" w:color="auto"/>
            </w:tcBorders>
          </w:tcPr>
          <w:p w14:paraId="281E7F9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-5.9</w:t>
            </w:r>
          </w:p>
        </w:tc>
      </w:tr>
      <w:tr w:rsidR="0052046B" w:rsidRPr="008C76B1" w14:paraId="4744D759" w14:textId="77777777" w:rsidTr="00261B7D">
        <w:tc>
          <w:tcPr>
            <w:tcW w:w="990" w:type="dxa"/>
            <w:tcBorders>
              <w:top w:val="single" w:sz="4" w:space="0" w:color="auto"/>
              <w:left w:val="single" w:sz="4" w:space="0" w:color="auto"/>
              <w:bottom w:val="single" w:sz="4" w:space="0" w:color="auto"/>
              <w:right w:val="single" w:sz="4" w:space="0" w:color="auto"/>
            </w:tcBorders>
          </w:tcPr>
          <w:p w14:paraId="2D46DC3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46</w:t>
            </w:r>
          </w:p>
        </w:tc>
        <w:tc>
          <w:tcPr>
            <w:tcW w:w="5456" w:type="dxa"/>
            <w:tcBorders>
              <w:top w:val="single" w:sz="4" w:space="0" w:color="auto"/>
              <w:left w:val="single" w:sz="4" w:space="0" w:color="auto"/>
              <w:bottom w:val="single" w:sz="4" w:space="0" w:color="auto"/>
              <w:right w:val="single" w:sz="4" w:space="0" w:color="auto"/>
            </w:tcBorders>
            <w:hideMark/>
          </w:tcPr>
          <w:p w14:paraId="127AEF5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1,3-diacetylvilasinin</w:t>
            </w:r>
          </w:p>
        </w:tc>
        <w:tc>
          <w:tcPr>
            <w:tcW w:w="1426" w:type="dxa"/>
            <w:tcBorders>
              <w:top w:val="single" w:sz="4" w:space="0" w:color="auto"/>
              <w:left w:val="single" w:sz="4" w:space="0" w:color="auto"/>
              <w:bottom w:val="single" w:sz="4" w:space="0" w:color="auto"/>
              <w:right w:val="single" w:sz="4" w:space="0" w:color="auto"/>
            </w:tcBorders>
            <w:hideMark/>
          </w:tcPr>
          <w:p w14:paraId="113DA44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-8.3</w:t>
            </w:r>
          </w:p>
        </w:tc>
        <w:tc>
          <w:tcPr>
            <w:tcW w:w="1213" w:type="dxa"/>
            <w:tcBorders>
              <w:top w:val="single" w:sz="4" w:space="0" w:color="auto"/>
              <w:left w:val="single" w:sz="4" w:space="0" w:color="auto"/>
              <w:bottom w:val="single" w:sz="4" w:space="0" w:color="auto"/>
              <w:right w:val="single" w:sz="4" w:space="0" w:color="auto"/>
            </w:tcBorders>
          </w:tcPr>
          <w:p w14:paraId="04D3AA9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-6.0</w:t>
            </w:r>
          </w:p>
        </w:tc>
      </w:tr>
      <w:tr w:rsidR="0052046B" w:rsidRPr="008C76B1" w14:paraId="1F924CC4" w14:textId="77777777" w:rsidTr="00261B7D">
        <w:tc>
          <w:tcPr>
            <w:tcW w:w="990" w:type="dxa"/>
            <w:tcBorders>
              <w:top w:val="single" w:sz="4" w:space="0" w:color="auto"/>
              <w:left w:val="single" w:sz="4" w:space="0" w:color="auto"/>
              <w:bottom w:val="single" w:sz="4" w:space="0" w:color="auto"/>
              <w:right w:val="single" w:sz="4" w:space="0" w:color="auto"/>
            </w:tcBorders>
          </w:tcPr>
          <w:p w14:paraId="37063F6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47</w:t>
            </w:r>
          </w:p>
        </w:tc>
        <w:tc>
          <w:tcPr>
            <w:tcW w:w="5456" w:type="dxa"/>
            <w:tcBorders>
              <w:top w:val="single" w:sz="4" w:space="0" w:color="auto"/>
              <w:left w:val="single" w:sz="4" w:space="0" w:color="auto"/>
              <w:bottom w:val="single" w:sz="4" w:space="0" w:color="auto"/>
              <w:right w:val="single" w:sz="4" w:space="0" w:color="auto"/>
            </w:tcBorders>
            <w:hideMark/>
          </w:tcPr>
          <w:p w14:paraId="05BB5CF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12-Deoxyphorbol 20-acetate 13-angelate</w:t>
            </w:r>
          </w:p>
        </w:tc>
        <w:tc>
          <w:tcPr>
            <w:tcW w:w="1426" w:type="dxa"/>
            <w:tcBorders>
              <w:top w:val="single" w:sz="4" w:space="0" w:color="auto"/>
              <w:left w:val="single" w:sz="4" w:space="0" w:color="auto"/>
              <w:bottom w:val="single" w:sz="4" w:space="0" w:color="auto"/>
              <w:right w:val="single" w:sz="4" w:space="0" w:color="auto"/>
            </w:tcBorders>
            <w:hideMark/>
          </w:tcPr>
          <w:p w14:paraId="7FEA1D9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-8.3</w:t>
            </w:r>
          </w:p>
        </w:tc>
        <w:tc>
          <w:tcPr>
            <w:tcW w:w="1213" w:type="dxa"/>
            <w:tcBorders>
              <w:top w:val="single" w:sz="4" w:space="0" w:color="auto"/>
              <w:left w:val="single" w:sz="4" w:space="0" w:color="auto"/>
              <w:bottom w:val="single" w:sz="4" w:space="0" w:color="auto"/>
              <w:right w:val="single" w:sz="4" w:space="0" w:color="auto"/>
            </w:tcBorders>
          </w:tcPr>
          <w:p w14:paraId="537DE3A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-6.9</w:t>
            </w:r>
          </w:p>
        </w:tc>
      </w:tr>
      <w:tr w:rsidR="0052046B" w:rsidRPr="008C76B1" w14:paraId="7B510580" w14:textId="77777777" w:rsidTr="00261B7D">
        <w:tc>
          <w:tcPr>
            <w:tcW w:w="990" w:type="dxa"/>
            <w:tcBorders>
              <w:top w:val="single" w:sz="4" w:space="0" w:color="auto"/>
              <w:left w:val="single" w:sz="4" w:space="0" w:color="auto"/>
              <w:bottom w:val="single" w:sz="4" w:space="0" w:color="auto"/>
              <w:right w:val="single" w:sz="4" w:space="0" w:color="auto"/>
            </w:tcBorders>
          </w:tcPr>
          <w:p w14:paraId="4A97B44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48</w:t>
            </w:r>
          </w:p>
        </w:tc>
        <w:tc>
          <w:tcPr>
            <w:tcW w:w="5456" w:type="dxa"/>
            <w:tcBorders>
              <w:top w:val="single" w:sz="4" w:space="0" w:color="auto"/>
              <w:left w:val="single" w:sz="4" w:space="0" w:color="auto"/>
              <w:bottom w:val="single" w:sz="4" w:space="0" w:color="auto"/>
              <w:right w:val="single" w:sz="4" w:space="0" w:color="auto"/>
            </w:tcBorders>
            <w:hideMark/>
          </w:tcPr>
          <w:p w14:paraId="38ECB12F" w14:textId="26D8F135"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Tylophoridicine</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6B562F4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-8.3</w:t>
            </w:r>
          </w:p>
        </w:tc>
        <w:tc>
          <w:tcPr>
            <w:tcW w:w="1213" w:type="dxa"/>
            <w:tcBorders>
              <w:top w:val="single" w:sz="4" w:space="0" w:color="auto"/>
              <w:left w:val="single" w:sz="4" w:space="0" w:color="auto"/>
              <w:bottom w:val="single" w:sz="4" w:space="0" w:color="auto"/>
              <w:right w:val="single" w:sz="4" w:space="0" w:color="auto"/>
            </w:tcBorders>
          </w:tcPr>
          <w:p w14:paraId="6461143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-6.2</w:t>
            </w:r>
          </w:p>
        </w:tc>
      </w:tr>
      <w:tr w:rsidR="0052046B" w:rsidRPr="008C76B1" w14:paraId="2A8A24A6" w14:textId="77777777" w:rsidTr="00261B7D">
        <w:tc>
          <w:tcPr>
            <w:tcW w:w="990" w:type="dxa"/>
            <w:tcBorders>
              <w:top w:val="single" w:sz="4" w:space="0" w:color="auto"/>
              <w:left w:val="single" w:sz="4" w:space="0" w:color="auto"/>
              <w:bottom w:val="single" w:sz="4" w:space="0" w:color="auto"/>
              <w:right w:val="single" w:sz="4" w:space="0" w:color="auto"/>
            </w:tcBorders>
          </w:tcPr>
          <w:p w14:paraId="6E4CEDF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49</w:t>
            </w:r>
          </w:p>
        </w:tc>
        <w:tc>
          <w:tcPr>
            <w:tcW w:w="5456" w:type="dxa"/>
            <w:tcBorders>
              <w:top w:val="single" w:sz="4" w:space="0" w:color="auto"/>
              <w:left w:val="single" w:sz="4" w:space="0" w:color="auto"/>
              <w:bottom w:val="single" w:sz="4" w:space="0" w:color="auto"/>
              <w:right w:val="single" w:sz="4" w:space="0" w:color="auto"/>
            </w:tcBorders>
            <w:hideMark/>
          </w:tcPr>
          <w:p w14:paraId="18512CD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Cis-4-deoxyannoreticuin</w:t>
            </w:r>
          </w:p>
        </w:tc>
        <w:tc>
          <w:tcPr>
            <w:tcW w:w="1426" w:type="dxa"/>
            <w:tcBorders>
              <w:top w:val="single" w:sz="4" w:space="0" w:color="auto"/>
              <w:left w:val="single" w:sz="4" w:space="0" w:color="auto"/>
              <w:bottom w:val="single" w:sz="4" w:space="0" w:color="auto"/>
              <w:right w:val="single" w:sz="4" w:space="0" w:color="auto"/>
            </w:tcBorders>
            <w:hideMark/>
          </w:tcPr>
          <w:p w14:paraId="7D32ECE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-8.2</w:t>
            </w:r>
          </w:p>
        </w:tc>
        <w:tc>
          <w:tcPr>
            <w:tcW w:w="1213" w:type="dxa"/>
            <w:tcBorders>
              <w:top w:val="single" w:sz="4" w:space="0" w:color="auto"/>
              <w:left w:val="single" w:sz="4" w:space="0" w:color="auto"/>
              <w:bottom w:val="single" w:sz="4" w:space="0" w:color="auto"/>
              <w:right w:val="single" w:sz="4" w:space="0" w:color="auto"/>
            </w:tcBorders>
          </w:tcPr>
          <w:p w14:paraId="25B84DB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-8.6</w:t>
            </w:r>
          </w:p>
        </w:tc>
      </w:tr>
      <w:tr w:rsidR="0052046B" w:rsidRPr="008C76B1" w14:paraId="735FC139" w14:textId="77777777" w:rsidTr="00261B7D">
        <w:tc>
          <w:tcPr>
            <w:tcW w:w="990" w:type="dxa"/>
            <w:tcBorders>
              <w:top w:val="single" w:sz="4" w:space="0" w:color="auto"/>
              <w:left w:val="single" w:sz="4" w:space="0" w:color="auto"/>
              <w:bottom w:val="single" w:sz="4" w:space="0" w:color="auto"/>
              <w:right w:val="single" w:sz="4" w:space="0" w:color="auto"/>
            </w:tcBorders>
          </w:tcPr>
          <w:p w14:paraId="10ACAC8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50</w:t>
            </w:r>
          </w:p>
        </w:tc>
        <w:tc>
          <w:tcPr>
            <w:tcW w:w="5456" w:type="dxa"/>
            <w:tcBorders>
              <w:top w:val="single" w:sz="4" w:space="0" w:color="auto"/>
              <w:left w:val="single" w:sz="4" w:space="0" w:color="auto"/>
              <w:bottom w:val="single" w:sz="4" w:space="0" w:color="auto"/>
              <w:right w:val="single" w:sz="4" w:space="0" w:color="auto"/>
            </w:tcBorders>
            <w:hideMark/>
          </w:tcPr>
          <w:p w14:paraId="4B628D2E"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Melianin</w:t>
            </w:r>
            <w:proofErr w:type="spellEnd"/>
            <w:r w:rsidRPr="008C76B1">
              <w:rPr>
                <w:rFonts w:ascii="Arial" w:eastAsia="Times New Roman" w:hAnsi="Arial" w:cs="Arial"/>
                <w:kern w:val="0"/>
                <w:sz w:val="20"/>
                <w:szCs w:val="20"/>
              </w:rPr>
              <w:t xml:space="preserve"> C</w:t>
            </w:r>
          </w:p>
        </w:tc>
        <w:tc>
          <w:tcPr>
            <w:tcW w:w="1426" w:type="dxa"/>
            <w:tcBorders>
              <w:top w:val="single" w:sz="4" w:space="0" w:color="auto"/>
              <w:left w:val="single" w:sz="4" w:space="0" w:color="auto"/>
              <w:bottom w:val="single" w:sz="4" w:space="0" w:color="auto"/>
              <w:right w:val="single" w:sz="4" w:space="0" w:color="auto"/>
            </w:tcBorders>
            <w:hideMark/>
          </w:tcPr>
          <w:p w14:paraId="1ECF000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-8.2</w:t>
            </w:r>
          </w:p>
        </w:tc>
        <w:tc>
          <w:tcPr>
            <w:tcW w:w="1213" w:type="dxa"/>
            <w:tcBorders>
              <w:top w:val="single" w:sz="4" w:space="0" w:color="auto"/>
              <w:left w:val="single" w:sz="4" w:space="0" w:color="auto"/>
              <w:bottom w:val="single" w:sz="4" w:space="0" w:color="auto"/>
              <w:right w:val="single" w:sz="4" w:space="0" w:color="auto"/>
            </w:tcBorders>
          </w:tcPr>
          <w:p w14:paraId="06407F4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r>
      <w:tr w:rsidR="0052046B" w:rsidRPr="008C76B1" w14:paraId="4006A37C" w14:textId="77777777" w:rsidTr="00261B7D">
        <w:tc>
          <w:tcPr>
            <w:tcW w:w="990" w:type="dxa"/>
            <w:tcBorders>
              <w:top w:val="single" w:sz="4" w:space="0" w:color="auto"/>
              <w:left w:val="single" w:sz="4" w:space="0" w:color="auto"/>
              <w:bottom w:val="single" w:sz="4" w:space="0" w:color="auto"/>
              <w:right w:val="single" w:sz="4" w:space="0" w:color="auto"/>
            </w:tcBorders>
          </w:tcPr>
          <w:p w14:paraId="3B84A04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51</w:t>
            </w:r>
          </w:p>
        </w:tc>
        <w:tc>
          <w:tcPr>
            <w:tcW w:w="5456" w:type="dxa"/>
            <w:tcBorders>
              <w:top w:val="single" w:sz="4" w:space="0" w:color="auto"/>
              <w:left w:val="single" w:sz="4" w:space="0" w:color="auto"/>
              <w:bottom w:val="single" w:sz="4" w:space="0" w:color="auto"/>
              <w:right w:val="single" w:sz="4" w:space="0" w:color="auto"/>
            </w:tcBorders>
            <w:hideMark/>
          </w:tcPr>
          <w:p w14:paraId="6A053495" w14:textId="7E1CC3C1"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Tylophoridicine</w:t>
            </w:r>
            <w:proofErr w:type="spellEnd"/>
            <w:r w:rsidRPr="008C76B1">
              <w:rPr>
                <w:rFonts w:ascii="Arial" w:eastAsia="Times New Roman" w:hAnsi="Arial" w:cs="Arial"/>
                <w:kern w:val="0"/>
                <w:sz w:val="20"/>
                <w:szCs w:val="20"/>
              </w:rPr>
              <w:t xml:space="preserve"> F</w:t>
            </w:r>
          </w:p>
        </w:tc>
        <w:tc>
          <w:tcPr>
            <w:tcW w:w="1426" w:type="dxa"/>
            <w:tcBorders>
              <w:top w:val="single" w:sz="4" w:space="0" w:color="auto"/>
              <w:left w:val="single" w:sz="4" w:space="0" w:color="auto"/>
              <w:bottom w:val="single" w:sz="4" w:space="0" w:color="auto"/>
              <w:right w:val="single" w:sz="4" w:space="0" w:color="auto"/>
            </w:tcBorders>
            <w:hideMark/>
          </w:tcPr>
          <w:p w14:paraId="64BF16D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-8.2</w:t>
            </w:r>
          </w:p>
        </w:tc>
        <w:tc>
          <w:tcPr>
            <w:tcW w:w="1213" w:type="dxa"/>
            <w:tcBorders>
              <w:top w:val="single" w:sz="4" w:space="0" w:color="auto"/>
              <w:left w:val="single" w:sz="4" w:space="0" w:color="auto"/>
              <w:bottom w:val="single" w:sz="4" w:space="0" w:color="auto"/>
              <w:right w:val="single" w:sz="4" w:space="0" w:color="auto"/>
            </w:tcBorders>
          </w:tcPr>
          <w:p w14:paraId="11DC005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-6.5</w:t>
            </w:r>
          </w:p>
        </w:tc>
      </w:tr>
      <w:tr w:rsidR="0052046B" w:rsidRPr="008C76B1" w14:paraId="572316C0" w14:textId="77777777" w:rsidTr="00261B7D">
        <w:tc>
          <w:tcPr>
            <w:tcW w:w="990" w:type="dxa"/>
            <w:tcBorders>
              <w:top w:val="single" w:sz="4" w:space="0" w:color="auto"/>
              <w:left w:val="single" w:sz="4" w:space="0" w:color="auto"/>
              <w:bottom w:val="single" w:sz="4" w:space="0" w:color="auto"/>
              <w:right w:val="single" w:sz="4" w:space="0" w:color="auto"/>
            </w:tcBorders>
          </w:tcPr>
          <w:p w14:paraId="59BAB29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52</w:t>
            </w:r>
          </w:p>
        </w:tc>
        <w:tc>
          <w:tcPr>
            <w:tcW w:w="5456" w:type="dxa"/>
            <w:tcBorders>
              <w:top w:val="single" w:sz="4" w:space="0" w:color="auto"/>
              <w:left w:val="single" w:sz="4" w:space="0" w:color="auto"/>
              <w:bottom w:val="single" w:sz="4" w:space="0" w:color="auto"/>
              <w:right w:val="single" w:sz="4" w:space="0" w:color="auto"/>
            </w:tcBorders>
            <w:hideMark/>
          </w:tcPr>
          <w:p w14:paraId="6A63712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12-Deoxyphorbol 13-(9,10-</w:t>
            </w:r>
            <w:proofErr w:type="gramStart"/>
            <w:r w:rsidRPr="008C76B1">
              <w:rPr>
                <w:rFonts w:ascii="Arial" w:eastAsia="Times New Roman" w:hAnsi="Arial" w:cs="Arial"/>
                <w:kern w:val="0"/>
                <w:sz w:val="20"/>
                <w:szCs w:val="20"/>
              </w:rPr>
              <w:t>methylene)undecanoate</w:t>
            </w:r>
            <w:proofErr w:type="gramEnd"/>
          </w:p>
        </w:tc>
        <w:tc>
          <w:tcPr>
            <w:tcW w:w="1426" w:type="dxa"/>
            <w:tcBorders>
              <w:top w:val="single" w:sz="4" w:space="0" w:color="auto"/>
              <w:left w:val="single" w:sz="4" w:space="0" w:color="auto"/>
              <w:bottom w:val="single" w:sz="4" w:space="0" w:color="auto"/>
              <w:right w:val="single" w:sz="4" w:space="0" w:color="auto"/>
            </w:tcBorders>
            <w:hideMark/>
          </w:tcPr>
          <w:p w14:paraId="03F8B48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-8.1</w:t>
            </w:r>
          </w:p>
        </w:tc>
        <w:tc>
          <w:tcPr>
            <w:tcW w:w="1213" w:type="dxa"/>
            <w:tcBorders>
              <w:top w:val="single" w:sz="4" w:space="0" w:color="auto"/>
              <w:left w:val="single" w:sz="4" w:space="0" w:color="auto"/>
              <w:bottom w:val="single" w:sz="4" w:space="0" w:color="auto"/>
              <w:right w:val="single" w:sz="4" w:space="0" w:color="auto"/>
            </w:tcBorders>
          </w:tcPr>
          <w:p w14:paraId="7732138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-8.1</w:t>
            </w:r>
          </w:p>
        </w:tc>
      </w:tr>
      <w:tr w:rsidR="0052046B" w:rsidRPr="008C76B1" w14:paraId="3D57BCB4" w14:textId="77777777" w:rsidTr="00261B7D">
        <w:tc>
          <w:tcPr>
            <w:tcW w:w="990" w:type="dxa"/>
            <w:tcBorders>
              <w:top w:val="single" w:sz="4" w:space="0" w:color="auto"/>
              <w:left w:val="single" w:sz="4" w:space="0" w:color="auto"/>
              <w:bottom w:val="single" w:sz="4" w:space="0" w:color="auto"/>
              <w:right w:val="single" w:sz="4" w:space="0" w:color="auto"/>
            </w:tcBorders>
          </w:tcPr>
          <w:p w14:paraId="782CAA5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53</w:t>
            </w:r>
          </w:p>
        </w:tc>
        <w:tc>
          <w:tcPr>
            <w:tcW w:w="5456" w:type="dxa"/>
            <w:tcBorders>
              <w:top w:val="single" w:sz="4" w:space="0" w:color="auto"/>
              <w:left w:val="single" w:sz="4" w:space="0" w:color="auto"/>
              <w:bottom w:val="single" w:sz="4" w:space="0" w:color="auto"/>
              <w:right w:val="single" w:sz="4" w:space="0" w:color="auto"/>
            </w:tcBorders>
            <w:hideMark/>
          </w:tcPr>
          <w:p w14:paraId="648F258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Annoreticuin-9-one</w:t>
            </w:r>
          </w:p>
        </w:tc>
        <w:tc>
          <w:tcPr>
            <w:tcW w:w="1426" w:type="dxa"/>
            <w:tcBorders>
              <w:top w:val="single" w:sz="4" w:space="0" w:color="auto"/>
              <w:left w:val="single" w:sz="4" w:space="0" w:color="auto"/>
              <w:bottom w:val="single" w:sz="4" w:space="0" w:color="auto"/>
              <w:right w:val="single" w:sz="4" w:space="0" w:color="auto"/>
            </w:tcBorders>
            <w:hideMark/>
          </w:tcPr>
          <w:p w14:paraId="62A014D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-8.0</w:t>
            </w:r>
          </w:p>
        </w:tc>
        <w:tc>
          <w:tcPr>
            <w:tcW w:w="1213" w:type="dxa"/>
            <w:tcBorders>
              <w:top w:val="single" w:sz="4" w:space="0" w:color="auto"/>
              <w:left w:val="single" w:sz="4" w:space="0" w:color="auto"/>
              <w:bottom w:val="single" w:sz="4" w:space="0" w:color="auto"/>
              <w:right w:val="single" w:sz="4" w:space="0" w:color="auto"/>
            </w:tcBorders>
          </w:tcPr>
          <w:p w14:paraId="324C8A0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-8.9</w:t>
            </w:r>
          </w:p>
        </w:tc>
      </w:tr>
      <w:tr w:rsidR="0052046B" w:rsidRPr="008C76B1" w14:paraId="3F2BB83A" w14:textId="77777777" w:rsidTr="00261B7D">
        <w:tc>
          <w:tcPr>
            <w:tcW w:w="990" w:type="dxa"/>
            <w:tcBorders>
              <w:top w:val="single" w:sz="4" w:space="0" w:color="auto"/>
              <w:left w:val="single" w:sz="4" w:space="0" w:color="auto"/>
              <w:bottom w:val="single" w:sz="4" w:space="0" w:color="auto"/>
              <w:right w:val="single" w:sz="4" w:space="0" w:color="auto"/>
            </w:tcBorders>
          </w:tcPr>
          <w:p w14:paraId="69EF2BE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54</w:t>
            </w:r>
          </w:p>
        </w:tc>
        <w:tc>
          <w:tcPr>
            <w:tcW w:w="5456" w:type="dxa"/>
            <w:tcBorders>
              <w:top w:val="single" w:sz="4" w:space="0" w:color="auto"/>
              <w:left w:val="single" w:sz="4" w:space="0" w:color="auto"/>
              <w:bottom w:val="single" w:sz="4" w:space="0" w:color="auto"/>
              <w:right w:val="single" w:sz="4" w:space="0" w:color="auto"/>
            </w:tcBorders>
            <w:hideMark/>
          </w:tcPr>
          <w:p w14:paraId="1773B64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Fisetin</w:t>
            </w:r>
          </w:p>
        </w:tc>
        <w:tc>
          <w:tcPr>
            <w:tcW w:w="1426" w:type="dxa"/>
            <w:tcBorders>
              <w:top w:val="single" w:sz="4" w:space="0" w:color="auto"/>
              <w:left w:val="single" w:sz="4" w:space="0" w:color="auto"/>
              <w:bottom w:val="single" w:sz="4" w:space="0" w:color="auto"/>
              <w:right w:val="single" w:sz="4" w:space="0" w:color="auto"/>
            </w:tcBorders>
            <w:hideMark/>
          </w:tcPr>
          <w:p w14:paraId="4D2388B8"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-7.8</w:t>
            </w:r>
          </w:p>
        </w:tc>
        <w:tc>
          <w:tcPr>
            <w:tcW w:w="1213" w:type="dxa"/>
            <w:tcBorders>
              <w:top w:val="single" w:sz="4" w:space="0" w:color="auto"/>
              <w:left w:val="single" w:sz="4" w:space="0" w:color="auto"/>
              <w:bottom w:val="single" w:sz="4" w:space="0" w:color="auto"/>
              <w:right w:val="single" w:sz="4" w:space="0" w:color="auto"/>
            </w:tcBorders>
          </w:tcPr>
          <w:p w14:paraId="6740E20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-5.6</w:t>
            </w:r>
          </w:p>
        </w:tc>
      </w:tr>
      <w:tr w:rsidR="0052046B" w:rsidRPr="008C76B1" w14:paraId="754E98D3" w14:textId="77777777" w:rsidTr="00261B7D">
        <w:tc>
          <w:tcPr>
            <w:tcW w:w="990" w:type="dxa"/>
            <w:tcBorders>
              <w:top w:val="single" w:sz="4" w:space="0" w:color="auto"/>
              <w:left w:val="single" w:sz="4" w:space="0" w:color="auto"/>
              <w:bottom w:val="single" w:sz="4" w:space="0" w:color="auto"/>
              <w:right w:val="single" w:sz="4" w:space="0" w:color="auto"/>
            </w:tcBorders>
          </w:tcPr>
          <w:p w14:paraId="0B475DD1"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55</w:t>
            </w:r>
          </w:p>
        </w:tc>
        <w:tc>
          <w:tcPr>
            <w:tcW w:w="5456" w:type="dxa"/>
            <w:tcBorders>
              <w:top w:val="single" w:sz="4" w:space="0" w:color="auto"/>
              <w:left w:val="single" w:sz="4" w:space="0" w:color="auto"/>
              <w:bottom w:val="single" w:sz="4" w:space="0" w:color="auto"/>
              <w:right w:val="single" w:sz="4" w:space="0" w:color="auto"/>
            </w:tcBorders>
            <w:hideMark/>
          </w:tcPr>
          <w:p w14:paraId="4BE6DF1C"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Purpurediolin</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730A1A3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-7.8</w:t>
            </w:r>
          </w:p>
        </w:tc>
        <w:tc>
          <w:tcPr>
            <w:tcW w:w="1213" w:type="dxa"/>
            <w:tcBorders>
              <w:top w:val="single" w:sz="4" w:space="0" w:color="auto"/>
              <w:left w:val="single" w:sz="4" w:space="0" w:color="auto"/>
              <w:bottom w:val="single" w:sz="4" w:space="0" w:color="auto"/>
              <w:right w:val="single" w:sz="4" w:space="0" w:color="auto"/>
            </w:tcBorders>
          </w:tcPr>
          <w:p w14:paraId="659DE45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-9.6</w:t>
            </w:r>
          </w:p>
        </w:tc>
      </w:tr>
      <w:tr w:rsidR="0052046B" w:rsidRPr="008C76B1" w14:paraId="62AD4885" w14:textId="77777777" w:rsidTr="00261B7D">
        <w:tc>
          <w:tcPr>
            <w:tcW w:w="990" w:type="dxa"/>
            <w:tcBorders>
              <w:top w:val="single" w:sz="4" w:space="0" w:color="auto"/>
              <w:left w:val="single" w:sz="4" w:space="0" w:color="auto"/>
              <w:bottom w:val="single" w:sz="4" w:space="0" w:color="auto"/>
              <w:right w:val="single" w:sz="4" w:space="0" w:color="auto"/>
            </w:tcBorders>
          </w:tcPr>
          <w:p w14:paraId="6349DD1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56</w:t>
            </w:r>
          </w:p>
        </w:tc>
        <w:tc>
          <w:tcPr>
            <w:tcW w:w="5456" w:type="dxa"/>
            <w:tcBorders>
              <w:top w:val="single" w:sz="4" w:space="0" w:color="auto"/>
              <w:left w:val="single" w:sz="4" w:space="0" w:color="auto"/>
              <w:bottom w:val="single" w:sz="4" w:space="0" w:color="auto"/>
              <w:right w:val="single" w:sz="4" w:space="0" w:color="auto"/>
            </w:tcBorders>
            <w:hideMark/>
          </w:tcPr>
          <w:p w14:paraId="23B2F6A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2',4'-Dihydroxy-6'-methoxy-3',5'-dimethylchalcone-0</w:t>
            </w:r>
          </w:p>
        </w:tc>
        <w:tc>
          <w:tcPr>
            <w:tcW w:w="1426" w:type="dxa"/>
            <w:tcBorders>
              <w:top w:val="single" w:sz="4" w:space="0" w:color="auto"/>
              <w:left w:val="single" w:sz="4" w:space="0" w:color="auto"/>
              <w:bottom w:val="single" w:sz="4" w:space="0" w:color="auto"/>
              <w:right w:val="single" w:sz="4" w:space="0" w:color="auto"/>
            </w:tcBorders>
            <w:hideMark/>
          </w:tcPr>
          <w:p w14:paraId="23AD027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-7.7</w:t>
            </w:r>
          </w:p>
        </w:tc>
        <w:tc>
          <w:tcPr>
            <w:tcW w:w="1213" w:type="dxa"/>
            <w:tcBorders>
              <w:top w:val="single" w:sz="4" w:space="0" w:color="auto"/>
              <w:left w:val="single" w:sz="4" w:space="0" w:color="auto"/>
              <w:bottom w:val="single" w:sz="4" w:space="0" w:color="auto"/>
              <w:right w:val="single" w:sz="4" w:space="0" w:color="auto"/>
            </w:tcBorders>
          </w:tcPr>
          <w:p w14:paraId="3F455A7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-5.6</w:t>
            </w:r>
          </w:p>
        </w:tc>
      </w:tr>
      <w:tr w:rsidR="0052046B" w:rsidRPr="008C76B1" w14:paraId="74673C88" w14:textId="77777777" w:rsidTr="00261B7D">
        <w:tc>
          <w:tcPr>
            <w:tcW w:w="990" w:type="dxa"/>
            <w:tcBorders>
              <w:top w:val="single" w:sz="4" w:space="0" w:color="auto"/>
              <w:left w:val="single" w:sz="4" w:space="0" w:color="auto"/>
              <w:bottom w:val="single" w:sz="4" w:space="0" w:color="auto"/>
              <w:right w:val="single" w:sz="4" w:space="0" w:color="auto"/>
            </w:tcBorders>
          </w:tcPr>
          <w:p w14:paraId="2CC411B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57</w:t>
            </w:r>
          </w:p>
        </w:tc>
        <w:tc>
          <w:tcPr>
            <w:tcW w:w="5456" w:type="dxa"/>
            <w:tcBorders>
              <w:top w:val="single" w:sz="4" w:space="0" w:color="auto"/>
              <w:left w:val="single" w:sz="4" w:space="0" w:color="auto"/>
              <w:bottom w:val="single" w:sz="4" w:space="0" w:color="auto"/>
              <w:right w:val="single" w:sz="4" w:space="0" w:color="auto"/>
            </w:tcBorders>
          </w:tcPr>
          <w:p w14:paraId="78E8C643"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Glacins</w:t>
            </w:r>
            <w:proofErr w:type="spellEnd"/>
            <w:r w:rsidRPr="008C76B1">
              <w:rPr>
                <w:rFonts w:ascii="Arial" w:eastAsia="Times New Roman" w:hAnsi="Arial" w:cs="Arial"/>
                <w:kern w:val="0"/>
                <w:sz w:val="20"/>
                <w:szCs w:val="20"/>
              </w:rPr>
              <w:t xml:space="preserve"> A</w:t>
            </w:r>
          </w:p>
        </w:tc>
        <w:tc>
          <w:tcPr>
            <w:tcW w:w="1426" w:type="dxa"/>
            <w:tcBorders>
              <w:top w:val="single" w:sz="4" w:space="0" w:color="auto"/>
              <w:left w:val="single" w:sz="4" w:space="0" w:color="auto"/>
              <w:bottom w:val="single" w:sz="4" w:space="0" w:color="auto"/>
              <w:right w:val="single" w:sz="4" w:space="0" w:color="auto"/>
            </w:tcBorders>
          </w:tcPr>
          <w:p w14:paraId="150AF34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-7.6</w:t>
            </w:r>
          </w:p>
        </w:tc>
        <w:tc>
          <w:tcPr>
            <w:tcW w:w="1213" w:type="dxa"/>
            <w:tcBorders>
              <w:top w:val="single" w:sz="4" w:space="0" w:color="auto"/>
              <w:left w:val="single" w:sz="4" w:space="0" w:color="auto"/>
              <w:bottom w:val="single" w:sz="4" w:space="0" w:color="auto"/>
              <w:right w:val="single" w:sz="4" w:space="0" w:color="auto"/>
            </w:tcBorders>
          </w:tcPr>
          <w:p w14:paraId="6024874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-9.3</w:t>
            </w:r>
          </w:p>
        </w:tc>
      </w:tr>
      <w:tr w:rsidR="0052046B" w:rsidRPr="008C76B1" w14:paraId="77213D8C" w14:textId="77777777" w:rsidTr="00261B7D">
        <w:tc>
          <w:tcPr>
            <w:tcW w:w="990" w:type="dxa"/>
            <w:tcBorders>
              <w:top w:val="single" w:sz="4" w:space="0" w:color="auto"/>
              <w:left w:val="single" w:sz="4" w:space="0" w:color="auto"/>
              <w:bottom w:val="single" w:sz="4" w:space="0" w:color="auto"/>
              <w:right w:val="single" w:sz="4" w:space="0" w:color="auto"/>
            </w:tcBorders>
          </w:tcPr>
          <w:p w14:paraId="378A2A0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58</w:t>
            </w:r>
          </w:p>
        </w:tc>
        <w:tc>
          <w:tcPr>
            <w:tcW w:w="5456" w:type="dxa"/>
            <w:tcBorders>
              <w:top w:val="single" w:sz="4" w:space="0" w:color="auto"/>
              <w:left w:val="single" w:sz="4" w:space="0" w:color="auto"/>
              <w:bottom w:val="single" w:sz="4" w:space="0" w:color="auto"/>
              <w:right w:val="single" w:sz="4" w:space="0" w:color="auto"/>
            </w:tcBorders>
            <w:hideMark/>
          </w:tcPr>
          <w:p w14:paraId="4A7A91A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1,2,4-trihydroxyheptadec-16-ene</w:t>
            </w:r>
          </w:p>
        </w:tc>
        <w:tc>
          <w:tcPr>
            <w:tcW w:w="1426" w:type="dxa"/>
            <w:tcBorders>
              <w:top w:val="single" w:sz="4" w:space="0" w:color="auto"/>
              <w:left w:val="single" w:sz="4" w:space="0" w:color="auto"/>
              <w:bottom w:val="single" w:sz="4" w:space="0" w:color="auto"/>
              <w:right w:val="single" w:sz="4" w:space="0" w:color="auto"/>
            </w:tcBorders>
            <w:hideMark/>
          </w:tcPr>
          <w:p w14:paraId="5B318D7A"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-7.5</w:t>
            </w:r>
          </w:p>
        </w:tc>
        <w:tc>
          <w:tcPr>
            <w:tcW w:w="1213" w:type="dxa"/>
            <w:tcBorders>
              <w:top w:val="single" w:sz="4" w:space="0" w:color="auto"/>
              <w:left w:val="single" w:sz="4" w:space="0" w:color="auto"/>
              <w:bottom w:val="single" w:sz="4" w:space="0" w:color="auto"/>
              <w:right w:val="single" w:sz="4" w:space="0" w:color="auto"/>
            </w:tcBorders>
          </w:tcPr>
          <w:p w14:paraId="170D5FC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r>
      <w:tr w:rsidR="0052046B" w:rsidRPr="008C76B1" w14:paraId="20D21908" w14:textId="77777777" w:rsidTr="00261B7D">
        <w:tc>
          <w:tcPr>
            <w:tcW w:w="990" w:type="dxa"/>
            <w:tcBorders>
              <w:top w:val="single" w:sz="4" w:space="0" w:color="auto"/>
              <w:left w:val="single" w:sz="4" w:space="0" w:color="auto"/>
              <w:bottom w:val="single" w:sz="4" w:space="0" w:color="auto"/>
              <w:right w:val="single" w:sz="4" w:space="0" w:color="auto"/>
            </w:tcBorders>
          </w:tcPr>
          <w:p w14:paraId="51430A49"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59</w:t>
            </w:r>
          </w:p>
        </w:tc>
        <w:tc>
          <w:tcPr>
            <w:tcW w:w="5456" w:type="dxa"/>
            <w:tcBorders>
              <w:top w:val="single" w:sz="4" w:space="0" w:color="auto"/>
              <w:left w:val="single" w:sz="4" w:space="0" w:color="auto"/>
              <w:bottom w:val="single" w:sz="4" w:space="0" w:color="auto"/>
              <w:right w:val="single" w:sz="4" w:space="0" w:color="auto"/>
            </w:tcBorders>
            <w:hideMark/>
          </w:tcPr>
          <w:p w14:paraId="13EE780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Naringenin</w:t>
            </w:r>
          </w:p>
        </w:tc>
        <w:tc>
          <w:tcPr>
            <w:tcW w:w="1426" w:type="dxa"/>
            <w:tcBorders>
              <w:top w:val="single" w:sz="4" w:space="0" w:color="auto"/>
              <w:left w:val="single" w:sz="4" w:space="0" w:color="auto"/>
              <w:bottom w:val="single" w:sz="4" w:space="0" w:color="auto"/>
              <w:right w:val="single" w:sz="4" w:space="0" w:color="auto"/>
            </w:tcBorders>
            <w:hideMark/>
          </w:tcPr>
          <w:p w14:paraId="3E8042E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-7.5</w:t>
            </w:r>
          </w:p>
        </w:tc>
        <w:tc>
          <w:tcPr>
            <w:tcW w:w="1213" w:type="dxa"/>
            <w:tcBorders>
              <w:top w:val="single" w:sz="4" w:space="0" w:color="auto"/>
              <w:left w:val="single" w:sz="4" w:space="0" w:color="auto"/>
              <w:bottom w:val="single" w:sz="4" w:space="0" w:color="auto"/>
              <w:right w:val="single" w:sz="4" w:space="0" w:color="auto"/>
            </w:tcBorders>
          </w:tcPr>
          <w:p w14:paraId="5994140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-5.5</w:t>
            </w:r>
          </w:p>
        </w:tc>
      </w:tr>
      <w:tr w:rsidR="0052046B" w:rsidRPr="008C76B1" w14:paraId="4B0292BF" w14:textId="77777777" w:rsidTr="00261B7D">
        <w:tc>
          <w:tcPr>
            <w:tcW w:w="990" w:type="dxa"/>
            <w:tcBorders>
              <w:top w:val="single" w:sz="4" w:space="0" w:color="auto"/>
              <w:left w:val="single" w:sz="4" w:space="0" w:color="auto"/>
              <w:bottom w:val="single" w:sz="4" w:space="0" w:color="auto"/>
              <w:right w:val="single" w:sz="4" w:space="0" w:color="auto"/>
            </w:tcBorders>
          </w:tcPr>
          <w:p w14:paraId="3717075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60</w:t>
            </w:r>
          </w:p>
        </w:tc>
        <w:tc>
          <w:tcPr>
            <w:tcW w:w="5456" w:type="dxa"/>
            <w:tcBorders>
              <w:top w:val="single" w:sz="4" w:space="0" w:color="auto"/>
              <w:left w:val="single" w:sz="4" w:space="0" w:color="auto"/>
              <w:bottom w:val="single" w:sz="4" w:space="0" w:color="auto"/>
              <w:right w:val="single" w:sz="4" w:space="0" w:color="auto"/>
            </w:tcBorders>
            <w:hideMark/>
          </w:tcPr>
          <w:p w14:paraId="09829B9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1,2,4-trihydroxyheptadec-16-yne</w:t>
            </w:r>
          </w:p>
        </w:tc>
        <w:tc>
          <w:tcPr>
            <w:tcW w:w="1426" w:type="dxa"/>
            <w:tcBorders>
              <w:top w:val="single" w:sz="4" w:space="0" w:color="auto"/>
              <w:left w:val="single" w:sz="4" w:space="0" w:color="auto"/>
              <w:bottom w:val="single" w:sz="4" w:space="0" w:color="auto"/>
              <w:right w:val="single" w:sz="4" w:space="0" w:color="auto"/>
            </w:tcBorders>
            <w:hideMark/>
          </w:tcPr>
          <w:p w14:paraId="7297755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-7.4</w:t>
            </w:r>
          </w:p>
        </w:tc>
        <w:tc>
          <w:tcPr>
            <w:tcW w:w="1213" w:type="dxa"/>
            <w:tcBorders>
              <w:top w:val="single" w:sz="4" w:space="0" w:color="auto"/>
              <w:left w:val="single" w:sz="4" w:space="0" w:color="auto"/>
              <w:bottom w:val="single" w:sz="4" w:space="0" w:color="auto"/>
              <w:right w:val="single" w:sz="4" w:space="0" w:color="auto"/>
            </w:tcBorders>
          </w:tcPr>
          <w:p w14:paraId="377CD4F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r>
      <w:tr w:rsidR="0052046B" w:rsidRPr="008C76B1" w14:paraId="4BAF0F98" w14:textId="77777777" w:rsidTr="00261B7D">
        <w:tc>
          <w:tcPr>
            <w:tcW w:w="990" w:type="dxa"/>
            <w:tcBorders>
              <w:top w:val="single" w:sz="4" w:space="0" w:color="auto"/>
              <w:left w:val="single" w:sz="4" w:space="0" w:color="auto"/>
              <w:bottom w:val="single" w:sz="4" w:space="0" w:color="auto"/>
              <w:right w:val="single" w:sz="4" w:space="0" w:color="auto"/>
            </w:tcBorders>
          </w:tcPr>
          <w:p w14:paraId="3CC477C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61</w:t>
            </w:r>
          </w:p>
        </w:tc>
        <w:tc>
          <w:tcPr>
            <w:tcW w:w="5456" w:type="dxa"/>
            <w:tcBorders>
              <w:top w:val="single" w:sz="4" w:space="0" w:color="auto"/>
              <w:left w:val="single" w:sz="4" w:space="0" w:color="auto"/>
              <w:bottom w:val="single" w:sz="4" w:space="0" w:color="auto"/>
              <w:right w:val="single" w:sz="4" w:space="0" w:color="auto"/>
            </w:tcBorders>
            <w:hideMark/>
          </w:tcPr>
          <w:p w14:paraId="58334D8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3'-formyl-2',4',6'-trihydroxy-5'-methyldihydrochalcone</w:t>
            </w:r>
          </w:p>
        </w:tc>
        <w:tc>
          <w:tcPr>
            <w:tcW w:w="1426" w:type="dxa"/>
            <w:tcBorders>
              <w:top w:val="single" w:sz="4" w:space="0" w:color="auto"/>
              <w:left w:val="single" w:sz="4" w:space="0" w:color="auto"/>
              <w:bottom w:val="single" w:sz="4" w:space="0" w:color="auto"/>
              <w:right w:val="single" w:sz="4" w:space="0" w:color="auto"/>
            </w:tcBorders>
            <w:hideMark/>
          </w:tcPr>
          <w:p w14:paraId="43321E2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-7.4</w:t>
            </w:r>
          </w:p>
        </w:tc>
        <w:tc>
          <w:tcPr>
            <w:tcW w:w="1213" w:type="dxa"/>
            <w:tcBorders>
              <w:top w:val="single" w:sz="4" w:space="0" w:color="auto"/>
              <w:left w:val="single" w:sz="4" w:space="0" w:color="auto"/>
              <w:bottom w:val="single" w:sz="4" w:space="0" w:color="auto"/>
              <w:right w:val="single" w:sz="4" w:space="0" w:color="auto"/>
            </w:tcBorders>
          </w:tcPr>
          <w:p w14:paraId="74BB2CB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-5.9</w:t>
            </w:r>
          </w:p>
        </w:tc>
      </w:tr>
      <w:tr w:rsidR="0052046B" w:rsidRPr="008C76B1" w14:paraId="1FDF5200" w14:textId="77777777" w:rsidTr="00261B7D">
        <w:tc>
          <w:tcPr>
            <w:tcW w:w="990" w:type="dxa"/>
            <w:tcBorders>
              <w:top w:val="single" w:sz="4" w:space="0" w:color="auto"/>
              <w:left w:val="single" w:sz="4" w:space="0" w:color="auto"/>
              <w:bottom w:val="single" w:sz="4" w:space="0" w:color="auto"/>
              <w:right w:val="single" w:sz="4" w:space="0" w:color="auto"/>
            </w:tcBorders>
          </w:tcPr>
          <w:p w14:paraId="15F60D2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62</w:t>
            </w:r>
          </w:p>
        </w:tc>
        <w:tc>
          <w:tcPr>
            <w:tcW w:w="5456" w:type="dxa"/>
            <w:tcBorders>
              <w:top w:val="single" w:sz="4" w:space="0" w:color="auto"/>
              <w:left w:val="single" w:sz="4" w:space="0" w:color="auto"/>
              <w:bottom w:val="single" w:sz="4" w:space="0" w:color="auto"/>
              <w:right w:val="single" w:sz="4" w:space="0" w:color="auto"/>
            </w:tcBorders>
            <w:hideMark/>
          </w:tcPr>
          <w:p w14:paraId="1B63E10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1,2,4-trihydroxynonadecane</w:t>
            </w:r>
          </w:p>
        </w:tc>
        <w:tc>
          <w:tcPr>
            <w:tcW w:w="1426" w:type="dxa"/>
            <w:tcBorders>
              <w:top w:val="single" w:sz="4" w:space="0" w:color="auto"/>
              <w:left w:val="single" w:sz="4" w:space="0" w:color="auto"/>
              <w:bottom w:val="single" w:sz="4" w:space="0" w:color="auto"/>
              <w:right w:val="single" w:sz="4" w:space="0" w:color="auto"/>
            </w:tcBorders>
            <w:hideMark/>
          </w:tcPr>
          <w:p w14:paraId="61BC51B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-7.3</w:t>
            </w:r>
          </w:p>
        </w:tc>
        <w:tc>
          <w:tcPr>
            <w:tcW w:w="1213" w:type="dxa"/>
            <w:tcBorders>
              <w:top w:val="single" w:sz="4" w:space="0" w:color="auto"/>
              <w:left w:val="single" w:sz="4" w:space="0" w:color="auto"/>
              <w:bottom w:val="single" w:sz="4" w:space="0" w:color="auto"/>
              <w:right w:val="single" w:sz="4" w:space="0" w:color="auto"/>
            </w:tcBorders>
          </w:tcPr>
          <w:p w14:paraId="1097853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-6.7</w:t>
            </w:r>
          </w:p>
        </w:tc>
      </w:tr>
      <w:tr w:rsidR="0052046B" w:rsidRPr="008C76B1" w14:paraId="5F168C43" w14:textId="77777777" w:rsidTr="00261B7D">
        <w:tc>
          <w:tcPr>
            <w:tcW w:w="990" w:type="dxa"/>
            <w:tcBorders>
              <w:top w:val="single" w:sz="4" w:space="0" w:color="auto"/>
              <w:left w:val="single" w:sz="4" w:space="0" w:color="auto"/>
              <w:bottom w:val="single" w:sz="4" w:space="0" w:color="auto"/>
              <w:right w:val="single" w:sz="4" w:space="0" w:color="auto"/>
            </w:tcBorders>
          </w:tcPr>
          <w:p w14:paraId="55597F7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63</w:t>
            </w:r>
          </w:p>
        </w:tc>
        <w:tc>
          <w:tcPr>
            <w:tcW w:w="5456" w:type="dxa"/>
            <w:tcBorders>
              <w:top w:val="single" w:sz="4" w:space="0" w:color="auto"/>
              <w:left w:val="single" w:sz="4" w:space="0" w:color="auto"/>
              <w:bottom w:val="single" w:sz="4" w:space="0" w:color="auto"/>
              <w:right w:val="single" w:sz="4" w:space="0" w:color="auto"/>
            </w:tcBorders>
            <w:hideMark/>
          </w:tcPr>
          <w:p w14:paraId="657D1F80"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2-acetylfuro-1,4-naphthoquinone</w:t>
            </w:r>
          </w:p>
        </w:tc>
        <w:tc>
          <w:tcPr>
            <w:tcW w:w="1426" w:type="dxa"/>
            <w:tcBorders>
              <w:top w:val="single" w:sz="4" w:space="0" w:color="auto"/>
              <w:left w:val="single" w:sz="4" w:space="0" w:color="auto"/>
              <w:bottom w:val="single" w:sz="4" w:space="0" w:color="auto"/>
              <w:right w:val="single" w:sz="4" w:space="0" w:color="auto"/>
            </w:tcBorders>
            <w:hideMark/>
          </w:tcPr>
          <w:p w14:paraId="0C2E4EB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c>
          <w:tcPr>
            <w:tcW w:w="1213" w:type="dxa"/>
            <w:tcBorders>
              <w:top w:val="single" w:sz="4" w:space="0" w:color="auto"/>
              <w:left w:val="single" w:sz="4" w:space="0" w:color="auto"/>
              <w:bottom w:val="single" w:sz="4" w:space="0" w:color="auto"/>
              <w:right w:val="single" w:sz="4" w:space="0" w:color="auto"/>
            </w:tcBorders>
          </w:tcPr>
          <w:p w14:paraId="678E747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-5.4</w:t>
            </w:r>
          </w:p>
        </w:tc>
      </w:tr>
      <w:tr w:rsidR="0052046B" w:rsidRPr="008C76B1" w14:paraId="6F3D9A14" w14:textId="77777777" w:rsidTr="00261B7D">
        <w:tc>
          <w:tcPr>
            <w:tcW w:w="990" w:type="dxa"/>
            <w:tcBorders>
              <w:top w:val="single" w:sz="4" w:space="0" w:color="auto"/>
              <w:left w:val="single" w:sz="4" w:space="0" w:color="auto"/>
              <w:bottom w:val="single" w:sz="4" w:space="0" w:color="auto"/>
              <w:right w:val="single" w:sz="4" w:space="0" w:color="auto"/>
            </w:tcBorders>
          </w:tcPr>
          <w:p w14:paraId="7F0FC56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64</w:t>
            </w:r>
          </w:p>
        </w:tc>
        <w:tc>
          <w:tcPr>
            <w:tcW w:w="5456" w:type="dxa"/>
            <w:tcBorders>
              <w:top w:val="single" w:sz="4" w:space="0" w:color="auto"/>
              <w:left w:val="single" w:sz="4" w:space="0" w:color="auto"/>
              <w:bottom w:val="single" w:sz="4" w:space="0" w:color="auto"/>
              <w:right w:val="single" w:sz="4" w:space="0" w:color="auto"/>
            </w:tcBorders>
            <w:hideMark/>
          </w:tcPr>
          <w:p w14:paraId="1B15AD55"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Goniotetracin</w:t>
            </w:r>
            <w:proofErr w:type="spellEnd"/>
          </w:p>
        </w:tc>
        <w:tc>
          <w:tcPr>
            <w:tcW w:w="1426" w:type="dxa"/>
            <w:tcBorders>
              <w:top w:val="single" w:sz="4" w:space="0" w:color="auto"/>
              <w:left w:val="single" w:sz="4" w:space="0" w:color="auto"/>
              <w:bottom w:val="single" w:sz="4" w:space="0" w:color="auto"/>
              <w:right w:val="single" w:sz="4" w:space="0" w:color="auto"/>
            </w:tcBorders>
          </w:tcPr>
          <w:p w14:paraId="29A75B5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-7.0</w:t>
            </w:r>
          </w:p>
        </w:tc>
        <w:tc>
          <w:tcPr>
            <w:tcW w:w="1213" w:type="dxa"/>
            <w:tcBorders>
              <w:top w:val="single" w:sz="4" w:space="0" w:color="auto"/>
              <w:left w:val="single" w:sz="4" w:space="0" w:color="auto"/>
              <w:bottom w:val="single" w:sz="4" w:space="0" w:color="auto"/>
              <w:right w:val="single" w:sz="4" w:space="0" w:color="auto"/>
            </w:tcBorders>
          </w:tcPr>
          <w:p w14:paraId="1467DAB2"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-7.8</w:t>
            </w:r>
          </w:p>
        </w:tc>
      </w:tr>
      <w:tr w:rsidR="0052046B" w:rsidRPr="008C76B1" w14:paraId="037E646B" w14:textId="77777777" w:rsidTr="00261B7D">
        <w:tc>
          <w:tcPr>
            <w:tcW w:w="990" w:type="dxa"/>
            <w:tcBorders>
              <w:top w:val="single" w:sz="4" w:space="0" w:color="auto"/>
              <w:left w:val="single" w:sz="4" w:space="0" w:color="auto"/>
              <w:bottom w:val="single" w:sz="4" w:space="0" w:color="auto"/>
              <w:right w:val="single" w:sz="4" w:space="0" w:color="auto"/>
            </w:tcBorders>
          </w:tcPr>
          <w:p w14:paraId="294CF30B"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65</w:t>
            </w:r>
          </w:p>
        </w:tc>
        <w:tc>
          <w:tcPr>
            <w:tcW w:w="5456" w:type="dxa"/>
            <w:tcBorders>
              <w:top w:val="single" w:sz="4" w:space="0" w:color="auto"/>
              <w:left w:val="single" w:sz="4" w:space="0" w:color="auto"/>
              <w:bottom w:val="single" w:sz="4" w:space="0" w:color="auto"/>
              <w:right w:val="single" w:sz="4" w:space="0" w:color="auto"/>
            </w:tcBorders>
            <w:hideMark/>
          </w:tcPr>
          <w:p w14:paraId="0814B78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20-hydroxyresiniferol 9,13-14-orthophenylacetate</w:t>
            </w:r>
          </w:p>
        </w:tc>
        <w:tc>
          <w:tcPr>
            <w:tcW w:w="1426" w:type="dxa"/>
            <w:tcBorders>
              <w:top w:val="single" w:sz="4" w:space="0" w:color="auto"/>
              <w:left w:val="single" w:sz="4" w:space="0" w:color="auto"/>
              <w:bottom w:val="single" w:sz="4" w:space="0" w:color="auto"/>
              <w:right w:val="single" w:sz="4" w:space="0" w:color="auto"/>
            </w:tcBorders>
            <w:hideMark/>
          </w:tcPr>
          <w:p w14:paraId="1DD26BCD"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-6.9</w:t>
            </w:r>
          </w:p>
        </w:tc>
        <w:tc>
          <w:tcPr>
            <w:tcW w:w="1213" w:type="dxa"/>
            <w:tcBorders>
              <w:top w:val="single" w:sz="4" w:space="0" w:color="auto"/>
              <w:left w:val="single" w:sz="4" w:space="0" w:color="auto"/>
              <w:bottom w:val="single" w:sz="4" w:space="0" w:color="auto"/>
              <w:right w:val="single" w:sz="4" w:space="0" w:color="auto"/>
            </w:tcBorders>
          </w:tcPr>
          <w:p w14:paraId="2C7E4734"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-7.2</w:t>
            </w:r>
          </w:p>
        </w:tc>
      </w:tr>
      <w:tr w:rsidR="0052046B" w:rsidRPr="008C76B1" w14:paraId="2B3F4241" w14:textId="77777777" w:rsidTr="00261B7D">
        <w:tc>
          <w:tcPr>
            <w:tcW w:w="990" w:type="dxa"/>
            <w:tcBorders>
              <w:top w:val="single" w:sz="4" w:space="0" w:color="auto"/>
              <w:left w:val="single" w:sz="4" w:space="0" w:color="auto"/>
              <w:bottom w:val="single" w:sz="4" w:space="0" w:color="auto"/>
              <w:right w:val="single" w:sz="4" w:space="0" w:color="auto"/>
            </w:tcBorders>
          </w:tcPr>
          <w:p w14:paraId="22DF1E2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66</w:t>
            </w:r>
          </w:p>
        </w:tc>
        <w:tc>
          <w:tcPr>
            <w:tcW w:w="5456" w:type="dxa"/>
            <w:tcBorders>
              <w:top w:val="single" w:sz="4" w:space="0" w:color="auto"/>
              <w:left w:val="single" w:sz="4" w:space="0" w:color="auto"/>
              <w:bottom w:val="single" w:sz="4" w:space="0" w:color="auto"/>
              <w:right w:val="single" w:sz="4" w:space="0" w:color="auto"/>
            </w:tcBorders>
          </w:tcPr>
          <w:p w14:paraId="6493E03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4-deoxyannoreticuin</w:t>
            </w:r>
          </w:p>
        </w:tc>
        <w:tc>
          <w:tcPr>
            <w:tcW w:w="1426" w:type="dxa"/>
            <w:tcBorders>
              <w:top w:val="single" w:sz="4" w:space="0" w:color="auto"/>
              <w:left w:val="single" w:sz="4" w:space="0" w:color="auto"/>
              <w:bottom w:val="single" w:sz="4" w:space="0" w:color="auto"/>
              <w:right w:val="single" w:sz="4" w:space="0" w:color="auto"/>
            </w:tcBorders>
          </w:tcPr>
          <w:p w14:paraId="180D33A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-6.2</w:t>
            </w:r>
          </w:p>
        </w:tc>
        <w:tc>
          <w:tcPr>
            <w:tcW w:w="1213" w:type="dxa"/>
            <w:tcBorders>
              <w:top w:val="single" w:sz="4" w:space="0" w:color="auto"/>
              <w:left w:val="single" w:sz="4" w:space="0" w:color="auto"/>
              <w:bottom w:val="single" w:sz="4" w:space="0" w:color="auto"/>
              <w:right w:val="single" w:sz="4" w:space="0" w:color="auto"/>
            </w:tcBorders>
          </w:tcPr>
          <w:p w14:paraId="4D82BAA6"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-8.7</w:t>
            </w:r>
          </w:p>
        </w:tc>
      </w:tr>
      <w:tr w:rsidR="0052046B" w:rsidRPr="008C76B1" w14:paraId="344C1FAF" w14:textId="77777777" w:rsidTr="00261B7D">
        <w:tc>
          <w:tcPr>
            <w:tcW w:w="990" w:type="dxa"/>
            <w:tcBorders>
              <w:top w:val="single" w:sz="4" w:space="0" w:color="auto"/>
              <w:left w:val="single" w:sz="4" w:space="0" w:color="auto"/>
              <w:bottom w:val="single" w:sz="4" w:space="0" w:color="auto"/>
              <w:right w:val="single" w:sz="4" w:space="0" w:color="auto"/>
            </w:tcBorders>
          </w:tcPr>
          <w:p w14:paraId="34DD8A2F"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67</w:t>
            </w:r>
          </w:p>
        </w:tc>
        <w:tc>
          <w:tcPr>
            <w:tcW w:w="5456" w:type="dxa"/>
            <w:tcBorders>
              <w:top w:val="single" w:sz="4" w:space="0" w:color="auto"/>
              <w:left w:val="single" w:sz="4" w:space="0" w:color="auto"/>
              <w:bottom w:val="single" w:sz="4" w:space="0" w:color="auto"/>
              <w:right w:val="single" w:sz="4" w:space="0" w:color="auto"/>
            </w:tcBorders>
            <w:hideMark/>
          </w:tcPr>
          <w:p w14:paraId="320B0D5C" w14:textId="77777777" w:rsidR="0052046B" w:rsidRPr="008C76B1" w:rsidRDefault="0052046B" w:rsidP="00A803B4">
            <w:pPr>
              <w:spacing w:line="360" w:lineRule="auto"/>
              <w:jc w:val="center"/>
              <w:rPr>
                <w:rFonts w:ascii="Arial" w:eastAsia="Times New Roman" w:hAnsi="Arial" w:cs="Arial"/>
                <w:kern w:val="0"/>
                <w:sz w:val="20"/>
                <w:szCs w:val="20"/>
              </w:rPr>
            </w:pPr>
            <w:proofErr w:type="spellStart"/>
            <w:r w:rsidRPr="008C76B1">
              <w:rPr>
                <w:rFonts w:ascii="Arial" w:eastAsia="Times New Roman" w:hAnsi="Arial" w:cs="Arial"/>
                <w:kern w:val="0"/>
                <w:sz w:val="20"/>
                <w:szCs w:val="20"/>
              </w:rPr>
              <w:t>Matrine</w:t>
            </w:r>
            <w:proofErr w:type="spellEnd"/>
          </w:p>
        </w:tc>
        <w:tc>
          <w:tcPr>
            <w:tcW w:w="1426" w:type="dxa"/>
            <w:tcBorders>
              <w:top w:val="single" w:sz="4" w:space="0" w:color="auto"/>
              <w:left w:val="single" w:sz="4" w:space="0" w:color="auto"/>
              <w:bottom w:val="single" w:sz="4" w:space="0" w:color="auto"/>
              <w:right w:val="single" w:sz="4" w:space="0" w:color="auto"/>
            </w:tcBorders>
            <w:hideMark/>
          </w:tcPr>
          <w:p w14:paraId="6D0C458E"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-6.2</w:t>
            </w:r>
          </w:p>
        </w:tc>
        <w:tc>
          <w:tcPr>
            <w:tcW w:w="1213" w:type="dxa"/>
            <w:tcBorders>
              <w:top w:val="single" w:sz="4" w:space="0" w:color="auto"/>
              <w:left w:val="single" w:sz="4" w:space="0" w:color="auto"/>
              <w:bottom w:val="single" w:sz="4" w:space="0" w:color="auto"/>
              <w:right w:val="single" w:sz="4" w:space="0" w:color="auto"/>
            </w:tcBorders>
          </w:tcPr>
          <w:p w14:paraId="0AD54F33"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-5.4</w:t>
            </w:r>
          </w:p>
        </w:tc>
      </w:tr>
      <w:tr w:rsidR="0052046B" w:rsidRPr="008C76B1" w14:paraId="69C5032E" w14:textId="77777777" w:rsidTr="00261B7D">
        <w:tc>
          <w:tcPr>
            <w:tcW w:w="990" w:type="dxa"/>
            <w:tcBorders>
              <w:top w:val="single" w:sz="4" w:space="0" w:color="auto"/>
              <w:left w:val="single" w:sz="4" w:space="0" w:color="auto"/>
              <w:bottom w:val="single" w:sz="4" w:space="0" w:color="auto"/>
              <w:right w:val="single" w:sz="4" w:space="0" w:color="auto"/>
            </w:tcBorders>
          </w:tcPr>
          <w:p w14:paraId="67685357"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68</w:t>
            </w:r>
          </w:p>
        </w:tc>
        <w:tc>
          <w:tcPr>
            <w:tcW w:w="5456" w:type="dxa"/>
            <w:tcBorders>
              <w:top w:val="single" w:sz="4" w:space="0" w:color="auto"/>
              <w:left w:val="single" w:sz="4" w:space="0" w:color="auto"/>
              <w:bottom w:val="single" w:sz="4" w:space="0" w:color="auto"/>
              <w:right w:val="single" w:sz="4" w:space="0" w:color="auto"/>
            </w:tcBorders>
            <w:hideMark/>
          </w:tcPr>
          <w:p w14:paraId="2852177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Thymoquinone</w:t>
            </w:r>
          </w:p>
        </w:tc>
        <w:tc>
          <w:tcPr>
            <w:tcW w:w="1426" w:type="dxa"/>
            <w:tcBorders>
              <w:top w:val="single" w:sz="4" w:space="0" w:color="auto"/>
              <w:left w:val="single" w:sz="4" w:space="0" w:color="auto"/>
              <w:bottom w:val="single" w:sz="4" w:space="0" w:color="auto"/>
              <w:right w:val="single" w:sz="4" w:space="0" w:color="auto"/>
            </w:tcBorders>
            <w:hideMark/>
          </w:tcPr>
          <w:p w14:paraId="705BB295"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-5.5</w:t>
            </w:r>
          </w:p>
        </w:tc>
        <w:tc>
          <w:tcPr>
            <w:tcW w:w="1213" w:type="dxa"/>
            <w:tcBorders>
              <w:top w:val="single" w:sz="4" w:space="0" w:color="auto"/>
              <w:left w:val="single" w:sz="4" w:space="0" w:color="auto"/>
              <w:bottom w:val="single" w:sz="4" w:space="0" w:color="auto"/>
              <w:right w:val="single" w:sz="4" w:space="0" w:color="auto"/>
            </w:tcBorders>
          </w:tcPr>
          <w:p w14:paraId="08DEE35C" w14:textId="77777777" w:rsidR="0052046B" w:rsidRPr="008C76B1" w:rsidRDefault="0052046B" w:rsidP="00A803B4">
            <w:pPr>
              <w:spacing w:line="360" w:lineRule="auto"/>
              <w:jc w:val="center"/>
              <w:rPr>
                <w:rFonts w:ascii="Arial" w:eastAsia="Times New Roman" w:hAnsi="Arial" w:cs="Arial"/>
                <w:kern w:val="0"/>
                <w:sz w:val="20"/>
                <w:szCs w:val="20"/>
              </w:rPr>
            </w:pPr>
            <w:r w:rsidRPr="008C76B1">
              <w:rPr>
                <w:rFonts w:ascii="Arial" w:eastAsia="Times New Roman" w:hAnsi="Arial" w:cs="Arial"/>
                <w:kern w:val="0"/>
                <w:sz w:val="20"/>
                <w:szCs w:val="20"/>
              </w:rPr>
              <w:t>-4.7</w:t>
            </w:r>
          </w:p>
        </w:tc>
      </w:tr>
    </w:tbl>
    <w:p w14:paraId="4617F5D8" w14:textId="77777777" w:rsidR="0052046B" w:rsidRPr="008C76B1" w:rsidRDefault="0052046B" w:rsidP="008C76B1">
      <w:pPr>
        <w:spacing w:after="0" w:line="360" w:lineRule="auto"/>
        <w:jc w:val="both"/>
        <w:rPr>
          <w:rFonts w:ascii="Arial" w:hAnsi="Arial" w:cs="Arial"/>
          <w:sz w:val="20"/>
          <w:szCs w:val="20"/>
        </w:rPr>
      </w:pPr>
    </w:p>
    <w:p w14:paraId="203F3C28" w14:textId="77777777" w:rsidR="0052046B" w:rsidRPr="008C76B1" w:rsidRDefault="0052046B" w:rsidP="008C76B1">
      <w:pPr>
        <w:spacing w:after="0" w:line="360" w:lineRule="auto"/>
        <w:jc w:val="both"/>
        <w:rPr>
          <w:rFonts w:ascii="Arial" w:hAnsi="Arial" w:cs="Arial"/>
          <w:sz w:val="20"/>
          <w:szCs w:val="20"/>
        </w:rPr>
      </w:pPr>
      <w:r w:rsidRPr="008C76B1">
        <w:rPr>
          <w:rFonts w:ascii="Arial" w:hAnsi="Arial" w:cs="Arial"/>
          <w:noProof/>
          <w:sz w:val="20"/>
          <w:szCs w:val="20"/>
        </w:rPr>
        <w:drawing>
          <wp:inline distT="0" distB="0" distL="0" distR="0" wp14:anchorId="002C96C0" wp14:editId="4AFF82A3">
            <wp:extent cx="5943600" cy="2943860"/>
            <wp:effectExtent l="38100" t="38100" r="38100" b="46990"/>
            <wp:docPr id="2018091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91330" name=""/>
                    <pic:cNvPicPr/>
                  </pic:nvPicPr>
                  <pic:blipFill>
                    <a:blip r:embed="rId13"/>
                    <a:stretch>
                      <a:fillRect/>
                    </a:stretch>
                  </pic:blipFill>
                  <pic:spPr>
                    <a:xfrm>
                      <a:off x="0" y="0"/>
                      <a:ext cx="5943600" cy="2943860"/>
                    </a:xfrm>
                    <a:prstGeom prst="rect">
                      <a:avLst/>
                    </a:prstGeom>
                    <a:ln w="31750">
                      <a:solidFill>
                        <a:schemeClr val="tx1"/>
                      </a:solidFill>
                    </a:ln>
                  </pic:spPr>
                </pic:pic>
              </a:graphicData>
            </a:graphic>
          </wp:inline>
        </w:drawing>
      </w:r>
    </w:p>
    <w:p w14:paraId="62763FB3" w14:textId="1A958556" w:rsidR="0052046B" w:rsidRPr="005053AB" w:rsidRDefault="0052046B" w:rsidP="005053AB">
      <w:pPr>
        <w:autoSpaceDE w:val="0"/>
        <w:autoSpaceDN w:val="0"/>
        <w:adjustRightInd w:val="0"/>
        <w:spacing w:after="0" w:line="360" w:lineRule="auto"/>
        <w:jc w:val="both"/>
        <w:rPr>
          <w:rFonts w:ascii="Arial" w:hAnsi="Arial" w:cs="Arial"/>
          <w:sz w:val="20"/>
          <w:szCs w:val="20"/>
        </w:rPr>
      </w:pPr>
      <w:r w:rsidRPr="008C76B1">
        <w:rPr>
          <w:rFonts w:ascii="Arial" w:hAnsi="Arial" w:cs="Arial"/>
          <w:b/>
          <w:bCs/>
          <w:sz w:val="20"/>
          <w:szCs w:val="20"/>
        </w:rPr>
        <w:t>Figure 2:</w:t>
      </w:r>
      <w:r w:rsidRPr="008C76B1">
        <w:rPr>
          <w:rFonts w:ascii="Arial" w:hAnsi="Arial" w:cs="Arial"/>
          <w:sz w:val="20"/>
          <w:szCs w:val="20"/>
        </w:rPr>
        <w:t xml:space="preserve"> Binding energies of </w:t>
      </w:r>
      <w:proofErr w:type="spellStart"/>
      <w:r w:rsidRPr="008C76B1">
        <w:rPr>
          <w:rFonts w:ascii="Arial" w:hAnsi="Arial" w:cs="Arial"/>
          <w:sz w:val="20"/>
          <w:szCs w:val="20"/>
        </w:rPr>
        <w:t>Pemigatinib</w:t>
      </w:r>
      <w:proofErr w:type="spellEnd"/>
      <w:r w:rsidRPr="008C76B1">
        <w:rPr>
          <w:rFonts w:ascii="Arial" w:hAnsi="Arial" w:cs="Arial"/>
          <w:sz w:val="20"/>
          <w:szCs w:val="20"/>
        </w:rPr>
        <w:t xml:space="preserve"> and the 17 hit compounds on </w:t>
      </w:r>
      <w:proofErr w:type="spellStart"/>
      <w:r w:rsidRPr="008C76B1">
        <w:rPr>
          <w:rFonts w:ascii="Arial" w:hAnsi="Arial" w:cs="Arial"/>
          <w:sz w:val="20"/>
          <w:szCs w:val="20"/>
        </w:rPr>
        <w:t>iGEMDock</w:t>
      </w:r>
      <w:proofErr w:type="spellEnd"/>
      <w:r w:rsidRPr="008C76B1">
        <w:rPr>
          <w:rFonts w:ascii="Arial" w:hAnsi="Arial" w:cs="Arial"/>
          <w:sz w:val="20"/>
          <w:szCs w:val="20"/>
        </w:rPr>
        <w:t xml:space="preserve"> and Molecular Operating Environment.</w:t>
      </w:r>
    </w:p>
    <w:p w14:paraId="0D7C067A" w14:textId="77777777" w:rsidR="007C2923" w:rsidRPr="008C76B1" w:rsidRDefault="007C2923" w:rsidP="008C76B1">
      <w:pPr>
        <w:spacing w:after="0" w:line="360" w:lineRule="auto"/>
        <w:jc w:val="both"/>
        <w:rPr>
          <w:rFonts w:ascii="Arial" w:hAnsi="Arial" w:cs="Arial"/>
          <w:sz w:val="20"/>
          <w:szCs w:val="20"/>
          <w:lang w:val="en-GB"/>
        </w:rPr>
      </w:pPr>
      <w:r w:rsidRPr="008C76B1">
        <w:rPr>
          <w:rFonts w:ascii="Arial" w:hAnsi="Arial" w:cs="Arial"/>
          <w:sz w:val="20"/>
          <w:szCs w:val="20"/>
          <w:lang w:val="en-GB"/>
        </w:rPr>
        <w:t xml:space="preserve">As shown in Table 1, </w:t>
      </w:r>
      <w:proofErr w:type="spellStart"/>
      <w:r w:rsidRPr="008C76B1">
        <w:rPr>
          <w:rFonts w:ascii="Arial" w:hAnsi="Arial" w:cs="Arial"/>
          <w:sz w:val="20"/>
          <w:szCs w:val="20"/>
          <w:lang w:val="en-GB"/>
        </w:rPr>
        <w:t>pemigatinib</w:t>
      </w:r>
      <w:proofErr w:type="spellEnd"/>
      <w:r w:rsidRPr="008C76B1">
        <w:rPr>
          <w:rFonts w:ascii="Arial" w:hAnsi="Arial" w:cs="Arial"/>
          <w:sz w:val="20"/>
          <w:szCs w:val="20"/>
          <w:lang w:val="en-GB"/>
        </w:rPr>
        <w:t xml:space="preserve"> exhibited a binding energy of −9.7 kcal/mol in </w:t>
      </w:r>
      <w:proofErr w:type="spellStart"/>
      <w:r w:rsidRPr="008C76B1">
        <w:rPr>
          <w:rFonts w:ascii="Arial" w:hAnsi="Arial" w:cs="Arial"/>
          <w:sz w:val="20"/>
          <w:szCs w:val="20"/>
          <w:lang w:val="en-GB"/>
        </w:rPr>
        <w:t>iGEMDock</w:t>
      </w:r>
      <w:proofErr w:type="spellEnd"/>
      <w:r w:rsidRPr="008C76B1">
        <w:rPr>
          <w:rFonts w:ascii="Arial" w:hAnsi="Arial" w:cs="Arial"/>
          <w:sz w:val="20"/>
          <w:szCs w:val="20"/>
          <w:lang w:val="en-GB"/>
        </w:rPr>
        <w:t xml:space="preserve"> and −7.5 kcal/mol in MOE, establishing a benchmark for comparative purposes. Of 67 screened phytochemicals, 17 compounds demonstrated better inhibitory activity, with binding energy scores less than </w:t>
      </w:r>
      <w:proofErr w:type="spellStart"/>
      <w:r w:rsidRPr="008C76B1">
        <w:rPr>
          <w:rFonts w:ascii="Arial" w:hAnsi="Arial" w:cs="Arial"/>
          <w:sz w:val="20"/>
          <w:szCs w:val="20"/>
          <w:lang w:val="en-GB"/>
        </w:rPr>
        <w:t>Pemigatinib</w:t>
      </w:r>
      <w:proofErr w:type="spellEnd"/>
      <w:r w:rsidRPr="008C76B1">
        <w:rPr>
          <w:rFonts w:ascii="Arial" w:hAnsi="Arial" w:cs="Arial"/>
          <w:sz w:val="20"/>
          <w:szCs w:val="20"/>
          <w:lang w:val="en-GB"/>
        </w:rPr>
        <w:t xml:space="preserve"> in both docking systems. Notably, 10-Hydroxytrilobacin showed the strongest binding affinity at −12.3 kcal/mol (</w:t>
      </w:r>
      <w:proofErr w:type="spellStart"/>
      <w:r w:rsidRPr="008C76B1">
        <w:rPr>
          <w:rFonts w:ascii="Arial" w:hAnsi="Arial" w:cs="Arial"/>
          <w:sz w:val="20"/>
          <w:szCs w:val="20"/>
          <w:lang w:val="en-GB"/>
        </w:rPr>
        <w:t>iGEMDock</w:t>
      </w:r>
      <w:proofErr w:type="spellEnd"/>
      <w:r w:rsidRPr="008C76B1">
        <w:rPr>
          <w:rFonts w:ascii="Arial" w:hAnsi="Arial" w:cs="Arial"/>
          <w:sz w:val="20"/>
          <w:szCs w:val="20"/>
          <w:lang w:val="en-GB"/>
        </w:rPr>
        <w:t xml:space="preserve">) and −9.7 kcal/mol (MOE), followed by Mosin B, which had −12.1 kcal/mol and −9.8 kcal/mol, respectively. High-scoring ligands also included </w:t>
      </w:r>
      <w:proofErr w:type="spellStart"/>
      <w:r w:rsidRPr="008C76B1">
        <w:rPr>
          <w:rFonts w:ascii="Arial" w:hAnsi="Arial" w:cs="Arial"/>
          <w:sz w:val="20"/>
          <w:szCs w:val="20"/>
          <w:lang w:val="en-GB"/>
        </w:rPr>
        <w:t>Rollinecins</w:t>
      </w:r>
      <w:proofErr w:type="spellEnd"/>
      <w:r w:rsidRPr="008C76B1">
        <w:rPr>
          <w:rFonts w:ascii="Arial" w:hAnsi="Arial" w:cs="Arial"/>
          <w:sz w:val="20"/>
          <w:szCs w:val="20"/>
          <w:lang w:val="en-GB"/>
        </w:rPr>
        <w:t xml:space="preserve"> B (−11.3/−9.7 kcal/mol), </w:t>
      </w:r>
      <w:proofErr w:type="spellStart"/>
      <w:r w:rsidRPr="008C76B1">
        <w:rPr>
          <w:rFonts w:ascii="Arial" w:hAnsi="Arial" w:cs="Arial"/>
          <w:sz w:val="20"/>
          <w:szCs w:val="20"/>
          <w:lang w:val="en-GB"/>
        </w:rPr>
        <w:t>Glacins</w:t>
      </w:r>
      <w:proofErr w:type="spellEnd"/>
      <w:r w:rsidRPr="008C76B1">
        <w:rPr>
          <w:rFonts w:ascii="Arial" w:hAnsi="Arial" w:cs="Arial"/>
          <w:sz w:val="20"/>
          <w:szCs w:val="20"/>
          <w:lang w:val="en-GB"/>
        </w:rPr>
        <w:t xml:space="preserve"> B (−11.1/−9.4 kcal/mol), and </w:t>
      </w:r>
      <w:proofErr w:type="spellStart"/>
      <w:r w:rsidRPr="008C76B1">
        <w:rPr>
          <w:rFonts w:ascii="Arial" w:hAnsi="Arial" w:cs="Arial"/>
          <w:sz w:val="20"/>
          <w:szCs w:val="20"/>
          <w:lang w:val="en-GB"/>
        </w:rPr>
        <w:t>Muricapentocin</w:t>
      </w:r>
      <w:proofErr w:type="spellEnd"/>
      <w:r w:rsidRPr="008C76B1">
        <w:rPr>
          <w:rFonts w:ascii="Arial" w:hAnsi="Arial" w:cs="Arial"/>
          <w:sz w:val="20"/>
          <w:szCs w:val="20"/>
          <w:lang w:val="en-GB"/>
        </w:rPr>
        <w:t xml:space="preserve"> (−10.8/−9.3 kcal/mol), as shown in Figure 2. These findings suggest that the top 17 phytochemicals have stronger binding affinities for the FGFR1 active site than </w:t>
      </w:r>
      <w:proofErr w:type="spellStart"/>
      <w:r w:rsidRPr="008C76B1">
        <w:rPr>
          <w:rFonts w:ascii="Arial" w:hAnsi="Arial" w:cs="Arial"/>
          <w:sz w:val="20"/>
          <w:szCs w:val="20"/>
          <w:lang w:val="en-GB"/>
        </w:rPr>
        <w:t>Pemigatinib</w:t>
      </w:r>
      <w:proofErr w:type="spellEnd"/>
      <w:r w:rsidRPr="008C76B1">
        <w:rPr>
          <w:rFonts w:ascii="Arial" w:hAnsi="Arial" w:cs="Arial"/>
          <w:sz w:val="20"/>
          <w:szCs w:val="20"/>
          <w:lang w:val="en-GB"/>
        </w:rPr>
        <w:t xml:space="preserve">, indicating a greater inhibitory effect. In both docking tools, these ligands showed stable conformations with </w:t>
      </w:r>
      <w:proofErr w:type="spellStart"/>
      <w:r w:rsidRPr="008C76B1">
        <w:rPr>
          <w:rFonts w:ascii="Arial" w:hAnsi="Arial" w:cs="Arial"/>
          <w:sz w:val="20"/>
          <w:szCs w:val="20"/>
          <w:lang w:val="en-GB"/>
        </w:rPr>
        <w:t>favorable</w:t>
      </w:r>
      <w:proofErr w:type="spellEnd"/>
      <w:r w:rsidRPr="008C76B1">
        <w:rPr>
          <w:rFonts w:ascii="Arial" w:hAnsi="Arial" w:cs="Arial"/>
          <w:sz w:val="20"/>
          <w:szCs w:val="20"/>
          <w:lang w:val="en-GB"/>
        </w:rPr>
        <w:t xml:space="preserve"> interactions at key amino acid residues, demonstrating high affinity but also structural compatibility between the ligand and the kinase pocket.</w:t>
      </w:r>
    </w:p>
    <w:p w14:paraId="23B40574" w14:textId="3C68B09B" w:rsidR="007C2923" w:rsidRPr="008C76B1" w:rsidRDefault="007C2923" w:rsidP="008C76B1">
      <w:pPr>
        <w:spacing w:after="0" w:line="360" w:lineRule="auto"/>
        <w:jc w:val="both"/>
        <w:rPr>
          <w:rFonts w:ascii="Arial" w:hAnsi="Arial" w:cs="Arial"/>
          <w:sz w:val="20"/>
          <w:szCs w:val="20"/>
          <w:lang w:val="en-GB"/>
        </w:rPr>
      </w:pPr>
      <w:r w:rsidRPr="008C76B1">
        <w:rPr>
          <w:rFonts w:ascii="Arial" w:hAnsi="Arial" w:cs="Arial"/>
          <w:sz w:val="20"/>
          <w:szCs w:val="20"/>
          <w:lang w:val="en-GB"/>
        </w:rPr>
        <w:t xml:space="preserve">The superior binding affinities for 10-hydroxytrilobacin and </w:t>
      </w:r>
      <w:proofErr w:type="spellStart"/>
      <w:r w:rsidRPr="008C76B1">
        <w:rPr>
          <w:rFonts w:ascii="Arial" w:hAnsi="Arial" w:cs="Arial"/>
          <w:sz w:val="20"/>
          <w:szCs w:val="20"/>
          <w:lang w:val="en-GB"/>
        </w:rPr>
        <w:t>mosin</w:t>
      </w:r>
      <w:proofErr w:type="spellEnd"/>
      <w:r w:rsidRPr="008C76B1">
        <w:rPr>
          <w:rFonts w:ascii="Arial" w:hAnsi="Arial" w:cs="Arial"/>
          <w:sz w:val="20"/>
          <w:szCs w:val="20"/>
          <w:lang w:val="en-GB"/>
        </w:rPr>
        <w:t xml:space="preserve"> B are consistent with previous studies on the antitumor activity of </w:t>
      </w:r>
      <w:proofErr w:type="spellStart"/>
      <w:r w:rsidRPr="008C76B1">
        <w:rPr>
          <w:rFonts w:ascii="Arial" w:hAnsi="Arial" w:cs="Arial"/>
          <w:sz w:val="20"/>
          <w:szCs w:val="20"/>
          <w:lang w:val="en-GB"/>
        </w:rPr>
        <w:t>acetogenins</w:t>
      </w:r>
      <w:proofErr w:type="spellEnd"/>
      <w:r w:rsidRPr="008C76B1">
        <w:rPr>
          <w:rFonts w:ascii="Arial" w:hAnsi="Arial" w:cs="Arial"/>
          <w:sz w:val="20"/>
          <w:szCs w:val="20"/>
          <w:lang w:val="en-GB"/>
        </w:rPr>
        <w:t xml:space="preserve"> and flavonoids derived from </w:t>
      </w:r>
      <w:proofErr w:type="spellStart"/>
      <w:r w:rsidRPr="008C76B1">
        <w:rPr>
          <w:rFonts w:ascii="Arial" w:hAnsi="Arial" w:cs="Arial"/>
          <w:sz w:val="20"/>
          <w:szCs w:val="20"/>
          <w:lang w:val="en-GB"/>
        </w:rPr>
        <w:t>Annonaceae</w:t>
      </w:r>
      <w:proofErr w:type="spellEnd"/>
      <w:r w:rsidRPr="008C76B1">
        <w:rPr>
          <w:rFonts w:ascii="Arial" w:hAnsi="Arial" w:cs="Arial"/>
          <w:sz w:val="20"/>
          <w:szCs w:val="20"/>
          <w:lang w:val="en-GB"/>
        </w:rPr>
        <w:t xml:space="preserve">, which have been reported to interact with FGFR-related pathways with high affinities [10,43]. These findings also corroborate findings from Agu et al. 2023 [40], which highlighted the properties of ligand efficiency and pharmacophore orientation for distinguishing potent FGFR inhibitors among phytoconstituents. Moreover, consistent docking outcomes between </w:t>
      </w:r>
      <w:proofErr w:type="spellStart"/>
      <w:r w:rsidRPr="008C76B1">
        <w:rPr>
          <w:rFonts w:ascii="Arial" w:hAnsi="Arial" w:cs="Arial"/>
          <w:sz w:val="20"/>
          <w:szCs w:val="20"/>
          <w:lang w:val="en-GB"/>
        </w:rPr>
        <w:t>iGEMDock</w:t>
      </w:r>
      <w:proofErr w:type="spellEnd"/>
      <w:r w:rsidRPr="008C76B1">
        <w:rPr>
          <w:rFonts w:ascii="Arial" w:hAnsi="Arial" w:cs="Arial"/>
          <w:sz w:val="20"/>
          <w:szCs w:val="20"/>
          <w:lang w:val="en-GB"/>
        </w:rPr>
        <w:t xml:space="preserve"> and MOE further reinforce the reliability of the selected compounds. The convergence from multiple algorithms reduces false positives and validates the strength of interaction. </w:t>
      </w:r>
      <w:r w:rsidR="0052046B" w:rsidRPr="008C76B1">
        <w:rPr>
          <w:rFonts w:ascii="Arial" w:hAnsi="Arial" w:cs="Arial"/>
          <w:sz w:val="20"/>
          <w:szCs w:val="20"/>
          <w:lang w:val="en-GB"/>
        </w:rPr>
        <w:t>A</w:t>
      </w:r>
      <w:r w:rsidRPr="008C76B1">
        <w:rPr>
          <w:rFonts w:ascii="Arial" w:hAnsi="Arial" w:cs="Arial"/>
          <w:sz w:val="20"/>
          <w:szCs w:val="20"/>
          <w:lang w:val="en-GB"/>
        </w:rPr>
        <w:t xml:space="preserve">lthough </w:t>
      </w:r>
      <w:proofErr w:type="spellStart"/>
      <w:r w:rsidRPr="008C76B1">
        <w:rPr>
          <w:rFonts w:ascii="Arial" w:hAnsi="Arial" w:cs="Arial"/>
          <w:sz w:val="20"/>
          <w:szCs w:val="20"/>
          <w:lang w:val="en-GB"/>
        </w:rPr>
        <w:t>pemigatinib</w:t>
      </w:r>
      <w:proofErr w:type="spellEnd"/>
      <w:r w:rsidRPr="008C76B1">
        <w:rPr>
          <w:rFonts w:ascii="Arial" w:hAnsi="Arial" w:cs="Arial"/>
          <w:sz w:val="20"/>
          <w:szCs w:val="20"/>
          <w:lang w:val="en-GB"/>
        </w:rPr>
        <w:t xml:space="preserve"> maintained a desirable binding, it was persistently outscored by a subset of </w:t>
      </w:r>
      <w:r w:rsidRPr="008C76B1">
        <w:rPr>
          <w:rFonts w:ascii="Arial" w:hAnsi="Arial" w:cs="Arial"/>
          <w:sz w:val="20"/>
          <w:szCs w:val="20"/>
          <w:lang w:val="en-GB"/>
        </w:rPr>
        <w:lastRenderedPageBreak/>
        <w:t xml:space="preserve">phytoconstituents, </w:t>
      </w:r>
      <w:r w:rsidR="002524C0" w:rsidRPr="008C76B1">
        <w:rPr>
          <w:rFonts w:ascii="Arial" w:hAnsi="Arial" w:cs="Arial"/>
          <w:sz w:val="20"/>
          <w:szCs w:val="20"/>
          <w:lang w:val="en-GB"/>
        </w:rPr>
        <w:t>highlighting</w:t>
      </w:r>
      <w:r w:rsidRPr="008C76B1">
        <w:rPr>
          <w:rFonts w:ascii="Arial" w:hAnsi="Arial" w:cs="Arial"/>
          <w:sz w:val="20"/>
          <w:szCs w:val="20"/>
          <w:lang w:val="en-GB"/>
        </w:rPr>
        <w:t xml:space="preserve"> the potential of these naturally derived compounds as alternative FGFR1 inhibitors.</w:t>
      </w:r>
    </w:p>
    <w:p w14:paraId="7CF4B10D" w14:textId="4D65512A" w:rsidR="00E57CFB" w:rsidRPr="00A803B4" w:rsidRDefault="00E57CFB" w:rsidP="00A803B4">
      <w:pPr>
        <w:spacing w:after="0" w:line="360" w:lineRule="auto"/>
        <w:rPr>
          <w:rFonts w:ascii="Arial" w:hAnsi="Arial" w:cs="Arial"/>
          <w:b/>
          <w:bCs/>
          <w:sz w:val="20"/>
          <w:szCs w:val="20"/>
        </w:rPr>
      </w:pPr>
      <w:r w:rsidRPr="00A803B4">
        <w:rPr>
          <w:rFonts w:ascii="Arial" w:hAnsi="Arial" w:cs="Arial"/>
          <w:b/>
          <w:bCs/>
          <w:sz w:val="20"/>
          <w:szCs w:val="20"/>
        </w:rPr>
        <w:t xml:space="preserve">3.2 Pharmacokinetic and Toxicological </w:t>
      </w:r>
      <w:r w:rsidR="00045DEB" w:rsidRPr="00A803B4">
        <w:rPr>
          <w:rFonts w:ascii="Arial" w:hAnsi="Arial" w:cs="Arial"/>
          <w:b/>
          <w:bCs/>
          <w:sz w:val="20"/>
          <w:szCs w:val="20"/>
        </w:rPr>
        <w:t>Prediction</w:t>
      </w:r>
    </w:p>
    <w:p w14:paraId="273340B1" w14:textId="190201C8" w:rsidR="00E57CFB" w:rsidRPr="00A803B4" w:rsidRDefault="00892B6F" w:rsidP="00A803B4">
      <w:pPr>
        <w:spacing w:after="0" w:line="360" w:lineRule="auto"/>
        <w:rPr>
          <w:rFonts w:ascii="Arial" w:hAnsi="Arial" w:cs="Arial"/>
          <w:b/>
          <w:bCs/>
          <w:sz w:val="20"/>
          <w:szCs w:val="20"/>
        </w:rPr>
      </w:pPr>
      <w:r w:rsidRPr="00A803B4">
        <w:rPr>
          <w:rFonts w:ascii="Arial" w:hAnsi="Arial" w:cs="Arial"/>
          <w:b/>
          <w:bCs/>
          <w:sz w:val="20"/>
          <w:szCs w:val="20"/>
        </w:rPr>
        <w:t>3.2.1   Drug-</w:t>
      </w:r>
      <w:r w:rsidR="00045DEB" w:rsidRPr="00A803B4">
        <w:rPr>
          <w:rFonts w:ascii="Arial" w:hAnsi="Arial" w:cs="Arial"/>
          <w:b/>
          <w:bCs/>
          <w:sz w:val="20"/>
          <w:szCs w:val="20"/>
        </w:rPr>
        <w:t>l</w:t>
      </w:r>
      <w:r w:rsidRPr="00A803B4">
        <w:rPr>
          <w:rFonts w:ascii="Arial" w:hAnsi="Arial" w:cs="Arial"/>
          <w:b/>
          <w:bCs/>
          <w:sz w:val="20"/>
          <w:szCs w:val="20"/>
        </w:rPr>
        <w:t>ikeness Prediction</w:t>
      </w:r>
    </w:p>
    <w:p w14:paraId="0B8CD5D4" w14:textId="77777777" w:rsidR="000845E7" w:rsidRPr="00A803B4" w:rsidRDefault="002524C0" w:rsidP="00A803B4">
      <w:pPr>
        <w:spacing w:after="0" w:line="360" w:lineRule="auto"/>
        <w:rPr>
          <w:rFonts w:ascii="Arial" w:hAnsi="Arial" w:cs="Arial"/>
          <w:sz w:val="20"/>
          <w:szCs w:val="20"/>
          <w:lang w:val="en-GB"/>
        </w:rPr>
      </w:pPr>
      <w:r w:rsidRPr="00A803B4">
        <w:rPr>
          <w:rFonts w:ascii="Arial" w:hAnsi="Arial" w:cs="Arial"/>
          <w:sz w:val="20"/>
          <w:szCs w:val="20"/>
          <w:lang w:val="en-GB"/>
        </w:rPr>
        <w:t>Lipinski’s Rule of Five (</w:t>
      </w:r>
      <w:r w:rsidR="002F0B44" w:rsidRPr="00A803B4">
        <w:rPr>
          <w:rFonts w:ascii="Arial" w:hAnsi="Arial" w:cs="Arial"/>
          <w:bCs/>
          <w:iCs/>
          <w:sz w:val="20"/>
          <w:szCs w:val="20"/>
        </w:rPr>
        <w:t>Ro5</w:t>
      </w:r>
      <w:r w:rsidRPr="00A803B4">
        <w:rPr>
          <w:rFonts w:ascii="Arial" w:hAnsi="Arial" w:cs="Arial"/>
          <w:sz w:val="20"/>
          <w:szCs w:val="20"/>
          <w:lang w:val="en-GB"/>
        </w:rPr>
        <w:t xml:space="preserve">) was used to predict oral drug-likeness for the 17 hit compounds identified through molecular docking. According to </w:t>
      </w:r>
      <w:r w:rsidR="002F0B44" w:rsidRPr="00A803B4">
        <w:rPr>
          <w:rFonts w:ascii="Arial" w:hAnsi="Arial" w:cs="Arial"/>
          <w:bCs/>
          <w:iCs/>
          <w:sz w:val="20"/>
          <w:szCs w:val="20"/>
        </w:rPr>
        <w:t>Ro5</w:t>
      </w:r>
      <w:r w:rsidRPr="00A803B4">
        <w:rPr>
          <w:rFonts w:ascii="Arial" w:hAnsi="Arial" w:cs="Arial"/>
          <w:sz w:val="20"/>
          <w:szCs w:val="20"/>
          <w:lang w:val="en-GB"/>
        </w:rPr>
        <w:t xml:space="preserve">, compounds with MW &lt; 500 Da, HBD &lt; 5, HBA &lt; 10, and log P &lt; 5 are more likely to exhibit </w:t>
      </w:r>
      <w:proofErr w:type="spellStart"/>
      <w:r w:rsidRPr="00A803B4">
        <w:rPr>
          <w:rFonts w:ascii="Arial" w:hAnsi="Arial" w:cs="Arial"/>
          <w:sz w:val="20"/>
          <w:szCs w:val="20"/>
          <w:lang w:val="en-GB"/>
        </w:rPr>
        <w:t>favorable</w:t>
      </w:r>
      <w:proofErr w:type="spellEnd"/>
      <w:r w:rsidRPr="00A803B4">
        <w:rPr>
          <w:rFonts w:ascii="Arial" w:hAnsi="Arial" w:cs="Arial"/>
          <w:sz w:val="20"/>
          <w:szCs w:val="20"/>
          <w:lang w:val="en-GB"/>
        </w:rPr>
        <w:t xml:space="preserve"> oral bioavailability and membrane permeability [31]. The evaluation results are summarized in Table 2. </w:t>
      </w:r>
    </w:p>
    <w:p w14:paraId="610B1921" w14:textId="29474A87" w:rsidR="000845E7" w:rsidRPr="00A803B4" w:rsidRDefault="000845E7" w:rsidP="00A803B4">
      <w:pPr>
        <w:pStyle w:val="NormalWeb"/>
        <w:spacing w:before="0" w:beforeAutospacing="0" w:after="0" w:afterAutospacing="0" w:line="360" w:lineRule="auto"/>
        <w:jc w:val="both"/>
        <w:rPr>
          <w:rFonts w:ascii="Arial" w:hAnsi="Arial" w:cs="Arial"/>
          <w:sz w:val="20"/>
          <w:szCs w:val="20"/>
        </w:rPr>
      </w:pPr>
      <w:r w:rsidRPr="00A803B4">
        <w:rPr>
          <w:rFonts w:ascii="Arial" w:hAnsi="Arial" w:cs="Arial"/>
          <w:b/>
          <w:sz w:val="20"/>
          <w:szCs w:val="20"/>
        </w:rPr>
        <w:t xml:space="preserve">Table 2: </w:t>
      </w:r>
      <w:r w:rsidRPr="00A803B4">
        <w:rPr>
          <w:rFonts w:ascii="Arial" w:hAnsi="Arial" w:cs="Arial"/>
          <w:bCs/>
          <w:sz w:val="20"/>
          <w:szCs w:val="20"/>
        </w:rPr>
        <w:t xml:space="preserve">Drug-likeness (Rule of 5) evaluation and physicochemical properties of </w:t>
      </w:r>
      <w:proofErr w:type="spellStart"/>
      <w:r w:rsidRPr="00A803B4">
        <w:rPr>
          <w:rFonts w:ascii="Arial" w:hAnsi="Arial" w:cs="Arial"/>
          <w:bCs/>
          <w:sz w:val="20"/>
          <w:szCs w:val="20"/>
        </w:rPr>
        <w:t>Pemigatinib</w:t>
      </w:r>
      <w:proofErr w:type="spellEnd"/>
      <w:r w:rsidRPr="00A803B4">
        <w:rPr>
          <w:rFonts w:ascii="Arial" w:hAnsi="Arial" w:cs="Arial"/>
          <w:bCs/>
          <w:sz w:val="20"/>
          <w:szCs w:val="20"/>
        </w:rPr>
        <w:t xml:space="preserve"> and the 17 hit bioactive compounds.</w:t>
      </w:r>
    </w:p>
    <w:tbl>
      <w:tblPr>
        <w:tblStyle w:val="TableGridLight"/>
        <w:tblW w:w="0" w:type="auto"/>
        <w:tblLook w:val="04A0" w:firstRow="1" w:lastRow="0" w:firstColumn="1" w:lastColumn="0" w:noHBand="0" w:noVBand="1"/>
      </w:tblPr>
      <w:tblGrid>
        <w:gridCol w:w="3992"/>
        <w:gridCol w:w="1265"/>
        <w:gridCol w:w="965"/>
        <w:gridCol w:w="1096"/>
        <w:gridCol w:w="847"/>
        <w:gridCol w:w="1185"/>
      </w:tblGrid>
      <w:tr w:rsidR="000845E7" w:rsidRPr="00A803B4" w14:paraId="379038AC" w14:textId="77777777" w:rsidTr="00261B7D">
        <w:tc>
          <w:tcPr>
            <w:tcW w:w="3992" w:type="dxa"/>
            <w:shd w:val="clear" w:color="auto" w:fill="auto"/>
          </w:tcPr>
          <w:p w14:paraId="01CFFA75" w14:textId="77777777" w:rsidR="000845E7" w:rsidRPr="00A803B4" w:rsidRDefault="000845E7" w:rsidP="00A803B4">
            <w:pPr>
              <w:spacing w:line="360" w:lineRule="auto"/>
              <w:jc w:val="center"/>
              <w:rPr>
                <w:rFonts w:ascii="Arial" w:hAnsi="Arial" w:cs="Arial"/>
                <w:b/>
                <w:bCs/>
                <w:sz w:val="20"/>
                <w:szCs w:val="20"/>
              </w:rPr>
            </w:pPr>
            <w:bookmarkStart w:id="2" w:name="_Hlk178245433"/>
            <w:r w:rsidRPr="00A803B4">
              <w:rPr>
                <w:rFonts w:ascii="Arial" w:hAnsi="Arial" w:cs="Arial"/>
                <w:b/>
                <w:bCs/>
                <w:sz w:val="20"/>
                <w:szCs w:val="20"/>
              </w:rPr>
              <w:t>Ligands</w:t>
            </w:r>
          </w:p>
        </w:tc>
        <w:tc>
          <w:tcPr>
            <w:tcW w:w="1265" w:type="dxa"/>
            <w:shd w:val="clear" w:color="auto" w:fill="auto"/>
          </w:tcPr>
          <w:p w14:paraId="22C80A76"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Molecular</w:t>
            </w:r>
          </w:p>
          <w:p w14:paraId="6F460DEF"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Weight</w:t>
            </w:r>
          </w:p>
        </w:tc>
        <w:tc>
          <w:tcPr>
            <w:tcW w:w="965" w:type="dxa"/>
            <w:shd w:val="clear" w:color="auto" w:fill="auto"/>
          </w:tcPr>
          <w:p w14:paraId="6D917C16"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H-bond donor</w:t>
            </w:r>
          </w:p>
        </w:tc>
        <w:tc>
          <w:tcPr>
            <w:tcW w:w="1096" w:type="dxa"/>
            <w:shd w:val="clear" w:color="auto" w:fill="auto"/>
          </w:tcPr>
          <w:p w14:paraId="01525859"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H-bond acceptor</w:t>
            </w:r>
          </w:p>
        </w:tc>
        <w:tc>
          <w:tcPr>
            <w:tcW w:w="847" w:type="dxa"/>
            <w:shd w:val="clear" w:color="auto" w:fill="auto"/>
          </w:tcPr>
          <w:p w14:paraId="4F1407A7"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Log p</w:t>
            </w:r>
          </w:p>
        </w:tc>
        <w:tc>
          <w:tcPr>
            <w:tcW w:w="1185" w:type="dxa"/>
            <w:shd w:val="clear" w:color="auto" w:fill="auto"/>
          </w:tcPr>
          <w:p w14:paraId="4E7669C9"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Inference</w:t>
            </w:r>
          </w:p>
          <w:p w14:paraId="2FC51A57" w14:textId="77777777" w:rsidR="000845E7" w:rsidRPr="00A803B4" w:rsidRDefault="000845E7" w:rsidP="00A803B4">
            <w:pPr>
              <w:spacing w:line="360" w:lineRule="auto"/>
              <w:jc w:val="center"/>
              <w:rPr>
                <w:rFonts w:ascii="Arial" w:hAnsi="Arial" w:cs="Arial"/>
                <w:b/>
                <w:bCs/>
                <w:sz w:val="20"/>
                <w:szCs w:val="20"/>
              </w:rPr>
            </w:pPr>
          </w:p>
        </w:tc>
      </w:tr>
      <w:tr w:rsidR="000845E7" w:rsidRPr="00A803B4" w14:paraId="5859C77F" w14:textId="77777777" w:rsidTr="00261B7D">
        <w:tc>
          <w:tcPr>
            <w:tcW w:w="3992" w:type="dxa"/>
            <w:shd w:val="clear" w:color="auto" w:fill="auto"/>
          </w:tcPr>
          <w:p w14:paraId="32DAF9C0"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Compound ID</w:t>
            </w:r>
          </w:p>
        </w:tc>
        <w:tc>
          <w:tcPr>
            <w:tcW w:w="1265" w:type="dxa"/>
            <w:shd w:val="clear" w:color="auto" w:fill="auto"/>
          </w:tcPr>
          <w:p w14:paraId="15ABF75F"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&lt; 500</w:t>
            </w:r>
          </w:p>
        </w:tc>
        <w:tc>
          <w:tcPr>
            <w:tcW w:w="965" w:type="dxa"/>
            <w:shd w:val="clear" w:color="auto" w:fill="auto"/>
          </w:tcPr>
          <w:p w14:paraId="013DA8F8"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&lt; 5</w:t>
            </w:r>
          </w:p>
        </w:tc>
        <w:tc>
          <w:tcPr>
            <w:tcW w:w="1096" w:type="dxa"/>
            <w:shd w:val="clear" w:color="auto" w:fill="auto"/>
          </w:tcPr>
          <w:p w14:paraId="3587E113"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&lt; 10</w:t>
            </w:r>
          </w:p>
        </w:tc>
        <w:tc>
          <w:tcPr>
            <w:tcW w:w="847" w:type="dxa"/>
            <w:shd w:val="clear" w:color="auto" w:fill="auto"/>
          </w:tcPr>
          <w:p w14:paraId="38D26B79" w14:textId="398A284C"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&lt; 5</w:t>
            </w:r>
          </w:p>
        </w:tc>
        <w:tc>
          <w:tcPr>
            <w:tcW w:w="1185" w:type="dxa"/>
            <w:shd w:val="clear" w:color="auto" w:fill="auto"/>
          </w:tcPr>
          <w:p w14:paraId="7B71D087" w14:textId="77777777" w:rsidR="000845E7" w:rsidRPr="00A803B4" w:rsidRDefault="000845E7" w:rsidP="00A803B4">
            <w:pPr>
              <w:spacing w:line="360" w:lineRule="auto"/>
              <w:jc w:val="center"/>
              <w:rPr>
                <w:rFonts w:ascii="Arial" w:hAnsi="Arial" w:cs="Arial"/>
                <w:b/>
                <w:bCs/>
                <w:sz w:val="20"/>
                <w:szCs w:val="20"/>
              </w:rPr>
            </w:pPr>
            <w:r w:rsidRPr="00A803B4">
              <w:rPr>
                <w:rFonts w:ascii="Arial" w:hAnsi="Arial" w:cs="Arial"/>
                <w:b/>
                <w:bCs/>
                <w:sz w:val="20"/>
                <w:szCs w:val="20"/>
              </w:rPr>
              <w:t>MEET R05</w:t>
            </w:r>
          </w:p>
        </w:tc>
      </w:tr>
      <w:tr w:rsidR="000845E7" w:rsidRPr="00A803B4" w14:paraId="1B6B2A7C" w14:textId="77777777" w:rsidTr="00261B7D">
        <w:tc>
          <w:tcPr>
            <w:tcW w:w="3992" w:type="dxa"/>
            <w:shd w:val="clear" w:color="auto" w:fill="auto"/>
          </w:tcPr>
          <w:p w14:paraId="0747481B"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Pemigatinib</w:t>
            </w:r>
            <w:proofErr w:type="spellEnd"/>
          </w:p>
          <w:p w14:paraId="54A5D5A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(Standard Drug)</w:t>
            </w:r>
          </w:p>
        </w:tc>
        <w:tc>
          <w:tcPr>
            <w:tcW w:w="1265" w:type="dxa"/>
            <w:shd w:val="clear" w:color="auto" w:fill="auto"/>
          </w:tcPr>
          <w:p w14:paraId="79032B94"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487.2</w:t>
            </w:r>
          </w:p>
        </w:tc>
        <w:tc>
          <w:tcPr>
            <w:tcW w:w="965" w:type="dxa"/>
            <w:shd w:val="clear" w:color="auto" w:fill="auto"/>
          </w:tcPr>
          <w:p w14:paraId="09ABD5E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1</w:t>
            </w:r>
          </w:p>
        </w:tc>
        <w:tc>
          <w:tcPr>
            <w:tcW w:w="1096" w:type="dxa"/>
            <w:shd w:val="clear" w:color="auto" w:fill="auto"/>
          </w:tcPr>
          <w:p w14:paraId="2039288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9</w:t>
            </w:r>
          </w:p>
        </w:tc>
        <w:tc>
          <w:tcPr>
            <w:tcW w:w="847" w:type="dxa"/>
            <w:shd w:val="clear" w:color="auto" w:fill="auto"/>
          </w:tcPr>
          <w:p w14:paraId="4BD48C5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1.5</w:t>
            </w:r>
          </w:p>
        </w:tc>
        <w:tc>
          <w:tcPr>
            <w:tcW w:w="1185" w:type="dxa"/>
            <w:shd w:val="clear" w:color="auto" w:fill="auto"/>
          </w:tcPr>
          <w:p w14:paraId="3418185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bookmarkEnd w:id="2"/>
      <w:tr w:rsidR="000845E7" w:rsidRPr="00A803B4" w14:paraId="43CD48B3" w14:textId="77777777" w:rsidTr="00261B7D">
        <w:tc>
          <w:tcPr>
            <w:tcW w:w="3992" w:type="dxa"/>
            <w:shd w:val="clear" w:color="auto" w:fill="auto"/>
          </w:tcPr>
          <w:p w14:paraId="79499F3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2,4-cis and trans)-</w:t>
            </w:r>
            <w:proofErr w:type="spellStart"/>
            <w:r w:rsidRPr="00A803B4">
              <w:rPr>
                <w:rFonts w:ascii="Arial" w:hAnsi="Arial" w:cs="Arial"/>
                <w:sz w:val="20"/>
                <w:szCs w:val="20"/>
              </w:rPr>
              <w:t>gigantecinone</w:t>
            </w:r>
            <w:proofErr w:type="spellEnd"/>
          </w:p>
        </w:tc>
        <w:tc>
          <w:tcPr>
            <w:tcW w:w="1265" w:type="dxa"/>
            <w:shd w:val="clear" w:color="auto" w:fill="auto"/>
          </w:tcPr>
          <w:p w14:paraId="186D64A9" w14:textId="6CC75056"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638.9</w:t>
            </w:r>
          </w:p>
        </w:tc>
        <w:tc>
          <w:tcPr>
            <w:tcW w:w="965" w:type="dxa"/>
            <w:shd w:val="clear" w:color="auto" w:fill="auto"/>
          </w:tcPr>
          <w:p w14:paraId="37BB680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w:t>
            </w:r>
          </w:p>
        </w:tc>
        <w:tc>
          <w:tcPr>
            <w:tcW w:w="1096" w:type="dxa"/>
            <w:shd w:val="clear" w:color="auto" w:fill="auto"/>
          </w:tcPr>
          <w:p w14:paraId="2B93D7EC"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w:t>
            </w:r>
          </w:p>
        </w:tc>
        <w:tc>
          <w:tcPr>
            <w:tcW w:w="847" w:type="dxa"/>
            <w:shd w:val="clear" w:color="auto" w:fill="auto"/>
          </w:tcPr>
          <w:p w14:paraId="61CF55B8"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5.1</w:t>
            </w:r>
          </w:p>
        </w:tc>
        <w:tc>
          <w:tcPr>
            <w:tcW w:w="1185" w:type="dxa"/>
            <w:shd w:val="clear" w:color="auto" w:fill="auto"/>
          </w:tcPr>
          <w:p w14:paraId="6A185DA4"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0F47E477" w14:textId="77777777" w:rsidTr="00261B7D">
        <w:tc>
          <w:tcPr>
            <w:tcW w:w="3992" w:type="dxa"/>
            <w:shd w:val="clear" w:color="auto" w:fill="auto"/>
          </w:tcPr>
          <w:p w14:paraId="356AD8F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-4-deoxygigantecin</w:t>
            </w:r>
          </w:p>
        </w:tc>
        <w:tc>
          <w:tcPr>
            <w:tcW w:w="1265" w:type="dxa"/>
            <w:shd w:val="clear" w:color="auto" w:fill="auto"/>
          </w:tcPr>
          <w:p w14:paraId="5F13333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622.48</w:t>
            </w:r>
          </w:p>
        </w:tc>
        <w:tc>
          <w:tcPr>
            <w:tcW w:w="965" w:type="dxa"/>
            <w:shd w:val="clear" w:color="auto" w:fill="auto"/>
          </w:tcPr>
          <w:p w14:paraId="7EA05529"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w:t>
            </w:r>
          </w:p>
        </w:tc>
        <w:tc>
          <w:tcPr>
            <w:tcW w:w="1096" w:type="dxa"/>
            <w:shd w:val="clear" w:color="auto" w:fill="auto"/>
          </w:tcPr>
          <w:p w14:paraId="67F00F1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w:t>
            </w:r>
          </w:p>
        </w:tc>
        <w:tc>
          <w:tcPr>
            <w:tcW w:w="847" w:type="dxa"/>
            <w:shd w:val="clear" w:color="auto" w:fill="auto"/>
          </w:tcPr>
          <w:p w14:paraId="7F7FAF4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5.9</w:t>
            </w:r>
          </w:p>
        </w:tc>
        <w:tc>
          <w:tcPr>
            <w:tcW w:w="1185" w:type="dxa"/>
            <w:shd w:val="clear" w:color="auto" w:fill="auto"/>
          </w:tcPr>
          <w:p w14:paraId="60754E4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5A0ACF0A" w14:textId="77777777" w:rsidTr="00261B7D">
        <w:tc>
          <w:tcPr>
            <w:tcW w:w="3992" w:type="dxa"/>
            <w:shd w:val="clear" w:color="auto" w:fill="auto"/>
          </w:tcPr>
          <w:p w14:paraId="54145C5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-10-Hydroxytrilobacin</w:t>
            </w:r>
          </w:p>
        </w:tc>
        <w:tc>
          <w:tcPr>
            <w:tcW w:w="1265" w:type="dxa"/>
            <w:shd w:val="clear" w:color="auto" w:fill="auto"/>
          </w:tcPr>
          <w:p w14:paraId="2C26FE1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color w:val="212529"/>
                <w:sz w:val="20"/>
                <w:szCs w:val="20"/>
              </w:rPr>
              <w:t>638.48</w:t>
            </w:r>
          </w:p>
        </w:tc>
        <w:tc>
          <w:tcPr>
            <w:tcW w:w="965" w:type="dxa"/>
            <w:shd w:val="clear" w:color="auto" w:fill="auto"/>
          </w:tcPr>
          <w:p w14:paraId="6EEDE688"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w:t>
            </w:r>
          </w:p>
        </w:tc>
        <w:tc>
          <w:tcPr>
            <w:tcW w:w="1096" w:type="dxa"/>
            <w:shd w:val="clear" w:color="auto" w:fill="auto"/>
          </w:tcPr>
          <w:p w14:paraId="37B1E21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w:t>
            </w:r>
          </w:p>
        </w:tc>
        <w:tc>
          <w:tcPr>
            <w:tcW w:w="847" w:type="dxa"/>
            <w:shd w:val="clear" w:color="auto" w:fill="auto"/>
          </w:tcPr>
          <w:p w14:paraId="3E3C9CB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4.2</w:t>
            </w:r>
          </w:p>
        </w:tc>
        <w:tc>
          <w:tcPr>
            <w:tcW w:w="1185" w:type="dxa"/>
            <w:shd w:val="clear" w:color="auto" w:fill="auto"/>
          </w:tcPr>
          <w:p w14:paraId="365445E9"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7E11B48E" w14:textId="77777777" w:rsidTr="00261B7D">
        <w:tc>
          <w:tcPr>
            <w:tcW w:w="3992" w:type="dxa"/>
            <w:shd w:val="clear" w:color="auto" w:fill="auto"/>
          </w:tcPr>
          <w:p w14:paraId="6BB592D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Alpha-</w:t>
            </w:r>
            <w:proofErr w:type="spellStart"/>
            <w:r w:rsidRPr="00A803B4">
              <w:rPr>
                <w:rFonts w:ascii="Arial" w:hAnsi="Arial" w:cs="Arial"/>
                <w:sz w:val="20"/>
                <w:szCs w:val="20"/>
              </w:rPr>
              <w:t>hederin</w:t>
            </w:r>
            <w:proofErr w:type="spellEnd"/>
          </w:p>
        </w:tc>
        <w:tc>
          <w:tcPr>
            <w:tcW w:w="1265" w:type="dxa"/>
            <w:shd w:val="clear" w:color="auto" w:fill="auto"/>
          </w:tcPr>
          <w:p w14:paraId="2FCF24A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750</w:t>
            </w:r>
          </w:p>
        </w:tc>
        <w:tc>
          <w:tcPr>
            <w:tcW w:w="965" w:type="dxa"/>
            <w:shd w:val="clear" w:color="auto" w:fill="auto"/>
          </w:tcPr>
          <w:p w14:paraId="38BD55A9"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w:t>
            </w:r>
          </w:p>
        </w:tc>
        <w:tc>
          <w:tcPr>
            <w:tcW w:w="1096" w:type="dxa"/>
            <w:shd w:val="clear" w:color="auto" w:fill="auto"/>
          </w:tcPr>
          <w:p w14:paraId="528C0312"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12</w:t>
            </w:r>
          </w:p>
        </w:tc>
        <w:tc>
          <w:tcPr>
            <w:tcW w:w="847" w:type="dxa"/>
            <w:shd w:val="clear" w:color="auto" w:fill="auto"/>
          </w:tcPr>
          <w:p w14:paraId="605E98B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2.4</w:t>
            </w:r>
          </w:p>
        </w:tc>
        <w:tc>
          <w:tcPr>
            <w:tcW w:w="1185" w:type="dxa"/>
            <w:shd w:val="clear" w:color="auto" w:fill="auto"/>
          </w:tcPr>
          <w:p w14:paraId="2816644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4121CD58" w14:textId="77777777" w:rsidTr="00261B7D">
        <w:tc>
          <w:tcPr>
            <w:tcW w:w="3992" w:type="dxa"/>
            <w:shd w:val="clear" w:color="auto" w:fill="auto"/>
          </w:tcPr>
          <w:p w14:paraId="0848B7B5"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Annoglaxin</w:t>
            </w:r>
            <w:proofErr w:type="spellEnd"/>
          </w:p>
        </w:tc>
        <w:tc>
          <w:tcPr>
            <w:tcW w:w="1265" w:type="dxa"/>
            <w:shd w:val="clear" w:color="auto" w:fill="auto"/>
          </w:tcPr>
          <w:p w14:paraId="68BC41A4"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610.44</w:t>
            </w:r>
          </w:p>
        </w:tc>
        <w:tc>
          <w:tcPr>
            <w:tcW w:w="965" w:type="dxa"/>
            <w:shd w:val="clear" w:color="auto" w:fill="auto"/>
          </w:tcPr>
          <w:p w14:paraId="192F14D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w:t>
            </w:r>
          </w:p>
        </w:tc>
        <w:tc>
          <w:tcPr>
            <w:tcW w:w="1096" w:type="dxa"/>
            <w:shd w:val="clear" w:color="auto" w:fill="auto"/>
          </w:tcPr>
          <w:p w14:paraId="3E3F0A9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8.0</w:t>
            </w:r>
          </w:p>
        </w:tc>
        <w:tc>
          <w:tcPr>
            <w:tcW w:w="847" w:type="dxa"/>
            <w:shd w:val="clear" w:color="auto" w:fill="auto"/>
          </w:tcPr>
          <w:p w14:paraId="138538B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4.2</w:t>
            </w:r>
          </w:p>
        </w:tc>
        <w:tc>
          <w:tcPr>
            <w:tcW w:w="1185" w:type="dxa"/>
            <w:shd w:val="clear" w:color="auto" w:fill="auto"/>
          </w:tcPr>
          <w:p w14:paraId="78DC93D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7343FD39" w14:textId="77777777" w:rsidTr="00261B7D">
        <w:tc>
          <w:tcPr>
            <w:tcW w:w="3992" w:type="dxa"/>
            <w:shd w:val="clear" w:color="auto" w:fill="auto"/>
          </w:tcPr>
          <w:p w14:paraId="48CF823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Annomuricine E</w:t>
            </w:r>
          </w:p>
        </w:tc>
        <w:tc>
          <w:tcPr>
            <w:tcW w:w="1265" w:type="dxa"/>
            <w:shd w:val="clear" w:color="auto" w:fill="auto"/>
          </w:tcPr>
          <w:p w14:paraId="5BC311E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612.46</w:t>
            </w:r>
          </w:p>
        </w:tc>
        <w:tc>
          <w:tcPr>
            <w:tcW w:w="965" w:type="dxa"/>
            <w:shd w:val="clear" w:color="auto" w:fill="auto"/>
          </w:tcPr>
          <w:p w14:paraId="6592C54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5.0</w:t>
            </w:r>
          </w:p>
        </w:tc>
        <w:tc>
          <w:tcPr>
            <w:tcW w:w="1096" w:type="dxa"/>
            <w:shd w:val="clear" w:color="auto" w:fill="auto"/>
          </w:tcPr>
          <w:p w14:paraId="4AA7000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8.0</w:t>
            </w:r>
          </w:p>
        </w:tc>
        <w:tc>
          <w:tcPr>
            <w:tcW w:w="847" w:type="dxa"/>
            <w:shd w:val="clear" w:color="auto" w:fill="auto"/>
          </w:tcPr>
          <w:p w14:paraId="03B8A7B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4.7</w:t>
            </w:r>
          </w:p>
        </w:tc>
        <w:tc>
          <w:tcPr>
            <w:tcW w:w="1185" w:type="dxa"/>
            <w:shd w:val="clear" w:color="auto" w:fill="auto"/>
          </w:tcPr>
          <w:p w14:paraId="5E07FB6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301F4529" w14:textId="77777777" w:rsidTr="00261B7D">
        <w:tc>
          <w:tcPr>
            <w:tcW w:w="3992" w:type="dxa"/>
            <w:shd w:val="clear" w:color="auto" w:fill="auto"/>
          </w:tcPr>
          <w:p w14:paraId="12566201"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Asitrilobins</w:t>
            </w:r>
            <w:proofErr w:type="spellEnd"/>
            <w:r w:rsidRPr="00A803B4">
              <w:rPr>
                <w:rFonts w:ascii="Arial" w:hAnsi="Arial" w:cs="Arial"/>
                <w:sz w:val="20"/>
                <w:szCs w:val="20"/>
              </w:rPr>
              <w:t xml:space="preserve"> B</w:t>
            </w:r>
          </w:p>
        </w:tc>
        <w:tc>
          <w:tcPr>
            <w:tcW w:w="1265" w:type="dxa"/>
            <w:shd w:val="clear" w:color="auto" w:fill="auto"/>
          </w:tcPr>
          <w:p w14:paraId="16FA823A"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596.47</w:t>
            </w:r>
          </w:p>
        </w:tc>
        <w:tc>
          <w:tcPr>
            <w:tcW w:w="965" w:type="dxa"/>
            <w:shd w:val="clear" w:color="auto" w:fill="auto"/>
          </w:tcPr>
          <w:p w14:paraId="2362B7F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1D37A6B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7B029DBA"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5.1</w:t>
            </w:r>
          </w:p>
        </w:tc>
        <w:tc>
          <w:tcPr>
            <w:tcW w:w="1185" w:type="dxa"/>
            <w:shd w:val="clear" w:color="auto" w:fill="auto"/>
          </w:tcPr>
          <w:p w14:paraId="2E69E91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0E667D11" w14:textId="77777777" w:rsidTr="00261B7D">
        <w:tc>
          <w:tcPr>
            <w:tcW w:w="3992" w:type="dxa"/>
            <w:shd w:val="clear" w:color="auto" w:fill="auto"/>
          </w:tcPr>
          <w:p w14:paraId="3AAD05C5"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Glacins</w:t>
            </w:r>
            <w:proofErr w:type="spellEnd"/>
            <w:r w:rsidRPr="00A803B4">
              <w:rPr>
                <w:rFonts w:ascii="Arial" w:hAnsi="Arial" w:cs="Arial"/>
                <w:sz w:val="20"/>
                <w:szCs w:val="20"/>
              </w:rPr>
              <w:t xml:space="preserve"> B</w:t>
            </w:r>
          </w:p>
        </w:tc>
        <w:tc>
          <w:tcPr>
            <w:tcW w:w="1265" w:type="dxa"/>
            <w:shd w:val="clear" w:color="auto" w:fill="auto"/>
          </w:tcPr>
          <w:p w14:paraId="1AC3222C"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638.48</w:t>
            </w:r>
          </w:p>
        </w:tc>
        <w:tc>
          <w:tcPr>
            <w:tcW w:w="965" w:type="dxa"/>
            <w:shd w:val="clear" w:color="auto" w:fill="auto"/>
          </w:tcPr>
          <w:p w14:paraId="4B02B00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4127BF4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8.0</w:t>
            </w:r>
          </w:p>
        </w:tc>
        <w:tc>
          <w:tcPr>
            <w:tcW w:w="847" w:type="dxa"/>
            <w:shd w:val="clear" w:color="auto" w:fill="auto"/>
          </w:tcPr>
          <w:p w14:paraId="2CE2E71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4.5</w:t>
            </w:r>
          </w:p>
        </w:tc>
        <w:tc>
          <w:tcPr>
            <w:tcW w:w="1185" w:type="dxa"/>
            <w:shd w:val="clear" w:color="auto" w:fill="auto"/>
          </w:tcPr>
          <w:p w14:paraId="17C8D37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182E7959" w14:textId="77777777" w:rsidTr="00261B7D">
        <w:tc>
          <w:tcPr>
            <w:tcW w:w="3992" w:type="dxa"/>
            <w:shd w:val="clear" w:color="auto" w:fill="auto"/>
          </w:tcPr>
          <w:p w14:paraId="0CD8A50F"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Goniothalamicin</w:t>
            </w:r>
            <w:proofErr w:type="spellEnd"/>
          </w:p>
        </w:tc>
        <w:tc>
          <w:tcPr>
            <w:tcW w:w="1265" w:type="dxa"/>
            <w:shd w:val="clear" w:color="auto" w:fill="auto"/>
          </w:tcPr>
          <w:p w14:paraId="6E40E68C"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596.47</w:t>
            </w:r>
          </w:p>
        </w:tc>
        <w:tc>
          <w:tcPr>
            <w:tcW w:w="965" w:type="dxa"/>
            <w:shd w:val="clear" w:color="auto" w:fill="auto"/>
          </w:tcPr>
          <w:p w14:paraId="4AD9683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1180F53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1B4BAE3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5.3</w:t>
            </w:r>
          </w:p>
        </w:tc>
        <w:tc>
          <w:tcPr>
            <w:tcW w:w="1185" w:type="dxa"/>
            <w:shd w:val="clear" w:color="auto" w:fill="auto"/>
          </w:tcPr>
          <w:p w14:paraId="416699F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4EC38AB5" w14:textId="77777777" w:rsidTr="00261B7D">
        <w:tc>
          <w:tcPr>
            <w:tcW w:w="3992" w:type="dxa"/>
            <w:shd w:val="clear" w:color="auto" w:fill="auto"/>
          </w:tcPr>
          <w:p w14:paraId="49F1F72A"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Longimicins</w:t>
            </w:r>
            <w:proofErr w:type="spellEnd"/>
            <w:r w:rsidRPr="00A803B4">
              <w:rPr>
                <w:rFonts w:ascii="Arial" w:hAnsi="Arial" w:cs="Arial"/>
                <w:sz w:val="20"/>
                <w:szCs w:val="20"/>
              </w:rPr>
              <w:t xml:space="preserve"> A</w:t>
            </w:r>
          </w:p>
        </w:tc>
        <w:tc>
          <w:tcPr>
            <w:tcW w:w="1265" w:type="dxa"/>
            <w:shd w:val="clear" w:color="auto" w:fill="auto"/>
          </w:tcPr>
          <w:p w14:paraId="62A3EA0F"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622.48</w:t>
            </w:r>
          </w:p>
        </w:tc>
        <w:tc>
          <w:tcPr>
            <w:tcW w:w="965" w:type="dxa"/>
            <w:shd w:val="clear" w:color="auto" w:fill="auto"/>
          </w:tcPr>
          <w:p w14:paraId="45573F8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3F2DF8F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61B4CF0E"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5.6</w:t>
            </w:r>
          </w:p>
        </w:tc>
        <w:tc>
          <w:tcPr>
            <w:tcW w:w="1185" w:type="dxa"/>
            <w:shd w:val="clear" w:color="auto" w:fill="auto"/>
          </w:tcPr>
          <w:p w14:paraId="7078362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0DD320C3" w14:textId="77777777" w:rsidTr="00261B7D">
        <w:tc>
          <w:tcPr>
            <w:tcW w:w="3992" w:type="dxa"/>
            <w:shd w:val="clear" w:color="auto" w:fill="auto"/>
          </w:tcPr>
          <w:p w14:paraId="3EAD0F4E"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Longimicins</w:t>
            </w:r>
            <w:proofErr w:type="spellEnd"/>
            <w:r w:rsidRPr="00A803B4">
              <w:rPr>
                <w:rFonts w:ascii="Arial" w:hAnsi="Arial" w:cs="Arial"/>
                <w:sz w:val="20"/>
                <w:szCs w:val="20"/>
              </w:rPr>
              <w:t xml:space="preserve"> C</w:t>
            </w:r>
          </w:p>
        </w:tc>
        <w:tc>
          <w:tcPr>
            <w:tcW w:w="1265" w:type="dxa"/>
            <w:shd w:val="clear" w:color="auto" w:fill="auto"/>
          </w:tcPr>
          <w:p w14:paraId="1030FD1A"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594.45</w:t>
            </w:r>
          </w:p>
        </w:tc>
        <w:tc>
          <w:tcPr>
            <w:tcW w:w="965" w:type="dxa"/>
            <w:shd w:val="clear" w:color="auto" w:fill="auto"/>
          </w:tcPr>
          <w:p w14:paraId="426A992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0E822452"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31B8054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5.2</w:t>
            </w:r>
          </w:p>
        </w:tc>
        <w:tc>
          <w:tcPr>
            <w:tcW w:w="1185" w:type="dxa"/>
            <w:shd w:val="clear" w:color="auto" w:fill="auto"/>
          </w:tcPr>
          <w:p w14:paraId="7BAF441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25E016F8" w14:textId="77777777" w:rsidTr="00261B7D">
        <w:tc>
          <w:tcPr>
            <w:tcW w:w="3992" w:type="dxa"/>
            <w:shd w:val="clear" w:color="auto" w:fill="auto"/>
          </w:tcPr>
          <w:p w14:paraId="779C918F"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Longimicins</w:t>
            </w:r>
            <w:proofErr w:type="spellEnd"/>
            <w:r w:rsidRPr="00A803B4">
              <w:rPr>
                <w:rFonts w:ascii="Arial" w:hAnsi="Arial" w:cs="Arial"/>
                <w:sz w:val="20"/>
                <w:szCs w:val="20"/>
              </w:rPr>
              <w:t xml:space="preserve"> D</w:t>
            </w:r>
          </w:p>
        </w:tc>
        <w:tc>
          <w:tcPr>
            <w:tcW w:w="1265" w:type="dxa"/>
            <w:shd w:val="clear" w:color="auto" w:fill="auto"/>
          </w:tcPr>
          <w:p w14:paraId="4C89080B"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622.48</w:t>
            </w:r>
          </w:p>
        </w:tc>
        <w:tc>
          <w:tcPr>
            <w:tcW w:w="965" w:type="dxa"/>
            <w:shd w:val="clear" w:color="auto" w:fill="auto"/>
          </w:tcPr>
          <w:p w14:paraId="400679D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537C2F6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5E3257A8"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5.8</w:t>
            </w:r>
          </w:p>
        </w:tc>
        <w:tc>
          <w:tcPr>
            <w:tcW w:w="1185" w:type="dxa"/>
            <w:shd w:val="clear" w:color="auto" w:fill="auto"/>
          </w:tcPr>
          <w:p w14:paraId="4C59A371"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5A29532A" w14:textId="77777777" w:rsidTr="00261B7D">
        <w:tc>
          <w:tcPr>
            <w:tcW w:w="3992" w:type="dxa"/>
            <w:shd w:val="clear" w:color="auto" w:fill="auto"/>
          </w:tcPr>
          <w:p w14:paraId="20DDF7A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Mosin B</w:t>
            </w:r>
          </w:p>
        </w:tc>
        <w:tc>
          <w:tcPr>
            <w:tcW w:w="1265" w:type="dxa"/>
            <w:shd w:val="clear" w:color="auto" w:fill="auto"/>
          </w:tcPr>
          <w:p w14:paraId="7E733136"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594.45</w:t>
            </w:r>
          </w:p>
        </w:tc>
        <w:tc>
          <w:tcPr>
            <w:tcW w:w="965" w:type="dxa"/>
            <w:shd w:val="clear" w:color="auto" w:fill="auto"/>
          </w:tcPr>
          <w:p w14:paraId="2433D982"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742C117C"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59A7CA44"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4.9</w:t>
            </w:r>
          </w:p>
        </w:tc>
        <w:tc>
          <w:tcPr>
            <w:tcW w:w="1185" w:type="dxa"/>
            <w:shd w:val="clear" w:color="auto" w:fill="auto"/>
          </w:tcPr>
          <w:p w14:paraId="1507753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06B67065" w14:textId="77777777" w:rsidTr="00261B7D">
        <w:tc>
          <w:tcPr>
            <w:tcW w:w="3992" w:type="dxa"/>
            <w:shd w:val="clear" w:color="auto" w:fill="auto"/>
          </w:tcPr>
          <w:p w14:paraId="7E68605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Mosin C</w:t>
            </w:r>
          </w:p>
        </w:tc>
        <w:tc>
          <w:tcPr>
            <w:tcW w:w="1265" w:type="dxa"/>
            <w:shd w:val="clear" w:color="auto" w:fill="auto"/>
          </w:tcPr>
          <w:p w14:paraId="054449D7"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594.45</w:t>
            </w:r>
          </w:p>
        </w:tc>
        <w:tc>
          <w:tcPr>
            <w:tcW w:w="965" w:type="dxa"/>
            <w:shd w:val="clear" w:color="auto" w:fill="auto"/>
          </w:tcPr>
          <w:p w14:paraId="27D16FFC"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3.0</w:t>
            </w:r>
          </w:p>
        </w:tc>
        <w:tc>
          <w:tcPr>
            <w:tcW w:w="1096" w:type="dxa"/>
            <w:shd w:val="clear" w:color="auto" w:fill="auto"/>
          </w:tcPr>
          <w:p w14:paraId="28C1D6D6"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2F5BA3B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5.3</w:t>
            </w:r>
          </w:p>
        </w:tc>
        <w:tc>
          <w:tcPr>
            <w:tcW w:w="1185" w:type="dxa"/>
            <w:shd w:val="clear" w:color="auto" w:fill="auto"/>
          </w:tcPr>
          <w:p w14:paraId="69A554E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73BF4D58" w14:textId="77777777" w:rsidTr="00261B7D">
        <w:tc>
          <w:tcPr>
            <w:tcW w:w="3992" w:type="dxa"/>
            <w:shd w:val="clear" w:color="auto" w:fill="auto"/>
          </w:tcPr>
          <w:p w14:paraId="200283B2"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Muricapentocin</w:t>
            </w:r>
            <w:proofErr w:type="spellEnd"/>
          </w:p>
        </w:tc>
        <w:tc>
          <w:tcPr>
            <w:tcW w:w="1265" w:type="dxa"/>
            <w:shd w:val="clear" w:color="auto" w:fill="auto"/>
          </w:tcPr>
          <w:p w14:paraId="1B831590"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612.46</w:t>
            </w:r>
          </w:p>
        </w:tc>
        <w:tc>
          <w:tcPr>
            <w:tcW w:w="965" w:type="dxa"/>
            <w:shd w:val="clear" w:color="auto" w:fill="auto"/>
          </w:tcPr>
          <w:p w14:paraId="0EDEFD3F"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5.0</w:t>
            </w:r>
          </w:p>
        </w:tc>
        <w:tc>
          <w:tcPr>
            <w:tcW w:w="1096" w:type="dxa"/>
            <w:shd w:val="clear" w:color="auto" w:fill="auto"/>
          </w:tcPr>
          <w:p w14:paraId="1BA61BC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8.0</w:t>
            </w:r>
          </w:p>
        </w:tc>
        <w:tc>
          <w:tcPr>
            <w:tcW w:w="847" w:type="dxa"/>
            <w:shd w:val="clear" w:color="auto" w:fill="auto"/>
          </w:tcPr>
          <w:p w14:paraId="4E8361A0"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3.6</w:t>
            </w:r>
          </w:p>
        </w:tc>
        <w:tc>
          <w:tcPr>
            <w:tcW w:w="1185" w:type="dxa"/>
            <w:shd w:val="clear" w:color="auto" w:fill="auto"/>
          </w:tcPr>
          <w:p w14:paraId="21451EE7"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r w:rsidR="000845E7" w:rsidRPr="00A803B4" w14:paraId="6B8F1110" w14:textId="77777777" w:rsidTr="00261B7D">
        <w:tc>
          <w:tcPr>
            <w:tcW w:w="3992" w:type="dxa"/>
            <w:shd w:val="clear" w:color="auto" w:fill="auto"/>
          </w:tcPr>
          <w:p w14:paraId="0D072979"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Rollinecins</w:t>
            </w:r>
            <w:proofErr w:type="spellEnd"/>
            <w:r w:rsidRPr="00A803B4">
              <w:rPr>
                <w:rFonts w:ascii="Arial" w:hAnsi="Arial" w:cs="Arial"/>
                <w:sz w:val="20"/>
                <w:szCs w:val="20"/>
              </w:rPr>
              <w:t xml:space="preserve"> A</w:t>
            </w:r>
          </w:p>
        </w:tc>
        <w:tc>
          <w:tcPr>
            <w:tcW w:w="1265" w:type="dxa"/>
            <w:shd w:val="clear" w:color="auto" w:fill="auto"/>
          </w:tcPr>
          <w:p w14:paraId="66CECE36"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624.5</w:t>
            </w:r>
          </w:p>
        </w:tc>
        <w:tc>
          <w:tcPr>
            <w:tcW w:w="965" w:type="dxa"/>
            <w:shd w:val="clear" w:color="auto" w:fill="auto"/>
          </w:tcPr>
          <w:p w14:paraId="26C9E3D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2A37142A"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1E0D4D4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5.2</w:t>
            </w:r>
          </w:p>
        </w:tc>
        <w:tc>
          <w:tcPr>
            <w:tcW w:w="1185" w:type="dxa"/>
            <w:shd w:val="clear" w:color="auto" w:fill="auto"/>
          </w:tcPr>
          <w:p w14:paraId="7F5B45B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Rejected</w:t>
            </w:r>
          </w:p>
        </w:tc>
      </w:tr>
      <w:tr w:rsidR="000845E7" w:rsidRPr="00A803B4" w14:paraId="06838D21" w14:textId="77777777" w:rsidTr="00261B7D">
        <w:tc>
          <w:tcPr>
            <w:tcW w:w="3992" w:type="dxa"/>
            <w:shd w:val="clear" w:color="auto" w:fill="auto"/>
          </w:tcPr>
          <w:p w14:paraId="6A8E9602" w14:textId="77777777" w:rsidR="000845E7" w:rsidRPr="00A803B4" w:rsidRDefault="000845E7" w:rsidP="00A803B4">
            <w:pPr>
              <w:spacing w:line="360" w:lineRule="auto"/>
              <w:jc w:val="center"/>
              <w:rPr>
                <w:rFonts w:ascii="Arial" w:hAnsi="Arial" w:cs="Arial"/>
                <w:sz w:val="20"/>
                <w:szCs w:val="20"/>
              </w:rPr>
            </w:pPr>
            <w:proofErr w:type="spellStart"/>
            <w:r w:rsidRPr="00A803B4">
              <w:rPr>
                <w:rFonts w:ascii="Arial" w:hAnsi="Arial" w:cs="Arial"/>
                <w:sz w:val="20"/>
                <w:szCs w:val="20"/>
              </w:rPr>
              <w:t>Rollinecins</w:t>
            </w:r>
            <w:proofErr w:type="spellEnd"/>
            <w:r w:rsidRPr="00A803B4">
              <w:rPr>
                <w:rFonts w:ascii="Arial" w:hAnsi="Arial" w:cs="Arial"/>
                <w:sz w:val="20"/>
                <w:szCs w:val="20"/>
              </w:rPr>
              <w:t xml:space="preserve"> B</w:t>
            </w:r>
          </w:p>
        </w:tc>
        <w:tc>
          <w:tcPr>
            <w:tcW w:w="1265" w:type="dxa"/>
            <w:shd w:val="clear" w:color="auto" w:fill="auto"/>
          </w:tcPr>
          <w:p w14:paraId="7B1DCD06" w14:textId="77777777" w:rsidR="000845E7" w:rsidRPr="00A803B4" w:rsidRDefault="000845E7" w:rsidP="00A803B4">
            <w:pPr>
              <w:spacing w:line="360" w:lineRule="auto"/>
              <w:jc w:val="center"/>
              <w:rPr>
                <w:rFonts w:ascii="Arial" w:hAnsi="Arial" w:cs="Arial"/>
                <w:sz w:val="20"/>
                <w:szCs w:val="20"/>
                <w:shd w:val="clear" w:color="auto" w:fill="FFFFFF"/>
              </w:rPr>
            </w:pPr>
            <w:r w:rsidRPr="00A803B4">
              <w:rPr>
                <w:rFonts w:ascii="Arial" w:hAnsi="Arial" w:cs="Arial"/>
                <w:sz w:val="20"/>
                <w:szCs w:val="20"/>
              </w:rPr>
              <w:t>624.5</w:t>
            </w:r>
          </w:p>
        </w:tc>
        <w:tc>
          <w:tcPr>
            <w:tcW w:w="965" w:type="dxa"/>
            <w:shd w:val="clear" w:color="auto" w:fill="auto"/>
          </w:tcPr>
          <w:p w14:paraId="414F5A83"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4.0</w:t>
            </w:r>
          </w:p>
        </w:tc>
        <w:tc>
          <w:tcPr>
            <w:tcW w:w="1096" w:type="dxa"/>
            <w:shd w:val="clear" w:color="auto" w:fill="auto"/>
          </w:tcPr>
          <w:p w14:paraId="1C502CD5"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7.0</w:t>
            </w:r>
          </w:p>
        </w:tc>
        <w:tc>
          <w:tcPr>
            <w:tcW w:w="847" w:type="dxa"/>
            <w:shd w:val="clear" w:color="auto" w:fill="auto"/>
          </w:tcPr>
          <w:p w14:paraId="4AD4A7AB"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5.0</w:t>
            </w:r>
          </w:p>
        </w:tc>
        <w:tc>
          <w:tcPr>
            <w:tcW w:w="1185" w:type="dxa"/>
            <w:shd w:val="clear" w:color="auto" w:fill="auto"/>
          </w:tcPr>
          <w:p w14:paraId="5B311F1D" w14:textId="77777777" w:rsidR="000845E7" w:rsidRPr="00A803B4" w:rsidRDefault="000845E7" w:rsidP="00A803B4">
            <w:pPr>
              <w:spacing w:line="360" w:lineRule="auto"/>
              <w:jc w:val="center"/>
              <w:rPr>
                <w:rFonts w:ascii="Arial" w:hAnsi="Arial" w:cs="Arial"/>
                <w:sz w:val="20"/>
                <w:szCs w:val="20"/>
              </w:rPr>
            </w:pPr>
            <w:r w:rsidRPr="00A803B4">
              <w:rPr>
                <w:rFonts w:ascii="Arial" w:hAnsi="Arial" w:cs="Arial"/>
                <w:sz w:val="20"/>
                <w:szCs w:val="20"/>
              </w:rPr>
              <w:t>Accepted</w:t>
            </w:r>
          </w:p>
        </w:tc>
      </w:tr>
    </w:tbl>
    <w:p w14:paraId="0E65F2D1" w14:textId="77777777" w:rsidR="000845E7" w:rsidRPr="00A803B4" w:rsidRDefault="000845E7" w:rsidP="00A803B4">
      <w:pPr>
        <w:spacing w:after="0" w:line="360" w:lineRule="auto"/>
        <w:jc w:val="both"/>
        <w:rPr>
          <w:rFonts w:ascii="Arial" w:hAnsi="Arial" w:cs="Arial"/>
          <w:sz w:val="20"/>
          <w:szCs w:val="20"/>
          <w:lang w:val="en-GB"/>
        </w:rPr>
      </w:pPr>
    </w:p>
    <w:p w14:paraId="4BB7B9D7" w14:textId="3201E975" w:rsidR="002524C0" w:rsidRPr="00A803B4" w:rsidRDefault="002524C0" w:rsidP="00A803B4">
      <w:pPr>
        <w:spacing w:after="0" w:line="360" w:lineRule="auto"/>
        <w:jc w:val="both"/>
        <w:rPr>
          <w:rFonts w:ascii="Arial" w:hAnsi="Arial" w:cs="Arial"/>
          <w:sz w:val="20"/>
          <w:szCs w:val="20"/>
          <w:lang w:val="en-GB"/>
        </w:rPr>
      </w:pPr>
      <w:proofErr w:type="spellStart"/>
      <w:r w:rsidRPr="00A803B4">
        <w:rPr>
          <w:rFonts w:ascii="Arial" w:hAnsi="Arial" w:cs="Arial"/>
          <w:sz w:val="20"/>
          <w:szCs w:val="20"/>
          <w:lang w:val="en-GB"/>
        </w:rPr>
        <w:t>Pemigatinib</w:t>
      </w:r>
      <w:proofErr w:type="spellEnd"/>
      <w:r w:rsidRPr="00A803B4">
        <w:rPr>
          <w:rFonts w:ascii="Arial" w:hAnsi="Arial" w:cs="Arial"/>
          <w:sz w:val="20"/>
          <w:szCs w:val="20"/>
          <w:lang w:val="en-GB"/>
        </w:rPr>
        <w:t xml:space="preserve">, used as the </w:t>
      </w:r>
      <w:r w:rsidR="0052046B" w:rsidRPr="00A803B4">
        <w:rPr>
          <w:rFonts w:ascii="Arial" w:hAnsi="Arial" w:cs="Arial"/>
          <w:sz w:val="20"/>
          <w:szCs w:val="20"/>
          <w:lang w:val="en-GB"/>
        </w:rPr>
        <w:t>standard</w:t>
      </w:r>
      <w:r w:rsidRPr="00A803B4">
        <w:rPr>
          <w:rFonts w:ascii="Arial" w:hAnsi="Arial" w:cs="Arial"/>
          <w:sz w:val="20"/>
          <w:szCs w:val="20"/>
          <w:lang w:val="en-GB"/>
        </w:rPr>
        <w:t xml:space="preserve"> drug, was acceptable based on these criteria and served as a comparative standard. Among the 17 hit compounds, only seven—10-Hydroxytrilobacin, </w:t>
      </w:r>
      <w:proofErr w:type="spellStart"/>
      <w:r w:rsidRPr="00A803B4">
        <w:rPr>
          <w:rFonts w:ascii="Arial" w:hAnsi="Arial" w:cs="Arial"/>
          <w:sz w:val="20"/>
          <w:szCs w:val="20"/>
          <w:lang w:val="en-GB"/>
        </w:rPr>
        <w:t>Glacins</w:t>
      </w:r>
      <w:proofErr w:type="spellEnd"/>
      <w:r w:rsidRPr="00A803B4">
        <w:rPr>
          <w:rFonts w:ascii="Arial" w:hAnsi="Arial" w:cs="Arial"/>
          <w:sz w:val="20"/>
          <w:szCs w:val="20"/>
          <w:lang w:val="en-GB"/>
        </w:rPr>
        <w:t xml:space="preserve"> B, Mosin B, </w:t>
      </w:r>
      <w:proofErr w:type="spellStart"/>
      <w:r w:rsidRPr="00A803B4">
        <w:rPr>
          <w:rFonts w:ascii="Arial" w:hAnsi="Arial" w:cs="Arial"/>
          <w:sz w:val="20"/>
          <w:szCs w:val="20"/>
          <w:lang w:val="en-GB"/>
        </w:rPr>
        <w:t>Rollinecins</w:t>
      </w:r>
      <w:proofErr w:type="spellEnd"/>
      <w:r w:rsidRPr="00A803B4">
        <w:rPr>
          <w:rFonts w:ascii="Arial" w:hAnsi="Arial" w:cs="Arial"/>
          <w:sz w:val="20"/>
          <w:szCs w:val="20"/>
          <w:lang w:val="en-GB"/>
        </w:rPr>
        <w:t xml:space="preserve"> B, Annomuricine E, </w:t>
      </w:r>
      <w:proofErr w:type="spellStart"/>
      <w:r w:rsidRPr="00A803B4">
        <w:rPr>
          <w:rFonts w:ascii="Arial" w:hAnsi="Arial" w:cs="Arial"/>
          <w:sz w:val="20"/>
          <w:szCs w:val="20"/>
          <w:lang w:val="en-GB"/>
        </w:rPr>
        <w:t>Annoglaxin</w:t>
      </w:r>
      <w:proofErr w:type="spellEnd"/>
      <w:r w:rsidRPr="00A803B4">
        <w:rPr>
          <w:rFonts w:ascii="Arial" w:hAnsi="Arial" w:cs="Arial"/>
          <w:sz w:val="20"/>
          <w:szCs w:val="20"/>
          <w:lang w:val="en-GB"/>
        </w:rPr>
        <w:t xml:space="preserve">, and </w:t>
      </w:r>
      <w:proofErr w:type="spellStart"/>
      <w:r w:rsidRPr="00A803B4">
        <w:rPr>
          <w:rFonts w:ascii="Arial" w:hAnsi="Arial" w:cs="Arial"/>
          <w:sz w:val="20"/>
          <w:szCs w:val="20"/>
          <w:lang w:val="en-GB"/>
        </w:rPr>
        <w:t>Muricapentocin</w:t>
      </w:r>
      <w:proofErr w:type="spellEnd"/>
      <w:r w:rsidRPr="00A803B4">
        <w:rPr>
          <w:rFonts w:ascii="Arial" w:hAnsi="Arial" w:cs="Arial"/>
          <w:sz w:val="20"/>
          <w:szCs w:val="20"/>
          <w:lang w:val="en-GB"/>
        </w:rPr>
        <w:t xml:space="preserve">—were acceptable, showing good </w:t>
      </w:r>
      <w:r w:rsidRPr="00A803B4">
        <w:rPr>
          <w:rFonts w:ascii="Arial" w:hAnsi="Arial" w:cs="Arial"/>
          <w:sz w:val="20"/>
          <w:szCs w:val="20"/>
          <w:lang w:val="en-GB"/>
        </w:rPr>
        <w:lastRenderedPageBreak/>
        <w:t xml:space="preserve">physicochemical properties. These compounds had molecular weights between 594.4 and 638.4 Da and log P values between 3.6 and 4.9, reflecting an optimal balance between hydrophilic and lipophilic properties, which </w:t>
      </w:r>
      <w:proofErr w:type="spellStart"/>
      <w:r w:rsidRPr="00A803B4">
        <w:rPr>
          <w:rFonts w:ascii="Arial" w:hAnsi="Arial" w:cs="Arial"/>
          <w:sz w:val="20"/>
          <w:szCs w:val="20"/>
          <w:lang w:val="en-GB"/>
        </w:rPr>
        <w:t>favors</w:t>
      </w:r>
      <w:proofErr w:type="spellEnd"/>
      <w:r w:rsidRPr="00A803B4">
        <w:rPr>
          <w:rFonts w:ascii="Arial" w:hAnsi="Arial" w:cs="Arial"/>
          <w:sz w:val="20"/>
          <w:szCs w:val="20"/>
          <w:lang w:val="en-GB"/>
        </w:rPr>
        <w:t xml:space="preserve"> effective intestinal absorption.</w:t>
      </w:r>
    </w:p>
    <w:p w14:paraId="62614E23" w14:textId="71646317" w:rsidR="002524C0" w:rsidRPr="00A803B4" w:rsidRDefault="002524C0"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t>In contrast, compounds like alpha-</w:t>
      </w:r>
      <w:proofErr w:type="spellStart"/>
      <w:r w:rsidRPr="00A803B4">
        <w:rPr>
          <w:rFonts w:ascii="Arial" w:hAnsi="Arial" w:cs="Arial"/>
          <w:sz w:val="20"/>
          <w:szCs w:val="20"/>
          <w:lang w:val="en-GB"/>
        </w:rPr>
        <w:t>hederin</w:t>
      </w:r>
      <w:proofErr w:type="spellEnd"/>
      <w:r w:rsidRPr="00A803B4">
        <w:rPr>
          <w:rFonts w:ascii="Arial" w:hAnsi="Arial" w:cs="Arial"/>
          <w:sz w:val="20"/>
          <w:szCs w:val="20"/>
          <w:lang w:val="en-GB"/>
        </w:rPr>
        <w:t xml:space="preserve">, </w:t>
      </w:r>
      <w:proofErr w:type="spellStart"/>
      <w:r w:rsidRPr="00A803B4">
        <w:rPr>
          <w:rFonts w:ascii="Arial" w:hAnsi="Arial" w:cs="Arial"/>
          <w:sz w:val="20"/>
          <w:szCs w:val="20"/>
          <w:lang w:val="en-GB"/>
        </w:rPr>
        <w:t>asitrilobins</w:t>
      </w:r>
      <w:proofErr w:type="spellEnd"/>
      <w:r w:rsidRPr="00A803B4">
        <w:rPr>
          <w:rFonts w:ascii="Arial" w:hAnsi="Arial" w:cs="Arial"/>
          <w:sz w:val="20"/>
          <w:szCs w:val="20"/>
          <w:lang w:val="en-GB"/>
        </w:rPr>
        <w:t xml:space="preserve"> B, and </w:t>
      </w:r>
      <w:proofErr w:type="spellStart"/>
      <w:r w:rsidRPr="00A803B4">
        <w:rPr>
          <w:rFonts w:ascii="Arial" w:hAnsi="Arial" w:cs="Arial"/>
          <w:sz w:val="20"/>
          <w:szCs w:val="20"/>
          <w:lang w:val="en-GB"/>
        </w:rPr>
        <w:t>longimicins</w:t>
      </w:r>
      <w:proofErr w:type="spellEnd"/>
      <w:r w:rsidRPr="00A803B4">
        <w:rPr>
          <w:rFonts w:ascii="Arial" w:hAnsi="Arial" w:cs="Arial"/>
          <w:sz w:val="20"/>
          <w:szCs w:val="20"/>
          <w:lang w:val="en-GB"/>
        </w:rPr>
        <w:t xml:space="preserve"> A-D (group members) were rejected based on exceeding one or more </w:t>
      </w:r>
      <w:r w:rsidR="002F0B44" w:rsidRPr="00A803B4">
        <w:rPr>
          <w:rFonts w:ascii="Arial" w:hAnsi="Arial" w:cs="Arial"/>
          <w:bCs/>
          <w:iCs/>
          <w:sz w:val="20"/>
          <w:szCs w:val="20"/>
        </w:rPr>
        <w:t xml:space="preserve">Ro5 </w:t>
      </w:r>
      <w:r w:rsidRPr="00A803B4">
        <w:rPr>
          <w:rFonts w:ascii="Arial" w:hAnsi="Arial" w:cs="Arial"/>
          <w:sz w:val="20"/>
          <w:szCs w:val="20"/>
          <w:lang w:val="en-GB"/>
        </w:rPr>
        <w:t>cutoffs. For instance, alpha-</w:t>
      </w:r>
      <w:proofErr w:type="spellStart"/>
      <w:r w:rsidRPr="00A803B4">
        <w:rPr>
          <w:rFonts w:ascii="Arial" w:hAnsi="Arial" w:cs="Arial"/>
          <w:sz w:val="20"/>
          <w:szCs w:val="20"/>
          <w:lang w:val="en-GB"/>
        </w:rPr>
        <w:t>hederin</w:t>
      </w:r>
      <w:proofErr w:type="spellEnd"/>
      <w:r w:rsidRPr="00A803B4">
        <w:rPr>
          <w:rFonts w:ascii="Arial" w:hAnsi="Arial" w:cs="Arial"/>
          <w:sz w:val="20"/>
          <w:szCs w:val="20"/>
          <w:lang w:val="en-GB"/>
        </w:rPr>
        <w:t xml:space="preserve"> exhibited a 750-Da molecular weight and an excessive number of hydrogen bond acceptors and donators, both of which are predictors of poor oral absorption. These observations are consistent with previous findings relating high molecular weight and high hydrogen bonding capacity to poor membrane permeability and bioavailability [34,44]. The use of </w:t>
      </w:r>
      <w:r w:rsidR="002F0B44" w:rsidRPr="00A803B4">
        <w:rPr>
          <w:rFonts w:ascii="Arial" w:hAnsi="Arial" w:cs="Arial"/>
          <w:bCs/>
          <w:iCs/>
          <w:sz w:val="20"/>
          <w:szCs w:val="20"/>
        </w:rPr>
        <w:t xml:space="preserve">Ro5 </w:t>
      </w:r>
      <w:r w:rsidRPr="00A803B4">
        <w:rPr>
          <w:rFonts w:ascii="Arial" w:hAnsi="Arial" w:cs="Arial"/>
          <w:sz w:val="20"/>
          <w:szCs w:val="20"/>
          <w:lang w:val="en-GB"/>
        </w:rPr>
        <w:t>thus served as a preliminary filter, reducing the pool of drug candidates to seven compounds with optimum physicochemical properties. These compounds were subsequently subjected to pharmacokinetic and toxicity evaluations, since their physicochemical structures indicate a likelihood for success in oral drug development.</w:t>
      </w:r>
    </w:p>
    <w:p w14:paraId="79C4A4D1" w14:textId="77F412C8" w:rsidR="003E6FF4" w:rsidRPr="00A803B4" w:rsidRDefault="003E6FF4" w:rsidP="00A803B4">
      <w:pPr>
        <w:spacing w:after="0" w:line="360" w:lineRule="auto"/>
        <w:jc w:val="both"/>
        <w:rPr>
          <w:rFonts w:ascii="Arial" w:hAnsi="Arial" w:cs="Arial"/>
          <w:b/>
          <w:bCs/>
          <w:sz w:val="20"/>
          <w:szCs w:val="20"/>
        </w:rPr>
      </w:pPr>
      <w:r w:rsidRPr="00A803B4">
        <w:rPr>
          <w:rFonts w:ascii="Arial" w:hAnsi="Arial" w:cs="Arial"/>
          <w:b/>
          <w:bCs/>
          <w:sz w:val="20"/>
          <w:szCs w:val="20"/>
        </w:rPr>
        <w:t>3.2.2 ADMET Prediction</w:t>
      </w:r>
    </w:p>
    <w:p w14:paraId="6AA1A2DB" w14:textId="77777777" w:rsidR="00A803B4" w:rsidRDefault="002524C0"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t xml:space="preserve">To evaluate the pharmacokinetics and safety of the seven compounds that passed Lipinski’s Rule of Five, ADMET prediction was performed. </w:t>
      </w:r>
      <w:proofErr w:type="spellStart"/>
      <w:r w:rsidRPr="00A803B4">
        <w:rPr>
          <w:rFonts w:ascii="Arial" w:hAnsi="Arial" w:cs="Arial"/>
          <w:sz w:val="20"/>
          <w:szCs w:val="20"/>
          <w:lang w:val="en-GB"/>
        </w:rPr>
        <w:t>Pemigatinib</w:t>
      </w:r>
      <w:proofErr w:type="spellEnd"/>
      <w:r w:rsidRPr="00A803B4">
        <w:rPr>
          <w:rFonts w:ascii="Arial" w:hAnsi="Arial" w:cs="Arial"/>
          <w:sz w:val="20"/>
          <w:szCs w:val="20"/>
          <w:lang w:val="en-GB"/>
        </w:rPr>
        <w:t xml:space="preserve">, being the standard drug, was used as a reference. This evaluation was done to identify compounds with optimal drug-like </w:t>
      </w:r>
      <w:proofErr w:type="spellStart"/>
      <w:r w:rsidRPr="00A803B4">
        <w:rPr>
          <w:rFonts w:ascii="Arial" w:hAnsi="Arial" w:cs="Arial"/>
          <w:sz w:val="20"/>
          <w:szCs w:val="20"/>
          <w:lang w:val="en-GB"/>
        </w:rPr>
        <w:t>behavior</w:t>
      </w:r>
      <w:proofErr w:type="spellEnd"/>
      <w:r w:rsidRPr="00A803B4">
        <w:rPr>
          <w:rFonts w:ascii="Arial" w:hAnsi="Arial" w:cs="Arial"/>
          <w:sz w:val="20"/>
          <w:szCs w:val="20"/>
          <w:lang w:val="en-GB"/>
        </w:rPr>
        <w:t xml:space="preserve"> suitable for oral administration </w:t>
      </w:r>
    </w:p>
    <w:p w14:paraId="55F1ACF5" w14:textId="77777777" w:rsidR="00A803B4" w:rsidRDefault="00A803B4" w:rsidP="00A803B4">
      <w:pPr>
        <w:spacing w:after="0" w:line="360" w:lineRule="auto"/>
        <w:jc w:val="both"/>
        <w:rPr>
          <w:rFonts w:ascii="Arial" w:hAnsi="Arial" w:cs="Arial"/>
          <w:sz w:val="20"/>
          <w:szCs w:val="20"/>
          <w:lang w:val="en-GB"/>
        </w:rPr>
        <w:sectPr w:rsidR="00A803B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04E0F5FA" w14:textId="6FA3668A" w:rsidR="002524C0" w:rsidRDefault="002524C0"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lastRenderedPageBreak/>
        <w:t xml:space="preserve">and systemic activity. Predictions were generated with a focus on key drivers that influence drug absorption, bioavailability, metabolic interaction, clearance, and toxicological safety. The </w:t>
      </w:r>
      <w:r w:rsidR="00A803B4">
        <w:rPr>
          <w:rFonts w:ascii="Arial" w:hAnsi="Arial" w:cs="Arial"/>
          <w:sz w:val="20"/>
          <w:szCs w:val="20"/>
          <w:lang w:val="en-GB"/>
        </w:rPr>
        <w:t>results</w:t>
      </w:r>
      <w:r w:rsidRPr="00A803B4">
        <w:rPr>
          <w:rFonts w:ascii="Arial" w:hAnsi="Arial" w:cs="Arial"/>
          <w:sz w:val="20"/>
          <w:szCs w:val="20"/>
          <w:lang w:val="en-GB"/>
        </w:rPr>
        <w:t xml:space="preserve"> are shown in Table 3.</w:t>
      </w:r>
    </w:p>
    <w:p w14:paraId="3F7DCA3B" w14:textId="77777777" w:rsidR="00A803B4" w:rsidRDefault="00A803B4" w:rsidP="00A803B4">
      <w:pPr>
        <w:pStyle w:val="NormalWeb"/>
        <w:spacing w:before="0" w:beforeAutospacing="0" w:after="0" w:afterAutospacing="0" w:line="360" w:lineRule="auto"/>
        <w:jc w:val="both"/>
        <w:rPr>
          <w:rFonts w:ascii="Arial" w:hAnsi="Arial" w:cs="Arial"/>
          <w:b/>
          <w:noProof/>
          <w:sz w:val="20"/>
          <w:szCs w:val="20"/>
        </w:rPr>
      </w:pPr>
    </w:p>
    <w:p w14:paraId="78F1E552" w14:textId="47C5BE28" w:rsidR="00A803B4" w:rsidRPr="00A803B4" w:rsidRDefault="00C25855" w:rsidP="00A803B4">
      <w:pPr>
        <w:pStyle w:val="NormalWeb"/>
        <w:spacing w:before="0" w:beforeAutospacing="0" w:after="0" w:afterAutospacing="0" w:line="360" w:lineRule="auto"/>
        <w:jc w:val="both"/>
        <w:rPr>
          <w:rFonts w:ascii="Arial" w:hAnsi="Arial" w:cs="Arial"/>
          <w:sz w:val="20"/>
          <w:szCs w:val="20"/>
        </w:rPr>
      </w:pPr>
      <w:r w:rsidRPr="00303D2C">
        <w:rPr>
          <w:noProof/>
        </w:rPr>
        <mc:AlternateContent>
          <mc:Choice Requires="wps">
            <w:drawing>
              <wp:anchor distT="0" distB="0" distL="114300" distR="114300" simplePos="0" relativeHeight="251658245" behindDoc="0" locked="0" layoutInCell="1" allowOverlap="1" wp14:anchorId="2C79C776" wp14:editId="44D625A2">
                <wp:simplePos x="0" y="0"/>
                <wp:positionH relativeFrom="column">
                  <wp:posOffset>3133090</wp:posOffset>
                </wp:positionH>
                <wp:positionV relativeFrom="paragraph">
                  <wp:posOffset>203835</wp:posOffset>
                </wp:positionV>
                <wp:extent cx="369570" cy="342900"/>
                <wp:effectExtent l="0" t="0" r="11430" b="19050"/>
                <wp:wrapNone/>
                <wp:docPr id="11085182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F43FE" id="Rectangle 37" o:spid="_x0000_s1026" style="position:absolute;margin-left:246.7pt;margin-top:16.05pt;width:29.1pt;height:2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" filled="f" strokecolor="red" strokeweight="2pt">
                <v:path arrowok="t"/>
              </v:rect>
            </w:pict>
          </mc:Fallback>
        </mc:AlternateContent>
      </w:r>
      <w:r w:rsidRPr="00303D2C">
        <w:rPr>
          <w:noProof/>
        </w:rPr>
        <mc:AlternateContent>
          <mc:Choice Requires="wps">
            <w:drawing>
              <wp:anchor distT="0" distB="0" distL="114300" distR="114300" simplePos="0" relativeHeight="251658244" behindDoc="0" locked="0" layoutInCell="1" allowOverlap="1" wp14:anchorId="072F4E51" wp14:editId="57926418">
                <wp:simplePos x="0" y="0"/>
                <wp:positionH relativeFrom="column">
                  <wp:posOffset>1866265</wp:posOffset>
                </wp:positionH>
                <wp:positionV relativeFrom="paragraph">
                  <wp:posOffset>210185</wp:posOffset>
                </wp:positionV>
                <wp:extent cx="369570" cy="342900"/>
                <wp:effectExtent l="0" t="0" r="11430" b="19050"/>
                <wp:wrapNone/>
                <wp:docPr id="13627414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14662" id="Rectangle 37" o:spid="_x0000_s1026" style="position:absolute;margin-left:146.95pt;margin-top:16.55pt;width:29.1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" filled="f" strokecolor="#00b0f0" strokeweight="2pt">
                <v:path arrowok="t"/>
              </v:rect>
            </w:pict>
          </mc:Fallback>
        </mc:AlternateContent>
      </w:r>
      <w:r w:rsidRPr="00303D2C">
        <w:rPr>
          <w:noProof/>
        </w:rPr>
        <mc:AlternateContent>
          <mc:Choice Requires="wps">
            <w:drawing>
              <wp:anchor distT="0" distB="0" distL="114300" distR="114300" simplePos="0" relativeHeight="251658242" behindDoc="0" locked="0" layoutInCell="1" allowOverlap="1" wp14:anchorId="54DE8162" wp14:editId="03B675A9">
                <wp:simplePos x="0" y="0"/>
                <wp:positionH relativeFrom="leftMargin">
                  <wp:posOffset>1371600</wp:posOffset>
                </wp:positionH>
                <wp:positionV relativeFrom="paragraph">
                  <wp:posOffset>185420</wp:posOffset>
                </wp:positionV>
                <wp:extent cx="390525" cy="3619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90525" cy="36195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71F09" id="Rectangle 17" o:spid="_x0000_s1026" style="position:absolute;margin-left:108pt;margin-top:14.6pt;width:30.75pt;height:28.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" filled="f" strokecolor="#92d050" strokeweight="2pt">
                <w10:wrap anchorx="margin"/>
              </v:rect>
            </w:pict>
          </mc:Fallback>
        </mc:AlternateContent>
      </w:r>
      <w:r w:rsidR="00A803B4" w:rsidRPr="00A803B4">
        <w:rPr>
          <w:rFonts w:ascii="Arial" w:hAnsi="Arial" w:cs="Arial"/>
          <w:b/>
          <w:noProof/>
          <w:sz w:val="20"/>
          <w:szCs w:val="20"/>
        </w:rPr>
        <w:t xml:space="preserve">Table 3: </w:t>
      </w:r>
      <w:r w:rsidR="00A803B4" w:rsidRPr="00A803B4">
        <w:rPr>
          <w:rFonts w:ascii="Arial" w:hAnsi="Arial" w:cs="Arial"/>
          <w:bCs/>
          <w:noProof/>
          <w:sz w:val="20"/>
          <w:szCs w:val="20"/>
        </w:rPr>
        <w:t xml:space="preserve">ADMET properties </w:t>
      </w:r>
      <w:r w:rsidR="00A803B4" w:rsidRPr="00A803B4">
        <w:rPr>
          <w:rFonts w:ascii="Arial" w:hAnsi="Arial" w:cs="Arial"/>
          <w:sz w:val="20"/>
          <w:szCs w:val="20"/>
        </w:rPr>
        <w:t xml:space="preserve">of </w:t>
      </w:r>
      <w:proofErr w:type="spellStart"/>
      <w:r w:rsidR="00A803B4" w:rsidRPr="00A803B4">
        <w:rPr>
          <w:rFonts w:ascii="Arial" w:hAnsi="Arial" w:cs="Arial"/>
          <w:sz w:val="20"/>
          <w:szCs w:val="20"/>
        </w:rPr>
        <w:t>Pemigatinib</w:t>
      </w:r>
      <w:proofErr w:type="spellEnd"/>
      <w:r w:rsidR="00A803B4" w:rsidRPr="00A803B4">
        <w:rPr>
          <w:rFonts w:ascii="Arial" w:hAnsi="Arial" w:cs="Arial"/>
          <w:sz w:val="20"/>
          <w:szCs w:val="20"/>
        </w:rPr>
        <w:t xml:space="preserve"> and</w:t>
      </w:r>
      <w:r w:rsidR="00A803B4" w:rsidRPr="00A803B4">
        <w:rPr>
          <w:rFonts w:ascii="Arial" w:hAnsi="Arial" w:cs="Arial"/>
          <w:bCs/>
          <w:sz w:val="20"/>
          <w:szCs w:val="20"/>
        </w:rPr>
        <w:t xml:space="preserve"> the 7 </w:t>
      </w:r>
      <w:r w:rsidR="009C4196">
        <w:rPr>
          <w:rFonts w:ascii="Arial" w:hAnsi="Arial" w:cs="Arial"/>
          <w:bCs/>
          <w:sz w:val="20"/>
          <w:szCs w:val="20"/>
        </w:rPr>
        <w:t>hit</w:t>
      </w:r>
      <w:r w:rsidR="00A803B4" w:rsidRPr="00A803B4">
        <w:rPr>
          <w:rFonts w:ascii="Arial" w:hAnsi="Arial" w:cs="Arial"/>
          <w:bCs/>
          <w:sz w:val="20"/>
          <w:szCs w:val="20"/>
        </w:rPr>
        <w:t xml:space="preserve"> bioactive compounds.</w:t>
      </w:r>
    </w:p>
    <w:tbl>
      <w:tblPr>
        <w:tblStyle w:val="TableGridLight"/>
        <w:tblpPr w:leftFromText="180" w:rightFromText="180" w:vertAnchor="text" w:horzAnchor="margin" w:tblpXSpec="center" w:tblpY="709"/>
        <w:tblW w:w="11515" w:type="dxa"/>
        <w:tblLayout w:type="fixed"/>
        <w:tblLook w:val="04A0" w:firstRow="1" w:lastRow="0" w:firstColumn="1" w:lastColumn="0" w:noHBand="0" w:noVBand="1"/>
      </w:tblPr>
      <w:tblGrid>
        <w:gridCol w:w="2155"/>
        <w:gridCol w:w="450"/>
        <w:gridCol w:w="540"/>
        <w:gridCol w:w="450"/>
        <w:gridCol w:w="1350"/>
        <w:gridCol w:w="450"/>
        <w:gridCol w:w="450"/>
        <w:gridCol w:w="360"/>
        <w:gridCol w:w="450"/>
        <w:gridCol w:w="540"/>
        <w:gridCol w:w="540"/>
        <w:gridCol w:w="630"/>
        <w:gridCol w:w="450"/>
        <w:gridCol w:w="450"/>
        <w:gridCol w:w="450"/>
        <w:gridCol w:w="450"/>
        <w:gridCol w:w="450"/>
        <w:gridCol w:w="450"/>
        <w:gridCol w:w="450"/>
      </w:tblGrid>
      <w:tr w:rsidR="00FE73C3" w:rsidRPr="00A803B4" w14:paraId="32F4C297" w14:textId="77777777" w:rsidTr="00C25855">
        <w:trPr>
          <w:trHeight w:val="533"/>
        </w:trPr>
        <w:tc>
          <w:tcPr>
            <w:tcW w:w="2155" w:type="dxa"/>
          </w:tcPr>
          <w:p w14:paraId="17E35A4E" w14:textId="04E5E925" w:rsidR="00C25855" w:rsidRPr="00A803B4" w:rsidRDefault="00FE73C3" w:rsidP="00A803B4">
            <w:pPr>
              <w:spacing w:line="360" w:lineRule="auto"/>
              <w:jc w:val="both"/>
              <w:rPr>
                <w:rFonts w:ascii="Arial" w:hAnsi="Arial" w:cs="Arial"/>
                <w:b/>
                <w:bCs/>
                <w:color w:val="2A2A2A"/>
                <w:sz w:val="20"/>
                <w:szCs w:val="20"/>
                <w:shd w:val="clear" w:color="auto" w:fill="FFFFFF"/>
              </w:rPr>
            </w:pPr>
            <w:bookmarkStart w:id="3" w:name="_Hlk178245394"/>
            <w:bookmarkStart w:id="4" w:name="_Hlk177335291"/>
            <w:r>
              <w:rPr>
                <w:rFonts w:ascii="Arial" w:hAnsi="Arial" w:cs="Arial"/>
                <w:b/>
                <w:bCs/>
                <w:color w:val="2A2A2A"/>
                <w:sz w:val="20"/>
                <w:szCs w:val="20"/>
                <w:shd w:val="clear" w:color="auto" w:fill="FFFFFF"/>
              </w:rPr>
              <w:t xml:space="preserve"> </w:t>
            </w:r>
            <w:r w:rsidR="00C25855">
              <w:rPr>
                <w:rFonts w:ascii="Arial" w:hAnsi="Arial" w:cs="Arial"/>
                <w:b/>
                <w:bCs/>
                <w:color w:val="2A2A2A"/>
                <w:sz w:val="20"/>
                <w:szCs w:val="20"/>
                <w:shd w:val="clear" w:color="auto" w:fill="FFFFFF"/>
              </w:rPr>
              <w:t xml:space="preserve">          </w:t>
            </w:r>
            <w:r w:rsidRPr="00A803B4">
              <w:rPr>
                <w:rFonts w:ascii="Arial" w:hAnsi="Arial" w:cs="Arial"/>
                <w:b/>
                <w:bCs/>
                <w:color w:val="2A2A2A"/>
                <w:sz w:val="20"/>
                <w:szCs w:val="20"/>
                <w:shd w:val="clear" w:color="auto" w:fill="FFFFFF"/>
              </w:rPr>
              <w:t>Ligands</w:t>
            </w:r>
          </w:p>
        </w:tc>
        <w:tc>
          <w:tcPr>
            <w:tcW w:w="1440" w:type="dxa"/>
            <w:gridSpan w:val="3"/>
          </w:tcPr>
          <w:p w14:paraId="080C149E" w14:textId="6BB0A92E" w:rsidR="00FE73C3" w:rsidRPr="00A803B4" w:rsidRDefault="00FE73C3" w:rsidP="00A803B4">
            <w:pPr>
              <w:spacing w:line="360" w:lineRule="auto"/>
              <w:ind w:right="113"/>
              <w:jc w:val="both"/>
              <w:rPr>
                <w:rFonts w:ascii="Arial" w:hAnsi="Arial" w:cs="Arial"/>
                <w:b/>
                <w:bCs/>
                <w:color w:val="2A2A2A"/>
                <w:sz w:val="20"/>
                <w:szCs w:val="20"/>
                <w:shd w:val="clear" w:color="auto" w:fill="FFFFFF"/>
              </w:rPr>
            </w:pPr>
            <w:r w:rsidRPr="00A803B4">
              <w:rPr>
                <w:rFonts w:ascii="Arial" w:hAnsi="Arial" w:cs="Arial"/>
                <w:b/>
                <w:bCs/>
                <w:color w:val="2A2A2A"/>
                <w:sz w:val="20"/>
                <w:szCs w:val="20"/>
                <w:shd w:val="clear" w:color="auto" w:fill="FFFFFF"/>
              </w:rPr>
              <w:t>Absorption</w:t>
            </w:r>
          </w:p>
          <w:p w14:paraId="527FA04E" w14:textId="4B209E9C" w:rsidR="00FE73C3" w:rsidRPr="00A803B4" w:rsidRDefault="00FE73C3" w:rsidP="00A803B4">
            <w:pPr>
              <w:spacing w:line="360" w:lineRule="auto"/>
              <w:ind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p>
          <w:p w14:paraId="05359EF1" w14:textId="36AED1BA" w:rsidR="00FE73C3" w:rsidRPr="00A803B4" w:rsidRDefault="00FE73C3" w:rsidP="00A803B4">
            <w:pPr>
              <w:spacing w:line="360" w:lineRule="auto"/>
              <w:ind w:right="113"/>
              <w:jc w:val="both"/>
              <w:rPr>
                <w:rFonts w:ascii="Arial" w:hAnsi="Arial" w:cs="Arial"/>
                <w:b/>
                <w:bCs/>
                <w:color w:val="2A2A2A"/>
                <w:sz w:val="20"/>
                <w:szCs w:val="20"/>
                <w:shd w:val="clear" w:color="auto" w:fill="FFFFFF"/>
              </w:rPr>
            </w:pPr>
          </w:p>
        </w:tc>
        <w:tc>
          <w:tcPr>
            <w:tcW w:w="1350" w:type="dxa"/>
          </w:tcPr>
          <w:p w14:paraId="190BBEF2" w14:textId="3F2257C5" w:rsidR="00FE73C3" w:rsidRPr="00A803B4" w:rsidRDefault="00FE73C3" w:rsidP="00A803B4">
            <w:pPr>
              <w:spacing w:line="360" w:lineRule="auto"/>
              <w:jc w:val="both"/>
              <w:rPr>
                <w:rFonts w:ascii="Arial" w:hAnsi="Arial" w:cs="Arial"/>
                <w:b/>
                <w:bCs/>
                <w:color w:val="2A2A2A"/>
                <w:sz w:val="20"/>
                <w:szCs w:val="20"/>
                <w:shd w:val="clear" w:color="auto" w:fill="FFFFFF"/>
              </w:rPr>
            </w:pPr>
            <w:r w:rsidRPr="00A803B4">
              <w:rPr>
                <w:rFonts w:ascii="Arial" w:hAnsi="Arial" w:cs="Arial"/>
                <w:b/>
                <w:bCs/>
                <w:color w:val="2A2A2A"/>
                <w:sz w:val="20"/>
                <w:szCs w:val="20"/>
                <w:shd w:val="clear" w:color="auto" w:fill="FFFFFF"/>
              </w:rPr>
              <w:t>Distribution</w:t>
            </w:r>
          </w:p>
        </w:tc>
        <w:tc>
          <w:tcPr>
            <w:tcW w:w="2250" w:type="dxa"/>
            <w:gridSpan w:val="5"/>
          </w:tcPr>
          <w:p w14:paraId="46EB579B" w14:textId="37DCC64F" w:rsidR="00C25855" w:rsidRPr="00A803B4" w:rsidRDefault="00FE73C3" w:rsidP="00A803B4">
            <w:pPr>
              <w:spacing w:line="360" w:lineRule="auto"/>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Pr="00A803B4">
              <w:rPr>
                <w:rFonts w:ascii="Arial" w:hAnsi="Arial" w:cs="Arial"/>
                <w:b/>
                <w:bCs/>
                <w:color w:val="2A2A2A"/>
                <w:sz w:val="20"/>
                <w:szCs w:val="20"/>
                <w:shd w:val="clear" w:color="auto" w:fill="FFFFFF"/>
              </w:rPr>
              <w:t>Metabolism</w:t>
            </w:r>
          </w:p>
        </w:tc>
        <w:tc>
          <w:tcPr>
            <w:tcW w:w="1170" w:type="dxa"/>
            <w:gridSpan w:val="2"/>
          </w:tcPr>
          <w:p w14:paraId="7EB082D0" w14:textId="77777777" w:rsidR="00FE73C3" w:rsidRDefault="00FE73C3" w:rsidP="00C25855">
            <w:pPr>
              <w:spacing w:line="360" w:lineRule="auto"/>
              <w:rPr>
                <w:rFonts w:ascii="Arial" w:hAnsi="Arial" w:cs="Arial"/>
                <w:b/>
                <w:bCs/>
                <w:color w:val="2A2A2A"/>
                <w:sz w:val="20"/>
                <w:szCs w:val="20"/>
                <w:shd w:val="clear" w:color="auto" w:fill="FFFFFF"/>
              </w:rPr>
            </w:pPr>
            <w:r w:rsidRPr="00A803B4">
              <w:rPr>
                <w:rFonts w:ascii="Arial" w:hAnsi="Arial" w:cs="Arial"/>
                <w:b/>
                <w:bCs/>
                <w:color w:val="2A2A2A"/>
                <w:sz w:val="20"/>
                <w:szCs w:val="20"/>
                <w:shd w:val="clear" w:color="auto" w:fill="FFFFFF"/>
              </w:rPr>
              <w:t>Excretion</w:t>
            </w:r>
          </w:p>
          <w:p w14:paraId="616F5119" w14:textId="4CFA0941" w:rsidR="00C25855" w:rsidRPr="00A803B4" w:rsidRDefault="00C25855" w:rsidP="00C25855">
            <w:pPr>
              <w:spacing w:line="360" w:lineRule="auto"/>
              <w:rPr>
                <w:rFonts w:ascii="Arial" w:hAnsi="Arial" w:cs="Arial"/>
                <w:b/>
                <w:bCs/>
                <w:color w:val="2A2A2A"/>
                <w:sz w:val="20"/>
                <w:szCs w:val="20"/>
                <w:shd w:val="clear" w:color="auto" w:fill="FFFFFF"/>
              </w:rPr>
            </w:pPr>
          </w:p>
        </w:tc>
        <w:tc>
          <w:tcPr>
            <w:tcW w:w="3150" w:type="dxa"/>
            <w:gridSpan w:val="7"/>
          </w:tcPr>
          <w:p w14:paraId="2A8106F6" w14:textId="3A74A6B7" w:rsidR="00C25855" w:rsidRPr="00A803B4" w:rsidRDefault="00C25855" w:rsidP="00A803B4">
            <w:pPr>
              <w:spacing w:line="360" w:lineRule="auto"/>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FE73C3" w:rsidRPr="00A803B4">
              <w:rPr>
                <w:rFonts w:ascii="Arial" w:hAnsi="Arial" w:cs="Arial"/>
                <w:b/>
                <w:bCs/>
                <w:color w:val="2A2A2A"/>
                <w:sz w:val="20"/>
                <w:szCs w:val="20"/>
                <w:shd w:val="clear" w:color="auto" w:fill="FFFFFF"/>
              </w:rPr>
              <w:t>Toxicity</w:t>
            </w:r>
          </w:p>
        </w:tc>
      </w:tr>
      <w:tr w:rsidR="00FE73C3" w:rsidRPr="00A803B4" w14:paraId="4C893F84" w14:textId="77777777" w:rsidTr="00FE73C3">
        <w:trPr>
          <w:trHeight w:val="3169"/>
        </w:trPr>
        <w:tc>
          <w:tcPr>
            <w:tcW w:w="2155" w:type="dxa"/>
            <w:textDirection w:val="btLr"/>
          </w:tcPr>
          <w:p w14:paraId="72D9EFA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CC8B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FD600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26BE2F" w14:textId="68228CDA"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Compound</w:t>
            </w: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Identifier</w:t>
            </w:r>
          </w:p>
        </w:tc>
        <w:tc>
          <w:tcPr>
            <w:tcW w:w="450" w:type="dxa"/>
            <w:textDirection w:val="btLr"/>
          </w:tcPr>
          <w:p w14:paraId="545B0344" w14:textId="00E675D4"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Caco2 permeability</w:t>
            </w:r>
          </w:p>
        </w:tc>
        <w:tc>
          <w:tcPr>
            <w:tcW w:w="540" w:type="dxa"/>
            <w:textDirection w:val="btLr"/>
          </w:tcPr>
          <w:p w14:paraId="42991AA6" w14:textId="24430735"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Human Intestinal absorption</w:t>
            </w:r>
          </w:p>
        </w:tc>
        <w:tc>
          <w:tcPr>
            <w:tcW w:w="450" w:type="dxa"/>
            <w:textDirection w:val="btLr"/>
          </w:tcPr>
          <w:p w14:paraId="06A02F12" w14:textId="74722CB5"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P-glycoprotein Inhibitor</w:t>
            </w:r>
          </w:p>
        </w:tc>
        <w:tc>
          <w:tcPr>
            <w:tcW w:w="1350" w:type="dxa"/>
            <w:textDirection w:val="btLr"/>
          </w:tcPr>
          <w:p w14:paraId="160C5E71" w14:textId="77777777" w:rsidR="00FE73C3"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p>
          <w:p w14:paraId="4A3A7412" w14:textId="67A7066E"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Blood Brain Barrier</w:t>
            </w:r>
          </w:p>
        </w:tc>
        <w:tc>
          <w:tcPr>
            <w:tcW w:w="450" w:type="dxa"/>
            <w:textDirection w:val="btLr"/>
          </w:tcPr>
          <w:p w14:paraId="3F83A8A9" w14:textId="2DEFE814"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CYP2D6</w:t>
            </w:r>
          </w:p>
        </w:tc>
        <w:tc>
          <w:tcPr>
            <w:tcW w:w="450" w:type="dxa"/>
            <w:textDirection w:val="btLr"/>
          </w:tcPr>
          <w:p w14:paraId="38EA383B" w14:textId="73BCD2CD"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CYP3A4</w:t>
            </w:r>
          </w:p>
        </w:tc>
        <w:tc>
          <w:tcPr>
            <w:tcW w:w="360" w:type="dxa"/>
            <w:textDirection w:val="btLr"/>
          </w:tcPr>
          <w:p w14:paraId="0C7C0B4D" w14:textId="099C70F4"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CYP1A2</w:t>
            </w:r>
          </w:p>
        </w:tc>
        <w:tc>
          <w:tcPr>
            <w:tcW w:w="450" w:type="dxa"/>
            <w:textDirection w:val="btLr"/>
          </w:tcPr>
          <w:p w14:paraId="0DCA309D" w14:textId="53765432"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CYP2C19</w:t>
            </w:r>
          </w:p>
          <w:p w14:paraId="20B7ADE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968F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09C1C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5D014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07144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A0C71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01E5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E0FC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4AEDB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8E500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A138D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0E8C8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333ED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FE7F5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691B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3DD7B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E8A80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27CD69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4285F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1A971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823544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E65ECF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7413F5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D26A9A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46E0A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254BF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E059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C776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0EFD2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012FE4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3B2220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3D0CCA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C47CF2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E3C72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5B89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AA0F5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1B327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6C63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27EAB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865046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663ED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8618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73122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8BF7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BAF201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6EBBF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2CDF1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7888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1B25F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8D77E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C3D07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5755A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7DF91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CA49F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8360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2609A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44DB37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3EBE8D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4FD0C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0837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41781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DA86A0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F9B6A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E068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10161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2B6E0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29EDC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9475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674AD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AF4D6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39824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46813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DD78B5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08A40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38A69B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005F63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C3249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5FD72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CDB7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FCFCE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7F092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8EF1D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E082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F46C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0600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53B8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E8115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ECFCC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AA72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05DCB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F0E3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5CED4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10771B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A176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437FF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9148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6A2B60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2E88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32851F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DE637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9B0F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BC9B9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3AA48A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6B0E84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CB066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6C1F39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9A9BA1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F55224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11E04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D5EA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9E4AC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A6F7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7E437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6EE8A6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84057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6FE66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E7E3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09C1F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64265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205F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F4080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E5AB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0F9993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78D2D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3D4A7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5F62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85B075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36181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146B84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18E6D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5CBEE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14032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2CAA0B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84CF3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0E746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9484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99FE71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670A2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0CCBE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F87EA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1F4C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2BBD6B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29D4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D187C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53CD3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F3A53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1730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AED3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FAE1F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BADB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D8F2DF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E395E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F9AC3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50546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C3DE5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36B74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21232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4EC0F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4DEB9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53151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5CA6A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73828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63781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02FEA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EFD6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F8A58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F3582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89B2C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39C314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1AE7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535C5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E156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1C064E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EC14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DBC59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37660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51FB4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21997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08B5A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2CCE1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E9F6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B00E7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E28D6E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FCA5C8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4C68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4D3A1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B9561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27DDB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715B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D1C7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EBCBE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F97BF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1564B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C553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821A7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301E5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08135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DBE6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20BF1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4EEE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41150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3B14E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09D5D0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007769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95E5C6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40B761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BE43A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36E5D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1D3AF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6BA38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6CE8F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32997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36FB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60C6D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B87D5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AD7A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2E347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9F39E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7D5C1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438E6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BB563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E86B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76B4BF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4D13E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0227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B1CF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794E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BCF49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00869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3950F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BE3C6F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C556E4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75D8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80B972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FB37D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3E938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16564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F7D7E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2370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1A16F5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9395D8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8C7019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94614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65E5A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28C68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55417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BC9DC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FE0D0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46735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C310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55EA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0329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5F2B2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07FC2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60E4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185F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1CEFC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326BE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585A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87F25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69FC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0F74B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FD00E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318336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79951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5991E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3F697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BDE18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82F0E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061DBB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536BB9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C888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35B3C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3E00A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3ABE51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8005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E4D084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434A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8E385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1436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815E5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70DEA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E567E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D0BD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4F0656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6FBCC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A9B7E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0190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31EFD4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E7267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BC954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B8898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8109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4C330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4EE4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7960D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83CF6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B8D01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1450F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71B25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0D3CBC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83DB4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41EA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D0774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7C6D8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83B2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5787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0F5E57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47191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3E7B1F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A3421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2B8C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AAA52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E8F801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32F7C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57A6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A960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F63D2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93E6F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10729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09C58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ECAE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4E4D8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52F39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B57545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4CB80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3C8D3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02DC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C3098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51FE7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D9D48A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F8BB2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31BA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CA35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790EC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38C1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59E59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C91CE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65D3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7C620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C983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CD7B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0AE70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4D168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6570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A5B1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89788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6883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C8CB3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DAED6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D192A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F316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A03D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6A950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E3E1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420E3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28BE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2429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49B58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C5787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2AA920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B187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9AE4C5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EB284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19DDAD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FE0EAD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9EA65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B60BFF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B0FE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11456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A1247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01AA9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EFA8B9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CCA222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18D2D9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01A407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27C37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82628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0BAF8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590AD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0169E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491C7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DD4B3C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01B0E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FEBB4E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87E3D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3CE54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333DE4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E2562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110F22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25F0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49671C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97C62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9A488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8DCFB8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0AAEC8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4183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64CB3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D4577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22B63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5A113A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7AE50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AFFED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2D0C07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749C2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98495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430E3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8411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908E6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2B3C03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4E2AE3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4152F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01873F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524D6F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157A99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11898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D5D60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81EB5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B2F60E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3A512A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CA366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954F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104A7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9857D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6FB3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5542BC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2073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F103F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32AF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8FB38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E70A4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81FD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DA170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B1B7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D44C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87523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069FD0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1C780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350B1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F66E4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F28C1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F51B7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2B2D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89B4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E6D22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1A18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030DF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DEB4B1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ABE9F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3AE5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787C4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B45391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ACEEA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4BF3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B636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5B242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866ED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5802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1706F9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764D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945A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054C8A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A30A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E2742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8EC4A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E19FA6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A817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A64A9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88A6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70EA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E36A9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47DA36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F2CA9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52B55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044E3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3A160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6C20A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92C6D4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69C7E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D27248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B195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BC7C8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E0172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7F54A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7DE43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DC333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A4B4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A2A4E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D9C32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3A7AD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A8765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59E9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5A072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D1146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084D7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91BCB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012EB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6AF15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B940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8EEC9B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BDB0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222C2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03CE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E24158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5AD80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1F35C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5FD37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40357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505A7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BAB7C9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D6B1E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3739B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528DF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00971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B1F44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F4F8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6FC5B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5D8A8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199057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73493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CCE2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289D0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B1D778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7F494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2B852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A0313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8DC59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E2B0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ACA00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84A06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0BA56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D4590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680C6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B0A1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52B2D6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478856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EA1BB5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D9D086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57D3F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06BC3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3DF9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1A5B57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D2EAD2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B6A49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3D4F76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C239C8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D39DCB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D505E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4FB22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E72502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7A5ED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B94E9B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D7179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B14E2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110F6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87DFD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A23E2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362C5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50C4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897EF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D9DDB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C1CAB7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2EA240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761FA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DA919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B3475E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9AE92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FEEF0F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9EA98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DDAF8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76CA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4530A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676D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BD9E50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33987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6C776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2E6FF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8AD2C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C56AB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9BFEC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8A85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2E15C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205F89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1F74E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3D4A1E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53E88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10CFD3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5B87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57825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C300DE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936A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477360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6004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A7116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652D5E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2E5287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4ED2A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6F2F2B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156C9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96AC3E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EA046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B8BA7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CD549C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D7D4B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D8EEF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F54739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E242A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423538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4987D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1EC21D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ADBD2F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38D94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5F4050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D70E8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94815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F32D6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C6360A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B80A9F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205F9E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51904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617C60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15187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9596FB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1FA66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440B9D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25DB1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1541DB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303B2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FD8DA8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44FC4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8F44A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54A779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DBA8E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EBDB8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85248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7BCCA4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0A812C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E53D1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765DC0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B59F6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7B0FD2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BEB6BC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9258C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664BFE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223EE0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770067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FB507B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F5639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FBC5C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3DFE07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EB3791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3960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22CF74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217E5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DA458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5AA084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70CB3D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D5CC28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9EC8E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8EDB8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B88A30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3E4483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B2869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6E26C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76F310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FB9157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A793EF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7231B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E965F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7F86D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961B4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A0B7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59956C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6A355E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323E1F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2A00F5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179D50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9ED2AA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A8A37B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3882DC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507A3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C6D6AC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CA6CD4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61E0D5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F26F5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4A620F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4A8A3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A4BFC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D5D71C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E2EC9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09BE62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7DA2D7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80EA49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4CC17F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4BFDE3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FBC66A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9BBE95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8F491F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99184D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EA1A4C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3AAE5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83E65C4"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CD2F23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3A2CB9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476884AB"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FB66BDE"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54CBA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415EC16"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780ECBB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AA8033"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A05187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08780D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9659CA2"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A36AA00"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E248FDA"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BAF6D7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3407752D"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1D271E5C"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0C46F31"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0AEA4E05"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9BFD78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2FBC46D9"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4F6CB18"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6ADA56DF"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p>
          <w:p w14:paraId="55438C37" w14:textId="77777777" w:rsidR="00A803B4" w:rsidRPr="00A803B4" w:rsidRDefault="00A803B4" w:rsidP="00A803B4">
            <w:pPr>
              <w:spacing w:line="360" w:lineRule="auto"/>
              <w:ind w:left="113" w:right="113"/>
              <w:jc w:val="both"/>
              <w:rPr>
                <w:rFonts w:ascii="Arial" w:hAnsi="Arial" w:cs="Arial"/>
                <w:b/>
                <w:bCs/>
                <w:color w:val="2A2A2A"/>
                <w:sz w:val="20"/>
                <w:szCs w:val="20"/>
                <w:shd w:val="clear" w:color="auto" w:fill="FFFFFF"/>
              </w:rPr>
            </w:pPr>
            <w:r w:rsidRPr="00A803B4">
              <w:rPr>
                <w:rFonts w:ascii="Arial" w:hAnsi="Arial" w:cs="Arial"/>
                <w:b/>
                <w:bCs/>
                <w:color w:val="2A2A2A"/>
                <w:sz w:val="20"/>
                <w:szCs w:val="20"/>
                <w:shd w:val="clear" w:color="auto" w:fill="FFFFFF"/>
              </w:rPr>
              <w:t>CYP2C19</w:t>
            </w:r>
          </w:p>
        </w:tc>
        <w:tc>
          <w:tcPr>
            <w:tcW w:w="540" w:type="dxa"/>
            <w:textDirection w:val="btLr"/>
          </w:tcPr>
          <w:p w14:paraId="1B6706B4" w14:textId="0AFF4FA3"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CYP2C9</w:t>
            </w:r>
          </w:p>
        </w:tc>
        <w:tc>
          <w:tcPr>
            <w:tcW w:w="540" w:type="dxa"/>
            <w:textDirection w:val="btLr"/>
          </w:tcPr>
          <w:p w14:paraId="5A78F05F" w14:textId="7F9EC946"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Half-life</w:t>
            </w:r>
          </w:p>
        </w:tc>
        <w:tc>
          <w:tcPr>
            <w:tcW w:w="630" w:type="dxa"/>
            <w:textDirection w:val="btLr"/>
          </w:tcPr>
          <w:p w14:paraId="6CAA4334" w14:textId="33CA62F5"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Total Clearance</w:t>
            </w:r>
          </w:p>
        </w:tc>
        <w:tc>
          <w:tcPr>
            <w:tcW w:w="450" w:type="dxa"/>
            <w:textDirection w:val="btLr"/>
          </w:tcPr>
          <w:p w14:paraId="5AE101CC" w14:textId="17B907F9"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Nephrotoxicity</w:t>
            </w:r>
          </w:p>
        </w:tc>
        <w:tc>
          <w:tcPr>
            <w:tcW w:w="450" w:type="dxa"/>
            <w:textDirection w:val="btLr"/>
          </w:tcPr>
          <w:p w14:paraId="050EDC22" w14:textId="1522607B"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Acute oral toxicity</w:t>
            </w:r>
          </w:p>
        </w:tc>
        <w:tc>
          <w:tcPr>
            <w:tcW w:w="450" w:type="dxa"/>
            <w:textDirection w:val="btLr"/>
          </w:tcPr>
          <w:p w14:paraId="261FC2D8" w14:textId="598C44B8"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AMES toxicity</w:t>
            </w:r>
          </w:p>
        </w:tc>
        <w:tc>
          <w:tcPr>
            <w:tcW w:w="450" w:type="dxa"/>
            <w:textDirection w:val="btLr"/>
          </w:tcPr>
          <w:p w14:paraId="2B829EAE" w14:textId="71D54660"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C25855">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Carcinogenicity</w:t>
            </w:r>
          </w:p>
        </w:tc>
        <w:tc>
          <w:tcPr>
            <w:tcW w:w="450" w:type="dxa"/>
            <w:textDirection w:val="btLr"/>
          </w:tcPr>
          <w:p w14:paraId="4D0E3441" w14:textId="0474044A" w:rsidR="00A803B4" w:rsidRPr="00A803B4" w:rsidRDefault="00FE73C3"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C25855">
              <w:rPr>
                <w:rFonts w:ascii="Arial" w:hAnsi="Arial" w:cs="Arial"/>
                <w:b/>
                <w:bCs/>
                <w:color w:val="2A2A2A"/>
                <w:sz w:val="20"/>
                <w:szCs w:val="20"/>
                <w:shd w:val="clear" w:color="auto" w:fill="FFFFFF"/>
              </w:rPr>
              <w:t xml:space="preserve"> </w:t>
            </w: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HERG inhibitor</w:t>
            </w:r>
          </w:p>
        </w:tc>
        <w:tc>
          <w:tcPr>
            <w:tcW w:w="450" w:type="dxa"/>
            <w:textDirection w:val="btLr"/>
          </w:tcPr>
          <w:p w14:paraId="34F7808C" w14:textId="5EF552BD" w:rsidR="00A803B4" w:rsidRPr="00A803B4" w:rsidRDefault="00C25855"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Hepatoxicity</w:t>
            </w:r>
          </w:p>
        </w:tc>
        <w:tc>
          <w:tcPr>
            <w:tcW w:w="450" w:type="dxa"/>
            <w:textDirection w:val="btLr"/>
          </w:tcPr>
          <w:p w14:paraId="160B5A05" w14:textId="6B7D33CF" w:rsidR="00A803B4" w:rsidRPr="00A803B4" w:rsidRDefault="00C25855" w:rsidP="00A803B4">
            <w:pPr>
              <w:spacing w:line="360" w:lineRule="auto"/>
              <w:ind w:left="113" w:right="113"/>
              <w:jc w:val="both"/>
              <w:rPr>
                <w:rFonts w:ascii="Arial" w:hAnsi="Arial" w:cs="Arial"/>
                <w:b/>
                <w:bCs/>
                <w:color w:val="2A2A2A"/>
                <w:sz w:val="20"/>
                <w:szCs w:val="20"/>
                <w:shd w:val="clear" w:color="auto" w:fill="FFFFFF"/>
              </w:rPr>
            </w:pPr>
            <w:r>
              <w:rPr>
                <w:rFonts w:ascii="Arial" w:hAnsi="Arial" w:cs="Arial"/>
                <w:b/>
                <w:bCs/>
                <w:color w:val="2A2A2A"/>
                <w:sz w:val="20"/>
                <w:szCs w:val="20"/>
                <w:shd w:val="clear" w:color="auto" w:fill="FFFFFF"/>
              </w:rPr>
              <w:t xml:space="preserve">         </w:t>
            </w:r>
            <w:r w:rsidR="00A803B4" w:rsidRPr="00A803B4">
              <w:rPr>
                <w:rFonts w:ascii="Arial" w:hAnsi="Arial" w:cs="Arial"/>
                <w:b/>
                <w:bCs/>
                <w:color w:val="2A2A2A"/>
                <w:sz w:val="20"/>
                <w:szCs w:val="20"/>
                <w:shd w:val="clear" w:color="auto" w:fill="FFFFFF"/>
              </w:rPr>
              <w:t>Hema toxicity</w:t>
            </w:r>
          </w:p>
        </w:tc>
      </w:tr>
      <w:tr w:rsidR="00FE73C3" w:rsidRPr="00A803B4" w14:paraId="44B34800" w14:textId="77777777" w:rsidTr="00FE73C3">
        <w:trPr>
          <w:trHeight w:val="474"/>
        </w:trPr>
        <w:tc>
          <w:tcPr>
            <w:tcW w:w="2155" w:type="dxa"/>
            <w:shd w:val="clear" w:color="auto" w:fill="auto"/>
          </w:tcPr>
          <w:p w14:paraId="485692A7"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bCs/>
                <w:sz w:val="20"/>
                <w:szCs w:val="20"/>
              </w:rPr>
              <w:t>Pemigatinib</w:t>
            </w:r>
            <w:proofErr w:type="spellEnd"/>
          </w:p>
          <w:p w14:paraId="3C44F97E" w14:textId="77777777" w:rsidR="00A803B4" w:rsidRPr="00A803B4" w:rsidRDefault="00A803B4" w:rsidP="00FE73C3">
            <w:pPr>
              <w:jc w:val="center"/>
              <w:rPr>
                <w:rFonts w:ascii="Arial" w:hAnsi="Arial" w:cs="Arial"/>
                <w:bCs/>
                <w:sz w:val="20"/>
                <w:szCs w:val="20"/>
              </w:rPr>
            </w:pPr>
            <w:r w:rsidRPr="00A803B4">
              <w:rPr>
                <w:rFonts w:ascii="Arial" w:hAnsi="Arial" w:cs="Arial"/>
                <w:bCs/>
                <w:sz w:val="20"/>
                <w:szCs w:val="20"/>
              </w:rPr>
              <w:t>(Standard Drug)</w:t>
            </w:r>
          </w:p>
        </w:tc>
        <w:tc>
          <w:tcPr>
            <w:tcW w:w="450" w:type="dxa"/>
          </w:tcPr>
          <w:p w14:paraId="3D243509"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540" w:type="dxa"/>
          </w:tcPr>
          <w:p w14:paraId="31136114" w14:textId="77777777" w:rsidR="00A803B4" w:rsidRPr="00A803B4" w:rsidRDefault="00A803B4" w:rsidP="00A803B4">
            <w:pPr>
              <w:spacing w:line="360" w:lineRule="auto"/>
              <w:jc w:val="both"/>
              <w:rPr>
                <w:rFonts w:ascii="Arial" w:hAnsi="Arial" w:cs="Arial"/>
                <w:bCs/>
                <w:color w:val="FFFFFF" w:themeColor="background1"/>
                <w:sz w:val="20"/>
                <w:szCs w:val="20"/>
                <w:highlight w:val="green"/>
                <w:shd w:val="clear" w:color="auto" w:fill="FFFFFF"/>
              </w:rPr>
            </w:pPr>
            <w:r w:rsidRPr="00A803B4">
              <w:rPr>
                <w:rFonts w:ascii="Arial" w:hAnsi="Arial" w:cs="Arial"/>
                <w:bCs/>
                <w:color w:val="92D050"/>
                <w:sz w:val="20"/>
                <w:szCs w:val="20"/>
                <w:shd w:val="clear" w:color="auto" w:fill="FFFFFF"/>
              </w:rPr>
              <w:t>G</w:t>
            </w:r>
          </w:p>
        </w:tc>
        <w:tc>
          <w:tcPr>
            <w:tcW w:w="450" w:type="dxa"/>
          </w:tcPr>
          <w:p w14:paraId="4F8008B1"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1350" w:type="dxa"/>
          </w:tcPr>
          <w:p w14:paraId="7DDA52A0" w14:textId="77777777" w:rsidR="00A803B4" w:rsidRPr="00A803B4" w:rsidRDefault="00A803B4" w:rsidP="00FE73C3">
            <w:pPr>
              <w:spacing w:line="360" w:lineRule="auto"/>
              <w:jc w:val="center"/>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3BA0CCA5"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2D7ADFC"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B</w:t>
            </w:r>
          </w:p>
        </w:tc>
        <w:tc>
          <w:tcPr>
            <w:tcW w:w="360" w:type="dxa"/>
          </w:tcPr>
          <w:p w14:paraId="473A606F"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5924B88"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786865A3"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540" w:type="dxa"/>
          </w:tcPr>
          <w:p w14:paraId="5810181F"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00B0F0"/>
                <w:sz w:val="20"/>
                <w:szCs w:val="20"/>
                <w:shd w:val="clear" w:color="auto" w:fill="FFFFFF"/>
              </w:rPr>
              <w:t>1.3</w:t>
            </w:r>
          </w:p>
        </w:tc>
        <w:tc>
          <w:tcPr>
            <w:tcW w:w="630" w:type="dxa"/>
          </w:tcPr>
          <w:p w14:paraId="7C7A4B7A"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7AAE8EF0"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15AE84B3" w14:textId="77777777" w:rsidR="00A803B4" w:rsidRPr="00A803B4" w:rsidRDefault="00A803B4" w:rsidP="00A803B4">
            <w:pPr>
              <w:spacing w:line="360" w:lineRule="auto"/>
              <w:jc w:val="both"/>
              <w:rPr>
                <w:rFonts w:ascii="Arial" w:hAnsi="Arial" w:cs="Arial"/>
                <w:bCs/>
                <w:color w:val="4472C4" w:themeColor="accent1"/>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63259613" w14:textId="77777777" w:rsidR="00A803B4" w:rsidRPr="00A803B4" w:rsidRDefault="00A803B4" w:rsidP="00A803B4">
            <w:pPr>
              <w:spacing w:line="360" w:lineRule="auto"/>
              <w:jc w:val="both"/>
              <w:rPr>
                <w:rFonts w:ascii="Arial" w:hAnsi="Arial" w:cs="Arial"/>
                <w:bCs/>
                <w:color w:val="2A2A2A"/>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33FB48F2"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4A2A30EC"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450" w:type="dxa"/>
          </w:tcPr>
          <w:p w14:paraId="4FA3B2BD"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450" w:type="dxa"/>
          </w:tcPr>
          <w:p w14:paraId="560CD0CE"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r>
      <w:bookmarkEnd w:id="3"/>
      <w:tr w:rsidR="00FE73C3" w:rsidRPr="00A803B4" w14:paraId="68692760" w14:textId="77777777" w:rsidTr="00FE73C3">
        <w:trPr>
          <w:trHeight w:val="365"/>
        </w:trPr>
        <w:tc>
          <w:tcPr>
            <w:tcW w:w="2155" w:type="dxa"/>
            <w:shd w:val="clear" w:color="auto" w:fill="auto"/>
          </w:tcPr>
          <w:p w14:paraId="2CDE07AF" w14:textId="77777777" w:rsidR="00A803B4" w:rsidRPr="00A803B4" w:rsidRDefault="00A803B4" w:rsidP="00FE73C3">
            <w:pPr>
              <w:jc w:val="center"/>
              <w:rPr>
                <w:rFonts w:ascii="Arial" w:hAnsi="Arial" w:cs="Arial"/>
                <w:bCs/>
                <w:sz w:val="20"/>
                <w:szCs w:val="20"/>
              </w:rPr>
            </w:pPr>
            <w:r w:rsidRPr="00A803B4">
              <w:rPr>
                <w:rFonts w:ascii="Arial" w:hAnsi="Arial" w:cs="Arial"/>
                <w:sz w:val="20"/>
                <w:szCs w:val="20"/>
              </w:rPr>
              <w:t>-10-Hydroxytrilobacin</w:t>
            </w:r>
          </w:p>
        </w:tc>
        <w:tc>
          <w:tcPr>
            <w:tcW w:w="450" w:type="dxa"/>
          </w:tcPr>
          <w:p w14:paraId="5CD99CB0"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235CFD28"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4168AC9E"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1350" w:type="dxa"/>
          </w:tcPr>
          <w:p w14:paraId="67B2EF01"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687EFC0"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3805724A"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360" w:type="dxa"/>
          </w:tcPr>
          <w:p w14:paraId="43FE5D0B"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104458DF"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29122FBD"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39BE3F80"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0.9</w:t>
            </w:r>
          </w:p>
        </w:tc>
        <w:tc>
          <w:tcPr>
            <w:tcW w:w="630" w:type="dxa"/>
          </w:tcPr>
          <w:p w14:paraId="5296E32C"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0195E861"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6F007919"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0032A63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321ECA1F"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23CC7B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50C60E58"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9212A85"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5974F8CE" w14:textId="77777777" w:rsidTr="00FE73C3">
        <w:trPr>
          <w:trHeight w:val="356"/>
        </w:trPr>
        <w:tc>
          <w:tcPr>
            <w:tcW w:w="2155" w:type="dxa"/>
            <w:shd w:val="clear" w:color="auto" w:fill="auto"/>
          </w:tcPr>
          <w:p w14:paraId="25187FC5"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sz w:val="20"/>
                <w:szCs w:val="20"/>
              </w:rPr>
              <w:t>Annoglaxin</w:t>
            </w:r>
            <w:proofErr w:type="spellEnd"/>
          </w:p>
        </w:tc>
        <w:tc>
          <w:tcPr>
            <w:tcW w:w="450" w:type="dxa"/>
          </w:tcPr>
          <w:p w14:paraId="37EA5FA4"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540" w:type="dxa"/>
          </w:tcPr>
          <w:p w14:paraId="3563DD76"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5333CB4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1350" w:type="dxa"/>
          </w:tcPr>
          <w:p w14:paraId="0509A98D"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EBA426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2A91CAB3"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360" w:type="dxa"/>
          </w:tcPr>
          <w:p w14:paraId="3619FCBC"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1E018B9F"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540" w:type="dxa"/>
          </w:tcPr>
          <w:p w14:paraId="3C5605A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4B2324DE"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1.4</w:t>
            </w:r>
          </w:p>
        </w:tc>
        <w:tc>
          <w:tcPr>
            <w:tcW w:w="630" w:type="dxa"/>
          </w:tcPr>
          <w:p w14:paraId="1E4A2CA5"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1E9F812C"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682B368B"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CD87039"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765632F7"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63EE1C06"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40B5FA68"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205434A9"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40637058" w14:textId="77777777" w:rsidTr="00FE73C3">
        <w:trPr>
          <w:trHeight w:val="356"/>
        </w:trPr>
        <w:tc>
          <w:tcPr>
            <w:tcW w:w="2155" w:type="dxa"/>
            <w:shd w:val="clear" w:color="auto" w:fill="auto"/>
          </w:tcPr>
          <w:p w14:paraId="7779E6A0" w14:textId="77777777" w:rsidR="00A803B4" w:rsidRPr="00A803B4" w:rsidRDefault="00A803B4" w:rsidP="00FE73C3">
            <w:pPr>
              <w:jc w:val="center"/>
              <w:rPr>
                <w:rFonts w:ascii="Arial" w:hAnsi="Arial" w:cs="Arial"/>
                <w:bCs/>
                <w:sz w:val="20"/>
                <w:szCs w:val="20"/>
              </w:rPr>
            </w:pPr>
            <w:r w:rsidRPr="00A803B4">
              <w:rPr>
                <w:rFonts w:ascii="Arial" w:hAnsi="Arial" w:cs="Arial"/>
                <w:sz w:val="20"/>
                <w:szCs w:val="20"/>
              </w:rPr>
              <w:t>Annomuricine E</w:t>
            </w:r>
          </w:p>
        </w:tc>
        <w:tc>
          <w:tcPr>
            <w:tcW w:w="450" w:type="dxa"/>
          </w:tcPr>
          <w:p w14:paraId="1A9188A1" w14:textId="77777777" w:rsidR="00A803B4" w:rsidRPr="00A803B4" w:rsidRDefault="00A803B4" w:rsidP="00A803B4">
            <w:pPr>
              <w:jc w:val="both"/>
              <w:rPr>
                <w:rFonts w:ascii="Arial" w:hAnsi="Arial" w:cs="Arial"/>
                <w:bCs/>
                <w:sz w:val="20"/>
                <w:szCs w:val="20"/>
              </w:rPr>
            </w:pPr>
            <w:r w:rsidRPr="00A803B4">
              <w:rPr>
                <w:rFonts w:ascii="Arial" w:hAnsi="Arial" w:cs="Arial"/>
                <w:bCs/>
                <w:color w:val="FF0000"/>
                <w:sz w:val="20"/>
                <w:szCs w:val="20"/>
                <w:shd w:val="clear" w:color="auto" w:fill="FFFFFF"/>
              </w:rPr>
              <w:t>R</w:t>
            </w:r>
          </w:p>
        </w:tc>
        <w:tc>
          <w:tcPr>
            <w:tcW w:w="540" w:type="dxa"/>
          </w:tcPr>
          <w:p w14:paraId="5C334FBE"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3787224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1350" w:type="dxa"/>
          </w:tcPr>
          <w:p w14:paraId="563A2FF1"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114E14F5"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7B86BDC3"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360" w:type="dxa"/>
          </w:tcPr>
          <w:p w14:paraId="7B2ADBF8"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450" w:type="dxa"/>
          </w:tcPr>
          <w:p w14:paraId="3645BC4B"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2C55652F" w14:textId="77777777" w:rsidR="00A803B4" w:rsidRPr="00A803B4" w:rsidRDefault="00A803B4" w:rsidP="00A803B4">
            <w:pPr>
              <w:jc w:val="both"/>
              <w:rPr>
                <w:rFonts w:ascii="Arial" w:hAnsi="Arial" w:cs="Arial"/>
                <w:bCs/>
                <w:sz w:val="20"/>
                <w:szCs w:val="20"/>
              </w:rPr>
            </w:pPr>
            <w:r w:rsidRPr="00A803B4">
              <w:rPr>
                <w:rFonts w:ascii="Arial" w:hAnsi="Arial" w:cs="Arial"/>
                <w:bCs/>
                <w:color w:val="92D050"/>
                <w:sz w:val="20"/>
                <w:szCs w:val="20"/>
                <w:shd w:val="clear" w:color="auto" w:fill="FFFFFF"/>
              </w:rPr>
              <w:t>G</w:t>
            </w:r>
          </w:p>
        </w:tc>
        <w:tc>
          <w:tcPr>
            <w:tcW w:w="540" w:type="dxa"/>
          </w:tcPr>
          <w:p w14:paraId="6317910B"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1.1</w:t>
            </w:r>
          </w:p>
        </w:tc>
        <w:tc>
          <w:tcPr>
            <w:tcW w:w="630" w:type="dxa"/>
          </w:tcPr>
          <w:p w14:paraId="1A242C17"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78BC20B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643F9BFD" w14:textId="77777777" w:rsidR="00A803B4" w:rsidRPr="00A803B4" w:rsidRDefault="00A803B4" w:rsidP="00A803B4">
            <w:pPr>
              <w:spacing w:line="360" w:lineRule="auto"/>
              <w:jc w:val="both"/>
              <w:rPr>
                <w:rFonts w:ascii="Arial" w:hAnsi="Arial" w:cs="Arial"/>
                <w:bCs/>
                <w:color w:val="FFFF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775029D3"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59617997"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0B826C1A" w14:textId="77777777" w:rsidR="00A803B4" w:rsidRPr="00A803B4" w:rsidRDefault="00A803B4" w:rsidP="00A803B4">
            <w:pPr>
              <w:jc w:val="both"/>
              <w:rPr>
                <w:rFonts w:ascii="Arial" w:hAnsi="Arial" w:cs="Arial"/>
                <w:bCs/>
                <w:sz w:val="20"/>
                <w:szCs w:val="20"/>
              </w:rPr>
            </w:pPr>
            <w:r w:rsidRPr="00A803B4">
              <w:rPr>
                <w:rFonts w:ascii="Arial" w:hAnsi="Arial" w:cs="Arial"/>
                <w:bCs/>
                <w:color w:val="00B0F0"/>
                <w:sz w:val="20"/>
                <w:szCs w:val="20"/>
                <w:shd w:val="clear" w:color="auto" w:fill="FFFFFF"/>
              </w:rPr>
              <w:t>B</w:t>
            </w:r>
          </w:p>
        </w:tc>
        <w:tc>
          <w:tcPr>
            <w:tcW w:w="450" w:type="dxa"/>
          </w:tcPr>
          <w:p w14:paraId="2579D78C"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4E4ECEE1"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4291BDC2" w14:textId="77777777" w:rsidTr="00FE73C3">
        <w:trPr>
          <w:trHeight w:val="338"/>
        </w:trPr>
        <w:tc>
          <w:tcPr>
            <w:tcW w:w="2155" w:type="dxa"/>
            <w:shd w:val="clear" w:color="auto" w:fill="auto"/>
          </w:tcPr>
          <w:p w14:paraId="41D9BB4E"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sz w:val="20"/>
                <w:szCs w:val="20"/>
              </w:rPr>
              <w:t>Glacins</w:t>
            </w:r>
            <w:proofErr w:type="spellEnd"/>
            <w:r w:rsidRPr="00A803B4">
              <w:rPr>
                <w:rFonts w:ascii="Arial" w:hAnsi="Arial" w:cs="Arial"/>
                <w:sz w:val="20"/>
                <w:szCs w:val="20"/>
              </w:rPr>
              <w:t xml:space="preserve"> B</w:t>
            </w:r>
          </w:p>
        </w:tc>
        <w:tc>
          <w:tcPr>
            <w:tcW w:w="450" w:type="dxa"/>
          </w:tcPr>
          <w:p w14:paraId="58F3894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11E68938"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42AD8B3"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1350" w:type="dxa"/>
          </w:tcPr>
          <w:p w14:paraId="0AC81D14"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3A1037C5"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1B38608D"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360" w:type="dxa"/>
          </w:tcPr>
          <w:p w14:paraId="5CDCCED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1DF83B91"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5711F042"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663AF1DC"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1.1</w:t>
            </w:r>
          </w:p>
        </w:tc>
        <w:tc>
          <w:tcPr>
            <w:tcW w:w="630" w:type="dxa"/>
          </w:tcPr>
          <w:p w14:paraId="7E5D759C"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6275E911"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07B13B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CAFDB1F"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31762255"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1C0FEA4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299B5FA4"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48B0D2BF"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7154598B" w14:textId="77777777" w:rsidTr="00FE73C3">
        <w:trPr>
          <w:trHeight w:val="356"/>
        </w:trPr>
        <w:tc>
          <w:tcPr>
            <w:tcW w:w="2155" w:type="dxa"/>
            <w:shd w:val="clear" w:color="auto" w:fill="auto"/>
          </w:tcPr>
          <w:p w14:paraId="6C29832E" w14:textId="77777777" w:rsidR="00A803B4" w:rsidRPr="00A803B4" w:rsidRDefault="00A803B4" w:rsidP="00FE73C3">
            <w:pPr>
              <w:jc w:val="center"/>
              <w:rPr>
                <w:rFonts w:ascii="Arial" w:hAnsi="Arial" w:cs="Arial"/>
                <w:bCs/>
                <w:sz w:val="20"/>
                <w:szCs w:val="20"/>
              </w:rPr>
            </w:pPr>
            <w:r w:rsidRPr="00A803B4">
              <w:rPr>
                <w:rFonts w:ascii="Arial" w:hAnsi="Arial" w:cs="Arial"/>
                <w:sz w:val="20"/>
                <w:szCs w:val="20"/>
              </w:rPr>
              <w:t>Mosin B</w:t>
            </w:r>
          </w:p>
        </w:tc>
        <w:tc>
          <w:tcPr>
            <w:tcW w:w="450" w:type="dxa"/>
          </w:tcPr>
          <w:p w14:paraId="0F9A7566"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33967CEF"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F439D1D"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1350" w:type="dxa"/>
          </w:tcPr>
          <w:p w14:paraId="4FEF3587"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6E56DA3"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4AABC7C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360" w:type="dxa"/>
          </w:tcPr>
          <w:p w14:paraId="3B1BF4A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3A85C94B"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39880A2E"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32FB4893"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1.0</w:t>
            </w:r>
          </w:p>
        </w:tc>
        <w:tc>
          <w:tcPr>
            <w:tcW w:w="630" w:type="dxa"/>
          </w:tcPr>
          <w:p w14:paraId="6D1BFC47"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5AA1791"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4957058B"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A7C869B"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0644AB60"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136F24CB"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9E34BF3"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0FE578B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086E7951" w14:textId="77777777" w:rsidTr="00FE73C3">
        <w:trPr>
          <w:trHeight w:val="338"/>
        </w:trPr>
        <w:tc>
          <w:tcPr>
            <w:tcW w:w="2155" w:type="dxa"/>
            <w:shd w:val="clear" w:color="auto" w:fill="auto"/>
          </w:tcPr>
          <w:p w14:paraId="4BFC26A0"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sz w:val="20"/>
                <w:szCs w:val="20"/>
              </w:rPr>
              <w:t>Muricapentocin</w:t>
            </w:r>
            <w:proofErr w:type="spellEnd"/>
          </w:p>
        </w:tc>
        <w:tc>
          <w:tcPr>
            <w:tcW w:w="450" w:type="dxa"/>
          </w:tcPr>
          <w:p w14:paraId="2362AF2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540" w:type="dxa"/>
          </w:tcPr>
          <w:p w14:paraId="1BE63BA5"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A8ADF90"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1350" w:type="dxa"/>
          </w:tcPr>
          <w:p w14:paraId="6CAF811C"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3F8FB4C"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1CD4A4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360" w:type="dxa"/>
          </w:tcPr>
          <w:p w14:paraId="5BA7846C"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448FFC06"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62C45562"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210C7D53"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1.1</w:t>
            </w:r>
          </w:p>
        </w:tc>
        <w:tc>
          <w:tcPr>
            <w:tcW w:w="630" w:type="dxa"/>
          </w:tcPr>
          <w:p w14:paraId="7730A221"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1FC8C90C"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74D58AFA"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3F418CCF"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0C3C1EE"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00F3B469"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205CD7AB" w14:textId="77777777" w:rsidR="00A803B4" w:rsidRPr="00A803B4" w:rsidRDefault="00A803B4" w:rsidP="00A803B4">
            <w:pPr>
              <w:spacing w:line="360" w:lineRule="auto"/>
              <w:jc w:val="both"/>
              <w:rPr>
                <w:rFonts w:ascii="Arial" w:hAnsi="Arial" w:cs="Arial"/>
                <w:bCs/>
                <w:color w:val="92D050"/>
                <w:sz w:val="20"/>
                <w:szCs w:val="20"/>
                <w:shd w:val="clear" w:color="auto" w:fill="FFFFFF"/>
              </w:rPr>
            </w:pPr>
            <w:r w:rsidRPr="00A803B4">
              <w:rPr>
                <w:rFonts w:ascii="Arial" w:hAnsi="Arial" w:cs="Arial"/>
                <w:bCs/>
                <w:color w:val="FF0000"/>
                <w:sz w:val="20"/>
                <w:szCs w:val="20"/>
                <w:shd w:val="clear" w:color="auto" w:fill="FFFFFF"/>
              </w:rPr>
              <w:t>R</w:t>
            </w:r>
          </w:p>
        </w:tc>
        <w:tc>
          <w:tcPr>
            <w:tcW w:w="450" w:type="dxa"/>
          </w:tcPr>
          <w:p w14:paraId="24CA8574" w14:textId="77777777" w:rsidR="00A803B4" w:rsidRPr="00A803B4" w:rsidRDefault="00A803B4" w:rsidP="00A803B4">
            <w:pPr>
              <w:spacing w:line="360" w:lineRule="auto"/>
              <w:jc w:val="both"/>
              <w:rPr>
                <w:rFonts w:ascii="Arial" w:hAnsi="Arial" w:cs="Arial"/>
                <w:bCs/>
                <w:color w:val="FF0000"/>
                <w:sz w:val="20"/>
                <w:szCs w:val="20"/>
                <w:shd w:val="clear" w:color="auto" w:fill="FFFFFF"/>
              </w:rPr>
            </w:pPr>
            <w:r w:rsidRPr="00A803B4">
              <w:rPr>
                <w:rFonts w:ascii="Arial" w:hAnsi="Arial" w:cs="Arial"/>
                <w:bCs/>
                <w:color w:val="92D050"/>
                <w:sz w:val="20"/>
                <w:szCs w:val="20"/>
                <w:shd w:val="clear" w:color="auto" w:fill="FFFFFF"/>
              </w:rPr>
              <w:t>G</w:t>
            </w:r>
          </w:p>
        </w:tc>
      </w:tr>
      <w:tr w:rsidR="00FE73C3" w:rsidRPr="00A803B4" w14:paraId="0586A9D0" w14:textId="77777777" w:rsidTr="00FE73C3">
        <w:trPr>
          <w:trHeight w:val="356"/>
        </w:trPr>
        <w:tc>
          <w:tcPr>
            <w:tcW w:w="2155" w:type="dxa"/>
            <w:shd w:val="clear" w:color="auto" w:fill="auto"/>
          </w:tcPr>
          <w:p w14:paraId="1130BCCF" w14:textId="77777777" w:rsidR="00A803B4" w:rsidRPr="00A803B4" w:rsidRDefault="00A803B4" w:rsidP="00FE73C3">
            <w:pPr>
              <w:jc w:val="center"/>
              <w:rPr>
                <w:rFonts w:ascii="Arial" w:hAnsi="Arial" w:cs="Arial"/>
                <w:bCs/>
                <w:sz w:val="20"/>
                <w:szCs w:val="20"/>
              </w:rPr>
            </w:pPr>
            <w:proofErr w:type="spellStart"/>
            <w:r w:rsidRPr="00A803B4">
              <w:rPr>
                <w:rFonts w:ascii="Arial" w:hAnsi="Arial" w:cs="Arial"/>
                <w:sz w:val="20"/>
                <w:szCs w:val="20"/>
              </w:rPr>
              <w:t>Rollinecins</w:t>
            </w:r>
            <w:proofErr w:type="spellEnd"/>
            <w:r w:rsidRPr="00A803B4">
              <w:rPr>
                <w:rFonts w:ascii="Arial" w:hAnsi="Arial" w:cs="Arial"/>
                <w:sz w:val="20"/>
                <w:szCs w:val="20"/>
              </w:rPr>
              <w:t xml:space="preserve"> B</w:t>
            </w:r>
          </w:p>
        </w:tc>
        <w:tc>
          <w:tcPr>
            <w:tcW w:w="450" w:type="dxa"/>
          </w:tcPr>
          <w:p w14:paraId="15C7F8A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339AD747"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6418E41"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1350" w:type="dxa"/>
          </w:tcPr>
          <w:p w14:paraId="2BFB3270" w14:textId="77777777" w:rsidR="00A803B4" w:rsidRPr="00A803B4" w:rsidRDefault="00A803B4" w:rsidP="00FE73C3">
            <w:pPr>
              <w:jc w:val="center"/>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ECAB42C"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216EF2BF"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360" w:type="dxa"/>
          </w:tcPr>
          <w:p w14:paraId="38635F68"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574FE056"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2E5E2EFE"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92D050"/>
                <w:sz w:val="20"/>
                <w:szCs w:val="20"/>
                <w:shd w:val="clear" w:color="auto" w:fill="FFFFFF"/>
              </w:rPr>
              <w:t>G</w:t>
            </w:r>
          </w:p>
        </w:tc>
        <w:tc>
          <w:tcPr>
            <w:tcW w:w="540" w:type="dxa"/>
          </w:tcPr>
          <w:p w14:paraId="6E3D8164"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1.2</w:t>
            </w:r>
          </w:p>
        </w:tc>
        <w:tc>
          <w:tcPr>
            <w:tcW w:w="630" w:type="dxa"/>
          </w:tcPr>
          <w:p w14:paraId="4899BF3B"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4D4A1579"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2E269109"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1896C417"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c>
          <w:tcPr>
            <w:tcW w:w="450" w:type="dxa"/>
          </w:tcPr>
          <w:p w14:paraId="6AED5436" w14:textId="77777777" w:rsidR="00A803B4" w:rsidRPr="00A803B4" w:rsidRDefault="00A803B4" w:rsidP="00A803B4">
            <w:pPr>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 xml:space="preserve">B </w:t>
            </w:r>
          </w:p>
        </w:tc>
        <w:tc>
          <w:tcPr>
            <w:tcW w:w="450" w:type="dxa"/>
          </w:tcPr>
          <w:p w14:paraId="2DC47BC0" w14:textId="77777777" w:rsidR="00A803B4" w:rsidRPr="00A803B4" w:rsidRDefault="00A803B4" w:rsidP="00A803B4">
            <w:pPr>
              <w:jc w:val="both"/>
              <w:rPr>
                <w:rFonts w:ascii="Arial" w:hAnsi="Arial" w:cs="Arial"/>
                <w:bCs/>
                <w:color w:val="92D05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65CC5063"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00B0F0"/>
                <w:sz w:val="20"/>
                <w:szCs w:val="20"/>
                <w:shd w:val="clear" w:color="auto" w:fill="FFFFFF"/>
              </w:rPr>
              <w:t>B</w:t>
            </w:r>
          </w:p>
        </w:tc>
        <w:tc>
          <w:tcPr>
            <w:tcW w:w="450" w:type="dxa"/>
          </w:tcPr>
          <w:p w14:paraId="6A34C56C" w14:textId="77777777" w:rsidR="00A803B4" w:rsidRPr="00A803B4" w:rsidRDefault="00A803B4" w:rsidP="00A803B4">
            <w:pPr>
              <w:spacing w:line="360" w:lineRule="auto"/>
              <w:jc w:val="both"/>
              <w:rPr>
                <w:rFonts w:ascii="Arial" w:hAnsi="Arial" w:cs="Arial"/>
                <w:bCs/>
                <w:color w:val="00B0F0"/>
                <w:sz w:val="20"/>
                <w:szCs w:val="20"/>
                <w:shd w:val="clear" w:color="auto" w:fill="FFFFFF"/>
              </w:rPr>
            </w:pPr>
            <w:r w:rsidRPr="00A803B4">
              <w:rPr>
                <w:rFonts w:ascii="Arial" w:hAnsi="Arial" w:cs="Arial"/>
                <w:bCs/>
                <w:color w:val="92D050"/>
                <w:sz w:val="20"/>
                <w:szCs w:val="20"/>
                <w:shd w:val="clear" w:color="auto" w:fill="FFFFFF"/>
              </w:rPr>
              <w:t>G</w:t>
            </w:r>
          </w:p>
        </w:tc>
      </w:tr>
    </w:tbl>
    <w:bookmarkEnd w:id="4"/>
    <w:p w14:paraId="6BC738E4" w14:textId="43F5AAEF" w:rsidR="00A803B4" w:rsidRDefault="00C25855" w:rsidP="00A803B4">
      <w:pPr>
        <w:pStyle w:val="NormalWeb"/>
        <w:spacing w:line="360" w:lineRule="auto"/>
        <w:jc w:val="both"/>
        <w:rPr>
          <w:noProof/>
        </w:rPr>
      </w:pPr>
      <w:r w:rsidRPr="00303D2C">
        <w:rPr>
          <w:noProof/>
          <w:color w:val="00B0F0"/>
        </w:rPr>
        <mc:AlternateContent>
          <mc:Choice Requires="wps">
            <w:drawing>
              <wp:anchor distT="0" distB="0" distL="114300" distR="114300" simplePos="0" relativeHeight="251658241" behindDoc="0" locked="0" layoutInCell="1" allowOverlap="1" wp14:anchorId="4565D9D4" wp14:editId="3AC1E061">
                <wp:simplePos x="0" y="0"/>
                <wp:positionH relativeFrom="column">
                  <wp:posOffset>3187065</wp:posOffset>
                </wp:positionH>
                <wp:positionV relativeFrom="paragraph">
                  <wp:posOffset>38735</wp:posOffset>
                </wp:positionV>
                <wp:extent cx="254000" cy="2286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EFF3E" id="Rectangle 15" o:spid="_x0000_s1026" style="position:absolute;margin-left:250.95pt;margin-top:3.05pt;width:2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" fillcolor="red" strokecolor="#385d8a" strokeweight="2pt"/>
            </w:pict>
          </mc:Fallback>
        </mc:AlternateContent>
      </w:r>
      <w:r w:rsidRPr="00303D2C">
        <w:rPr>
          <w:noProof/>
          <w:color w:val="00B0F0"/>
        </w:rPr>
        <mc:AlternateContent>
          <mc:Choice Requires="wps">
            <w:drawing>
              <wp:anchor distT="0" distB="0" distL="114300" distR="114300" simplePos="0" relativeHeight="251658240" behindDoc="0" locked="0" layoutInCell="1" allowOverlap="1" wp14:anchorId="67CA1388" wp14:editId="7098948E">
                <wp:simplePos x="0" y="0"/>
                <wp:positionH relativeFrom="column">
                  <wp:posOffset>1929765</wp:posOffset>
                </wp:positionH>
                <wp:positionV relativeFrom="paragraph">
                  <wp:posOffset>52070</wp:posOffset>
                </wp:positionV>
                <wp:extent cx="254000" cy="2286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DAD4B" id="Rectangle 14" o:spid="_x0000_s1026" style="position:absolute;margin-left:151.95pt;margin-top:4.1pt;width:2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" fillcolor="#00b0f0" strokecolor="#1f3763 [1604]" strokeweight="1pt"/>
            </w:pict>
          </mc:Fallback>
        </mc:AlternateContent>
      </w:r>
      <w:r w:rsidRPr="00303D2C">
        <w:rPr>
          <w:noProof/>
          <w:color w:val="00B0F0"/>
        </w:rPr>
        <mc:AlternateContent>
          <mc:Choice Requires="wps">
            <w:drawing>
              <wp:anchor distT="0" distB="0" distL="114300" distR="114300" simplePos="0" relativeHeight="251658243" behindDoc="0" locked="0" layoutInCell="1" allowOverlap="1" wp14:anchorId="30341C6F" wp14:editId="05932251">
                <wp:simplePos x="0" y="0"/>
                <wp:positionH relativeFrom="column">
                  <wp:posOffset>526415</wp:posOffset>
                </wp:positionH>
                <wp:positionV relativeFrom="paragraph">
                  <wp:posOffset>36195</wp:posOffset>
                </wp:positionV>
                <wp:extent cx="254000" cy="22860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4752C" id="Rectangle 18" o:spid="_x0000_s1026" style="position:absolute;margin-left:41.45pt;margin-top:2.85pt;width:20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" fillcolor="#92d050" strokecolor="#385d8a" strokeweight="2pt"/>
            </w:pict>
          </mc:Fallback>
        </mc:AlternateContent>
      </w:r>
      <w:r w:rsidR="00A803B4" w:rsidRPr="00303D2C">
        <w:rPr>
          <w:b/>
          <w:bCs/>
          <w:color w:val="70AD47" w:themeColor="accent6"/>
        </w:rPr>
        <w:t xml:space="preserve"> </w:t>
      </w:r>
      <w:r w:rsidRPr="00C25855">
        <w:rPr>
          <w:rFonts w:ascii="Arial" w:hAnsi="Arial" w:cs="Arial"/>
          <w:sz w:val="20"/>
          <w:szCs w:val="20"/>
        </w:rPr>
        <w:t>Where</w:t>
      </w:r>
      <w:r>
        <w:rPr>
          <w:b/>
          <w:bCs/>
          <w:color w:val="70AD47" w:themeColor="accent6"/>
        </w:rPr>
        <w:t xml:space="preserve">             </w:t>
      </w:r>
      <w:r w:rsidR="00A803B4" w:rsidRPr="00303D2C">
        <w:rPr>
          <w:b/>
          <w:bCs/>
          <w:color w:val="70AD47" w:themeColor="accent6"/>
        </w:rPr>
        <w:t>G</w:t>
      </w:r>
      <w:r w:rsidR="00A803B4" w:rsidRPr="00303D2C">
        <w:t xml:space="preserve"> = Excellent              </w:t>
      </w:r>
      <w:r w:rsidR="00A803B4" w:rsidRPr="00303D2C">
        <w:rPr>
          <w:b/>
          <w:bCs/>
          <w:color w:val="5B9BD5" w:themeColor="accent5"/>
        </w:rPr>
        <w:t>B</w:t>
      </w:r>
      <w:r w:rsidR="00A803B4" w:rsidRPr="00303D2C">
        <w:t xml:space="preserve"> = Medium</w:t>
      </w:r>
      <w:r w:rsidR="00A803B4" w:rsidRPr="00303D2C">
        <w:rPr>
          <w:noProof/>
        </w:rPr>
        <w:t xml:space="preserve">            </w:t>
      </w:r>
      <w:r>
        <w:rPr>
          <w:noProof/>
        </w:rPr>
        <w:t xml:space="preserve"> </w:t>
      </w:r>
      <w:r w:rsidR="00A803B4" w:rsidRPr="00303D2C">
        <w:rPr>
          <w:b/>
          <w:bCs/>
          <w:noProof/>
          <w:color w:val="FF0000"/>
        </w:rPr>
        <w:t>R</w:t>
      </w:r>
      <w:r w:rsidR="00A803B4" w:rsidRPr="00303D2C">
        <w:rPr>
          <w:noProof/>
        </w:rPr>
        <w:t xml:space="preserve"> = Poor </w:t>
      </w:r>
    </w:p>
    <w:p w14:paraId="1646FE3C" w14:textId="77777777" w:rsidR="00A803B4" w:rsidRPr="00A803B4" w:rsidRDefault="00A803B4" w:rsidP="00A803B4">
      <w:pPr>
        <w:spacing w:after="0" w:line="360" w:lineRule="auto"/>
        <w:jc w:val="both"/>
        <w:rPr>
          <w:rFonts w:ascii="Arial" w:hAnsi="Arial" w:cs="Arial"/>
          <w:sz w:val="20"/>
          <w:szCs w:val="20"/>
          <w:lang w:val="en-GB"/>
        </w:rPr>
      </w:pPr>
    </w:p>
    <w:p w14:paraId="44BF8695" w14:textId="77777777" w:rsidR="00C25855" w:rsidRDefault="00C25855" w:rsidP="00A803B4">
      <w:pPr>
        <w:spacing w:after="0" w:line="360" w:lineRule="auto"/>
        <w:jc w:val="both"/>
        <w:rPr>
          <w:rFonts w:ascii="Arial" w:hAnsi="Arial" w:cs="Arial"/>
          <w:sz w:val="20"/>
          <w:szCs w:val="20"/>
          <w:lang w:val="en-GB"/>
        </w:rPr>
      </w:pPr>
    </w:p>
    <w:p w14:paraId="07326A95" w14:textId="77777777" w:rsidR="00C25855" w:rsidRDefault="00C25855" w:rsidP="00A803B4">
      <w:pPr>
        <w:spacing w:after="0" w:line="360" w:lineRule="auto"/>
        <w:jc w:val="both"/>
        <w:rPr>
          <w:rFonts w:ascii="Arial" w:hAnsi="Arial" w:cs="Arial"/>
          <w:sz w:val="20"/>
          <w:szCs w:val="20"/>
          <w:lang w:val="en-GB"/>
        </w:rPr>
      </w:pPr>
    </w:p>
    <w:p w14:paraId="21204C8F" w14:textId="77777777" w:rsidR="00C25855" w:rsidRDefault="00C25855" w:rsidP="00A803B4">
      <w:pPr>
        <w:spacing w:after="0" w:line="360" w:lineRule="auto"/>
        <w:jc w:val="both"/>
        <w:rPr>
          <w:rFonts w:ascii="Arial" w:hAnsi="Arial" w:cs="Arial"/>
          <w:sz w:val="20"/>
          <w:szCs w:val="20"/>
          <w:lang w:val="en-GB"/>
        </w:rPr>
      </w:pPr>
    </w:p>
    <w:p w14:paraId="1937F9CC" w14:textId="77777777" w:rsidR="00C25855" w:rsidRDefault="00C25855" w:rsidP="00A803B4">
      <w:pPr>
        <w:spacing w:after="0" w:line="360" w:lineRule="auto"/>
        <w:jc w:val="both"/>
        <w:rPr>
          <w:rFonts w:ascii="Arial" w:hAnsi="Arial" w:cs="Arial"/>
          <w:sz w:val="20"/>
          <w:szCs w:val="20"/>
          <w:lang w:val="en-GB"/>
        </w:rPr>
      </w:pPr>
    </w:p>
    <w:p w14:paraId="4FEEBAFD" w14:textId="77777777" w:rsidR="00C25855" w:rsidRDefault="00C25855" w:rsidP="00A803B4">
      <w:pPr>
        <w:spacing w:after="0" w:line="360" w:lineRule="auto"/>
        <w:jc w:val="both"/>
        <w:rPr>
          <w:rFonts w:ascii="Arial" w:hAnsi="Arial" w:cs="Arial"/>
          <w:sz w:val="20"/>
          <w:szCs w:val="20"/>
          <w:lang w:val="en-GB"/>
        </w:rPr>
      </w:pPr>
    </w:p>
    <w:p w14:paraId="4BFB47AF" w14:textId="77777777" w:rsidR="00C25855" w:rsidRDefault="00C25855" w:rsidP="00A803B4">
      <w:pPr>
        <w:spacing w:after="0" w:line="360" w:lineRule="auto"/>
        <w:jc w:val="both"/>
        <w:rPr>
          <w:rFonts w:ascii="Arial" w:hAnsi="Arial" w:cs="Arial"/>
          <w:sz w:val="20"/>
          <w:szCs w:val="20"/>
          <w:lang w:val="en-GB"/>
        </w:rPr>
      </w:pPr>
    </w:p>
    <w:p w14:paraId="67E7F06C" w14:textId="77777777" w:rsidR="00C25855" w:rsidRDefault="00C25855" w:rsidP="00A803B4">
      <w:pPr>
        <w:spacing w:after="0" w:line="360" w:lineRule="auto"/>
        <w:jc w:val="both"/>
        <w:rPr>
          <w:rFonts w:ascii="Arial" w:hAnsi="Arial" w:cs="Arial"/>
          <w:sz w:val="20"/>
          <w:szCs w:val="20"/>
          <w:lang w:val="en-GB"/>
        </w:rPr>
      </w:pPr>
    </w:p>
    <w:p w14:paraId="27E997CD" w14:textId="77777777" w:rsidR="00C25855" w:rsidRDefault="00C25855" w:rsidP="00A803B4">
      <w:pPr>
        <w:spacing w:after="0" w:line="360" w:lineRule="auto"/>
        <w:jc w:val="both"/>
        <w:rPr>
          <w:rFonts w:ascii="Arial" w:hAnsi="Arial" w:cs="Arial"/>
          <w:sz w:val="20"/>
          <w:szCs w:val="20"/>
          <w:lang w:val="en-GB"/>
        </w:rPr>
      </w:pPr>
    </w:p>
    <w:p w14:paraId="60CCBDA9" w14:textId="77777777" w:rsidR="00C25855" w:rsidRDefault="00C25855" w:rsidP="00A803B4">
      <w:pPr>
        <w:spacing w:after="0" w:line="360" w:lineRule="auto"/>
        <w:jc w:val="both"/>
        <w:rPr>
          <w:rFonts w:ascii="Arial" w:hAnsi="Arial" w:cs="Arial"/>
          <w:sz w:val="20"/>
          <w:szCs w:val="20"/>
          <w:lang w:val="en-GB"/>
        </w:rPr>
      </w:pPr>
    </w:p>
    <w:p w14:paraId="526C399C" w14:textId="77777777" w:rsidR="00C25855" w:rsidRDefault="00C25855" w:rsidP="00A803B4">
      <w:pPr>
        <w:spacing w:after="0" w:line="360" w:lineRule="auto"/>
        <w:jc w:val="both"/>
        <w:rPr>
          <w:rFonts w:ascii="Arial" w:hAnsi="Arial" w:cs="Arial"/>
          <w:sz w:val="20"/>
          <w:szCs w:val="20"/>
          <w:lang w:val="en-GB"/>
        </w:rPr>
      </w:pPr>
    </w:p>
    <w:p w14:paraId="7B71EC14" w14:textId="77777777" w:rsidR="00C25855" w:rsidRDefault="00C25855" w:rsidP="00A803B4">
      <w:pPr>
        <w:spacing w:after="0" w:line="360" w:lineRule="auto"/>
        <w:jc w:val="both"/>
        <w:rPr>
          <w:rFonts w:ascii="Arial" w:hAnsi="Arial" w:cs="Arial"/>
          <w:sz w:val="20"/>
          <w:szCs w:val="20"/>
          <w:lang w:val="en-GB"/>
        </w:rPr>
      </w:pPr>
    </w:p>
    <w:p w14:paraId="6A712808" w14:textId="77777777" w:rsidR="00C25855" w:rsidRDefault="00C25855" w:rsidP="00A803B4">
      <w:pPr>
        <w:spacing w:after="0" w:line="360" w:lineRule="auto"/>
        <w:jc w:val="both"/>
        <w:rPr>
          <w:rFonts w:ascii="Arial" w:hAnsi="Arial" w:cs="Arial"/>
          <w:sz w:val="20"/>
          <w:szCs w:val="20"/>
          <w:lang w:val="en-GB"/>
        </w:rPr>
      </w:pPr>
    </w:p>
    <w:p w14:paraId="7ED0227D" w14:textId="77777777" w:rsidR="00C25855" w:rsidRDefault="00C25855" w:rsidP="00A803B4">
      <w:pPr>
        <w:spacing w:after="0" w:line="360" w:lineRule="auto"/>
        <w:jc w:val="both"/>
        <w:rPr>
          <w:rFonts w:ascii="Arial" w:hAnsi="Arial" w:cs="Arial"/>
          <w:sz w:val="20"/>
          <w:szCs w:val="20"/>
          <w:lang w:val="en-GB"/>
        </w:rPr>
      </w:pPr>
    </w:p>
    <w:p w14:paraId="43DDDA9D" w14:textId="77777777" w:rsidR="00C25855" w:rsidRDefault="00C25855" w:rsidP="00A803B4">
      <w:pPr>
        <w:spacing w:after="0" w:line="360" w:lineRule="auto"/>
        <w:jc w:val="both"/>
        <w:rPr>
          <w:rFonts w:ascii="Arial" w:hAnsi="Arial" w:cs="Arial"/>
          <w:sz w:val="20"/>
          <w:szCs w:val="20"/>
          <w:lang w:val="en-GB"/>
        </w:rPr>
      </w:pPr>
    </w:p>
    <w:p w14:paraId="15491E40" w14:textId="77777777" w:rsidR="00C25855" w:rsidRDefault="00C25855" w:rsidP="00A803B4">
      <w:pPr>
        <w:spacing w:after="0" w:line="360" w:lineRule="auto"/>
        <w:jc w:val="both"/>
        <w:rPr>
          <w:rFonts w:ascii="Arial" w:hAnsi="Arial" w:cs="Arial"/>
          <w:sz w:val="20"/>
          <w:szCs w:val="20"/>
          <w:lang w:val="en-GB"/>
        </w:rPr>
      </w:pPr>
    </w:p>
    <w:p w14:paraId="56616F02" w14:textId="77777777" w:rsidR="00C25855" w:rsidRDefault="00C25855" w:rsidP="00A803B4">
      <w:pPr>
        <w:spacing w:after="0" w:line="360" w:lineRule="auto"/>
        <w:jc w:val="both"/>
        <w:rPr>
          <w:rFonts w:ascii="Arial" w:hAnsi="Arial" w:cs="Arial"/>
          <w:sz w:val="20"/>
          <w:szCs w:val="20"/>
          <w:lang w:val="en-GB"/>
        </w:rPr>
      </w:pPr>
    </w:p>
    <w:p w14:paraId="7417ABD2" w14:textId="77777777" w:rsidR="00C25855" w:rsidRDefault="00C25855" w:rsidP="00A803B4">
      <w:pPr>
        <w:spacing w:after="0" w:line="360" w:lineRule="auto"/>
        <w:jc w:val="both"/>
        <w:rPr>
          <w:rFonts w:ascii="Arial" w:hAnsi="Arial" w:cs="Arial"/>
          <w:sz w:val="20"/>
          <w:szCs w:val="20"/>
          <w:lang w:val="en-GB"/>
        </w:rPr>
      </w:pPr>
    </w:p>
    <w:p w14:paraId="472562F4" w14:textId="77777777" w:rsidR="00C25855" w:rsidRDefault="00C25855" w:rsidP="00A803B4">
      <w:pPr>
        <w:spacing w:after="0" w:line="360" w:lineRule="auto"/>
        <w:jc w:val="both"/>
        <w:rPr>
          <w:rFonts w:ascii="Arial" w:hAnsi="Arial" w:cs="Arial"/>
          <w:sz w:val="20"/>
          <w:szCs w:val="20"/>
          <w:lang w:val="en-GB"/>
        </w:rPr>
      </w:pPr>
    </w:p>
    <w:p w14:paraId="66548AEA" w14:textId="77777777" w:rsidR="00C25855" w:rsidRDefault="00C25855" w:rsidP="00A803B4">
      <w:pPr>
        <w:spacing w:after="0" w:line="360" w:lineRule="auto"/>
        <w:jc w:val="both"/>
        <w:rPr>
          <w:rFonts w:ascii="Arial" w:hAnsi="Arial" w:cs="Arial"/>
          <w:sz w:val="20"/>
          <w:szCs w:val="20"/>
          <w:lang w:val="en-GB"/>
        </w:rPr>
      </w:pPr>
    </w:p>
    <w:p w14:paraId="54621278" w14:textId="77777777" w:rsidR="00C25855" w:rsidRDefault="00C25855" w:rsidP="00A803B4">
      <w:pPr>
        <w:spacing w:after="0" w:line="360" w:lineRule="auto"/>
        <w:jc w:val="both"/>
        <w:rPr>
          <w:rFonts w:ascii="Arial" w:hAnsi="Arial" w:cs="Arial"/>
          <w:sz w:val="20"/>
          <w:szCs w:val="20"/>
          <w:lang w:val="en-GB"/>
        </w:rPr>
        <w:sectPr w:rsidR="00C25855" w:rsidSect="00A803B4">
          <w:pgSz w:w="15840" w:h="12240" w:orient="landscape"/>
          <w:pgMar w:top="1440" w:right="1440" w:bottom="1440" w:left="1440" w:header="720" w:footer="720" w:gutter="0"/>
          <w:cols w:space="720"/>
          <w:docGrid w:linePitch="360"/>
        </w:sectPr>
      </w:pPr>
    </w:p>
    <w:p w14:paraId="45492899" w14:textId="005209F4" w:rsidR="002524C0" w:rsidRPr="00A803B4" w:rsidRDefault="002524C0"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lastRenderedPageBreak/>
        <w:t xml:space="preserve">In terms of absorption and distribution, four compounds—10-Hydroxytrilobacin, </w:t>
      </w:r>
      <w:proofErr w:type="spellStart"/>
      <w:r w:rsidRPr="00A803B4">
        <w:rPr>
          <w:rFonts w:ascii="Arial" w:hAnsi="Arial" w:cs="Arial"/>
          <w:sz w:val="20"/>
          <w:szCs w:val="20"/>
          <w:lang w:val="en-GB"/>
        </w:rPr>
        <w:t>Glacins</w:t>
      </w:r>
      <w:proofErr w:type="spellEnd"/>
      <w:r w:rsidRPr="00A803B4">
        <w:rPr>
          <w:rFonts w:ascii="Arial" w:hAnsi="Arial" w:cs="Arial"/>
          <w:sz w:val="20"/>
          <w:szCs w:val="20"/>
          <w:lang w:val="en-GB"/>
        </w:rPr>
        <w:t xml:space="preserve"> B, Mosin B, and </w:t>
      </w:r>
      <w:proofErr w:type="spellStart"/>
      <w:r w:rsidRPr="00A803B4">
        <w:rPr>
          <w:rFonts w:ascii="Arial" w:hAnsi="Arial" w:cs="Arial"/>
          <w:sz w:val="20"/>
          <w:szCs w:val="20"/>
          <w:lang w:val="en-GB"/>
        </w:rPr>
        <w:t>Rollinecins</w:t>
      </w:r>
      <w:proofErr w:type="spellEnd"/>
      <w:r w:rsidRPr="00A803B4">
        <w:rPr>
          <w:rFonts w:ascii="Arial" w:hAnsi="Arial" w:cs="Arial"/>
          <w:sz w:val="20"/>
          <w:szCs w:val="20"/>
          <w:lang w:val="en-GB"/>
        </w:rPr>
        <w:t xml:space="preserve"> B—exhibited excellent Caco-2 permeability and high human intestinal absorption (HIA), suggesting strong potential for oral bioavailability potential. On the contrary, reduced Caco-2 permeability was observed for </w:t>
      </w:r>
      <w:proofErr w:type="spellStart"/>
      <w:r w:rsidRPr="00A803B4">
        <w:rPr>
          <w:rFonts w:ascii="Arial" w:hAnsi="Arial" w:cs="Arial"/>
          <w:sz w:val="20"/>
          <w:szCs w:val="20"/>
          <w:lang w:val="en-GB"/>
        </w:rPr>
        <w:t>Annoglaxin</w:t>
      </w:r>
      <w:proofErr w:type="spellEnd"/>
      <w:r w:rsidRPr="00A803B4">
        <w:rPr>
          <w:rFonts w:ascii="Arial" w:hAnsi="Arial" w:cs="Arial"/>
          <w:sz w:val="20"/>
          <w:szCs w:val="20"/>
          <w:lang w:val="en-GB"/>
        </w:rPr>
        <w:t xml:space="preserve">, Annomuricine E, and </w:t>
      </w:r>
      <w:proofErr w:type="spellStart"/>
      <w:r w:rsidRPr="00A803B4">
        <w:rPr>
          <w:rFonts w:ascii="Arial" w:hAnsi="Arial" w:cs="Arial"/>
          <w:sz w:val="20"/>
          <w:szCs w:val="20"/>
          <w:lang w:val="en-GB"/>
        </w:rPr>
        <w:t>Muricapentocin</w:t>
      </w:r>
      <w:proofErr w:type="spellEnd"/>
      <w:r w:rsidRPr="00A803B4">
        <w:rPr>
          <w:rFonts w:ascii="Arial" w:hAnsi="Arial" w:cs="Arial"/>
          <w:sz w:val="20"/>
          <w:szCs w:val="20"/>
          <w:lang w:val="en-GB"/>
        </w:rPr>
        <w:t>, which indicates that their passive diffusion across intestinal membranes may be restricted. However, they still exhibited acceptable HIA, but less than optimal. No compound was found to be predicted to be an inhibitor of P-glycoprotein, which means they are likely to be less subject to rapid efflux, which is desirable for effective intracellular retention.</w:t>
      </w:r>
    </w:p>
    <w:p w14:paraId="22A758F0" w14:textId="77777777" w:rsidR="002524C0" w:rsidRPr="00A803B4" w:rsidRDefault="002524C0"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t xml:space="preserve">Metabolism profiling for interaction between the compounds and major cytochrome P450 (CYP) enzymes, specifically CYP2D6, CYP3A4, CYP1A2, and CYP2C19, was carried out. None of the seven hit compounds and </w:t>
      </w:r>
      <w:proofErr w:type="spellStart"/>
      <w:r w:rsidRPr="00A803B4">
        <w:rPr>
          <w:rFonts w:ascii="Arial" w:hAnsi="Arial" w:cs="Arial"/>
          <w:sz w:val="20"/>
          <w:szCs w:val="20"/>
          <w:lang w:val="en-GB"/>
        </w:rPr>
        <w:t>pemigatinib</w:t>
      </w:r>
      <w:proofErr w:type="spellEnd"/>
      <w:r w:rsidRPr="00A803B4">
        <w:rPr>
          <w:rFonts w:ascii="Arial" w:hAnsi="Arial" w:cs="Arial"/>
          <w:sz w:val="20"/>
          <w:szCs w:val="20"/>
          <w:lang w:val="en-GB"/>
        </w:rPr>
        <w:t xml:space="preserve"> inhibited the isoenzymes, indicating low potential for metabolic drug-drug interactions. This is significant for cancer treatment, as it is common for patients to be administered multiple drugs.   For excretion, half-life and total clearance were employed to predict the rate of elimination. All compounds had moderate to excellent clearance values, with 10-Hydroxytrilobacin and Mosin B having desirable half-lives between 0.9 and 1.0, which indicates balanced activity and little chance for accumulation. </w:t>
      </w:r>
      <w:proofErr w:type="spellStart"/>
      <w:r w:rsidRPr="00A803B4">
        <w:rPr>
          <w:rFonts w:ascii="Arial" w:hAnsi="Arial" w:cs="Arial"/>
          <w:sz w:val="20"/>
          <w:szCs w:val="20"/>
          <w:lang w:val="en-GB"/>
        </w:rPr>
        <w:t>Muricapentocin</w:t>
      </w:r>
      <w:proofErr w:type="spellEnd"/>
      <w:r w:rsidRPr="00A803B4">
        <w:rPr>
          <w:rFonts w:ascii="Arial" w:hAnsi="Arial" w:cs="Arial"/>
          <w:sz w:val="20"/>
          <w:szCs w:val="20"/>
          <w:lang w:val="en-GB"/>
        </w:rPr>
        <w:t xml:space="preserve"> and </w:t>
      </w:r>
      <w:proofErr w:type="spellStart"/>
      <w:r w:rsidRPr="00A803B4">
        <w:rPr>
          <w:rFonts w:ascii="Arial" w:hAnsi="Arial" w:cs="Arial"/>
          <w:sz w:val="20"/>
          <w:szCs w:val="20"/>
          <w:lang w:val="en-GB"/>
        </w:rPr>
        <w:t>Annoglaxin</w:t>
      </w:r>
      <w:proofErr w:type="spellEnd"/>
      <w:r w:rsidRPr="00A803B4">
        <w:rPr>
          <w:rFonts w:ascii="Arial" w:hAnsi="Arial" w:cs="Arial"/>
          <w:sz w:val="20"/>
          <w:szCs w:val="20"/>
          <w:lang w:val="en-GB"/>
        </w:rPr>
        <w:t xml:space="preserve"> had slightly longer predicted half-lives, suggesting a slower rate for elimination, but still within acceptable limits.</w:t>
      </w:r>
    </w:p>
    <w:p w14:paraId="090BC37C" w14:textId="77777777" w:rsidR="002524C0" w:rsidRPr="00A803B4" w:rsidRDefault="002524C0" w:rsidP="00A803B4">
      <w:pPr>
        <w:spacing w:after="0" w:line="360" w:lineRule="auto"/>
        <w:jc w:val="both"/>
        <w:rPr>
          <w:rFonts w:ascii="Arial" w:hAnsi="Arial" w:cs="Arial"/>
          <w:sz w:val="20"/>
          <w:szCs w:val="20"/>
          <w:lang w:val="en-GB"/>
        </w:rPr>
      </w:pPr>
      <w:r w:rsidRPr="00A803B4">
        <w:rPr>
          <w:rFonts w:ascii="Arial" w:hAnsi="Arial" w:cs="Arial"/>
          <w:sz w:val="20"/>
          <w:szCs w:val="20"/>
          <w:lang w:val="en-GB"/>
        </w:rPr>
        <w:t xml:space="preserve">Toxicological screening showed that 10-Hydroxytrilobacin, </w:t>
      </w:r>
      <w:proofErr w:type="spellStart"/>
      <w:r w:rsidRPr="00A803B4">
        <w:rPr>
          <w:rFonts w:ascii="Arial" w:hAnsi="Arial" w:cs="Arial"/>
          <w:sz w:val="20"/>
          <w:szCs w:val="20"/>
          <w:lang w:val="en-GB"/>
        </w:rPr>
        <w:t>Glacins</w:t>
      </w:r>
      <w:proofErr w:type="spellEnd"/>
      <w:r w:rsidRPr="00A803B4">
        <w:rPr>
          <w:rFonts w:ascii="Arial" w:hAnsi="Arial" w:cs="Arial"/>
          <w:sz w:val="20"/>
          <w:szCs w:val="20"/>
          <w:lang w:val="en-GB"/>
        </w:rPr>
        <w:t xml:space="preserve"> B, Mosin B, and </w:t>
      </w:r>
      <w:proofErr w:type="spellStart"/>
      <w:r w:rsidRPr="00A803B4">
        <w:rPr>
          <w:rFonts w:ascii="Arial" w:hAnsi="Arial" w:cs="Arial"/>
          <w:sz w:val="20"/>
          <w:szCs w:val="20"/>
          <w:lang w:val="en-GB"/>
        </w:rPr>
        <w:t>Rollinecins</w:t>
      </w:r>
      <w:proofErr w:type="spellEnd"/>
      <w:r w:rsidRPr="00A803B4">
        <w:rPr>
          <w:rFonts w:ascii="Arial" w:hAnsi="Arial" w:cs="Arial"/>
          <w:sz w:val="20"/>
          <w:szCs w:val="20"/>
          <w:lang w:val="en-GB"/>
        </w:rPr>
        <w:t xml:space="preserve"> B consistently presented low toxicity profiles, having no predicted nephrotoxicity, hepatotoxicity, </w:t>
      </w:r>
      <w:proofErr w:type="spellStart"/>
      <w:r w:rsidRPr="00A803B4">
        <w:rPr>
          <w:rFonts w:ascii="Arial" w:hAnsi="Arial" w:cs="Arial"/>
          <w:sz w:val="20"/>
          <w:szCs w:val="20"/>
          <w:lang w:val="en-GB"/>
        </w:rPr>
        <w:t>hematotoxicity</w:t>
      </w:r>
      <w:proofErr w:type="spellEnd"/>
      <w:r w:rsidRPr="00A803B4">
        <w:rPr>
          <w:rFonts w:ascii="Arial" w:hAnsi="Arial" w:cs="Arial"/>
          <w:sz w:val="20"/>
          <w:szCs w:val="20"/>
          <w:lang w:val="en-GB"/>
        </w:rPr>
        <w:t>, or mutagenicity (AMES test negative). These compounds also lacked carcinogenic potential and had no human ether-a-go-go-related gene (</w:t>
      </w:r>
      <w:proofErr w:type="spellStart"/>
      <w:r w:rsidRPr="00A803B4">
        <w:rPr>
          <w:rFonts w:ascii="Arial" w:hAnsi="Arial" w:cs="Arial"/>
          <w:sz w:val="20"/>
          <w:szCs w:val="20"/>
          <w:lang w:val="en-GB"/>
        </w:rPr>
        <w:t>hERG</w:t>
      </w:r>
      <w:proofErr w:type="spellEnd"/>
      <w:r w:rsidRPr="00A803B4">
        <w:rPr>
          <w:rFonts w:ascii="Arial" w:hAnsi="Arial" w:cs="Arial"/>
          <w:sz w:val="20"/>
          <w:szCs w:val="20"/>
          <w:lang w:val="en-GB"/>
        </w:rPr>
        <w:t xml:space="preserve">) inhibition, which minimized concerns for cardiac toxicity. In comparison, </w:t>
      </w:r>
      <w:proofErr w:type="spellStart"/>
      <w:r w:rsidRPr="00A803B4">
        <w:rPr>
          <w:rFonts w:ascii="Arial" w:hAnsi="Arial" w:cs="Arial"/>
          <w:sz w:val="20"/>
          <w:szCs w:val="20"/>
          <w:lang w:val="en-GB"/>
        </w:rPr>
        <w:t>Annoglaxin</w:t>
      </w:r>
      <w:proofErr w:type="spellEnd"/>
      <w:r w:rsidRPr="00A803B4">
        <w:rPr>
          <w:rFonts w:ascii="Arial" w:hAnsi="Arial" w:cs="Arial"/>
          <w:sz w:val="20"/>
          <w:szCs w:val="20"/>
          <w:lang w:val="en-GB"/>
        </w:rPr>
        <w:t xml:space="preserve"> and </w:t>
      </w:r>
      <w:proofErr w:type="spellStart"/>
      <w:r w:rsidRPr="00A803B4">
        <w:rPr>
          <w:rFonts w:ascii="Arial" w:hAnsi="Arial" w:cs="Arial"/>
          <w:sz w:val="20"/>
          <w:szCs w:val="20"/>
          <w:lang w:val="en-GB"/>
        </w:rPr>
        <w:t>Muricapentocin</w:t>
      </w:r>
      <w:proofErr w:type="spellEnd"/>
      <w:r w:rsidRPr="00A803B4">
        <w:rPr>
          <w:rFonts w:ascii="Arial" w:hAnsi="Arial" w:cs="Arial"/>
          <w:sz w:val="20"/>
          <w:szCs w:val="20"/>
          <w:lang w:val="en-GB"/>
        </w:rPr>
        <w:t xml:space="preserve"> showed borderline hepatotoxicity and nephrotoxicity, warranting cautious interpretation. Annomuricine E showed mild risks for </w:t>
      </w:r>
      <w:proofErr w:type="spellStart"/>
      <w:r w:rsidRPr="00A803B4">
        <w:rPr>
          <w:rFonts w:ascii="Arial" w:hAnsi="Arial" w:cs="Arial"/>
          <w:sz w:val="20"/>
          <w:szCs w:val="20"/>
          <w:lang w:val="en-GB"/>
        </w:rPr>
        <w:t>hematotoxicity</w:t>
      </w:r>
      <w:proofErr w:type="spellEnd"/>
      <w:r w:rsidRPr="00A803B4">
        <w:rPr>
          <w:rFonts w:ascii="Arial" w:hAnsi="Arial" w:cs="Arial"/>
          <w:sz w:val="20"/>
          <w:szCs w:val="20"/>
          <w:lang w:val="en-GB"/>
        </w:rPr>
        <w:t xml:space="preserve"> but was non-mutagenic and non-carcinogenic. </w:t>
      </w:r>
      <w:proofErr w:type="spellStart"/>
      <w:r w:rsidRPr="00A803B4">
        <w:rPr>
          <w:rFonts w:ascii="Arial" w:hAnsi="Arial" w:cs="Arial"/>
          <w:sz w:val="20"/>
          <w:szCs w:val="20"/>
          <w:lang w:val="en-GB"/>
        </w:rPr>
        <w:t>Pemigatinib</w:t>
      </w:r>
      <w:proofErr w:type="spellEnd"/>
      <w:r w:rsidRPr="00A803B4">
        <w:rPr>
          <w:rFonts w:ascii="Arial" w:hAnsi="Arial" w:cs="Arial"/>
          <w:sz w:val="20"/>
          <w:szCs w:val="20"/>
          <w:lang w:val="en-GB"/>
        </w:rPr>
        <w:t xml:space="preserve">, while generally safe, showed mild concerns for hepatotoxicity and </w:t>
      </w:r>
      <w:proofErr w:type="spellStart"/>
      <w:r w:rsidRPr="00A803B4">
        <w:rPr>
          <w:rFonts w:ascii="Arial" w:hAnsi="Arial" w:cs="Arial"/>
          <w:sz w:val="20"/>
          <w:szCs w:val="20"/>
          <w:lang w:val="en-GB"/>
        </w:rPr>
        <w:t>hematotoxicity</w:t>
      </w:r>
      <w:proofErr w:type="spellEnd"/>
      <w:r w:rsidRPr="00A803B4">
        <w:rPr>
          <w:rFonts w:ascii="Arial" w:hAnsi="Arial" w:cs="Arial"/>
          <w:sz w:val="20"/>
          <w:szCs w:val="20"/>
          <w:lang w:val="en-GB"/>
        </w:rPr>
        <w:t xml:space="preserve">, which aligns with previously reported side effects observed in clinical use [41]. While pharmacokinetics and safety profiles for the seven hit compounds uniformly showed acceptability, 10-Hydroxytrilobacin, </w:t>
      </w:r>
      <w:proofErr w:type="spellStart"/>
      <w:r w:rsidRPr="00A803B4">
        <w:rPr>
          <w:rFonts w:ascii="Arial" w:hAnsi="Arial" w:cs="Arial"/>
          <w:sz w:val="20"/>
          <w:szCs w:val="20"/>
          <w:lang w:val="en-GB"/>
        </w:rPr>
        <w:t>Glacins</w:t>
      </w:r>
      <w:proofErr w:type="spellEnd"/>
      <w:r w:rsidRPr="00A803B4">
        <w:rPr>
          <w:rFonts w:ascii="Arial" w:hAnsi="Arial" w:cs="Arial"/>
          <w:sz w:val="20"/>
          <w:szCs w:val="20"/>
          <w:lang w:val="en-GB"/>
        </w:rPr>
        <w:t xml:space="preserve"> B, Mosin B, and </w:t>
      </w:r>
      <w:proofErr w:type="spellStart"/>
      <w:r w:rsidRPr="00A803B4">
        <w:rPr>
          <w:rFonts w:ascii="Arial" w:hAnsi="Arial" w:cs="Arial"/>
          <w:sz w:val="20"/>
          <w:szCs w:val="20"/>
          <w:lang w:val="en-GB"/>
        </w:rPr>
        <w:t>Rollinecins</w:t>
      </w:r>
      <w:proofErr w:type="spellEnd"/>
      <w:r w:rsidRPr="00A803B4">
        <w:rPr>
          <w:rFonts w:ascii="Arial" w:hAnsi="Arial" w:cs="Arial"/>
          <w:sz w:val="20"/>
          <w:szCs w:val="20"/>
          <w:lang w:val="en-GB"/>
        </w:rPr>
        <w:t xml:space="preserve"> B emerged as the most promising candidates. Their high absorption, low risk for efflux, safe metabolism, effective excretion, and low toxicity are consistent with existing literature highlighting the therapeutic role for plant-derived FGFR1 inhibitors [33,45].</w:t>
      </w:r>
    </w:p>
    <w:p w14:paraId="16DC47EA" w14:textId="0E7B8325" w:rsidR="003F5D3C" w:rsidRPr="0085434C" w:rsidRDefault="003F5D3C" w:rsidP="0085434C">
      <w:pPr>
        <w:spacing w:after="0" w:line="360" w:lineRule="auto"/>
        <w:jc w:val="both"/>
        <w:rPr>
          <w:rFonts w:ascii="Arial" w:hAnsi="Arial" w:cs="Arial"/>
          <w:b/>
          <w:bCs/>
          <w:sz w:val="20"/>
          <w:szCs w:val="20"/>
        </w:rPr>
      </w:pPr>
      <w:r w:rsidRPr="0085434C">
        <w:rPr>
          <w:rFonts w:ascii="Arial" w:hAnsi="Arial" w:cs="Arial"/>
          <w:b/>
          <w:bCs/>
          <w:sz w:val="20"/>
          <w:szCs w:val="20"/>
        </w:rPr>
        <w:t>3.3 Molecular Mechanics</w:t>
      </w:r>
    </w:p>
    <w:p w14:paraId="6D150D12" w14:textId="77777777"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To further validate and narrow down the choice of lead compounds, MM-GBSA calculations were conducted. The four identified hit compounds from ADMET screening—10-Hydroxytrilobacin, Mosin B, </w:t>
      </w:r>
      <w:proofErr w:type="spellStart"/>
      <w:r w:rsidRPr="0085434C">
        <w:rPr>
          <w:rFonts w:ascii="Arial" w:hAnsi="Arial" w:cs="Arial"/>
          <w:sz w:val="20"/>
          <w:szCs w:val="20"/>
          <w:lang w:val="en-GB"/>
        </w:rPr>
        <w:t>Rollinecins</w:t>
      </w:r>
      <w:proofErr w:type="spellEnd"/>
      <w:r w:rsidRPr="0085434C">
        <w:rPr>
          <w:rFonts w:ascii="Arial" w:hAnsi="Arial" w:cs="Arial"/>
          <w:sz w:val="20"/>
          <w:szCs w:val="20"/>
          <w:lang w:val="en-GB"/>
        </w:rPr>
        <w:t xml:space="preserve"> B, and </w:t>
      </w:r>
      <w:proofErr w:type="spellStart"/>
      <w:r w:rsidRPr="0085434C">
        <w:rPr>
          <w:rFonts w:ascii="Arial" w:hAnsi="Arial" w:cs="Arial"/>
          <w:sz w:val="20"/>
          <w:szCs w:val="20"/>
          <w:lang w:val="en-GB"/>
        </w:rPr>
        <w:t>Glacins</w:t>
      </w:r>
      <w:proofErr w:type="spellEnd"/>
      <w:r w:rsidRPr="0085434C">
        <w:rPr>
          <w:rFonts w:ascii="Arial" w:hAnsi="Arial" w:cs="Arial"/>
          <w:sz w:val="20"/>
          <w:szCs w:val="20"/>
          <w:lang w:val="en-GB"/>
        </w:rPr>
        <w:t xml:space="preserve"> B—were further evaluated using MM-GBSA, along with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to determine which compounds have the best energetic profiles for FGFR1 inhibition. As shown in Table 4 and Fig. 3b, 10-Hydroxytrilobacin and Mosin B exhibited the best overall MM-GBSA binding free energy values at −47.63 kcal/mol and −45.09 kcal/mol, respectively, better than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(−31.01 kcal/mol). The superior binding energies can largely be attributed to strong van der Waals interactions (−52.36 kcal/mol </w:t>
      </w:r>
      <w:r w:rsidRPr="0085434C">
        <w:rPr>
          <w:rFonts w:ascii="Arial" w:hAnsi="Arial" w:cs="Arial"/>
          <w:sz w:val="20"/>
          <w:szCs w:val="20"/>
          <w:lang w:val="en-GB"/>
        </w:rPr>
        <w:lastRenderedPageBreak/>
        <w:t xml:space="preserve">for 10-Hydroxytrilobacin and −56.34 kcal/mol for Mosin B) and </w:t>
      </w:r>
      <w:proofErr w:type="spellStart"/>
      <w:r w:rsidRPr="0085434C">
        <w:rPr>
          <w:rFonts w:ascii="Arial" w:hAnsi="Arial" w:cs="Arial"/>
          <w:sz w:val="20"/>
          <w:szCs w:val="20"/>
          <w:lang w:val="en-GB"/>
        </w:rPr>
        <w:t>favorable</w:t>
      </w:r>
      <w:proofErr w:type="spellEnd"/>
      <w:r w:rsidRPr="0085434C">
        <w:rPr>
          <w:rFonts w:ascii="Arial" w:hAnsi="Arial" w:cs="Arial"/>
          <w:sz w:val="20"/>
          <w:szCs w:val="20"/>
          <w:lang w:val="en-GB"/>
        </w:rPr>
        <w:t xml:space="preserve"> polar solvation energies (40.61 and 49.00 kcal/mol, respectively). </w:t>
      </w:r>
      <w:proofErr w:type="spellStart"/>
      <w:r w:rsidRPr="0085434C">
        <w:rPr>
          <w:rFonts w:ascii="Arial" w:hAnsi="Arial" w:cs="Arial"/>
          <w:sz w:val="20"/>
          <w:szCs w:val="20"/>
          <w:lang w:val="en-GB"/>
        </w:rPr>
        <w:t>Rollinecins</w:t>
      </w:r>
      <w:proofErr w:type="spellEnd"/>
      <w:r w:rsidRPr="0085434C">
        <w:rPr>
          <w:rFonts w:ascii="Arial" w:hAnsi="Arial" w:cs="Arial"/>
          <w:sz w:val="20"/>
          <w:szCs w:val="20"/>
          <w:lang w:val="en-GB"/>
        </w:rPr>
        <w:t xml:space="preserve"> B and </w:t>
      </w:r>
      <w:proofErr w:type="spellStart"/>
      <w:r w:rsidRPr="0085434C">
        <w:rPr>
          <w:rFonts w:ascii="Arial" w:hAnsi="Arial" w:cs="Arial"/>
          <w:sz w:val="20"/>
          <w:szCs w:val="20"/>
          <w:lang w:val="en-GB"/>
        </w:rPr>
        <w:t>Glacins</w:t>
      </w:r>
      <w:proofErr w:type="spellEnd"/>
      <w:r w:rsidRPr="0085434C">
        <w:rPr>
          <w:rFonts w:ascii="Arial" w:hAnsi="Arial" w:cs="Arial"/>
          <w:sz w:val="20"/>
          <w:szCs w:val="20"/>
          <w:lang w:val="en-GB"/>
        </w:rPr>
        <w:t xml:space="preserve"> B also exhibited significant binding energy values at −41.82 kcal/mol and −33.04 kcal/mol, indicating considerable ligand-receptor stability. In comparison to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which had lower van der Waals interaction (−44.84 kcal/mol) and higher destabilizing solvation energy (31.77 kcal/mol), the phytochemicals demonstrated enhanced binding suitability.</w:t>
      </w:r>
    </w:p>
    <w:p w14:paraId="78D65492" w14:textId="280691A1" w:rsidR="00E94941" w:rsidRPr="00F66C24" w:rsidRDefault="00E94941" w:rsidP="00E94941">
      <w:pPr>
        <w:pStyle w:val="NormalWeb"/>
        <w:spacing w:before="240" w:beforeAutospacing="0" w:after="0" w:afterAutospacing="0" w:line="360" w:lineRule="auto"/>
        <w:rPr>
          <w:rFonts w:ascii="Arial" w:hAnsi="Arial" w:cs="Arial"/>
          <w:color w:val="000000"/>
          <w:sz w:val="20"/>
          <w:szCs w:val="20"/>
        </w:rPr>
      </w:pPr>
      <w:r w:rsidRPr="00F66C24">
        <w:rPr>
          <w:rFonts w:ascii="Arial" w:hAnsi="Arial" w:cs="Arial"/>
          <w:b/>
          <w:bCs/>
          <w:sz w:val="20"/>
          <w:szCs w:val="20"/>
        </w:rPr>
        <w:t xml:space="preserve">Table 4: </w:t>
      </w:r>
      <w:r w:rsidRPr="00F66C24">
        <w:rPr>
          <w:rFonts w:ascii="Arial" w:hAnsi="Arial" w:cs="Arial"/>
          <w:sz w:val="20"/>
          <w:szCs w:val="20"/>
        </w:rPr>
        <w:t xml:space="preserve">MM-GBSA binding free energies of </w:t>
      </w:r>
      <w:proofErr w:type="spellStart"/>
      <w:r w:rsidRPr="00F66C24">
        <w:rPr>
          <w:rFonts w:ascii="Arial" w:hAnsi="Arial" w:cs="Arial"/>
          <w:sz w:val="20"/>
          <w:szCs w:val="20"/>
        </w:rPr>
        <w:t>Pemigatinib</w:t>
      </w:r>
      <w:proofErr w:type="spellEnd"/>
      <w:r w:rsidRPr="00F66C24">
        <w:rPr>
          <w:rFonts w:ascii="Arial" w:hAnsi="Arial" w:cs="Arial"/>
          <w:sz w:val="20"/>
          <w:szCs w:val="20"/>
        </w:rPr>
        <w:t xml:space="preserve"> and</w:t>
      </w:r>
      <w:r w:rsidRPr="00F66C24">
        <w:rPr>
          <w:rFonts w:ascii="Arial" w:hAnsi="Arial" w:cs="Arial"/>
          <w:bCs/>
          <w:sz w:val="20"/>
          <w:szCs w:val="20"/>
        </w:rPr>
        <w:t xml:space="preserve"> the 4 </w:t>
      </w:r>
      <w:r w:rsidR="009C4196">
        <w:rPr>
          <w:rFonts w:ascii="Arial" w:hAnsi="Arial" w:cs="Arial"/>
          <w:bCs/>
          <w:sz w:val="20"/>
          <w:szCs w:val="20"/>
        </w:rPr>
        <w:t>hit</w:t>
      </w:r>
      <w:r w:rsidRPr="00F66C24">
        <w:rPr>
          <w:rFonts w:ascii="Arial" w:hAnsi="Arial" w:cs="Arial"/>
          <w:bCs/>
          <w:sz w:val="20"/>
          <w:szCs w:val="20"/>
        </w:rPr>
        <w:t xml:space="preserve"> bioactive compounds</w:t>
      </w:r>
      <w:r w:rsidRPr="00F66C24">
        <w:rPr>
          <w:rFonts w:ascii="Arial" w:hAnsi="Arial" w:cs="Arial"/>
          <w:color w:val="000000"/>
          <w:sz w:val="20"/>
          <w:szCs w:val="20"/>
        </w:rPr>
        <w:t>.</w:t>
      </w:r>
    </w:p>
    <w:tbl>
      <w:tblPr>
        <w:tblStyle w:val="TableGridLight"/>
        <w:tblW w:w="9360" w:type="dxa"/>
        <w:tblInd w:w="-95" w:type="dxa"/>
        <w:tblLayout w:type="fixed"/>
        <w:tblLook w:val="04A0" w:firstRow="1" w:lastRow="0" w:firstColumn="1" w:lastColumn="0" w:noHBand="0" w:noVBand="1"/>
      </w:tblPr>
      <w:tblGrid>
        <w:gridCol w:w="2070"/>
        <w:gridCol w:w="1440"/>
        <w:gridCol w:w="1530"/>
        <w:gridCol w:w="1440"/>
        <w:gridCol w:w="1291"/>
        <w:gridCol w:w="1589"/>
      </w:tblGrid>
      <w:tr w:rsidR="00E94941" w:rsidRPr="00F66C24" w14:paraId="751BA726" w14:textId="77777777" w:rsidTr="00E94941">
        <w:tc>
          <w:tcPr>
            <w:tcW w:w="2070" w:type="dxa"/>
          </w:tcPr>
          <w:p w14:paraId="51776D42" w14:textId="77777777" w:rsidR="00E94941" w:rsidRPr="00F66C24" w:rsidRDefault="00E94941" w:rsidP="00E94941">
            <w:pPr>
              <w:jc w:val="center"/>
              <w:rPr>
                <w:rFonts w:ascii="Arial" w:hAnsi="Arial" w:cs="Arial"/>
                <w:b/>
                <w:bCs/>
                <w:sz w:val="20"/>
                <w:szCs w:val="20"/>
              </w:rPr>
            </w:pPr>
            <w:bookmarkStart w:id="5" w:name="_Hlk157900729"/>
            <w:r w:rsidRPr="00F66C24">
              <w:rPr>
                <w:rFonts w:ascii="Arial" w:hAnsi="Arial" w:cs="Arial"/>
                <w:b/>
                <w:bCs/>
                <w:sz w:val="20"/>
                <w:szCs w:val="20"/>
              </w:rPr>
              <w:t>Ligands</w:t>
            </w:r>
          </w:p>
        </w:tc>
        <w:tc>
          <w:tcPr>
            <w:tcW w:w="1440" w:type="dxa"/>
          </w:tcPr>
          <w:p w14:paraId="6DA75F81" w14:textId="77777777" w:rsidR="00E94941" w:rsidRPr="00F66C24" w:rsidRDefault="00E94941" w:rsidP="00E94941">
            <w:pPr>
              <w:ind w:left="10"/>
              <w:jc w:val="center"/>
              <w:rPr>
                <w:rFonts w:ascii="Arial" w:hAnsi="Arial" w:cs="Arial"/>
                <w:sz w:val="20"/>
                <w:szCs w:val="20"/>
              </w:rPr>
            </w:pPr>
            <w:r w:rsidRPr="00F66C24">
              <w:rPr>
                <w:rFonts w:ascii="Arial" w:hAnsi="Arial" w:cs="Arial"/>
                <w:b/>
                <w:sz w:val="20"/>
                <w:szCs w:val="20"/>
              </w:rPr>
              <w:t>MMGBSA ΔG</w:t>
            </w:r>
          </w:p>
          <w:p w14:paraId="4907D298" w14:textId="77777777" w:rsidR="00E94941" w:rsidRPr="00F66C24" w:rsidRDefault="00E94941" w:rsidP="00E94941">
            <w:pPr>
              <w:jc w:val="center"/>
              <w:rPr>
                <w:rFonts w:ascii="Arial" w:hAnsi="Arial" w:cs="Arial"/>
                <w:b/>
                <w:sz w:val="20"/>
                <w:szCs w:val="20"/>
              </w:rPr>
            </w:pPr>
            <w:r w:rsidRPr="00F66C24">
              <w:rPr>
                <w:rFonts w:ascii="Arial" w:hAnsi="Arial" w:cs="Arial"/>
                <w:b/>
                <w:sz w:val="20"/>
                <w:szCs w:val="20"/>
              </w:rPr>
              <w:t>Bind H-bond</w:t>
            </w:r>
          </w:p>
          <w:p w14:paraId="4C26FF70" w14:textId="77777777" w:rsidR="00E94941" w:rsidRPr="00F66C24" w:rsidRDefault="00E94941" w:rsidP="00E94941">
            <w:pPr>
              <w:jc w:val="center"/>
              <w:rPr>
                <w:rFonts w:ascii="Arial" w:hAnsi="Arial" w:cs="Arial"/>
                <w:b/>
                <w:bCs/>
                <w:sz w:val="20"/>
                <w:szCs w:val="20"/>
              </w:rPr>
            </w:pPr>
            <w:r w:rsidRPr="00F66C24">
              <w:rPr>
                <w:rFonts w:ascii="Arial" w:hAnsi="Arial" w:cs="Arial"/>
                <w:b/>
                <w:bCs/>
                <w:sz w:val="20"/>
                <w:szCs w:val="20"/>
              </w:rPr>
              <w:t>(Kcal/mol)</w:t>
            </w:r>
          </w:p>
        </w:tc>
        <w:tc>
          <w:tcPr>
            <w:tcW w:w="1530" w:type="dxa"/>
          </w:tcPr>
          <w:p w14:paraId="0F224CF3" w14:textId="77777777" w:rsidR="00E94941" w:rsidRPr="00F66C24" w:rsidRDefault="00E94941" w:rsidP="00E94941">
            <w:pPr>
              <w:ind w:left="10"/>
              <w:jc w:val="center"/>
              <w:rPr>
                <w:rFonts w:ascii="Arial" w:hAnsi="Arial" w:cs="Arial"/>
                <w:sz w:val="20"/>
                <w:szCs w:val="20"/>
              </w:rPr>
            </w:pPr>
            <w:r w:rsidRPr="00F66C24">
              <w:rPr>
                <w:rFonts w:ascii="Arial" w:hAnsi="Arial" w:cs="Arial"/>
                <w:b/>
                <w:sz w:val="20"/>
                <w:szCs w:val="20"/>
              </w:rPr>
              <w:t>MMGBSA ΔG</w:t>
            </w:r>
          </w:p>
          <w:p w14:paraId="31EEB0EA" w14:textId="77777777" w:rsidR="00E94941" w:rsidRPr="00F66C24" w:rsidRDefault="00E94941" w:rsidP="00E94941">
            <w:pPr>
              <w:jc w:val="center"/>
              <w:rPr>
                <w:rFonts w:ascii="Arial" w:hAnsi="Arial" w:cs="Arial"/>
                <w:b/>
                <w:sz w:val="20"/>
                <w:szCs w:val="20"/>
              </w:rPr>
            </w:pPr>
            <w:r w:rsidRPr="00F66C24">
              <w:rPr>
                <w:rFonts w:ascii="Arial" w:hAnsi="Arial" w:cs="Arial"/>
                <w:b/>
                <w:sz w:val="20"/>
                <w:szCs w:val="20"/>
              </w:rPr>
              <w:t>Bind Covalent bond</w:t>
            </w:r>
          </w:p>
          <w:p w14:paraId="2D05C20C" w14:textId="77777777" w:rsidR="00E94941" w:rsidRPr="00F66C24" w:rsidRDefault="00E94941" w:rsidP="00E94941">
            <w:pPr>
              <w:jc w:val="center"/>
              <w:rPr>
                <w:rFonts w:ascii="Arial" w:hAnsi="Arial" w:cs="Arial"/>
                <w:b/>
                <w:bCs/>
                <w:sz w:val="20"/>
                <w:szCs w:val="20"/>
              </w:rPr>
            </w:pPr>
            <w:r w:rsidRPr="00F66C24">
              <w:rPr>
                <w:rFonts w:ascii="Arial" w:hAnsi="Arial" w:cs="Arial"/>
                <w:b/>
                <w:bCs/>
                <w:sz w:val="20"/>
                <w:szCs w:val="20"/>
              </w:rPr>
              <w:t>(Kcal/mol)</w:t>
            </w:r>
          </w:p>
        </w:tc>
        <w:tc>
          <w:tcPr>
            <w:tcW w:w="1440" w:type="dxa"/>
          </w:tcPr>
          <w:p w14:paraId="50F2134F" w14:textId="77777777" w:rsidR="00E94941" w:rsidRPr="00F66C24" w:rsidRDefault="00E94941" w:rsidP="00E94941">
            <w:pPr>
              <w:ind w:left="10"/>
              <w:jc w:val="center"/>
              <w:rPr>
                <w:rFonts w:ascii="Arial" w:hAnsi="Arial" w:cs="Arial"/>
                <w:sz w:val="20"/>
                <w:szCs w:val="20"/>
              </w:rPr>
            </w:pPr>
            <w:r w:rsidRPr="00F66C24">
              <w:rPr>
                <w:rFonts w:ascii="Arial" w:hAnsi="Arial" w:cs="Arial"/>
                <w:b/>
                <w:sz w:val="20"/>
                <w:szCs w:val="20"/>
              </w:rPr>
              <w:t>MMGBSA ΔG</w:t>
            </w:r>
          </w:p>
          <w:p w14:paraId="71DBAC71" w14:textId="77777777" w:rsidR="00E94941" w:rsidRPr="00F66C24" w:rsidRDefault="00E94941" w:rsidP="00E94941">
            <w:pPr>
              <w:jc w:val="center"/>
              <w:rPr>
                <w:rFonts w:ascii="Arial" w:hAnsi="Arial" w:cs="Arial"/>
                <w:b/>
                <w:bCs/>
                <w:sz w:val="20"/>
                <w:szCs w:val="20"/>
              </w:rPr>
            </w:pPr>
            <w:r w:rsidRPr="00F66C24">
              <w:rPr>
                <w:rFonts w:ascii="Arial" w:hAnsi="Arial" w:cs="Arial"/>
                <w:b/>
                <w:sz w:val="20"/>
                <w:szCs w:val="20"/>
              </w:rPr>
              <w:t xml:space="preserve">Bind </w:t>
            </w:r>
            <w:r w:rsidRPr="00F66C24">
              <w:rPr>
                <w:rFonts w:ascii="Arial" w:hAnsi="Arial" w:cs="Arial"/>
                <w:b/>
                <w:bCs/>
                <w:sz w:val="20"/>
                <w:szCs w:val="20"/>
              </w:rPr>
              <w:t>Vander Waal Forces</w:t>
            </w:r>
          </w:p>
          <w:p w14:paraId="137356BA" w14:textId="77777777" w:rsidR="00E94941" w:rsidRPr="00F66C24" w:rsidRDefault="00E94941" w:rsidP="00E94941">
            <w:pPr>
              <w:jc w:val="center"/>
              <w:rPr>
                <w:rFonts w:ascii="Arial" w:hAnsi="Arial" w:cs="Arial"/>
                <w:b/>
                <w:bCs/>
                <w:sz w:val="20"/>
                <w:szCs w:val="20"/>
              </w:rPr>
            </w:pPr>
            <w:r w:rsidRPr="00F66C24">
              <w:rPr>
                <w:rFonts w:ascii="Arial" w:hAnsi="Arial" w:cs="Arial"/>
                <w:b/>
                <w:bCs/>
                <w:sz w:val="20"/>
                <w:szCs w:val="20"/>
              </w:rPr>
              <w:t>(Kcal/mol)</w:t>
            </w:r>
          </w:p>
          <w:p w14:paraId="4AD2D1CC" w14:textId="77777777" w:rsidR="00E94941" w:rsidRPr="00F66C24" w:rsidRDefault="00E94941" w:rsidP="00E94941">
            <w:pPr>
              <w:jc w:val="center"/>
              <w:rPr>
                <w:rFonts w:ascii="Arial" w:hAnsi="Arial" w:cs="Arial"/>
                <w:b/>
                <w:bCs/>
                <w:sz w:val="20"/>
                <w:szCs w:val="20"/>
              </w:rPr>
            </w:pPr>
          </w:p>
        </w:tc>
        <w:tc>
          <w:tcPr>
            <w:tcW w:w="1291" w:type="dxa"/>
          </w:tcPr>
          <w:p w14:paraId="14C749BE" w14:textId="77777777" w:rsidR="00E94941" w:rsidRPr="00F66C24" w:rsidRDefault="00E94941" w:rsidP="00E94941">
            <w:pPr>
              <w:ind w:left="10"/>
              <w:jc w:val="center"/>
              <w:rPr>
                <w:rFonts w:ascii="Arial" w:hAnsi="Arial" w:cs="Arial"/>
                <w:sz w:val="20"/>
                <w:szCs w:val="20"/>
              </w:rPr>
            </w:pPr>
            <w:r w:rsidRPr="00F66C24">
              <w:rPr>
                <w:rFonts w:ascii="Arial" w:hAnsi="Arial" w:cs="Arial"/>
                <w:b/>
                <w:sz w:val="20"/>
                <w:szCs w:val="20"/>
              </w:rPr>
              <w:t>MMGBSA ΔG</w:t>
            </w:r>
          </w:p>
          <w:p w14:paraId="3C64AE34" w14:textId="77777777" w:rsidR="00E94941" w:rsidRPr="00F66C24" w:rsidRDefault="00E94941" w:rsidP="00E94941">
            <w:pPr>
              <w:jc w:val="center"/>
              <w:rPr>
                <w:rFonts w:ascii="Arial" w:hAnsi="Arial" w:cs="Arial"/>
                <w:b/>
                <w:bCs/>
                <w:sz w:val="20"/>
                <w:szCs w:val="20"/>
              </w:rPr>
            </w:pPr>
            <w:r w:rsidRPr="00F66C24">
              <w:rPr>
                <w:rFonts w:ascii="Arial" w:hAnsi="Arial" w:cs="Arial"/>
                <w:b/>
                <w:sz w:val="20"/>
                <w:szCs w:val="20"/>
              </w:rPr>
              <w:t xml:space="preserve">Bind </w:t>
            </w:r>
            <w:r w:rsidRPr="00F66C24">
              <w:rPr>
                <w:rFonts w:ascii="Arial" w:hAnsi="Arial" w:cs="Arial"/>
                <w:b/>
                <w:bCs/>
                <w:sz w:val="20"/>
                <w:szCs w:val="20"/>
              </w:rPr>
              <w:t>Polar Solvation</w:t>
            </w:r>
          </w:p>
          <w:p w14:paraId="7D7BD2DC" w14:textId="77777777" w:rsidR="00E94941" w:rsidRPr="00F66C24" w:rsidRDefault="00E94941" w:rsidP="00E94941">
            <w:pPr>
              <w:jc w:val="center"/>
              <w:rPr>
                <w:rFonts w:ascii="Arial" w:hAnsi="Arial" w:cs="Arial"/>
                <w:b/>
                <w:bCs/>
                <w:sz w:val="20"/>
                <w:szCs w:val="20"/>
              </w:rPr>
            </w:pPr>
            <w:r w:rsidRPr="00F66C24">
              <w:rPr>
                <w:rFonts w:ascii="Arial" w:hAnsi="Arial" w:cs="Arial"/>
                <w:b/>
                <w:bCs/>
                <w:sz w:val="20"/>
                <w:szCs w:val="20"/>
              </w:rPr>
              <w:t>(Kcal/mol)</w:t>
            </w:r>
          </w:p>
          <w:p w14:paraId="12553730" w14:textId="77777777" w:rsidR="00E94941" w:rsidRPr="00F66C24" w:rsidRDefault="00E94941" w:rsidP="00E94941">
            <w:pPr>
              <w:jc w:val="center"/>
              <w:rPr>
                <w:rFonts w:ascii="Arial" w:hAnsi="Arial" w:cs="Arial"/>
                <w:b/>
                <w:bCs/>
                <w:sz w:val="20"/>
                <w:szCs w:val="20"/>
              </w:rPr>
            </w:pPr>
          </w:p>
        </w:tc>
        <w:tc>
          <w:tcPr>
            <w:tcW w:w="1589" w:type="dxa"/>
          </w:tcPr>
          <w:p w14:paraId="6A32EA40" w14:textId="77777777" w:rsidR="00E94941" w:rsidRPr="00F66C24" w:rsidRDefault="00E94941" w:rsidP="00E94941">
            <w:pPr>
              <w:ind w:left="7"/>
              <w:jc w:val="center"/>
              <w:rPr>
                <w:rFonts w:ascii="Arial" w:hAnsi="Arial" w:cs="Arial"/>
                <w:sz w:val="20"/>
                <w:szCs w:val="20"/>
              </w:rPr>
            </w:pPr>
            <w:r w:rsidRPr="00F66C24">
              <w:rPr>
                <w:rFonts w:ascii="Arial" w:hAnsi="Arial" w:cs="Arial"/>
                <w:b/>
                <w:sz w:val="20"/>
                <w:szCs w:val="20"/>
              </w:rPr>
              <w:t>MMGBSA ΔG</w:t>
            </w:r>
          </w:p>
          <w:p w14:paraId="3E5193D5" w14:textId="77777777" w:rsidR="00E94941" w:rsidRPr="00F66C24" w:rsidRDefault="00E94941" w:rsidP="00E94941">
            <w:pPr>
              <w:jc w:val="center"/>
              <w:rPr>
                <w:rFonts w:ascii="Arial" w:hAnsi="Arial" w:cs="Arial"/>
                <w:b/>
                <w:sz w:val="20"/>
                <w:szCs w:val="20"/>
              </w:rPr>
            </w:pPr>
            <w:r w:rsidRPr="00F66C24">
              <w:rPr>
                <w:rFonts w:ascii="Arial" w:hAnsi="Arial" w:cs="Arial"/>
                <w:b/>
                <w:sz w:val="20"/>
                <w:szCs w:val="20"/>
              </w:rPr>
              <w:t>Overall Binding</w:t>
            </w:r>
          </w:p>
          <w:p w14:paraId="5AA13283" w14:textId="77777777" w:rsidR="00E94941" w:rsidRPr="00F66C24" w:rsidRDefault="00E94941" w:rsidP="00E94941">
            <w:pPr>
              <w:jc w:val="center"/>
              <w:rPr>
                <w:rFonts w:ascii="Arial" w:hAnsi="Arial" w:cs="Arial"/>
                <w:b/>
                <w:bCs/>
                <w:sz w:val="20"/>
                <w:szCs w:val="20"/>
              </w:rPr>
            </w:pPr>
            <w:r w:rsidRPr="00F66C24">
              <w:rPr>
                <w:rFonts w:ascii="Arial" w:hAnsi="Arial" w:cs="Arial"/>
                <w:b/>
                <w:sz w:val="20"/>
                <w:szCs w:val="20"/>
              </w:rPr>
              <w:t>Energy</w:t>
            </w:r>
            <w:r w:rsidRPr="00F66C24">
              <w:rPr>
                <w:rFonts w:ascii="Arial" w:hAnsi="Arial" w:cs="Arial"/>
                <w:b/>
                <w:bCs/>
                <w:sz w:val="20"/>
                <w:szCs w:val="20"/>
              </w:rPr>
              <w:t xml:space="preserve"> (Kcal/mol)</w:t>
            </w:r>
          </w:p>
        </w:tc>
      </w:tr>
      <w:tr w:rsidR="00E94941" w:rsidRPr="00F66C24" w14:paraId="59107DA4" w14:textId="77777777" w:rsidTr="00E94941">
        <w:tc>
          <w:tcPr>
            <w:tcW w:w="2070" w:type="dxa"/>
          </w:tcPr>
          <w:p w14:paraId="40E85BA9" w14:textId="77777777" w:rsidR="00E94941" w:rsidRPr="00F66C24" w:rsidRDefault="00E94941" w:rsidP="00E94941">
            <w:pPr>
              <w:jc w:val="center"/>
              <w:rPr>
                <w:rFonts w:ascii="Arial" w:hAnsi="Arial" w:cs="Arial"/>
                <w:sz w:val="20"/>
                <w:szCs w:val="20"/>
              </w:rPr>
            </w:pPr>
            <w:proofErr w:type="spellStart"/>
            <w:r w:rsidRPr="00F66C24">
              <w:rPr>
                <w:rFonts w:ascii="Arial" w:hAnsi="Arial" w:cs="Arial"/>
                <w:sz w:val="20"/>
                <w:szCs w:val="20"/>
              </w:rPr>
              <w:t>Pemigatinib</w:t>
            </w:r>
            <w:proofErr w:type="spellEnd"/>
          </w:p>
        </w:tc>
        <w:tc>
          <w:tcPr>
            <w:tcW w:w="1440" w:type="dxa"/>
          </w:tcPr>
          <w:p w14:paraId="2D1129CD"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-1.11</w:t>
            </w:r>
          </w:p>
        </w:tc>
        <w:tc>
          <w:tcPr>
            <w:tcW w:w="1530" w:type="dxa"/>
          </w:tcPr>
          <w:p w14:paraId="067D7B49"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3.36</w:t>
            </w:r>
          </w:p>
        </w:tc>
        <w:tc>
          <w:tcPr>
            <w:tcW w:w="1440" w:type="dxa"/>
          </w:tcPr>
          <w:p w14:paraId="16EF62E2"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-44.84</w:t>
            </w:r>
          </w:p>
        </w:tc>
        <w:tc>
          <w:tcPr>
            <w:tcW w:w="1291" w:type="dxa"/>
          </w:tcPr>
          <w:p w14:paraId="78B136E3"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31.77</w:t>
            </w:r>
          </w:p>
        </w:tc>
        <w:tc>
          <w:tcPr>
            <w:tcW w:w="1589" w:type="dxa"/>
          </w:tcPr>
          <w:p w14:paraId="4193AAE9"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-31.01</w:t>
            </w:r>
          </w:p>
        </w:tc>
      </w:tr>
      <w:tr w:rsidR="00E94941" w:rsidRPr="00F66C24" w14:paraId="4291C4BA" w14:textId="77777777" w:rsidTr="00E94941">
        <w:tc>
          <w:tcPr>
            <w:tcW w:w="2070" w:type="dxa"/>
            <w:shd w:val="clear" w:color="auto" w:fill="auto"/>
          </w:tcPr>
          <w:p w14:paraId="68B0E3FA" w14:textId="7B9DF6BE" w:rsidR="00E94941" w:rsidRPr="00F66C24" w:rsidRDefault="00E94941" w:rsidP="00E94941">
            <w:pPr>
              <w:jc w:val="center"/>
              <w:rPr>
                <w:rFonts w:ascii="Arial" w:hAnsi="Arial" w:cs="Arial"/>
                <w:sz w:val="20"/>
                <w:szCs w:val="20"/>
              </w:rPr>
            </w:pPr>
            <w:r w:rsidRPr="00F66C24">
              <w:rPr>
                <w:rFonts w:ascii="Arial" w:hAnsi="Arial" w:cs="Arial"/>
                <w:sz w:val="20"/>
                <w:szCs w:val="20"/>
              </w:rPr>
              <w:t>10-Hydroxytrilobacin</w:t>
            </w:r>
          </w:p>
        </w:tc>
        <w:tc>
          <w:tcPr>
            <w:tcW w:w="1440" w:type="dxa"/>
          </w:tcPr>
          <w:p w14:paraId="6526E122"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-3.62</w:t>
            </w:r>
          </w:p>
        </w:tc>
        <w:tc>
          <w:tcPr>
            <w:tcW w:w="1530" w:type="dxa"/>
          </w:tcPr>
          <w:p w14:paraId="1F97C419"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10.42</w:t>
            </w:r>
          </w:p>
        </w:tc>
        <w:tc>
          <w:tcPr>
            <w:tcW w:w="1440" w:type="dxa"/>
          </w:tcPr>
          <w:p w14:paraId="1C4AB865"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-52.36</w:t>
            </w:r>
          </w:p>
        </w:tc>
        <w:tc>
          <w:tcPr>
            <w:tcW w:w="1291" w:type="dxa"/>
          </w:tcPr>
          <w:p w14:paraId="7990AED7"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40.61</w:t>
            </w:r>
          </w:p>
        </w:tc>
        <w:tc>
          <w:tcPr>
            <w:tcW w:w="1589" w:type="dxa"/>
          </w:tcPr>
          <w:p w14:paraId="3E905821"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-47.63</w:t>
            </w:r>
          </w:p>
        </w:tc>
      </w:tr>
      <w:tr w:rsidR="00E94941" w:rsidRPr="00F66C24" w14:paraId="3823148A" w14:textId="77777777" w:rsidTr="00E94941">
        <w:tc>
          <w:tcPr>
            <w:tcW w:w="2070" w:type="dxa"/>
            <w:shd w:val="clear" w:color="auto" w:fill="auto"/>
          </w:tcPr>
          <w:p w14:paraId="6D34EC22"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Mosin B</w:t>
            </w:r>
          </w:p>
        </w:tc>
        <w:tc>
          <w:tcPr>
            <w:tcW w:w="1440" w:type="dxa"/>
          </w:tcPr>
          <w:p w14:paraId="2253C904"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-2.36</w:t>
            </w:r>
          </w:p>
        </w:tc>
        <w:tc>
          <w:tcPr>
            <w:tcW w:w="1530" w:type="dxa"/>
          </w:tcPr>
          <w:p w14:paraId="03537141"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7.84</w:t>
            </w:r>
          </w:p>
        </w:tc>
        <w:tc>
          <w:tcPr>
            <w:tcW w:w="1440" w:type="dxa"/>
          </w:tcPr>
          <w:p w14:paraId="332C7313"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-56.34</w:t>
            </w:r>
          </w:p>
        </w:tc>
        <w:tc>
          <w:tcPr>
            <w:tcW w:w="1291" w:type="dxa"/>
          </w:tcPr>
          <w:p w14:paraId="4B477D0A"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49.00</w:t>
            </w:r>
          </w:p>
        </w:tc>
        <w:tc>
          <w:tcPr>
            <w:tcW w:w="1589" w:type="dxa"/>
          </w:tcPr>
          <w:p w14:paraId="1094D103"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-45.09</w:t>
            </w:r>
          </w:p>
        </w:tc>
      </w:tr>
      <w:tr w:rsidR="00E94941" w:rsidRPr="00F66C24" w14:paraId="19264F4E" w14:textId="77777777" w:rsidTr="00E94941">
        <w:tc>
          <w:tcPr>
            <w:tcW w:w="2070" w:type="dxa"/>
            <w:shd w:val="clear" w:color="auto" w:fill="auto"/>
          </w:tcPr>
          <w:p w14:paraId="34D7D1AB" w14:textId="77777777" w:rsidR="00E94941" w:rsidRPr="00F66C24" w:rsidRDefault="00E94941" w:rsidP="00E94941">
            <w:pPr>
              <w:jc w:val="center"/>
              <w:rPr>
                <w:rFonts w:ascii="Arial" w:hAnsi="Arial" w:cs="Arial"/>
                <w:sz w:val="20"/>
                <w:szCs w:val="20"/>
              </w:rPr>
            </w:pPr>
            <w:proofErr w:type="spellStart"/>
            <w:r w:rsidRPr="00F66C24">
              <w:rPr>
                <w:rFonts w:ascii="Arial" w:hAnsi="Arial" w:cs="Arial"/>
                <w:sz w:val="20"/>
                <w:szCs w:val="20"/>
              </w:rPr>
              <w:t>Rollinecins</w:t>
            </w:r>
            <w:proofErr w:type="spellEnd"/>
            <w:r w:rsidRPr="00F66C24">
              <w:rPr>
                <w:rFonts w:ascii="Arial" w:hAnsi="Arial" w:cs="Arial"/>
                <w:sz w:val="20"/>
                <w:szCs w:val="20"/>
              </w:rPr>
              <w:t xml:space="preserve"> B</w:t>
            </w:r>
          </w:p>
        </w:tc>
        <w:tc>
          <w:tcPr>
            <w:tcW w:w="1440" w:type="dxa"/>
          </w:tcPr>
          <w:p w14:paraId="5693574D"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-2.01</w:t>
            </w:r>
          </w:p>
        </w:tc>
        <w:tc>
          <w:tcPr>
            <w:tcW w:w="1530" w:type="dxa"/>
          </w:tcPr>
          <w:p w14:paraId="6D88F811"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5.96</w:t>
            </w:r>
          </w:p>
        </w:tc>
        <w:tc>
          <w:tcPr>
            <w:tcW w:w="1440" w:type="dxa"/>
          </w:tcPr>
          <w:p w14:paraId="3AA18EE0"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-52.77</w:t>
            </w:r>
          </w:p>
        </w:tc>
        <w:tc>
          <w:tcPr>
            <w:tcW w:w="1291" w:type="dxa"/>
          </w:tcPr>
          <w:p w14:paraId="62F2F406"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50.27</w:t>
            </w:r>
          </w:p>
        </w:tc>
        <w:tc>
          <w:tcPr>
            <w:tcW w:w="1589" w:type="dxa"/>
          </w:tcPr>
          <w:p w14:paraId="1D88836B"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-41.82</w:t>
            </w:r>
          </w:p>
        </w:tc>
      </w:tr>
      <w:tr w:rsidR="00E94941" w:rsidRPr="00F66C24" w14:paraId="392CAC03" w14:textId="77777777" w:rsidTr="00E94941">
        <w:tc>
          <w:tcPr>
            <w:tcW w:w="2070" w:type="dxa"/>
            <w:shd w:val="clear" w:color="auto" w:fill="auto"/>
          </w:tcPr>
          <w:p w14:paraId="6DBD15FC" w14:textId="77777777" w:rsidR="00E94941" w:rsidRPr="00F66C24" w:rsidRDefault="00E94941" w:rsidP="00E94941">
            <w:pPr>
              <w:jc w:val="center"/>
              <w:rPr>
                <w:rFonts w:ascii="Arial" w:hAnsi="Arial" w:cs="Arial"/>
                <w:b/>
                <w:bCs/>
                <w:sz w:val="20"/>
                <w:szCs w:val="20"/>
              </w:rPr>
            </w:pPr>
            <w:proofErr w:type="spellStart"/>
            <w:r w:rsidRPr="00F66C24">
              <w:rPr>
                <w:rFonts w:ascii="Arial" w:hAnsi="Arial" w:cs="Arial"/>
                <w:sz w:val="20"/>
                <w:szCs w:val="20"/>
              </w:rPr>
              <w:t>Glacins</w:t>
            </w:r>
            <w:proofErr w:type="spellEnd"/>
            <w:r w:rsidRPr="00F66C24">
              <w:rPr>
                <w:rFonts w:ascii="Arial" w:hAnsi="Arial" w:cs="Arial"/>
                <w:sz w:val="20"/>
                <w:szCs w:val="20"/>
              </w:rPr>
              <w:t xml:space="preserve"> B</w:t>
            </w:r>
          </w:p>
        </w:tc>
        <w:tc>
          <w:tcPr>
            <w:tcW w:w="1440" w:type="dxa"/>
          </w:tcPr>
          <w:p w14:paraId="0A015CA9"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-1.47</w:t>
            </w:r>
          </w:p>
        </w:tc>
        <w:tc>
          <w:tcPr>
            <w:tcW w:w="1530" w:type="dxa"/>
          </w:tcPr>
          <w:p w14:paraId="714C7976"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2.13</w:t>
            </w:r>
          </w:p>
        </w:tc>
        <w:tc>
          <w:tcPr>
            <w:tcW w:w="1440" w:type="dxa"/>
          </w:tcPr>
          <w:p w14:paraId="1DDC9B4E"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-46.40</w:t>
            </w:r>
          </w:p>
        </w:tc>
        <w:tc>
          <w:tcPr>
            <w:tcW w:w="1291" w:type="dxa"/>
          </w:tcPr>
          <w:p w14:paraId="333EC77E"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53.44</w:t>
            </w:r>
          </w:p>
        </w:tc>
        <w:tc>
          <w:tcPr>
            <w:tcW w:w="1589" w:type="dxa"/>
          </w:tcPr>
          <w:p w14:paraId="0A78038B" w14:textId="77777777" w:rsidR="00E94941" w:rsidRPr="00F66C24" w:rsidRDefault="00E94941" w:rsidP="00E94941">
            <w:pPr>
              <w:jc w:val="center"/>
              <w:rPr>
                <w:rFonts w:ascii="Arial" w:hAnsi="Arial" w:cs="Arial"/>
                <w:sz w:val="20"/>
                <w:szCs w:val="20"/>
              </w:rPr>
            </w:pPr>
            <w:r w:rsidRPr="00F66C24">
              <w:rPr>
                <w:rFonts w:ascii="Arial" w:hAnsi="Arial" w:cs="Arial"/>
                <w:sz w:val="20"/>
                <w:szCs w:val="20"/>
              </w:rPr>
              <w:t>-33.04</w:t>
            </w:r>
          </w:p>
        </w:tc>
      </w:tr>
      <w:bookmarkEnd w:id="5"/>
    </w:tbl>
    <w:p w14:paraId="01CFB1A1" w14:textId="77777777" w:rsidR="00E94941" w:rsidRPr="00303D2C" w:rsidRDefault="00E94941" w:rsidP="00E94941">
      <w:pPr>
        <w:jc w:val="both"/>
        <w:rPr>
          <w:rFonts w:ascii="Times New Roman" w:hAnsi="Times New Roman" w:cs="Times New Roman"/>
          <w:sz w:val="24"/>
          <w:szCs w:val="24"/>
        </w:rPr>
      </w:pPr>
    </w:p>
    <w:p w14:paraId="17DE2C5B" w14:textId="48CB59C3" w:rsidR="00E94941" w:rsidRPr="00303D2C" w:rsidRDefault="00F66C24" w:rsidP="00F66C24">
      <w:pPr>
        <w:jc w:val="center"/>
        <w:rPr>
          <w:rFonts w:ascii="Times New Roman" w:hAnsi="Times New Roman" w:cs="Times New Roman"/>
          <w:sz w:val="24"/>
          <w:szCs w:val="24"/>
        </w:rPr>
      </w:pPr>
      <w:r w:rsidRPr="00F66C24">
        <w:rPr>
          <w:rFonts w:ascii="Times New Roman" w:hAnsi="Times New Roman" w:cs="Times New Roman"/>
          <w:noProof/>
          <w:sz w:val="24"/>
          <w:szCs w:val="24"/>
        </w:rPr>
        <w:drawing>
          <wp:inline distT="0" distB="0" distL="0" distR="0" wp14:anchorId="3C3F595E" wp14:editId="314F7E96">
            <wp:extent cx="6237605" cy="2628900"/>
            <wp:effectExtent l="38100" t="38100" r="29845" b="38100"/>
            <wp:docPr id="200747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7954" name=""/>
                    <pic:cNvPicPr/>
                  </pic:nvPicPr>
                  <pic:blipFill>
                    <a:blip r:embed="rId20"/>
                    <a:stretch>
                      <a:fillRect/>
                    </a:stretch>
                  </pic:blipFill>
                  <pic:spPr>
                    <a:xfrm>
                      <a:off x="0" y="0"/>
                      <a:ext cx="6256558" cy="2636888"/>
                    </a:xfrm>
                    <a:prstGeom prst="rect">
                      <a:avLst/>
                    </a:prstGeom>
                    <a:ln w="31750">
                      <a:solidFill>
                        <a:schemeClr val="tx1"/>
                      </a:solidFill>
                    </a:ln>
                  </pic:spPr>
                </pic:pic>
              </a:graphicData>
            </a:graphic>
          </wp:inline>
        </w:drawing>
      </w:r>
    </w:p>
    <w:p w14:paraId="415861BF" w14:textId="4E91FB4A" w:rsidR="00E94941" w:rsidRPr="00F66C24" w:rsidRDefault="00E94941" w:rsidP="00E94941">
      <w:pPr>
        <w:spacing w:before="100" w:beforeAutospacing="1" w:after="100" w:afterAutospacing="1" w:line="360" w:lineRule="auto"/>
        <w:jc w:val="both"/>
        <w:rPr>
          <w:rFonts w:ascii="Arial" w:eastAsia="Times New Roman" w:hAnsi="Arial" w:cs="Arial"/>
          <w:kern w:val="0"/>
          <w:sz w:val="20"/>
          <w:szCs w:val="20"/>
        </w:rPr>
        <w:sectPr w:rsidR="00E94941" w:rsidRPr="00F66C24" w:rsidSect="00E94941">
          <w:pgSz w:w="12240" w:h="15840"/>
          <w:pgMar w:top="1440" w:right="1440" w:bottom="1440" w:left="1440" w:header="720" w:footer="720" w:gutter="0"/>
          <w:cols w:space="720"/>
          <w:docGrid w:linePitch="360"/>
        </w:sectPr>
      </w:pPr>
      <w:r w:rsidRPr="00F66C24">
        <w:rPr>
          <w:rFonts w:ascii="Arial" w:hAnsi="Arial" w:cs="Arial"/>
          <w:b/>
          <w:bCs/>
          <w:sz w:val="20"/>
          <w:szCs w:val="20"/>
        </w:rPr>
        <w:t>Figure 3a:</w:t>
      </w:r>
      <w:r w:rsidRPr="00F66C24">
        <w:rPr>
          <w:rFonts w:ascii="Arial" w:hAnsi="Arial" w:cs="Arial"/>
          <w:sz w:val="20"/>
          <w:szCs w:val="20"/>
        </w:rPr>
        <w:t xml:space="preserve"> MMGBSAΔG Bind H-bond, Covalent bond, Vander </w:t>
      </w:r>
      <w:proofErr w:type="spellStart"/>
      <w:r w:rsidRPr="00F66C24">
        <w:rPr>
          <w:rFonts w:ascii="Arial" w:hAnsi="Arial" w:cs="Arial"/>
          <w:sz w:val="20"/>
          <w:szCs w:val="20"/>
        </w:rPr>
        <w:t>waal</w:t>
      </w:r>
      <w:proofErr w:type="spellEnd"/>
      <w:r w:rsidRPr="00F66C24">
        <w:rPr>
          <w:rFonts w:ascii="Arial" w:hAnsi="Arial" w:cs="Arial"/>
          <w:sz w:val="20"/>
          <w:szCs w:val="20"/>
        </w:rPr>
        <w:t xml:space="preserve"> forces, and Polar solvation of </w:t>
      </w:r>
      <w:proofErr w:type="spellStart"/>
      <w:r w:rsidRPr="00F66C24">
        <w:rPr>
          <w:rFonts w:ascii="Arial" w:hAnsi="Arial" w:cs="Arial"/>
          <w:sz w:val="20"/>
          <w:szCs w:val="20"/>
        </w:rPr>
        <w:t>Pemigatinib</w:t>
      </w:r>
      <w:proofErr w:type="spellEnd"/>
      <w:r w:rsidRPr="00F66C24">
        <w:rPr>
          <w:rFonts w:ascii="Arial" w:hAnsi="Arial" w:cs="Arial"/>
          <w:sz w:val="20"/>
          <w:szCs w:val="20"/>
        </w:rPr>
        <w:t xml:space="preserve"> and</w:t>
      </w:r>
      <w:r w:rsidRPr="00F66C24">
        <w:rPr>
          <w:rFonts w:ascii="Arial" w:hAnsi="Arial" w:cs="Arial"/>
          <w:bCs/>
          <w:sz w:val="20"/>
          <w:szCs w:val="20"/>
        </w:rPr>
        <w:t xml:space="preserve"> the 4 </w:t>
      </w:r>
      <w:r w:rsidR="009C4196">
        <w:rPr>
          <w:rFonts w:ascii="Arial" w:hAnsi="Arial" w:cs="Arial"/>
          <w:bCs/>
          <w:sz w:val="20"/>
          <w:szCs w:val="20"/>
        </w:rPr>
        <w:t>hit</w:t>
      </w:r>
      <w:r w:rsidRPr="00F66C24">
        <w:rPr>
          <w:rFonts w:ascii="Arial" w:hAnsi="Arial" w:cs="Arial"/>
          <w:bCs/>
          <w:sz w:val="20"/>
          <w:szCs w:val="20"/>
        </w:rPr>
        <w:t xml:space="preserve"> bioactive compounds</w:t>
      </w:r>
      <w:r w:rsidRPr="00F66C24">
        <w:rPr>
          <w:rFonts w:ascii="Arial" w:hAnsi="Arial" w:cs="Arial"/>
          <w:sz w:val="20"/>
          <w:szCs w:val="20"/>
        </w:rPr>
        <w:t xml:space="preserve"> in Maestro 12.5</w:t>
      </w:r>
    </w:p>
    <w:p w14:paraId="76AAC030" w14:textId="37E03D77" w:rsidR="00E94941" w:rsidRPr="00303D2C" w:rsidRDefault="009C4196" w:rsidP="00F66C24">
      <w:pPr>
        <w:jc w:val="center"/>
        <w:rPr>
          <w:rFonts w:ascii="Times New Roman" w:hAnsi="Times New Roman" w:cs="Times New Roman"/>
          <w:sz w:val="24"/>
          <w:szCs w:val="24"/>
        </w:rPr>
      </w:pPr>
      <w:r w:rsidRPr="009C4196">
        <w:rPr>
          <w:rFonts w:ascii="Times New Roman" w:hAnsi="Times New Roman" w:cs="Times New Roman"/>
          <w:noProof/>
          <w:sz w:val="24"/>
          <w:szCs w:val="24"/>
        </w:rPr>
        <w:lastRenderedPageBreak/>
        <w:drawing>
          <wp:inline distT="0" distB="0" distL="0" distR="0" wp14:anchorId="30A2C364" wp14:editId="1F1B9C84">
            <wp:extent cx="4391660" cy="2353267"/>
            <wp:effectExtent l="38100" t="38100" r="27940" b="47625"/>
            <wp:docPr id="184488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7589" name=""/>
                    <pic:cNvPicPr/>
                  </pic:nvPicPr>
                  <pic:blipFill>
                    <a:blip r:embed="rId21"/>
                    <a:stretch>
                      <a:fillRect/>
                    </a:stretch>
                  </pic:blipFill>
                  <pic:spPr>
                    <a:xfrm>
                      <a:off x="0" y="0"/>
                      <a:ext cx="4413235" cy="2364828"/>
                    </a:xfrm>
                    <a:prstGeom prst="rect">
                      <a:avLst/>
                    </a:prstGeom>
                    <a:ln w="31750">
                      <a:solidFill>
                        <a:schemeClr val="tx1"/>
                      </a:solidFill>
                    </a:ln>
                  </pic:spPr>
                </pic:pic>
              </a:graphicData>
            </a:graphic>
          </wp:inline>
        </w:drawing>
      </w:r>
    </w:p>
    <w:p w14:paraId="2F660B90" w14:textId="2266C7C6" w:rsidR="00E94941" w:rsidRPr="009C4196" w:rsidRDefault="00E94941" w:rsidP="009C4196">
      <w:pPr>
        <w:pStyle w:val="NormalWeb"/>
        <w:spacing w:before="0" w:beforeAutospacing="0" w:line="360" w:lineRule="auto"/>
        <w:jc w:val="both"/>
        <w:rPr>
          <w:rFonts w:ascii="Arial" w:hAnsi="Arial" w:cs="Arial"/>
          <w:sz w:val="20"/>
          <w:szCs w:val="20"/>
          <w:lang w:val="en-US"/>
        </w:rPr>
      </w:pPr>
      <w:r w:rsidRPr="009C4196">
        <w:rPr>
          <w:rFonts w:ascii="Arial" w:hAnsi="Arial" w:cs="Arial"/>
          <w:b/>
          <w:bCs/>
          <w:sz w:val="20"/>
          <w:szCs w:val="20"/>
        </w:rPr>
        <w:t>Figure 3b:</w:t>
      </w:r>
      <w:r w:rsidRPr="009C4196">
        <w:rPr>
          <w:rFonts w:ascii="Arial" w:hAnsi="Arial" w:cs="Arial"/>
          <w:sz w:val="20"/>
          <w:szCs w:val="20"/>
        </w:rPr>
        <w:t xml:space="preserve"> MMGBSAΔG overall binding energy for </w:t>
      </w:r>
      <w:proofErr w:type="spellStart"/>
      <w:r w:rsidRPr="009C4196">
        <w:rPr>
          <w:rFonts w:ascii="Arial" w:hAnsi="Arial" w:cs="Arial"/>
          <w:sz w:val="20"/>
          <w:szCs w:val="20"/>
        </w:rPr>
        <w:t>Pemigatinib</w:t>
      </w:r>
      <w:proofErr w:type="spellEnd"/>
      <w:r w:rsidRPr="009C4196">
        <w:rPr>
          <w:rFonts w:ascii="Arial" w:hAnsi="Arial" w:cs="Arial"/>
          <w:sz w:val="20"/>
          <w:szCs w:val="20"/>
        </w:rPr>
        <w:t xml:space="preserve"> and</w:t>
      </w:r>
      <w:r w:rsidRPr="009C4196">
        <w:rPr>
          <w:rFonts w:ascii="Arial" w:hAnsi="Arial" w:cs="Arial"/>
          <w:bCs/>
          <w:sz w:val="20"/>
          <w:szCs w:val="20"/>
        </w:rPr>
        <w:t xml:space="preserve"> the 4 </w:t>
      </w:r>
      <w:r w:rsidR="009C4196" w:rsidRPr="009C4196">
        <w:rPr>
          <w:rFonts w:ascii="Arial" w:hAnsi="Arial" w:cs="Arial"/>
          <w:bCs/>
          <w:sz w:val="20"/>
          <w:szCs w:val="20"/>
        </w:rPr>
        <w:t>hit</w:t>
      </w:r>
      <w:r w:rsidRPr="009C4196">
        <w:rPr>
          <w:rFonts w:ascii="Arial" w:hAnsi="Arial" w:cs="Arial"/>
          <w:bCs/>
          <w:sz w:val="20"/>
          <w:szCs w:val="20"/>
        </w:rPr>
        <w:t xml:space="preserve"> bioactive compounds</w:t>
      </w:r>
      <w:r w:rsidRPr="009C4196">
        <w:rPr>
          <w:rFonts w:ascii="Arial" w:hAnsi="Arial" w:cs="Arial"/>
          <w:sz w:val="20"/>
          <w:szCs w:val="20"/>
        </w:rPr>
        <w:t xml:space="preserve"> in Maestro 12.5.</w:t>
      </w:r>
    </w:p>
    <w:p w14:paraId="5BA36466" w14:textId="77777777"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Detailed interaction mapping between each ligand with the FGFR1 kinase domain (PDB ID: 7WCL) further substantiates the binding energy findings. As illustrated in Table 5 and Figure 4, 10- </w:t>
      </w:r>
      <w:proofErr w:type="spellStart"/>
      <w:r w:rsidRPr="0085434C">
        <w:rPr>
          <w:rFonts w:ascii="Arial" w:hAnsi="Arial" w:cs="Arial"/>
          <w:sz w:val="20"/>
          <w:szCs w:val="20"/>
          <w:lang w:val="en-GB"/>
        </w:rPr>
        <w:t>Hydroxytrilobacin</w:t>
      </w:r>
      <w:proofErr w:type="spellEnd"/>
      <w:r w:rsidRPr="0085434C">
        <w:rPr>
          <w:rFonts w:ascii="Arial" w:hAnsi="Arial" w:cs="Arial"/>
          <w:sz w:val="20"/>
          <w:szCs w:val="20"/>
          <w:lang w:val="en-GB"/>
        </w:rPr>
        <w:t xml:space="preserve"> established key hydrogen bonds with Gly567 and Asn628 and further interactions through Leu484, Tyr563, Ala564, Ser565, Asn568, Glu571, and Arg627, thus its position within the active site. Mosin B formed hydrogen bonds with Glu57 and Arg576 and extensive hydrophobic and polar interactions through residues like Leu484, Val492, Lys514, Tyr572, Gln574, Arg577, and Ala640. </w:t>
      </w:r>
      <w:proofErr w:type="spellStart"/>
      <w:r w:rsidRPr="0085434C">
        <w:rPr>
          <w:rFonts w:ascii="Arial" w:hAnsi="Arial" w:cs="Arial"/>
          <w:sz w:val="20"/>
          <w:szCs w:val="20"/>
          <w:lang w:val="en-GB"/>
        </w:rPr>
        <w:t>Rollinecins</w:t>
      </w:r>
      <w:proofErr w:type="spellEnd"/>
      <w:r w:rsidRPr="0085434C">
        <w:rPr>
          <w:rFonts w:ascii="Arial" w:hAnsi="Arial" w:cs="Arial"/>
          <w:sz w:val="20"/>
          <w:szCs w:val="20"/>
          <w:lang w:val="en-GB"/>
        </w:rPr>
        <w:t xml:space="preserve"> B formed a hydrogen bond interaction through Gly487 and additional van der Waals and polar contact with residues including Cys488, Lys514, Ala575, and Asp641, among others. </w:t>
      </w:r>
      <w:proofErr w:type="spellStart"/>
      <w:r w:rsidRPr="0085434C">
        <w:rPr>
          <w:rFonts w:ascii="Arial" w:hAnsi="Arial" w:cs="Arial"/>
          <w:sz w:val="20"/>
          <w:szCs w:val="20"/>
          <w:lang w:val="en-GB"/>
        </w:rPr>
        <w:t>Glacins</w:t>
      </w:r>
      <w:proofErr w:type="spellEnd"/>
      <w:r w:rsidRPr="0085434C">
        <w:rPr>
          <w:rFonts w:ascii="Arial" w:hAnsi="Arial" w:cs="Arial"/>
          <w:sz w:val="20"/>
          <w:szCs w:val="20"/>
          <w:lang w:val="en-GB"/>
        </w:rPr>
        <w:t xml:space="preserve"> B formed a hydrogen bond with Ser723, alongside interactions with Trp691, Asp720, Lys721, Pro722, and Cys725, most of which overlap those observed in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binding.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formed hydrogen bonds with His717 and Ser723, in addition to hydrophobic interactions through Arg577, Gly580, Thr695, and Asp720, confirming its modest binding affinity. These findings are consistent with previous research demonstrating that MM-GBSA enhances computational/experimental binding data correlation through solvation effects and enthalpic incorporation [47,48].</w:t>
      </w:r>
    </w:p>
    <w:p w14:paraId="6AF2F724" w14:textId="59061DA3" w:rsidR="009C4196" w:rsidRPr="009C4196" w:rsidRDefault="009C4196" w:rsidP="009C4196">
      <w:pPr>
        <w:pStyle w:val="NormalWeb"/>
        <w:spacing w:before="0" w:beforeAutospacing="0" w:after="0" w:afterAutospacing="0" w:line="360" w:lineRule="auto"/>
        <w:jc w:val="both"/>
        <w:rPr>
          <w:rFonts w:ascii="Arial" w:hAnsi="Arial" w:cs="Arial"/>
          <w:b/>
          <w:bCs/>
          <w:sz w:val="20"/>
          <w:szCs w:val="20"/>
        </w:rPr>
      </w:pPr>
      <w:r w:rsidRPr="009C4196">
        <w:rPr>
          <w:rFonts w:ascii="Arial" w:hAnsi="Arial" w:cs="Arial"/>
          <w:b/>
          <w:bCs/>
          <w:sz w:val="20"/>
          <w:szCs w:val="20"/>
        </w:rPr>
        <w:t>Table 5:</w:t>
      </w:r>
      <w:r w:rsidRPr="009C4196">
        <w:rPr>
          <w:rFonts w:ascii="Arial" w:hAnsi="Arial" w:cs="Arial"/>
          <w:sz w:val="20"/>
          <w:szCs w:val="20"/>
        </w:rPr>
        <w:t xml:space="preserve"> </w:t>
      </w:r>
      <w:r w:rsidR="00F0537E" w:rsidRPr="00285BF1">
        <w:rPr>
          <w:rFonts w:ascii="Arial" w:hAnsi="Arial" w:cs="Arial"/>
          <w:sz w:val="20"/>
          <w:szCs w:val="20"/>
        </w:rPr>
        <w:t xml:space="preserve">Binding affinities, interactions, and 3D structures of </w:t>
      </w:r>
      <w:proofErr w:type="spellStart"/>
      <w:r w:rsidR="00F0537E">
        <w:rPr>
          <w:rFonts w:ascii="Arial" w:hAnsi="Arial" w:cs="Arial"/>
          <w:sz w:val="20"/>
          <w:szCs w:val="20"/>
        </w:rPr>
        <w:t>Pemigatinib</w:t>
      </w:r>
      <w:proofErr w:type="spellEnd"/>
      <w:r w:rsidR="00F0537E" w:rsidRPr="00285BF1">
        <w:rPr>
          <w:rFonts w:ascii="Arial" w:hAnsi="Arial" w:cs="Arial"/>
          <w:sz w:val="20"/>
          <w:szCs w:val="20"/>
        </w:rPr>
        <w:t xml:space="preserve"> and the </w:t>
      </w:r>
      <w:r w:rsidR="00F0537E">
        <w:rPr>
          <w:rFonts w:ascii="Arial" w:hAnsi="Arial" w:cs="Arial"/>
          <w:sz w:val="20"/>
          <w:szCs w:val="20"/>
        </w:rPr>
        <w:t>4</w:t>
      </w:r>
      <w:r w:rsidR="00F0537E" w:rsidRPr="00285BF1">
        <w:rPr>
          <w:rFonts w:ascii="Arial" w:hAnsi="Arial" w:cs="Arial"/>
          <w:sz w:val="20"/>
          <w:szCs w:val="20"/>
        </w:rPr>
        <w:t xml:space="preserve"> lead bioactive compounds</w:t>
      </w:r>
      <w:r w:rsidR="00F0537E" w:rsidRPr="009C4196">
        <w:rPr>
          <w:rFonts w:ascii="Arial" w:hAnsi="Arial" w:cs="Arial"/>
          <w:sz w:val="20"/>
          <w:szCs w:val="20"/>
        </w:rPr>
        <w:t>.</w:t>
      </w:r>
    </w:p>
    <w:tbl>
      <w:tblPr>
        <w:tblStyle w:val="TableGridLight"/>
        <w:tblW w:w="9090" w:type="dxa"/>
        <w:tblInd w:w="-5" w:type="dxa"/>
        <w:tblLayout w:type="fixed"/>
        <w:tblLook w:val="04A0" w:firstRow="1" w:lastRow="0" w:firstColumn="1" w:lastColumn="0" w:noHBand="0" w:noVBand="1"/>
      </w:tblPr>
      <w:tblGrid>
        <w:gridCol w:w="2160"/>
        <w:gridCol w:w="1260"/>
        <w:gridCol w:w="2520"/>
        <w:gridCol w:w="3150"/>
      </w:tblGrid>
      <w:tr w:rsidR="005F5BBE" w:rsidRPr="009C4196" w14:paraId="795CF033" w14:textId="77777777" w:rsidTr="005F5BBE">
        <w:tc>
          <w:tcPr>
            <w:tcW w:w="2160" w:type="dxa"/>
          </w:tcPr>
          <w:p w14:paraId="0600005D" w14:textId="30D0D2DF" w:rsidR="009C4196" w:rsidRPr="009C4196" w:rsidRDefault="009C4196" w:rsidP="009C4196">
            <w:pPr>
              <w:spacing w:line="360" w:lineRule="auto"/>
              <w:jc w:val="both"/>
              <w:rPr>
                <w:rFonts w:ascii="Arial" w:hAnsi="Arial" w:cs="Arial"/>
                <w:b/>
                <w:sz w:val="20"/>
                <w:szCs w:val="20"/>
              </w:rPr>
            </w:pPr>
            <w:r>
              <w:rPr>
                <w:rFonts w:ascii="Arial" w:hAnsi="Arial" w:cs="Arial"/>
                <w:b/>
                <w:sz w:val="20"/>
                <w:szCs w:val="20"/>
              </w:rPr>
              <w:t xml:space="preserve">    </w:t>
            </w:r>
            <w:r w:rsidR="005F5BBE">
              <w:rPr>
                <w:rFonts w:ascii="Arial" w:hAnsi="Arial" w:cs="Arial"/>
                <w:b/>
                <w:sz w:val="20"/>
                <w:szCs w:val="20"/>
              </w:rPr>
              <w:t xml:space="preserve">     </w:t>
            </w:r>
            <w:r w:rsidRPr="009C4196">
              <w:rPr>
                <w:rFonts w:ascii="Arial" w:hAnsi="Arial" w:cs="Arial"/>
                <w:b/>
                <w:sz w:val="20"/>
                <w:szCs w:val="20"/>
              </w:rPr>
              <w:t>Compound</w:t>
            </w:r>
          </w:p>
          <w:p w14:paraId="491AB2FF" w14:textId="1C95BE78" w:rsidR="009C4196" w:rsidRPr="009C4196" w:rsidRDefault="009C4196" w:rsidP="009C4196">
            <w:pPr>
              <w:spacing w:line="360" w:lineRule="auto"/>
              <w:jc w:val="both"/>
              <w:rPr>
                <w:rFonts w:ascii="Arial" w:hAnsi="Arial" w:cs="Arial"/>
                <w:b/>
                <w:bCs/>
                <w:sz w:val="20"/>
                <w:szCs w:val="20"/>
              </w:rPr>
            </w:pPr>
            <w:r>
              <w:rPr>
                <w:rFonts w:ascii="Arial" w:hAnsi="Arial" w:cs="Arial"/>
                <w:b/>
                <w:sz w:val="20"/>
                <w:szCs w:val="20"/>
              </w:rPr>
              <w:t xml:space="preserve">    </w:t>
            </w:r>
            <w:r w:rsidR="005F5BBE">
              <w:rPr>
                <w:rFonts w:ascii="Arial" w:hAnsi="Arial" w:cs="Arial"/>
                <w:b/>
                <w:sz w:val="20"/>
                <w:szCs w:val="20"/>
              </w:rPr>
              <w:t xml:space="preserve">      </w:t>
            </w:r>
            <w:r>
              <w:rPr>
                <w:rFonts w:ascii="Arial" w:hAnsi="Arial" w:cs="Arial"/>
                <w:b/>
                <w:sz w:val="20"/>
                <w:szCs w:val="20"/>
              </w:rPr>
              <w:t xml:space="preserve"> </w:t>
            </w:r>
            <w:r w:rsidRPr="009C4196">
              <w:rPr>
                <w:rFonts w:ascii="Arial" w:hAnsi="Arial" w:cs="Arial"/>
                <w:b/>
                <w:sz w:val="20"/>
                <w:szCs w:val="20"/>
              </w:rPr>
              <w:t>Identifier</w:t>
            </w:r>
          </w:p>
          <w:p w14:paraId="2051B7DB" w14:textId="77777777" w:rsidR="009C4196" w:rsidRPr="009C4196" w:rsidRDefault="009C4196" w:rsidP="009C4196">
            <w:pPr>
              <w:jc w:val="both"/>
              <w:rPr>
                <w:rFonts w:ascii="Arial" w:hAnsi="Arial" w:cs="Arial"/>
                <w:b/>
                <w:sz w:val="20"/>
                <w:szCs w:val="20"/>
              </w:rPr>
            </w:pPr>
          </w:p>
        </w:tc>
        <w:tc>
          <w:tcPr>
            <w:tcW w:w="1260" w:type="dxa"/>
          </w:tcPr>
          <w:p w14:paraId="7A071084" w14:textId="3C8F8E22" w:rsidR="009C4196" w:rsidRPr="009C4196" w:rsidRDefault="009C4196" w:rsidP="009C4196">
            <w:pPr>
              <w:jc w:val="both"/>
              <w:rPr>
                <w:rFonts w:ascii="Arial" w:hAnsi="Arial" w:cs="Arial"/>
                <w:b/>
                <w:bCs/>
                <w:sz w:val="20"/>
                <w:szCs w:val="20"/>
              </w:rPr>
            </w:pPr>
            <w:r>
              <w:rPr>
                <w:rFonts w:ascii="Arial" w:hAnsi="Arial" w:cs="Arial"/>
                <w:b/>
                <w:bCs/>
                <w:sz w:val="20"/>
                <w:szCs w:val="20"/>
              </w:rPr>
              <w:t xml:space="preserve">  </w:t>
            </w:r>
            <w:r w:rsidR="005F5BBE">
              <w:rPr>
                <w:rFonts w:ascii="Arial" w:hAnsi="Arial" w:cs="Arial"/>
                <w:b/>
                <w:bCs/>
                <w:sz w:val="20"/>
                <w:szCs w:val="20"/>
              </w:rPr>
              <w:t xml:space="preserve"> </w:t>
            </w:r>
            <w:r w:rsidRPr="009C4196">
              <w:rPr>
                <w:rFonts w:ascii="Arial" w:hAnsi="Arial" w:cs="Arial"/>
                <w:b/>
                <w:bCs/>
                <w:sz w:val="20"/>
                <w:szCs w:val="20"/>
              </w:rPr>
              <w:t>H-bond interaction</w:t>
            </w:r>
          </w:p>
        </w:tc>
        <w:tc>
          <w:tcPr>
            <w:tcW w:w="2520" w:type="dxa"/>
          </w:tcPr>
          <w:p w14:paraId="373F814E" w14:textId="319DA156" w:rsidR="005F5BBE" w:rsidRDefault="005F5BBE" w:rsidP="009C4196">
            <w:pPr>
              <w:jc w:val="both"/>
              <w:rPr>
                <w:rFonts w:ascii="Arial" w:hAnsi="Arial" w:cs="Arial"/>
                <w:b/>
                <w:bCs/>
                <w:sz w:val="20"/>
                <w:szCs w:val="20"/>
              </w:rPr>
            </w:pPr>
            <w:r>
              <w:rPr>
                <w:rFonts w:ascii="Arial" w:hAnsi="Arial" w:cs="Arial"/>
                <w:b/>
                <w:bCs/>
                <w:sz w:val="20"/>
                <w:szCs w:val="20"/>
              </w:rPr>
              <w:t xml:space="preserve">                 </w:t>
            </w:r>
            <w:r w:rsidR="009C4196" w:rsidRPr="009C4196">
              <w:rPr>
                <w:rFonts w:ascii="Arial" w:hAnsi="Arial" w:cs="Arial"/>
                <w:b/>
                <w:bCs/>
                <w:sz w:val="20"/>
                <w:szCs w:val="20"/>
              </w:rPr>
              <w:t xml:space="preserve">Other </w:t>
            </w:r>
            <w:r>
              <w:rPr>
                <w:rFonts w:ascii="Arial" w:hAnsi="Arial" w:cs="Arial"/>
                <w:b/>
                <w:bCs/>
                <w:sz w:val="20"/>
                <w:szCs w:val="20"/>
              </w:rPr>
              <w:t xml:space="preserve">   </w:t>
            </w:r>
          </w:p>
          <w:p w14:paraId="7C118E7D" w14:textId="4EF22E6F" w:rsidR="009C4196" w:rsidRPr="009C4196" w:rsidRDefault="005F5BBE" w:rsidP="009C4196">
            <w:pPr>
              <w:jc w:val="both"/>
              <w:rPr>
                <w:rFonts w:ascii="Arial" w:hAnsi="Arial" w:cs="Arial"/>
                <w:b/>
                <w:bCs/>
                <w:sz w:val="20"/>
                <w:szCs w:val="20"/>
              </w:rPr>
            </w:pPr>
            <w:r>
              <w:rPr>
                <w:rFonts w:ascii="Arial" w:hAnsi="Arial" w:cs="Arial"/>
                <w:b/>
                <w:bCs/>
                <w:sz w:val="20"/>
                <w:szCs w:val="20"/>
              </w:rPr>
              <w:t xml:space="preserve">           </w:t>
            </w:r>
            <w:r w:rsidR="009C4196" w:rsidRPr="009C4196">
              <w:rPr>
                <w:rFonts w:ascii="Arial" w:hAnsi="Arial" w:cs="Arial"/>
                <w:b/>
                <w:bCs/>
                <w:sz w:val="20"/>
                <w:szCs w:val="20"/>
              </w:rPr>
              <w:t>Interaction</w:t>
            </w:r>
            <w:r>
              <w:rPr>
                <w:rFonts w:ascii="Arial" w:hAnsi="Arial" w:cs="Arial"/>
                <w:b/>
                <w:bCs/>
                <w:sz w:val="20"/>
                <w:szCs w:val="20"/>
              </w:rPr>
              <w:t>s</w:t>
            </w:r>
          </w:p>
        </w:tc>
        <w:tc>
          <w:tcPr>
            <w:tcW w:w="3150" w:type="dxa"/>
          </w:tcPr>
          <w:p w14:paraId="41256492" w14:textId="77777777" w:rsidR="009C4196" w:rsidRDefault="009C4196" w:rsidP="009C4196">
            <w:pPr>
              <w:jc w:val="both"/>
              <w:rPr>
                <w:rFonts w:ascii="Arial" w:hAnsi="Arial" w:cs="Arial"/>
                <w:b/>
                <w:bCs/>
                <w:sz w:val="20"/>
                <w:szCs w:val="20"/>
              </w:rPr>
            </w:pPr>
            <w:r>
              <w:rPr>
                <w:rFonts w:ascii="Arial" w:hAnsi="Arial" w:cs="Arial"/>
                <w:b/>
                <w:bCs/>
                <w:sz w:val="20"/>
                <w:szCs w:val="20"/>
              </w:rPr>
              <w:t xml:space="preserve">              </w:t>
            </w:r>
          </w:p>
          <w:p w14:paraId="48943909" w14:textId="0CA9D4DA" w:rsidR="009C4196" w:rsidRPr="009C4196" w:rsidRDefault="009C4196" w:rsidP="009C4196">
            <w:pPr>
              <w:jc w:val="both"/>
              <w:rPr>
                <w:rFonts w:ascii="Arial" w:hAnsi="Arial" w:cs="Arial"/>
                <w:b/>
                <w:sz w:val="20"/>
                <w:szCs w:val="20"/>
              </w:rPr>
            </w:pPr>
            <w:r>
              <w:rPr>
                <w:rFonts w:ascii="Arial" w:hAnsi="Arial" w:cs="Arial"/>
                <w:b/>
                <w:bCs/>
                <w:sz w:val="20"/>
                <w:szCs w:val="20"/>
              </w:rPr>
              <w:t xml:space="preserve">             </w:t>
            </w:r>
            <w:r w:rsidRPr="009C4196">
              <w:rPr>
                <w:rFonts w:ascii="Arial" w:hAnsi="Arial" w:cs="Arial"/>
                <w:b/>
                <w:bCs/>
                <w:sz w:val="20"/>
                <w:szCs w:val="20"/>
              </w:rPr>
              <w:t>3-D structure</w:t>
            </w:r>
          </w:p>
        </w:tc>
      </w:tr>
      <w:tr w:rsidR="005F5BBE" w:rsidRPr="009C4196" w14:paraId="549DECA4" w14:textId="77777777" w:rsidTr="005F5BBE">
        <w:trPr>
          <w:trHeight w:val="1205"/>
        </w:trPr>
        <w:tc>
          <w:tcPr>
            <w:tcW w:w="2160" w:type="dxa"/>
          </w:tcPr>
          <w:p w14:paraId="7D77BDE0" w14:textId="748F0521" w:rsidR="009C4196" w:rsidRPr="009C4196" w:rsidRDefault="009C4196" w:rsidP="009C4196">
            <w:pPr>
              <w:jc w:val="both"/>
              <w:rPr>
                <w:rFonts w:ascii="Arial" w:hAnsi="Arial" w:cs="Arial"/>
                <w:bCs/>
                <w:sz w:val="20"/>
                <w:szCs w:val="20"/>
              </w:rPr>
            </w:pPr>
            <w:r>
              <w:rPr>
                <w:rFonts w:ascii="Arial" w:hAnsi="Arial" w:cs="Arial"/>
                <w:bCs/>
                <w:sz w:val="20"/>
                <w:szCs w:val="20"/>
              </w:rPr>
              <w:t xml:space="preserve">    </w:t>
            </w:r>
            <w:proofErr w:type="spellStart"/>
            <w:r w:rsidRPr="009C4196">
              <w:rPr>
                <w:rFonts w:ascii="Arial" w:hAnsi="Arial" w:cs="Arial"/>
                <w:bCs/>
                <w:sz w:val="20"/>
                <w:szCs w:val="20"/>
              </w:rPr>
              <w:t>Pemigatinib</w:t>
            </w:r>
            <w:proofErr w:type="spellEnd"/>
          </w:p>
          <w:p w14:paraId="75BC2332" w14:textId="7EA54C01" w:rsidR="009C4196" w:rsidRPr="009C4196" w:rsidRDefault="009C4196" w:rsidP="009C4196">
            <w:pPr>
              <w:jc w:val="both"/>
              <w:rPr>
                <w:rFonts w:ascii="Arial" w:hAnsi="Arial" w:cs="Arial"/>
                <w:bCs/>
                <w:sz w:val="20"/>
                <w:szCs w:val="20"/>
              </w:rPr>
            </w:pPr>
          </w:p>
        </w:tc>
        <w:tc>
          <w:tcPr>
            <w:tcW w:w="1260" w:type="dxa"/>
          </w:tcPr>
          <w:p w14:paraId="0FCFCDFA" w14:textId="6AAF0704" w:rsidR="009C4196" w:rsidRDefault="009C4196" w:rsidP="009C4196">
            <w:pPr>
              <w:jc w:val="both"/>
              <w:rPr>
                <w:rFonts w:ascii="Arial" w:hAnsi="Arial" w:cs="Arial"/>
                <w:bCs/>
                <w:noProof/>
                <w:sz w:val="20"/>
                <w:szCs w:val="20"/>
              </w:rPr>
            </w:pPr>
            <w:r>
              <w:rPr>
                <w:rFonts w:ascii="Arial" w:hAnsi="Arial" w:cs="Arial"/>
                <w:bCs/>
                <w:noProof/>
                <w:sz w:val="20"/>
                <w:szCs w:val="20"/>
              </w:rPr>
              <w:t xml:space="preserve"> </w:t>
            </w:r>
            <w:r w:rsidR="005F5BBE">
              <w:rPr>
                <w:rFonts w:ascii="Arial" w:hAnsi="Arial" w:cs="Arial"/>
                <w:bCs/>
                <w:noProof/>
                <w:sz w:val="20"/>
                <w:szCs w:val="20"/>
              </w:rPr>
              <w:t xml:space="preserve"> </w:t>
            </w:r>
            <w:r w:rsidRPr="009C4196">
              <w:rPr>
                <w:rFonts w:ascii="Arial" w:hAnsi="Arial" w:cs="Arial"/>
                <w:bCs/>
                <w:noProof/>
                <w:sz w:val="20"/>
                <w:szCs w:val="20"/>
              </w:rPr>
              <w:t>His 717,</w:t>
            </w:r>
          </w:p>
          <w:p w14:paraId="4D9F39DD" w14:textId="57AD21E2"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 xml:space="preserve"> </w:t>
            </w:r>
            <w:r w:rsidR="005F5BBE">
              <w:rPr>
                <w:rFonts w:ascii="Arial" w:hAnsi="Arial" w:cs="Arial"/>
                <w:bCs/>
                <w:noProof/>
                <w:sz w:val="20"/>
                <w:szCs w:val="20"/>
              </w:rPr>
              <w:t xml:space="preserve"> </w:t>
            </w:r>
            <w:r w:rsidRPr="009C4196">
              <w:rPr>
                <w:rFonts w:ascii="Arial" w:hAnsi="Arial" w:cs="Arial"/>
                <w:bCs/>
                <w:noProof/>
                <w:sz w:val="20"/>
                <w:szCs w:val="20"/>
              </w:rPr>
              <w:t>Ser 723.</w:t>
            </w:r>
          </w:p>
        </w:tc>
        <w:tc>
          <w:tcPr>
            <w:tcW w:w="2520" w:type="dxa"/>
          </w:tcPr>
          <w:p w14:paraId="707BA122"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 xml:space="preserve">Arg577, Pro578, Pro579, Gly580, Trp691, Thr695, Leu696, Gly698, Ser699, Pro702, Met719 Asp720, Pro722. </w:t>
            </w:r>
          </w:p>
        </w:tc>
        <w:tc>
          <w:tcPr>
            <w:tcW w:w="3150" w:type="dxa"/>
          </w:tcPr>
          <w:p w14:paraId="51E18AFD" w14:textId="77777777" w:rsidR="009C4196" w:rsidRPr="009C4196" w:rsidRDefault="009C4196" w:rsidP="009C4196">
            <w:pPr>
              <w:jc w:val="both"/>
              <w:rPr>
                <w:rFonts w:ascii="Arial" w:hAnsi="Arial" w:cs="Arial"/>
                <w:bCs/>
                <w:sz w:val="20"/>
                <w:szCs w:val="20"/>
              </w:rPr>
            </w:pPr>
            <w:r w:rsidRPr="009C4196">
              <w:rPr>
                <w:rFonts w:ascii="Arial" w:hAnsi="Arial" w:cs="Arial"/>
                <w:bCs/>
                <w:noProof/>
                <w:sz w:val="20"/>
                <w:szCs w:val="20"/>
              </w:rPr>
              <w:drawing>
                <wp:inline distT="0" distB="0" distL="0" distR="0" wp14:anchorId="4B222E85" wp14:editId="68ACC50A">
                  <wp:extent cx="1895475" cy="686073"/>
                  <wp:effectExtent l="0" t="0" r="0" b="0"/>
                  <wp:docPr id="143335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54863" name=""/>
                          <pic:cNvPicPr/>
                        </pic:nvPicPr>
                        <pic:blipFill>
                          <a:blip r:embed="rId22"/>
                          <a:stretch>
                            <a:fillRect/>
                          </a:stretch>
                        </pic:blipFill>
                        <pic:spPr>
                          <a:xfrm>
                            <a:off x="0" y="0"/>
                            <a:ext cx="1898703" cy="687241"/>
                          </a:xfrm>
                          <a:prstGeom prst="rect">
                            <a:avLst/>
                          </a:prstGeom>
                        </pic:spPr>
                      </pic:pic>
                    </a:graphicData>
                  </a:graphic>
                </wp:inline>
              </w:drawing>
            </w:r>
          </w:p>
        </w:tc>
      </w:tr>
      <w:tr w:rsidR="005F5BBE" w:rsidRPr="009C4196" w14:paraId="1582B326" w14:textId="77777777" w:rsidTr="005F5BBE">
        <w:trPr>
          <w:trHeight w:val="1358"/>
        </w:trPr>
        <w:tc>
          <w:tcPr>
            <w:tcW w:w="2160" w:type="dxa"/>
          </w:tcPr>
          <w:p w14:paraId="498C3C86" w14:textId="77777777" w:rsidR="009C4196" w:rsidRPr="009C4196" w:rsidRDefault="009C4196" w:rsidP="009C4196">
            <w:pPr>
              <w:jc w:val="both"/>
              <w:rPr>
                <w:rFonts w:ascii="Arial" w:hAnsi="Arial" w:cs="Arial"/>
                <w:bCs/>
                <w:sz w:val="20"/>
                <w:szCs w:val="20"/>
              </w:rPr>
            </w:pPr>
            <w:r w:rsidRPr="009C4196">
              <w:rPr>
                <w:rFonts w:ascii="Arial" w:hAnsi="Arial" w:cs="Arial"/>
                <w:sz w:val="20"/>
                <w:szCs w:val="20"/>
              </w:rPr>
              <w:lastRenderedPageBreak/>
              <w:t>-10-Hydroxytrilobacin</w:t>
            </w:r>
          </w:p>
        </w:tc>
        <w:tc>
          <w:tcPr>
            <w:tcW w:w="1260" w:type="dxa"/>
          </w:tcPr>
          <w:p w14:paraId="23FABE91"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Gly567, Asn 628.</w:t>
            </w:r>
          </w:p>
        </w:tc>
        <w:tc>
          <w:tcPr>
            <w:tcW w:w="2520" w:type="dxa"/>
          </w:tcPr>
          <w:p w14:paraId="656D8B01"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Leu484, Tyr563, Ala564, Ser565, Asn568, Glu571, Asp623, Arg627, Leu630, Lys655, Lys656, Thr657, Thr658, Pro663.</w:t>
            </w:r>
          </w:p>
        </w:tc>
        <w:tc>
          <w:tcPr>
            <w:tcW w:w="3150" w:type="dxa"/>
          </w:tcPr>
          <w:p w14:paraId="367A8665" w14:textId="77777777" w:rsidR="009C4196" w:rsidRPr="009C4196" w:rsidRDefault="009C4196" w:rsidP="009C4196">
            <w:pPr>
              <w:jc w:val="both"/>
              <w:rPr>
                <w:rFonts w:ascii="Arial" w:hAnsi="Arial" w:cs="Arial"/>
                <w:bCs/>
                <w:sz w:val="20"/>
                <w:szCs w:val="20"/>
              </w:rPr>
            </w:pPr>
            <w:r w:rsidRPr="009C4196">
              <w:rPr>
                <w:rFonts w:ascii="Arial" w:hAnsi="Arial" w:cs="Arial"/>
                <w:bCs/>
                <w:noProof/>
                <w:sz w:val="20"/>
                <w:szCs w:val="20"/>
              </w:rPr>
              <w:drawing>
                <wp:inline distT="0" distB="0" distL="0" distR="0" wp14:anchorId="61B67C56" wp14:editId="6D02F956">
                  <wp:extent cx="1695236" cy="885825"/>
                  <wp:effectExtent l="0" t="0" r="635" b="0"/>
                  <wp:docPr id="194357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72189" name=""/>
                          <pic:cNvPicPr/>
                        </pic:nvPicPr>
                        <pic:blipFill>
                          <a:blip r:embed="rId23"/>
                          <a:stretch>
                            <a:fillRect/>
                          </a:stretch>
                        </pic:blipFill>
                        <pic:spPr>
                          <a:xfrm>
                            <a:off x="0" y="0"/>
                            <a:ext cx="1716504" cy="896938"/>
                          </a:xfrm>
                          <a:prstGeom prst="rect">
                            <a:avLst/>
                          </a:prstGeom>
                        </pic:spPr>
                      </pic:pic>
                    </a:graphicData>
                  </a:graphic>
                </wp:inline>
              </w:drawing>
            </w:r>
          </w:p>
        </w:tc>
      </w:tr>
      <w:tr w:rsidR="005F5BBE" w:rsidRPr="009C4196" w14:paraId="32EFC327" w14:textId="77777777" w:rsidTr="005F5BBE">
        <w:trPr>
          <w:trHeight w:val="1223"/>
        </w:trPr>
        <w:tc>
          <w:tcPr>
            <w:tcW w:w="2160" w:type="dxa"/>
          </w:tcPr>
          <w:p w14:paraId="521F8634" w14:textId="77777777" w:rsidR="009C4196" w:rsidRPr="009C4196" w:rsidRDefault="009C4196" w:rsidP="009C4196">
            <w:pPr>
              <w:jc w:val="both"/>
              <w:rPr>
                <w:rFonts w:ascii="Arial" w:hAnsi="Arial" w:cs="Arial"/>
                <w:bCs/>
                <w:sz w:val="20"/>
                <w:szCs w:val="20"/>
              </w:rPr>
            </w:pPr>
            <w:r w:rsidRPr="009C4196">
              <w:rPr>
                <w:rFonts w:ascii="Arial" w:hAnsi="Arial" w:cs="Arial"/>
                <w:bCs/>
                <w:sz w:val="20"/>
                <w:szCs w:val="20"/>
              </w:rPr>
              <w:t>Mosin B</w:t>
            </w:r>
          </w:p>
        </w:tc>
        <w:tc>
          <w:tcPr>
            <w:tcW w:w="1260" w:type="dxa"/>
          </w:tcPr>
          <w:p w14:paraId="1E6C6B15"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Glu57, Arg576.</w:t>
            </w:r>
          </w:p>
        </w:tc>
        <w:tc>
          <w:tcPr>
            <w:tcW w:w="2520" w:type="dxa"/>
          </w:tcPr>
          <w:p w14:paraId="4054D793"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Leu484, Glu486, Val492, Lys514, Ile545, Val561, Lys566, Gly567, Tyr572, Gln574, Ala575,  Arg577, Pro578, Pro579,  Leu630, Ala640, Asp641.</w:t>
            </w:r>
          </w:p>
        </w:tc>
        <w:tc>
          <w:tcPr>
            <w:tcW w:w="3150" w:type="dxa"/>
          </w:tcPr>
          <w:p w14:paraId="11DEFF2B" w14:textId="77777777" w:rsidR="009C4196" w:rsidRPr="009C4196" w:rsidRDefault="009C4196" w:rsidP="009C4196">
            <w:pPr>
              <w:jc w:val="both"/>
              <w:rPr>
                <w:rFonts w:ascii="Arial" w:hAnsi="Arial" w:cs="Arial"/>
                <w:bCs/>
                <w:sz w:val="20"/>
                <w:szCs w:val="20"/>
              </w:rPr>
            </w:pPr>
            <w:r w:rsidRPr="009C4196">
              <w:rPr>
                <w:rFonts w:ascii="Arial" w:hAnsi="Arial" w:cs="Arial"/>
                <w:bCs/>
                <w:noProof/>
                <w:sz w:val="20"/>
                <w:szCs w:val="20"/>
              </w:rPr>
              <w:drawing>
                <wp:inline distT="0" distB="0" distL="0" distR="0" wp14:anchorId="3E365AAD" wp14:editId="18A72E64">
                  <wp:extent cx="1661160" cy="1047750"/>
                  <wp:effectExtent l="0" t="0" r="0" b="0"/>
                  <wp:docPr id="136088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82487" name=""/>
                          <pic:cNvPicPr/>
                        </pic:nvPicPr>
                        <pic:blipFill>
                          <a:blip r:embed="rId24"/>
                          <a:stretch>
                            <a:fillRect/>
                          </a:stretch>
                        </pic:blipFill>
                        <pic:spPr>
                          <a:xfrm>
                            <a:off x="0" y="0"/>
                            <a:ext cx="1668375" cy="1052301"/>
                          </a:xfrm>
                          <a:prstGeom prst="rect">
                            <a:avLst/>
                          </a:prstGeom>
                        </pic:spPr>
                      </pic:pic>
                    </a:graphicData>
                  </a:graphic>
                </wp:inline>
              </w:drawing>
            </w:r>
          </w:p>
        </w:tc>
      </w:tr>
      <w:tr w:rsidR="005F5BBE" w:rsidRPr="009C4196" w14:paraId="39D0B988" w14:textId="77777777" w:rsidTr="005F5BBE">
        <w:trPr>
          <w:trHeight w:val="1430"/>
        </w:trPr>
        <w:tc>
          <w:tcPr>
            <w:tcW w:w="2160" w:type="dxa"/>
          </w:tcPr>
          <w:p w14:paraId="331E814A" w14:textId="77777777" w:rsidR="009C4196" w:rsidRPr="009C4196" w:rsidRDefault="009C4196" w:rsidP="009C4196">
            <w:pPr>
              <w:jc w:val="both"/>
              <w:rPr>
                <w:rFonts w:ascii="Arial" w:hAnsi="Arial" w:cs="Arial"/>
                <w:bCs/>
                <w:sz w:val="20"/>
                <w:szCs w:val="20"/>
              </w:rPr>
            </w:pPr>
            <w:proofErr w:type="spellStart"/>
            <w:r w:rsidRPr="009C4196">
              <w:rPr>
                <w:rFonts w:ascii="Arial" w:hAnsi="Arial" w:cs="Arial"/>
                <w:sz w:val="20"/>
                <w:szCs w:val="20"/>
              </w:rPr>
              <w:t>Rollinecins</w:t>
            </w:r>
            <w:proofErr w:type="spellEnd"/>
            <w:r w:rsidRPr="009C4196">
              <w:rPr>
                <w:rFonts w:ascii="Arial" w:hAnsi="Arial" w:cs="Arial"/>
                <w:sz w:val="20"/>
                <w:szCs w:val="20"/>
              </w:rPr>
              <w:t xml:space="preserve"> B</w:t>
            </w:r>
          </w:p>
        </w:tc>
        <w:tc>
          <w:tcPr>
            <w:tcW w:w="1260" w:type="dxa"/>
          </w:tcPr>
          <w:p w14:paraId="3452D0B8"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Gly 487.</w:t>
            </w:r>
          </w:p>
        </w:tc>
        <w:tc>
          <w:tcPr>
            <w:tcW w:w="2520" w:type="dxa"/>
          </w:tcPr>
          <w:p w14:paraId="681DFEB4"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Leu484, Glu486, Cys488, Ala512, Lys514, Glu531, Ile545, Val561, Gly567, Asn568, Glu571, Gln574, Ala575, Arg577, Val592, Leu630, Ala640, Asp641, Gly698, Ser699, Pro702.</w:t>
            </w:r>
          </w:p>
          <w:p w14:paraId="61C133C1" w14:textId="77777777" w:rsidR="009C4196" w:rsidRPr="009C4196" w:rsidRDefault="009C4196" w:rsidP="009C4196">
            <w:pPr>
              <w:jc w:val="both"/>
              <w:rPr>
                <w:rFonts w:ascii="Arial" w:hAnsi="Arial" w:cs="Arial"/>
                <w:bCs/>
                <w:noProof/>
                <w:sz w:val="20"/>
                <w:szCs w:val="20"/>
              </w:rPr>
            </w:pPr>
          </w:p>
          <w:p w14:paraId="4BEB5053" w14:textId="77777777" w:rsidR="009C4196" w:rsidRPr="009C4196" w:rsidRDefault="009C4196" w:rsidP="009C4196">
            <w:pPr>
              <w:jc w:val="both"/>
              <w:rPr>
                <w:rFonts w:ascii="Arial" w:hAnsi="Arial" w:cs="Arial"/>
                <w:bCs/>
                <w:noProof/>
                <w:sz w:val="20"/>
                <w:szCs w:val="20"/>
              </w:rPr>
            </w:pPr>
          </w:p>
        </w:tc>
        <w:tc>
          <w:tcPr>
            <w:tcW w:w="3150" w:type="dxa"/>
          </w:tcPr>
          <w:p w14:paraId="1D75587F" w14:textId="77777777" w:rsidR="009C4196" w:rsidRPr="009C4196" w:rsidRDefault="009C4196" w:rsidP="009C4196">
            <w:pPr>
              <w:jc w:val="both"/>
              <w:rPr>
                <w:rFonts w:ascii="Arial" w:hAnsi="Arial" w:cs="Arial"/>
                <w:bCs/>
                <w:sz w:val="20"/>
                <w:szCs w:val="20"/>
              </w:rPr>
            </w:pPr>
            <w:r w:rsidRPr="009C4196">
              <w:rPr>
                <w:rFonts w:ascii="Arial" w:hAnsi="Arial" w:cs="Arial"/>
                <w:bCs/>
                <w:noProof/>
                <w:sz w:val="20"/>
                <w:szCs w:val="20"/>
              </w:rPr>
              <w:drawing>
                <wp:inline distT="0" distB="0" distL="0" distR="0" wp14:anchorId="591605BA" wp14:editId="42EB92B8">
                  <wp:extent cx="1659255" cy="981075"/>
                  <wp:effectExtent l="0" t="0" r="0" b="9525"/>
                  <wp:docPr id="143885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58405" name=""/>
                          <pic:cNvPicPr/>
                        </pic:nvPicPr>
                        <pic:blipFill>
                          <a:blip r:embed="rId25"/>
                          <a:stretch>
                            <a:fillRect/>
                          </a:stretch>
                        </pic:blipFill>
                        <pic:spPr>
                          <a:xfrm>
                            <a:off x="0" y="0"/>
                            <a:ext cx="1744128" cy="1031258"/>
                          </a:xfrm>
                          <a:prstGeom prst="rect">
                            <a:avLst/>
                          </a:prstGeom>
                        </pic:spPr>
                      </pic:pic>
                    </a:graphicData>
                  </a:graphic>
                </wp:inline>
              </w:drawing>
            </w:r>
          </w:p>
        </w:tc>
      </w:tr>
      <w:tr w:rsidR="005F5BBE" w:rsidRPr="009C4196" w14:paraId="70BE2F1C" w14:textId="77777777" w:rsidTr="005F5BBE">
        <w:trPr>
          <w:trHeight w:val="1493"/>
        </w:trPr>
        <w:tc>
          <w:tcPr>
            <w:tcW w:w="2160" w:type="dxa"/>
          </w:tcPr>
          <w:p w14:paraId="176A757E" w14:textId="77777777" w:rsidR="009C4196" w:rsidRPr="009C4196" w:rsidRDefault="009C4196" w:rsidP="009C4196">
            <w:pPr>
              <w:jc w:val="both"/>
              <w:rPr>
                <w:rFonts w:ascii="Arial" w:hAnsi="Arial" w:cs="Arial"/>
                <w:bCs/>
                <w:sz w:val="20"/>
                <w:szCs w:val="20"/>
              </w:rPr>
            </w:pPr>
            <w:proofErr w:type="spellStart"/>
            <w:r w:rsidRPr="009C4196">
              <w:rPr>
                <w:rFonts w:ascii="Arial" w:hAnsi="Arial" w:cs="Arial"/>
                <w:bCs/>
                <w:sz w:val="20"/>
                <w:szCs w:val="20"/>
              </w:rPr>
              <w:t>Glacin</w:t>
            </w:r>
            <w:proofErr w:type="spellEnd"/>
            <w:r w:rsidRPr="009C4196">
              <w:rPr>
                <w:rFonts w:ascii="Arial" w:hAnsi="Arial" w:cs="Arial"/>
                <w:bCs/>
                <w:sz w:val="20"/>
                <w:szCs w:val="20"/>
              </w:rPr>
              <w:t xml:space="preserve"> B</w:t>
            </w:r>
          </w:p>
        </w:tc>
        <w:tc>
          <w:tcPr>
            <w:tcW w:w="1260" w:type="dxa"/>
          </w:tcPr>
          <w:p w14:paraId="6A2A2981"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Ser723.</w:t>
            </w:r>
          </w:p>
        </w:tc>
        <w:tc>
          <w:tcPr>
            <w:tcW w:w="2520" w:type="dxa"/>
          </w:tcPr>
          <w:p w14:paraId="6E8725AF"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t>Ser597, Leu600, Trp691, Phe694, Thr695, Leu696, Asp720, Lys721, Pro722, Asn724, Cys725.</w:t>
            </w:r>
          </w:p>
        </w:tc>
        <w:tc>
          <w:tcPr>
            <w:tcW w:w="3150" w:type="dxa"/>
          </w:tcPr>
          <w:p w14:paraId="51BD9306" w14:textId="77777777" w:rsidR="009C4196" w:rsidRPr="009C4196" w:rsidRDefault="009C4196" w:rsidP="009C4196">
            <w:pPr>
              <w:jc w:val="both"/>
              <w:rPr>
                <w:rFonts w:ascii="Arial" w:hAnsi="Arial" w:cs="Arial"/>
                <w:bCs/>
                <w:noProof/>
                <w:sz w:val="20"/>
                <w:szCs w:val="20"/>
              </w:rPr>
            </w:pPr>
            <w:r w:rsidRPr="009C4196">
              <w:rPr>
                <w:rFonts w:ascii="Arial" w:hAnsi="Arial" w:cs="Arial"/>
                <w:bCs/>
                <w:noProof/>
                <w:sz w:val="20"/>
                <w:szCs w:val="20"/>
              </w:rPr>
              <w:drawing>
                <wp:inline distT="0" distB="0" distL="0" distR="0" wp14:anchorId="77BF7D1E" wp14:editId="7BBA8BF5">
                  <wp:extent cx="1684411" cy="885825"/>
                  <wp:effectExtent l="0" t="0" r="0" b="0"/>
                  <wp:docPr id="8861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9238" name=""/>
                          <pic:cNvPicPr/>
                        </pic:nvPicPr>
                        <pic:blipFill>
                          <a:blip r:embed="rId26"/>
                          <a:stretch>
                            <a:fillRect/>
                          </a:stretch>
                        </pic:blipFill>
                        <pic:spPr>
                          <a:xfrm>
                            <a:off x="0" y="0"/>
                            <a:ext cx="1727628" cy="908553"/>
                          </a:xfrm>
                          <a:prstGeom prst="rect">
                            <a:avLst/>
                          </a:prstGeom>
                        </pic:spPr>
                      </pic:pic>
                    </a:graphicData>
                  </a:graphic>
                </wp:inline>
              </w:drawing>
            </w:r>
          </w:p>
        </w:tc>
      </w:tr>
    </w:tbl>
    <w:p w14:paraId="6F5D8074" w14:textId="77777777" w:rsidR="009C4196" w:rsidRPr="0085434C" w:rsidRDefault="009C4196" w:rsidP="0085434C">
      <w:pPr>
        <w:spacing w:after="0" w:line="360" w:lineRule="auto"/>
        <w:jc w:val="both"/>
        <w:rPr>
          <w:rFonts w:ascii="Arial" w:hAnsi="Arial" w:cs="Arial"/>
          <w:sz w:val="20"/>
          <w:szCs w:val="20"/>
          <w:lang w:val="en-GB"/>
        </w:rPr>
      </w:pPr>
    </w:p>
    <w:tbl>
      <w:tblPr>
        <w:tblStyle w:val="TableGrid"/>
        <w:tblW w:w="10597" w:type="dxa"/>
        <w:tblInd w:w="-702" w:type="dxa"/>
        <w:tblLook w:val="04A0" w:firstRow="1" w:lastRow="0" w:firstColumn="1" w:lastColumn="0" w:noHBand="0" w:noVBand="1"/>
      </w:tblPr>
      <w:tblGrid>
        <w:gridCol w:w="10597"/>
      </w:tblGrid>
      <w:tr w:rsidR="005F5BBE" w:rsidRPr="00303D2C" w14:paraId="6BF4A307" w14:textId="77777777" w:rsidTr="00261B7D">
        <w:trPr>
          <w:trHeight w:val="5390"/>
        </w:trPr>
        <w:tc>
          <w:tcPr>
            <w:tcW w:w="10597" w:type="dxa"/>
          </w:tcPr>
          <w:p w14:paraId="0A4EFB23" w14:textId="77777777" w:rsidR="005F5BBE" w:rsidRPr="005F5BBE" w:rsidRDefault="005F5BBE" w:rsidP="00261B7D">
            <w:pPr>
              <w:jc w:val="both"/>
              <w:rPr>
                <w:rFonts w:ascii="Arial" w:eastAsia="Times New Roman" w:hAnsi="Arial" w:cs="Arial"/>
                <w:noProof/>
                <w:sz w:val="20"/>
                <w:szCs w:val="20"/>
              </w:rPr>
            </w:pPr>
            <w:r w:rsidRPr="005F5BBE">
              <w:rPr>
                <w:rFonts w:ascii="Arial" w:eastAsia="Times New Roman" w:hAnsi="Arial" w:cs="Arial"/>
                <w:noProof/>
                <w:sz w:val="20"/>
                <w:szCs w:val="20"/>
              </w:rPr>
              <w:t>(</w:t>
            </w:r>
            <w:bookmarkStart w:id="6" w:name="_Hlk188101527"/>
            <w:r w:rsidRPr="005F5BBE">
              <w:rPr>
                <w:rFonts w:ascii="Arial" w:eastAsia="Times New Roman" w:hAnsi="Arial" w:cs="Arial"/>
                <w:noProof/>
                <w:sz w:val="20"/>
                <w:szCs w:val="20"/>
              </w:rPr>
              <w:t>4a)</w:t>
            </w:r>
          </w:p>
          <w:p w14:paraId="130512F5" w14:textId="77777777" w:rsidR="005F5BBE" w:rsidRPr="00303D2C" w:rsidRDefault="005F5BBE" w:rsidP="00261B7D">
            <w:pPr>
              <w:jc w:val="both"/>
              <w:rPr>
                <w:rFonts w:ascii="Times New Roman" w:hAnsi="Times New Roman" w:cs="Times New Roman"/>
                <w:noProof/>
                <w:sz w:val="24"/>
                <w:szCs w:val="24"/>
                <w:lang w:val="en-GB"/>
              </w:rPr>
            </w:pP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47" behindDoc="0" locked="0" layoutInCell="1" allowOverlap="1" wp14:anchorId="231F46BF" wp14:editId="01E9C2F7">
                      <wp:simplePos x="0" y="0"/>
                      <wp:positionH relativeFrom="column">
                        <wp:posOffset>3407361</wp:posOffset>
                      </wp:positionH>
                      <wp:positionV relativeFrom="paragraph">
                        <wp:posOffset>32238</wp:posOffset>
                      </wp:positionV>
                      <wp:extent cx="3147646" cy="2861310"/>
                      <wp:effectExtent l="0" t="0" r="15240" b="12065"/>
                      <wp:wrapNone/>
                      <wp:docPr id="3419773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646" cy="2861310"/>
                              </a:xfrm>
                              <a:prstGeom prst="rect">
                                <a:avLst/>
                              </a:prstGeom>
                              <a:noFill/>
                              <a:ln w="6350">
                                <a:solidFill>
                                  <a:prstClr val="black"/>
                                </a:solidFill>
                                <a:prstDash val="dash"/>
                              </a:ln>
                            </wps:spPr>
                            <wps:txbx>
                              <w:txbxContent>
                                <w:p w14:paraId="56F10A7D"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1F46BF" id="_x0000_t202" coordsize="21600,21600" o:spt="202" path="m,l,21600r21600,l21600,xe">
                      <v:stroke joinstyle="miter"/>
                      <v:path gradientshapeok="t" o:connecttype="rect"/>
                    </v:shapetype>
                    <v:shape id="Text Box 27" o:spid="_x0000_s1026" type="#_x0000_t202" style="position:absolute;left:0;text-align:left;margin-left:268.3pt;margin-top:2.55pt;width:247.85pt;height:225.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" filled="f" strokeweight=".5pt">
                      <v:stroke dashstyle="dash"/>
                      <v:path arrowok="t"/>
                      <v:textbox>
                        <w:txbxContent>
                          <w:p w14:paraId="56F10A7D" w14:textId="77777777" w:rsidR="005F5BBE" w:rsidRDefault="005F5BBE" w:rsidP="005F5BBE"/>
                        </w:txbxContent>
                      </v:textbox>
                    </v:shap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49" behindDoc="0" locked="0" layoutInCell="1" allowOverlap="1" wp14:anchorId="7FE92C55" wp14:editId="2F56B856">
                      <wp:simplePos x="0" y="0"/>
                      <wp:positionH relativeFrom="column">
                        <wp:posOffset>2501753</wp:posOffset>
                      </wp:positionH>
                      <wp:positionV relativeFrom="paragraph">
                        <wp:posOffset>32237</wp:posOffset>
                      </wp:positionV>
                      <wp:extent cx="905608" cy="76152"/>
                      <wp:effectExtent l="0" t="0" r="27940" b="19685"/>
                      <wp:wrapNone/>
                      <wp:docPr id="143170623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5608" cy="7615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C2939E" id="Straight Connector 3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2.55pt" to="268.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" strokecolor="black [3200]" strokeweight=".5pt">
                      <v:stroke dashstyle="dash" joinstyle="miter"/>
                      <o:lock v:ext="edit" shapetype="f"/>
                    </v:lin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48" behindDoc="0" locked="0" layoutInCell="1" allowOverlap="1" wp14:anchorId="2CEA8499" wp14:editId="3BEDB4C1">
                      <wp:simplePos x="0" y="0"/>
                      <wp:positionH relativeFrom="column">
                        <wp:posOffset>2501753</wp:posOffset>
                      </wp:positionH>
                      <wp:positionV relativeFrom="paragraph">
                        <wp:posOffset>2740269</wp:posOffset>
                      </wp:positionV>
                      <wp:extent cx="905608" cy="144145"/>
                      <wp:effectExtent l="0" t="0" r="8890" b="27305"/>
                      <wp:wrapNone/>
                      <wp:docPr id="405260027"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608" cy="14414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323D2E" id="Straight Connector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215.75pt" to="268.3pt,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" strokecolor="black [3200]" strokeweight=".5pt">
                      <v:stroke dashstyle="dash" joinstyle="miter"/>
                      <o:lock v:ext="edit" shapetype="f"/>
                    </v:lin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46" behindDoc="0" locked="0" layoutInCell="1" allowOverlap="1" wp14:anchorId="293C1B6B" wp14:editId="01F4A068">
                      <wp:simplePos x="0" y="0"/>
                      <wp:positionH relativeFrom="column">
                        <wp:posOffset>1042230</wp:posOffset>
                      </wp:positionH>
                      <wp:positionV relativeFrom="paragraph">
                        <wp:posOffset>102577</wp:posOffset>
                      </wp:positionV>
                      <wp:extent cx="1459133" cy="2646485"/>
                      <wp:effectExtent l="0" t="0" r="27305" b="20955"/>
                      <wp:wrapNone/>
                      <wp:docPr id="6464416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133" cy="2646485"/>
                              </a:xfrm>
                              <a:prstGeom prst="rect">
                                <a:avLst/>
                              </a:prstGeom>
                              <a:noFill/>
                              <a:ln w="6350">
                                <a:solidFill>
                                  <a:prstClr val="black"/>
                                </a:solidFill>
                                <a:prstDash val="dash"/>
                              </a:ln>
                            </wps:spPr>
                            <wps:txbx>
                              <w:txbxContent>
                                <w:p w14:paraId="569A9E07" w14:textId="77777777" w:rsidR="005F5BBE" w:rsidRPr="007E11DF"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3C1B6B" id="Text Box 25" o:spid="_x0000_s1027" type="#_x0000_t202" style="position:absolute;left:0;text-align:left;margin-left:82.05pt;margin-top:8.1pt;width:114.9pt;height:208.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" filled="f" strokeweight=".5pt">
                      <v:stroke dashstyle="dash"/>
                      <v:path arrowok="t"/>
                      <v:textbox>
                        <w:txbxContent>
                          <w:p w14:paraId="569A9E07" w14:textId="77777777" w:rsidR="005F5BBE" w:rsidRPr="007E11DF" w:rsidRDefault="005F5BBE" w:rsidP="005F5BBE"/>
                        </w:txbxContent>
                      </v:textbox>
                    </v:shape>
                  </w:pict>
                </mc:Fallback>
              </mc:AlternateContent>
            </w:r>
            <w:r w:rsidRPr="00303D2C">
              <w:rPr>
                <w:rFonts w:ascii="Times New Roman" w:hAnsi="Times New Roman" w:cs="Times New Roman"/>
                <w:noProof/>
                <w:sz w:val="24"/>
                <w:szCs w:val="24"/>
              </w:rPr>
              <w:drawing>
                <wp:inline distT="0" distB="0" distL="0" distR="0" wp14:anchorId="20BA62AA" wp14:editId="2967E608">
                  <wp:extent cx="3393831" cy="2773179"/>
                  <wp:effectExtent l="0" t="0" r="0" b="8255"/>
                  <wp:docPr id="186671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7506" name=""/>
                          <pic:cNvPicPr/>
                        </pic:nvPicPr>
                        <pic:blipFill>
                          <a:blip r:embed="rId27"/>
                          <a:stretch>
                            <a:fillRect/>
                          </a:stretch>
                        </pic:blipFill>
                        <pic:spPr>
                          <a:xfrm>
                            <a:off x="0" y="0"/>
                            <a:ext cx="3485938" cy="2848441"/>
                          </a:xfrm>
                          <a:prstGeom prst="rect">
                            <a:avLst/>
                          </a:prstGeom>
                        </pic:spPr>
                      </pic:pic>
                    </a:graphicData>
                  </a:graphic>
                </wp:inline>
              </w:drawing>
            </w:r>
            <w:r w:rsidRPr="00303D2C">
              <w:rPr>
                <w:rFonts w:ascii="Times New Roman" w:hAnsi="Times New Roman" w:cs="Times New Roman"/>
                <w:noProof/>
                <w:sz w:val="24"/>
                <w:szCs w:val="24"/>
              </w:rPr>
              <w:drawing>
                <wp:inline distT="0" distB="0" distL="0" distR="0" wp14:anchorId="11F09C52" wp14:editId="56A9C057">
                  <wp:extent cx="3147646" cy="2896870"/>
                  <wp:effectExtent l="0" t="0" r="0" b="0"/>
                  <wp:docPr id="7913775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637" cy="2989815"/>
                          </a:xfrm>
                          <a:prstGeom prst="rect">
                            <a:avLst/>
                          </a:prstGeom>
                          <a:noFill/>
                          <a:ln>
                            <a:noFill/>
                          </a:ln>
                        </pic:spPr>
                      </pic:pic>
                    </a:graphicData>
                  </a:graphic>
                </wp:inline>
              </w:drawing>
            </w:r>
          </w:p>
          <w:p w14:paraId="44B4FF0B" w14:textId="77777777" w:rsidR="005F5BBE" w:rsidRPr="00303D2C" w:rsidRDefault="005F5BBE" w:rsidP="00261B7D">
            <w:pPr>
              <w:jc w:val="both"/>
              <w:rPr>
                <w:rFonts w:ascii="Times New Roman" w:eastAsia="Times New Roman" w:hAnsi="Times New Roman" w:cs="Times New Roman"/>
                <w:noProof/>
                <w:sz w:val="24"/>
                <w:szCs w:val="24"/>
              </w:rPr>
            </w:pPr>
            <w:r w:rsidRPr="00303D2C">
              <w:rPr>
                <w:rFonts w:ascii="Times New Roman" w:eastAsia="Times New Roman" w:hAnsi="Times New Roman" w:cs="Times New Roman"/>
                <w:noProof/>
                <w:sz w:val="24"/>
                <w:szCs w:val="24"/>
              </w:rPr>
              <w:t xml:space="preserve">    </w:t>
            </w:r>
          </w:p>
          <w:p w14:paraId="6EA9321E" w14:textId="77777777" w:rsidR="005F5BBE" w:rsidRPr="005F5BBE" w:rsidRDefault="005F5BBE" w:rsidP="00261B7D">
            <w:pPr>
              <w:jc w:val="both"/>
              <w:rPr>
                <w:rFonts w:ascii="Arial" w:eastAsia="Times New Roman" w:hAnsi="Arial" w:cs="Arial"/>
                <w:noProof/>
                <w:sz w:val="20"/>
                <w:szCs w:val="20"/>
              </w:rPr>
            </w:pPr>
            <w:r w:rsidRPr="005F5BBE">
              <w:rPr>
                <w:rFonts w:ascii="Arial" w:eastAsia="Times New Roman" w:hAnsi="Arial" w:cs="Arial"/>
                <w:b/>
                <w:sz w:val="20"/>
                <w:szCs w:val="20"/>
              </w:rPr>
              <w:t>7WCL_PEMIGATINIB</w:t>
            </w:r>
            <w:bookmarkEnd w:id="6"/>
          </w:p>
        </w:tc>
      </w:tr>
    </w:tbl>
    <w:p w14:paraId="78D9F037" w14:textId="77777777" w:rsidR="005F5BBE" w:rsidRDefault="005F5BBE" w:rsidP="0085434C">
      <w:pPr>
        <w:spacing w:after="0" w:line="360" w:lineRule="auto"/>
        <w:jc w:val="both"/>
        <w:rPr>
          <w:rFonts w:ascii="Arial" w:hAnsi="Arial" w:cs="Arial"/>
          <w:b/>
          <w:bCs/>
          <w:sz w:val="20"/>
          <w:szCs w:val="20"/>
          <w:lang w:val="en-GB"/>
        </w:rPr>
      </w:pPr>
    </w:p>
    <w:tbl>
      <w:tblPr>
        <w:tblStyle w:val="TableGrid"/>
        <w:tblW w:w="10507" w:type="dxa"/>
        <w:tblInd w:w="-612" w:type="dxa"/>
        <w:tblLook w:val="04A0" w:firstRow="1" w:lastRow="0" w:firstColumn="1" w:lastColumn="0" w:noHBand="0" w:noVBand="1"/>
      </w:tblPr>
      <w:tblGrid>
        <w:gridCol w:w="10507"/>
      </w:tblGrid>
      <w:tr w:rsidR="005F5BBE" w:rsidRPr="00303D2C" w14:paraId="3626CAE4" w14:textId="77777777" w:rsidTr="00261B7D">
        <w:trPr>
          <w:trHeight w:val="10340"/>
        </w:trPr>
        <w:tc>
          <w:tcPr>
            <w:tcW w:w="10507" w:type="dxa"/>
          </w:tcPr>
          <w:p w14:paraId="143F9C3F" w14:textId="77777777" w:rsidR="005F5BBE" w:rsidRPr="005F5BBE" w:rsidRDefault="005F5BBE" w:rsidP="00261B7D">
            <w:pPr>
              <w:pStyle w:val="NormalWeb"/>
              <w:jc w:val="both"/>
              <w:rPr>
                <w:rFonts w:ascii="Arial" w:hAnsi="Arial" w:cs="Arial"/>
                <w:noProof/>
                <w:sz w:val="20"/>
                <w:szCs w:val="20"/>
              </w:rPr>
            </w:pPr>
            <w:r w:rsidRPr="00303D2C">
              <w:rPr>
                <w:noProof/>
              </w:rPr>
              <w:lastRenderedPageBreak/>
              <mc:AlternateContent>
                <mc:Choice Requires="wps">
                  <w:drawing>
                    <wp:anchor distT="0" distB="0" distL="114300" distR="114300" simplePos="0" relativeHeight="251658265" behindDoc="0" locked="0" layoutInCell="1" allowOverlap="1" wp14:anchorId="6A374DE8" wp14:editId="4DA9899B">
                      <wp:simplePos x="0" y="0"/>
                      <wp:positionH relativeFrom="column">
                        <wp:posOffset>2155190</wp:posOffset>
                      </wp:positionH>
                      <wp:positionV relativeFrom="paragraph">
                        <wp:posOffset>31749</wp:posOffset>
                      </wp:positionV>
                      <wp:extent cx="854075" cy="485775"/>
                      <wp:effectExtent l="0" t="0" r="22225" b="28575"/>
                      <wp:wrapNone/>
                      <wp:docPr id="56942723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4075" cy="4857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DE690" id="Straight Connector 2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pt,2.5pt" to="236.9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" strokecolor="black [3213]" strokeweight=".5pt">
                      <v:stroke dashstyle="dash" joinstyle="miter"/>
                      <o:lock v:ext="edit" shapetype="f"/>
                    </v:line>
                  </w:pict>
                </mc:Fallback>
              </mc:AlternateContent>
            </w:r>
            <w:r w:rsidRPr="00303D2C">
              <w:rPr>
                <w:noProof/>
              </w:rPr>
              <mc:AlternateContent>
                <mc:Choice Requires="wps">
                  <w:drawing>
                    <wp:anchor distT="0" distB="0" distL="114300" distR="114300" simplePos="0" relativeHeight="251658263" behindDoc="0" locked="0" layoutInCell="1" allowOverlap="1" wp14:anchorId="3B15FAEA" wp14:editId="5547B7C0">
                      <wp:simplePos x="0" y="0"/>
                      <wp:positionH relativeFrom="column">
                        <wp:posOffset>2989727</wp:posOffset>
                      </wp:positionH>
                      <wp:positionV relativeFrom="paragraph">
                        <wp:posOffset>28819</wp:posOffset>
                      </wp:positionV>
                      <wp:extent cx="3516630" cy="3332285"/>
                      <wp:effectExtent l="0" t="0" r="26670" b="20955"/>
                      <wp:wrapNone/>
                      <wp:docPr id="16139731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6630" cy="3332285"/>
                              </a:xfrm>
                              <a:prstGeom prst="rect">
                                <a:avLst/>
                              </a:prstGeom>
                              <a:noFill/>
                              <a:ln w="6350">
                                <a:solidFill>
                                  <a:prstClr val="black"/>
                                </a:solidFill>
                                <a:prstDash val="dash"/>
                              </a:ln>
                            </wps:spPr>
                            <wps:txbx>
                              <w:txbxContent>
                                <w:p w14:paraId="45389D1B" w14:textId="77777777" w:rsidR="005F5BBE" w:rsidRPr="00C7770A" w:rsidRDefault="005F5BBE" w:rsidP="005F5BB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FAEA" id="Text Box 19" o:spid="_x0000_s1028" type="#_x0000_t202" style="position:absolute;left:0;text-align:left;margin-left:235.4pt;margin-top:2.25pt;width:276.9pt;height:262.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" filled="f" strokeweight=".5pt">
                      <v:stroke dashstyle="dash"/>
                      <v:path arrowok="t"/>
                      <v:textbox>
                        <w:txbxContent>
                          <w:p w14:paraId="45389D1B" w14:textId="77777777" w:rsidR="005F5BBE" w:rsidRPr="00C7770A" w:rsidRDefault="005F5BBE" w:rsidP="005F5BBE">
                            <w:pPr>
                              <w:rPr>
                                <w:color w:val="FFFFFF" w:themeColor="background1"/>
                              </w:rPr>
                            </w:pPr>
                          </w:p>
                        </w:txbxContent>
                      </v:textbox>
                    </v:shape>
                  </w:pict>
                </mc:Fallback>
              </mc:AlternateContent>
            </w:r>
            <w:r w:rsidRPr="00303D2C">
              <w:rPr>
                <w:noProof/>
              </w:rPr>
              <w:t>(</w:t>
            </w:r>
            <w:r w:rsidRPr="005F5BBE">
              <w:rPr>
                <w:rFonts w:ascii="Arial" w:hAnsi="Arial" w:cs="Arial"/>
                <w:noProof/>
                <w:sz w:val="20"/>
                <w:szCs w:val="20"/>
              </w:rPr>
              <w:t xml:space="preserve">4b) </w:t>
            </w:r>
          </w:p>
          <w:p w14:paraId="6759D874" w14:textId="2552B8BF" w:rsidR="005F5BBE" w:rsidRPr="00303D2C" w:rsidRDefault="007C7FE4" w:rsidP="00261B7D">
            <w:pPr>
              <w:jc w:val="both"/>
              <w:rPr>
                <w:rFonts w:ascii="Times New Roman" w:hAnsi="Times New Roman" w:cs="Times New Roman"/>
                <w:sz w:val="24"/>
                <w:szCs w:val="24"/>
                <w:lang w:val="en-GB"/>
              </w:rPr>
            </w:pP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64" behindDoc="0" locked="0" layoutInCell="1" allowOverlap="1" wp14:anchorId="7EB3260C" wp14:editId="0BA1A29C">
                      <wp:simplePos x="0" y="0"/>
                      <wp:positionH relativeFrom="column">
                        <wp:posOffset>2155190</wp:posOffset>
                      </wp:positionH>
                      <wp:positionV relativeFrom="paragraph">
                        <wp:posOffset>2344420</wp:posOffset>
                      </wp:positionV>
                      <wp:extent cx="824230" cy="669925"/>
                      <wp:effectExtent l="0" t="0" r="13970" b="34925"/>
                      <wp:wrapNone/>
                      <wp:docPr id="83145025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4230" cy="6699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F5E4BC"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9.7pt,184.6pt" to="234.6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" strokecolor="black [3213]" strokeweight=".5pt">
                      <v:stroke dashstyle="dash" joinstyle="miter"/>
                      <o:lock v:ext="edit" shapetype="f"/>
                    </v:line>
                  </w:pict>
                </mc:Fallback>
              </mc:AlternateContent>
            </w:r>
            <w:r w:rsidR="005F5BBE"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62" behindDoc="0" locked="0" layoutInCell="1" allowOverlap="1" wp14:anchorId="3B612B4C" wp14:editId="20C18414">
                      <wp:simplePos x="0" y="0"/>
                      <wp:positionH relativeFrom="column">
                        <wp:posOffset>1103630</wp:posOffset>
                      </wp:positionH>
                      <wp:positionV relativeFrom="paragraph">
                        <wp:posOffset>166370</wp:posOffset>
                      </wp:positionV>
                      <wp:extent cx="1045845" cy="2179955"/>
                      <wp:effectExtent l="0" t="0" r="20955" b="10795"/>
                      <wp:wrapNone/>
                      <wp:docPr id="13652709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845" cy="2179955"/>
                              </a:xfrm>
                              <a:prstGeom prst="rect">
                                <a:avLst/>
                              </a:prstGeom>
                              <a:noFill/>
                              <a:ln w="6350">
                                <a:solidFill>
                                  <a:schemeClr val="tx1"/>
                                </a:solidFill>
                                <a:prstDash val="dash"/>
                              </a:ln>
                            </wps:spPr>
                            <wps:txbx>
                              <w:txbxContent>
                                <w:p w14:paraId="3897FF84" w14:textId="77777777" w:rsidR="005F5BBE" w:rsidRPr="00C7770A" w:rsidRDefault="005F5BBE" w:rsidP="005F5BB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612B4C" id="Text Box 17" o:spid="_x0000_s1029" type="#_x0000_t202" style="position:absolute;left:0;text-align:left;margin-left:86.9pt;margin-top:13.1pt;width:82.35pt;height:171.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" filled="f" strokecolor="black [3213]" strokeweight=".5pt">
                      <v:stroke dashstyle="dash"/>
                      <v:path arrowok="t"/>
                      <v:textbox>
                        <w:txbxContent>
                          <w:p w14:paraId="3897FF84" w14:textId="77777777" w:rsidR="005F5BBE" w:rsidRPr="00C7770A" w:rsidRDefault="005F5BBE" w:rsidP="005F5BBE">
                            <w:pPr>
                              <w:rPr>
                                <w:color w:val="000000" w:themeColor="text1"/>
                              </w:rPr>
                            </w:pPr>
                          </w:p>
                        </w:txbxContent>
                      </v:textbox>
                    </v:shape>
                  </w:pict>
                </mc:Fallback>
              </mc:AlternateContent>
            </w:r>
            <w:r w:rsidR="005F5BBE" w:rsidRPr="00303D2C">
              <w:rPr>
                <w:rFonts w:ascii="Times New Roman" w:hAnsi="Times New Roman" w:cs="Times New Roman"/>
                <w:noProof/>
                <w:sz w:val="24"/>
                <w:szCs w:val="24"/>
              </w:rPr>
              <w:drawing>
                <wp:inline distT="0" distB="0" distL="0" distR="0" wp14:anchorId="38C96056" wp14:editId="20819ECF">
                  <wp:extent cx="2980592" cy="2923540"/>
                  <wp:effectExtent l="0" t="0" r="0" b="0"/>
                  <wp:docPr id="76852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7138" name=""/>
                          <pic:cNvPicPr/>
                        </pic:nvPicPr>
                        <pic:blipFill>
                          <a:blip r:embed="rId29"/>
                          <a:stretch>
                            <a:fillRect/>
                          </a:stretch>
                        </pic:blipFill>
                        <pic:spPr>
                          <a:xfrm>
                            <a:off x="0" y="0"/>
                            <a:ext cx="3005540" cy="2948011"/>
                          </a:xfrm>
                          <a:prstGeom prst="rect">
                            <a:avLst/>
                          </a:prstGeom>
                        </pic:spPr>
                      </pic:pic>
                    </a:graphicData>
                  </a:graphic>
                </wp:inline>
              </w:drawing>
            </w:r>
            <w:r w:rsidR="005F5BBE" w:rsidRPr="00303D2C">
              <w:rPr>
                <w:rFonts w:ascii="Times New Roman" w:hAnsi="Times New Roman" w:cs="Times New Roman"/>
                <w:noProof/>
                <w:sz w:val="24"/>
                <w:szCs w:val="24"/>
              </w:rPr>
              <w:drawing>
                <wp:inline distT="0" distB="0" distL="0" distR="0" wp14:anchorId="27B61D54" wp14:editId="108FE6DA">
                  <wp:extent cx="3515995" cy="3006969"/>
                  <wp:effectExtent l="0" t="0" r="8255" b="3175"/>
                  <wp:docPr id="11435289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644" cy="3079363"/>
                          </a:xfrm>
                          <a:prstGeom prst="rect">
                            <a:avLst/>
                          </a:prstGeom>
                          <a:noFill/>
                          <a:ln>
                            <a:noFill/>
                          </a:ln>
                        </pic:spPr>
                      </pic:pic>
                    </a:graphicData>
                  </a:graphic>
                </wp:inline>
              </w:drawing>
            </w:r>
          </w:p>
          <w:p w14:paraId="7CD1C37D" w14:textId="77777777" w:rsidR="005F5BBE" w:rsidRPr="005F5BBE" w:rsidRDefault="005F5BBE" w:rsidP="007C7FE4">
            <w:pPr>
              <w:pStyle w:val="NormalWeb"/>
              <w:spacing w:before="0" w:beforeAutospacing="0"/>
              <w:jc w:val="both"/>
              <w:rPr>
                <w:rFonts w:ascii="Arial" w:hAnsi="Arial" w:cs="Arial"/>
                <w:b/>
                <w:sz w:val="20"/>
                <w:szCs w:val="20"/>
              </w:rPr>
            </w:pPr>
            <w:r w:rsidRPr="005F5BBE">
              <w:rPr>
                <w:rFonts w:ascii="Arial" w:hAnsi="Arial" w:cs="Arial"/>
                <w:b/>
                <w:sz w:val="20"/>
                <w:szCs w:val="20"/>
              </w:rPr>
              <w:t>7WCL_10-HYDROXYTRILOBACIN</w:t>
            </w:r>
          </w:p>
          <w:p w14:paraId="16457B16" w14:textId="77777777" w:rsidR="005F5BBE" w:rsidRPr="005F5BBE" w:rsidRDefault="005F5BBE" w:rsidP="007C7FE4">
            <w:pPr>
              <w:pStyle w:val="NormalWeb"/>
              <w:spacing w:after="0" w:afterAutospacing="0"/>
              <w:jc w:val="both"/>
              <w:rPr>
                <w:rFonts w:ascii="Arial" w:hAnsi="Arial" w:cs="Arial"/>
                <w:noProof/>
                <w:sz w:val="20"/>
                <w:szCs w:val="20"/>
              </w:rPr>
            </w:pPr>
            <w:r w:rsidRPr="005F5BBE">
              <w:rPr>
                <w:rFonts w:ascii="Arial" w:hAnsi="Arial" w:cs="Arial"/>
                <w:noProof/>
                <w:sz w:val="20"/>
                <w:szCs w:val="20"/>
              </w:rPr>
              <w:t>(4c)</w:t>
            </w:r>
          </w:p>
          <w:p w14:paraId="028FCB65" w14:textId="6490426E" w:rsidR="005F5BBE" w:rsidRPr="00303D2C" w:rsidRDefault="009230C7" w:rsidP="00261B7D">
            <w:pPr>
              <w:pStyle w:val="NormalWeb"/>
              <w:jc w:val="both"/>
              <w:rPr>
                <w:b/>
              </w:rPr>
            </w:pPr>
            <w:r w:rsidRPr="00303D2C">
              <w:rPr>
                <w:noProof/>
              </w:rPr>
              <mc:AlternateContent>
                <mc:Choice Requires="wps">
                  <w:drawing>
                    <wp:anchor distT="0" distB="0" distL="114300" distR="114300" simplePos="0" relativeHeight="251658252" behindDoc="0" locked="0" layoutInCell="1" allowOverlap="1" wp14:anchorId="7B97E9AC" wp14:editId="36553AE1">
                      <wp:simplePos x="0" y="0"/>
                      <wp:positionH relativeFrom="column">
                        <wp:posOffset>1964689</wp:posOffset>
                      </wp:positionH>
                      <wp:positionV relativeFrom="paragraph">
                        <wp:posOffset>2323465</wp:posOffset>
                      </wp:positionV>
                      <wp:extent cx="725805" cy="608330"/>
                      <wp:effectExtent l="0" t="0" r="36195" b="20320"/>
                      <wp:wrapNone/>
                      <wp:docPr id="59977493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5805" cy="6083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967C56"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pt,182.95pt" to="211.8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" strokecolor="black [3200]" strokeweight=".5pt">
                      <v:stroke dashstyle="dash" joinstyle="miter"/>
                      <o:lock v:ext="edit" shapetype="f"/>
                    </v:line>
                  </w:pict>
                </mc:Fallback>
              </mc:AlternateContent>
            </w:r>
            <w:r w:rsidRPr="00303D2C">
              <w:rPr>
                <w:noProof/>
              </w:rPr>
              <mc:AlternateContent>
                <mc:Choice Requires="wps">
                  <w:drawing>
                    <wp:anchor distT="0" distB="0" distL="114300" distR="114300" simplePos="0" relativeHeight="251658251" behindDoc="0" locked="0" layoutInCell="1" allowOverlap="1" wp14:anchorId="05548D9B" wp14:editId="7EC74BCA">
                      <wp:simplePos x="0" y="0"/>
                      <wp:positionH relativeFrom="column">
                        <wp:posOffset>2669540</wp:posOffset>
                      </wp:positionH>
                      <wp:positionV relativeFrom="paragraph">
                        <wp:posOffset>189865</wp:posOffset>
                      </wp:positionV>
                      <wp:extent cx="3850640" cy="2735580"/>
                      <wp:effectExtent l="0" t="0" r="16510" b="26670"/>
                      <wp:wrapNone/>
                      <wp:docPr id="4739111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0640" cy="2735580"/>
                              </a:xfrm>
                              <a:prstGeom prst="rect">
                                <a:avLst/>
                              </a:prstGeom>
                              <a:noFill/>
                              <a:ln w="6350">
                                <a:solidFill>
                                  <a:prstClr val="black"/>
                                </a:solidFill>
                                <a:prstDash val="dash"/>
                              </a:ln>
                            </wps:spPr>
                            <wps:txbx>
                              <w:txbxContent>
                                <w:p w14:paraId="6BDE3BB6"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548D9B" id="Text Box 7" o:spid="_x0000_s1030" type="#_x0000_t202" style="position:absolute;left:0;text-align:left;margin-left:210.2pt;margin-top:14.95pt;width:303.2pt;height:215.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" filled="f" strokeweight=".5pt">
                      <v:stroke dashstyle="dash"/>
                      <v:path arrowok="t"/>
                      <v:textbox>
                        <w:txbxContent>
                          <w:p w14:paraId="6BDE3BB6" w14:textId="77777777" w:rsidR="005F5BBE" w:rsidRDefault="005F5BBE" w:rsidP="005F5BBE"/>
                        </w:txbxContent>
                      </v:textbox>
                    </v:shape>
                  </w:pict>
                </mc:Fallback>
              </mc:AlternateContent>
            </w:r>
            <w:r w:rsidR="007C7FE4" w:rsidRPr="00303D2C">
              <w:rPr>
                <w:noProof/>
              </w:rPr>
              <mc:AlternateContent>
                <mc:Choice Requires="wps">
                  <w:drawing>
                    <wp:anchor distT="0" distB="0" distL="114300" distR="114300" simplePos="0" relativeHeight="251658253" behindDoc="0" locked="0" layoutInCell="1" allowOverlap="1" wp14:anchorId="3F2BD072" wp14:editId="0BBAEA2A">
                      <wp:simplePos x="0" y="0"/>
                      <wp:positionH relativeFrom="column">
                        <wp:posOffset>1976755</wp:posOffset>
                      </wp:positionH>
                      <wp:positionV relativeFrom="paragraph">
                        <wp:posOffset>189864</wp:posOffset>
                      </wp:positionV>
                      <wp:extent cx="716280" cy="561975"/>
                      <wp:effectExtent l="0" t="0" r="26670" b="28575"/>
                      <wp:wrapNone/>
                      <wp:docPr id="42997875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6280" cy="5619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3C6D6"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5pt,14.95pt" to="212.0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" strokecolor="black [3200]" strokeweight=".5pt">
                      <v:stroke dashstyle="dash" joinstyle="miter"/>
                      <o:lock v:ext="edit" shapetype="f"/>
                    </v:line>
                  </w:pict>
                </mc:Fallback>
              </mc:AlternateContent>
            </w:r>
            <w:r w:rsidR="007C7FE4" w:rsidRPr="00303D2C">
              <w:rPr>
                <w:noProof/>
              </w:rPr>
              <mc:AlternateContent>
                <mc:Choice Requires="wps">
                  <w:drawing>
                    <wp:anchor distT="0" distB="0" distL="114300" distR="114300" simplePos="0" relativeHeight="251658250" behindDoc="0" locked="0" layoutInCell="1" allowOverlap="1" wp14:anchorId="0680E825" wp14:editId="00F6A483">
                      <wp:simplePos x="0" y="0"/>
                      <wp:positionH relativeFrom="column">
                        <wp:posOffset>945515</wp:posOffset>
                      </wp:positionH>
                      <wp:positionV relativeFrom="paragraph">
                        <wp:posOffset>751840</wp:posOffset>
                      </wp:positionV>
                      <wp:extent cx="1031240" cy="1558290"/>
                      <wp:effectExtent l="0" t="0" r="16510" b="22860"/>
                      <wp:wrapNone/>
                      <wp:docPr id="20159699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1558290"/>
                              </a:xfrm>
                              <a:prstGeom prst="rect">
                                <a:avLst/>
                              </a:prstGeom>
                              <a:noFill/>
                              <a:ln w="6350">
                                <a:solidFill>
                                  <a:schemeClr val="tx1"/>
                                </a:solidFill>
                                <a:prstDash val="dash"/>
                              </a:ln>
                            </wps:spPr>
                            <wps:txbx>
                              <w:txbxContent>
                                <w:p w14:paraId="32DF8FF1"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80E825" id="Text Box 5" o:spid="_x0000_s1031" type="#_x0000_t202" style="position:absolute;left:0;text-align:left;margin-left:74.45pt;margin-top:59.2pt;width:81.2pt;height:12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" filled="f" strokecolor="black [3213]" strokeweight=".5pt">
                      <v:stroke dashstyle="dash"/>
                      <v:path arrowok="t"/>
                      <v:textbox>
                        <w:txbxContent>
                          <w:p w14:paraId="32DF8FF1" w14:textId="77777777" w:rsidR="005F5BBE" w:rsidRDefault="005F5BBE" w:rsidP="005F5BBE"/>
                        </w:txbxContent>
                      </v:textbox>
                    </v:shape>
                  </w:pict>
                </mc:Fallback>
              </mc:AlternateContent>
            </w:r>
            <w:r w:rsidR="005F5BBE" w:rsidRPr="00303D2C">
              <w:rPr>
                <w:b/>
                <w:noProof/>
              </w:rPr>
              <w:drawing>
                <wp:inline distT="0" distB="0" distL="0" distR="0" wp14:anchorId="1BB954FF" wp14:editId="2FFE6B7E">
                  <wp:extent cx="2637155" cy="2488223"/>
                  <wp:effectExtent l="0" t="0" r="0" b="7620"/>
                  <wp:docPr id="1197269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69574" name=""/>
                          <pic:cNvPicPr/>
                        </pic:nvPicPr>
                        <pic:blipFill>
                          <a:blip r:embed="rId31"/>
                          <a:stretch>
                            <a:fillRect/>
                          </a:stretch>
                        </pic:blipFill>
                        <pic:spPr>
                          <a:xfrm>
                            <a:off x="0" y="0"/>
                            <a:ext cx="2651581" cy="2501835"/>
                          </a:xfrm>
                          <a:prstGeom prst="rect">
                            <a:avLst/>
                          </a:prstGeom>
                        </pic:spPr>
                      </pic:pic>
                    </a:graphicData>
                  </a:graphic>
                </wp:inline>
              </w:drawing>
            </w:r>
            <w:r w:rsidR="005F5BBE" w:rsidRPr="00303D2C">
              <w:rPr>
                <w:b/>
                <w:noProof/>
              </w:rPr>
              <w:drawing>
                <wp:inline distT="0" distB="0" distL="0" distR="0" wp14:anchorId="4E6E84BC" wp14:editId="00E6F079">
                  <wp:extent cx="3754120" cy="2751993"/>
                  <wp:effectExtent l="0" t="0" r="0" b="0"/>
                  <wp:docPr id="8376352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5614" cy="2848386"/>
                          </a:xfrm>
                          <a:prstGeom prst="rect">
                            <a:avLst/>
                          </a:prstGeom>
                          <a:noFill/>
                          <a:ln>
                            <a:noFill/>
                          </a:ln>
                        </pic:spPr>
                      </pic:pic>
                    </a:graphicData>
                  </a:graphic>
                </wp:inline>
              </w:drawing>
            </w:r>
          </w:p>
          <w:p w14:paraId="617A9158" w14:textId="77777777" w:rsidR="005F5BBE" w:rsidRPr="005F5BBE" w:rsidRDefault="005F5BBE" w:rsidP="00261B7D">
            <w:pPr>
              <w:pStyle w:val="NormalWeb"/>
              <w:jc w:val="both"/>
              <w:rPr>
                <w:rFonts w:ascii="Arial" w:hAnsi="Arial" w:cs="Arial"/>
                <w:b/>
                <w:sz w:val="20"/>
                <w:szCs w:val="20"/>
              </w:rPr>
            </w:pPr>
            <w:r w:rsidRPr="005F5BBE">
              <w:rPr>
                <w:rFonts w:ascii="Arial" w:hAnsi="Arial" w:cs="Arial"/>
                <w:b/>
                <w:sz w:val="20"/>
                <w:szCs w:val="20"/>
              </w:rPr>
              <w:t>7WCL_MOSIN B</w:t>
            </w:r>
          </w:p>
        </w:tc>
      </w:tr>
    </w:tbl>
    <w:p w14:paraId="09426938" w14:textId="77777777" w:rsidR="005F5BBE" w:rsidRPr="00303D2C" w:rsidRDefault="005F5BBE" w:rsidP="005F5BBE">
      <w:pPr>
        <w:autoSpaceDE w:val="0"/>
        <w:autoSpaceDN w:val="0"/>
        <w:adjustRightInd w:val="0"/>
        <w:spacing w:after="0" w:line="360" w:lineRule="auto"/>
        <w:jc w:val="both"/>
        <w:rPr>
          <w:rFonts w:ascii="Times New Roman" w:hAnsi="Times New Roman" w:cs="Times New Roman"/>
          <w:sz w:val="24"/>
          <w:szCs w:val="24"/>
        </w:rPr>
      </w:pPr>
    </w:p>
    <w:tbl>
      <w:tblPr>
        <w:tblStyle w:val="TableGrid"/>
        <w:tblW w:w="10507" w:type="dxa"/>
        <w:tblInd w:w="-612" w:type="dxa"/>
        <w:tblLook w:val="04A0" w:firstRow="1" w:lastRow="0" w:firstColumn="1" w:lastColumn="0" w:noHBand="0" w:noVBand="1"/>
      </w:tblPr>
      <w:tblGrid>
        <w:gridCol w:w="10507"/>
      </w:tblGrid>
      <w:tr w:rsidR="005F5BBE" w:rsidRPr="00303D2C" w14:paraId="38EF9F95" w14:textId="77777777" w:rsidTr="00261B7D">
        <w:trPr>
          <w:trHeight w:val="10340"/>
        </w:trPr>
        <w:tc>
          <w:tcPr>
            <w:tcW w:w="10507" w:type="dxa"/>
          </w:tcPr>
          <w:p w14:paraId="53CB3B65" w14:textId="77777777" w:rsidR="005F5BBE" w:rsidRPr="005F5BBE" w:rsidRDefault="005F5BBE" w:rsidP="00261B7D">
            <w:pPr>
              <w:pStyle w:val="NormalWeb"/>
              <w:jc w:val="both"/>
              <w:rPr>
                <w:rFonts w:ascii="Arial" w:hAnsi="Arial" w:cs="Arial"/>
                <w:b/>
                <w:sz w:val="20"/>
                <w:szCs w:val="20"/>
              </w:rPr>
            </w:pPr>
            <w:r w:rsidRPr="00303D2C">
              <w:rPr>
                <w:noProof/>
              </w:rPr>
              <w:lastRenderedPageBreak/>
              <mc:AlternateContent>
                <mc:Choice Requires="wps">
                  <w:drawing>
                    <wp:anchor distT="0" distB="0" distL="114300" distR="114300" simplePos="0" relativeHeight="251658255" behindDoc="0" locked="0" layoutInCell="1" allowOverlap="1" wp14:anchorId="36A41312" wp14:editId="4F7C6D76">
                      <wp:simplePos x="0" y="0"/>
                      <wp:positionH relativeFrom="column">
                        <wp:posOffset>2567696</wp:posOffset>
                      </wp:positionH>
                      <wp:positionV relativeFrom="paragraph">
                        <wp:posOffset>283797</wp:posOffset>
                      </wp:positionV>
                      <wp:extent cx="3938270" cy="3094892"/>
                      <wp:effectExtent l="0" t="0" r="24130" b="10795"/>
                      <wp:wrapNone/>
                      <wp:docPr id="7017797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270" cy="3094892"/>
                              </a:xfrm>
                              <a:prstGeom prst="rect">
                                <a:avLst/>
                              </a:prstGeom>
                              <a:noFill/>
                              <a:ln w="6350">
                                <a:solidFill>
                                  <a:prstClr val="black"/>
                                </a:solidFill>
                                <a:prstDash val="dash"/>
                              </a:ln>
                            </wps:spPr>
                            <wps:txbx>
                              <w:txbxContent>
                                <w:p w14:paraId="371F0B18" w14:textId="77777777" w:rsidR="005F5BBE" w:rsidRPr="00304E92" w:rsidRDefault="005F5BBE" w:rsidP="005F5BBE">
                                  <w:pPr>
                                    <w:rPr>
                                      <w:lang w:val="en-GB"/>
                                    </w:rPr>
                                  </w:pPr>
                                  <w:r w:rsidRPr="00304E92">
                                    <w:rPr>
                                      <w:noProof/>
                                    </w:rPr>
                                    <w:drawing>
                                      <wp:inline distT="0" distB="0" distL="0" distR="0" wp14:anchorId="7EEEC801" wp14:editId="6A5D41F4">
                                        <wp:extent cx="3841750" cy="2971800"/>
                                        <wp:effectExtent l="0" t="0" r="6350" b="0"/>
                                        <wp:docPr id="16614601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3028" cy="3011466"/>
                                                </a:xfrm>
                                                <a:prstGeom prst="rect">
                                                  <a:avLst/>
                                                </a:prstGeom>
                                                <a:noFill/>
                                                <a:ln>
                                                  <a:noFill/>
                                                </a:ln>
                                              </pic:spPr>
                                            </pic:pic>
                                          </a:graphicData>
                                        </a:graphic>
                                      </wp:inline>
                                    </w:drawing>
                                  </w:r>
                                </w:p>
                                <w:p w14:paraId="3CF96B7D"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1312" id="Text Box 13" o:spid="_x0000_s1032" type="#_x0000_t202" style="position:absolute;left:0;text-align:left;margin-left:202.2pt;margin-top:22.35pt;width:310.1pt;height:243.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" filled="f" strokeweight=".5pt">
                      <v:stroke dashstyle="dash"/>
                      <v:path arrowok="t"/>
                      <v:textbox>
                        <w:txbxContent>
                          <w:p w14:paraId="371F0B18" w14:textId="77777777" w:rsidR="005F5BBE" w:rsidRPr="00304E92" w:rsidRDefault="005F5BBE" w:rsidP="005F5BBE">
                            <w:pPr>
                              <w:rPr>
                                <w:lang w:val="en-GB"/>
                              </w:rPr>
                            </w:pPr>
                            <w:r w:rsidRPr="00304E92">
                              <w:rPr>
                                <w:noProof/>
                              </w:rPr>
                              <w:drawing>
                                <wp:inline distT="0" distB="0" distL="0" distR="0" wp14:anchorId="7EEEC801" wp14:editId="6A5D41F4">
                                  <wp:extent cx="3841750" cy="2971800"/>
                                  <wp:effectExtent l="0" t="0" r="6350" b="0"/>
                                  <wp:docPr id="16614601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3028" cy="3011466"/>
                                          </a:xfrm>
                                          <a:prstGeom prst="rect">
                                            <a:avLst/>
                                          </a:prstGeom>
                                          <a:noFill/>
                                          <a:ln>
                                            <a:noFill/>
                                          </a:ln>
                                        </pic:spPr>
                                      </pic:pic>
                                    </a:graphicData>
                                  </a:graphic>
                                </wp:inline>
                              </w:drawing>
                            </w:r>
                          </w:p>
                          <w:p w14:paraId="3CF96B7D" w14:textId="77777777" w:rsidR="005F5BBE" w:rsidRDefault="005F5BBE" w:rsidP="005F5BBE"/>
                        </w:txbxContent>
                      </v:textbox>
                    </v:shape>
                  </w:pict>
                </mc:Fallback>
              </mc:AlternateContent>
            </w:r>
            <w:r w:rsidRPr="00303D2C">
              <w:rPr>
                <w:noProof/>
              </w:rPr>
              <mc:AlternateContent>
                <mc:Choice Requires="wps">
                  <w:drawing>
                    <wp:anchor distT="0" distB="0" distL="114300" distR="114300" simplePos="0" relativeHeight="251658257" behindDoc="0" locked="0" layoutInCell="1" allowOverlap="1" wp14:anchorId="73801797" wp14:editId="1415DFE3">
                      <wp:simplePos x="0" y="0"/>
                      <wp:positionH relativeFrom="column">
                        <wp:posOffset>1802765</wp:posOffset>
                      </wp:positionH>
                      <wp:positionV relativeFrom="paragraph">
                        <wp:posOffset>283796</wp:posOffset>
                      </wp:positionV>
                      <wp:extent cx="773528" cy="694592"/>
                      <wp:effectExtent l="0" t="0" r="26670" b="29845"/>
                      <wp:wrapNone/>
                      <wp:docPr id="30872989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3528" cy="694592"/>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2267C" id="Straight Connector 1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5pt,22.35pt" to="202.8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" strokecolor="black [3213]" strokeweight=".5pt">
                      <v:stroke dashstyle="dashDot" joinstyle="miter"/>
                      <o:lock v:ext="edit" shapetype="f"/>
                    </v:line>
                  </w:pict>
                </mc:Fallback>
              </mc:AlternateContent>
            </w:r>
            <w:r w:rsidRPr="00303D2C">
              <w:rPr>
                <w:bCs/>
              </w:rPr>
              <w:t>(</w:t>
            </w:r>
            <w:r w:rsidRPr="005F5BBE">
              <w:rPr>
                <w:rFonts w:ascii="Arial" w:hAnsi="Arial" w:cs="Arial"/>
                <w:bCs/>
                <w:sz w:val="20"/>
                <w:szCs w:val="20"/>
              </w:rPr>
              <w:t>4d)</w:t>
            </w:r>
          </w:p>
          <w:p w14:paraId="36B2786B" w14:textId="77777777" w:rsidR="005F5BBE" w:rsidRPr="00303D2C" w:rsidRDefault="005F5BBE" w:rsidP="00261B7D">
            <w:pPr>
              <w:jc w:val="both"/>
              <w:rPr>
                <w:rFonts w:ascii="Times New Roman" w:hAnsi="Times New Roman" w:cs="Times New Roman"/>
                <w:sz w:val="24"/>
                <w:szCs w:val="24"/>
              </w:rPr>
            </w:pPr>
            <w:r w:rsidRPr="00303D2C">
              <w:rPr>
                <w:rFonts w:ascii="Times New Roman" w:hAnsi="Times New Roman" w:cs="Times New Roman"/>
                <w:noProof/>
                <w:sz w:val="24"/>
                <w:szCs w:val="24"/>
              </w:rPr>
              <mc:AlternateContent>
                <mc:Choice Requires="wps">
                  <w:drawing>
                    <wp:anchor distT="0" distB="0" distL="114300" distR="114300" simplePos="0" relativeHeight="251658256" behindDoc="0" locked="0" layoutInCell="1" allowOverlap="1" wp14:anchorId="263ACDD3" wp14:editId="38F6E0A2">
                      <wp:simplePos x="0" y="0"/>
                      <wp:positionH relativeFrom="column">
                        <wp:posOffset>1793972</wp:posOffset>
                      </wp:positionH>
                      <wp:positionV relativeFrom="paragraph">
                        <wp:posOffset>2439377</wp:posOffset>
                      </wp:positionV>
                      <wp:extent cx="746857" cy="588547"/>
                      <wp:effectExtent l="0" t="0" r="34290" b="21590"/>
                      <wp:wrapNone/>
                      <wp:docPr id="1929968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6857" cy="58854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78B31" id="Straight Connector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25pt,192.1pt" to="200.0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" strokecolor="black [3200]" strokeweight=".5pt">
                      <v:stroke dashstyle="dash" joinstyle="miter"/>
                      <o:lock v:ext="edit" shapetype="f"/>
                    </v:line>
                  </w:pict>
                </mc:Fallback>
              </mc:AlternateContent>
            </w:r>
            <w:r w:rsidRPr="00303D2C">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72147D8A" wp14:editId="17211D68">
                      <wp:simplePos x="0" y="0"/>
                      <wp:positionH relativeFrom="column">
                        <wp:posOffset>756480</wp:posOffset>
                      </wp:positionH>
                      <wp:positionV relativeFrom="paragraph">
                        <wp:posOffset>645745</wp:posOffset>
                      </wp:positionV>
                      <wp:extent cx="1028065" cy="1784839"/>
                      <wp:effectExtent l="0" t="0" r="19685" b="25400"/>
                      <wp:wrapNone/>
                      <wp:docPr id="19362975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065" cy="1784839"/>
                              </a:xfrm>
                              <a:prstGeom prst="rect">
                                <a:avLst/>
                              </a:prstGeom>
                              <a:noFill/>
                              <a:ln w="6350">
                                <a:solidFill>
                                  <a:prstClr val="black"/>
                                </a:solidFill>
                                <a:prstDash val="dash"/>
                              </a:ln>
                            </wps:spPr>
                            <wps:txbx>
                              <w:txbxContent>
                                <w:p w14:paraId="0D2668A2"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7D8A" id="Text Box 1" o:spid="_x0000_s1033" type="#_x0000_t202" style="position:absolute;left:0;text-align:left;margin-left:59.55pt;margin-top:50.85pt;width:80.95pt;height:140.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" filled="f" strokeweight=".5pt">
                      <v:stroke dashstyle="dash"/>
                      <v:path arrowok="t"/>
                      <v:textbox>
                        <w:txbxContent>
                          <w:p w14:paraId="0D2668A2" w14:textId="77777777" w:rsidR="005F5BBE" w:rsidRDefault="005F5BBE" w:rsidP="005F5BBE"/>
                        </w:txbxContent>
                      </v:textbox>
                    </v:shape>
                  </w:pict>
                </mc:Fallback>
              </mc:AlternateContent>
            </w:r>
            <w:r w:rsidRPr="00303D2C">
              <w:rPr>
                <w:rFonts w:ascii="Times New Roman" w:hAnsi="Times New Roman" w:cs="Times New Roman"/>
                <w:noProof/>
                <w:sz w:val="24"/>
                <w:szCs w:val="24"/>
              </w:rPr>
              <w:drawing>
                <wp:inline distT="0" distB="0" distL="0" distR="0" wp14:anchorId="6C71E570" wp14:editId="687BDE8A">
                  <wp:extent cx="2819794" cy="2896004"/>
                  <wp:effectExtent l="0" t="0" r="0" b="0"/>
                  <wp:docPr id="1355835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34689" name=""/>
                          <pic:cNvPicPr/>
                        </pic:nvPicPr>
                        <pic:blipFill>
                          <a:blip r:embed="rId34"/>
                          <a:stretch>
                            <a:fillRect/>
                          </a:stretch>
                        </pic:blipFill>
                        <pic:spPr>
                          <a:xfrm>
                            <a:off x="0" y="0"/>
                            <a:ext cx="2819794" cy="2896004"/>
                          </a:xfrm>
                          <a:prstGeom prst="rect">
                            <a:avLst/>
                          </a:prstGeom>
                        </pic:spPr>
                      </pic:pic>
                    </a:graphicData>
                  </a:graphic>
                </wp:inline>
              </w:drawing>
            </w:r>
          </w:p>
          <w:p w14:paraId="77C27BD5" w14:textId="77777777" w:rsidR="005F5BBE" w:rsidRPr="005F5BBE" w:rsidRDefault="005F5BBE" w:rsidP="007C7FE4">
            <w:pPr>
              <w:pStyle w:val="NormalWeb"/>
              <w:spacing w:before="0" w:beforeAutospacing="0" w:after="0" w:afterAutospacing="0"/>
              <w:jc w:val="both"/>
              <w:rPr>
                <w:rFonts w:ascii="Arial" w:hAnsi="Arial" w:cs="Arial"/>
                <w:b/>
                <w:sz w:val="20"/>
                <w:szCs w:val="20"/>
              </w:rPr>
            </w:pPr>
            <w:r w:rsidRPr="005F5BBE">
              <w:rPr>
                <w:rFonts w:ascii="Arial" w:hAnsi="Arial" w:cs="Arial"/>
                <w:b/>
                <w:sz w:val="20"/>
                <w:szCs w:val="20"/>
              </w:rPr>
              <w:t>8R3Q_ ROLLINECINS B</w:t>
            </w:r>
          </w:p>
          <w:p w14:paraId="7B1587D9" w14:textId="77777777" w:rsidR="005F5BBE" w:rsidRPr="005F5BBE" w:rsidRDefault="005F5BBE" w:rsidP="007C7FE4">
            <w:pPr>
              <w:pStyle w:val="NormalWeb"/>
              <w:spacing w:after="0" w:afterAutospacing="0"/>
              <w:jc w:val="both"/>
              <w:rPr>
                <w:rFonts w:ascii="Arial" w:hAnsi="Arial" w:cs="Arial"/>
                <w:bCs/>
                <w:sz w:val="20"/>
                <w:szCs w:val="20"/>
              </w:rPr>
            </w:pPr>
            <w:r w:rsidRPr="005F5BBE">
              <w:rPr>
                <w:rFonts w:ascii="Arial" w:hAnsi="Arial" w:cs="Arial"/>
                <w:bCs/>
                <w:sz w:val="20"/>
                <w:szCs w:val="20"/>
              </w:rPr>
              <w:t>(4e)</w:t>
            </w:r>
            <w:r w:rsidRPr="005F5BBE">
              <w:rPr>
                <w:rFonts w:ascii="Arial" w:hAnsi="Arial" w:cs="Arial"/>
                <w:noProof/>
                <w:sz w:val="20"/>
                <w:szCs w:val="20"/>
              </w:rPr>
              <w:t xml:space="preserve"> </w:t>
            </w:r>
          </w:p>
          <w:p w14:paraId="04097836" w14:textId="77777777" w:rsidR="005F5BBE" w:rsidRPr="00303D2C" w:rsidRDefault="005F5BBE" w:rsidP="00261B7D">
            <w:pPr>
              <w:jc w:val="both"/>
              <w:rPr>
                <w:rFonts w:ascii="Times New Roman" w:hAnsi="Times New Roman" w:cs="Times New Roman"/>
                <w:sz w:val="24"/>
                <w:szCs w:val="24"/>
                <w:lang w:val="en-GB"/>
              </w:rPr>
            </w:pPr>
            <w:r w:rsidRPr="00303D2C">
              <w:rPr>
                <w:rFonts w:ascii="Times New Roman" w:hAnsi="Times New Roman" w:cs="Times New Roman"/>
                <w:noProof/>
                <w:sz w:val="24"/>
                <w:szCs w:val="24"/>
              </w:rPr>
              <mc:AlternateContent>
                <mc:Choice Requires="wps">
                  <w:drawing>
                    <wp:anchor distT="0" distB="0" distL="114300" distR="114300" simplePos="0" relativeHeight="251658260" behindDoc="0" locked="0" layoutInCell="1" allowOverlap="1" wp14:anchorId="731540DA" wp14:editId="1165DA8B">
                      <wp:simplePos x="0" y="0"/>
                      <wp:positionH relativeFrom="column">
                        <wp:posOffset>2435810</wp:posOffset>
                      </wp:positionH>
                      <wp:positionV relativeFrom="paragraph">
                        <wp:posOffset>73758</wp:posOffset>
                      </wp:positionV>
                      <wp:extent cx="4079631" cy="2971800"/>
                      <wp:effectExtent l="0" t="0" r="16510" b="19050"/>
                      <wp:wrapNone/>
                      <wp:docPr id="6079198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9631" cy="2971800"/>
                              </a:xfrm>
                              <a:prstGeom prst="rect">
                                <a:avLst/>
                              </a:prstGeom>
                              <a:noFill/>
                              <a:ln w="6350">
                                <a:solidFill>
                                  <a:prstClr val="black"/>
                                </a:solidFill>
                                <a:prstDash val="dash"/>
                              </a:ln>
                            </wps:spPr>
                            <wps:txbx>
                              <w:txbxContent>
                                <w:p w14:paraId="3C73EC97" w14:textId="77777777" w:rsidR="005F5BBE" w:rsidRPr="00304E92" w:rsidRDefault="005F5BBE" w:rsidP="005F5BBE">
                                  <w:pPr>
                                    <w:rPr>
                                      <w:lang w:val="en-GB"/>
                                    </w:rPr>
                                  </w:pPr>
                                </w:p>
                                <w:p w14:paraId="46483891" w14:textId="77777777" w:rsidR="005F5BBE" w:rsidRDefault="005F5BBE" w:rsidP="005F5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40DA" id="_x0000_s1034" type="#_x0000_t202" style="position:absolute;left:0;text-align:left;margin-left:191.8pt;margin-top:5.8pt;width:321.25pt;height:23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" filled="f" strokeweight=".5pt">
                      <v:stroke dashstyle="dash"/>
                      <v:path arrowok="t"/>
                      <v:textbox>
                        <w:txbxContent>
                          <w:p w14:paraId="3C73EC97" w14:textId="77777777" w:rsidR="005F5BBE" w:rsidRPr="00304E92" w:rsidRDefault="005F5BBE" w:rsidP="005F5BBE">
                            <w:pPr>
                              <w:rPr>
                                <w:lang w:val="en-GB"/>
                              </w:rPr>
                            </w:pPr>
                          </w:p>
                          <w:p w14:paraId="46483891" w14:textId="77777777" w:rsidR="005F5BBE" w:rsidRDefault="005F5BBE" w:rsidP="005F5BBE"/>
                        </w:txbxContent>
                      </v:textbox>
                    </v:shap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59" behindDoc="0" locked="0" layoutInCell="1" allowOverlap="1" wp14:anchorId="0B7DB6FA" wp14:editId="70E15C4D">
                      <wp:simplePos x="0" y="0"/>
                      <wp:positionH relativeFrom="column">
                        <wp:posOffset>1952234</wp:posOffset>
                      </wp:positionH>
                      <wp:positionV relativeFrom="paragraph">
                        <wp:posOffset>2210288</wp:posOffset>
                      </wp:positionV>
                      <wp:extent cx="456858" cy="808649"/>
                      <wp:effectExtent l="0" t="0" r="19685" b="10795"/>
                      <wp:wrapNone/>
                      <wp:docPr id="206610962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58" cy="8086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70EF4"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3.7pt,174.05pt" to="189.65pt,2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" strokecolor="black [3213]" strokeweight=".5pt">
                      <v:stroke dashstyle="dash" joinstyle="miter"/>
                      <o:lock v:ext="edit" shapetype="f"/>
                    </v:lin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61" behindDoc="0" locked="0" layoutInCell="1" allowOverlap="1" wp14:anchorId="109EDAC1" wp14:editId="393ADD6E">
                      <wp:simplePos x="0" y="0"/>
                      <wp:positionH relativeFrom="column">
                        <wp:posOffset>1978610</wp:posOffset>
                      </wp:positionH>
                      <wp:positionV relativeFrom="paragraph">
                        <wp:posOffset>73757</wp:posOffset>
                      </wp:positionV>
                      <wp:extent cx="447773" cy="597877"/>
                      <wp:effectExtent l="0" t="0" r="28575" b="31115"/>
                      <wp:wrapNone/>
                      <wp:docPr id="200033004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773" cy="59787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2AA37D" id="Straight Connector 2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5.8pt,5.8pt" to="191.0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" strokecolor="black [3213]" strokeweight=".5pt">
                      <v:stroke dashstyle="dash" joinstyle="miter"/>
                      <o:lock v:ext="edit" shapetype="f"/>
                    </v:line>
                  </w:pict>
                </mc:Fallback>
              </mc:AlternateContent>
            </w:r>
            <w:r w:rsidRPr="00303D2C">
              <w:rPr>
                <w:rFonts w:ascii="Times New Roman" w:eastAsia="Times New Roman" w:hAnsi="Times New Roman" w:cs="Times New Roman"/>
                <w:noProof/>
                <w:sz w:val="24"/>
                <w:szCs w:val="24"/>
              </w:rPr>
              <mc:AlternateContent>
                <mc:Choice Requires="wps">
                  <w:drawing>
                    <wp:anchor distT="0" distB="0" distL="114300" distR="114300" simplePos="0" relativeHeight="251658258" behindDoc="0" locked="0" layoutInCell="1" allowOverlap="1" wp14:anchorId="224D8B19" wp14:editId="13DDF229">
                      <wp:simplePos x="0" y="0"/>
                      <wp:positionH relativeFrom="column">
                        <wp:posOffset>720725</wp:posOffset>
                      </wp:positionH>
                      <wp:positionV relativeFrom="paragraph">
                        <wp:posOffset>685067</wp:posOffset>
                      </wp:positionV>
                      <wp:extent cx="1248410" cy="1555750"/>
                      <wp:effectExtent l="0" t="0" r="27940" b="25400"/>
                      <wp:wrapNone/>
                      <wp:docPr id="6450397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8410" cy="1555750"/>
                              </a:xfrm>
                              <a:prstGeom prst="rect">
                                <a:avLst/>
                              </a:prstGeom>
                              <a:noFill/>
                              <a:ln w="6350">
                                <a:solidFill>
                                  <a:schemeClr val="tx1"/>
                                </a:solidFill>
                                <a:prstDash val="dash"/>
                              </a:ln>
                            </wps:spPr>
                            <wps:txbx>
                              <w:txbxContent>
                                <w:p w14:paraId="62973FE5" w14:textId="77777777" w:rsidR="005F5BBE" w:rsidRPr="00C7770A" w:rsidRDefault="005F5BBE" w:rsidP="005F5BB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4D8B19" id="_x0000_s1035" type="#_x0000_t202" style="position:absolute;left:0;text-align:left;margin-left:56.75pt;margin-top:53.95pt;width:98.3pt;height:12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" filled="f" strokecolor="black [3213]" strokeweight=".5pt">
                      <v:stroke dashstyle="dash"/>
                      <v:path arrowok="t"/>
                      <v:textbox>
                        <w:txbxContent>
                          <w:p w14:paraId="62973FE5" w14:textId="77777777" w:rsidR="005F5BBE" w:rsidRPr="00C7770A" w:rsidRDefault="005F5BBE" w:rsidP="005F5BBE">
                            <w:pPr>
                              <w:rPr>
                                <w:color w:val="000000" w:themeColor="text1"/>
                              </w:rPr>
                            </w:pPr>
                          </w:p>
                        </w:txbxContent>
                      </v:textbox>
                    </v:shape>
                  </w:pict>
                </mc:Fallback>
              </mc:AlternateContent>
            </w:r>
            <w:r w:rsidRPr="00303D2C">
              <w:rPr>
                <w:rFonts w:ascii="Times New Roman" w:hAnsi="Times New Roman" w:cs="Times New Roman"/>
                <w:noProof/>
                <w:sz w:val="24"/>
                <w:szCs w:val="24"/>
              </w:rPr>
              <w:drawing>
                <wp:inline distT="0" distB="0" distL="0" distR="0" wp14:anchorId="449FCB96" wp14:editId="41521847">
                  <wp:extent cx="2352675" cy="2590800"/>
                  <wp:effectExtent l="0" t="0" r="9525" b="0"/>
                  <wp:docPr id="1376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087" name=""/>
                          <pic:cNvPicPr/>
                        </pic:nvPicPr>
                        <pic:blipFill>
                          <a:blip r:embed="rId35"/>
                          <a:stretch>
                            <a:fillRect/>
                          </a:stretch>
                        </pic:blipFill>
                        <pic:spPr>
                          <a:xfrm>
                            <a:off x="0" y="0"/>
                            <a:ext cx="2353004" cy="2591162"/>
                          </a:xfrm>
                          <a:prstGeom prst="rect">
                            <a:avLst/>
                          </a:prstGeom>
                        </pic:spPr>
                      </pic:pic>
                    </a:graphicData>
                  </a:graphic>
                </wp:inline>
              </w:drawing>
            </w:r>
            <w:r w:rsidRPr="00303D2C">
              <w:rPr>
                <w:rFonts w:ascii="Times New Roman" w:hAnsi="Times New Roman" w:cs="Times New Roman"/>
                <w:sz w:val="24"/>
                <w:szCs w:val="24"/>
                <w:lang w:val="en-GB"/>
              </w:rPr>
              <w:t xml:space="preserve"> </w:t>
            </w:r>
            <w:r w:rsidRPr="00303D2C">
              <w:rPr>
                <w:rFonts w:ascii="Times New Roman" w:hAnsi="Times New Roman" w:cs="Times New Roman"/>
                <w:noProof/>
                <w:sz w:val="24"/>
                <w:szCs w:val="24"/>
              </w:rPr>
              <w:drawing>
                <wp:inline distT="0" distB="0" distL="0" distR="0" wp14:anchorId="057A2D05" wp14:editId="3B1DC866">
                  <wp:extent cx="3980180" cy="3032667"/>
                  <wp:effectExtent l="0" t="0" r="1270" b="0"/>
                  <wp:docPr id="37907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0649" cy="3116838"/>
                          </a:xfrm>
                          <a:prstGeom prst="rect">
                            <a:avLst/>
                          </a:prstGeom>
                          <a:noFill/>
                          <a:ln>
                            <a:noFill/>
                          </a:ln>
                        </pic:spPr>
                      </pic:pic>
                    </a:graphicData>
                  </a:graphic>
                </wp:inline>
              </w:drawing>
            </w:r>
          </w:p>
          <w:p w14:paraId="7A556424" w14:textId="77777777" w:rsidR="005F5BBE" w:rsidRPr="007C7FE4" w:rsidRDefault="005F5BBE" w:rsidP="007C7FE4">
            <w:pPr>
              <w:pStyle w:val="NormalWeb"/>
              <w:spacing w:before="0" w:beforeAutospacing="0" w:after="0" w:afterAutospacing="0"/>
              <w:jc w:val="both"/>
              <w:rPr>
                <w:rFonts w:ascii="Arial" w:hAnsi="Arial" w:cs="Arial"/>
                <w:bCs/>
                <w:sz w:val="20"/>
                <w:szCs w:val="20"/>
              </w:rPr>
            </w:pPr>
            <w:r w:rsidRPr="007C7FE4">
              <w:rPr>
                <w:rFonts w:ascii="Arial" w:hAnsi="Arial" w:cs="Arial"/>
                <w:b/>
                <w:sz w:val="20"/>
                <w:szCs w:val="20"/>
              </w:rPr>
              <w:t>7WCL_GLACIN B</w:t>
            </w:r>
          </w:p>
        </w:tc>
      </w:tr>
    </w:tbl>
    <w:p w14:paraId="686E1691" w14:textId="77777777" w:rsidR="007C7FE4" w:rsidRDefault="007C7FE4" w:rsidP="005F5BBE">
      <w:pPr>
        <w:autoSpaceDE w:val="0"/>
        <w:autoSpaceDN w:val="0"/>
        <w:adjustRightInd w:val="0"/>
        <w:spacing w:after="0" w:line="360" w:lineRule="auto"/>
        <w:jc w:val="both"/>
        <w:rPr>
          <w:rFonts w:ascii="Arial" w:hAnsi="Arial" w:cs="Arial"/>
          <w:b/>
          <w:bCs/>
          <w:sz w:val="20"/>
          <w:szCs w:val="20"/>
        </w:rPr>
      </w:pPr>
    </w:p>
    <w:p w14:paraId="5BC9DD2F" w14:textId="5F92A0C0" w:rsidR="005F5BBE" w:rsidRPr="007C7FE4" w:rsidRDefault="005F5BBE" w:rsidP="005F5BBE">
      <w:pPr>
        <w:autoSpaceDE w:val="0"/>
        <w:autoSpaceDN w:val="0"/>
        <w:adjustRightInd w:val="0"/>
        <w:spacing w:after="0" w:line="360" w:lineRule="auto"/>
        <w:jc w:val="both"/>
        <w:rPr>
          <w:rFonts w:ascii="Arial" w:hAnsi="Arial" w:cs="Arial"/>
          <w:sz w:val="20"/>
          <w:szCs w:val="20"/>
        </w:rPr>
      </w:pPr>
      <w:r w:rsidRPr="007C7FE4">
        <w:rPr>
          <w:rFonts w:ascii="Arial" w:hAnsi="Arial" w:cs="Arial"/>
          <w:b/>
          <w:bCs/>
          <w:sz w:val="20"/>
          <w:szCs w:val="20"/>
        </w:rPr>
        <w:t>Figure 4.</w:t>
      </w:r>
      <w:r w:rsidRPr="007C7FE4">
        <w:rPr>
          <w:rFonts w:ascii="Arial" w:hAnsi="Arial" w:cs="Arial"/>
          <w:sz w:val="20"/>
          <w:szCs w:val="20"/>
        </w:rPr>
        <w:t xml:space="preserve"> Molecular interaction between </w:t>
      </w:r>
      <w:proofErr w:type="spellStart"/>
      <w:r w:rsidRPr="007C7FE4">
        <w:rPr>
          <w:rFonts w:ascii="Arial" w:hAnsi="Arial" w:cs="Arial"/>
          <w:sz w:val="20"/>
          <w:szCs w:val="20"/>
        </w:rPr>
        <w:t>Pemigatinib</w:t>
      </w:r>
      <w:proofErr w:type="spellEnd"/>
      <w:r w:rsidRPr="007C7FE4">
        <w:rPr>
          <w:rFonts w:ascii="Arial" w:hAnsi="Arial" w:cs="Arial"/>
          <w:sz w:val="20"/>
          <w:szCs w:val="20"/>
        </w:rPr>
        <w:t xml:space="preserve"> and the </w:t>
      </w:r>
      <w:r w:rsidRPr="007C7FE4">
        <w:rPr>
          <w:rFonts w:ascii="Arial" w:hAnsi="Arial" w:cs="Arial"/>
          <w:bCs/>
          <w:sz w:val="20"/>
          <w:szCs w:val="20"/>
        </w:rPr>
        <w:t xml:space="preserve">4 </w:t>
      </w:r>
      <w:r w:rsidR="007C7FE4">
        <w:rPr>
          <w:rFonts w:ascii="Arial" w:hAnsi="Arial" w:cs="Arial"/>
          <w:bCs/>
          <w:sz w:val="20"/>
          <w:szCs w:val="20"/>
        </w:rPr>
        <w:t>hit</w:t>
      </w:r>
      <w:r w:rsidRPr="007C7FE4">
        <w:rPr>
          <w:rFonts w:ascii="Arial" w:hAnsi="Arial" w:cs="Arial"/>
          <w:bCs/>
          <w:sz w:val="20"/>
          <w:szCs w:val="20"/>
        </w:rPr>
        <w:t xml:space="preserve"> bioactive compounds</w:t>
      </w:r>
      <w:r w:rsidRPr="007C7FE4">
        <w:rPr>
          <w:rFonts w:ascii="Arial" w:hAnsi="Arial" w:cs="Arial"/>
          <w:sz w:val="20"/>
          <w:szCs w:val="20"/>
        </w:rPr>
        <w:t xml:space="preserve"> at the active site of fibroblast growth factor receptor 1 (7WCL) (A) </w:t>
      </w:r>
      <w:proofErr w:type="spellStart"/>
      <w:r w:rsidRPr="007C7FE4">
        <w:rPr>
          <w:rFonts w:ascii="Arial" w:eastAsia="Times New Roman" w:hAnsi="Arial" w:cs="Arial"/>
          <w:sz w:val="20"/>
          <w:szCs w:val="20"/>
        </w:rPr>
        <w:t>Pemigatinib</w:t>
      </w:r>
      <w:proofErr w:type="spellEnd"/>
      <w:r w:rsidRPr="007C7FE4">
        <w:rPr>
          <w:rFonts w:ascii="Arial" w:hAnsi="Arial" w:cs="Arial"/>
          <w:sz w:val="20"/>
          <w:szCs w:val="20"/>
        </w:rPr>
        <w:t xml:space="preserve"> (Standard drug) (b) </w:t>
      </w:r>
      <w:r w:rsidRPr="007C7FE4">
        <w:rPr>
          <w:rFonts w:ascii="Arial" w:hAnsi="Arial" w:cs="Arial"/>
          <w:bCs/>
          <w:sz w:val="20"/>
          <w:szCs w:val="20"/>
        </w:rPr>
        <w:t>10-hydroxytrilobacin</w:t>
      </w:r>
      <w:r w:rsidRPr="007C7FE4">
        <w:rPr>
          <w:rFonts w:ascii="Arial" w:hAnsi="Arial" w:cs="Arial"/>
          <w:sz w:val="20"/>
          <w:szCs w:val="20"/>
        </w:rPr>
        <w:t xml:space="preserve"> (c) </w:t>
      </w:r>
      <w:r w:rsidRPr="007C7FE4">
        <w:rPr>
          <w:rFonts w:ascii="Arial" w:hAnsi="Arial" w:cs="Arial"/>
          <w:bCs/>
          <w:sz w:val="20"/>
          <w:szCs w:val="20"/>
        </w:rPr>
        <w:t>Mosin B</w:t>
      </w:r>
      <w:r w:rsidRPr="007C7FE4">
        <w:rPr>
          <w:rFonts w:ascii="Arial" w:hAnsi="Arial" w:cs="Arial"/>
          <w:sz w:val="20"/>
          <w:szCs w:val="20"/>
        </w:rPr>
        <w:t xml:space="preserve"> (d) </w:t>
      </w:r>
      <w:proofErr w:type="spellStart"/>
      <w:r w:rsidRPr="007C7FE4">
        <w:rPr>
          <w:rFonts w:ascii="Arial" w:hAnsi="Arial" w:cs="Arial"/>
          <w:bCs/>
          <w:sz w:val="20"/>
          <w:szCs w:val="20"/>
        </w:rPr>
        <w:t>Rollinecins</w:t>
      </w:r>
      <w:proofErr w:type="spellEnd"/>
      <w:r w:rsidRPr="007C7FE4">
        <w:rPr>
          <w:rFonts w:ascii="Arial" w:hAnsi="Arial" w:cs="Arial"/>
          <w:bCs/>
          <w:sz w:val="20"/>
          <w:szCs w:val="20"/>
        </w:rPr>
        <w:t xml:space="preserve"> B</w:t>
      </w:r>
      <w:r w:rsidRPr="007C7FE4">
        <w:rPr>
          <w:rFonts w:ascii="Arial" w:hAnsi="Arial" w:cs="Arial"/>
          <w:sz w:val="20"/>
          <w:szCs w:val="20"/>
        </w:rPr>
        <w:t xml:space="preserve"> (e) </w:t>
      </w:r>
      <w:proofErr w:type="spellStart"/>
      <w:r w:rsidRPr="007C7FE4">
        <w:rPr>
          <w:rFonts w:ascii="Arial" w:hAnsi="Arial" w:cs="Arial"/>
          <w:bCs/>
          <w:sz w:val="20"/>
          <w:szCs w:val="20"/>
        </w:rPr>
        <w:t>Glacin</w:t>
      </w:r>
      <w:proofErr w:type="spellEnd"/>
      <w:r w:rsidRPr="007C7FE4">
        <w:rPr>
          <w:rFonts w:ascii="Arial" w:hAnsi="Arial" w:cs="Arial"/>
          <w:bCs/>
          <w:sz w:val="20"/>
          <w:szCs w:val="20"/>
        </w:rPr>
        <w:t xml:space="preserve"> B.</w:t>
      </w:r>
      <w:r w:rsidRPr="007C7FE4">
        <w:rPr>
          <w:rFonts w:ascii="Arial" w:hAnsi="Arial" w:cs="Arial"/>
          <w:sz w:val="20"/>
          <w:szCs w:val="20"/>
        </w:rPr>
        <w:t xml:space="preserve"> The structures were rendered using </w:t>
      </w:r>
      <w:proofErr w:type="spellStart"/>
      <w:r w:rsidRPr="007C7FE4">
        <w:rPr>
          <w:rFonts w:ascii="Arial" w:hAnsi="Arial" w:cs="Arial"/>
          <w:sz w:val="20"/>
          <w:szCs w:val="20"/>
        </w:rPr>
        <w:t>Biovia</w:t>
      </w:r>
      <w:proofErr w:type="spellEnd"/>
      <w:r w:rsidRPr="007C7FE4">
        <w:rPr>
          <w:rFonts w:ascii="Arial" w:hAnsi="Arial" w:cs="Arial"/>
          <w:sz w:val="20"/>
          <w:szCs w:val="20"/>
        </w:rPr>
        <w:t xml:space="preserve"> Discovery Studio 2021.</w:t>
      </w:r>
    </w:p>
    <w:p w14:paraId="5C51A73F" w14:textId="77777777" w:rsidR="005F5BBE" w:rsidRDefault="005F5BBE" w:rsidP="0085434C">
      <w:pPr>
        <w:spacing w:after="0" w:line="360" w:lineRule="auto"/>
        <w:jc w:val="both"/>
        <w:rPr>
          <w:rFonts w:ascii="Arial" w:hAnsi="Arial" w:cs="Arial"/>
          <w:b/>
          <w:bCs/>
          <w:sz w:val="20"/>
          <w:szCs w:val="20"/>
          <w:lang w:val="en-GB"/>
        </w:rPr>
      </w:pPr>
    </w:p>
    <w:p w14:paraId="359603E4" w14:textId="77777777" w:rsidR="007C7FE4" w:rsidRDefault="007C7FE4" w:rsidP="0085434C">
      <w:pPr>
        <w:spacing w:after="0" w:line="360" w:lineRule="auto"/>
        <w:jc w:val="both"/>
        <w:rPr>
          <w:rFonts w:ascii="Arial" w:hAnsi="Arial" w:cs="Arial"/>
          <w:b/>
          <w:bCs/>
          <w:sz w:val="20"/>
          <w:szCs w:val="20"/>
          <w:lang w:val="en-GB"/>
        </w:rPr>
      </w:pPr>
    </w:p>
    <w:p w14:paraId="7042AACC" w14:textId="5720014B"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lastRenderedPageBreak/>
        <w:t xml:space="preserve">3.4 Selection of Lead Compounds for </w:t>
      </w:r>
      <w:r w:rsidR="00045DEB" w:rsidRPr="0085434C">
        <w:rPr>
          <w:rFonts w:ascii="Arial" w:hAnsi="Arial" w:cs="Arial"/>
          <w:b/>
          <w:bCs/>
          <w:sz w:val="20"/>
          <w:szCs w:val="20"/>
          <w:lang w:val="en-GB"/>
        </w:rPr>
        <w:t xml:space="preserve">Molecular Dynamics </w:t>
      </w:r>
      <w:r w:rsidRPr="0085434C">
        <w:rPr>
          <w:rFonts w:ascii="Arial" w:hAnsi="Arial" w:cs="Arial"/>
          <w:b/>
          <w:bCs/>
          <w:sz w:val="20"/>
          <w:szCs w:val="20"/>
          <w:lang w:val="en-GB"/>
        </w:rPr>
        <w:t>Simulation</w:t>
      </w:r>
    </w:p>
    <w:p w14:paraId="489F50F1" w14:textId="0779ED2F"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Following comprehensive structure- and ligand-based virtual screening, involving molecular docking, MM-GBSA binding energy calculations, drug-likeness filtering based on Lipinski’s Rule of Five, and ADMET prediction, 10-Hydroxytrilobacin and Mosin B, two phytochemicals, were prioritized for Molecular Dynamics (MD) simulation. These compounds exhibited exceptional pharmacokinetics, potent FGFR1 binding affinities, and strong network interactions, surpassing the standard,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across multiple </w:t>
      </w:r>
      <w:r w:rsidR="005C5CC0" w:rsidRPr="0085434C">
        <w:rPr>
          <w:rFonts w:ascii="Arial" w:hAnsi="Arial" w:cs="Arial"/>
          <w:i/>
          <w:iCs/>
          <w:sz w:val="20"/>
          <w:szCs w:val="20"/>
          <w:lang w:val="en-GB"/>
        </w:rPr>
        <w:t>in silico</w:t>
      </w:r>
      <w:r w:rsidRPr="0085434C">
        <w:rPr>
          <w:rFonts w:ascii="Arial" w:hAnsi="Arial" w:cs="Arial"/>
          <w:sz w:val="20"/>
          <w:szCs w:val="20"/>
          <w:lang w:val="en-GB"/>
        </w:rPr>
        <w:t xml:space="preserve"> evaluations. These compounds were further justified by </w:t>
      </w:r>
      <w:proofErr w:type="spellStart"/>
      <w:r w:rsidRPr="0085434C">
        <w:rPr>
          <w:rFonts w:ascii="Arial" w:hAnsi="Arial" w:cs="Arial"/>
          <w:sz w:val="20"/>
          <w:szCs w:val="20"/>
          <w:lang w:val="en-GB"/>
        </w:rPr>
        <w:t>favorable</w:t>
      </w:r>
      <w:proofErr w:type="spellEnd"/>
      <w:r w:rsidRPr="0085434C">
        <w:rPr>
          <w:rFonts w:ascii="Arial" w:hAnsi="Arial" w:cs="Arial"/>
          <w:sz w:val="20"/>
          <w:szCs w:val="20"/>
          <w:lang w:val="en-GB"/>
        </w:rPr>
        <w:t xml:space="preserve"> MM-GBSA scores, most notably derived through van der Waals and polar solvation interactions.</w:t>
      </w:r>
    </w:p>
    <w:p w14:paraId="22F0F8B5" w14:textId="77777777"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t>3.5 Molecular Dynamics (MD)</w:t>
      </w:r>
    </w:p>
    <w:p w14:paraId="1181F25A" w14:textId="08AB29AB"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MD simulation was conducted over a 100 ns trajectory using GROMACS to estimate the structural stability, flexibility, compactness, and binding interactions of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10-Hydroxytrilobacin, and Mosin B within the FGFR1 kinase domain. The complexes' stability was examined using crucial metrics: RMSD, RMSF, hydrogen bonds, and </w:t>
      </w:r>
      <w:proofErr w:type="spellStart"/>
      <w:r w:rsidRPr="0085434C">
        <w:rPr>
          <w:rFonts w:ascii="Arial" w:hAnsi="Arial" w:cs="Arial"/>
          <w:sz w:val="20"/>
          <w:szCs w:val="20"/>
          <w:lang w:val="en-GB"/>
        </w:rPr>
        <w:t>R</w:t>
      </w:r>
      <w:r w:rsidR="00D1407C" w:rsidRPr="0085434C">
        <w:rPr>
          <w:rFonts w:ascii="Arial" w:hAnsi="Arial" w:cs="Arial"/>
          <w:sz w:val="20"/>
          <w:szCs w:val="20"/>
          <w:lang w:val="en-GB"/>
        </w:rPr>
        <w:t>o</w:t>
      </w:r>
      <w:r w:rsidRPr="0085434C">
        <w:rPr>
          <w:rFonts w:ascii="Arial" w:hAnsi="Arial" w:cs="Arial"/>
          <w:sz w:val="20"/>
          <w:szCs w:val="20"/>
          <w:lang w:val="en-GB"/>
        </w:rPr>
        <w:t>G</w:t>
      </w:r>
      <w:proofErr w:type="spellEnd"/>
      <w:r w:rsidRPr="0085434C">
        <w:rPr>
          <w:rFonts w:ascii="Arial" w:hAnsi="Arial" w:cs="Arial"/>
          <w:sz w:val="20"/>
          <w:szCs w:val="20"/>
          <w:lang w:val="en-GB"/>
        </w:rPr>
        <w:t>.</w:t>
      </w:r>
    </w:p>
    <w:p w14:paraId="652C60D0" w14:textId="5554B107" w:rsidR="007C7FE4" w:rsidRPr="007C7FE4" w:rsidRDefault="007C7FE4" w:rsidP="000B354A">
      <w:pPr>
        <w:spacing w:before="240"/>
        <w:jc w:val="both"/>
        <w:rPr>
          <w:rFonts w:ascii="Arial" w:hAnsi="Arial" w:cs="Arial"/>
          <w:b/>
          <w:sz w:val="20"/>
          <w:szCs w:val="20"/>
        </w:rPr>
      </w:pPr>
      <w:r w:rsidRPr="007C7FE4">
        <w:rPr>
          <w:rFonts w:ascii="Arial" w:hAnsi="Arial" w:cs="Arial"/>
          <w:b/>
          <w:sz w:val="20"/>
          <w:szCs w:val="20"/>
        </w:rPr>
        <w:t xml:space="preserve">Table </w:t>
      </w:r>
      <w:r w:rsidR="00050357">
        <w:rPr>
          <w:rFonts w:ascii="Arial" w:hAnsi="Arial" w:cs="Arial"/>
          <w:b/>
          <w:sz w:val="20"/>
          <w:szCs w:val="20"/>
        </w:rPr>
        <w:t>6</w:t>
      </w:r>
      <w:r w:rsidRPr="007C7FE4">
        <w:rPr>
          <w:rFonts w:ascii="Arial" w:hAnsi="Arial" w:cs="Arial"/>
          <w:b/>
          <w:sz w:val="20"/>
          <w:szCs w:val="20"/>
        </w:rPr>
        <w:t xml:space="preserve">: Average values of RMSD, RMSF, H-bond, and </w:t>
      </w:r>
      <w:proofErr w:type="spellStart"/>
      <w:r w:rsidRPr="007C7FE4">
        <w:rPr>
          <w:rFonts w:ascii="Arial" w:hAnsi="Arial" w:cs="Arial"/>
          <w:b/>
          <w:sz w:val="20"/>
          <w:szCs w:val="20"/>
        </w:rPr>
        <w:t>R</w:t>
      </w:r>
      <w:r>
        <w:rPr>
          <w:rFonts w:ascii="Arial" w:hAnsi="Arial" w:cs="Arial"/>
          <w:b/>
          <w:sz w:val="20"/>
          <w:szCs w:val="20"/>
        </w:rPr>
        <w:t>o</w:t>
      </w:r>
      <w:r w:rsidRPr="007C7FE4">
        <w:rPr>
          <w:rFonts w:ascii="Arial" w:hAnsi="Arial" w:cs="Arial"/>
          <w:b/>
          <w:sz w:val="20"/>
          <w:szCs w:val="20"/>
        </w:rPr>
        <w:t>G</w:t>
      </w:r>
      <w:proofErr w:type="spellEnd"/>
      <w:r w:rsidRPr="007C7FE4">
        <w:rPr>
          <w:rFonts w:ascii="Arial" w:hAnsi="Arial" w:cs="Arial"/>
          <w:b/>
          <w:sz w:val="20"/>
          <w:szCs w:val="20"/>
        </w:rPr>
        <w:t xml:space="preserve"> of all simulated complexes</w:t>
      </w:r>
    </w:p>
    <w:tbl>
      <w:tblPr>
        <w:tblStyle w:val="TableGridLight1"/>
        <w:tblW w:w="8190" w:type="dxa"/>
        <w:tblInd w:w="-5" w:type="dxa"/>
        <w:tblLayout w:type="fixed"/>
        <w:tblLook w:val="04A0" w:firstRow="1" w:lastRow="0" w:firstColumn="1" w:lastColumn="0" w:noHBand="0" w:noVBand="1"/>
      </w:tblPr>
      <w:tblGrid>
        <w:gridCol w:w="2160"/>
        <w:gridCol w:w="1710"/>
        <w:gridCol w:w="1620"/>
        <w:gridCol w:w="1350"/>
        <w:gridCol w:w="1350"/>
      </w:tblGrid>
      <w:tr w:rsidR="007C7FE4" w:rsidRPr="007C7FE4" w14:paraId="1E71EC73" w14:textId="77777777" w:rsidTr="007C7FE4">
        <w:trPr>
          <w:trHeight w:val="280"/>
        </w:trPr>
        <w:tc>
          <w:tcPr>
            <w:tcW w:w="2160" w:type="dxa"/>
            <w:noWrap/>
            <w:vAlign w:val="center"/>
            <w:hideMark/>
          </w:tcPr>
          <w:p w14:paraId="728AEAA5" w14:textId="77777777" w:rsidR="007C7FE4" w:rsidRPr="007C7FE4" w:rsidRDefault="007C7FE4" w:rsidP="007C7FE4">
            <w:pPr>
              <w:spacing w:line="360" w:lineRule="auto"/>
              <w:jc w:val="center"/>
              <w:rPr>
                <w:rFonts w:ascii="Arial" w:eastAsia="Times New Roman" w:hAnsi="Arial" w:cs="Arial"/>
                <w:color w:val="000000"/>
                <w:kern w:val="0"/>
                <w:sz w:val="20"/>
                <w:szCs w:val="20"/>
              </w:rPr>
            </w:pPr>
            <w:r w:rsidRPr="007C7FE4">
              <w:rPr>
                <w:rFonts w:ascii="Arial" w:hAnsi="Arial" w:cs="Arial"/>
                <w:b/>
                <w:sz w:val="20"/>
                <w:szCs w:val="20"/>
              </w:rPr>
              <w:t>Compound Identifier</w:t>
            </w:r>
          </w:p>
        </w:tc>
        <w:tc>
          <w:tcPr>
            <w:tcW w:w="1710" w:type="dxa"/>
            <w:noWrap/>
            <w:hideMark/>
          </w:tcPr>
          <w:p w14:paraId="5658A909" w14:textId="25F3C4A1" w:rsidR="007C7FE4" w:rsidRPr="007C7FE4" w:rsidRDefault="007C7FE4" w:rsidP="007C7FE4">
            <w:pPr>
              <w:spacing w:line="360" w:lineRule="auto"/>
              <w:rPr>
                <w:rFonts w:ascii="Arial" w:hAnsi="Arial" w:cs="Arial"/>
                <w:b/>
                <w:sz w:val="20"/>
                <w:szCs w:val="20"/>
              </w:rPr>
            </w:pPr>
            <w:r w:rsidRPr="007C7FE4">
              <w:rPr>
                <w:rFonts w:ascii="Arial" w:hAnsi="Arial" w:cs="Arial"/>
                <w:b/>
                <w:sz w:val="20"/>
                <w:szCs w:val="20"/>
              </w:rPr>
              <w:t>Average RMSD</w:t>
            </w:r>
          </w:p>
          <w:p w14:paraId="2259AA18" w14:textId="77777777" w:rsidR="007C7FE4" w:rsidRPr="007C7FE4" w:rsidRDefault="007C7FE4" w:rsidP="007C7FE4">
            <w:pPr>
              <w:spacing w:line="360" w:lineRule="auto"/>
              <w:jc w:val="center"/>
              <w:rPr>
                <w:rFonts w:ascii="Arial" w:hAnsi="Arial" w:cs="Arial"/>
                <w:b/>
                <w:sz w:val="20"/>
                <w:szCs w:val="20"/>
              </w:rPr>
            </w:pPr>
            <w:r w:rsidRPr="007C7FE4">
              <w:rPr>
                <w:rFonts w:ascii="Arial" w:hAnsi="Arial" w:cs="Arial"/>
                <w:b/>
                <w:sz w:val="20"/>
                <w:szCs w:val="20"/>
              </w:rPr>
              <w:t>values (nm)</w:t>
            </w:r>
          </w:p>
        </w:tc>
        <w:tc>
          <w:tcPr>
            <w:tcW w:w="1620" w:type="dxa"/>
          </w:tcPr>
          <w:p w14:paraId="64DF1CCE" w14:textId="77777777" w:rsidR="007C7FE4" w:rsidRPr="007C7FE4" w:rsidRDefault="007C7FE4" w:rsidP="007C7FE4">
            <w:pPr>
              <w:spacing w:line="360" w:lineRule="auto"/>
              <w:jc w:val="center"/>
              <w:rPr>
                <w:rFonts w:ascii="Arial" w:hAnsi="Arial" w:cs="Arial"/>
                <w:b/>
                <w:sz w:val="20"/>
                <w:szCs w:val="20"/>
              </w:rPr>
            </w:pPr>
            <w:r w:rsidRPr="007C7FE4">
              <w:rPr>
                <w:rFonts w:ascii="Arial" w:hAnsi="Arial" w:cs="Arial"/>
                <w:b/>
                <w:sz w:val="20"/>
                <w:szCs w:val="20"/>
              </w:rPr>
              <w:t>Average RMSF</w:t>
            </w:r>
          </w:p>
          <w:p w14:paraId="5E60EC9E" w14:textId="77777777" w:rsidR="007C7FE4" w:rsidRPr="007C7FE4" w:rsidRDefault="007C7FE4" w:rsidP="007C7FE4">
            <w:pPr>
              <w:spacing w:line="360" w:lineRule="auto"/>
              <w:jc w:val="center"/>
              <w:rPr>
                <w:rFonts w:ascii="Arial" w:hAnsi="Arial" w:cs="Arial"/>
                <w:b/>
                <w:sz w:val="20"/>
                <w:szCs w:val="20"/>
              </w:rPr>
            </w:pPr>
            <w:r w:rsidRPr="007C7FE4">
              <w:rPr>
                <w:rFonts w:ascii="Arial" w:hAnsi="Arial" w:cs="Arial"/>
                <w:b/>
                <w:sz w:val="20"/>
                <w:szCs w:val="20"/>
              </w:rPr>
              <w:t>values (nm)</w:t>
            </w:r>
          </w:p>
        </w:tc>
        <w:tc>
          <w:tcPr>
            <w:tcW w:w="1350" w:type="dxa"/>
          </w:tcPr>
          <w:p w14:paraId="476244D0" w14:textId="77777777" w:rsidR="007C7FE4" w:rsidRPr="007C7FE4" w:rsidRDefault="007C7FE4" w:rsidP="007C7FE4">
            <w:pPr>
              <w:spacing w:line="360" w:lineRule="auto"/>
              <w:jc w:val="center"/>
              <w:rPr>
                <w:rFonts w:ascii="Arial" w:hAnsi="Arial" w:cs="Arial"/>
                <w:b/>
                <w:sz w:val="20"/>
                <w:szCs w:val="20"/>
              </w:rPr>
            </w:pPr>
            <w:r w:rsidRPr="007C7FE4">
              <w:rPr>
                <w:rFonts w:ascii="Arial" w:hAnsi="Arial" w:cs="Arial"/>
                <w:b/>
                <w:sz w:val="20"/>
                <w:szCs w:val="20"/>
              </w:rPr>
              <w:t>Average</w:t>
            </w:r>
          </w:p>
          <w:p w14:paraId="1FF6AA1E" w14:textId="638D8F0E" w:rsidR="007C7FE4" w:rsidRPr="007C7FE4" w:rsidRDefault="007C7FE4" w:rsidP="007C7FE4">
            <w:pPr>
              <w:spacing w:line="360" w:lineRule="auto"/>
              <w:jc w:val="center"/>
              <w:rPr>
                <w:rFonts w:ascii="Arial" w:hAnsi="Arial" w:cs="Arial"/>
                <w:b/>
                <w:sz w:val="20"/>
                <w:szCs w:val="20"/>
              </w:rPr>
            </w:pPr>
            <w:proofErr w:type="spellStart"/>
            <w:r w:rsidRPr="007C7FE4">
              <w:rPr>
                <w:rFonts w:ascii="Arial" w:hAnsi="Arial" w:cs="Arial"/>
                <w:b/>
                <w:sz w:val="20"/>
                <w:szCs w:val="20"/>
              </w:rPr>
              <w:t>R</w:t>
            </w:r>
            <w:r>
              <w:rPr>
                <w:rFonts w:ascii="Arial" w:hAnsi="Arial" w:cs="Arial"/>
                <w:b/>
                <w:sz w:val="20"/>
                <w:szCs w:val="20"/>
              </w:rPr>
              <w:t>o</w:t>
            </w:r>
            <w:r w:rsidRPr="007C7FE4">
              <w:rPr>
                <w:rFonts w:ascii="Arial" w:hAnsi="Arial" w:cs="Arial"/>
                <w:b/>
                <w:sz w:val="20"/>
                <w:szCs w:val="20"/>
              </w:rPr>
              <w:t>G</w:t>
            </w:r>
            <w:proofErr w:type="spellEnd"/>
          </w:p>
          <w:p w14:paraId="54E91079" w14:textId="77777777" w:rsidR="007C7FE4" w:rsidRPr="007C7FE4" w:rsidRDefault="007C7FE4" w:rsidP="007C7FE4">
            <w:pPr>
              <w:spacing w:line="360" w:lineRule="auto"/>
              <w:jc w:val="center"/>
              <w:rPr>
                <w:rFonts w:ascii="Arial" w:hAnsi="Arial" w:cs="Arial"/>
                <w:b/>
                <w:sz w:val="20"/>
                <w:szCs w:val="20"/>
              </w:rPr>
            </w:pPr>
            <w:r w:rsidRPr="007C7FE4">
              <w:rPr>
                <w:rFonts w:ascii="Arial" w:hAnsi="Arial" w:cs="Arial"/>
                <w:b/>
                <w:sz w:val="20"/>
                <w:szCs w:val="20"/>
              </w:rPr>
              <w:t>values (nm)</w:t>
            </w:r>
          </w:p>
        </w:tc>
        <w:tc>
          <w:tcPr>
            <w:tcW w:w="1350" w:type="dxa"/>
          </w:tcPr>
          <w:p w14:paraId="0C29C80E" w14:textId="77777777" w:rsidR="007C7FE4" w:rsidRPr="007C7FE4" w:rsidRDefault="007C7FE4" w:rsidP="007C7FE4">
            <w:pPr>
              <w:spacing w:line="360" w:lineRule="auto"/>
              <w:jc w:val="center"/>
              <w:rPr>
                <w:rFonts w:ascii="Arial" w:hAnsi="Arial" w:cs="Arial"/>
                <w:b/>
                <w:sz w:val="20"/>
                <w:szCs w:val="20"/>
              </w:rPr>
            </w:pPr>
            <w:r w:rsidRPr="007C7FE4">
              <w:rPr>
                <w:rFonts w:ascii="Arial" w:hAnsi="Arial" w:cs="Arial"/>
                <w:b/>
                <w:sz w:val="20"/>
                <w:szCs w:val="20"/>
              </w:rPr>
              <w:t>Average</w:t>
            </w:r>
          </w:p>
          <w:p w14:paraId="39EC6940" w14:textId="77777777" w:rsidR="007C7FE4" w:rsidRPr="007C7FE4" w:rsidRDefault="007C7FE4" w:rsidP="007C7FE4">
            <w:pPr>
              <w:spacing w:line="360" w:lineRule="auto"/>
              <w:jc w:val="center"/>
              <w:rPr>
                <w:rFonts w:ascii="Arial" w:hAnsi="Arial" w:cs="Arial"/>
                <w:b/>
                <w:sz w:val="20"/>
                <w:szCs w:val="20"/>
              </w:rPr>
            </w:pPr>
            <w:r w:rsidRPr="007C7FE4">
              <w:rPr>
                <w:rFonts w:ascii="Arial" w:hAnsi="Arial" w:cs="Arial"/>
                <w:b/>
                <w:sz w:val="20"/>
                <w:szCs w:val="20"/>
              </w:rPr>
              <w:t>H-bond</w:t>
            </w:r>
          </w:p>
          <w:p w14:paraId="3D8E7D83" w14:textId="77777777" w:rsidR="007C7FE4" w:rsidRPr="007C7FE4" w:rsidRDefault="007C7FE4" w:rsidP="007C7FE4">
            <w:pPr>
              <w:spacing w:line="360" w:lineRule="auto"/>
              <w:jc w:val="center"/>
              <w:rPr>
                <w:rFonts w:ascii="Arial" w:hAnsi="Arial" w:cs="Arial"/>
                <w:b/>
                <w:sz w:val="20"/>
                <w:szCs w:val="20"/>
              </w:rPr>
            </w:pPr>
            <w:r w:rsidRPr="007C7FE4">
              <w:rPr>
                <w:rFonts w:ascii="Arial" w:hAnsi="Arial" w:cs="Arial"/>
                <w:b/>
                <w:sz w:val="20"/>
                <w:szCs w:val="20"/>
              </w:rPr>
              <w:t>values (nm)</w:t>
            </w:r>
          </w:p>
        </w:tc>
      </w:tr>
      <w:tr w:rsidR="007C7FE4" w:rsidRPr="007C7FE4" w14:paraId="63A47167" w14:textId="77777777" w:rsidTr="007C7FE4">
        <w:trPr>
          <w:trHeight w:val="503"/>
        </w:trPr>
        <w:tc>
          <w:tcPr>
            <w:tcW w:w="2160" w:type="dxa"/>
            <w:noWrap/>
          </w:tcPr>
          <w:p w14:paraId="1388B3CC" w14:textId="77777777" w:rsidR="007C7FE4" w:rsidRPr="007C7FE4" w:rsidRDefault="007C7FE4" w:rsidP="007C7FE4">
            <w:pPr>
              <w:spacing w:line="360" w:lineRule="auto"/>
              <w:jc w:val="center"/>
              <w:rPr>
                <w:rFonts w:ascii="Arial" w:hAnsi="Arial" w:cs="Arial"/>
                <w:b/>
                <w:sz w:val="20"/>
                <w:szCs w:val="20"/>
              </w:rPr>
            </w:pPr>
            <w:proofErr w:type="spellStart"/>
            <w:r w:rsidRPr="007C7FE4">
              <w:rPr>
                <w:rFonts w:ascii="Arial" w:eastAsia="Times New Roman" w:hAnsi="Arial" w:cs="Arial"/>
                <w:color w:val="000000"/>
                <w:kern w:val="0"/>
                <w:sz w:val="20"/>
                <w:szCs w:val="20"/>
              </w:rPr>
              <w:t>Pemigatinib</w:t>
            </w:r>
            <w:proofErr w:type="spellEnd"/>
          </w:p>
        </w:tc>
        <w:tc>
          <w:tcPr>
            <w:tcW w:w="1710" w:type="dxa"/>
            <w:noWrap/>
          </w:tcPr>
          <w:p w14:paraId="7E665F8A" w14:textId="77777777" w:rsidR="007C7FE4" w:rsidRPr="007C7FE4" w:rsidRDefault="007C7FE4" w:rsidP="007C7FE4">
            <w:pPr>
              <w:spacing w:line="360" w:lineRule="auto"/>
              <w:jc w:val="center"/>
              <w:rPr>
                <w:rFonts w:ascii="Arial" w:hAnsi="Arial" w:cs="Arial"/>
                <w:b/>
                <w:sz w:val="20"/>
                <w:szCs w:val="20"/>
              </w:rPr>
            </w:pPr>
            <w:r w:rsidRPr="007C7FE4">
              <w:rPr>
                <w:rFonts w:ascii="Arial" w:eastAsia="Times New Roman" w:hAnsi="Arial" w:cs="Arial"/>
                <w:color w:val="000000"/>
                <w:kern w:val="0"/>
                <w:sz w:val="20"/>
                <w:szCs w:val="20"/>
              </w:rPr>
              <w:t>0.385</w:t>
            </w:r>
          </w:p>
        </w:tc>
        <w:tc>
          <w:tcPr>
            <w:tcW w:w="1620" w:type="dxa"/>
          </w:tcPr>
          <w:p w14:paraId="386C2772" w14:textId="77777777" w:rsidR="007C7FE4" w:rsidRPr="007C7FE4" w:rsidRDefault="007C7FE4" w:rsidP="007C7FE4">
            <w:pPr>
              <w:spacing w:line="360" w:lineRule="auto"/>
              <w:jc w:val="center"/>
              <w:rPr>
                <w:rFonts w:ascii="Arial" w:hAnsi="Arial" w:cs="Arial"/>
                <w:b/>
                <w:sz w:val="20"/>
                <w:szCs w:val="20"/>
              </w:rPr>
            </w:pPr>
            <w:r w:rsidRPr="007C7FE4">
              <w:rPr>
                <w:rFonts w:ascii="Arial" w:eastAsia="Times New Roman" w:hAnsi="Arial" w:cs="Arial"/>
                <w:color w:val="000000"/>
                <w:kern w:val="0"/>
                <w:sz w:val="20"/>
                <w:szCs w:val="20"/>
              </w:rPr>
              <w:t>0.155</w:t>
            </w:r>
          </w:p>
        </w:tc>
        <w:tc>
          <w:tcPr>
            <w:tcW w:w="1350" w:type="dxa"/>
          </w:tcPr>
          <w:p w14:paraId="28321310" w14:textId="77777777" w:rsidR="007C7FE4" w:rsidRPr="007C7FE4" w:rsidRDefault="007C7FE4" w:rsidP="007C7FE4">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2.077</w:t>
            </w:r>
          </w:p>
        </w:tc>
        <w:tc>
          <w:tcPr>
            <w:tcW w:w="1350" w:type="dxa"/>
          </w:tcPr>
          <w:p w14:paraId="24120DB4" w14:textId="77777777" w:rsidR="007C7FE4" w:rsidRPr="007C7FE4" w:rsidRDefault="007C7FE4" w:rsidP="007C7FE4">
            <w:pPr>
              <w:spacing w:line="360" w:lineRule="auto"/>
              <w:jc w:val="center"/>
              <w:rPr>
                <w:rFonts w:ascii="Arial" w:hAnsi="Arial" w:cs="Arial"/>
                <w:b/>
                <w:sz w:val="20"/>
                <w:szCs w:val="20"/>
              </w:rPr>
            </w:pPr>
            <w:r w:rsidRPr="007C7FE4">
              <w:rPr>
                <w:rFonts w:ascii="Arial" w:eastAsia="Times New Roman" w:hAnsi="Arial" w:cs="Arial"/>
                <w:color w:val="000000"/>
                <w:kern w:val="0"/>
                <w:sz w:val="20"/>
                <w:szCs w:val="20"/>
              </w:rPr>
              <w:t>0.729</w:t>
            </w:r>
          </w:p>
        </w:tc>
      </w:tr>
      <w:tr w:rsidR="007C7FE4" w:rsidRPr="007C7FE4" w14:paraId="5876F2B6" w14:textId="77777777" w:rsidTr="007C7FE4">
        <w:trPr>
          <w:trHeight w:val="503"/>
        </w:trPr>
        <w:tc>
          <w:tcPr>
            <w:tcW w:w="2160" w:type="dxa"/>
            <w:noWrap/>
            <w:vAlign w:val="bottom"/>
          </w:tcPr>
          <w:p w14:paraId="369F7368" w14:textId="77777777" w:rsidR="007C7FE4" w:rsidRPr="007C7FE4" w:rsidRDefault="007C7FE4" w:rsidP="007C7FE4">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10-Hydroxytrilobacin</w:t>
            </w:r>
          </w:p>
        </w:tc>
        <w:tc>
          <w:tcPr>
            <w:tcW w:w="1710" w:type="dxa"/>
            <w:noWrap/>
          </w:tcPr>
          <w:p w14:paraId="1E1B2158" w14:textId="77777777" w:rsidR="007C7FE4" w:rsidRPr="007C7FE4" w:rsidRDefault="007C7FE4" w:rsidP="007C7FE4">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0.392</w:t>
            </w:r>
          </w:p>
        </w:tc>
        <w:tc>
          <w:tcPr>
            <w:tcW w:w="1620" w:type="dxa"/>
          </w:tcPr>
          <w:p w14:paraId="11DAE82A" w14:textId="77777777" w:rsidR="007C7FE4" w:rsidRPr="007C7FE4" w:rsidRDefault="007C7FE4" w:rsidP="007C7FE4">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0.168</w:t>
            </w:r>
          </w:p>
        </w:tc>
        <w:tc>
          <w:tcPr>
            <w:tcW w:w="1350" w:type="dxa"/>
          </w:tcPr>
          <w:p w14:paraId="160959C5" w14:textId="77777777" w:rsidR="007C7FE4" w:rsidRPr="007C7FE4" w:rsidRDefault="007C7FE4" w:rsidP="007C7FE4">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2.065</w:t>
            </w:r>
          </w:p>
        </w:tc>
        <w:tc>
          <w:tcPr>
            <w:tcW w:w="1350" w:type="dxa"/>
          </w:tcPr>
          <w:p w14:paraId="7FC58B1E" w14:textId="77777777" w:rsidR="007C7FE4" w:rsidRPr="007C7FE4" w:rsidRDefault="007C7FE4" w:rsidP="007C7FE4">
            <w:pPr>
              <w:spacing w:line="360" w:lineRule="auto"/>
              <w:jc w:val="center"/>
              <w:rPr>
                <w:rFonts w:ascii="Arial" w:eastAsia="Times New Roman" w:hAnsi="Arial" w:cs="Arial"/>
                <w:color w:val="000000"/>
                <w:kern w:val="0"/>
                <w:sz w:val="20"/>
                <w:szCs w:val="20"/>
              </w:rPr>
            </w:pPr>
            <w:r w:rsidRPr="007C7FE4">
              <w:rPr>
                <w:rFonts w:ascii="Arial" w:eastAsia="Times New Roman" w:hAnsi="Arial" w:cs="Arial"/>
                <w:color w:val="000000"/>
                <w:kern w:val="0"/>
                <w:sz w:val="20"/>
                <w:szCs w:val="20"/>
              </w:rPr>
              <w:t>1.039</w:t>
            </w:r>
          </w:p>
        </w:tc>
      </w:tr>
      <w:tr w:rsidR="007C7FE4" w:rsidRPr="007C7FE4" w14:paraId="6D7D2436" w14:textId="77777777" w:rsidTr="007C7FE4">
        <w:trPr>
          <w:trHeight w:val="278"/>
        </w:trPr>
        <w:tc>
          <w:tcPr>
            <w:tcW w:w="2160" w:type="dxa"/>
            <w:noWrap/>
            <w:vAlign w:val="bottom"/>
            <w:hideMark/>
          </w:tcPr>
          <w:p w14:paraId="664A10D9" w14:textId="77777777" w:rsidR="007C7FE4" w:rsidRPr="007C7FE4" w:rsidRDefault="007C7FE4" w:rsidP="007C7FE4">
            <w:pPr>
              <w:spacing w:line="360" w:lineRule="auto"/>
              <w:jc w:val="center"/>
              <w:rPr>
                <w:rFonts w:ascii="Arial" w:hAnsi="Arial" w:cs="Arial"/>
                <w:bCs/>
                <w:sz w:val="20"/>
                <w:szCs w:val="20"/>
              </w:rPr>
            </w:pPr>
            <w:r w:rsidRPr="007C7FE4">
              <w:rPr>
                <w:rFonts w:ascii="Arial" w:hAnsi="Arial" w:cs="Arial"/>
                <w:sz w:val="20"/>
                <w:szCs w:val="20"/>
              </w:rPr>
              <w:t>Mosin B</w:t>
            </w:r>
          </w:p>
        </w:tc>
        <w:tc>
          <w:tcPr>
            <w:tcW w:w="1710" w:type="dxa"/>
            <w:noWrap/>
            <w:hideMark/>
          </w:tcPr>
          <w:p w14:paraId="427541C7" w14:textId="77777777" w:rsidR="007C7FE4" w:rsidRPr="007C7FE4" w:rsidRDefault="007C7FE4" w:rsidP="007C7FE4">
            <w:pPr>
              <w:spacing w:line="360" w:lineRule="auto"/>
              <w:jc w:val="center"/>
              <w:rPr>
                <w:rFonts w:ascii="Arial" w:hAnsi="Arial" w:cs="Arial"/>
                <w:color w:val="000000"/>
                <w:sz w:val="20"/>
                <w:szCs w:val="20"/>
              </w:rPr>
            </w:pPr>
            <w:r w:rsidRPr="007C7FE4">
              <w:rPr>
                <w:rFonts w:ascii="Arial" w:eastAsia="Times New Roman" w:hAnsi="Arial" w:cs="Arial"/>
                <w:color w:val="000000"/>
                <w:kern w:val="0"/>
                <w:sz w:val="20"/>
                <w:szCs w:val="20"/>
              </w:rPr>
              <w:t>0.387</w:t>
            </w:r>
          </w:p>
        </w:tc>
        <w:tc>
          <w:tcPr>
            <w:tcW w:w="1620" w:type="dxa"/>
          </w:tcPr>
          <w:p w14:paraId="27694D2E" w14:textId="77777777" w:rsidR="007C7FE4" w:rsidRPr="007C7FE4" w:rsidRDefault="007C7FE4" w:rsidP="007C7FE4">
            <w:pPr>
              <w:spacing w:line="360" w:lineRule="auto"/>
              <w:jc w:val="center"/>
              <w:rPr>
                <w:rFonts w:ascii="Arial" w:hAnsi="Arial" w:cs="Arial"/>
                <w:color w:val="000000"/>
                <w:sz w:val="20"/>
                <w:szCs w:val="20"/>
              </w:rPr>
            </w:pPr>
            <w:r w:rsidRPr="007C7FE4">
              <w:rPr>
                <w:rFonts w:ascii="Arial" w:eastAsia="Times New Roman" w:hAnsi="Arial" w:cs="Arial"/>
                <w:color w:val="000000"/>
                <w:kern w:val="0"/>
                <w:sz w:val="20"/>
                <w:szCs w:val="20"/>
              </w:rPr>
              <w:t>0.159</w:t>
            </w:r>
          </w:p>
        </w:tc>
        <w:tc>
          <w:tcPr>
            <w:tcW w:w="1350" w:type="dxa"/>
          </w:tcPr>
          <w:p w14:paraId="0DC2A80B" w14:textId="77777777" w:rsidR="007C7FE4" w:rsidRPr="007C7FE4" w:rsidRDefault="007C7FE4" w:rsidP="007C7FE4">
            <w:pPr>
              <w:spacing w:line="360" w:lineRule="auto"/>
              <w:jc w:val="center"/>
              <w:rPr>
                <w:rFonts w:ascii="Arial" w:hAnsi="Arial" w:cs="Arial"/>
                <w:color w:val="000000"/>
                <w:sz w:val="20"/>
                <w:szCs w:val="20"/>
              </w:rPr>
            </w:pPr>
            <w:r w:rsidRPr="007C7FE4">
              <w:rPr>
                <w:rFonts w:ascii="Arial" w:eastAsia="Times New Roman" w:hAnsi="Arial" w:cs="Arial"/>
                <w:color w:val="000000"/>
                <w:kern w:val="0"/>
                <w:sz w:val="20"/>
                <w:szCs w:val="20"/>
              </w:rPr>
              <w:t>2.048</w:t>
            </w:r>
          </w:p>
        </w:tc>
        <w:tc>
          <w:tcPr>
            <w:tcW w:w="1350" w:type="dxa"/>
          </w:tcPr>
          <w:p w14:paraId="7FB568A9" w14:textId="77777777" w:rsidR="007C7FE4" w:rsidRPr="007C7FE4" w:rsidRDefault="007C7FE4" w:rsidP="007C7FE4">
            <w:pPr>
              <w:spacing w:line="360" w:lineRule="auto"/>
              <w:jc w:val="center"/>
              <w:rPr>
                <w:rFonts w:ascii="Arial" w:hAnsi="Arial" w:cs="Arial"/>
                <w:color w:val="000000"/>
                <w:sz w:val="20"/>
                <w:szCs w:val="20"/>
              </w:rPr>
            </w:pPr>
            <w:r w:rsidRPr="007C7FE4">
              <w:rPr>
                <w:rFonts w:ascii="Arial" w:eastAsia="Times New Roman" w:hAnsi="Arial" w:cs="Arial"/>
                <w:color w:val="000000"/>
                <w:kern w:val="0"/>
                <w:sz w:val="20"/>
                <w:szCs w:val="20"/>
              </w:rPr>
              <w:t>1.669</w:t>
            </w:r>
          </w:p>
        </w:tc>
      </w:tr>
    </w:tbl>
    <w:p w14:paraId="76B3A776" w14:textId="77777777" w:rsidR="007C7FE4" w:rsidRPr="0085434C" w:rsidRDefault="007C7FE4" w:rsidP="0085434C">
      <w:pPr>
        <w:spacing w:after="0" w:line="360" w:lineRule="auto"/>
        <w:jc w:val="both"/>
        <w:rPr>
          <w:rFonts w:ascii="Arial" w:hAnsi="Arial" w:cs="Arial"/>
          <w:sz w:val="20"/>
          <w:szCs w:val="20"/>
          <w:lang w:val="en-GB"/>
        </w:rPr>
      </w:pPr>
    </w:p>
    <w:p w14:paraId="413B1BD2" w14:textId="77777777"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t>3.5.1 RMSD</w:t>
      </w:r>
    </w:p>
    <w:p w14:paraId="13A718D0" w14:textId="1521A0A5"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RMSD measures the average deviation in atomic positions of the protein–ligand complex over time and is a direct indicator of structural stability. From the data presented in Table </w:t>
      </w:r>
      <w:r w:rsidR="00050357">
        <w:rPr>
          <w:rFonts w:ascii="Arial" w:hAnsi="Arial" w:cs="Arial"/>
          <w:sz w:val="20"/>
          <w:szCs w:val="20"/>
          <w:lang w:val="en-GB"/>
        </w:rPr>
        <w:t>6</w:t>
      </w:r>
      <w:r w:rsidRPr="0085434C">
        <w:rPr>
          <w:rFonts w:ascii="Arial" w:hAnsi="Arial" w:cs="Arial"/>
          <w:sz w:val="20"/>
          <w:szCs w:val="20"/>
          <w:lang w:val="en-GB"/>
        </w:rPr>
        <w:t xml:space="preserve"> and Figure 5a, all three compounds maintained stable RMSD values from 20 ns to 100 ns simulation. Mosin B had an average RMSD of 0.387 nm, which was more than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(0.385 nm) and slightly lower than 10-Hydroxytrilobacin (0.392 nm). These low values indicate that all the ligand–protein complexes were structurally stable. Such minimal deviations indicate high binding affinity and structural stability, as observed with molecular docking as well as MM-GBSA analysis.</w:t>
      </w:r>
    </w:p>
    <w:p w14:paraId="147FC8E0" w14:textId="77777777" w:rsidR="000B354A" w:rsidRPr="00303D2C" w:rsidRDefault="000B354A" w:rsidP="009230C7">
      <w:pPr>
        <w:jc w:val="center"/>
        <w:rPr>
          <w:rFonts w:ascii="Times New Roman" w:hAnsi="Times New Roman" w:cs="Times New Roman"/>
          <w:sz w:val="24"/>
          <w:szCs w:val="24"/>
        </w:rPr>
      </w:pPr>
      <w:r w:rsidRPr="00303D2C">
        <w:rPr>
          <w:rFonts w:ascii="Times New Roman" w:hAnsi="Times New Roman" w:cs="Times New Roman"/>
          <w:noProof/>
          <w:sz w:val="24"/>
          <w:szCs w:val="24"/>
        </w:rPr>
        <w:lastRenderedPageBreak/>
        <w:drawing>
          <wp:inline distT="0" distB="0" distL="0" distR="0" wp14:anchorId="00F62E86" wp14:editId="60D2D06F">
            <wp:extent cx="5293519" cy="2895600"/>
            <wp:effectExtent l="38100" t="38100" r="40640" b="38100"/>
            <wp:docPr id="604772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6214" cy="2902544"/>
                    </a:xfrm>
                    <a:prstGeom prst="rect">
                      <a:avLst/>
                    </a:prstGeom>
                    <a:noFill/>
                    <a:ln w="25400">
                      <a:solidFill>
                        <a:schemeClr val="tx1"/>
                      </a:solidFill>
                    </a:ln>
                  </pic:spPr>
                </pic:pic>
              </a:graphicData>
            </a:graphic>
          </wp:inline>
        </w:drawing>
      </w:r>
    </w:p>
    <w:p w14:paraId="418A91FF" w14:textId="78B00C72" w:rsidR="000B354A" w:rsidRPr="000B354A" w:rsidRDefault="000B354A" w:rsidP="000B354A">
      <w:pPr>
        <w:jc w:val="both"/>
        <w:rPr>
          <w:rFonts w:ascii="Arial" w:hAnsi="Arial" w:cs="Arial"/>
          <w:sz w:val="20"/>
          <w:szCs w:val="20"/>
        </w:rPr>
      </w:pPr>
      <w:r w:rsidRPr="000B354A">
        <w:rPr>
          <w:rFonts w:ascii="Arial" w:hAnsi="Arial" w:cs="Arial"/>
          <w:b/>
          <w:bCs/>
          <w:sz w:val="20"/>
          <w:szCs w:val="20"/>
        </w:rPr>
        <w:t>Figure 5a</w:t>
      </w:r>
      <w:r w:rsidRPr="000B354A">
        <w:rPr>
          <w:rFonts w:ascii="Arial" w:hAnsi="Arial" w:cs="Arial"/>
          <w:sz w:val="20"/>
          <w:szCs w:val="20"/>
        </w:rPr>
        <w:t xml:space="preserve">: RMSD Plot Showing the Stability of </w:t>
      </w:r>
      <w:proofErr w:type="spellStart"/>
      <w:r w:rsidRPr="000B354A">
        <w:rPr>
          <w:rFonts w:ascii="Arial" w:hAnsi="Arial" w:cs="Arial"/>
          <w:sz w:val="20"/>
          <w:szCs w:val="20"/>
        </w:rPr>
        <w:t>Pemigatinib</w:t>
      </w:r>
      <w:proofErr w:type="spellEnd"/>
      <w:r w:rsidRPr="000B354A">
        <w:rPr>
          <w:rFonts w:ascii="Arial" w:hAnsi="Arial" w:cs="Arial"/>
          <w:sz w:val="20"/>
          <w:szCs w:val="20"/>
        </w:rPr>
        <w:t xml:space="preserve">, </w:t>
      </w:r>
      <w:r w:rsidRPr="000B354A">
        <w:rPr>
          <w:rFonts w:ascii="Arial" w:eastAsia="Times New Roman" w:hAnsi="Arial" w:cs="Arial"/>
          <w:color w:val="000000"/>
          <w:kern w:val="0"/>
          <w:sz w:val="20"/>
          <w:szCs w:val="20"/>
        </w:rPr>
        <w:t>10-Hydroxytrilobacin</w:t>
      </w:r>
      <w:r w:rsidRPr="000B354A">
        <w:rPr>
          <w:rFonts w:ascii="Arial" w:hAnsi="Arial" w:cs="Arial"/>
          <w:sz w:val="20"/>
          <w:szCs w:val="20"/>
        </w:rPr>
        <w:t>, and Mosin B Over 100 ns of Molecular Dynamics Simulation</w:t>
      </w:r>
    </w:p>
    <w:p w14:paraId="6A8B094E" w14:textId="77777777"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t>3.5.2 RMSF</w:t>
      </w:r>
    </w:p>
    <w:p w14:paraId="72F0EC18" w14:textId="5427487A"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RMSF evaluates the flexibility of individual amino acid residues during simulation, providing insight into the effect of ligand binding on the local protein movement. From Table </w:t>
      </w:r>
      <w:r w:rsidR="00050357">
        <w:rPr>
          <w:rFonts w:ascii="Arial" w:hAnsi="Arial" w:cs="Arial"/>
          <w:sz w:val="20"/>
          <w:szCs w:val="20"/>
          <w:lang w:val="en-GB"/>
        </w:rPr>
        <w:t>6</w:t>
      </w:r>
      <w:r w:rsidRPr="0085434C">
        <w:rPr>
          <w:rFonts w:ascii="Arial" w:hAnsi="Arial" w:cs="Arial"/>
          <w:sz w:val="20"/>
          <w:szCs w:val="20"/>
          <w:lang w:val="en-GB"/>
        </w:rPr>
        <w:t xml:space="preserve"> and the graphical data shown in Figure 5b, Mosin B showed the lowest average RMSF (0.159 nm), followed by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(0.155 nm) and 10-Hydroxytrilobacin (0.168 nm). Notably, reduced mobility was observed at key binding site residues, particularly Gly567 and Arg576, within the Mosin B complex. This indicates that these residues are well-stabilized by the ligand, which supports Mosin B’s strong and reliable binding interaction with FGFR1.</w:t>
      </w:r>
    </w:p>
    <w:p w14:paraId="1A77CE16" w14:textId="77777777" w:rsidR="000B354A" w:rsidRPr="00303D2C" w:rsidRDefault="000B354A" w:rsidP="009230C7">
      <w:pPr>
        <w:jc w:val="center"/>
        <w:rPr>
          <w:rFonts w:ascii="Times New Roman" w:hAnsi="Times New Roman" w:cs="Times New Roman"/>
          <w:sz w:val="24"/>
          <w:szCs w:val="24"/>
        </w:rPr>
      </w:pPr>
      <w:r w:rsidRPr="00303D2C">
        <w:rPr>
          <w:rFonts w:ascii="Times New Roman" w:hAnsi="Times New Roman" w:cs="Times New Roman"/>
          <w:noProof/>
          <w:sz w:val="24"/>
          <w:szCs w:val="24"/>
        </w:rPr>
        <w:drawing>
          <wp:inline distT="0" distB="0" distL="0" distR="0" wp14:anchorId="40F43FF8" wp14:editId="4FBA7244">
            <wp:extent cx="5247005" cy="2673955"/>
            <wp:effectExtent l="38100" t="38100" r="29845" b="31750"/>
            <wp:docPr id="1261159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2530" cy="2686963"/>
                    </a:xfrm>
                    <a:prstGeom prst="rect">
                      <a:avLst/>
                    </a:prstGeom>
                    <a:noFill/>
                    <a:ln w="25400">
                      <a:solidFill>
                        <a:schemeClr val="tx1"/>
                      </a:solidFill>
                    </a:ln>
                  </pic:spPr>
                </pic:pic>
              </a:graphicData>
            </a:graphic>
          </wp:inline>
        </w:drawing>
      </w:r>
    </w:p>
    <w:p w14:paraId="1C09035B" w14:textId="45AA6D68" w:rsidR="000B354A" w:rsidRPr="000B354A" w:rsidRDefault="000B354A" w:rsidP="000B354A">
      <w:pPr>
        <w:jc w:val="both"/>
        <w:rPr>
          <w:rFonts w:ascii="Arial" w:hAnsi="Arial" w:cs="Arial"/>
          <w:sz w:val="20"/>
          <w:szCs w:val="20"/>
        </w:rPr>
      </w:pPr>
      <w:r w:rsidRPr="000B354A">
        <w:rPr>
          <w:rFonts w:ascii="Arial" w:hAnsi="Arial" w:cs="Arial"/>
          <w:b/>
          <w:bCs/>
          <w:sz w:val="20"/>
          <w:szCs w:val="20"/>
        </w:rPr>
        <w:t>Figure 5b</w:t>
      </w:r>
      <w:r w:rsidRPr="000B354A">
        <w:rPr>
          <w:rFonts w:ascii="Arial" w:hAnsi="Arial" w:cs="Arial"/>
          <w:sz w:val="20"/>
          <w:szCs w:val="20"/>
        </w:rPr>
        <w:t xml:space="preserve">: RMSF Plot Showing the Stability of </w:t>
      </w:r>
      <w:proofErr w:type="spellStart"/>
      <w:r w:rsidRPr="000B354A">
        <w:rPr>
          <w:rFonts w:ascii="Arial" w:hAnsi="Arial" w:cs="Arial"/>
          <w:sz w:val="20"/>
          <w:szCs w:val="20"/>
        </w:rPr>
        <w:t>Pemigatinib</w:t>
      </w:r>
      <w:proofErr w:type="spellEnd"/>
      <w:r w:rsidRPr="000B354A">
        <w:rPr>
          <w:rFonts w:ascii="Arial" w:hAnsi="Arial" w:cs="Arial"/>
          <w:sz w:val="20"/>
          <w:szCs w:val="20"/>
        </w:rPr>
        <w:t xml:space="preserve">, </w:t>
      </w:r>
      <w:r w:rsidRPr="000B354A">
        <w:rPr>
          <w:rFonts w:ascii="Arial" w:eastAsia="Times New Roman" w:hAnsi="Arial" w:cs="Arial"/>
          <w:color w:val="000000"/>
          <w:kern w:val="0"/>
          <w:sz w:val="20"/>
          <w:szCs w:val="20"/>
        </w:rPr>
        <w:t>10-Hydroxytrilobacin</w:t>
      </w:r>
      <w:r w:rsidRPr="000B354A">
        <w:rPr>
          <w:rFonts w:ascii="Arial" w:hAnsi="Arial" w:cs="Arial"/>
          <w:sz w:val="20"/>
          <w:szCs w:val="20"/>
        </w:rPr>
        <w:t>, and Mosin B Over 100 ns of Molecular Dynamics Simulation</w:t>
      </w:r>
    </w:p>
    <w:p w14:paraId="1F9E511A" w14:textId="77777777"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lastRenderedPageBreak/>
        <w:t>3.5.3 H-bonding</w:t>
      </w:r>
    </w:p>
    <w:p w14:paraId="179A1A01" w14:textId="60ACEA36"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Hydrogen bonding contributes significantly to the strength of ligand binding and overall stability of the complex. As illustrated in Table </w:t>
      </w:r>
      <w:r w:rsidR="00050357">
        <w:rPr>
          <w:rFonts w:ascii="Arial" w:hAnsi="Arial" w:cs="Arial"/>
          <w:sz w:val="20"/>
          <w:szCs w:val="20"/>
          <w:lang w:val="en-GB"/>
        </w:rPr>
        <w:t>6</w:t>
      </w:r>
      <w:r w:rsidRPr="0085434C">
        <w:rPr>
          <w:rFonts w:ascii="Arial" w:hAnsi="Arial" w:cs="Arial"/>
          <w:sz w:val="20"/>
          <w:szCs w:val="20"/>
          <w:lang w:val="en-GB"/>
        </w:rPr>
        <w:t xml:space="preserve"> and Figure 5d, the highest average number of hydrogen bonds was formed by Mosin B (1.669), followed by 10-Hydroxytrilobacin (1.039) and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(0.729). The higher number of stable hydrogen bonds for Mosin B and 10-Hydroxytrilobacin indicates a stronger and more persistent interaction with FGFR1 during the 100 ns simulation. This observation is further supported by MM-GBSA analysis, which identified numerous key polar contacts, including interactions involving Arg576, Tyr572, and Glu57 residues. Stable hydrogen interaction is usually associated with higher inhibitory activity and lower conformational drift.</w:t>
      </w:r>
    </w:p>
    <w:p w14:paraId="40234D26" w14:textId="77777777" w:rsidR="000B354A" w:rsidRPr="00303D2C" w:rsidRDefault="000B354A" w:rsidP="009230C7">
      <w:pPr>
        <w:jc w:val="center"/>
        <w:rPr>
          <w:rFonts w:ascii="Times New Roman" w:hAnsi="Times New Roman" w:cs="Times New Roman"/>
          <w:b/>
          <w:bCs/>
          <w:sz w:val="24"/>
          <w:szCs w:val="24"/>
        </w:rPr>
      </w:pPr>
      <w:r w:rsidRPr="00303D2C">
        <w:rPr>
          <w:rFonts w:ascii="Times New Roman" w:hAnsi="Times New Roman" w:cs="Times New Roman"/>
          <w:b/>
          <w:bCs/>
          <w:noProof/>
          <w:sz w:val="24"/>
          <w:szCs w:val="24"/>
        </w:rPr>
        <w:drawing>
          <wp:inline distT="0" distB="0" distL="0" distR="0" wp14:anchorId="0E2615DC" wp14:editId="66215E3B">
            <wp:extent cx="5095875" cy="2637769"/>
            <wp:effectExtent l="38100" t="38100" r="28575" b="29845"/>
            <wp:docPr id="16945351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4914" cy="2642448"/>
                    </a:xfrm>
                    <a:prstGeom prst="rect">
                      <a:avLst/>
                    </a:prstGeom>
                    <a:noFill/>
                    <a:ln w="25400">
                      <a:solidFill>
                        <a:schemeClr val="tx1"/>
                      </a:solidFill>
                    </a:ln>
                  </pic:spPr>
                </pic:pic>
              </a:graphicData>
            </a:graphic>
          </wp:inline>
        </w:drawing>
      </w:r>
    </w:p>
    <w:p w14:paraId="050AAFA3" w14:textId="2FBE885D" w:rsidR="000B354A" w:rsidRPr="000B354A" w:rsidRDefault="000B354A" w:rsidP="000B354A">
      <w:pPr>
        <w:jc w:val="both"/>
        <w:rPr>
          <w:rFonts w:ascii="Arial" w:hAnsi="Arial" w:cs="Arial"/>
          <w:sz w:val="20"/>
          <w:szCs w:val="20"/>
        </w:rPr>
      </w:pPr>
      <w:r w:rsidRPr="000B354A">
        <w:rPr>
          <w:rFonts w:ascii="Arial" w:hAnsi="Arial" w:cs="Arial"/>
          <w:b/>
          <w:bCs/>
          <w:sz w:val="20"/>
          <w:szCs w:val="20"/>
        </w:rPr>
        <w:t>Figure 5c</w:t>
      </w:r>
      <w:r w:rsidRPr="000B354A">
        <w:rPr>
          <w:rFonts w:ascii="Arial" w:hAnsi="Arial" w:cs="Arial"/>
          <w:sz w:val="20"/>
          <w:szCs w:val="20"/>
        </w:rPr>
        <w:t xml:space="preserve">: H-bonding Plot Showing the Stability of </w:t>
      </w:r>
      <w:proofErr w:type="spellStart"/>
      <w:r w:rsidRPr="000B354A">
        <w:rPr>
          <w:rFonts w:ascii="Arial" w:hAnsi="Arial" w:cs="Arial"/>
          <w:sz w:val="20"/>
          <w:szCs w:val="20"/>
        </w:rPr>
        <w:t>Pemigatinib</w:t>
      </w:r>
      <w:proofErr w:type="spellEnd"/>
      <w:r w:rsidRPr="000B354A">
        <w:rPr>
          <w:rFonts w:ascii="Arial" w:hAnsi="Arial" w:cs="Arial"/>
          <w:sz w:val="20"/>
          <w:szCs w:val="20"/>
        </w:rPr>
        <w:t xml:space="preserve">, </w:t>
      </w:r>
      <w:r w:rsidRPr="000B354A">
        <w:rPr>
          <w:rFonts w:ascii="Arial" w:eastAsia="Times New Roman" w:hAnsi="Arial" w:cs="Arial"/>
          <w:color w:val="000000"/>
          <w:kern w:val="0"/>
          <w:sz w:val="20"/>
          <w:szCs w:val="20"/>
        </w:rPr>
        <w:t>10-Hydroxytrilobacin</w:t>
      </w:r>
      <w:r w:rsidRPr="000B354A">
        <w:rPr>
          <w:rFonts w:ascii="Arial" w:hAnsi="Arial" w:cs="Arial"/>
          <w:sz w:val="20"/>
          <w:szCs w:val="20"/>
        </w:rPr>
        <w:t>, and Mosin B Over 100 ns of Molecular Dynamics Simulation</w:t>
      </w:r>
    </w:p>
    <w:p w14:paraId="0DE45DC0" w14:textId="77777777" w:rsidR="002524C0" w:rsidRPr="0085434C" w:rsidRDefault="002524C0" w:rsidP="0085434C">
      <w:pPr>
        <w:spacing w:after="0" w:line="360" w:lineRule="auto"/>
        <w:jc w:val="both"/>
        <w:rPr>
          <w:rFonts w:ascii="Arial" w:hAnsi="Arial" w:cs="Arial"/>
          <w:sz w:val="20"/>
          <w:szCs w:val="20"/>
          <w:lang w:val="en-GB"/>
        </w:rPr>
      </w:pPr>
      <w:r w:rsidRPr="0085434C">
        <w:rPr>
          <w:rFonts w:ascii="Arial" w:hAnsi="Arial" w:cs="Arial"/>
          <w:b/>
          <w:bCs/>
          <w:sz w:val="20"/>
          <w:szCs w:val="20"/>
          <w:lang w:val="en-GB"/>
        </w:rPr>
        <w:t xml:space="preserve">3.5.4 </w:t>
      </w:r>
      <w:proofErr w:type="spellStart"/>
      <w:r w:rsidRPr="0085434C">
        <w:rPr>
          <w:rFonts w:ascii="Arial" w:hAnsi="Arial" w:cs="Arial"/>
          <w:b/>
          <w:bCs/>
          <w:sz w:val="20"/>
          <w:szCs w:val="20"/>
          <w:lang w:val="en-GB"/>
        </w:rPr>
        <w:t>RoG</w:t>
      </w:r>
      <w:proofErr w:type="spellEnd"/>
    </w:p>
    <w:p w14:paraId="0CED49DF" w14:textId="346493E9" w:rsidR="002524C0" w:rsidRDefault="002524C0" w:rsidP="0085434C">
      <w:pPr>
        <w:spacing w:after="0" w:line="360" w:lineRule="auto"/>
        <w:jc w:val="both"/>
        <w:rPr>
          <w:rFonts w:ascii="Arial" w:hAnsi="Arial" w:cs="Arial"/>
          <w:sz w:val="20"/>
          <w:szCs w:val="20"/>
          <w:lang w:val="en-GB"/>
        </w:rPr>
      </w:pPr>
      <w:proofErr w:type="spellStart"/>
      <w:r w:rsidRPr="0085434C">
        <w:rPr>
          <w:rFonts w:ascii="Arial" w:hAnsi="Arial" w:cs="Arial"/>
          <w:sz w:val="20"/>
          <w:szCs w:val="20"/>
          <w:lang w:val="en-GB"/>
        </w:rPr>
        <w:t>RoG</w:t>
      </w:r>
      <w:proofErr w:type="spellEnd"/>
      <w:r w:rsidRPr="0085434C">
        <w:rPr>
          <w:rFonts w:ascii="Arial" w:hAnsi="Arial" w:cs="Arial"/>
          <w:sz w:val="20"/>
          <w:szCs w:val="20"/>
          <w:lang w:val="en-GB"/>
        </w:rPr>
        <w:t xml:space="preserve"> measures the compactness of a protein–ligand complex; a lower </w:t>
      </w:r>
      <w:proofErr w:type="spellStart"/>
      <w:r w:rsidRPr="0085434C">
        <w:rPr>
          <w:rFonts w:ascii="Arial" w:hAnsi="Arial" w:cs="Arial"/>
          <w:sz w:val="20"/>
          <w:szCs w:val="20"/>
          <w:lang w:val="en-GB"/>
        </w:rPr>
        <w:t>RoG</w:t>
      </w:r>
      <w:proofErr w:type="spellEnd"/>
      <w:r w:rsidRPr="0085434C">
        <w:rPr>
          <w:rFonts w:ascii="Arial" w:hAnsi="Arial" w:cs="Arial"/>
          <w:sz w:val="20"/>
          <w:szCs w:val="20"/>
          <w:lang w:val="en-GB"/>
        </w:rPr>
        <w:t xml:space="preserve"> indicates a more tightly packed and stable complex. Figure 5c and Table </w:t>
      </w:r>
      <w:r w:rsidR="00050357">
        <w:rPr>
          <w:rFonts w:ascii="Arial" w:hAnsi="Arial" w:cs="Arial"/>
          <w:sz w:val="20"/>
          <w:szCs w:val="20"/>
          <w:lang w:val="en-GB"/>
        </w:rPr>
        <w:t>6</w:t>
      </w:r>
      <w:r w:rsidRPr="0085434C">
        <w:rPr>
          <w:rFonts w:ascii="Arial" w:hAnsi="Arial" w:cs="Arial"/>
          <w:sz w:val="20"/>
          <w:szCs w:val="20"/>
          <w:lang w:val="en-GB"/>
        </w:rPr>
        <w:t xml:space="preserve"> indicate that the three complexes had </w:t>
      </w:r>
      <w:proofErr w:type="spellStart"/>
      <w:r w:rsidRPr="0085434C">
        <w:rPr>
          <w:rFonts w:ascii="Arial" w:hAnsi="Arial" w:cs="Arial"/>
          <w:sz w:val="20"/>
          <w:szCs w:val="20"/>
          <w:lang w:val="en-GB"/>
        </w:rPr>
        <w:t>R</w:t>
      </w:r>
      <w:r w:rsidR="005C5CC0" w:rsidRPr="0085434C">
        <w:rPr>
          <w:rFonts w:ascii="Arial" w:hAnsi="Arial" w:cs="Arial"/>
          <w:sz w:val="20"/>
          <w:szCs w:val="20"/>
          <w:lang w:val="en-GB"/>
        </w:rPr>
        <w:t>o</w:t>
      </w:r>
      <w:r w:rsidRPr="0085434C">
        <w:rPr>
          <w:rFonts w:ascii="Arial" w:hAnsi="Arial" w:cs="Arial"/>
          <w:sz w:val="20"/>
          <w:szCs w:val="20"/>
          <w:lang w:val="en-GB"/>
        </w:rPr>
        <w:t>G</w:t>
      </w:r>
      <w:proofErr w:type="spellEnd"/>
      <w:r w:rsidRPr="0085434C">
        <w:rPr>
          <w:rFonts w:ascii="Arial" w:hAnsi="Arial" w:cs="Arial"/>
          <w:sz w:val="20"/>
          <w:szCs w:val="20"/>
          <w:lang w:val="en-GB"/>
        </w:rPr>
        <w:t xml:space="preserve"> values consistent throughout the 100 ns simulation. Mosin B had the lowest average </w:t>
      </w:r>
      <w:proofErr w:type="spellStart"/>
      <w:r w:rsidRPr="0085434C">
        <w:rPr>
          <w:rFonts w:ascii="Arial" w:hAnsi="Arial" w:cs="Arial"/>
          <w:sz w:val="20"/>
          <w:szCs w:val="20"/>
          <w:lang w:val="en-GB"/>
        </w:rPr>
        <w:t>R</w:t>
      </w:r>
      <w:r w:rsidR="005C5CC0" w:rsidRPr="0085434C">
        <w:rPr>
          <w:rFonts w:ascii="Arial" w:hAnsi="Arial" w:cs="Arial"/>
          <w:sz w:val="20"/>
          <w:szCs w:val="20"/>
          <w:lang w:val="en-GB"/>
        </w:rPr>
        <w:t>o</w:t>
      </w:r>
      <w:r w:rsidRPr="0085434C">
        <w:rPr>
          <w:rFonts w:ascii="Arial" w:hAnsi="Arial" w:cs="Arial"/>
          <w:sz w:val="20"/>
          <w:szCs w:val="20"/>
          <w:lang w:val="en-GB"/>
        </w:rPr>
        <w:t>G</w:t>
      </w:r>
      <w:proofErr w:type="spellEnd"/>
      <w:r w:rsidRPr="0085434C">
        <w:rPr>
          <w:rFonts w:ascii="Arial" w:hAnsi="Arial" w:cs="Arial"/>
          <w:sz w:val="20"/>
          <w:szCs w:val="20"/>
          <w:lang w:val="en-GB"/>
        </w:rPr>
        <w:t xml:space="preserve"> (2.048 nm), followed by 10-Hydroxytrilobacin (2.065 nm) and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xml:space="preserve"> (2.077 nm). Lower </w:t>
      </w:r>
      <w:proofErr w:type="spellStart"/>
      <w:r w:rsidRPr="0085434C">
        <w:rPr>
          <w:rFonts w:ascii="Arial" w:hAnsi="Arial" w:cs="Arial"/>
          <w:sz w:val="20"/>
          <w:szCs w:val="20"/>
          <w:lang w:val="en-GB"/>
        </w:rPr>
        <w:t>R</w:t>
      </w:r>
      <w:r w:rsidR="005C5CC0" w:rsidRPr="0085434C">
        <w:rPr>
          <w:rFonts w:ascii="Arial" w:hAnsi="Arial" w:cs="Arial"/>
          <w:sz w:val="20"/>
          <w:szCs w:val="20"/>
          <w:lang w:val="en-GB"/>
        </w:rPr>
        <w:t>o</w:t>
      </w:r>
      <w:r w:rsidRPr="0085434C">
        <w:rPr>
          <w:rFonts w:ascii="Arial" w:hAnsi="Arial" w:cs="Arial"/>
          <w:sz w:val="20"/>
          <w:szCs w:val="20"/>
          <w:lang w:val="en-GB"/>
        </w:rPr>
        <w:t>G</w:t>
      </w:r>
      <w:proofErr w:type="spellEnd"/>
      <w:r w:rsidRPr="0085434C">
        <w:rPr>
          <w:rFonts w:ascii="Arial" w:hAnsi="Arial" w:cs="Arial"/>
          <w:sz w:val="20"/>
          <w:szCs w:val="20"/>
          <w:lang w:val="en-GB"/>
        </w:rPr>
        <w:t xml:space="preserve"> values for the two lead compounds (phytochemicals) indicate that their presence in the binding pocket contributes to a more compact and stable FGFR1 conformation than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w:t>
      </w:r>
    </w:p>
    <w:p w14:paraId="5ACB626A" w14:textId="77777777" w:rsidR="000B354A" w:rsidRPr="00303D2C" w:rsidRDefault="000B354A" w:rsidP="009230C7">
      <w:pPr>
        <w:jc w:val="center"/>
        <w:rPr>
          <w:rFonts w:ascii="Times New Roman" w:hAnsi="Times New Roman" w:cs="Times New Roman"/>
          <w:b/>
          <w:bCs/>
          <w:sz w:val="24"/>
          <w:szCs w:val="24"/>
        </w:rPr>
      </w:pPr>
      <w:r w:rsidRPr="00303D2C">
        <w:rPr>
          <w:rFonts w:ascii="Times New Roman" w:hAnsi="Times New Roman" w:cs="Times New Roman"/>
          <w:b/>
          <w:bCs/>
          <w:noProof/>
          <w:sz w:val="24"/>
          <w:szCs w:val="24"/>
        </w:rPr>
        <w:lastRenderedPageBreak/>
        <w:drawing>
          <wp:inline distT="0" distB="0" distL="0" distR="0" wp14:anchorId="490BF407" wp14:editId="77EA3DF5">
            <wp:extent cx="5248275" cy="2809172"/>
            <wp:effectExtent l="38100" t="38100" r="28575" b="29845"/>
            <wp:docPr id="1177795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0815" cy="2831942"/>
                    </a:xfrm>
                    <a:prstGeom prst="rect">
                      <a:avLst/>
                    </a:prstGeom>
                    <a:noFill/>
                    <a:ln w="25400">
                      <a:solidFill>
                        <a:schemeClr val="tx1"/>
                      </a:solidFill>
                    </a:ln>
                  </pic:spPr>
                </pic:pic>
              </a:graphicData>
            </a:graphic>
          </wp:inline>
        </w:drawing>
      </w:r>
    </w:p>
    <w:p w14:paraId="478B60C3" w14:textId="77777777" w:rsidR="000B354A" w:rsidRPr="000B354A" w:rsidRDefault="000B354A" w:rsidP="000B354A">
      <w:pPr>
        <w:jc w:val="both"/>
        <w:rPr>
          <w:rFonts w:ascii="Arial" w:hAnsi="Arial" w:cs="Arial"/>
          <w:sz w:val="20"/>
          <w:szCs w:val="20"/>
        </w:rPr>
      </w:pPr>
      <w:r w:rsidRPr="000B354A">
        <w:rPr>
          <w:rFonts w:ascii="Arial" w:hAnsi="Arial" w:cs="Arial"/>
          <w:b/>
          <w:bCs/>
          <w:sz w:val="20"/>
          <w:szCs w:val="20"/>
        </w:rPr>
        <w:t>Figure 5d</w:t>
      </w:r>
      <w:r w:rsidRPr="000B354A">
        <w:rPr>
          <w:rFonts w:ascii="Arial" w:hAnsi="Arial" w:cs="Arial"/>
          <w:sz w:val="20"/>
          <w:szCs w:val="20"/>
        </w:rPr>
        <w:t xml:space="preserve">: </w:t>
      </w:r>
      <w:proofErr w:type="spellStart"/>
      <w:r w:rsidRPr="000B354A">
        <w:rPr>
          <w:rFonts w:ascii="Arial" w:hAnsi="Arial" w:cs="Arial"/>
          <w:sz w:val="20"/>
          <w:szCs w:val="20"/>
        </w:rPr>
        <w:t>RoG</w:t>
      </w:r>
      <w:proofErr w:type="spellEnd"/>
      <w:r w:rsidRPr="000B354A">
        <w:rPr>
          <w:rFonts w:ascii="Arial" w:hAnsi="Arial" w:cs="Arial"/>
          <w:sz w:val="20"/>
          <w:szCs w:val="20"/>
        </w:rPr>
        <w:t xml:space="preserve"> Plot Showing the Stability of </w:t>
      </w:r>
      <w:proofErr w:type="spellStart"/>
      <w:r w:rsidRPr="000B354A">
        <w:rPr>
          <w:rFonts w:ascii="Arial" w:hAnsi="Arial" w:cs="Arial"/>
          <w:sz w:val="20"/>
          <w:szCs w:val="20"/>
        </w:rPr>
        <w:t>Pemigatinib</w:t>
      </w:r>
      <w:proofErr w:type="spellEnd"/>
      <w:r w:rsidRPr="000B354A">
        <w:rPr>
          <w:rFonts w:ascii="Arial" w:hAnsi="Arial" w:cs="Arial"/>
          <w:sz w:val="20"/>
          <w:szCs w:val="20"/>
        </w:rPr>
        <w:t xml:space="preserve">, </w:t>
      </w:r>
      <w:r w:rsidRPr="000B354A">
        <w:rPr>
          <w:rFonts w:ascii="Arial" w:eastAsia="Times New Roman" w:hAnsi="Arial" w:cs="Arial"/>
          <w:color w:val="000000"/>
          <w:kern w:val="0"/>
          <w:sz w:val="20"/>
          <w:szCs w:val="20"/>
        </w:rPr>
        <w:t>10-Hydroxytrilobacin</w:t>
      </w:r>
      <w:r w:rsidRPr="000B354A">
        <w:rPr>
          <w:rFonts w:ascii="Arial" w:hAnsi="Arial" w:cs="Arial"/>
          <w:sz w:val="20"/>
          <w:szCs w:val="20"/>
        </w:rPr>
        <w:t>, and Mosin B Over 100 ns of Molecular Dynamics Simulation</w:t>
      </w:r>
    </w:p>
    <w:p w14:paraId="40140332" w14:textId="77777777" w:rsidR="000B354A" w:rsidRPr="001A03C4" w:rsidRDefault="000B354A" w:rsidP="0085434C">
      <w:pPr>
        <w:spacing w:after="0" w:line="360" w:lineRule="auto"/>
        <w:jc w:val="both"/>
        <w:rPr>
          <w:rFonts w:ascii="Arial" w:hAnsi="Arial" w:cs="Arial"/>
          <w:sz w:val="24"/>
          <w:szCs w:val="24"/>
          <w:lang w:val="en-GB"/>
        </w:rPr>
      </w:pPr>
    </w:p>
    <w:p w14:paraId="4AF84E55" w14:textId="17AB8AA6" w:rsidR="0086650C" w:rsidRPr="001A03C4" w:rsidRDefault="0035286A" w:rsidP="0085434C">
      <w:pPr>
        <w:spacing w:after="0" w:line="360" w:lineRule="auto"/>
        <w:jc w:val="both"/>
        <w:rPr>
          <w:rFonts w:ascii="Arial" w:hAnsi="Arial" w:cs="Arial"/>
          <w:b/>
          <w:bCs/>
          <w:sz w:val="24"/>
          <w:szCs w:val="24"/>
        </w:rPr>
      </w:pPr>
      <w:r w:rsidRPr="001A03C4">
        <w:rPr>
          <w:rFonts w:ascii="Arial" w:hAnsi="Arial" w:cs="Arial"/>
          <w:b/>
          <w:bCs/>
          <w:sz w:val="24"/>
          <w:szCs w:val="24"/>
        </w:rPr>
        <w:t xml:space="preserve">4.0 </w:t>
      </w:r>
      <w:r w:rsidR="00AE0430" w:rsidRPr="001A03C4">
        <w:rPr>
          <w:rFonts w:ascii="Arial" w:hAnsi="Arial" w:cs="Arial"/>
          <w:b/>
          <w:bCs/>
          <w:sz w:val="24"/>
          <w:szCs w:val="24"/>
        </w:rPr>
        <w:t>CONCLUSION</w:t>
      </w:r>
    </w:p>
    <w:p w14:paraId="4B4EDE22" w14:textId="15C2E78F" w:rsidR="002524C0" w:rsidRDefault="002524C0" w:rsidP="0085434C">
      <w:pPr>
        <w:spacing w:after="0" w:line="360" w:lineRule="auto"/>
        <w:jc w:val="both"/>
        <w:rPr>
          <w:rFonts w:ascii="Arial" w:hAnsi="Arial" w:cs="Arial"/>
          <w:sz w:val="20"/>
          <w:szCs w:val="20"/>
          <w:lang w:val="en-GB"/>
        </w:rPr>
      </w:pPr>
      <w:r w:rsidRPr="0085434C">
        <w:rPr>
          <w:rFonts w:ascii="Arial" w:hAnsi="Arial" w:cs="Arial"/>
          <w:sz w:val="20"/>
          <w:szCs w:val="20"/>
          <w:lang w:val="en-GB"/>
        </w:rPr>
        <w:t xml:space="preserve">This study evaluated 67 plant-derived phytochemicals sourced from the NPACT database for their inhibitory potential against fibroblast growth factor receptor 1 (FGFR1), a key therapeutic target in bile duct cancer therapy. Through a comprehensive </w:t>
      </w:r>
      <w:r w:rsidR="005C5CC0" w:rsidRPr="0085434C">
        <w:rPr>
          <w:rFonts w:ascii="Arial" w:hAnsi="Arial" w:cs="Arial"/>
          <w:i/>
          <w:iCs/>
          <w:sz w:val="20"/>
          <w:szCs w:val="20"/>
          <w:lang w:val="en-GB"/>
        </w:rPr>
        <w:t>in silico</w:t>
      </w:r>
      <w:r w:rsidRPr="0085434C">
        <w:rPr>
          <w:rFonts w:ascii="Arial" w:hAnsi="Arial" w:cs="Arial"/>
          <w:sz w:val="20"/>
          <w:szCs w:val="20"/>
          <w:lang w:val="en-GB"/>
        </w:rPr>
        <w:t xml:space="preserve"> pipeline involving molecular docking, drug-likeness screening, ADMET profiling, MM-GBSA, and MD simulations, 10-Hydroxytrilobacin and Mosin B emerged as lead phytochemical FGFR1 inhibitors. These bioactive compounds showed better binding affinity, enhanced dynamic stability, and acceptable pharmacokinetic and safety profiles compared to the standard drug </w:t>
      </w:r>
      <w:proofErr w:type="spellStart"/>
      <w:r w:rsidRPr="0085434C">
        <w:rPr>
          <w:rFonts w:ascii="Arial" w:hAnsi="Arial" w:cs="Arial"/>
          <w:sz w:val="20"/>
          <w:szCs w:val="20"/>
          <w:lang w:val="en-GB"/>
        </w:rPr>
        <w:t>Pemigatinib</w:t>
      </w:r>
      <w:proofErr w:type="spellEnd"/>
      <w:r w:rsidRPr="0085434C">
        <w:rPr>
          <w:rFonts w:ascii="Arial" w:hAnsi="Arial" w:cs="Arial"/>
          <w:sz w:val="20"/>
          <w:szCs w:val="20"/>
          <w:lang w:val="en-GB"/>
        </w:rPr>
        <w:t>. Their strong hydrogen bonding, minimal conformational drift, and compact binding mode within the kinase domain further support their potential as therapeutic candidates. These findings provide a strong foundation for future experimental validation and optimization, potentially contributing to the development of novel, plant-based therapeutics for bile duct cancer treatment.</w:t>
      </w:r>
    </w:p>
    <w:p w14:paraId="2C09C968" w14:textId="77777777" w:rsidR="00F63E74" w:rsidRDefault="00F63E74" w:rsidP="0085434C">
      <w:pPr>
        <w:spacing w:after="0" w:line="360" w:lineRule="auto"/>
        <w:jc w:val="both"/>
        <w:rPr>
          <w:rFonts w:ascii="Arial" w:hAnsi="Arial" w:cs="Arial"/>
          <w:sz w:val="20"/>
          <w:szCs w:val="20"/>
          <w:lang w:val="en-GB"/>
        </w:rPr>
      </w:pPr>
    </w:p>
    <w:p w14:paraId="4E542030" w14:textId="77777777" w:rsidR="00F63E74" w:rsidRPr="001A03C4" w:rsidRDefault="00F63E74" w:rsidP="00F63E74">
      <w:pPr>
        <w:spacing w:line="360" w:lineRule="auto"/>
        <w:jc w:val="both"/>
        <w:rPr>
          <w:rFonts w:ascii="Arial" w:hAnsi="Arial" w:cs="Arial"/>
          <w:b/>
          <w:bCs/>
          <w:sz w:val="24"/>
          <w:szCs w:val="24"/>
        </w:rPr>
      </w:pPr>
      <w:r w:rsidRPr="001A03C4">
        <w:rPr>
          <w:rFonts w:ascii="Arial" w:hAnsi="Arial" w:cs="Arial"/>
          <w:b/>
          <w:bCs/>
          <w:sz w:val="24"/>
          <w:szCs w:val="24"/>
        </w:rPr>
        <w:t>HIGHLIGHTS</w:t>
      </w:r>
    </w:p>
    <w:p w14:paraId="0C63BB77" w14:textId="77777777" w:rsidR="00F63E74" w:rsidRPr="006E53A3"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Bile duct cancer is an aggressive malignancy with limited treatment options</w:t>
      </w:r>
    </w:p>
    <w:p w14:paraId="691B7887" w14:textId="77777777" w:rsidR="00F63E74" w:rsidRPr="006E53A3"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FGFR1 serves as a key oncogenic driver in bile duct cancer progression</w:t>
      </w:r>
    </w:p>
    <w:p w14:paraId="5DEBCB00" w14:textId="77777777" w:rsidR="00F63E74" w:rsidRPr="006E53A3"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 xml:space="preserve">67 phytochemicals were screened as FGFR1 inhibitors using </w:t>
      </w:r>
      <w:r w:rsidRPr="00AE47C2">
        <w:rPr>
          <w:rFonts w:ascii="Arial" w:hAnsi="Arial" w:cs="Arial"/>
          <w:i/>
          <w:iCs/>
          <w:sz w:val="20"/>
          <w:szCs w:val="20"/>
          <w:lang w:val="en-GB"/>
        </w:rPr>
        <w:t>in-silico</w:t>
      </w:r>
      <w:r w:rsidRPr="006E53A3">
        <w:rPr>
          <w:rFonts w:ascii="Arial" w:hAnsi="Arial" w:cs="Arial"/>
          <w:sz w:val="20"/>
          <w:szCs w:val="20"/>
          <w:lang w:val="en-GB"/>
        </w:rPr>
        <w:t xml:space="preserve"> approaches</w:t>
      </w:r>
    </w:p>
    <w:p w14:paraId="39D7B7C9" w14:textId="77777777" w:rsidR="00F63E74" w:rsidRPr="006E53A3"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 xml:space="preserve"> 7 compounds showed better inhibitory and pharmacokinetic profiles than </w:t>
      </w:r>
      <w:proofErr w:type="spellStart"/>
      <w:r w:rsidRPr="006E53A3">
        <w:rPr>
          <w:rFonts w:ascii="Arial" w:hAnsi="Arial" w:cs="Arial"/>
          <w:sz w:val="20"/>
          <w:szCs w:val="20"/>
          <w:lang w:val="en-GB"/>
        </w:rPr>
        <w:t>Pemigatinib</w:t>
      </w:r>
      <w:proofErr w:type="spellEnd"/>
      <w:r>
        <w:rPr>
          <w:rFonts w:ascii="Arial" w:hAnsi="Arial" w:cs="Arial"/>
          <w:sz w:val="20"/>
          <w:szCs w:val="20"/>
          <w:lang w:val="en-GB"/>
        </w:rPr>
        <w:t xml:space="preserve"> </w:t>
      </w:r>
    </w:p>
    <w:p w14:paraId="1685C876" w14:textId="3820B5EA" w:rsidR="009230C7" w:rsidRPr="00F63E74" w:rsidRDefault="00F63E74" w:rsidP="00F63E74">
      <w:pPr>
        <w:pStyle w:val="ListParagraph"/>
        <w:numPr>
          <w:ilvl w:val="0"/>
          <w:numId w:val="5"/>
        </w:numPr>
        <w:spacing w:line="360" w:lineRule="auto"/>
        <w:jc w:val="both"/>
        <w:rPr>
          <w:rFonts w:ascii="Arial" w:hAnsi="Arial" w:cs="Arial"/>
          <w:sz w:val="20"/>
          <w:szCs w:val="20"/>
          <w:lang w:val="en-GB"/>
        </w:rPr>
      </w:pPr>
      <w:r w:rsidRPr="006E53A3">
        <w:rPr>
          <w:rFonts w:ascii="Arial" w:hAnsi="Arial" w:cs="Arial"/>
          <w:sz w:val="20"/>
          <w:szCs w:val="20"/>
          <w:lang w:val="en-GB"/>
        </w:rPr>
        <w:t>Mosin B and 10-Hydroxytrilobacin are promising leads for bile duct cancer therapy</w:t>
      </w:r>
    </w:p>
    <w:p w14:paraId="73DF33E3" w14:textId="77777777" w:rsidR="00F63E74" w:rsidRDefault="00F63E74" w:rsidP="009230C7">
      <w:pPr>
        <w:spacing w:after="0" w:line="360" w:lineRule="auto"/>
        <w:jc w:val="both"/>
        <w:rPr>
          <w:rFonts w:ascii="Arial" w:hAnsi="Arial" w:cs="Arial"/>
          <w:b/>
          <w:bCs/>
          <w:sz w:val="20"/>
          <w:szCs w:val="20"/>
        </w:rPr>
      </w:pPr>
    </w:p>
    <w:p w14:paraId="6F281017" w14:textId="15EE5929" w:rsidR="009230C7" w:rsidRPr="009230C7" w:rsidRDefault="009230C7" w:rsidP="009230C7">
      <w:pPr>
        <w:spacing w:after="0" w:line="360" w:lineRule="auto"/>
        <w:jc w:val="both"/>
        <w:rPr>
          <w:rFonts w:ascii="Arial" w:hAnsi="Arial" w:cs="Arial"/>
          <w:b/>
          <w:bCs/>
          <w:sz w:val="20"/>
          <w:szCs w:val="20"/>
        </w:rPr>
      </w:pPr>
      <w:r w:rsidRPr="009230C7">
        <w:rPr>
          <w:rFonts w:ascii="Arial" w:hAnsi="Arial" w:cs="Arial"/>
          <w:b/>
          <w:bCs/>
          <w:sz w:val="20"/>
          <w:szCs w:val="20"/>
        </w:rPr>
        <w:lastRenderedPageBreak/>
        <w:t>DECLARATION OF GENERATIVE AI AND AI-ASSISTED TECHNOLOGIES IN THE WRITING PROCESS</w:t>
      </w:r>
    </w:p>
    <w:p w14:paraId="6EFE2CFA" w14:textId="77777777" w:rsidR="009230C7" w:rsidRPr="009230C7" w:rsidRDefault="009230C7" w:rsidP="009230C7">
      <w:pPr>
        <w:spacing w:after="0" w:line="360" w:lineRule="auto"/>
        <w:jc w:val="both"/>
        <w:rPr>
          <w:rFonts w:ascii="Arial" w:hAnsi="Arial" w:cs="Arial"/>
          <w:sz w:val="20"/>
          <w:szCs w:val="20"/>
        </w:rPr>
      </w:pPr>
      <w:r w:rsidRPr="009230C7">
        <w:rPr>
          <w:rFonts w:ascii="Arial" w:hAnsi="Arial" w:cs="Arial"/>
          <w:sz w:val="20"/>
          <w:szCs w:val="20"/>
        </w:rPr>
        <w:t>The authors acknowledge the use of generative AI technologies during the preparation and editing of this manuscript. Specifically, Grammarly’s paraphrasing and grammar-checking tools were utilized to enhance the clarity, coherence, and grammatical accuracy of the text. These tools were applied to refine sentence structure, streamline ideas, and ensure the manuscript adhered to high linguistic standards.</w:t>
      </w:r>
    </w:p>
    <w:p w14:paraId="28105EF2" w14:textId="77777777" w:rsidR="009230C7" w:rsidRPr="009230C7" w:rsidRDefault="009230C7" w:rsidP="009230C7">
      <w:pPr>
        <w:spacing w:after="0" w:line="360" w:lineRule="auto"/>
        <w:jc w:val="both"/>
        <w:rPr>
          <w:rFonts w:ascii="Arial" w:hAnsi="Arial" w:cs="Arial"/>
          <w:b/>
          <w:bCs/>
          <w:sz w:val="20"/>
          <w:szCs w:val="20"/>
        </w:rPr>
      </w:pPr>
      <w:r w:rsidRPr="009230C7">
        <w:rPr>
          <w:rFonts w:ascii="Arial" w:hAnsi="Arial" w:cs="Arial"/>
          <w:b/>
          <w:bCs/>
          <w:sz w:val="20"/>
          <w:szCs w:val="20"/>
        </w:rPr>
        <w:t>Details of AI Usage:</w:t>
      </w:r>
    </w:p>
    <w:p w14:paraId="17172197" w14:textId="77777777" w:rsidR="009230C7" w:rsidRPr="009230C7" w:rsidRDefault="009230C7" w:rsidP="009230C7">
      <w:pPr>
        <w:numPr>
          <w:ilvl w:val="0"/>
          <w:numId w:val="2"/>
        </w:numPr>
        <w:spacing w:after="0" w:line="360" w:lineRule="auto"/>
        <w:jc w:val="both"/>
        <w:rPr>
          <w:rFonts w:ascii="Arial" w:hAnsi="Arial" w:cs="Arial"/>
          <w:sz w:val="20"/>
          <w:szCs w:val="20"/>
        </w:rPr>
      </w:pPr>
      <w:r w:rsidRPr="009230C7">
        <w:rPr>
          <w:rFonts w:ascii="Arial" w:hAnsi="Arial" w:cs="Arial"/>
          <w:sz w:val="20"/>
          <w:szCs w:val="20"/>
        </w:rPr>
        <w:t>Generative AI Tool Used: Grammarly Paraphrasing and Grammar Checking Tool</w:t>
      </w:r>
    </w:p>
    <w:p w14:paraId="6D704FC1" w14:textId="77777777" w:rsidR="009230C7" w:rsidRPr="009230C7" w:rsidRDefault="009230C7" w:rsidP="009230C7">
      <w:pPr>
        <w:numPr>
          <w:ilvl w:val="0"/>
          <w:numId w:val="3"/>
        </w:numPr>
        <w:spacing w:after="0" w:line="360" w:lineRule="auto"/>
        <w:jc w:val="both"/>
        <w:rPr>
          <w:rFonts w:ascii="Arial" w:hAnsi="Arial" w:cs="Arial"/>
          <w:sz w:val="20"/>
          <w:szCs w:val="20"/>
        </w:rPr>
      </w:pPr>
      <w:r w:rsidRPr="009230C7">
        <w:rPr>
          <w:rFonts w:ascii="Arial" w:hAnsi="Arial" w:cs="Arial"/>
          <w:sz w:val="20"/>
          <w:szCs w:val="20"/>
        </w:rPr>
        <w:t>Purpose of Usage: To improve paraphrasing, summarization, and grammatical accuracy throughout the manuscript.</w:t>
      </w:r>
    </w:p>
    <w:p w14:paraId="08B09E45" w14:textId="77777777" w:rsidR="009230C7" w:rsidRPr="009230C7" w:rsidRDefault="009230C7" w:rsidP="009230C7">
      <w:pPr>
        <w:numPr>
          <w:ilvl w:val="0"/>
          <w:numId w:val="2"/>
        </w:numPr>
        <w:spacing w:after="0" w:line="360" w:lineRule="auto"/>
        <w:jc w:val="both"/>
        <w:rPr>
          <w:rFonts w:ascii="Arial" w:hAnsi="Arial" w:cs="Arial"/>
          <w:sz w:val="20"/>
          <w:szCs w:val="20"/>
        </w:rPr>
      </w:pPr>
      <w:r w:rsidRPr="009230C7">
        <w:rPr>
          <w:rFonts w:ascii="Arial" w:hAnsi="Arial" w:cs="Arial"/>
          <w:sz w:val="20"/>
          <w:szCs w:val="20"/>
        </w:rPr>
        <w:t>Prompts Used: The authors provided original content, particularly sections such as the Methodology and Results, for Grammarly to refine in terms of grammar and coherence.</w:t>
      </w:r>
    </w:p>
    <w:p w14:paraId="7AB479FB" w14:textId="77777777" w:rsidR="009230C7" w:rsidRPr="009230C7" w:rsidRDefault="009230C7" w:rsidP="009230C7">
      <w:pPr>
        <w:spacing w:after="0" w:line="360" w:lineRule="auto"/>
        <w:jc w:val="both"/>
        <w:rPr>
          <w:rFonts w:ascii="Arial" w:hAnsi="Arial" w:cs="Arial"/>
          <w:sz w:val="20"/>
          <w:szCs w:val="20"/>
        </w:rPr>
      </w:pPr>
      <w:r w:rsidRPr="009230C7">
        <w:rPr>
          <w:rFonts w:ascii="Arial" w:hAnsi="Arial" w:cs="Arial"/>
          <w:sz w:val="20"/>
          <w:szCs w:val="20"/>
        </w:rPr>
        <w:t>Following the use of these tools, the authors meticulously reviewed and edited the content to ensure it met the scientific rigor and accuracy required for publication. The authors take full responsibility for the integrity, originality, and quality of the final manuscript.</w:t>
      </w:r>
    </w:p>
    <w:p w14:paraId="4B5035FE" w14:textId="77777777" w:rsidR="009230C7" w:rsidRDefault="009230C7" w:rsidP="009230C7">
      <w:pPr>
        <w:spacing w:after="0" w:line="360" w:lineRule="auto"/>
        <w:jc w:val="both"/>
        <w:rPr>
          <w:rFonts w:ascii="Arial" w:hAnsi="Arial" w:cs="Arial"/>
          <w:b/>
          <w:bCs/>
          <w:sz w:val="20"/>
          <w:szCs w:val="20"/>
          <w:lang w:val="en-GB"/>
        </w:rPr>
      </w:pPr>
    </w:p>
    <w:p w14:paraId="08F8FD8C" w14:textId="77777777" w:rsidR="009230C7" w:rsidRPr="009230C7" w:rsidRDefault="009230C7" w:rsidP="009230C7">
      <w:pPr>
        <w:spacing w:before="240" w:after="0" w:line="360" w:lineRule="auto"/>
        <w:jc w:val="both"/>
        <w:rPr>
          <w:rFonts w:ascii="Arial" w:hAnsi="Arial" w:cs="Arial"/>
          <w:sz w:val="20"/>
          <w:szCs w:val="20"/>
          <w:lang w:val="en-GB"/>
        </w:rPr>
      </w:pPr>
      <w:r w:rsidRPr="009230C7">
        <w:rPr>
          <w:rFonts w:ascii="Arial" w:hAnsi="Arial" w:cs="Arial"/>
          <w:b/>
          <w:bCs/>
          <w:sz w:val="20"/>
          <w:szCs w:val="20"/>
          <w:lang w:val="en-GB"/>
        </w:rPr>
        <w:t>AVAILABILITY OF DATA AND MATERIALS</w:t>
      </w:r>
    </w:p>
    <w:p w14:paraId="532391CA" w14:textId="77777777" w:rsidR="009230C7" w:rsidRPr="009230C7" w:rsidRDefault="009230C7" w:rsidP="009230C7">
      <w:pPr>
        <w:spacing w:after="0" w:line="360" w:lineRule="auto"/>
        <w:jc w:val="both"/>
        <w:rPr>
          <w:rFonts w:ascii="Arial" w:hAnsi="Arial" w:cs="Arial"/>
          <w:sz w:val="20"/>
          <w:szCs w:val="20"/>
          <w:lang w:val="en-GB"/>
        </w:rPr>
      </w:pPr>
      <w:r w:rsidRPr="009230C7">
        <w:rPr>
          <w:rFonts w:ascii="Arial" w:hAnsi="Arial" w:cs="Arial"/>
          <w:sz w:val="20"/>
          <w:szCs w:val="20"/>
          <w:lang w:val="en-GB"/>
        </w:rPr>
        <w:t>The data are available on request.</w:t>
      </w:r>
    </w:p>
    <w:p w14:paraId="169CD97D" w14:textId="77777777" w:rsidR="009230C7" w:rsidRPr="009230C7" w:rsidRDefault="009230C7" w:rsidP="009230C7">
      <w:pPr>
        <w:spacing w:before="240" w:after="0" w:line="360" w:lineRule="auto"/>
        <w:jc w:val="both"/>
        <w:rPr>
          <w:rFonts w:ascii="Arial" w:hAnsi="Arial" w:cs="Arial"/>
          <w:sz w:val="20"/>
          <w:szCs w:val="20"/>
          <w:lang w:val="en-GB"/>
        </w:rPr>
      </w:pPr>
      <w:r w:rsidRPr="009230C7">
        <w:rPr>
          <w:rFonts w:ascii="Arial" w:hAnsi="Arial" w:cs="Arial"/>
          <w:b/>
          <w:bCs/>
          <w:sz w:val="20"/>
          <w:szCs w:val="20"/>
          <w:lang w:val="en-GB"/>
        </w:rPr>
        <w:t>ETHICS APPROVAL AND CONSENT TO PARTICIPATE</w:t>
      </w:r>
    </w:p>
    <w:p w14:paraId="1A50417E" w14:textId="7718283F" w:rsidR="009230C7" w:rsidRPr="009230C7" w:rsidRDefault="009230C7" w:rsidP="009230C7">
      <w:pPr>
        <w:spacing w:after="0" w:line="360" w:lineRule="auto"/>
        <w:jc w:val="both"/>
        <w:rPr>
          <w:rFonts w:ascii="Arial" w:hAnsi="Arial" w:cs="Arial"/>
          <w:sz w:val="20"/>
          <w:szCs w:val="20"/>
          <w:lang w:val="en-GB"/>
        </w:rPr>
      </w:pPr>
      <w:r w:rsidRPr="009230C7">
        <w:rPr>
          <w:rFonts w:ascii="Arial" w:hAnsi="Arial" w:cs="Arial"/>
          <w:sz w:val="20"/>
          <w:szCs w:val="20"/>
          <w:lang w:val="en-GB"/>
        </w:rPr>
        <w:t xml:space="preserve">This study involved </w:t>
      </w:r>
      <w:r w:rsidRPr="009230C7">
        <w:rPr>
          <w:rFonts w:ascii="Arial" w:hAnsi="Arial" w:cs="Arial"/>
          <w:i/>
          <w:iCs/>
          <w:sz w:val="20"/>
          <w:szCs w:val="20"/>
          <w:lang w:val="en-GB"/>
        </w:rPr>
        <w:t>in</w:t>
      </w:r>
      <w:r w:rsidR="006C5C8C">
        <w:rPr>
          <w:rFonts w:ascii="Arial" w:hAnsi="Arial" w:cs="Arial"/>
          <w:i/>
          <w:iCs/>
          <w:sz w:val="20"/>
          <w:szCs w:val="20"/>
          <w:lang w:val="en-GB"/>
        </w:rPr>
        <w:t>-</w:t>
      </w:r>
      <w:r w:rsidRPr="009230C7">
        <w:rPr>
          <w:rFonts w:ascii="Arial" w:hAnsi="Arial" w:cs="Arial"/>
          <w:i/>
          <w:iCs/>
          <w:sz w:val="20"/>
          <w:szCs w:val="20"/>
          <w:lang w:val="en-GB"/>
        </w:rPr>
        <w:t>silico</w:t>
      </w:r>
      <w:r w:rsidRPr="009230C7">
        <w:rPr>
          <w:rFonts w:ascii="Arial" w:hAnsi="Arial" w:cs="Arial"/>
          <w:sz w:val="20"/>
          <w:szCs w:val="20"/>
          <w:lang w:val="en-GB"/>
        </w:rPr>
        <w:t xml:space="preserve"> evaluation and did not require ethical approval or informed consent, as no human or animal subjects were involved. All secondary data utilized, including structural and pharmacokinetic information, were obtained from publicly accessible and peer-reviewed scientific databases and properly cited to ensure academic integrity.</w:t>
      </w:r>
    </w:p>
    <w:p w14:paraId="13ED3147" w14:textId="77777777" w:rsidR="009230C7" w:rsidRPr="009230C7" w:rsidRDefault="009230C7" w:rsidP="006C5C8C">
      <w:pPr>
        <w:spacing w:before="240" w:after="0" w:line="360" w:lineRule="auto"/>
        <w:jc w:val="both"/>
        <w:rPr>
          <w:rFonts w:ascii="Arial" w:hAnsi="Arial" w:cs="Arial"/>
          <w:b/>
          <w:bCs/>
          <w:sz w:val="20"/>
          <w:szCs w:val="20"/>
        </w:rPr>
      </w:pPr>
      <w:r w:rsidRPr="009230C7">
        <w:rPr>
          <w:rFonts w:ascii="Arial" w:hAnsi="Arial" w:cs="Arial"/>
          <w:b/>
          <w:bCs/>
          <w:sz w:val="20"/>
          <w:szCs w:val="20"/>
        </w:rPr>
        <w:t xml:space="preserve">CONSENT FOR PUBLICATION </w:t>
      </w:r>
    </w:p>
    <w:p w14:paraId="0D88349B" w14:textId="77777777" w:rsidR="009230C7" w:rsidRPr="009230C7" w:rsidRDefault="009230C7" w:rsidP="009230C7">
      <w:pPr>
        <w:spacing w:after="0" w:line="360" w:lineRule="auto"/>
        <w:jc w:val="both"/>
        <w:rPr>
          <w:rFonts w:ascii="Arial" w:hAnsi="Arial" w:cs="Arial"/>
          <w:sz w:val="20"/>
          <w:szCs w:val="20"/>
        </w:rPr>
      </w:pPr>
      <w:r w:rsidRPr="009230C7">
        <w:rPr>
          <w:rFonts w:ascii="Arial" w:hAnsi="Arial" w:cs="Arial"/>
          <w:sz w:val="20"/>
          <w:szCs w:val="20"/>
        </w:rPr>
        <w:t>Not applicable.</w:t>
      </w:r>
    </w:p>
    <w:p w14:paraId="3D56E08C" w14:textId="77777777" w:rsidR="009230C7" w:rsidRPr="009230C7" w:rsidRDefault="009230C7" w:rsidP="006C5C8C">
      <w:pPr>
        <w:spacing w:before="240" w:after="0" w:line="360" w:lineRule="auto"/>
        <w:jc w:val="both"/>
        <w:rPr>
          <w:rFonts w:ascii="Arial" w:hAnsi="Arial" w:cs="Arial"/>
          <w:sz w:val="20"/>
          <w:szCs w:val="20"/>
        </w:rPr>
      </w:pPr>
      <w:r w:rsidRPr="009230C7">
        <w:rPr>
          <w:rFonts w:ascii="Arial" w:hAnsi="Arial" w:cs="Arial"/>
          <w:b/>
          <w:bCs/>
          <w:sz w:val="20"/>
          <w:szCs w:val="20"/>
        </w:rPr>
        <w:t>LIMITATIONS</w:t>
      </w:r>
      <w:r w:rsidRPr="009230C7">
        <w:rPr>
          <w:rFonts w:ascii="Arial" w:hAnsi="Arial" w:cs="Arial"/>
          <w:sz w:val="20"/>
          <w:szCs w:val="20"/>
        </w:rPr>
        <w:t xml:space="preserve"> </w:t>
      </w:r>
    </w:p>
    <w:p w14:paraId="48F12437" w14:textId="77777777" w:rsidR="009230C7" w:rsidRPr="009230C7" w:rsidRDefault="009230C7" w:rsidP="009230C7">
      <w:pPr>
        <w:spacing w:after="0" w:line="360" w:lineRule="auto"/>
        <w:jc w:val="both"/>
        <w:rPr>
          <w:rFonts w:ascii="Arial" w:hAnsi="Arial" w:cs="Arial"/>
          <w:sz w:val="20"/>
          <w:szCs w:val="20"/>
        </w:rPr>
      </w:pPr>
      <w:r w:rsidRPr="009230C7">
        <w:rPr>
          <w:rFonts w:ascii="Arial" w:hAnsi="Arial" w:cs="Arial"/>
          <w:sz w:val="20"/>
          <w:szCs w:val="20"/>
        </w:rPr>
        <w:t xml:space="preserve">As the study was computational and self-funded, no experimental validation using synthesis and characterization, </w:t>
      </w:r>
      <w:r w:rsidRPr="009230C7">
        <w:rPr>
          <w:rFonts w:ascii="Arial" w:hAnsi="Arial" w:cs="Arial"/>
          <w:i/>
          <w:iCs/>
          <w:sz w:val="20"/>
          <w:szCs w:val="20"/>
        </w:rPr>
        <w:t>in vitro</w:t>
      </w:r>
      <w:r w:rsidRPr="009230C7">
        <w:rPr>
          <w:rFonts w:ascii="Arial" w:hAnsi="Arial" w:cs="Arial"/>
          <w:sz w:val="20"/>
          <w:szCs w:val="20"/>
        </w:rPr>
        <w:t xml:space="preserve"> and </w:t>
      </w:r>
      <w:r w:rsidRPr="009230C7">
        <w:rPr>
          <w:rFonts w:ascii="Arial" w:hAnsi="Arial" w:cs="Arial"/>
          <w:i/>
          <w:iCs/>
          <w:sz w:val="20"/>
          <w:szCs w:val="20"/>
        </w:rPr>
        <w:t>in vivo</w:t>
      </w:r>
      <w:r w:rsidRPr="009230C7">
        <w:rPr>
          <w:rFonts w:ascii="Arial" w:hAnsi="Arial" w:cs="Arial"/>
          <w:sz w:val="20"/>
          <w:szCs w:val="20"/>
        </w:rPr>
        <w:t xml:space="preserve"> assays of Mosin B and 10-Hydroxytrilobacin, could be performed. </w:t>
      </w:r>
    </w:p>
    <w:p w14:paraId="32032E7D" w14:textId="77777777" w:rsidR="009230C7" w:rsidRPr="009230C7" w:rsidRDefault="009230C7" w:rsidP="006C5C8C">
      <w:pPr>
        <w:spacing w:before="240" w:after="0" w:line="360" w:lineRule="auto"/>
        <w:jc w:val="both"/>
        <w:rPr>
          <w:rFonts w:ascii="Arial" w:hAnsi="Arial" w:cs="Arial"/>
          <w:b/>
          <w:bCs/>
          <w:sz w:val="20"/>
          <w:szCs w:val="20"/>
        </w:rPr>
      </w:pPr>
      <w:r w:rsidRPr="009230C7">
        <w:rPr>
          <w:rFonts w:ascii="Arial" w:hAnsi="Arial" w:cs="Arial"/>
          <w:b/>
          <w:bCs/>
          <w:sz w:val="20"/>
          <w:szCs w:val="20"/>
        </w:rPr>
        <w:t xml:space="preserve">DECLARATION OF COMPETING INTEREST </w:t>
      </w:r>
    </w:p>
    <w:p w14:paraId="3F1B44A8" w14:textId="77777777" w:rsidR="009230C7" w:rsidRPr="009230C7" w:rsidRDefault="009230C7" w:rsidP="009230C7">
      <w:pPr>
        <w:spacing w:after="0" w:line="360" w:lineRule="auto"/>
        <w:jc w:val="both"/>
        <w:rPr>
          <w:rFonts w:ascii="Arial" w:hAnsi="Arial" w:cs="Arial"/>
          <w:sz w:val="20"/>
          <w:szCs w:val="20"/>
        </w:rPr>
      </w:pPr>
      <w:r w:rsidRPr="009230C7">
        <w:rPr>
          <w:rFonts w:ascii="Arial" w:hAnsi="Arial" w:cs="Arial"/>
          <w:sz w:val="20"/>
          <w:szCs w:val="20"/>
        </w:rPr>
        <w:t xml:space="preserve">The authors declare no known competing financial interests or personal relationships that could have influenced the work reported in this study. </w:t>
      </w:r>
    </w:p>
    <w:p w14:paraId="48042202" w14:textId="77777777" w:rsidR="009230C7" w:rsidRPr="009230C7" w:rsidRDefault="009230C7" w:rsidP="006C5C8C">
      <w:pPr>
        <w:spacing w:before="240" w:after="0" w:line="360" w:lineRule="auto"/>
        <w:jc w:val="both"/>
        <w:rPr>
          <w:rFonts w:ascii="Arial" w:hAnsi="Arial" w:cs="Arial"/>
          <w:sz w:val="20"/>
          <w:szCs w:val="20"/>
        </w:rPr>
      </w:pPr>
      <w:r w:rsidRPr="009230C7">
        <w:rPr>
          <w:rFonts w:ascii="Arial" w:hAnsi="Arial" w:cs="Arial"/>
          <w:b/>
          <w:bCs/>
          <w:sz w:val="20"/>
          <w:szCs w:val="20"/>
        </w:rPr>
        <w:t>DATA AVAILABILITY</w:t>
      </w:r>
      <w:r w:rsidRPr="009230C7">
        <w:rPr>
          <w:rFonts w:ascii="Arial" w:hAnsi="Arial" w:cs="Arial"/>
          <w:sz w:val="20"/>
          <w:szCs w:val="20"/>
        </w:rPr>
        <w:t xml:space="preserve"> </w:t>
      </w:r>
    </w:p>
    <w:p w14:paraId="573C9F7D" w14:textId="6E2316AF" w:rsidR="009230C7" w:rsidRPr="006C5C8C" w:rsidRDefault="009230C7" w:rsidP="006C5C8C">
      <w:pPr>
        <w:spacing w:after="0" w:line="360" w:lineRule="auto"/>
        <w:jc w:val="both"/>
        <w:rPr>
          <w:rFonts w:ascii="Arial" w:hAnsi="Arial" w:cs="Arial"/>
          <w:sz w:val="20"/>
          <w:szCs w:val="20"/>
        </w:rPr>
      </w:pPr>
      <w:r w:rsidRPr="009230C7">
        <w:rPr>
          <w:rFonts w:ascii="Arial" w:hAnsi="Arial" w:cs="Arial"/>
          <w:sz w:val="20"/>
          <w:szCs w:val="20"/>
        </w:rPr>
        <w:t>The datasets analyzed during the research are available upon request.</w:t>
      </w:r>
    </w:p>
    <w:p w14:paraId="4BBF53E7" w14:textId="1F3D5244" w:rsidR="009230C7" w:rsidRPr="009230C7" w:rsidRDefault="006C5C8C" w:rsidP="006C5C8C">
      <w:pPr>
        <w:spacing w:before="100" w:beforeAutospacing="1" w:after="0" w:line="240" w:lineRule="auto"/>
        <w:jc w:val="both"/>
        <w:outlineLvl w:val="2"/>
        <w:rPr>
          <w:rFonts w:ascii="Arial" w:eastAsia="Times New Roman" w:hAnsi="Arial" w:cs="Arial"/>
          <w:b/>
          <w:bCs/>
          <w:kern w:val="0"/>
          <w:sz w:val="20"/>
          <w:szCs w:val="20"/>
          <w:lang w:val="en-GB" w:eastAsia="en-GB"/>
          <w14:ligatures w14:val="none"/>
        </w:rPr>
      </w:pPr>
      <w:r>
        <w:rPr>
          <w:rFonts w:ascii="Arial" w:eastAsia="Times New Roman" w:hAnsi="Arial" w:cs="Arial"/>
          <w:b/>
          <w:bCs/>
          <w:kern w:val="0"/>
          <w:sz w:val="20"/>
          <w:szCs w:val="20"/>
          <w:lang w:val="en-GB" w:eastAsia="en-GB"/>
          <w14:ligatures w14:val="none"/>
        </w:rPr>
        <w:lastRenderedPageBreak/>
        <w:t xml:space="preserve">                 </w:t>
      </w:r>
      <w:r w:rsidR="009230C7" w:rsidRPr="009230C7">
        <w:rPr>
          <w:rFonts w:ascii="Arial" w:eastAsia="Times New Roman" w:hAnsi="Arial" w:cs="Arial"/>
          <w:b/>
          <w:bCs/>
          <w:kern w:val="0"/>
          <w:sz w:val="20"/>
          <w:szCs w:val="20"/>
          <w:lang w:val="en-GB" w:eastAsia="en-GB"/>
          <w14:ligatures w14:val="none"/>
        </w:rPr>
        <w:t>GLOSSARY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0"/>
        <w:gridCol w:w="7202"/>
      </w:tblGrid>
      <w:tr w:rsidR="009230C7" w:rsidRPr="009230C7" w14:paraId="4B51C917" w14:textId="77777777" w:rsidTr="00261B7D">
        <w:trPr>
          <w:tblHeader/>
          <w:tblCellSpacing w:w="15" w:type="dxa"/>
        </w:trPr>
        <w:tc>
          <w:tcPr>
            <w:tcW w:w="1665" w:type="dxa"/>
            <w:vAlign w:val="center"/>
            <w:hideMark/>
          </w:tcPr>
          <w:p w14:paraId="0602A86D" w14:textId="77777777" w:rsidR="009230C7" w:rsidRPr="009230C7" w:rsidRDefault="009230C7" w:rsidP="009230C7">
            <w:pPr>
              <w:spacing w:after="0" w:line="240" w:lineRule="auto"/>
              <w:jc w:val="both"/>
              <w:rPr>
                <w:rFonts w:ascii="Arial" w:eastAsia="Times New Roman" w:hAnsi="Arial" w:cs="Arial"/>
                <w:b/>
                <w:bCs/>
                <w:kern w:val="0"/>
                <w:sz w:val="20"/>
                <w:szCs w:val="20"/>
                <w:lang w:val="en-GB" w:eastAsia="en-GB"/>
                <w14:ligatures w14:val="none"/>
              </w:rPr>
            </w:pPr>
            <w:r w:rsidRPr="009230C7">
              <w:rPr>
                <w:rFonts w:ascii="Arial" w:eastAsia="Times New Roman" w:hAnsi="Arial" w:cs="Arial"/>
                <w:b/>
                <w:bCs/>
                <w:kern w:val="0"/>
                <w:sz w:val="20"/>
                <w:szCs w:val="20"/>
                <w:lang w:val="en-GB" w:eastAsia="en-GB"/>
                <w14:ligatures w14:val="none"/>
              </w:rPr>
              <w:t>Abbreviation</w:t>
            </w:r>
          </w:p>
        </w:tc>
        <w:tc>
          <w:tcPr>
            <w:tcW w:w="7157" w:type="dxa"/>
            <w:vAlign w:val="center"/>
            <w:hideMark/>
          </w:tcPr>
          <w:p w14:paraId="2F041977" w14:textId="77777777" w:rsidR="009230C7" w:rsidRPr="009230C7" w:rsidRDefault="009230C7" w:rsidP="009230C7">
            <w:pPr>
              <w:spacing w:after="0" w:line="240" w:lineRule="auto"/>
              <w:jc w:val="both"/>
              <w:rPr>
                <w:rFonts w:ascii="Arial" w:eastAsia="Times New Roman" w:hAnsi="Arial" w:cs="Arial"/>
                <w:b/>
                <w:bCs/>
                <w:kern w:val="0"/>
                <w:sz w:val="20"/>
                <w:szCs w:val="20"/>
                <w:lang w:val="en-GB" w:eastAsia="en-GB"/>
                <w14:ligatures w14:val="none"/>
              </w:rPr>
            </w:pPr>
            <w:r w:rsidRPr="009230C7">
              <w:rPr>
                <w:rFonts w:ascii="Arial" w:eastAsia="Times New Roman" w:hAnsi="Arial" w:cs="Arial"/>
                <w:b/>
                <w:bCs/>
                <w:kern w:val="0"/>
                <w:sz w:val="20"/>
                <w:szCs w:val="20"/>
                <w:lang w:val="en-GB" w:eastAsia="en-GB"/>
                <w14:ligatures w14:val="none"/>
              </w:rPr>
              <w:t>Meaning</w:t>
            </w:r>
          </w:p>
        </w:tc>
      </w:tr>
      <w:tr w:rsidR="009230C7" w:rsidRPr="009230C7" w14:paraId="7FC31D89" w14:textId="77777777" w:rsidTr="00261B7D">
        <w:trPr>
          <w:tblCellSpacing w:w="15" w:type="dxa"/>
        </w:trPr>
        <w:tc>
          <w:tcPr>
            <w:tcW w:w="1665" w:type="dxa"/>
            <w:vAlign w:val="center"/>
            <w:hideMark/>
          </w:tcPr>
          <w:p w14:paraId="1B9C4F8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2D</w:t>
            </w:r>
          </w:p>
        </w:tc>
        <w:tc>
          <w:tcPr>
            <w:tcW w:w="7157" w:type="dxa"/>
            <w:vAlign w:val="center"/>
            <w:hideMark/>
          </w:tcPr>
          <w:p w14:paraId="56A47FA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Two-Dimensional</w:t>
            </w:r>
          </w:p>
        </w:tc>
      </w:tr>
      <w:tr w:rsidR="009230C7" w:rsidRPr="009230C7" w14:paraId="61EBD82B" w14:textId="77777777" w:rsidTr="00261B7D">
        <w:trPr>
          <w:tblCellSpacing w:w="15" w:type="dxa"/>
        </w:trPr>
        <w:tc>
          <w:tcPr>
            <w:tcW w:w="1665" w:type="dxa"/>
            <w:vAlign w:val="center"/>
            <w:hideMark/>
          </w:tcPr>
          <w:p w14:paraId="7B50FD1D"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3D</w:t>
            </w:r>
          </w:p>
        </w:tc>
        <w:tc>
          <w:tcPr>
            <w:tcW w:w="7157" w:type="dxa"/>
            <w:vAlign w:val="center"/>
            <w:hideMark/>
          </w:tcPr>
          <w:p w14:paraId="6D0B348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Three-Dimensional</w:t>
            </w:r>
          </w:p>
        </w:tc>
      </w:tr>
      <w:tr w:rsidR="009230C7" w:rsidRPr="009230C7" w14:paraId="5F16AE26" w14:textId="77777777" w:rsidTr="00261B7D">
        <w:trPr>
          <w:tblCellSpacing w:w="15" w:type="dxa"/>
        </w:trPr>
        <w:tc>
          <w:tcPr>
            <w:tcW w:w="1665" w:type="dxa"/>
            <w:vAlign w:val="center"/>
            <w:hideMark/>
          </w:tcPr>
          <w:p w14:paraId="2FD0C675"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ADMET</w:t>
            </w:r>
          </w:p>
        </w:tc>
        <w:tc>
          <w:tcPr>
            <w:tcW w:w="7157" w:type="dxa"/>
            <w:vAlign w:val="center"/>
            <w:hideMark/>
          </w:tcPr>
          <w:p w14:paraId="775A525D"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Absorption, Distribution, Metabolism, Excretion, and Toxicity</w:t>
            </w:r>
          </w:p>
        </w:tc>
      </w:tr>
      <w:tr w:rsidR="009230C7" w:rsidRPr="009230C7" w14:paraId="7FA06F64" w14:textId="77777777" w:rsidTr="00261B7D">
        <w:trPr>
          <w:tblCellSpacing w:w="15" w:type="dxa"/>
        </w:trPr>
        <w:tc>
          <w:tcPr>
            <w:tcW w:w="1665" w:type="dxa"/>
            <w:vAlign w:val="center"/>
            <w:hideMark/>
          </w:tcPr>
          <w:p w14:paraId="0423C518"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AMBER</w:t>
            </w:r>
          </w:p>
        </w:tc>
        <w:tc>
          <w:tcPr>
            <w:tcW w:w="7157" w:type="dxa"/>
            <w:vAlign w:val="center"/>
            <w:hideMark/>
          </w:tcPr>
          <w:p w14:paraId="6B4CE2A9"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Assisted Model Building with Energy Refinement (Force Field)</w:t>
            </w:r>
          </w:p>
        </w:tc>
      </w:tr>
      <w:tr w:rsidR="009230C7" w:rsidRPr="009230C7" w14:paraId="687AB637" w14:textId="77777777" w:rsidTr="00261B7D">
        <w:trPr>
          <w:tblCellSpacing w:w="15" w:type="dxa"/>
        </w:trPr>
        <w:tc>
          <w:tcPr>
            <w:tcW w:w="1665" w:type="dxa"/>
            <w:vAlign w:val="center"/>
            <w:hideMark/>
          </w:tcPr>
          <w:p w14:paraId="1EC5647F" w14:textId="77777777" w:rsid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AMES</w:t>
            </w:r>
          </w:p>
          <w:p w14:paraId="48DE553A" w14:textId="1E724601" w:rsidR="006C5C8C" w:rsidRPr="009230C7" w:rsidRDefault="006C5C8C" w:rsidP="009230C7">
            <w:pPr>
              <w:spacing w:after="0" w:line="240" w:lineRule="auto"/>
              <w:jc w:val="both"/>
              <w:rPr>
                <w:rFonts w:ascii="Arial" w:eastAsia="Times New Roman" w:hAnsi="Arial" w:cs="Arial"/>
                <w:kern w:val="0"/>
                <w:sz w:val="20"/>
                <w:szCs w:val="20"/>
                <w:lang w:val="en-GB" w:eastAsia="en-GB"/>
                <w14:ligatures w14:val="none"/>
              </w:rPr>
            </w:pPr>
            <w:r>
              <w:rPr>
                <w:rFonts w:ascii="Arial" w:eastAsia="Times New Roman" w:hAnsi="Arial" w:cs="Arial"/>
                <w:kern w:val="0"/>
                <w:sz w:val="20"/>
                <w:szCs w:val="20"/>
                <w:lang w:val="en-GB" w:eastAsia="en-GB"/>
                <w14:ligatures w14:val="none"/>
              </w:rPr>
              <w:t>BBB</w:t>
            </w:r>
          </w:p>
        </w:tc>
        <w:tc>
          <w:tcPr>
            <w:tcW w:w="7157" w:type="dxa"/>
            <w:vAlign w:val="center"/>
            <w:hideMark/>
          </w:tcPr>
          <w:p w14:paraId="5B293E97" w14:textId="77777777" w:rsid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Ames Mutagenicity Test</w:t>
            </w:r>
          </w:p>
          <w:p w14:paraId="14785C54" w14:textId="00E28FAA" w:rsidR="006C5C8C" w:rsidRPr="009230C7" w:rsidRDefault="006C5C8C" w:rsidP="009230C7">
            <w:pPr>
              <w:spacing w:after="0" w:line="240" w:lineRule="auto"/>
              <w:jc w:val="both"/>
              <w:rPr>
                <w:rFonts w:ascii="Arial" w:eastAsia="Times New Roman" w:hAnsi="Arial" w:cs="Arial"/>
                <w:kern w:val="0"/>
                <w:sz w:val="20"/>
                <w:szCs w:val="20"/>
                <w:lang w:val="en-GB" w:eastAsia="en-GB"/>
                <w14:ligatures w14:val="none"/>
              </w:rPr>
            </w:pPr>
            <w:r>
              <w:rPr>
                <w:rFonts w:ascii="Arial" w:eastAsia="Times New Roman" w:hAnsi="Arial" w:cs="Arial"/>
                <w:kern w:val="0"/>
                <w:sz w:val="20"/>
                <w:szCs w:val="20"/>
                <w:lang w:val="en-GB" w:eastAsia="en-GB"/>
                <w14:ligatures w14:val="none"/>
              </w:rPr>
              <w:t>Blood Brain Barrier</w:t>
            </w:r>
          </w:p>
        </w:tc>
      </w:tr>
      <w:tr w:rsidR="009230C7" w:rsidRPr="009230C7" w14:paraId="31002A2C" w14:textId="77777777" w:rsidTr="00261B7D">
        <w:trPr>
          <w:tblCellSpacing w:w="15" w:type="dxa"/>
        </w:trPr>
        <w:tc>
          <w:tcPr>
            <w:tcW w:w="1665" w:type="dxa"/>
            <w:vAlign w:val="center"/>
            <w:hideMark/>
          </w:tcPr>
          <w:p w14:paraId="46AD428F"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CASTp</w:t>
            </w:r>
          </w:p>
        </w:tc>
        <w:tc>
          <w:tcPr>
            <w:tcW w:w="7157" w:type="dxa"/>
            <w:vAlign w:val="center"/>
            <w:hideMark/>
          </w:tcPr>
          <w:p w14:paraId="7FDF34F9"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Computed Atlas of Surface Topography of Proteins</w:t>
            </w:r>
          </w:p>
        </w:tc>
      </w:tr>
      <w:tr w:rsidR="009230C7" w:rsidRPr="009230C7" w14:paraId="6827D88D" w14:textId="77777777" w:rsidTr="00261B7D">
        <w:trPr>
          <w:tblCellSpacing w:w="15" w:type="dxa"/>
        </w:trPr>
        <w:tc>
          <w:tcPr>
            <w:tcW w:w="1665" w:type="dxa"/>
            <w:vAlign w:val="center"/>
            <w:hideMark/>
          </w:tcPr>
          <w:p w14:paraId="6E5E9B3F"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CADD</w:t>
            </w:r>
          </w:p>
        </w:tc>
        <w:tc>
          <w:tcPr>
            <w:tcW w:w="7157" w:type="dxa"/>
            <w:vAlign w:val="center"/>
            <w:hideMark/>
          </w:tcPr>
          <w:p w14:paraId="3E76A1B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Computer-Aided Drug Design</w:t>
            </w:r>
          </w:p>
        </w:tc>
      </w:tr>
      <w:tr w:rsidR="009230C7" w:rsidRPr="009230C7" w14:paraId="27144A70" w14:textId="77777777" w:rsidTr="00261B7D">
        <w:trPr>
          <w:tblCellSpacing w:w="15" w:type="dxa"/>
        </w:trPr>
        <w:tc>
          <w:tcPr>
            <w:tcW w:w="1665" w:type="dxa"/>
            <w:vAlign w:val="center"/>
            <w:hideMark/>
          </w:tcPr>
          <w:p w14:paraId="5BAB93F4"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CHARMM36</w:t>
            </w:r>
          </w:p>
        </w:tc>
        <w:tc>
          <w:tcPr>
            <w:tcW w:w="7157" w:type="dxa"/>
            <w:vAlign w:val="center"/>
            <w:hideMark/>
          </w:tcPr>
          <w:p w14:paraId="6057E5B5"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 xml:space="preserve">Chemistry at </w:t>
            </w:r>
            <w:proofErr w:type="spellStart"/>
            <w:r w:rsidRPr="009230C7">
              <w:rPr>
                <w:rFonts w:ascii="Arial" w:eastAsia="Times New Roman" w:hAnsi="Arial" w:cs="Arial"/>
                <w:kern w:val="0"/>
                <w:sz w:val="20"/>
                <w:szCs w:val="20"/>
                <w:lang w:val="en-GB" w:eastAsia="en-GB"/>
                <w14:ligatures w14:val="none"/>
              </w:rPr>
              <w:t>HARvard</w:t>
            </w:r>
            <w:proofErr w:type="spellEnd"/>
            <w:r w:rsidRPr="009230C7">
              <w:rPr>
                <w:rFonts w:ascii="Arial" w:eastAsia="Times New Roman" w:hAnsi="Arial" w:cs="Arial"/>
                <w:kern w:val="0"/>
                <w:sz w:val="20"/>
                <w:szCs w:val="20"/>
                <w:lang w:val="en-GB" w:eastAsia="en-GB"/>
                <w14:ligatures w14:val="none"/>
              </w:rPr>
              <w:t xml:space="preserve"> Macromolecular Mechanics (Force Field)</w:t>
            </w:r>
          </w:p>
        </w:tc>
      </w:tr>
      <w:tr w:rsidR="009230C7" w:rsidRPr="009230C7" w14:paraId="0FD1F6BF" w14:textId="77777777" w:rsidTr="00261B7D">
        <w:trPr>
          <w:tblCellSpacing w:w="15" w:type="dxa"/>
        </w:trPr>
        <w:tc>
          <w:tcPr>
            <w:tcW w:w="1665" w:type="dxa"/>
            <w:vAlign w:val="center"/>
            <w:hideMark/>
          </w:tcPr>
          <w:p w14:paraId="507883ED"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CYP</w:t>
            </w:r>
          </w:p>
        </w:tc>
        <w:tc>
          <w:tcPr>
            <w:tcW w:w="7157" w:type="dxa"/>
            <w:vAlign w:val="center"/>
            <w:hideMark/>
          </w:tcPr>
          <w:p w14:paraId="3A6A01C0"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 xml:space="preserve">Cytochrome P450 </w:t>
            </w:r>
          </w:p>
        </w:tc>
      </w:tr>
      <w:tr w:rsidR="009230C7" w:rsidRPr="009230C7" w14:paraId="75D1B2BB" w14:textId="77777777" w:rsidTr="00261B7D">
        <w:trPr>
          <w:tblCellSpacing w:w="15" w:type="dxa"/>
        </w:trPr>
        <w:tc>
          <w:tcPr>
            <w:tcW w:w="1665" w:type="dxa"/>
            <w:vAlign w:val="center"/>
            <w:hideMark/>
          </w:tcPr>
          <w:p w14:paraId="04F3C89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FGFR1</w:t>
            </w:r>
          </w:p>
        </w:tc>
        <w:tc>
          <w:tcPr>
            <w:tcW w:w="7157" w:type="dxa"/>
            <w:vAlign w:val="center"/>
            <w:hideMark/>
          </w:tcPr>
          <w:p w14:paraId="176416F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Fibroblast Growth Factor Receptor 1</w:t>
            </w:r>
          </w:p>
        </w:tc>
      </w:tr>
      <w:tr w:rsidR="009230C7" w:rsidRPr="009230C7" w14:paraId="62B2B6D0" w14:textId="77777777" w:rsidTr="00261B7D">
        <w:trPr>
          <w:tblCellSpacing w:w="15" w:type="dxa"/>
        </w:trPr>
        <w:tc>
          <w:tcPr>
            <w:tcW w:w="1665" w:type="dxa"/>
            <w:vAlign w:val="center"/>
            <w:hideMark/>
          </w:tcPr>
          <w:p w14:paraId="08C2A832"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GROMACS</w:t>
            </w:r>
          </w:p>
        </w:tc>
        <w:tc>
          <w:tcPr>
            <w:tcW w:w="7157" w:type="dxa"/>
            <w:vAlign w:val="center"/>
            <w:hideMark/>
          </w:tcPr>
          <w:p w14:paraId="2EBB4E2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Groningen Machine for Chemical Simulations</w:t>
            </w:r>
          </w:p>
        </w:tc>
      </w:tr>
      <w:tr w:rsidR="009230C7" w:rsidRPr="009230C7" w14:paraId="1A05DCD9" w14:textId="77777777" w:rsidTr="00261B7D">
        <w:trPr>
          <w:tblCellSpacing w:w="15" w:type="dxa"/>
        </w:trPr>
        <w:tc>
          <w:tcPr>
            <w:tcW w:w="1665" w:type="dxa"/>
            <w:vAlign w:val="center"/>
            <w:hideMark/>
          </w:tcPr>
          <w:p w14:paraId="7D1C38A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HBA</w:t>
            </w:r>
          </w:p>
        </w:tc>
        <w:tc>
          <w:tcPr>
            <w:tcW w:w="7157" w:type="dxa"/>
            <w:vAlign w:val="center"/>
            <w:hideMark/>
          </w:tcPr>
          <w:p w14:paraId="3EB7535D"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Hydrogen Bond Acceptors</w:t>
            </w:r>
          </w:p>
        </w:tc>
      </w:tr>
      <w:tr w:rsidR="009230C7" w:rsidRPr="009230C7" w14:paraId="69753944" w14:textId="77777777" w:rsidTr="00261B7D">
        <w:trPr>
          <w:tblCellSpacing w:w="15" w:type="dxa"/>
        </w:trPr>
        <w:tc>
          <w:tcPr>
            <w:tcW w:w="1665" w:type="dxa"/>
            <w:vAlign w:val="center"/>
            <w:hideMark/>
          </w:tcPr>
          <w:p w14:paraId="6DF61DF0"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HBD</w:t>
            </w:r>
          </w:p>
        </w:tc>
        <w:tc>
          <w:tcPr>
            <w:tcW w:w="7157" w:type="dxa"/>
            <w:vAlign w:val="center"/>
            <w:hideMark/>
          </w:tcPr>
          <w:p w14:paraId="15E7675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Hydrogen Bond Donors</w:t>
            </w:r>
          </w:p>
        </w:tc>
      </w:tr>
      <w:tr w:rsidR="009230C7" w:rsidRPr="009230C7" w14:paraId="22EFAF4C" w14:textId="77777777" w:rsidTr="00261B7D">
        <w:trPr>
          <w:tblCellSpacing w:w="15" w:type="dxa"/>
        </w:trPr>
        <w:tc>
          <w:tcPr>
            <w:tcW w:w="1665" w:type="dxa"/>
            <w:vAlign w:val="center"/>
            <w:hideMark/>
          </w:tcPr>
          <w:p w14:paraId="5122E7C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hERG</w:t>
            </w:r>
            <w:proofErr w:type="spellEnd"/>
          </w:p>
        </w:tc>
        <w:tc>
          <w:tcPr>
            <w:tcW w:w="7157" w:type="dxa"/>
            <w:vAlign w:val="center"/>
            <w:hideMark/>
          </w:tcPr>
          <w:p w14:paraId="4322A3B8"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Human Ether-à-go-go Related Gene</w:t>
            </w:r>
          </w:p>
        </w:tc>
      </w:tr>
      <w:tr w:rsidR="009230C7" w:rsidRPr="009230C7" w14:paraId="592DB572" w14:textId="77777777" w:rsidTr="00261B7D">
        <w:trPr>
          <w:tblCellSpacing w:w="15" w:type="dxa"/>
        </w:trPr>
        <w:tc>
          <w:tcPr>
            <w:tcW w:w="1665" w:type="dxa"/>
            <w:vAlign w:val="center"/>
            <w:hideMark/>
          </w:tcPr>
          <w:p w14:paraId="6024CE33"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iGEMDock</w:t>
            </w:r>
            <w:proofErr w:type="spellEnd"/>
          </w:p>
        </w:tc>
        <w:tc>
          <w:tcPr>
            <w:tcW w:w="7157" w:type="dxa"/>
            <w:vAlign w:val="center"/>
            <w:hideMark/>
          </w:tcPr>
          <w:p w14:paraId="7F076153"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Generic Evolutionary Method for Molecular Docking</w:t>
            </w:r>
          </w:p>
        </w:tc>
      </w:tr>
      <w:tr w:rsidR="009230C7" w:rsidRPr="009230C7" w14:paraId="3BF9F62B" w14:textId="77777777" w:rsidTr="00261B7D">
        <w:trPr>
          <w:tblCellSpacing w:w="15" w:type="dxa"/>
        </w:trPr>
        <w:tc>
          <w:tcPr>
            <w:tcW w:w="1665" w:type="dxa"/>
            <w:vAlign w:val="center"/>
            <w:hideMark/>
          </w:tcPr>
          <w:p w14:paraId="4996BFD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LogP</w:t>
            </w:r>
            <w:proofErr w:type="spellEnd"/>
          </w:p>
        </w:tc>
        <w:tc>
          <w:tcPr>
            <w:tcW w:w="7157" w:type="dxa"/>
            <w:vAlign w:val="center"/>
            <w:hideMark/>
          </w:tcPr>
          <w:p w14:paraId="374A6463"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Logarithm of Octanol-Water Partition Coefficient</w:t>
            </w:r>
          </w:p>
        </w:tc>
      </w:tr>
      <w:tr w:rsidR="009230C7" w:rsidRPr="009230C7" w14:paraId="479139CB" w14:textId="77777777" w:rsidTr="00261B7D">
        <w:trPr>
          <w:tblCellSpacing w:w="15" w:type="dxa"/>
        </w:trPr>
        <w:tc>
          <w:tcPr>
            <w:tcW w:w="1665" w:type="dxa"/>
            <w:vAlign w:val="center"/>
            <w:hideMark/>
          </w:tcPr>
          <w:p w14:paraId="7F659F0B"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MD</w:t>
            </w:r>
          </w:p>
        </w:tc>
        <w:tc>
          <w:tcPr>
            <w:tcW w:w="7157" w:type="dxa"/>
            <w:vAlign w:val="center"/>
            <w:hideMark/>
          </w:tcPr>
          <w:p w14:paraId="78935783"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Molecular Dynamics</w:t>
            </w:r>
          </w:p>
        </w:tc>
      </w:tr>
      <w:tr w:rsidR="009230C7" w:rsidRPr="009230C7" w14:paraId="3D2CE558" w14:textId="77777777" w:rsidTr="00261B7D">
        <w:trPr>
          <w:tblCellSpacing w:w="15" w:type="dxa"/>
        </w:trPr>
        <w:tc>
          <w:tcPr>
            <w:tcW w:w="1665" w:type="dxa"/>
            <w:vAlign w:val="center"/>
            <w:hideMark/>
          </w:tcPr>
          <w:p w14:paraId="29630EAB"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MM-GBSA</w:t>
            </w:r>
          </w:p>
        </w:tc>
        <w:tc>
          <w:tcPr>
            <w:tcW w:w="7157" w:type="dxa"/>
            <w:vAlign w:val="center"/>
            <w:hideMark/>
          </w:tcPr>
          <w:p w14:paraId="58367B81"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Molecular Mechanics Generalized Born Surface Area</w:t>
            </w:r>
          </w:p>
        </w:tc>
      </w:tr>
      <w:tr w:rsidR="009230C7" w:rsidRPr="009230C7" w14:paraId="110624E0" w14:textId="77777777" w:rsidTr="00261B7D">
        <w:trPr>
          <w:tblCellSpacing w:w="15" w:type="dxa"/>
        </w:trPr>
        <w:tc>
          <w:tcPr>
            <w:tcW w:w="1665" w:type="dxa"/>
            <w:vAlign w:val="center"/>
            <w:hideMark/>
          </w:tcPr>
          <w:p w14:paraId="7E6746D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MOE</w:t>
            </w:r>
          </w:p>
        </w:tc>
        <w:tc>
          <w:tcPr>
            <w:tcW w:w="7157" w:type="dxa"/>
            <w:vAlign w:val="center"/>
            <w:hideMark/>
          </w:tcPr>
          <w:p w14:paraId="5B16B40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Molecular Operating Environment</w:t>
            </w:r>
          </w:p>
        </w:tc>
      </w:tr>
      <w:tr w:rsidR="009230C7" w:rsidRPr="009230C7" w14:paraId="456BCEC8" w14:textId="77777777" w:rsidTr="00261B7D">
        <w:trPr>
          <w:tblCellSpacing w:w="15" w:type="dxa"/>
        </w:trPr>
        <w:tc>
          <w:tcPr>
            <w:tcW w:w="1665" w:type="dxa"/>
            <w:vAlign w:val="center"/>
            <w:hideMark/>
          </w:tcPr>
          <w:p w14:paraId="33C16A29"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MW</w:t>
            </w:r>
          </w:p>
        </w:tc>
        <w:tc>
          <w:tcPr>
            <w:tcW w:w="7157" w:type="dxa"/>
            <w:vAlign w:val="center"/>
            <w:hideMark/>
          </w:tcPr>
          <w:p w14:paraId="1E1276FF"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Molecular Weight</w:t>
            </w:r>
          </w:p>
        </w:tc>
      </w:tr>
      <w:tr w:rsidR="009230C7" w:rsidRPr="009230C7" w14:paraId="570DAE36" w14:textId="77777777" w:rsidTr="00261B7D">
        <w:trPr>
          <w:tblCellSpacing w:w="15" w:type="dxa"/>
        </w:trPr>
        <w:tc>
          <w:tcPr>
            <w:tcW w:w="1665" w:type="dxa"/>
            <w:vAlign w:val="center"/>
            <w:hideMark/>
          </w:tcPr>
          <w:p w14:paraId="53E8A6B2"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NPACT</w:t>
            </w:r>
          </w:p>
        </w:tc>
        <w:tc>
          <w:tcPr>
            <w:tcW w:w="7157" w:type="dxa"/>
            <w:vAlign w:val="center"/>
            <w:hideMark/>
          </w:tcPr>
          <w:p w14:paraId="1F4FE4EA"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Naturally Occurring Plant-Based Anti-Cancerous Therapeutics</w:t>
            </w:r>
          </w:p>
        </w:tc>
      </w:tr>
      <w:tr w:rsidR="009230C7" w:rsidRPr="009230C7" w14:paraId="6338F0D3" w14:textId="77777777" w:rsidTr="00261B7D">
        <w:trPr>
          <w:tblCellSpacing w:w="15" w:type="dxa"/>
        </w:trPr>
        <w:tc>
          <w:tcPr>
            <w:tcW w:w="1665" w:type="dxa"/>
            <w:vAlign w:val="center"/>
            <w:hideMark/>
          </w:tcPr>
          <w:p w14:paraId="42E1393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NPT</w:t>
            </w:r>
          </w:p>
        </w:tc>
        <w:tc>
          <w:tcPr>
            <w:tcW w:w="7157" w:type="dxa"/>
            <w:vAlign w:val="center"/>
            <w:hideMark/>
          </w:tcPr>
          <w:p w14:paraId="555CC686"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Constant Number of Particles, Pressure, and Temperature (Ensemble)</w:t>
            </w:r>
          </w:p>
        </w:tc>
      </w:tr>
      <w:tr w:rsidR="009230C7" w:rsidRPr="009230C7" w14:paraId="2DF95926" w14:textId="77777777" w:rsidTr="00261B7D">
        <w:trPr>
          <w:tblCellSpacing w:w="15" w:type="dxa"/>
        </w:trPr>
        <w:tc>
          <w:tcPr>
            <w:tcW w:w="1665" w:type="dxa"/>
            <w:vAlign w:val="center"/>
            <w:hideMark/>
          </w:tcPr>
          <w:p w14:paraId="1A7BA8F2"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NVT</w:t>
            </w:r>
          </w:p>
        </w:tc>
        <w:tc>
          <w:tcPr>
            <w:tcW w:w="7157" w:type="dxa"/>
            <w:vAlign w:val="center"/>
            <w:hideMark/>
          </w:tcPr>
          <w:p w14:paraId="150CFAAC"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Constant Number of Particles, Volume, and Temperature (Ensemble)</w:t>
            </w:r>
          </w:p>
        </w:tc>
      </w:tr>
      <w:tr w:rsidR="009230C7" w:rsidRPr="009230C7" w14:paraId="679D0B17" w14:textId="77777777" w:rsidTr="00261B7D">
        <w:trPr>
          <w:tblCellSpacing w:w="15" w:type="dxa"/>
        </w:trPr>
        <w:tc>
          <w:tcPr>
            <w:tcW w:w="1665" w:type="dxa"/>
            <w:vAlign w:val="center"/>
            <w:hideMark/>
          </w:tcPr>
          <w:p w14:paraId="51DDD74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PDB</w:t>
            </w:r>
          </w:p>
        </w:tc>
        <w:tc>
          <w:tcPr>
            <w:tcW w:w="7157" w:type="dxa"/>
            <w:vAlign w:val="center"/>
            <w:hideMark/>
          </w:tcPr>
          <w:p w14:paraId="46989BC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Protein Data Bank</w:t>
            </w:r>
          </w:p>
        </w:tc>
      </w:tr>
      <w:tr w:rsidR="009230C7" w:rsidRPr="009230C7" w14:paraId="53F56E74" w14:textId="77777777" w:rsidTr="00261B7D">
        <w:trPr>
          <w:tblCellSpacing w:w="15" w:type="dxa"/>
        </w:trPr>
        <w:tc>
          <w:tcPr>
            <w:tcW w:w="1665" w:type="dxa"/>
            <w:vAlign w:val="center"/>
            <w:hideMark/>
          </w:tcPr>
          <w:p w14:paraId="0EBF5D7B"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pkCSM</w:t>
            </w:r>
            <w:proofErr w:type="spellEnd"/>
          </w:p>
        </w:tc>
        <w:tc>
          <w:tcPr>
            <w:tcW w:w="7157" w:type="dxa"/>
            <w:vAlign w:val="center"/>
            <w:hideMark/>
          </w:tcPr>
          <w:p w14:paraId="5E71EF4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Pharmacokinetics of Small Molecules</w:t>
            </w:r>
          </w:p>
        </w:tc>
      </w:tr>
      <w:tr w:rsidR="009230C7" w:rsidRPr="009230C7" w14:paraId="4F210F77" w14:textId="77777777" w:rsidTr="00261B7D">
        <w:trPr>
          <w:tblCellSpacing w:w="15" w:type="dxa"/>
        </w:trPr>
        <w:tc>
          <w:tcPr>
            <w:tcW w:w="1665" w:type="dxa"/>
            <w:vAlign w:val="center"/>
            <w:hideMark/>
          </w:tcPr>
          <w:p w14:paraId="099B350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proofErr w:type="spellStart"/>
            <w:r w:rsidRPr="009230C7">
              <w:rPr>
                <w:rFonts w:ascii="Arial" w:eastAsia="Times New Roman" w:hAnsi="Arial" w:cs="Arial"/>
                <w:kern w:val="0"/>
                <w:sz w:val="20"/>
                <w:szCs w:val="20"/>
                <w:lang w:val="en-GB" w:eastAsia="en-GB"/>
                <w14:ligatures w14:val="none"/>
              </w:rPr>
              <w:t>RoG</w:t>
            </w:r>
            <w:proofErr w:type="spellEnd"/>
          </w:p>
        </w:tc>
        <w:tc>
          <w:tcPr>
            <w:tcW w:w="7157" w:type="dxa"/>
            <w:vAlign w:val="center"/>
            <w:hideMark/>
          </w:tcPr>
          <w:p w14:paraId="224F168E"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Radius of Gyration</w:t>
            </w:r>
          </w:p>
        </w:tc>
      </w:tr>
      <w:tr w:rsidR="009230C7" w:rsidRPr="009230C7" w14:paraId="06B8458B" w14:textId="77777777" w:rsidTr="00261B7D">
        <w:trPr>
          <w:tblCellSpacing w:w="15" w:type="dxa"/>
        </w:trPr>
        <w:tc>
          <w:tcPr>
            <w:tcW w:w="1665" w:type="dxa"/>
            <w:vAlign w:val="center"/>
            <w:hideMark/>
          </w:tcPr>
          <w:p w14:paraId="425B25D1"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RMSD</w:t>
            </w:r>
          </w:p>
        </w:tc>
        <w:tc>
          <w:tcPr>
            <w:tcW w:w="7157" w:type="dxa"/>
            <w:vAlign w:val="center"/>
            <w:hideMark/>
          </w:tcPr>
          <w:p w14:paraId="3DC697BF"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Root Mean Square Deviation</w:t>
            </w:r>
          </w:p>
        </w:tc>
      </w:tr>
      <w:tr w:rsidR="009230C7" w:rsidRPr="009230C7" w14:paraId="16F4C8FE" w14:textId="77777777" w:rsidTr="00261B7D">
        <w:trPr>
          <w:tblCellSpacing w:w="15" w:type="dxa"/>
        </w:trPr>
        <w:tc>
          <w:tcPr>
            <w:tcW w:w="1665" w:type="dxa"/>
            <w:vAlign w:val="center"/>
            <w:hideMark/>
          </w:tcPr>
          <w:p w14:paraId="6650A017"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RMSF</w:t>
            </w:r>
          </w:p>
        </w:tc>
        <w:tc>
          <w:tcPr>
            <w:tcW w:w="7157" w:type="dxa"/>
            <w:vAlign w:val="center"/>
            <w:hideMark/>
          </w:tcPr>
          <w:p w14:paraId="3E1A6DD8"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Root Mean Square Fluctuation</w:t>
            </w:r>
          </w:p>
        </w:tc>
      </w:tr>
      <w:tr w:rsidR="009230C7" w:rsidRPr="009230C7" w14:paraId="568143A3" w14:textId="77777777" w:rsidTr="00261B7D">
        <w:trPr>
          <w:tblCellSpacing w:w="15" w:type="dxa"/>
        </w:trPr>
        <w:tc>
          <w:tcPr>
            <w:tcW w:w="1665" w:type="dxa"/>
            <w:vAlign w:val="center"/>
            <w:hideMark/>
          </w:tcPr>
          <w:p w14:paraId="47CF83BA"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hAnsi="Arial" w:cs="Arial"/>
                <w:bCs/>
                <w:iCs/>
                <w:sz w:val="20"/>
                <w:szCs w:val="20"/>
              </w:rPr>
              <w:t>Ro5</w:t>
            </w:r>
          </w:p>
        </w:tc>
        <w:tc>
          <w:tcPr>
            <w:tcW w:w="7157" w:type="dxa"/>
            <w:vAlign w:val="center"/>
            <w:hideMark/>
          </w:tcPr>
          <w:p w14:paraId="7EFD4D09"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Rule of Five</w:t>
            </w:r>
          </w:p>
        </w:tc>
      </w:tr>
      <w:tr w:rsidR="009230C7" w:rsidRPr="009230C7" w14:paraId="161DC1B6" w14:textId="77777777" w:rsidTr="00261B7D">
        <w:trPr>
          <w:tblCellSpacing w:w="15" w:type="dxa"/>
        </w:trPr>
        <w:tc>
          <w:tcPr>
            <w:tcW w:w="1665" w:type="dxa"/>
            <w:vAlign w:val="center"/>
            <w:hideMark/>
          </w:tcPr>
          <w:p w14:paraId="380C9750"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SBDD</w:t>
            </w:r>
          </w:p>
        </w:tc>
        <w:tc>
          <w:tcPr>
            <w:tcW w:w="7157" w:type="dxa"/>
            <w:vAlign w:val="center"/>
            <w:hideMark/>
          </w:tcPr>
          <w:p w14:paraId="56159C65"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Structure-Based Drug Design</w:t>
            </w:r>
          </w:p>
        </w:tc>
      </w:tr>
      <w:tr w:rsidR="009230C7" w:rsidRPr="009230C7" w14:paraId="0CAD0A64" w14:textId="77777777" w:rsidTr="00261B7D">
        <w:trPr>
          <w:tblCellSpacing w:w="15" w:type="dxa"/>
        </w:trPr>
        <w:tc>
          <w:tcPr>
            <w:tcW w:w="1665" w:type="dxa"/>
            <w:vAlign w:val="center"/>
            <w:hideMark/>
          </w:tcPr>
          <w:p w14:paraId="0E9D0FA1"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SPC</w:t>
            </w:r>
          </w:p>
        </w:tc>
        <w:tc>
          <w:tcPr>
            <w:tcW w:w="7157" w:type="dxa"/>
            <w:vAlign w:val="center"/>
            <w:hideMark/>
          </w:tcPr>
          <w:p w14:paraId="3A6D42EB" w14:textId="77777777" w:rsidR="009230C7" w:rsidRPr="009230C7" w:rsidRDefault="009230C7" w:rsidP="009230C7">
            <w:pPr>
              <w:spacing w:after="0" w:line="240" w:lineRule="auto"/>
              <w:jc w:val="both"/>
              <w:rPr>
                <w:rFonts w:ascii="Arial" w:eastAsia="Times New Roman" w:hAnsi="Arial" w:cs="Arial"/>
                <w:kern w:val="0"/>
                <w:sz w:val="20"/>
                <w:szCs w:val="20"/>
                <w:lang w:val="en-GB" w:eastAsia="en-GB"/>
                <w14:ligatures w14:val="none"/>
              </w:rPr>
            </w:pPr>
            <w:r w:rsidRPr="009230C7">
              <w:rPr>
                <w:rFonts w:ascii="Arial" w:eastAsia="Times New Roman" w:hAnsi="Arial" w:cs="Arial"/>
                <w:kern w:val="0"/>
                <w:sz w:val="20"/>
                <w:szCs w:val="20"/>
                <w:lang w:val="en-GB" w:eastAsia="en-GB"/>
                <w14:ligatures w14:val="none"/>
              </w:rPr>
              <w:t>Simple Point Charge (Water Model)</w:t>
            </w:r>
          </w:p>
        </w:tc>
      </w:tr>
    </w:tbl>
    <w:p w14:paraId="3AE46906" w14:textId="0D2BDEB6" w:rsidR="006C5C8C" w:rsidRPr="001A03C4" w:rsidRDefault="006C5C8C" w:rsidP="006C5C8C">
      <w:pPr>
        <w:spacing w:before="240" w:line="360" w:lineRule="auto"/>
        <w:jc w:val="both"/>
        <w:rPr>
          <w:rFonts w:ascii="Arial" w:hAnsi="Arial" w:cs="Arial"/>
          <w:b/>
          <w:bCs/>
          <w:sz w:val="24"/>
          <w:szCs w:val="24"/>
        </w:rPr>
      </w:pPr>
      <w:r w:rsidRPr="001A03C4">
        <w:rPr>
          <w:rFonts w:ascii="Arial" w:hAnsi="Arial" w:cs="Arial"/>
          <w:b/>
          <w:bCs/>
          <w:sz w:val="24"/>
          <w:szCs w:val="24"/>
        </w:rPr>
        <w:t>REFERENCES</w:t>
      </w:r>
    </w:p>
    <w:p w14:paraId="679DE9D0"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[1] Brindley, P. J., Bachini, M., Ilyas, S. I., Khan, S. A., Loukas, A., Sirica, A. E., ... and  </w:t>
      </w:r>
    </w:p>
    <w:p w14:paraId="301FBA36" w14:textId="6C4B9845"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Gores, G. J. (2021). Cholangiocarcinoma. </w:t>
      </w:r>
      <w:r w:rsidRPr="006C5C8C">
        <w:rPr>
          <w:rFonts w:ascii="Arial" w:hAnsi="Arial" w:cs="Arial"/>
          <w:i/>
          <w:iCs/>
          <w:kern w:val="0"/>
          <w:sz w:val="20"/>
          <w:szCs w:val="20"/>
        </w:rPr>
        <w:t>Nature Reviews Disease Primers</w:t>
      </w:r>
      <w:r w:rsidRPr="006C5C8C">
        <w:rPr>
          <w:rFonts w:ascii="Arial" w:hAnsi="Arial" w:cs="Arial"/>
          <w:kern w:val="0"/>
          <w:sz w:val="20"/>
          <w:szCs w:val="20"/>
        </w:rPr>
        <w:t>, </w:t>
      </w:r>
      <w:r w:rsidRPr="006C5C8C">
        <w:rPr>
          <w:rFonts w:ascii="Arial" w:hAnsi="Arial" w:cs="Arial"/>
          <w:i/>
          <w:iCs/>
          <w:kern w:val="0"/>
          <w:sz w:val="20"/>
          <w:szCs w:val="20"/>
        </w:rPr>
        <w:t>7</w:t>
      </w:r>
      <w:r w:rsidRPr="006C5C8C">
        <w:rPr>
          <w:rFonts w:ascii="Arial" w:hAnsi="Arial" w:cs="Arial"/>
          <w:kern w:val="0"/>
          <w:sz w:val="20"/>
          <w:szCs w:val="20"/>
        </w:rPr>
        <w:t xml:space="preserve">(1), 65. </w:t>
      </w:r>
    </w:p>
    <w:p w14:paraId="4C3787CD" w14:textId="77777777"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w:t>
      </w:r>
      <w:hyperlink r:id="rId41" w:history="1">
        <w:r w:rsidRPr="006C5C8C">
          <w:rPr>
            <w:rStyle w:val="Hyperlink"/>
            <w:rFonts w:ascii="Arial" w:hAnsi="Arial" w:cs="Arial"/>
            <w:kern w:val="0"/>
            <w:sz w:val="20"/>
            <w:szCs w:val="20"/>
          </w:rPr>
          <w:t>https://doi.org/10.1038/s41572-021-00300-2</w:t>
        </w:r>
      </w:hyperlink>
    </w:p>
    <w:p w14:paraId="0961A9AE" w14:textId="240BEA0F"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[2] Vij, M., Puri, Y., Rammohan, A., Rajalingam, R., </w:t>
      </w:r>
      <w:proofErr w:type="spellStart"/>
      <w:r w:rsidRPr="006C5C8C">
        <w:rPr>
          <w:rFonts w:ascii="Arial" w:hAnsi="Arial" w:cs="Arial"/>
          <w:kern w:val="0"/>
          <w:sz w:val="20"/>
          <w:szCs w:val="20"/>
        </w:rPr>
        <w:t>Kaliamoorthy</w:t>
      </w:r>
      <w:proofErr w:type="spellEnd"/>
      <w:r w:rsidRPr="006C5C8C">
        <w:rPr>
          <w:rFonts w:ascii="Arial" w:hAnsi="Arial" w:cs="Arial"/>
          <w:kern w:val="0"/>
          <w:sz w:val="20"/>
          <w:szCs w:val="20"/>
        </w:rPr>
        <w:t xml:space="preserve">, I., and Rela, M. (2022). </w:t>
      </w:r>
    </w:p>
    <w:p w14:paraId="02B72266"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Pathological, molecular, and clinical characteristics of cholangiocarcinoma: A  </w:t>
      </w:r>
    </w:p>
    <w:p w14:paraId="46AF60A5"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comprehensive review. </w:t>
      </w:r>
      <w:r w:rsidRPr="006C5C8C">
        <w:rPr>
          <w:rFonts w:ascii="Arial" w:hAnsi="Arial" w:cs="Arial"/>
          <w:i/>
          <w:iCs/>
          <w:kern w:val="0"/>
          <w:sz w:val="20"/>
          <w:szCs w:val="20"/>
        </w:rPr>
        <w:t>World Journal of Gastrointestinal Oncology</w:t>
      </w:r>
      <w:r w:rsidRPr="006C5C8C">
        <w:rPr>
          <w:rFonts w:ascii="Arial" w:hAnsi="Arial" w:cs="Arial"/>
          <w:kern w:val="0"/>
          <w:sz w:val="20"/>
          <w:szCs w:val="20"/>
        </w:rPr>
        <w:t>, </w:t>
      </w:r>
      <w:r w:rsidRPr="006C5C8C">
        <w:rPr>
          <w:rFonts w:ascii="Arial" w:hAnsi="Arial" w:cs="Arial"/>
          <w:i/>
          <w:iCs/>
          <w:kern w:val="0"/>
          <w:sz w:val="20"/>
          <w:szCs w:val="20"/>
        </w:rPr>
        <w:t>14</w:t>
      </w:r>
      <w:r w:rsidRPr="006C5C8C">
        <w:rPr>
          <w:rFonts w:ascii="Arial" w:hAnsi="Arial" w:cs="Arial"/>
          <w:kern w:val="0"/>
          <w:sz w:val="20"/>
          <w:szCs w:val="20"/>
        </w:rPr>
        <w:t xml:space="preserve">(3), 607. </w:t>
      </w:r>
    </w:p>
    <w:p w14:paraId="511B7F9F" w14:textId="77777777"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w:t>
      </w:r>
      <w:hyperlink r:id="rId42" w:history="1">
        <w:r w:rsidRPr="006C5C8C">
          <w:rPr>
            <w:rStyle w:val="Hyperlink"/>
            <w:rFonts w:ascii="Arial" w:hAnsi="Arial" w:cs="Arial"/>
            <w:kern w:val="0"/>
            <w:sz w:val="20"/>
            <w:szCs w:val="20"/>
          </w:rPr>
          <w:t>https://dx.doi.org/10.4251/wjgo.v14.i3.607</w:t>
        </w:r>
      </w:hyperlink>
    </w:p>
    <w:p w14:paraId="26FBD3E6"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[3] Abou-Alfa, G. K., Jarnagin, W., El Dika, I., </w:t>
      </w:r>
      <w:proofErr w:type="spellStart"/>
      <w:r w:rsidRPr="006C5C8C">
        <w:rPr>
          <w:rFonts w:ascii="Arial" w:hAnsi="Arial" w:cs="Arial"/>
          <w:kern w:val="0"/>
          <w:sz w:val="20"/>
          <w:szCs w:val="20"/>
        </w:rPr>
        <w:t>D'Angelica</w:t>
      </w:r>
      <w:proofErr w:type="spellEnd"/>
      <w:r w:rsidRPr="006C5C8C">
        <w:rPr>
          <w:rFonts w:ascii="Arial" w:hAnsi="Arial" w:cs="Arial"/>
          <w:kern w:val="0"/>
          <w:sz w:val="20"/>
          <w:szCs w:val="20"/>
        </w:rPr>
        <w:t xml:space="preserve">, M., Lowery, M., Brown, K., ...  </w:t>
      </w:r>
    </w:p>
    <w:p w14:paraId="25FCEFEE" w14:textId="781F0FD2"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lastRenderedPageBreak/>
        <w:t xml:space="preserve">     and O'Reilly, E. M. (2020). Liver and bile duct cancer. In </w:t>
      </w:r>
      <w:proofErr w:type="spellStart"/>
      <w:r w:rsidRPr="006C5C8C">
        <w:rPr>
          <w:rFonts w:ascii="Arial" w:hAnsi="Arial" w:cs="Arial"/>
          <w:i/>
          <w:iCs/>
          <w:kern w:val="0"/>
          <w:sz w:val="20"/>
          <w:szCs w:val="20"/>
        </w:rPr>
        <w:t>Abeloff's</w:t>
      </w:r>
      <w:proofErr w:type="spellEnd"/>
      <w:r w:rsidRPr="006C5C8C">
        <w:rPr>
          <w:rFonts w:ascii="Arial" w:hAnsi="Arial" w:cs="Arial"/>
          <w:i/>
          <w:iCs/>
          <w:kern w:val="0"/>
          <w:sz w:val="20"/>
          <w:szCs w:val="20"/>
        </w:rPr>
        <w:t xml:space="preserve"> Clinical Oncology</w:t>
      </w:r>
      <w:r w:rsidRPr="006C5C8C">
        <w:rPr>
          <w:rFonts w:ascii="Arial" w:hAnsi="Arial" w:cs="Arial"/>
          <w:kern w:val="0"/>
          <w:sz w:val="20"/>
          <w:szCs w:val="20"/>
        </w:rPr>
        <w:t xml:space="preserve"> (pp. </w:t>
      </w:r>
    </w:p>
    <w:p w14:paraId="738D3AF9" w14:textId="5AAEEB57"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1314-1341). Elsevier. </w:t>
      </w:r>
      <w:hyperlink r:id="rId43" w:history="1">
        <w:r w:rsidRPr="006C5C8C">
          <w:rPr>
            <w:rStyle w:val="Hyperlink"/>
            <w:rFonts w:ascii="Arial" w:hAnsi="Arial" w:cs="Arial"/>
            <w:kern w:val="0"/>
            <w:sz w:val="20"/>
            <w:szCs w:val="20"/>
          </w:rPr>
          <w:t>https://doi.org/10.1016/B978-0-323-47674-4.00077-3</w:t>
        </w:r>
      </w:hyperlink>
    </w:p>
    <w:p w14:paraId="0C1C6788"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[4] Lauterio, A., De Carlis, R., Centonze, L., Buscemi, V., </w:t>
      </w:r>
      <w:proofErr w:type="spellStart"/>
      <w:r w:rsidRPr="006C5C8C">
        <w:rPr>
          <w:rFonts w:ascii="Arial" w:hAnsi="Arial" w:cs="Arial"/>
          <w:kern w:val="0"/>
          <w:sz w:val="20"/>
          <w:szCs w:val="20"/>
        </w:rPr>
        <w:t>Incarbone</w:t>
      </w:r>
      <w:proofErr w:type="spellEnd"/>
      <w:r w:rsidRPr="006C5C8C">
        <w:rPr>
          <w:rFonts w:ascii="Arial" w:hAnsi="Arial" w:cs="Arial"/>
          <w:kern w:val="0"/>
          <w:sz w:val="20"/>
          <w:szCs w:val="20"/>
        </w:rPr>
        <w:t xml:space="preserve">, N., Vella, I., and De </w:t>
      </w:r>
    </w:p>
    <w:p w14:paraId="38BC96A9" w14:textId="038752C8"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Carlis, L. (2021). Current surgical management of peri-hilar and intra-hepatic </w:t>
      </w:r>
    </w:p>
    <w:p w14:paraId="35ECAB76" w14:textId="797F84E4"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cholangiocarcinoma. </w:t>
      </w:r>
      <w:r w:rsidRPr="006C5C8C">
        <w:rPr>
          <w:rFonts w:ascii="Arial" w:hAnsi="Arial" w:cs="Arial"/>
          <w:i/>
          <w:iCs/>
          <w:kern w:val="0"/>
          <w:sz w:val="20"/>
          <w:szCs w:val="20"/>
        </w:rPr>
        <w:t>Cancers</w:t>
      </w:r>
      <w:r w:rsidRPr="006C5C8C">
        <w:rPr>
          <w:rFonts w:ascii="Arial" w:hAnsi="Arial" w:cs="Arial"/>
          <w:kern w:val="0"/>
          <w:sz w:val="20"/>
          <w:szCs w:val="20"/>
        </w:rPr>
        <w:t>, </w:t>
      </w:r>
      <w:r w:rsidRPr="006C5C8C">
        <w:rPr>
          <w:rFonts w:ascii="Arial" w:hAnsi="Arial" w:cs="Arial"/>
          <w:i/>
          <w:iCs/>
          <w:kern w:val="0"/>
          <w:sz w:val="20"/>
          <w:szCs w:val="20"/>
        </w:rPr>
        <w:t>13</w:t>
      </w:r>
      <w:r w:rsidRPr="006C5C8C">
        <w:rPr>
          <w:rFonts w:ascii="Arial" w:hAnsi="Arial" w:cs="Arial"/>
          <w:kern w:val="0"/>
          <w:sz w:val="20"/>
          <w:szCs w:val="20"/>
        </w:rPr>
        <w:t xml:space="preserve">(15), 3657. </w:t>
      </w:r>
      <w:hyperlink r:id="rId44" w:history="1">
        <w:r w:rsidRPr="006C5C8C">
          <w:rPr>
            <w:rStyle w:val="Hyperlink"/>
            <w:rFonts w:ascii="Arial" w:hAnsi="Arial" w:cs="Arial"/>
            <w:kern w:val="0"/>
            <w:sz w:val="20"/>
            <w:szCs w:val="20"/>
          </w:rPr>
          <w:t>https://doi.org/10.3390/cancers13153657</w:t>
        </w:r>
      </w:hyperlink>
    </w:p>
    <w:p w14:paraId="537A8E14"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[5] de Meira Júnior, J. D., and Rosado, I. D. (2024). Perihilar cholangiocarcinoma. </w:t>
      </w:r>
    </w:p>
    <w:p w14:paraId="1FA988A8"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In </w:t>
      </w:r>
      <w:r w:rsidRPr="006C5C8C">
        <w:rPr>
          <w:rFonts w:ascii="Arial" w:hAnsi="Arial" w:cs="Arial"/>
          <w:i/>
          <w:iCs/>
          <w:kern w:val="0"/>
          <w:sz w:val="20"/>
          <w:szCs w:val="20"/>
        </w:rPr>
        <w:t>Illustrative Handbook of General Surgery</w:t>
      </w:r>
      <w:r w:rsidRPr="006C5C8C">
        <w:rPr>
          <w:rFonts w:ascii="Arial" w:hAnsi="Arial" w:cs="Arial"/>
          <w:kern w:val="0"/>
          <w:sz w:val="20"/>
          <w:szCs w:val="20"/>
        </w:rPr>
        <w:t xml:space="preserve"> (pp. 487-497). Cham: Springer Nature        </w:t>
      </w:r>
    </w:p>
    <w:p w14:paraId="45EC6461" w14:textId="77777777"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Switzerland. </w:t>
      </w:r>
      <w:hyperlink r:id="rId45" w:history="1">
        <w:r w:rsidRPr="006C5C8C">
          <w:rPr>
            <w:rStyle w:val="Hyperlink"/>
            <w:rFonts w:ascii="Arial" w:hAnsi="Arial" w:cs="Arial"/>
            <w:kern w:val="0"/>
            <w:sz w:val="20"/>
            <w:szCs w:val="20"/>
          </w:rPr>
          <w:t>https://doi.org/10.1007/978-3-031-63878-7_40</w:t>
        </w:r>
      </w:hyperlink>
    </w:p>
    <w:p w14:paraId="18D3C4CB"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[6] Wang, K., Jin, X., Zhou, J., Wang, Z., and Zhang, X. (2024). Differences in the diagnosis </w:t>
      </w:r>
    </w:p>
    <w:p w14:paraId="0F315446" w14:textId="2C1A0E8C"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and treatment of patients with early-stage hepatocellular liver cancer by multi-row spiral </w:t>
      </w:r>
    </w:p>
    <w:p w14:paraId="727AC191" w14:textId="7EACE41A" w:rsidR="006C5C8C" w:rsidRPr="006C5C8C" w:rsidRDefault="006C5C8C" w:rsidP="006C5C8C">
      <w:pPr>
        <w:widowControl w:val="0"/>
        <w:autoSpaceDE w:val="0"/>
        <w:autoSpaceDN w:val="0"/>
        <w:adjustRightInd w:val="0"/>
        <w:spacing w:after="0" w:line="240" w:lineRule="auto"/>
        <w:ind w:left="360"/>
        <w:jc w:val="both"/>
        <w:rPr>
          <w:rFonts w:ascii="Arial" w:hAnsi="Arial" w:cs="Arial"/>
          <w:i/>
          <w:iCs/>
          <w:kern w:val="0"/>
          <w:sz w:val="20"/>
          <w:szCs w:val="20"/>
        </w:rPr>
      </w:pPr>
      <w:r w:rsidRPr="006C5C8C">
        <w:rPr>
          <w:rFonts w:ascii="Arial" w:hAnsi="Arial" w:cs="Arial"/>
          <w:kern w:val="0"/>
          <w:sz w:val="20"/>
          <w:szCs w:val="20"/>
        </w:rPr>
        <w:t xml:space="preserve">      CTMDCT and Gd-EOB-DTPA-enhanced MRI. </w:t>
      </w:r>
      <w:r w:rsidRPr="006C5C8C">
        <w:rPr>
          <w:rFonts w:ascii="Arial" w:hAnsi="Arial" w:cs="Arial"/>
          <w:i/>
          <w:iCs/>
          <w:kern w:val="0"/>
          <w:sz w:val="20"/>
          <w:szCs w:val="20"/>
        </w:rPr>
        <w:t xml:space="preserve">Alternative Therapies in Health and </w:t>
      </w:r>
    </w:p>
    <w:p w14:paraId="6A60C418" w14:textId="49B7B214"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w:t>
      </w:r>
      <w:r w:rsidRPr="006C5C8C">
        <w:rPr>
          <w:rFonts w:ascii="Arial" w:hAnsi="Arial" w:cs="Arial"/>
          <w:i/>
          <w:iCs/>
          <w:kern w:val="0"/>
          <w:sz w:val="20"/>
          <w:szCs w:val="20"/>
        </w:rPr>
        <w:t>Medicine</w:t>
      </w:r>
      <w:r w:rsidRPr="006C5C8C">
        <w:rPr>
          <w:rFonts w:ascii="Arial" w:hAnsi="Arial" w:cs="Arial"/>
          <w:kern w:val="0"/>
          <w:sz w:val="20"/>
          <w:szCs w:val="20"/>
        </w:rPr>
        <w:t>, </w:t>
      </w:r>
      <w:r w:rsidRPr="006C5C8C">
        <w:rPr>
          <w:rFonts w:ascii="Arial" w:hAnsi="Arial" w:cs="Arial"/>
          <w:i/>
          <w:iCs/>
          <w:kern w:val="0"/>
          <w:sz w:val="20"/>
          <w:szCs w:val="20"/>
        </w:rPr>
        <w:t>30</w:t>
      </w:r>
      <w:r w:rsidRPr="006C5C8C">
        <w:rPr>
          <w:rFonts w:ascii="Arial" w:hAnsi="Arial" w:cs="Arial"/>
          <w:kern w:val="0"/>
          <w:sz w:val="20"/>
          <w:szCs w:val="20"/>
        </w:rPr>
        <w:t xml:space="preserve">(1). </w:t>
      </w:r>
      <w:hyperlink r:id="rId46" w:history="1">
        <w:r w:rsidRPr="006C5C8C">
          <w:rPr>
            <w:rStyle w:val="Hyperlink"/>
            <w:rFonts w:ascii="Arial" w:hAnsi="Arial" w:cs="Arial"/>
            <w:kern w:val="0"/>
            <w:sz w:val="20"/>
            <w:szCs w:val="20"/>
          </w:rPr>
          <w:t>https://doi.org/10.3892/ol.2024.14729</w:t>
        </w:r>
      </w:hyperlink>
    </w:p>
    <w:p w14:paraId="1D4FC6A1" w14:textId="77777777" w:rsidR="006C5C8C" w:rsidRPr="006C5C8C" w:rsidRDefault="006C5C8C" w:rsidP="006C5C8C">
      <w:pPr>
        <w:widowControl w:val="0"/>
        <w:autoSpaceDE w:val="0"/>
        <w:autoSpaceDN w:val="0"/>
        <w:adjustRightInd w:val="0"/>
        <w:spacing w:after="0" w:line="240" w:lineRule="auto"/>
        <w:jc w:val="both"/>
        <w:rPr>
          <w:rFonts w:ascii="Arial" w:hAnsi="Arial" w:cs="Arial"/>
          <w:kern w:val="0"/>
          <w:sz w:val="20"/>
          <w:szCs w:val="20"/>
        </w:rPr>
      </w:pPr>
      <w:r w:rsidRPr="006C5C8C">
        <w:rPr>
          <w:rFonts w:ascii="Arial" w:hAnsi="Arial" w:cs="Arial"/>
          <w:kern w:val="0"/>
          <w:sz w:val="20"/>
          <w:szCs w:val="20"/>
        </w:rPr>
        <w:t xml:space="preserve">      [7] Lee, D. H., Kim, B., Lee, J. M., Lee, E. S., Choi, M. H., and Kim, H. (2022). Multidetector </w:t>
      </w:r>
    </w:p>
    <w:p w14:paraId="1883D646" w14:textId="27379431" w:rsidR="006C5C8C" w:rsidRPr="006C5C8C" w:rsidRDefault="006C5C8C" w:rsidP="006C5C8C">
      <w:pPr>
        <w:widowControl w:val="0"/>
        <w:autoSpaceDE w:val="0"/>
        <w:autoSpaceDN w:val="0"/>
        <w:adjustRightInd w:val="0"/>
        <w:spacing w:after="0" w:line="240" w:lineRule="auto"/>
        <w:jc w:val="both"/>
        <w:rPr>
          <w:rFonts w:ascii="Arial" w:hAnsi="Arial" w:cs="Arial"/>
          <w:kern w:val="0"/>
          <w:sz w:val="20"/>
          <w:szCs w:val="20"/>
        </w:rPr>
      </w:pPr>
      <w:r w:rsidRPr="006C5C8C">
        <w:rPr>
          <w:rFonts w:ascii="Arial" w:hAnsi="Arial" w:cs="Arial"/>
          <w:kern w:val="0"/>
          <w:sz w:val="20"/>
          <w:szCs w:val="20"/>
        </w:rPr>
        <w:t xml:space="preserve">           CT of extrahepatic bile duct cancer: Diagnostic performance of tumor </w:t>
      </w:r>
      <w:proofErr w:type="spellStart"/>
      <w:r w:rsidRPr="006C5C8C">
        <w:rPr>
          <w:rFonts w:ascii="Arial" w:hAnsi="Arial" w:cs="Arial"/>
          <w:kern w:val="0"/>
          <w:sz w:val="20"/>
          <w:szCs w:val="20"/>
        </w:rPr>
        <w:t>resectability</w:t>
      </w:r>
      <w:proofErr w:type="spellEnd"/>
      <w:r w:rsidRPr="006C5C8C">
        <w:rPr>
          <w:rFonts w:ascii="Arial" w:hAnsi="Arial" w:cs="Arial"/>
          <w:kern w:val="0"/>
          <w:sz w:val="20"/>
          <w:szCs w:val="20"/>
        </w:rPr>
        <w:t xml:space="preserve"> and </w:t>
      </w:r>
    </w:p>
    <w:p w14:paraId="14BFEF5C" w14:textId="1A3CD6FF" w:rsidR="006C5C8C" w:rsidRPr="006C5C8C" w:rsidRDefault="006C5C8C" w:rsidP="006C5C8C">
      <w:pPr>
        <w:widowControl w:val="0"/>
        <w:autoSpaceDE w:val="0"/>
        <w:autoSpaceDN w:val="0"/>
        <w:adjustRightInd w:val="0"/>
        <w:spacing w:line="240" w:lineRule="auto"/>
        <w:jc w:val="both"/>
        <w:rPr>
          <w:rFonts w:ascii="Arial" w:hAnsi="Arial" w:cs="Arial"/>
          <w:kern w:val="0"/>
          <w:sz w:val="20"/>
          <w:szCs w:val="20"/>
        </w:rPr>
      </w:pPr>
      <w:r w:rsidRPr="006C5C8C">
        <w:rPr>
          <w:rFonts w:ascii="Arial" w:hAnsi="Arial" w:cs="Arial"/>
          <w:kern w:val="0"/>
          <w:sz w:val="20"/>
          <w:szCs w:val="20"/>
        </w:rPr>
        <w:t xml:space="preserve">           </w:t>
      </w:r>
      <w:proofErr w:type="spellStart"/>
      <w:r w:rsidRPr="006C5C8C">
        <w:rPr>
          <w:rFonts w:ascii="Arial" w:hAnsi="Arial" w:cs="Arial"/>
          <w:kern w:val="0"/>
          <w:sz w:val="20"/>
          <w:szCs w:val="20"/>
        </w:rPr>
        <w:t>interreader</w:t>
      </w:r>
      <w:proofErr w:type="spellEnd"/>
      <w:r w:rsidRPr="006C5C8C">
        <w:rPr>
          <w:rFonts w:ascii="Arial" w:hAnsi="Arial" w:cs="Arial"/>
          <w:kern w:val="0"/>
          <w:sz w:val="20"/>
          <w:szCs w:val="20"/>
        </w:rPr>
        <w:t xml:space="preserve"> agreement. </w:t>
      </w:r>
      <w:r w:rsidRPr="006C5C8C">
        <w:rPr>
          <w:rFonts w:ascii="Arial" w:hAnsi="Arial" w:cs="Arial"/>
          <w:i/>
          <w:iCs/>
          <w:kern w:val="0"/>
          <w:sz w:val="20"/>
          <w:szCs w:val="20"/>
        </w:rPr>
        <w:t>Radiology</w:t>
      </w:r>
      <w:r w:rsidRPr="006C5C8C">
        <w:rPr>
          <w:rFonts w:ascii="Arial" w:hAnsi="Arial" w:cs="Arial"/>
          <w:kern w:val="0"/>
          <w:sz w:val="20"/>
          <w:szCs w:val="20"/>
        </w:rPr>
        <w:t>, </w:t>
      </w:r>
      <w:r w:rsidRPr="006C5C8C">
        <w:rPr>
          <w:rFonts w:ascii="Arial" w:hAnsi="Arial" w:cs="Arial"/>
          <w:i/>
          <w:iCs/>
          <w:kern w:val="0"/>
          <w:sz w:val="20"/>
          <w:szCs w:val="20"/>
        </w:rPr>
        <w:t>304</w:t>
      </w:r>
      <w:r w:rsidRPr="006C5C8C">
        <w:rPr>
          <w:rFonts w:ascii="Arial" w:hAnsi="Arial" w:cs="Arial"/>
          <w:kern w:val="0"/>
          <w:sz w:val="20"/>
          <w:szCs w:val="20"/>
        </w:rPr>
        <w:t xml:space="preserve">(1), 96-105. </w:t>
      </w:r>
      <w:hyperlink r:id="rId47" w:history="1">
        <w:r w:rsidRPr="006C5C8C">
          <w:rPr>
            <w:rStyle w:val="Hyperlink"/>
            <w:rFonts w:ascii="Arial" w:hAnsi="Arial" w:cs="Arial"/>
            <w:kern w:val="0"/>
            <w:sz w:val="20"/>
            <w:szCs w:val="20"/>
          </w:rPr>
          <w:t>https://doi.org/10.1148/radiol.212132</w:t>
        </w:r>
      </w:hyperlink>
    </w:p>
    <w:p w14:paraId="224E4B2E"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[8] </w:t>
      </w:r>
      <w:proofErr w:type="spellStart"/>
      <w:r w:rsidRPr="006C5C8C">
        <w:rPr>
          <w:rFonts w:ascii="Arial" w:hAnsi="Arial" w:cs="Arial"/>
          <w:kern w:val="0"/>
          <w:sz w:val="20"/>
          <w:szCs w:val="20"/>
        </w:rPr>
        <w:t>Fancellu</w:t>
      </w:r>
      <w:proofErr w:type="spellEnd"/>
      <w:r w:rsidRPr="006C5C8C">
        <w:rPr>
          <w:rFonts w:ascii="Arial" w:hAnsi="Arial" w:cs="Arial"/>
          <w:kern w:val="0"/>
          <w:sz w:val="20"/>
          <w:szCs w:val="20"/>
        </w:rPr>
        <w:t xml:space="preserve">, A., Sanna, V., Deiana, G., </w:t>
      </w:r>
      <w:proofErr w:type="spellStart"/>
      <w:r w:rsidRPr="006C5C8C">
        <w:rPr>
          <w:rFonts w:ascii="Arial" w:hAnsi="Arial" w:cs="Arial"/>
          <w:kern w:val="0"/>
          <w:sz w:val="20"/>
          <w:szCs w:val="20"/>
        </w:rPr>
        <w:t>Ninniri</w:t>
      </w:r>
      <w:proofErr w:type="spellEnd"/>
      <w:r w:rsidRPr="006C5C8C">
        <w:rPr>
          <w:rFonts w:ascii="Arial" w:hAnsi="Arial" w:cs="Arial"/>
          <w:kern w:val="0"/>
          <w:sz w:val="20"/>
          <w:szCs w:val="20"/>
        </w:rPr>
        <w:t xml:space="preserve">, C., Turilli, D., Perra, T., and Porcu, A. (2021). </w:t>
      </w:r>
    </w:p>
    <w:p w14:paraId="30A6E460" w14:textId="2B10BB25"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Current role of </w:t>
      </w:r>
      <w:proofErr w:type="spellStart"/>
      <w:r w:rsidRPr="006C5C8C">
        <w:rPr>
          <w:rFonts w:ascii="Arial" w:hAnsi="Arial" w:cs="Arial"/>
          <w:kern w:val="0"/>
          <w:sz w:val="20"/>
          <w:szCs w:val="20"/>
        </w:rPr>
        <w:t>hepatopancreatoduodenectomy</w:t>
      </w:r>
      <w:proofErr w:type="spellEnd"/>
      <w:r w:rsidRPr="006C5C8C">
        <w:rPr>
          <w:rFonts w:ascii="Arial" w:hAnsi="Arial" w:cs="Arial"/>
          <w:kern w:val="0"/>
          <w:sz w:val="20"/>
          <w:szCs w:val="20"/>
        </w:rPr>
        <w:t xml:space="preserve"> for the management of gallbladder cancer  </w:t>
      </w:r>
    </w:p>
    <w:p w14:paraId="0D94075A" w14:textId="3BE8515C" w:rsidR="006C5C8C" w:rsidRPr="006C5C8C" w:rsidRDefault="006C5C8C" w:rsidP="006C5C8C">
      <w:pPr>
        <w:widowControl w:val="0"/>
        <w:autoSpaceDE w:val="0"/>
        <w:autoSpaceDN w:val="0"/>
        <w:adjustRightInd w:val="0"/>
        <w:spacing w:after="0" w:line="240" w:lineRule="auto"/>
        <w:ind w:left="360"/>
        <w:jc w:val="both"/>
        <w:rPr>
          <w:rFonts w:ascii="Arial" w:hAnsi="Arial" w:cs="Arial"/>
          <w:i/>
          <w:iCs/>
          <w:kern w:val="0"/>
          <w:sz w:val="20"/>
          <w:szCs w:val="20"/>
        </w:rPr>
      </w:pPr>
      <w:r w:rsidRPr="006C5C8C">
        <w:rPr>
          <w:rFonts w:ascii="Arial" w:hAnsi="Arial" w:cs="Arial"/>
          <w:kern w:val="0"/>
          <w:sz w:val="20"/>
          <w:szCs w:val="20"/>
        </w:rPr>
        <w:t xml:space="preserve">     and extrahepatic cholangiocarcinoma: A systematic review. </w:t>
      </w:r>
      <w:r w:rsidRPr="006C5C8C">
        <w:rPr>
          <w:rFonts w:ascii="Arial" w:hAnsi="Arial" w:cs="Arial"/>
          <w:i/>
          <w:iCs/>
          <w:kern w:val="0"/>
          <w:sz w:val="20"/>
          <w:szCs w:val="20"/>
        </w:rPr>
        <w:t xml:space="preserve">World Journal of  </w:t>
      </w:r>
    </w:p>
    <w:p w14:paraId="02EABE52" w14:textId="5A8604DF"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i/>
          <w:iCs/>
          <w:kern w:val="0"/>
          <w:sz w:val="20"/>
          <w:szCs w:val="20"/>
        </w:rPr>
        <w:t xml:space="preserve">     Gastrointestinal Oncology</w:t>
      </w:r>
      <w:r w:rsidRPr="006C5C8C">
        <w:rPr>
          <w:rFonts w:ascii="Arial" w:hAnsi="Arial" w:cs="Arial"/>
          <w:kern w:val="0"/>
          <w:sz w:val="20"/>
          <w:szCs w:val="20"/>
        </w:rPr>
        <w:t>, </w:t>
      </w:r>
      <w:r w:rsidRPr="006C5C8C">
        <w:rPr>
          <w:rFonts w:ascii="Arial" w:hAnsi="Arial" w:cs="Arial"/>
          <w:i/>
          <w:iCs/>
          <w:kern w:val="0"/>
          <w:sz w:val="20"/>
          <w:szCs w:val="20"/>
        </w:rPr>
        <w:t>13</w:t>
      </w:r>
      <w:r w:rsidRPr="006C5C8C">
        <w:rPr>
          <w:rFonts w:ascii="Arial" w:hAnsi="Arial" w:cs="Arial"/>
          <w:kern w:val="0"/>
          <w:sz w:val="20"/>
          <w:szCs w:val="20"/>
        </w:rPr>
        <w:t xml:space="preserve">(6), 625. </w:t>
      </w:r>
      <w:hyperlink r:id="rId48" w:history="1">
        <w:r w:rsidRPr="006C5C8C">
          <w:rPr>
            <w:rStyle w:val="Hyperlink"/>
            <w:rFonts w:ascii="Arial" w:hAnsi="Arial" w:cs="Arial"/>
            <w:kern w:val="0"/>
            <w:sz w:val="20"/>
            <w:szCs w:val="20"/>
          </w:rPr>
          <w:t>https://doi.org/10.4251/wjgo.v13.i6.625</w:t>
        </w:r>
      </w:hyperlink>
    </w:p>
    <w:p w14:paraId="0294133B"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[9] Melo-Alvim, C., Neves, M. E., Santos, J. L., Abrunhosa-</w:t>
      </w:r>
      <w:proofErr w:type="spellStart"/>
      <w:r w:rsidRPr="006C5C8C">
        <w:rPr>
          <w:rFonts w:ascii="Arial" w:hAnsi="Arial" w:cs="Arial"/>
          <w:kern w:val="0"/>
          <w:sz w:val="20"/>
          <w:szCs w:val="20"/>
        </w:rPr>
        <w:t>Branquinho</w:t>
      </w:r>
      <w:proofErr w:type="spellEnd"/>
      <w:r w:rsidRPr="006C5C8C">
        <w:rPr>
          <w:rFonts w:ascii="Arial" w:hAnsi="Arial" w:cs="Arial"/>
          <w:kern w:val="0"/>
          <w:sz w:val="20"/>
          <w:szCs w:val="20"/>
        </w:rPr>
        <w:t xml:space="preserve">, A. N., Barroso, T., </w:t>
      </w:r>
    </w:p>
    <w:p w14:paraId="05B25DD6" w14:textId="6275BFAB"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Costa, L., and Ribeiro, L. (2022). Radiotherapy, chemotherapy and immunotherapy—</w:t>
      </w:r>
    </w:p>
    <w:p w14:paraId="26C682FA" w14:textId="5A46E919"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current practice and future perspectives for recurrent/metastatic oral cavity squamous cell </w:t>
      </w:r>
    </w:p>
    <w:p w14:paraId="289B716D" w14:textId="77777777"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carcinoma. </w:t>
      </w:r>
      <w:r w:rsidRPr="006C5C8C">
        <w:rPr>
          <w:rFonts w:ascii="Arial" w:hAnsi="Arial" w:cs="Arial"/>
          <w:i/>
          <w:iCs/>
          <w:kern w:val="0"/>
          <w:sz w:val="20"/>
          <w:szCs w:val="20"/>
        </w:rPr>
        <w:t>Diagnostics</w:t>
      </w:r>
      <w:r w:rsidRPr="006C5C8C">
        <w:rPr>
          <w:rFonts w:ascii="Arial" w:hAnsi="Arial" w:cs="Arial"/>
          <w:kern w:val="0"/>
          <w:sz w:val="20"/>
          <w:szCs w:val="20"/>
        </w:rPr>
        <w:t>, </w:t>
      </w:r>
      <w:r w:rsidRPr="006C5C8C">
        <w:rPr>
          <w:rFonts w:ascii="Arial" w:hAnsi="Arial" w:cs="Arial"/>
          <w:i/>
          <w:iCs/>
          <w:kern w:val="0"/>
          <w:sz w:val="20"/>
          <w:szCs w:val="20"/>
        </w:rPr>
        <w:t>13</w:t>
      </w:r>
      <w:r w:rsidRPr="006C5C8C">
        <w:rPr>
          <w:rFonts w:ascii="Arial" w:hAnsi="Arial" w:cs="Arial"/>
          <w:kern w:val="0"/>
          <w:sz w:val="20"/>
          <w:szCs w:val="20"/>
        </w:rPr>
        <w:t xml:space="preserve">(1), 99. </w:t>
      </w:r>
      <w:hyperlink r:id="rId49" w:history="1">
        <w:r w:rsidRPr="006C5C8C">
          <w:rPr>
            <w:rStyle w:val="Hyperlink"/>
            <w:rFonts w:ascii="Arial" w:hAnsi="Arial" w:cs="Arial"/>
            <w:kern w:val="0"/>
            <w:sz w:val="20"/>
            <w:szCs w:val="20"/>
          </w:rPr>
          <w:t>https://doi.org/10.3390/diagnostics13010099</w:t>
        </w:r>
      </w:hyperlink>
    </w:p>
    <w:p w14:paraId="6E5B1CA1"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[10] Goyal, L., </w:t>
      </w:r>
      <w:proofErr w:type="spellStart"/>
      <w:r w:rsidRPr="006C5C8C">
        <w:rPr>
          <w:rFonts w:ascii="Arial" w:hAnsi="Arial" w:cs="Arial"/>
          <w:kern w:val="0"/>
          <w:sz w:val="20"/>
          <w:szCs w:val="20"/>
        </w:rPr>
        <w:t>Kongpetch</w:t>
      </w:r>
      <w:proofErr w:type="spellEnd"/>
      <w:r w:rsidRPr="006C5C8C">
        <w:rPr>
          <w:rFonts w:ascii="Arial" w:hAnsi="Arial" w:cs="Arial"/>
          <w:kern w:val="0"/>
          <w:sz w:val="20"/>
          <w:szCs w:val="20"/>
        </w:rPr>
        <w:t xml:space="preserve">, S., Crolley, V. E., and Bridgewater, J. (2021). Targeting FGFR </w:t>
      </w:r>
    </w:p>
    <w:p w14:paraId="38662D42"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inhibition in cholangiocarcinoma. </w:t>
      </w:r>
      <w:r w:rsidRPr="006C5C8C">
        <w:rPr>
          <w:rFonts w:ascii="Arial" w:hAnsi="Arial" w:cs="Arial"/>
          <w:i/>
          <w:iCs/>
          <w:kern w:val="0"/>
          <w:sz w:val="20"/>
          <w:szCs w:val="20"/>
        </w:rPr>
        <w:t>Cancer Treatment Reviews</w:t>
      </w:r>
      <w:r w:rsidRPr="006C5C8C">
        <w:rPr>
          <w:rFonts w:ascii="Arial" w:hAnsi="Arial" w:cs="Arial"/>
          <w:kern w:val="0"/>
          <w:sz w:val="20"/>
          <w:szCs w:val="20"/>
        </w:rPr>
        <w:t>, </w:t>
      </w:r>
      <w:r w:rsidRPr="006C5C8C">
        <w:rPr>
          <w:rFonts w:ascii="Arial" w:hAnsi="Arial" w:cs="Arial"/>
          <w:i/>
          <w:iCs/>
          <w:kern w:val="0"/>
          <w:sz w:val="20"/>
          <w:szCs w:val="20"/>
        </w:rPr>
        <w:t>95</w:t>
      </w:r>
      <w:r w:rsidRPr="006C5C8C">
        <w:rPr>
          <w:rFonts w:ascii="Arial" w:hAnsi="Arial" w:cs="Arial"/>
          <w:kern w:val="0"/>
          <w:sz w:val="20"/>
          <w:szCs w:val="20"/>
        </w:rPr>
        <w:t xml:space="preserve">, 102170. </w:t>
      </w:r>
    </w:p>
    <w:p w14:paraId="42E31A43" w14:textId="19D520CD"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w:t>
      </w:r>
      <w:hyperlink r:id="rId50" w:history="1">
        <w:r w:rsidRPr="00506711">
          <w:rPr>
            <w:rStyle w:val="Hyperlink"/>
            <w:rFonts w:ascii="Arial" w:hAnsi="Arial" w:cs="Arial"/>
            <w:kern w:val="0"/>
            <w:sz w:val="20"/>
            <w:szCs w:val="20"/>
          </w:rPr>
          <w:t>https://doi.org/10.1016/j.ctrv.2021.102170</w:t>
        </w:r>
      </w:hyperlink>
    </w:p>
    <w:p w14:paraId="1D735BA7"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[11] Krook, M. A., Reeser, J. W., Ernst, G., Barker, H., Wilberding, M., Li, G., ... and </w:t>
      </w:r>
    </w:p>
    <w:p w14:paraId="6D8FCAF1" w14:textId="09A55CCA"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Roychowdhury, S. (2021). Fibroblast growth factor receptors in cancer: Genetic </w:t>
      </w:r>
    </w:p>
    <w:p w14:paraId="40695F02" w14:textId="27E55533" w:rsidR="006C5C8C" w:rsidRPr="006C5C8C" w:rsidRDefault="006C5C8C" w:rsidP="006C5C8C">
      <w:pPr>
        <w:widowControl w:val="0"/>
        <w:autoSpaceDE w:val="0"/>
        <w:autoSpaceDN w:val="0"/>
        <w:adjustRightInd w:val="0"/>
        <w:spacing w:after="0" w:line="240" w:lineRule="auto"/>
        <w:ind w:left="360"/>
        <w:jc w:val="both"/>
        <w:rPr>
          <w:rFonts w:ascii="Arial" w:hAnsi="Arial" w:cs="Arial"/>
          <w:i/>
          <w:iCs/>
          <w:kern w:val="0"/>
          <w:sz w:val="20"/>
          <w:szCs w:val="20"/>
        </w:rPr>
      </w:pPr>
      <w:r w:rsidRPr="006C5C8C">
        <w:rPr>
          <w:rFonts w:ascii="Arial" w:hAnsi="Arial" w:cs="Arial"/>
          <w:kern w:val="0"/>
          <w:sz w:val="20"/>
          <w:szCs w:val="20"/>
        </w:rPr>
        <w:t xml:space="preserve">       alterations, diagnostics, therapeutic targets and mechanisms of resistance. </w:t>
      </w:r>
      <w:r w:rsidRPr="006C5C8C">
        <w:rPr>
          <w:rFonts w:ascii="Arial" w:hAnsi="Arial" w:cs="Arial"/>
          <w:i/>
          <w:iCs/>
          <w:kern w:val="0"/>
          <w:sz w:val="20"/>
          <w:szCs w:val="20"/>
        </w:rPr>
        <w:t xml:space="preserve">British Journal </w:t>
      </w:r>
    </w:p>
    <w:p w14:paraId="256EB974" w14:textId="240258A0"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i/>
          <w:iCs/>
          <w:kern w:val="0"/>
          <w:sz w:val="20"/>
          <w:szCs w:val="20"/>
        </w:rPr>
        <w:t xml:space="preserve">       of Cancer</w:t>
      </w:r>
      <w:r w:rsidRPr="006C5C8C">
        <w:rPr>
          <w:rFonts w:ascii="Arial" w:hAnsi="Arial" w:cs="Arial"/>
          <w:kern w:val="0"/>
          <w:sz w:val="20"/>
          <w:szCs w:val="20"/>
        </w:rPr>
        <w:t>, </w:t>
      </w:r>
      <w:r w:rsidRPr="006C5C8C">
        <w:rPr>
          <w:rFonts w:ascii="Arial" w:hAnsi="Arial" w:cs="Arial"/>
          <w:i/>
          <w:iCs/>
          <w:kern w:val="0"/>
          <w:sz w:val="20"/>
          <w:szCs w:val="20"/>
        </w:rPr>
        <w:t>124</w:t>
      </w:r>
      <w:r w:rsidRPr="006C5C8C">
        <w:rPr>
          <w:rFonts w:ascii="Arial" w:hAnsi="Arial" w:cs="Arial"/>
          <w:kern w:val="0"/>
          <w:sz w:val="20"/>
          <w:szCs w:val="20"/>
        </w:rPr>
        <w:t xml:space="preserve">(5), 880-892. </w:t>
      </w:r>
      <w:hyperlink r:id="rId51" w:history="1">
        <w:r w:rsidRPr="006C5C8C">
          <w:rPr>
            <w:rStyle w:val="Hyperlink"/>
            <w:rFonts w:ascii="Arial" w:hAnsi="Arial" w:cs="Arial"/>
            <w:kern w:val="0"/>
            <w:sz w:val="20"/>
            <w:szCs w:val="20"/>
          </w:rPr>
          <w:t>https://doi.org/10.1038/s41416-020-01157-0</w:t>
        </w:r>
      </w:hyperlink>
    </w:p>
    <w:p w14:paraId="23CD55EF"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[12] Marseglia, G., </w:t>
      </w:r>
      <w:proofErr w:type="spellStart"/>
      <w:r w:rsidRPr="006C5C8C">
        <w:rPr>
          <w:rFonts w:ascii="Arial" w:hAnsi="Arial" w:cs="Arial"/>
          <w:kern w:val="0"/>
          <w:sz w:val="20"/>
          <w:szCs w:val="20"/>
        </w:rPr>
        <w:t>Lodola</w:t>
      </w:r>
      <w:proofErr w:type="spellEnd"/>
      <w:r w:rsidRPr="006C5C8C">
        <w:rPr>
          <w:rFonts w:ascii="Arial" w:hAnsi="Arial" w:cs="Arial"/>
          <w:kern w:val="0"/>
          <w:sz w:val="20"/>
          <w:szCs w:val="20"/>
        </w:rPr>
        <w:t xml:space="preserve">, A., Mor, M., and Castelli, R. (2019). Fibroblast growth factor  </w:t>
      </w:r>
    </w:p>
    <w:p w14:paraId="17666D8B" w14:textId="3E605630" w:rsidR="006C5C8C" w:rsidRPr="006C5C8C" w:rsidRDefault="006C5C8C" w:rsidP="006C5C8C">
      <w:pPr>
        <w:widowControl w:val="0"/>
        <w:autoSpaceDE w:val="0"/>
        <w:autoSpaceDN w:val="0"/>
        <w:adjustRightInd w:val="0"/>
        <w:spacing w:after="0" w:line="240" w:lineRule="auto"/>
        <w:ind w:left="360"/>
        <w:jc w:val="both"/>
        <w:rPr>
          <w:rFonts w:ascii="Arial" w:hAnsi="Arial" w:cs="Arial"/>
          <w:i/>
          <w:iCs/>
          <w:kern w:val="0"/>
          <w:sz w:val="20"/>
          <w:szCs w:val="20"/>
        </w:rPr>
      </w:pPr>
      <w:r w:rsidRPr="006C5C8C">
        <w:rPr>
          <w:rFonts w:ascii="Arial" w:hAnsi="Arial" w:cs="Arial"/>
          <w:kern w:val="0"/>
          <w:sz w:val="20"/>
          <w:szCs w:val="20"/>
        </w:rPr>
        <w:t xml:space="preserve">       </w:t>
      </w:r>
      <w:r>
        <w:rPr>
          <w:rFonts w:ascii="Arial" w:hAnsi="Arial" w:cs="Arial"/>
          <w:kern w:val="0"/>
          <w:sz w:val="20"/>
          <w:szCs w:val="20"/>
        </w:rPr>
        <w:t xml:space="preserve"> </w:t>
      </w:r>
      <w:r w:rsidRPr="006C5C8C">
        <w:rPr>
          <w:rFonts w:ascii="Arial" w:hAnsi="Arial" w:cs="Arial"/>
          <w:kern w:val="0"/>
          <w:sz w:val="20"/>
          <w:szCs w:val="20"/>
        </w:rPr>
        <w:t>receptor inhibitors: Patent review (2015–2019). </w:t>
      </w:r>
      <w:r w:rsidRPr="006C5C8C">
        <w:rPr>
          <w:rFonts w:ascii="Arial" w:hAnsi="Arial" w:cs="Arial"/>
          <w:i/>
          <w:iCs/>
          <w:kern w:val="0"/>
          <w:sz w:val="20"/>
          <w:szCs w:val="20"/>
        </w:rPr>
        <w:t xml:space="preserve">Expert Opinion on Therapeutic </w:t>
      </w:r>
    </w:p>
    <w:p w14:paraId="4F853E6B" w14:textId="10D7453C"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i/>
          <w:iCs/>
          <w:kern w:val="0"/>
          <w:sz w:val="20"/>
          <w:szCs w:val="20"/>
        </w:rPr>
        <w:t xml:space="preserve">        Patents</w:t>
      </w:r>
      <w:r w:rsidRPr="006C5C8C">
        <w:rPr>
          <w:rFonts w:ascii="Arial" w:hAnsi="Arial" w:cs="Arial"/>
          <w:kern w:val="0"/>
          <w:sz w:val="20"/>
          <w:szCs w:val="20"/>
        </w:rPr>
        <w:t>, </w:t>
      </w:r>
      <w:r w:rsidRPr="006C5C8C">
        <w:rPr>
          <w:rFonts w:ascii="Arial" w:hAnsi="Arial" w:cs="Arial"/>
          <w:i/>
          <w:iCs/>
          <w:kern w:val="0"/>
          <w:sz w:val="20"/>
          <w:szCs w:val="20"/>
        </w:rPr>
        <w:t>29</w:t>
      </w:r>
      <w:r w:rsidRPr="006C5C8C">
        <w:rPr>
          <w:rFonts w:ascii="Arial" w:hAnsi="Arial" w:cs="Arial"/>
          <w:kern w:val="0"/>
          <w:sz w:val="20"/>
          <w:szCs w:val="20"/>
        </w:rPr>
        <w:t xml:space="preserve">(12), 965-977. </w:t>
      </w:r>
      <w:hyperlink r:id="rId52" w:history="1">
        <w:r w:rsidRPr="006C5C8C">
          <w:rPr>
            <w:rStyle w:val="Hyperlink"/>
            <w:rFonts w:ascii="Arial" w:hAnsi="Arial" w:cs="Arial"/>
            <w:kern w:val="0"/>
            <w:sz w:val="20"/>
            <w:szCs w:val="20"/>
          </w:rPr>
          <w:t>https://doi.org/10.1080/13543776.2019.1688300</w:t>
        </w:r>
      </w:hyperlink>
    </w:p>
    <w:p w14:paraId="45B86F4E"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[13] Agrawal, S., Maity, S., </w:t>
      </w:r>
      <w:proofErr w:type="spellStart"/>
      <w:r w:rsidRPr="006C5C8C">
        <w:rPr>
          <w:rFonts w:ascii="Arial" w:hAnsi="Arial" w:cs="Arial"/>
          <w:kern w:val="0"/>
          <w:sz w:val="20"/>
          <w:szCs w:val="20"/>
        </w:rPr>
        <w:t>AlRaawi</w:t>
      </w:r>
      <w:proofErr w:type="spellEnd"/>
      <w:r w:rsidRPr="006C5C8C">
        <w:rPr>
          <w:rFonts w:ascii="Arial" w:hAnsi="Arial" w:cs="Arial"/>
          <w:kern w:val="0"/>
          <w:sz w:val="20"/>
          <w:szCs w:val="20"/>
        </w:rPr>
        <w:t xml:space="preserve">, Z., Al-Ameer, M., and Kumar, T. K. S. (2021). Targeting </w:t>
      </w:r>
    </w:p>
    <w:p w14:paraId="4F92D468" w14:textId="2D87C173" w:rsidR="006C5C8C" w:rsidRPr="006C5C8C" w:rsidRDefault="006C5C8C" w:rsidP="006C5C8C">
      <w:pPr>
        <w:widowControl w:val="0"/>
        <w:autoSpaceDE w:val="0"/>
        <w:autoSpaceDN w:val="0"/>
        <w:adjustRightInd w:val="0"/>
        <w:spacing w:after="0" w:line="240" w:lineRule="auto"/>
        <w:ind w:left="360"/>
        <w:jc w:val="both"/>
        <w:rPr>
          <w:rFonts w:ascii="Arial" w:hAnsi="Arial" w:cs="Arial"/>
          <w:i/>
          <w:iCs/>
          <w:kern w:val="0"/>
          <w:sz w:val="20"/>
          <w:szCs w:val="20"/>
        </w:rPr>
      </w:pPr>
      <w:r w:rsidRPr="006C5C8C">
        <w:rPr>
          <w:rFonts w:ascii="Arial" w:hAnsi="Arial" w:cs="Arial"/>
          <w:kern w:val="0"/>
          <w:sz w:val="20"/>
          <w:szCs w:val="20"/>
        </w:rPr>
        <w:t xml:space="preserve">       drugs against fibroblast growth factor(s)-induced cell signaling. </w:t>
      </w:r>
      <w:r w:rsidRPr="006C5C8C">
        <w:rPr>
          <w:rFonts w:ascii="Arial" w:hAnsi="Arial" w:cs="Arial"/>
          <w:i/>
          <w:iCs/>
          <w:kern w:val="0"/>
          <w:sz w:val="20"/>
          <w:szCs w:val="20"/>
        </w:rPr>
        <w:t xml:space="preserve">Current Drug </w:t>
      </w:r>
    </w:p>
    <w:p w14:paraId="4EEB8826" w14:textId="4C152A86"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i/>
          <w:iCs/>
          <w:kern w:val="0"/>
          <w:sz w:val="20"/>
          <w:szCs w:val="20"/>
        </w:rPr>
        <w:t xml:space="preserve">       Targets</w:t>
      </w:r>
      <w:r w:rsidRPr="006C5C8C">
        <w:rPr>
          <w:rFonts w:ascii="Arial" w:hAnsi="Arial" w:cs="Arial"/>
          <w:kern w:val="0"/>
          <w:sz w:val="20"/>
          <w:szCs w:val="20"/>
        </w:rPr>
        <w:t>, </w:t>
      </w:r>
      <w:r w:rsidRPr="006C5C8C">
        <w:rPr>
          <w:rFonts w:ascii="Arial" w:hAnsi="Arial" w:cs="Arial"/>
          <w:i/>
          <w:iCs/>
          <w:kern w:val="0"/>
          <w:sz w:val="20"/>
          <w:szCs w:val="20"/>
        </w:rPr>
        <w:t>22</w:t>
      </w:r>
      <w:r w:rsidRPr="006C5C8C">
        <w:rPr>
          <w:rFonts w:ascii="Arial" w:hAnsi="Arial" w:cs="Arial"/>
          <w:kern w:val="0"/>
          <w:sz w:val="20"/>
          <w:szCs w:val="20"/>
        </w:rPr>
        <w:t xml:space="preserve">(2), 214-240. </w:t>
      </w:r>
      <w:hyperlink r:id="rId53" w:history="1">
        <w:r w:rsidRPr="006C5C8C">
          <w:rPr>
            <w:rStyle w:val="Hyperlink"/>
            <w:rFonts w:ascii="Arial" w:hAnsi="Arial" w:cs="Arial"/>
            <w:kern w:val="0"/>
            <w:sz w:val="20"/>
            <w:szCs w:val="20"/>
          </w:rPr>
          <w:t>https://doi.org/10.2174/1389450121999201012201926</w:t>
        </w:r>
      </w:hyperlink>
    </w:p>
    <w:p w14:paraId="0D0544BE" w14:textId="77777777" w:rsid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p>
    <w:p w14:paraId="3CD30900" w14:textId="630D3709"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[14] Wang, H., Chen, M., Sang, X., You, X., Wang, Y., Paterson, I. C., ... and Yang, X. (2020).  </w:t>
      </w:r>
    </w:p>
    <w:p w14:paraId="070D0DC2"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Development of small molecule inhibitors targeting TGF-β ligand and receptor: </w:t>
      </w:r>
    </w:p>
    <w:p w14:paraId="1AD58D44"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i/>
          <w:iCs/>
          <w:kern w:val="0"/>
          <w:sz w:val="20"/>
          <w:szCs w:val="20"/>
        </w:rPr>
      </w:pPr>
      <w:r w:rsidRPr="006C5C8C">
        <w:rPr>
          <w:rFonts w:ascii="Arial" w:hAnsi="Arial" w:cs="Arial"/>
          <w:kern w:val="0"/>
          <w:sz w:val="20"/>
          <w:szCs w:val="20"/>
        </w:rPr>
        <w:t xml:space="preserve">        Structures, mechanism, preclinical studies and clinical usage. </w:t>
      </w:r>
      <w:r w:rsidRPr="006C5C8C">
        <w:rPr>
          <w:rFonts w:ascii="Arial" w:hAnsi="Arial" w:cs="Arial"/>
          <w:i/>
          <w:iCs/>
          <w:kern w:val="0"/>
          <w:sz w:val="20"/>
          <w:szCs w:val="20"/>
        </w:rPr>
        <w:t xml:space="preserve">European Journal of </w:t>
      </w:r>
    </w:p>
    <w:p w14:paraId="0D992F9D" w14:textId="1E2AD2CA"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i/>
          <w:iCs/>
          <w:kern w:val="0"/>
          <w:sz w:val="20"/>
          <w:szCs w:val="20"/>
        </w:rPr>
        <w:t xml:space="preserve">        Medicinal Chemistry</w:t>
      </w:r>
      <w:r w:rsidRPr="006C5C8C">
        <w:rPr>
          <w:rFonts w:ascii="Arial" w:hAnsi="Arial" w:cs="Arial"/>
          <w:kern w:val="0"/>
          <w:sz w:val="20"/>
          <w:szCs w:val="20"/>
        </w:rPr>
        <w:t>, </w:t>
      </w:r>
      <w:r w:rsidRPr="006C5C8C">
        <w:rPr>
          <w:rFonts w:ascii="Arial" w:hAnsi="Arial" w:cs="Arial"/>
          <w:i/>
          <w:iCs/>
          <w:kern w:val="0"/>
          <w:sz w:val="20"/>
          <w:szCs w:val="20"/>
        </w:rPr>
        <w:t>191</w:t>
      </w:r>
      <w:r w:rsidRPr="006C5C8C">
        <w:rPr>
          <w:rFonts w:ascii="Arial" w:hAnsi="Arial" w:cs="Arial"/>
          <w:kern w:val="0"/>
          <w:sz w:val="20"/>
          <w:szCs w:val="20"/>
        </w:rPr>
        <w:t xml:space="preserve">, 112154. </w:t>
      </w:r>
      <w:hyperlink r:id="rId54" w:history="1">
        <w:r w:rsidRPr="006C5C8C">
          <w:rPr>
            <w:rStyle w:val="Hyperlink"/>
            <w:rFonts w:ascii="Arial" w:hAnsi="Arial" w:cs="Arial"/>
            <w:kern w:val="0"/>
            <w:sz w:val="20"/>
            <w:szCs w:val="20"/>
          </w:rPr>
          <w:t>https://doi.org/10.1016/j.ejmech.2020.112154</w:t>
        </w:r>
      </w:hyperlink>
    </w:p>
    <w:p w14:paraId="48C45F92"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[15] Asma, S. T., </w:t>
      </w:r>
      <w:proofErr w:type="spellStart"/>
      <w:r w:rsidRPr="006C5C8C">
        <w:rPr>
          <w:rFonts w:ascii="Arial" w:hAnsi="Arial" w:cs="Arial"/>
          <w:kern w:val="0"/>
          <w:sz w:val="20"/>
          <w:szCs w:val="20"/>
        </w:rPr>
        <w:t>Acaroz</w:t>
      </w:r>
      <w:proofErr w:type="spellEnd"/>
      <w:r w:rsidRPr="006C5C8C">
        <w:rPr>
          <w:rFonts w:ascii="Arial" w:hAnsi="Arial" w:cs="Arial"/>
          <w:kern w:val="0"/>
          <w:sz w:val="20"/>
          <w:szCs w:val="20"/>
        </w:rPr>
        <w:t xml:space="preserve">, U., Imre, K., Morar, A., Shah, S. R. A., Hussain, S. Z., ... and Ince, </w:t>
      </w:r>
    </w:p>
    <w:p w14:paraId="30932D18" w14:textId="58679F62"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S. (2022). Natural products/bioactive compounds as a source of anticancer </w:t>
      </w:r>
    </w:p>
    <w:p w14:paraId="1935CF62" w14:textId="1A5A4925"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drugs. </w:t>
      </w:r>
      <w:r w:rsidRPr="006C5C8C">
        <w:rPr>
          <w:rFonts w:ascii="Arial" w:hAnsi="Arial" w:cs="Arial"/>
          <w:i/>
          <w:iCs/>
          <w:kern w:val="0"/>
          <w:sz w:val="20"/>
          <w:szCs w:val="20"/>
        </w:rPr>
        <w:t>Cancers</w:t>
      </w:r>
      <w:r w:rsidRPr="006C5C8C">
        <w:rPr>
          <w:rFonts w:ascii="Arial" w:hAnsi="Arial" w:cs="Arial"/>
          <w:kern w:val="0"/>
          <w:sz w:val="20"/>
          <w:szCs w:val="20"/>
        </w:rPr>
        <w:t>, </w:t>
      </w:r>
      <w:r w:rsidRPr="006C5C8C">
        <w:rPr>
          <w:rFonts w:ascii="Arial" w:hAnsi="Arial" w:cs="Arial"/>
          <w:i/>
          <w:iCs/>
          <w:kern w:val="0"/>
          <w:sz w:val="20"/>
          <w:szCs w:val="20"/>
        </w:rPr>
        <w:t>14</w:t>
      </w:r>
      <w:r w:rsidRPr="006C5C8C">
        <w:rPr>
          <w:rFonts w:ascii="Arial" w:hAnsi="Arial" w:cs="Arial"/>
          <w:kern w:val="0"/>
          <w:sz w:val="20"/>
          <w:szCs w:val="20"/>
        </w:rPr>
        <w:t xml:space="preserve">(24), 6203. </w:t>
      </w:r>
      <w:hyperlink r:id="rId55" w:history="1">
        <w:r w:rsidRPr="006C5C8C">
          <w:rPr>
            <w:rStyle w:val="Hyperlink"/>
            <w:rFonts w:ascii="Arial" w:hAnsi="Arial" w:cs="Arial"/>
            <w:kern w:val="0"/>
            <w:sz w:val="20"/>
            <w:szCs w:val="20"/>
          </w:rPr>
          <w:t>https://doi.org/10.3390/cancers14246203</w:t>
        </w:r>
      </w:hyperlink>
    </w:p>
    <w:p w14:paraId="40619807"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[16] Shukla, S., and Mehta, A. (2015). Anticancer potential of medicinal plants and </w:t>
      </w:r>
      <w:proofErr w:type="gramStart"/>
      <w:r w:rsidRPr="006C5C8C">
        <w:rPr>
          <w:rFonts w:ascii="Arial" w:hAnsi="Arial" w:cs="Arial"/>
          <w:kern w:val="0"/>
          <w:sz w:val="20"/>
          <w:szCs w:val="20"/>
        </w:rPr>
        <w:t>their</w:t>
      </w:r>
      <w:proofErr w:type="gramEnd"/>
      <w:r w:rsidRPr="006C5C8C">
        <w:rPr>
          <w:rFonts w:ascii="Arial" w:hAnsi="Arial" w:cs="Arial"/>
          <w:kern w:val="0"/>
          <w:sz w:val="20"/>
          <w:szCs w:val="20"/>
        </w:rPr>
        <w:t xml:space="preserve">  </w:t>
      </w:r>
    </w:p>
    <w:p w14:paraId="7B120B92" w14:textId="14B4E26A"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phytochemicals: A review. </w:t>
      </w:r>
      <w:r w:rsidRPr="006C5C8C">
        <w:rPr>
          <w:rFonts w:ascii="Arial" w:hAnsi="Arial" w:cs="Arial"/>
          <w:i/>
          <w:iCs/>
          <w:kern w:val="0"/>
          <w:sz w:val="20"/>
          <w:szCs w:val="20"/>
        </w:rPr>
        <w:t>Brazilian Journal of Botany</w:t>
      </w:r>
      <w:r w:rsidRPr="006C5C8C">
        <w:rPr>
          <w:rFonts w:ascii="Arial" w:hAnsi="Arial" w:cs="Arial"/>
          <w:kern w:val="0"/>
          <w:sz w:val="20"/>
          <w:szCs w:val="20"/>
        </w:rPr>
        <w:t>, </w:t>
      </w:r>
      <w:r w:rsidRPr="006C5C8C">
        <w:rPr>
          <w:rFonts w:ascii="Arial" w:hAnsi="Arial" w:cs="Arial"/>
          <w:i/>
          <w:iCs/>
          <w:kern w:val="0"/>
          <w:sz w:val="20"/>
          <w:szCs w:val="20"/>
        </w:rPr>
        <w:t>38</w:t>
      </w:r>
      <w:r w:rsidRPr="006C5C8C">
        <w:rPr>
          <w:rFonts w:ascii="Arial" w:hAnsi="Arial" w:cs="Arial"/>
          <w:kern w:val="0"/>
          <w:sz w:val="20"/>
          <w:szCs w:val="20"/>
        </w:rPr>
        <w:t xml:space="preserve">, 199-210. </w:t>
      </w:r>
    </w:p>
    <w:p w14:paraId="7E52E7BB" w14:textId="5F5431CC"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w:t>
      </w:r>
      <w:hyperlink r:id="rId56" w:history="1">
        <w:r w:rsidRPr="00506711">
          <w:rPr>
            <w:rStyle w:val="Hyperlink"/>
            <w:rFonts w:ascii="Arial" w:hAnsi="Arial" w:cs="Arial"/>
            <w:kern w:val="0"/>
            <w:sz w:val="20"/>
            <w:szCs w:val="20"/>
          </w:rPr>
          <w:t>https://doi.org/10.1007/s40415-015-0135-0</w:t>
        </w:r>
      </w:hyperlink>
    </w:p>
    <w:p w14:paraId="4D90EF56"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lastRenderedPageBreak/>
        <w:t xml:space="preserve">[17] Paul, J. K., </w:t>
      </w:r>
      <w:proofErr w:type="spellStart"/>
      <w:r w:rsidRPr="006C5C8C">
        <w:rPr>
          <w:rFonts w:ascii="Arial" w:hAnsi="Arial" w:cs="Arial"/>
          <w:kern w:val="0"/>
          <w:sz w:val="20"/>
          <w:szCs w:val="20"/>
        </w:rPr>
        <w:t>Azmal</w:t>
      </w:r>
      <w:proofErr w:type="spellEnd"/>
      <w:r w:rsidRPr="006C5C8C">
        <w:rPr>
          <w:rFonts w:ascii="Arial" w:hAnsi="Arial" w:cs="Arial"/>
          <w:kern w:val="0"/>
          <w:sz w:val="20"/>
          <w:szCs w:val="20"/>
        </w:rPr>
        <w:t xml:space="preserve">, M., Haque, A. S. N. B., Talukder, O. F., Meem, M., and Ghosh, A. </w:t>
      </w:r>
    </w:p>
    <w:p w14:paraId="4C3AA091" w14:textId="2E3489A8"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(2024). Phytochemical-mediated modulation of signaling pathways: A promising avenue </w:t>
      </w:r>
    </w:p>
    <w:p w14:paraId="002EAADA" w14:textId="12CDD380"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w:t>
      </w:r>
      <w:r>
        <w:rPr>
          <w:rFonts w:ascii="Arial" w:hAnsi="Arial" w:cs="Arial"/>
          <w:kern w:val="0"/>
          <w:sz w:val="20"/>
          <w:szCs w:val="20"/>
        </w:rPr>
        <w:t xml:space="preserve"> </w:t>
      </w:r>
      <w:r w:rsidRPr="006C5C8C">
        <w:rPr>
          <w:rFonts w:ascii="Arial" w:hAnsi="Arial" w:cs="Arial"/>
          <w:kern w:val="0"/>
          <w:sz w:val="20"/>
          <w:szCs w:val="20"/>
        </w:rPr>
        <w:t>for drug discovery. </w:t>
      </w:r>
      <w:r w:rsidRPr="006C5C8C">
        <w:rPr>
          <w:rFonts w:ascii="Arial" w:hAnsi="Arial" w:cs="Arial"/>
          <w:i/>
          <w:iCs/>
          <w:kern w:val="0"/>
          <w:sz w:val="20"/>
          <w:szCs w:val="20"/>
        </w:rPr>
        <w:t>Advances in Redox Research</w:t>
      </w:r>
      <w:r w:rsidRPr="006C5C8C">
        <w:rPr>
          <w:rFonts w:ascii="Arial" w:hAnsi="Arial" w:cs="Arial"/>
          <w:kern w:val="0"/>
          <w:sz w:val="20"/>
          <w:szCs w:val="20"/>
        </w:rPr>
        <w:t xml:space="preserve">, 100113. </w:t>
      </w:r>
    </w:p>
    <w:p w14:paraId="195D2E50" w14:textId="7D379D0E"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w:t>
      </w:r>
      <w:hyperlink r:id="rId57" w:history="1">
        <w:r w:rsidRPr="006C5C8C">
          <w:rPr>
            <w:rStyle w:val="Hyperlink"/>
            <w:rFonts w:ascii="Arial" w:hAnsi="Arial" w:cs="Arial"/>
            <w:kern w:val="0"/>
            <w:sz w:val="20"/>
            <w:szCs w:val="20"/>
          </w:rPr>
          <w:t>https://doi.org/10.1016/j.arres.2024.100113</w:t>
        </w:r>
      </w:hyperlink>
    </w:p>
    <w:p w14:paraId="26C6609F"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[18] </w:t>
      </w:r>
      <w:proofErr w:type="spellStart"/>
      <w:r w:rsidRPr="006C5C8C">
        <w:rPr>
          <w:rFonts w:ascii="Arial" w:hAnsi="Arial" w:cs="Arial"/>
          <w:kern w:val="0"/>
          <w:sz w:val="20"/>
          <w:szCs w:val="20"/>
        </w:rPr>
        <w:t>Chaachouay</w:t>
      </w:r>
      <w:proofErr w:type="spellEnd"/>
      <w:r w:rsidRPr="006C5C8C">
        <w:rPr>
          <w:rFonts w:ascii="Arial" w:hAnsi="Arial" w:cs="Arial"/>
          <w:kern w:val="0"/>
          <w:sz w:val="20"/>
          <w:szCs w:val="20"/>
        </w:rPr>
        <w:t xml:space="preserve">, N., and Zidane, L. (2024). Plant-derived natural products: A source for drug </w:t>
      </w:r>
    </w:p>
    <w:p w14:paraId="23758664" w14:textId="77777777" w:rsidR="006C5C8C" w:rsidRPr="006C5C8C" w:rsidRDefault="006C5C8C" w:rsidP="006C5C8C">
      <w:pPr>
        <w:widowControl w:val="0"/>
        <w:autoSpaceDE w:val="0"/>
        <w:autoSpaceDN w:val="0"/>
        <w:adjustRightInd w:val="0"/>
        <w:spacing w:after="0" w:line="240" w:lineRule="auto"/>
        <w:ind w:left="360"/>
        <w:jc w:val="both"/>
        <w:rPr>
          <w:rFonts w:ascii="Arial" w:hAnsi="Arial" w:cs="Arial"/>
          <w:kern w:val="0"/>
          <w:sz w:val="20"/>
          <w:szCs w:val="20"/>
        </w:rPr>
      </w:pPr>
      <w:r w:rsidRPr="006C5C8C">
        <w:rPr>
          <w:rFonts w:ascii="Arial" w:hAnsi="Arial" w:cs="Arial"/>
          <w:kern w:val="0"/>
          <w:sz w:val="20"/>
          <w:szCs w:val="20"/>
        </w:rPr>
        <w:t xml:space="preserve">       discovery and development. </w:t>
      </w:r>
      <w:r w:rsidRPr="006C5C8C">
        <w:rPr>
          <w:rFonts w:ascii="Arial" w:hAnsi="Arial" w:cs="Arial"/>
          <w:i/>
          <w:iCs/>
          <w:kern w:val="0"/>
          <w:sz w:val="20"/>
          <w:szCs w:val="20"/>
        </w:rPr>
        <w:t>Drugs and Drug Candidates</w:t>
      </w:r>
      <w:r w:rsidRPr="006C5C8C">
        <w:rPr>
          <w:rFonts w:ascii="Arial" w:hAnsi="Arial" w:cs="Arial"/>
          <w:kern w:val="0"/>
          <w:sz w:val="20"/>
          <w:szCs w:val="20"/>
        </w:rPr>
        <w:t>, </w:t>
      </w:r>
      <w:r w:rsidRPr="006C5C8C">
        <w:rPr>
          <w:rFonts w:ascii="Arial" w:hAnsi="Arial" w:cs="Arial"/>
          <w:i/>
          <w:iCs/>
          <w:kern w:val="0"/>
          <w:sz w:val="20"/>
          <w:szCs w:val="20"/>
        </w:rPr>
        <w:t>3</w:t>
      </w:r>
      <w:r w:rsidRPr="006C5C8C">
        <w:rPr>
          <w:rFonts w:ascii="Arial" w:hAnsi="Arial" w:cs="Arial"/>
          <w:kern w:val="0"/>
          <w:sz w:val="20"/>
          <w:szCs w:val="20"/>
        </w:rPr>
        <w:t xml:space="preserve">(1), 184-207. </w:t>
      </w:r>
    </w:p>
    <w:p w14:paraId="6EB17315" w14:textId="350E08A6" w:rsidR="006C5C8C" w:rsidRPr="006C5C8C" w:rsidRDefault="006C5C8C" w:rsidP="006C5C8C">
      <w:pPr>
        <w:widowControl w:val="0"/>
        <w:autoSpaceDE w:val="0"/>
        <w:autoSpaceDN w:val="0"/>
        <w:adjustRightInd w:val="0"/>
        <w:spacing w:line="240" w:lineRule="auto"/>
        <w:ind w:left="360"/>
        <w:jc w:val="both"/>
        <w:rPr>
          <w:rFonts w:ascii="Arial" w:hAnsi="Arial" w:cs="Arial"/>
          <w:kern w:val="0"/>
          <w:sz w:val="20"/>
          <w:szCs w:val="20"/>
        </w:rPr>
      </w:pPr>
      <w:r w:rsidRPr="006C5C8C">
        <w:rPr>
          <w:rFonts w:ascii="Arial" w:hAnsi="Arial" w:cs="Arial"/>
          <w:kern w:val="0"/>
          <w:sz w:val="20"/>
          <w:szCs w:val="20"/>
        </w:rPr>
        <w:t xml:space="preserve">       </w:t>
      </w:r>
      <w:hyperlink r:id="rId58" w:history="1">
        <w:r w:rsidRPr="00506711">
          <w:rPr>
            <w:rStyle w:val="Hyperlink"/>
            <w:rFonts w:ascii="Arial" w:hAnsi="Arial" w:cs="Arial"/>
            <w:kern w:val="0"/>
            <w:sz w:val="20"/>
            <w:szCs w:val="20"/>
          </w:rPr>
          <w:t>https://doi.org/10.3390/biomedicines12010201</w:t>
        </w:r>
      </w:hyperlink>
    </w:p>
    <w:p w14:paraId="2898D4C8" w14:textId="77777777" w:rsidR="006C5C8C" w:rsidRPr="006C5C8C" w:rsidRDefault="006C5C8C" w:rsidP="006C5C8C">
      <w:pPr>
        <w:spacing w:after="0" w:line="240" w:lineRule="auto"/>
        <w:ind w:left="360"/>
        <w:jc w:val="both"/>
        <w:rPr>
          <w:rFonts w:ascii="Arial" w:hAnsi="Arial" w:cs="Arial"/>
          <w:sz w:val="20"/>
          <w:szCs w:val="20"/>
        </w:rPr>
      </w:pPr>
      <w:bookmarkStart w:id="7" w:name="_Hlk198048758"/>
      <w:r w:rsidRPr="006C5C8C">
        <w:rPr>
          <w:rFonts w:ascii="Arial" w:hAnsi="Arial" w:cs="Arial"/>
          <w:sz w:val="20"/>
          <w:szCs w:val="20"/>
        </w:rPr>
        <w:t xml:space="preserve">[19] Atanda, O. E., Olaniyan, L. W. B., </w:t>
      </w:r>
      <w:proofErr w:type="spellStart"/>
      <w:r w:rsidRPr="006C5C8C">
        <w:rPr>
          <w:rFonts w:ascii="Arial" w:hAnsi="Arial" w:cs="Arial"/>
          <w:sz w:val="20"/>
          <w:szCs w:val="20"/>
        </w:rPr>
        <w:t>Fadare</w:t>
      </w:r>
      <w:proofErr w:type="spellEnd"/>
      <w:r w:rsidRPr="006C5C8C">
        <w:rPr>
          <w:rFonts w:ascii="Arial" w:hAnsi="Arial" w:cs="Arial"/>
          <w:sz w:val="20"/>
          <w:szCs w:val="20"/>
        </w:rPr>
        <w:t xml:space="preserve">, O. A., </w:t>
      </w:r>
      <w:proofErr w:type="spellStart"/>
      <w:r w:rsidRPr="006C5C8C">
        <w:rPr>
          <w:rFonts w:ascii="Arial" w:hAnsi="Arial" w:cs="Arial"/>
          <w:sz w:val="20"/>
          <w:szCs w:val="20"/>
        </w:rPr>
        <w:t>Ehigie</w:t>
      </w:r>
      <w:proofErr w:type="spellEnd"/>
      <w:r w:rsidRPr="006C5C8C">
        <w:rPr>
          <w:rFonts w:ascii="Arial" w:hAnsi="Arial" w:cs="Arial"/>
          <w:sz w:val="20"/>
          <w:szCs w:val="20"/>
        </w:rPr>
        <w:t xml:space="preserve">, A. F., Adisa, T. A., </w:t>
      </w:r>
      <w:proofErr w:type="spellStart"/>
      <w:r w:rsidRPr="006C5C8C">
        <w:rPr>
          <w:rFonts w:ascii="Arial" w:hAnsi="Arial" w:cs="Arial"/>
          <w:sz w:val="20"/>
          <w:szCs w:val="20"/>
        </w:rPr>
        <w:t>Odunitan</w:t>
      </w:r>
      <w:proofErr w:type="spellEnd"/>
      <w:r w:rsidRPr="006C5C8C">
        <w:rPr>
          <w:rFonts w:ascii="Arial" w:hAnsi="Arial" w:cs="Arial"/>
          <w:sz w:val="20"/>
          <w:szCs w:val="20"/>
        </w:rPr>
        <w:t xml:space="preserve">, T. </w:t>
      </w:r>
    </w:p>
    <w:p w14:paraId="0A27C2B8"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T., Alabi, O. T., </w:t>
      </w:r>
      <w:proofErr w:type="spellStart"/>
      <w:r w:rsidRPr="006C5C8C">
        <w:rPr>
          <w:rFonts w:ascii="Arial" w:hAnsi="Arial" w:cs="Arial"/>
          <w:sz w:val="20"/>
          <w:szCs w:val="20"/>
        </w:rPr>
        <w:t>Omonijo</w:t>
      </w:r>
      <w:proofErr w:type="spellEnd"/>
      <w:r w:rsidRPr="006C5C8C">
        <w:rPr>
          <w:rFonts w:ascii="Arial" w:hAnsi="Arial" w:cs="Arial"/>
          <w:sz w:val="20"/>
          <w:szCs w:val="20"/>
        </w:rPr>
        <w:t xml:space="preserve">, B. A., </w:t>
      </w:r>
      <w:proofErr w:type="spellStart"/>
      <w:r w:rsidRPr="006C5C8C">
        <w:rPr>
          <w:rFonts w:ascii="Arial" w:hAnsi="Arial" w:cs="Arial"/>
          <w:sz w:val="20"/>
          <w:szCs w:val="20"/>
        </w:rPr>
        <w:t>Aloba</w:t>
      </w:r>
      <w:proofErr w:type="spellEnd"/>
      <w:r w:rsidRPr="006C5C8C">
        <w:rPr>
          <w:rFonts w:ascii="Arial" w:hAnsi="Arial" w:cs="Arial"/>
          <w:sz w:val="20"/>
          <w:szCs w:val="20"/>
        </w:rPr>
        <w:t xml:space="preserve">, G. O., and </w:t>
      </w:r>
      <w:proofErr w:type="spellStart"/>
      <w:r w:rsidRPr="006C5C8C">
        <w:rPr>
          <w:rFonts w:ascii="Arial" w:hAnsi="Arial" w:cs="Arial"/>
          <w:sz w:val="20"/>
          <w:szCs w:val="20"/>
        </w:rPr>
        <w:t>Ehigie</w:t>
      </w:r>
      <w:proofErr w:type="spellEnd"/>
      <w:r w:rsidRPr="006C5C8C">
        <w:rPr>
          <w:rFonts w:ascii="Arial" w:hAnsi="Arial" w:cs="Arial"/>
          <w:sz w:val="20"/>
          <w:szCs w:val="20"/>
        </w:rPr>
        <w:t>, L. O. (2024). “</w:t>
      </w:r>
      <w:r w:rsidRPr="006C5C8C">
        <w:rPr>
          <w:rFonts w:ascii="Arial" w:hAnsi="Arial" w:cs="Arial"/>
          <w:i/>
          <w:iCs/>
          <w:sz w:val="20"/>
          <w:szCs w:val="20"/>
        </w:rPr>
        <w:t>In-silico</w:t>
      </w:r>
      <w:r w:rsidRPr="006C5C8C">
        <w:rPr>
          <w:rFonts w:ascii="Arial" w:hAnsi="Arial" w:cs="Arial"/>
          <w:sz w:val="20"/>
          <w:szCs w:val="20"/>
        </w:rPr>
        <w:t xml:space="preserve"> </w:t>
      </w:r>
    </w:p>
    <w:p w14:paraId="3265B9F4" w14:textId="77777777" w:rsidR="006C5C8C" w:rsidRPr="006C5C8C" w:rsidRDefault="006C5C8C" w:rsidP="006C5C8C">
      <w:pPr>
        <w:spacing w:after="0" w:line="240" w:lineRule="auto"/>
        <w:ind w:left="360"/>
        <w:jc w:val="both"/>
        <w:rPr>
          <w:rFonts w:ascii="Arial" w:hAnsi="Arial" w:cs="Arial"/>
          <w:i/>
          <w:iCs/>
          <w:sz w:val="20"/>
          <w:szCs w:val="20"/>
        </w:rPr>
      </w:pPr>
      <w:r w:rsidRPr="006C5C8C">
        <w:rPr>
          <w:rFonts w:ascii="Arial" w:hAnsi="Arial" w:cs="Arial"/>
          <w:sz w:val="20"/>
          <w:szCs w:val="20"/>
        </w:rPr>
        <w:t xml:space="preserve">       evaluation of phenylisocytosine and its analogs as potent inhibitors of </w:t>
      </w:r>
      <w:r w:rsidRPr="006C5C8C">
        <w:rPr>
          <w:rFonts w:ascii="Arial" w:hAnsi="Arial" w:cs="Arial"/>
          <w:i/>
          <w:iCs/>
          <w:sz w:val="20"/>
          <w:szCs w:val="20"/>
        </w:rPr>
        <w:t xml:space="preserve">Plasmodium </w:t>
      </w:r>
    </w:p>
    <w:p w14:paraId="039B8675"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i/>
          <w:iCs/>
          <w:sz w:val="20"/>
          <w:szCs w:val="20"/>
        </w:rPr>
        <w:t xml:space="preserve">       falciparum</w:t>
      </w:r>
      <w:r w:rsidRPr="006C5C8C">
        <w:rPr>
          <w:rFonts w:ascii="Arial" w:hAnsi="Arial" w:cs="Arial"/>
          <w:sz w:val="20"/>
          <w:szCs w:val="20"/>
        </w:rPr>
        <w:t xml:space="preserve"> transketolase: A strategic approach in anti-malarial drug discovery”. </w:t>
      </w:r>
    </w:p>
    <w:p w14:paraId="0081EE8E"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i/>
          <w:iCs/>
          <w:sz w:val="20"/>
          <w:szCs w:val="20"/>
        </w:rPr>
        <w:t xml:space="preserve">       International Journal of Biochemistry Research and Review,</w:t>
      </w:r>
      <w:r w:rsidRPr="006C5C8C">
        <w:rPr>
          <w:rFonts w:ascii="Arial" w:hAnsi="Arial" w:cs="Arial"/>
          <w:sz w:val="20"/>
          <w:szCs w:val="20"/>
        </w:rPr>
        <w:t xml:space="preserve"> 33 (6):616-36. </w:t>
      </w:r>
    </w:p>
    <w:p w14:paraId="13A96BF8" w14:textId="77777777"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i/>
          <w:iCs/>
          <w:sz w:val="20"/>
          <w:szCs w:val="20"/>
        </w:rPr>
        <w:t xml:space="preserve">       </w:t>
      </w:r>
      <w:hyperlink r:id="rId59" w:history="1">
        <w:r w:rsidRPr="006C5C8C">
          <w:rPr>
            <w:rStyle w:val="Hyperlink"/>
            <w:rFonts w:ascii="Arial" w:hAnsi="Arial" w:cs="Arial"/>
            <w:sz w:val="20"/>
            <w:szCs w:val="20"/>
          </w:rPr>
          <w:t>https://doi.org/10.9734/ijbcrr/2024/v33i6941</w:t>
        </w:r>
      </w:hyperlink>
      <w:r w:rsidRPr="006C5C8C">
        <w:rPr>
          <w:rFonts w:ascii="Arial" w:hAnsi="Arial" w:cs="Arial"/>
          <w:sz w:val="20"/>
          <w:szCs w:val="20"/>
        </w:rPr>
        <w:t>.</w:t>
      </w:r>
    </w:p>
    <w:bookmarkEnd w:id="7"/>
    <w:p w14:paraId="659FCD47"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[20] </w:t>
      </w:r>
      <w:proofErr w:type="spellStart"/>
      <w:r w:rsidRPr="006C5C8C">
        <w:rPr>
          <w:rFonts w:ascii="Arial" w:hAnsi="Arial" w:cs="Arial"/>
          <w:sz w:val="20"/>
          <w:szCs w:val="20"/>
        </w:rPr>
        <w:t>Almoyad</w:t>
      </w:r>
      <w:proofErr w:type="spellEnd"/>
      <w:r w:rsidRPr="006C5C8C">
        <w:rPr>
          <w:rFonts w:ascii="Arial" w:hAnsi="Arial" w:cs="Arial"/>
          <w:sz w:val="20"/>
          <w:szCs w:val="20"/>
        </w:rPr>
        <w:t xml:space="preserve">, M. A. A., Wahab, S., Ansari, M. N., Ahmad, W., Hani, U., and Chandra, S. </w:t>
      </w:r>
    </w:p>
    <w:p w14:paraId="3E930D60" w14:textId="2C3D408A"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(2024). Predictive insights into plant-based compounds as fibroblast growth factor </w:t>
      </w:r>
    </w:p>
    <w:p w14:paraId="2A74DF50" w14:textId="44E1B7F0"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receptor 1 inhibitors: A combined molecular docking and dynamics simulation </w:t>
      </w:r>
    </w:p>
    <w:p w14:paraId="60A7C5D2" w14:textId="225A48CF"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study. </w:t>
      </w:r>
      <w:r w:rsidRPr="006C5C8C">
        <w:rPr>
          <w:rFonts w:ascii="Arial" w:hAnsi="Arial" w:cs="Arial"/>
          <w:i/>
          <w:iCs/>
          <w:sz w:val="20"/>
          <w:szCs w:val="20"/>
        </w:rPr>
        <w:t>Journal of Biomolecular Structure and Dynamics</w:t>
      </w:r>
      <w:r w:rsidRPr="006C5C8C">
        <w:rPr>
          <w:rFonts w:ascii="Arial" w:hAnsi="Arial" w:cs="Arial"/>
          <w:sz w:val="20"/>
          <w:szCs w:val="20"/>
        </w:rPr>
        <w:t xml:space="preserve">, 1-10. </w:t>
      </w:r>
    </w:p>
    <w:p w14:paraId="1F5CE740" w14:textId="517E591C"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sz w:val="20"/>
          <w:szCs w:val="20"/>
        </w:rPr>
        <w:t xml:space="preserve">       </w:t>
      </w:r>
      <w:hyperlink r:id="rId60" w:history="1">
        <w:r w:rsidRPr="00506711">
          <w:rPr>
            <w:rStyle w:val="Hyperlink"/>
            <w:rFonts w:ascii="Arial" w:hAnsi="Arial" w:cs="Arial"/>
            <w:sz w:val="20"/>
            <w:szCs w:val="20"/>
          </w:rPr>
          <w:t>https://doi.org/10.1080/07391102.2024.2335297</w:t>
        </w:r>
      </w:hyperlink>
    </w:p>
    <w:p w14:paraId="4A20538C"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[21] Mangal, M., Sagar, P., Singh, H., Raghava, G. P., and Agarwal, S. M. (2013). NPACT:    </w:t>
      </w:r>
    </w:p>
    <w:p w14:paraId="5531FEC5" w14:textId="06B2A9D5" w:rsidR="006C5C8C" w:rsidRPr="006C5C8C" w:rsidRDefault="006C5C8C" w:rsidP="006C5C8C">
      <w:pPr>
        <w:spacing w:after="0" w:line="240" w:lineRule="auto"/>
        <w:ind w:left="360"/>
        <w:jc w:val="both"/>
        <w:rPr>
          <w:rFonts w:ascii="Arial" w:hAnsi="Arial" w:cs="Arial"/>
          <w:i/>
          <w:iCs/>
          <w:sz w:val="20"/>
          <w:szCs w:val="20"/>
        </w:rPr>
      </w:pPr>
      <w:r w:rsidRPr="006C5C8C">
        <w:rPr>
          <w:rFonts w:ascii="Arial" w:hAnsi="Arial" w:cs="Arial"/>
          <w:sz w:val="20"/>
          <w:szCs w:val="20"/>
        </w:rPr>
        <w:t xml:space="preserve">       Naturally occurring plant-based anti-cancer compound-activity-target database. </w:t>
      </w:r>
      <w:r w:rsidRPr="006C5C8C">
        <w:rPr>
          <w:rFonts w:ascii="Arial" w:hAnsi="Arial" w:cs="Arial"/>
          <w:i/>
          <w:iCs/>
          <w:sz w:val="20"/>
          <w:szCs w:val="20"/>
        </w:rPr>
        <w:t xml:space="preserve">Nucleic </w:t>
      </w:r>
    </w:p>
    <w:p w14:paraId="7A07AE65" w14:textId="3C6EEE24"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i/>
          <w:iCs/>
          <w:sz w:val="20"/>
          <w:szCs w:val="20"/>
        </w:rPr>
        <w:t xml:space="preserve">       Acids Research</w:t>
      </w:r>
      <w:r w:rsidRPr="006C5C8C">
        <w:rPr>
          <w:rFonts w:ascii="Arial" w:hAnsi="Arial" w:cs="Arial"/>
          <w:sz w:val="20"/>
          <w:szCs w:val="20"/>
        </w:rPr>
        <w:t>, </w:t>
      </w:r>
      <w:r w:rsidRPr="006C5C8C">
        <w:rPr>
          <w:rFonts w:ascii="Arial" w:hAnsi="Arial" w:cs="Arial"/>
          <w:i/>
          <w:iCs/>
          <w:sz w:val="20"/>
          <w:szCs w:val="20"/>
        </w:rPr>
        <w:t>41</w:t>
      </w:r>
      <w:r w:rsidRPr="006C5C8C">
        <w:rPr>
          <w:rFonts w:ascii="Arial" w:hAnsi="Arial" w:cs="Arial"/>
          <w:sz w:val="20"/>
          <w:szCs w:val="20"/>
        </w:rPr>
        <w:t xml:space="preserve">(D1), D1124-D1129. </w:t>
      </w:r>
      <w:hyperlink r:id="rId61" w:history="1">
        <w:r w:rsidRPr="006C5C8C">
          <w:rPr>
            <w:rStyle w:val="Hyperlink"/>
            <w:rFonts w:ascii="Arial" w:hAnsi="Arial" w:cs="Arial"/>
            <w:sz w:val="20"/>
            <w:szCs w:val="20"/>
          </w:rPr>
          <w:t>https://doi.org/10.1093/nar/gks1047</w:t>
        </w:r>
      </w:hyperlink>
    </w:p>
    <w:p w14:paraId="13BA48F0"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[22] Kim, Y., Song, J., Kim, N., and Sim, T. (2025). Recent progress in emerging molecular </w:t>
      </w:r>
    </w:p>
    <w:p w14:paraId="6C8CD68F" w14:textId="0F2A0030"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targeted therapies for intrahepatic cholangiocarcinoma. </w:t>
      </w:r>
      <w:r w:rsidRPr="006C5C8C">
        <w:rPr>
          <w:rFonts w:ascii="Arial" w:hAnsi="Arial" w:cs="Arial"/>
          <w:i/>
          <w:iCs/>
          <w:sz w:val="20"/>
          <w:szCs w:val="20"/>
        </w:rPr>
        <w:t>RSC Medicinal Chemistry</w:t>
      </w:r>
      <w:r w:rsidRPr="006C5C8C">
        <w:rPr>
          <w:rFonts w:ascii="Arial" w:hAnsi="Arial" w:cs="Arial"/>
          <w:sz w:val="20"/>
          <w:szCs w:val="20"/>
        </w:rPr>
        <w:t xml:space="preserve">.  </w:t>
      </w:r>
    </w:p>
    <w:p w14:paraId="72100EB4" w14:textId="014DF05C"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sz w:val="20"/>
          <w:szCs w:val="20"/>
        </w:rPr>
        <w:t xml:space="preserve">       </w:t>
      </w:r>
      <w:hyperlink r:id="rId62" w:history="1">
        <w:r w:rsidRPr="00506711">
          <w:rPr>
            <w:rStyle w:val="Hyperlink"/>
            <w:rFonts w:ascii="Arial" w:hAnsi="Arial" w:cs="Arial"/>
            <w:sz w:val="20"/>
            <w:szCs w:val="20"/>
          </w:rPr>
          <w:t>https://doi.org/10.1039/D4MD00881B</w:t>
        </w:r>
      </w:hyperlink>
    </w:p>
    <w:p w14:paraId="6D10F8D0" w14:textId="77777777" w:rsidR="006C5C8C" w:rsidRPr="006C5C8C" w:rsidRDefault="006C5C8C" w:rsidP="006C5C8C">
      <w:pPr>
        <w:spacing w:after="0" w:line="240" w:lineRule="auto"/>
        <w:ind w:left="360"/>
        <w:jc w:val="both"/>
        <w:rPr>
          <w:rFonts w:ascii="Arial" w:hAnsi="Arial" w:cs="Arial"/>
          <w:sz w:val="20"/>
          <w:szCs w:val="20"/>
          <w:lang w:val="de-DE"/>
        </w:rPr>
      </w:pPr>
      <w:bookmarkStart w:id="8" w:name="_Hlk177606267"/>
      <w:r w:rsidRPr="006C5C8C">
        <w:rPr>
          <w:rFonts w:ascii="Arial" w:hAnsi="Arial" w:cs="Arial"/>
          <w:sz w:val="20"/>
          <w:szCs w:val="20"/>
          <w:lang w:val="de-DE"/>
        </w:rPr>
        <w:t>[23] Olaniyan</w:t>
      </w:r>
      <w:bookmarkEnd w:id="8"/>
      <w:r w:rsidRPr="006C5C8C">
        <w:rPr>
          <w:rFonts w:ascii="Arial" w:hAnsi="Arial" w:cs="Arial"/>
          <w:sz w:val="20"/>
          <w:szCs w:val="20"/>
          <w:lang w:val="de-DE"/>
        </w:rPr>
        <w:t xml:space="preserve">, L. W. B., Ehigie, L. O., Ehigie, A. F., Atanda, O.E., Odunitan, T. T., and </w:t>
      </w:r>
    </w:p>
    <w:p w14:paraId="3F263348" w14:textId="54D79B6C"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lang w:val="de-DE"/>
        </w:rPr>
        <w:t xml:space="preserve">       Fakuade, A. A. (2024). </w:t>
      </w:r>
      <w:r w:rsidRPr="006C5C8C">
        <w:rPr>
          <w:rFonts w:ascii="Arial" w:hAnsi="Arial" w:cs="Arial"/>
          <w:i/>
          <w:iCs/>
          <w:sz w:val="20"/>
          <w:szCs w:val="20"/>
        </w:rPr>
        <w:t>In silico</w:t>
      </w:r>
      <w:r w:rsidRPr="006C5C8C">
        <w:rPr>
          <w:rFonts w:ascii="Arial" w:hAnsi="Arial" w:cs="Arial"/>
          <w:sz w:val="20"/>
          <w:szCs w:val="20"/>
        </w:rPr>
        <w:t xml:space="preserve"> investigation of </w:t>
      </w:r>
      <w:proofErr w:type="spellStart"/>
      <w:r w:rsidRPr="006C5C8C">
        <w:rPr>
          <w:rFonts w:ascii="Arial" w:hAnsi="Arial" w:cs="Arial"/>
          <w:sz w:val="20"/>
          <w:szCs w:val="20"/>
        </w:rPr>
        <w:t>indenoimidazole</w:t>
      </w:r>
      <w:proofErr w:type="spellEnd"/>
      <w:r w:rsidRPr="006C5C8C">
        <w:rPr>
          <w:rFonts w:ascii="Arial" w:hAnsi="Arial" w:cs="Arial"/>
          <w:sz w:val="20"/>
          <w:szCs w:val="20"/>
        </w:rPr>
        <w:t xml:space="preserve"> derivatives as promising </w:t>
      </w:r>
    </w:p>
    <w:p w14:paraId="378A2467" w14:textId="6E727166"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arsenal against methicillin resistant staphylococcus aureus through staphylococcal protein </w:t>
      </w:r>
    </w:p>
    <w:p w14:paraId="49A355B0" w14:textId="26C689D6"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sz w:val="20"/>
          <w:szCs w:val="20"/>
        </w:rPr>
        <w:t xml:space="preserve">       </w:t>
      </w:r>
      <w:proofErr w:type="gramStart"/>
      <w:r w:rsidRPr="006C5C8C">
        <w:rPr>
          <w:rFonts w:ascii="Arial" w:hAnsi="Arial" w:cs="Arial"/>
          <w:sz w:val="20"/>
          <w:szCs w:val="20"/>
        </w:rPr>
        <w:t>A</w:t>
      </w:r>
      <w:proofErr w:type="gramEnd"/>
      <w:r w:rsidRPr="006C5C8C">
        <w:rPr>
          <w:rFonts w:ascii="Arial" w:hAnsi="Arial" w:cs="Arial"/>
          <w:sz w:val="20"/>
          <w:szCs w:val="20"/>
        </w:rPr>
        <w:t xml:space="preserve"> inhibition. </w:t>
      </w:r>
      <w:r w:rsidRPr="006C5C8C">
        <w:rPr>
          <w:rFonts w:ascii="Arial" w:hAnsi="Arial" w:cs="Arial"/>
          <w:i/>
          <w:iCs/>
          <w:sz w:val="20"/>
          <w:szCs w:val="20"/>
        </w:rPr>
        <w:t>European Journal of Biomedical</w:t>
      </w:r>
      <w:r w:rsidRPr="006C5C8C">
        <w:rPr>
          <w:rFonts w:ascii="Arial" w:hAnsi="Arial" w:cs="Arial"/>
          <w:sz w:val="20"/>
          <w:szCs w:val="20"/>
        </w:rPr>
        <w:t>, </w:t>
      </w:r>
      <w:r w:rsidRPr="006C5C8C">
        <w:rPr>
          <w:rFonts w:ascii="Arial" w:hAnsi="Arial" w:cs="Arial"/>
          <w:i/>
          <w:iCs/>
          <w:sz w:val="20"/>
          <w:szCs w:val="20"/>
        </w:rPr>
        <w:t>11</w:t>
      </w:r>
      <w:r w:rsidRPr="006C5C8C">
        <w:rPr>
          <w:rFonts w:ascii="Arial" w:hAnsi="Arial" w:cs="Arial"/>
          <w:sz w:val="20"/>
          <w:szCs w:val="20"/>
        </w:rPr>
        <w:t xml:space="preserve">(6), 04-16. </w:t>
      </w:r>
      <w:proofErr w:type="spellStart"/>
      <w:r w:rsidRPr="006C5C8C">
        <w:rPr>
          <w:rFonts w:ascii="Arial" w:hAnsi="Arial" w:cs="Arial"/>
          <w:sz w:val="20"/>
          <w:szCs w:val="20"/>
        </w:rPr>
        <w:t>Issn</w:t>
      </w:r>
      <w:proofErr w:type="spellEnd"/>
      <w:r w:rsidRPr="006C5C8C">
        <w:rPr>
          <w:rFonts w:ascii="Arial" w:hAnsi="Arial" w:cs="Arial"/>
          <w:sz w:val="20"/>
          <w:szCs w:val="20"/>
        </w:rPr>
        <w:t xml:space="preserve"> 2349-8870</w:t>
      </w:r>
    </w:p>
    <w:p w14:paraId="1A1B2BB7"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[24] O'Boyle, N. M., Banck, M., James, C. A., Morley, C., </w:t>
      </w:r>
      <w:proofErr w:type="spellStart"/>
      <w:r w:rsidRPr="006C5C8C">
        <w:rPr>
          <w:rFonts w:ascii="Arial" w:hAnsi="Arial" w:cs="Arial"/>
          <w:sz w:val="20"/>
          <w:szCs w:val="20"/>
        </w:rPr>
        <w:t>Vandermeersch</w:t>
      </w:r>
      <w:proofErr w:type="spellEnd"/>
      <w:r w:rsidRPr="006C5C8C">
        <w:rPr>
          <w:rFonts w:ascii="Arial" w:hAnsi="Arial" w:cs="Arial"/>
          <w:sz w:val="20"/>
          <w:szCs w:val="20"/>
        </w:rPr>
        <w:t xml:space="preserve">, T., and Hutchison, </w:t>
      </w:r>
    </w:p>
    <w:p w14:paraId="1F68B8BD" w14:textId="29A2B082"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G. R. (2011). Open babel: An open chemical toolbox. </w:t>
      </w:r>
      <w:r w:rsidRPr="006C5C8C">
        <w:rPr>
          <w:rFonts w:ascii="Arial" w:hAnsi="Arial" w:cs="Arial"/>
          <w:i/>
          <w:iCs/>
          <w:sz w:val="20"/>
          <w:szCs w:val="20"/>
        </w:rPr>
        <w:t>Journal of Cheminformatics</w:t>
      </w:r>
      <w:r w:rsidRPr="006C5C8C">
        <w:rPr>
          <w:rFonts w:ascii="Arial" w:hAnsi="Arial" w:cs="Arial"/>
          <w:sz w:val="20"/>
          <w:szCs w:val="20"/>
        </w:rPr>
        <w:t xml:space="preserve">, 3(1), </w:t>
      </w:r>
    </w:p>
    <w:p w14:paraId="0F83F96A" w14:textId="615A35EE" w:rsidR="006C5C8C" w:rsidRPr="006C5C8C" w:rsidRDefault="006C5C8C" w:rsidP="006C5C8C">
      <w:pPr>
        <w:spacing w:line="240" w:lineRule="auto"/>
        <w:ind w:left="360"/>
        <w:jc w:val="both"/>
        <w:rPr>
          <w:rFonts w:ascii="Arial" w:hAnsi="Arial" w:cs="Arial"/>
          <w:color w:val="222222"/>
          <w:sz w:val="20"/>
          <w:szCs w:val="20"/>
          <w:shd w:val="clear" w:color="auto" w:fill="FFFFFF"/>
        </w:rPr>
      </w:pPr>
      <w:r w:rsidRPr="006C5C8C">
        <w:rPr>
          <w:rFonts w:ascii="Arial" w:hAnsi="Arial" w:cs="Arial"/>
          <w:sz w:val="20"/>
          <w:szCs w:val="20"/>
        </w:rPr>
        <w:t xml:space="preserve">       1-14. </w:t>
      </w:r>
      <w:hyperlink r:id="rId63" w:history="1">
        <w:r w:rsidRPr="006C5C8C">
          <w:rPr>
            <w:rStyle w:val="Hyperlink"/>
            <w:rFonts w:ascii="Arial" w:hAnsi="Arial" w:cs="Arial"/>
            <w:sz w:val="20"/>
            <w:szCs w:val="20"/>
            <w:shd w:val="clear" w:color="auto" w:fill="FFFFFF"/>
          </w:rPr>
          <w:t>https://doi.org/10.1186/1758-2946-3-33</w:t>
        </w:r>
      </w:hyperlink>
    </w:p>
    <w:p w14:paraId="55040750"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[25] Huey, R., Morris, G. M., and Forli, S. (2012). Using </w:t>
      </w:r>
      <w:proofErr w:type="spellStart"/>
      <w:r w:rsidRPr="006C5C8C">
        <w:rPr>
          <w:rFonts w:ascii="Arial" w:hAnsi="Arial" w:cs="Arial"/>
          <w:sz w:val="20"/>
          <w:szCs w:val="20"/>
        </w:rPr>
        <w:t>AutoDock</w:t>
      </w:r>
      <w:proofErr w:type="spellEnd"/>
      <w:r w:rsidRPr="006C5C8C">
        <w:rPr>
          <w:rFonts w:ascii="Arial" w:hAnsi="Arial" w:cs="Arial"/>
          <w:sz w:val="20"/>
          <w:szCs w:val="20"/>
        </w:rPr>
        <w:t xml:space="preserve"> 4 and </w:t>
      </w:r>
      <w:proofErr w:type="spellStart"/>
      <w:r w:rsidRPr="006C5C8C">
        <w:rPr>
          <w:rFonts w:ascii="Arial" w:hAnsi="Arial" w:cs="Arial"/>
          <w:sz w:val="20"/>
          <w:szCs w:val="20"/>
        </w:rPr>
        <w:t>AutoDock</w:t>
      </w:r>
      <w:proofErr w:type="spellEnd"/>
      <w:r w:rsidRPr="006C5C8C">
        <w:rPr>
          <w:rFonts w:ascii="Arial" w:hAnsi="Arial" w:cs="Arial"/>
          <w:sz w:val="20"/>
          <w:szCs w:val="20"/>
        </w:rPr>
        <w:t xml:space="preserve"> vina </w:t>
      </w:r>
    </w:p>
    <w:p w14:paraId="16995D8F" w14:textId="5CD3C8F8" w:rsidR="006C5C8C" w:rsidRPr="006C5C8C" w:rsidRDefault="006C5C8C" w:rsidP="006C5C8C">
      <w:pPr>
        <w:spacing w:after="0" w:line="240" w:lineRule="auto"/>
        <w:ind w:left="360"/>
        <w:jc w:val="both"/>
        <w:rPr>
          <w:rFonts w:ascii="Arial" w:hAnsi="Arial" w:cs="Arial"/>
          <w:i/>
          <w:iCs/>
          <w:sz w:val="20"/>
          <w:szCs w:val="20"/>
        </w:rPr>
      </w:pPr>
      <w:r w:rsidRPr="006C5C8C">
        <w:rPr>
          <w:rFonts w:ascii="Arial" w:hAnsi="Arial" w:cs="Arial"/>
          <w:sz w:val="20"/>
          <w:szCs w:val="20"/>
        </w:rPr>
        <w:t xml:space="preserve">       with </w:t>
      </w:r>
      <w:proofErr w:type="spellStart"/>
      <w:r w:rsidRPr="006C5C8C">
        <w:rPr>
          <w:rFonts w:ascii="Arial" w:hAnsi="Arial" w:cs="Arial"/>
          <w:sz w:val="20"/>
          <w:szCs w:val="20"/>
        </w:rPr>
        <w:t>AutoDockTools</w:t>
      </w:r>
      <w:proofErr w:type="spellEnd"/>
      <w:r w:rsidRPr="006C5C8C">
        <w:rPr>
          <w:rFonts w:ascii="Arial" w:hAnsi="Arial" w:cs="Arial"/>
          <w:sz w:val="20"/>
          <w:szCs w:val="20"/>
        </w:rPr>
        <w:t xml:space="preserve">: A tutorial. </w:t>
      </w:r>
      <w:r w:rsidRPr="006C5C8C">
        <w:rPr>
          <w:rFonts w:ascii="Arial" w:hAnsi="Arial" w:cs="Arial"/>
          <w:i/>
          <w:iCs/>
          <w:sz w:val="20"/>
          <w:szCs w:val="20"/>
        </w:rPr>
        <w:t xml:space="preserve">The Scripps Research Institute Molecular Graphics </w:t>
      </w:r>
    </w:p>
    <w:p w14:paraId="14A6F418" w14:textId="61B193F9"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i/>
          <w:iCs/>
          <w:sz w:val="20"/>
          <w:szCs w:val="20"/>
        </w:rPr>
        <w:t xml:space="preserve">       Laboratory</w:t>
      </w:r>
      <w:r w:rsidRPr="006C5C8C">
        <w:rPr>
          <w:rFonts w:ascii="Arial" w:hAnsi="Arial" w:cs="Arial"/>
          <w:sz w:val="20"/>
          <w:szCs w:val="20"/>
        </w:rPr>
        <w:t xml:space="preserve">, 10550(92037), 1000. </w:t>
      </w:r>
      <w:hyperlink r:id="rId64" w:history="1">
        <w:r w:rsidRPr="006C5C8C">
          <w:rPr>
            <w:rStyle w:val="Hyperlink"/>
            <w:rFonts w:ascii="Arial" w:hAnsi="Arial" w:cs="Arial"/>
            <w:sz w:val="20"/>
            <w:szCs w:val="20"/>
          </w:rPr>
          <w:t>http://vina.scripps.edu.</w:t>
        </w:r>
      </w:hyperlink>
    </w:p>
    <w:p w14:paraId="63EEF896"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[26] Hsu, K. C., Chen, Y. F., Lin, S. R., and Yang, J. M. (2011). </w:t>
      </w:r>
      <w:proofErr w:type="spellStart"/>
      <w:r w:rsidRPr="006C5C8C">
        <w:rPr>
          <w:rFonts w:ascii="Arial" w:hAnsi="Arial" w:cs="Arial"/>
          <w:sz w:val="20"/>
          <w:szCs w:val="20"/>
        </w:rPr>
        <w:t>iGEMDOCK</w:t>
      </w:r>
      <w:proofErr w:type="spellEnd"/>
      <w:r w:rsidRPr="006C5C8C">
        <w:rPr>
          <w:rFonts w:ascii="Arial" w:hAnsi="Arial" w:cs="Arial"/>
          <w:sz w:val="20"/>
          <w:szCs w:val="20"/>
        </w:rPr>
        <w:t xml:space="preserve">: A graphical </w:t>
      </w:r>
    </w:p>
    <w:p w14:paraId="61C3715A" w14:textId="74869809"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environment of enhancing GEMDOCK using pharmacological interactions and post-</w:t>
      </w:r>
    </w:p>
    <w:p w14:paraId="21E061E3" w14:textId="6A8396A4"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screening analysis. </w:t>
      </w:r>
      <w:r w:rsidRPr="006C5C8C">
        <w:rPr>
          <w:rFonts w:ascii="Arial" w:hAnsi="Arial" w:cs="Arial"/>
          <w:i/>
          <w:iCs/>
          <w:sz w:val="20"/>
          <w:szCs w:val="20"/>
        </w:rPr>
        <w:t>BMC Bioinformatics,</w:t>
      </w:r>
      <w:r w:rsidRPr="006C5C8C">
        <w:rPr>
          <w:rFonts w:ascii="Arial" w:hAnsi="Arial" w:cs="Arial"/>
          <w:sz w:val="20"/>
          <w:szCs w:val="20"/>
        </w:rPr>
        <w:t xml:space="preserve"> 12, 1-11.</w:t>
      </w:r>
    </w:p>
    <w:p w14:paraId="3818134A" w14:textId="7B9F8778" w:rsidR="006C5C8C" w:rsidRPr="006C5C8C" w:rsidRDefault="006C5C8C" w:rsidP="006C5C8C">
      <w:pPr>
        <w:spacing w:line="240" w:lineRule="auto"/>
        <w:ind w:left="360"/>
        <w:jc w:val="both"/>
        <w:rPr>
          <w:rStyle w:val="Hyperlink"/>
          <w:rFonts w:ascii="Arial" w:hAnsi="Arial" w:cs="Arial"/>
          <w:sz w:val="20"/>
          <w:szCs w:val="20"/>
        </w:rPr>
      </w:pPr>
      <w:r w:rsidRPr="006C5C8C">
        <w:rPr>
          <w:rFonts w:ascii="Arial" w:hAnsi="Arial" w:cs="Arial"/>
          <w:sz w:val="20"/>
          <w:szCs w:val="20"/>
        </w:rPr>
        <w:t xml:space="preserve">       </w:t>
      </w:r>
      <w:hyperlink r:id="rId65" w:history="1">
        <w:r w:rsidRPr="00506711">
          <w:rPr>
            <w:rStyle w:val="Hyperlink"/>
            <w:rFonts w:ascii="Arial" w:hAnsi="Arial" w:cs="Arial"/>
            <w:sz w:val="20"/>
            <w:szCs w:val="20"/>
            <w:shd w:val="clear" w:color="auto" w:fill="FFFFFF"/>
          </w:rPr>
          <w:t>https://doi.org/10.1186/1471-2105-12-S1-S33</w:t>
        </w:r>
      </w:hyperlink>
    </w:p>
    <w:p w14:paraId="0EA8BED9"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lang w:val="de-DE"/>
        </w:rPr>
        <w:t xml:space="preserve">[27] Scholz, C., Knorr, S., Hamacher, K., and Schmidt, B. (2015). </w:t>
      </w:r>
      <w:r w:rsidRPr="006C5C8C">
        <w:rPr>
          <w:rFonts w:ascii="Arial" w:hAnsi="Arial" w:cs="Arial"/>
          <w:sz w:val="20"/>
          <w:szCs w:val="20"/>
        </w:rPr>
        <w:t xml:space="preserve">DOCKTITE A highly </w:t>
      </w:r>
    </w:p>
    <w:p w14:paraId="7AAE50D0" w14:textId="478094B2"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versatile step-by-step workflow for covalent docking and virtual screening in the </w:t>
      </w:r>
    </w:p>
    <w:p w14:paraId="0C5F2E6E" w14:textId="55AEB07B" w:rsidR="006C5C8C" w:rsidRPr="006C5C8C" w:rsidRDefault="006C5C8C" w:rsidP="006C5C8C">
      <w:pPr>
        <w:spacing w:after="0" w:line="240" w:lineRule="auto"/>
        <w:ind w:left="360"/>
        <w:jc w:val="both"/>
        <w:rPr>
          <w:rFonts w:ascii="Arial" w:hAnsi="Arial" w:cs="Arial"/>
          <w:i/>
          <w:iCs/>
          <w:sz w:val="20"/>
          <w:szCs w:val="20"/>
        </w:rPr>
      </w:pPr>
      <w:r w:rsidRPr="006C5C8C">
        <w:rPr>
          <w:rFonts w:ascii="Arial" w:hAnsi="Arial" w:cs="Arial"/>
          <w:sz w:val="20"/>
          <w:szCs w:val="20"/>
        </w:rPr>
        <w:t xml:space="preserve">       molecular operating environment. </w:t>
      </w:r>
      <w:r w:rsidRPr="006C5C8C">
        <w:rPr>
          <w:rFonts w:ascii="Arial" w:hAnsi="Arial" w:cs="Arial"/>
          <w:i/>
          <w:iCs/>
          <w:sz w:val="20"/>
          <w:szCs w:val="20"/>
        </w:rPr>
        <w:t xml:space="preserve">Journal of Chemical Information and </w:t>
      </w:r>
    </w:p>
    <w:p w14:paraId="3A84F6F8" w14:textId="2851BDD6" w:rsidR="006C5C8C" w:rsidRPr="006C5C8C" w:rsidRDefault="006C5C8C" w:rsidP="006C5C8C">
      <w:pPr>
        <w:spacing w:line="240" w:lineRule="auto"/>
        <w:ind w:left="360"/>
        <w:jc w:val="both"/>
        <w:rPr>
          <w:rFonts w:ascii="Arial" w:hAnsi="Arial" w:cs="Arial"/>
          <w:color w:val="222222"/>
          <w:sz w:val="20"/>
          <w:szCs w:val="20"/>
          <w:shd w:val="clear" w:color="auto" w:fill="FFFFFF"/>
        </w:rPr>
      </w:pPr>
      <w:r w:rsidRPr="006C5C8C">
        <w:rPr>
          <w:rFonts w:ascii="Arial" w:hAnsi="Arial" w:cs="Arial"/>
          <w:i/>
          <w:iCs/>
          <w:sz w:val="20"/>
          <w:szCs w:val="20"/>
        </w:rPr>
        <w:t xml:space="preserve">       Modeling</w:t>
      </w:r>
      <w:r w:rsidRPr="006C5C8C">
        <w:rPr>
          <w:rFonts w:ascii="Arial" w:hAnsi="Arial" w:cs="Arial"/>
          <w:sz w:val="20"/>
          <w:szCs w:val="20"/>
        </w:rPr>
        <w:t>, </w:t>
      </w:r>
      <w:r w:rsidRPr="006C5C8C">
        <w:rPr>
          <w:rFonts w:ascii="Arial" w:hAnsi="Arial" w:cs="Arial"/>
          <w:i/>
          <w:iCs/>
          <w:sz w:val="20"/>
          <w:szCs w:val="20"/>
        </w:rPr>
        <w:t>55</w:t>
      </w:r>
      <w:r w:rsidRPr="006C5C8C">
        <w:rPr>
          <w:rFonts w:ascii="Arial" w:hAnsi="Arial" w:cs="Arial"/>
          <w:sz w:val="20"/>
          <w:szCs w:val="20"/>
        </w:rPr>
        <w:t xml:space="preserve">(2), 398-406. </w:t>
      </w:r>
      <w:hyperlink r:id="rId66" w:history="1">
        <w:r w:rsidRPr="006C5C8C">
          <w:rPr>
            <w:rStyle w:val="Hyperlink"/>
            <w:rFonts w:ascii="Arial" w:hAnsi="Arial" w:cs="Arial"/>
            <w:sz w:val="20"/>
            <w:szCs w:val="20"/>
          </w:rPr>
          <w:t>https://doi.org/10.1021/ci500681r</w:t>
        </w:r>
      </w:hyperlink>
    </w:p>
    <w:p w14:paraId="1A036D1A"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[28] Oyedele, A. Q. K., </w:t>
      </w:r>
      <w:proofErr w:type="spellStart"/>
      <w:r w:rsidRPr="006C5C8C">
        <w:rPr>
          <w:rFonts w:ascii="Arial" w:hAnsi="Arial" w:cs="Arial"/>
          <w:sz w:val="20"/>
          <w:szCs w:val="20"/>
        </w:rPr>
        <w:t>Adelusi</w:t>
      </w:r>
      <w:proofErr w:type="spellEnd"/>
      <w:r w:rsidRPr="006C5C8C">
        <w:rPr>
          <w:rFonts w:ascii="Arial" w:hAnsi="Arial" w:cs="Arial"/>
          <w:sz w:val="20"/>
          <w:szCs w:val="20"/>
        </w:rPr>
        <w:t xml:space="preserve">, T. I., Ogunlana, A. T., Adeyemi, R. O., Atanda, O. E., </w:t>
      </w:r>
    </w:p>
    <w:p w14:paraId="107D2C3B" w14:textId="62EC83A5"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Babalola, M. </w:t>
      </w:r>
      <w:proofErr w:type="gramStart"/>
      <w:r w:rsidRPr="006C5C8C">
        <w:rPr>
          <w:rFonts w:ascii="Arial" w:hAnsi="Arial" w:cs="Arial"/>
          <w:sz w:val="20"/>
          <w:szCs w:val="20"/>
        </w:rPr>
        <w:t>O., ..</w:t>
      </w:r>
      <w:proofErr w:type="gramEnd"/>
      <w:r w:rsidRPr="006C5C8C">
        <w:rPr>
          <w:rFonts w:ascii="Arial" w:hAnsi="Arial" w:cs="Arial"/>
          <w:sz w:val="20"/>
          <w:szCs w:val="20"/>
        </w:rPr>
        <w:t xml:space="preserve"> and </w:t>
      </w:r>
      <w:proofErr w:type="spellStart"/>
      <w:r w:rsidRPr="006C5C8C">
        <w:rPr>
          <w:rFonts w:ascii="Arial" w:hAnsi="Arial" w:cs="Arial"/>
          <w:sz w:val="20"/>
          <w:szCs w:val="20"/>
        </w:rPr>
        <w:t>Boyenle</w:t>
      </w:r>
      <w:proofErr w:type="spellEnd"/>
      <w:r w:rsidRPr="006C5C8C">
        <w:rPr>
          <w:rFonts w:ascii="Arial" w:hAnsi="Arial" w:cs="Arial"/>
          <w:sz w:val="20"/>
          <w:szCs w:val="20"/>
        </w:rPr>
        <w:t xml:space="preserve">, I. D. (2022). Integrated virtual screening and molecular </w:t>
      </w:r>
    </w:p>
    <w:p w14:paraId="2D16863D" w14:textId="26834708"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dynamics simulation revealed promising drug candidates of p53-MDM2 interaction. </w:t>
      </w:r>
    </w:p>
    <w:p w14:paraId="54288B7B" w14:textId="1548BB93" w:rsidR="006C5C8C" w:rsidRPr="006C5C8C" w:rsidRDefault="006C5C8C" w:rsidP="006C5C8C">
      <w:pPr>
        <w:spacing w:line="240" w:lineRule="auto"/>
        <w:ind w:left="360"/>
        <w:jc w:val="both"/>
        <w:rPr>
          <w:rStyle w:val="Hyperlink"/>
          <w:rFonts w:ascii="Arial" w:hAnsi="Arial" w:cs="Arial"/>
          <w:color w:val="222222"/>
          <w:sz w:val="20"/>
          <w:szCs w:val="20"/>
          <w:shd w:val="clear" w:color="auto" w:fill="FFFFFF"/>
        </w:rPr>
      </w:pPr>
      <w:r w:rsidRPr="006C5C8C">
        <w:rPr>
          <w:rFonts w:ascii="Arial" w:hAnsi="Arial" w:cs="Arial"/>
          <w:sz w:val="20"/>
          <w:szCs w:val="20"/>
        </w:rPr>
        <w:t xml:space="preserve">       </w:t>
      </w:r>
      <w:r w:rsidRPr="006C5C8C">
        <w:rPr>
          <w:rFonts w:ascii="Arial" w:hAnsi="Arial" w:cs="Arial"/>
          <w:i/>
          <w:iCs/>
          <w:sz w:val="20"/>
          <w:szCs w:val="20"/>
        </w:rPr>
        <w:t>Journal of Molecular Modeling</w:t>
      </w:r>
      <w:r w:rsidRPr="006C5C8C">
        <w:rPr>
          <w:rFonts w:ascii="Arial" w:hAnsi="Arial" w:cs="Arial"/>
          <w:sz w:val="20"/>
          <w:szCs w:val="20"/>
        </w:rPr>
        <w:t>, 28(6), 142.</w:t>
      </w:r>
      <w:hyperlink r:id="rId67" w:history="1">
        <w:r w:rsidRPr="006C5C8C">
          <w:rPr>
            <w:rStyle w:val="Hyperlink"/>
            <w:rFonts w:ascii="Arial" w:hAnsi="Arial" w:cs="Arial"/>
            <w:sz w:val="20"/>
            <w:szCs w:val="20"/>
            <w:shd w:val="clear" w:color="auto" w:fill="FFFFFF"/>
          </w:rPr>
          <w:t>https://doi.org/10.1007/s00894-022-05131-w</w:t>
        </w:r>
      </w:hyperlink>
    </w:p>
    <w:p w14:paraId="327BC5CD" w14:textId="77777777"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[29] Ajao, F. O., </w:t>
      </w:r>
      <w:proofErr w:type="spellStart"/>
      <w:r w:rsidRPr="006C5C8C">
        <w:rPr>
          <w:rFonts w:ascii="Arial" w:hAnsi="Arial" w:cs="Arial"/>
          <w:color w:val="222222"/>
          <w:sz w:val="20"/>
          <w:szCs w:val="20"/>
          <w:shd w:val="clear" w:color="auto" w:fill="FFFFFF"/>
        </w:rPr>
        <w:t>Ehigie</w:t>
      </w:r>
      <w:proofErr w:type="spellEnd"/>
      <w:r w:rsidRPr="006C5C8C">
        <w:rPr>
          <w:rFonts w:ascii="Arial" w:hAnsi="Arial" w:cs="Arial"/>
          <w:color w:val="222222"/>
          <w:sz w:val="20"/>
          <w:szCs w:val="20"/>
          <w:shd w:val="clear" w:color="auto" w:fill="FFFFFF"/>
        </w:rPr>
        <w:t xml:space="preserve">, A. F., </w:t>
      </w:r>
      <w:proofErr w:type="spellStart"/>
      <w:r w:rsidRPr="006C5C8C">
        <w:rPr>
          <w:rFonts w:ascii="Arial" w:hAnsi="Arial" w:cs="Arial"/>
          <w:color w:val="222222"/>
          <w:sz w:val="20"/>
          <w:szCs w:val="20"/>
          <w:shd w:val="clear" w:color="auto" w:fill="FFFFFF"/>
        </w:rPr>
        <w:t>Odunitan</w:t>
      </w:r>
      <w:proofErr w:type="spellEnd"/>
      <w:r w:rsidRPr="006C5C8C">
        <w:rPr>
          <w:rFonts w:ascii="Arial" w:hAnsi="Arial" w:cs="Arial"/>
          <w:color w:val="222222"/>
          <w:sz w:val="20"/>
          <w:szCs w:val="20"/>
          <w:shd w:val="clear" w:color="auto" w:fill="FFFFFF"/>
        </w:rPr>
        <w:t xml:space="preserve">, T. T., Atanda, O. E., Ayoola, P. B., and Olaniyan, L. </w:t>
      </w:r>
    </w:p>
    <w:p w14:paraId="51601453" w14:textId="2250BCB0"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W. (2024). Computational exploration of </w:t>
      </w:r>
      <w:proofErr w:type="spellStart"/>
      <w:r w:rsidRPr="006C5C8C">
        <w:rPr>
          <w:rFonts w:ascii="Arial" w:hAnsi="Arial" w:cs="Arial"/>
          <w:color w:val="222222"/>
          <w:sz w:val="20"/>
          <w:szCs w:val="20"/>
          <w:shd w:val="clear" w:color="auto" w:fill="FFFFFF"/>
        </w:rPr>
        <w:t>psidii</w:t>
      </w:r>
      <w:proofErr w:type="spellEnd"/>
      <w:r w:rsidRPr="006C5C8C">
        <w:rPr>
          <w:rFonts w:ascii="Arial" w:hAnsi="Arial" w:cs="Arial"/>
          <w:color w:val="222222"/>
          <w:sz w:val="20"/>
          <w:szCs w:val="20"/>
          <w:shd w:val="clear" w:color="auto" w:fill="FFFFFF"/>
        </w:rPr>
        <w:t xml:space="preserve"> </w:t>
      </w:r>
      <w:proofErr w:type="spellStart"/>
      <w:r w:rsidRPr="006C5C8C">
        <w:rPr>
          <w:rFonts w:ascii="Arial" w:hAnsi="Arial" w:cs="Arial"/>
          <w:color w:val="222222"/>
          <w:sz w:val="20"/>
          <w:szCs w:val="20"/>
          <w:shd w:val="clear" w:color="auto" w:fill="FFFFFF"/>
        </w:rPr>
        <w:t>guajavae</w:t>
      </w:r>
      <w:proofErr w:type="spellEnd"/>
      <w:r w:rsidRPr="006C5C8C">
        <w:rPr>
          <w:rFonts w:ascii="Arial" w:hAnsi="Arial" w:cs="Arial"/>
          <w:color w:val="222222"/>
          <w:sz w:val="20"/>
          <w:szCs w:val="20"/>
          <w:shd w:val="clear" w:color="auto" w:fill="FFFFFF"/>
        </w:rPr>
        <w:t xml:space="preserve"> folium bioactive compounds as </w:t>
      </w:r>
    </w:p>
    <w:p w14:paraId="6DF89F99" w14:textId="177DDE18" w:rsidR="006C5C8C" w:rsidRPr="006C5C8C" w:rsidRDefault="006C5C8C" w:rsidP="006C5C8C">
      <w:pPr>
        <w:spacing w:line="240" w:lineRule="auto"/>
        <w:ind w:left="360"/>
        <w:jc w:val="both"/>
        <w:rPr>
          <w:rFonts w:ascii="Arial" w:eastAsia="Century Schoolbook" w:hAnsi="Arial" w:cs="Arial"/>
          <w:sz w:val="20"/>
          <w:szCs w:val="20"/>
        </w:rPr>
      </w:pPr>
      <w:r w:rsidRPr="006C5C8C">
        <w:rPr>
          <w:rFonts w:ascii="Arial" w:hAnsi="Arial" w:cs="Arial"/>
          <w:color w:val="222222"/>
          <w:sz w:val="20"/>
          <w:szCs w:val="20"/>
          <w:shd w:val="clear" w:color="auto" w:fill="FFFFFF"/>
        </w:rPr>
        <w:lastRenderedPageBreak/>
        <w:t xml:space="preserve">       novel </w:t>
      </w:r>
      <w:proofErr w:type="spellStart"/>
      <w:r w:rsidRPr="006C5C8C">
        <w:rPr>
          <w:rFonts w:ascii="Arial" w:hAnsi="Arial" w:cs="Arial"/>
          <w:color w:val="222222"/>
          <w:sz w:val="20"/>
          <w:szCs w:val="20"/>
          <w:shd w:val="clear" w:color="auto" w:fill="FFFFFF"/>
        </w:rPr>
        <w:t>Dpp</w:t>
      </w:r>
      <w:proofErr w:type="spellEnd"/>
      <w:r w:rsidRPr="006C5C8C">
        <w:rPr>
          <w:rFonts w:ascii="Arial" w:hAnsi="Arial" w:cs="Arial"/>
          <w:color w:val="222222"/>
          <w:sz w:val="20"/>
          <w:szCs w:val="20"/>
          <w:shd w:val="clear" w:color="auto" w:fill="FFFFFF"/>
        </w:rPr>
        <w:t xml:space="preserve">-Iv inhibitors for type 2 diabetes mellitus intervention. </w:t>
      </w:r>
      <w:proofErr w:type="spellStart"/>
      <w:r w:rsidRPr="006C5C8C">
        <w:rPr>
          <w:rFonts w:ascii="Arial" w:eastAsia="Century Schoolbook" w:hAnsi="Arial" w:cs="Arial"/>
          <w:sz w:val="20"/>
          <w:szCs w:val="20"/>
        </w:rPr>
        <w:t>Issn</w:t>
      </w:r>
      <w:proofErr w:type="spellEnd"/>
      <w:r w:rsidRPr="006C5C8C">
        <w:rPr>
          <w:rFonts w:ascii="Arial" w:eastAsia="Century Schoolbook" w:hAnsi="Arial" w:cs="Arial"/>
          <w:sz w:val="20"/>
          <w:szCs w:val="20"/>
        </w:rPr>
        <w:t xml:space="preserve"> 2394-3211 </w:t>
      </w:r>
    </w:p>
    <w:p w14:paraId="760F9C8D" w14:textId="77777777" w:rsidR="006C5C8C" w:rsidRPr="006C5C8C" w:rsidRDefault="006C5C8C" w:rsidP="006C5C8C">
      <w:pPr>
        <w:spacing w:after="0" w:line="240" w:lineRule="auto"/>
        <w:ind w:left="360"/>
        <w:jc w:val="both"/>
        <w:rPr>
          <w:rFonts w:ascii="Arial" w:hAnsi="Arial" w:cs="Arial"/>
          <w:i/>
          <w:iCs/>
          <w:color w:val="222222"/>
          <w:sz w:val="20"/>
          <w:szCs w:val="20"/>
          <w:shd w:val="clear" w:color="auto" w:fill="FFFFFF"/>
        </w:rPr>
      </w:pPr>
      <w:r w:rsidRPr="006C5C8C">
        <w:rPr>
          <w:rFonts w:ascii="Arial" w:hAnsi="Arial" w:cs="Arial"/>
          <w:color w:val="222222"/>
          <w:sz w:val="20"/>
          <w:szCs w:val="20"/>
          <w:shd w:val="clear" w:color="auto" w:fill="FFFFFF"/>
        </w:rPr>
        <w:t>[30] Lipinski, C. A. (2004). Lead-and drug-like compounds: The rule-of-five revolution. </w:t>
      </w:r>
      <w:r w:rsidRPr="006C5C8C">
        <w:rPr>
          <w:rFonts w:ascii="Arial" w:hAnsi="Arial" w:cs="Arial"/>
          <w:i/>
          <w:iCs/>
          <w:color w:val="222222"/>
          <w:sz w:val="20"/>
          <w:szCs w:val="20"/>
          <w:shd w:val="clear" w:color="auto" w:fill="FFFFFF"/>
        </w:rPr>
        <w:t xml:space="preserve">Drug </w:t>
      </w:r>
    </w:p>
    <w:p w14:paraId="4FF5C3AF" w14:textId="52BDF7E3"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w:t>
      </w:r>
      <w:r w:rsidRPr="006C5C8C">
        <w:rPr>
          <w:rFonts w:ascii="Arial" w:hAnsi="Arial" w:cs="Arial"/>
          <w:i/>
          <w:iCs/>
          <w:color w:val="222222"/>
          <w:sz w:val="20"/>
          <w:szCs w:val="20"/>
          <w:shd w:val="clear" w:color="auto" w:fill="FFFFFF"/>
        </w:rPr>
        <w:t>Discovery today: Technologies</w:t>
      </w:r>
      <w:r w:rsidRPr="006C5C8C">
        <w:rPr>
          <w:rFonts w:ascii="Arial" w:hAnsi="Arial" w:cs="Arial"/>
          <w:color w:val="222222"/>
          <w:sz w:val="20"/>
          <w:szCs w:val="20"/>
          <w:shd w:val="clear" w:color="auto" w:fill="FFFFFF"/>
        </w:rPr>
        <w:t>, </w:t>
      </w:r>
      <w:r w:rsidRPr="006C5C8C">
        <w:rPr>
          <w:rFonts w:ascii="Arial" w:hAnsi="Arial" w:cs="Arial"/>
          <w:i/>
          <w:iCs/>
          <w:color w:val="222222"/>
          <w:sz w:val="20"/>
          <w:szCs w:val="20"/>
          <w:shd w:val="clear" w:color="auto" w:fill="FFFFFF"/>
        </w:rPr>
        <w:t>1</w:t>
      </w:r>
      <w:r w:rsidRPr="006C5C8C">
        <w:rPr>
          <w:rFonts w:ascii="Arial" w:hAnsi="Arial" w:cs="Arial"/>
          <w:color w:val="222222"/>
          <w:sz w:val="20"/>
          <w:szCs w:val="20"/>
          <w:shd w:val="clear" w:color="auto" w:fill="FFFFFF"/>
        </w:rPr>
        <w:t xml:space="preserve">(4), 337-341. </w:t>
      </w:r>
    </w:p>
    <w:p w14:paraId="2260F129" w14:textId="7F777B42" w:rsidR="006C5C8C" w:rsidRPr="006C5C8C" w:rsidRDefault="006C5C8C" w:rsidP="006C5C8C">
      <w:pPr>
        <w:spacing w:line="240" w:lineRule="auto"/>
        <w:jc w:val="both"/>
        <w:rPr>
          <w:rStyle w:val="Hyperlink"/>
          <w:rFonts w:ascii="Arial" w:hAnsi="Arial" w:cs="Arial"/>
          <w:color w:val="auto"/>
          <w:sz w:val="20"/>
          <w:szCs w:val="20"/>
        </w:rPr>
      </w:pPr>
      <w:r w:rsidRPr="006C5C8C">
        <w:rPr>
          <w:rFonts w:ascii="Arial" w:hAnsi="Arial" w:cs="Arial"/>
          <w:sz w:val="20"/>
          <w:szCs w:val="20"/>
        </w:rPr>
        <w:t xml:space="preserve">              </w:t>
      </w:r>
      <w:hyperlink r:id="rId68" w:history="1">
        <w:r w:rsidRPr="00506711">
          <w:rPr>
            <w:rStyle w:val="Hyperlink"/>
            <w:rFonts w:ascii="Arial" w:hAnsi="Arial" w:cs="Arial"/>
            <w:sz w:val="20"/>
            <w:szCs w:val="20"/>
            <w:shd w:val="clear" w:color="auto" w:fill="FFFFFF"/>
          </w:rPr>
          <w:t>https://doi.org/10.1016/j.ddtec.2004.11.007</w:t>
        </w:r>
      </w:hyperlink>
    </w:p>
    <w:p w14:paraId="7C106A89" w14:textId="77777777" w:rsidR="006C5C8C" w:rsidRPr="006C5C8C" w:rsidRDefault="006C5C8C" w:rsidP="006C5C8C">
      <w:pPr>
        <w:spacing w:after="0" w:line="240" w:lineRule="auto"/>
        <w:ind w:left="360"/>
        <w:jc w:val="both"/>
        <w:rPr>
          <w:rFonts w:ascii="Arial" w:hAnsi="Arial" w:cs="Arial"/>
          <w:sz w:val="20"/>
          <w:szCs w:val="20"/>
        </w:rPr>
      </w:pPr>
      <w:bookmarkStart w:id="9" w:name="_Hlk177604322"/>
      <w:r w:rsidRPr="006C5C8C">
        <w:rPr>
          <w:rFonts w:ascii="Arial" w:hAnsi="Arial" w:cs="Arial"/>
          <w:sz w:val="20"/>
          <w:szCs w:val="20"/>
          <w:lang w:val="de-DE"/>
        </w:rPr>
        <w:t>[31] Chen</w:t>
      </w:r>
      <w:bookmarkEnd w:id="9"/>
      <w:r w:rsidRPr="006C5C8C">
        <w:rPr>
          <w:rFonts w:ascii="Arial" w:hAnsi="Arial" w:cs="Arial"/>
          <w:sz w:val="20"/>
          <w:szCs w:val="20"/>
          <w:lang w:val="de-DE"/>
        </w:rPr>
        <w:t xml:space="preserve">, X., Li, H., Tian, L., Li, Q., Luo, J., and Zhang, Y. (2020). </w:t>
      </w:r>
      <w:r w:rsidRPr="006C5C8C">
        <w:rPr>
          <w:rFonts w:ascii="Arial" w:hAnsi="Arial" w:cs="Arial"/>
          <w:sz w:val="20"/>
          <w:szCs w:val="20"/>
        </w:rPr>
        <w:t xml:space="preserve">Analysis of the </w:t>
      </w:r>
    </w:p>
    <w:p w14:paraId="1CD41643" w14:textId="3491D0A5" w:rsidR="006C5C8C" w:rsidRPr="006C5C8C" w:rsidRDefault="006C5C8C" w:rsidP="006C5C8C">
      <w:pPr>
        <w:spacing w:after="0" w:line="240" w:lineRule="auto"/>
        <w:ind w:left="360"/>
        <w:jc w:val="both"/>
        <w:rPr>
          <w:rFonts w:ascii="Arial" w:hAnsi="Arial" w:cs="Arial"/>
          <w:i/>
          <w:iCs/>
          <w:sz w:val="20"/>
          <w:szCs w:val="20"/>
        </w:rPr>
      </w:pPr>
      <w:r w:rsidRPr="006C5C8C">
        <w:rPr>
          <w:rFonts w:ascii="Arial" w:hAnsi="Arial" w:cs="Arial"/>
          <w:sz w:val="20"/>
          <w:szCs w:val="20"/>
        </w:rPr>
        <w:t xml:space="preserve">       physicochemical properties of acaricides based on Lipinski's rule of five. </w:t>
      </w:r>
      <w:r w:rsidRPr="006C5C8C">
        <w:rPr>
          <w:rFonts w:ascii="Arial" w:hAnsi="Arial" w:cs="Arial"/>
          <w:i/>
          <w:iCs/>
          <w:sz w:val="20"/>
          <w:szCs w:val="20"/>
        </w:rPr>
        <w:t xml:space="preserve">Journal of </w:t>
      </w:r>
    </w:p>
    <w:p w14:paraId="0F66D1FF" w14:textId="7B5CDCDC"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i/>
          <w:iCs/>
          <w:sz w:val="20"/>
          <w:szCs w:val="20"/>
        </w:rPr>
        <w:t xml:space="preserve">       Computational Biology</w:t>
      </w:r>
      <w:r w:rsidRPr="006C5C8C">
        <w:rPr>
          <w:rFonts w:ascii="Arial" w:hAnsi="Arial" w:cs="Arial"/>
          <w:sz w:val="20"/>
          <w:szCs w:val="20"/>
        </w:rPr>
        <w:t>, </w:t>
      </w:r>
      <w:r w:rsidRPr="006C5C8C">
        <w:rPr>
          <w:rFonts w:ascii="Arial" w:hAnsi="Arial" w:cs="Arial"/>
          <w:i/>
          <w:iCs/>
          <w:sz w:val="20"/>
          <w:szCs w:val="20"/>
        </w:rPr>
        <w:t>27</w:t>
      </w:r>
      <w:r w:rsidRPr="006C5C8C">
        <w:rPr>
          <w:rFonts w:ascii="Arial" w:hAnsi="Arial" w:cs="Arial"/>
          <w:sz w:val="20"/>
          <w:szCs w:val="20"/>
        </w:rPr>
        <w:t xml:space="preserve">(9), 1397-1406. </w:t>
      </w:r>
      <w:hyperlink r:id="rId69" w:history="1">
        <w:r w:rsidRPr="006C5C8C">
          <w:rPr>
            <w:rStyle w:val="Hyperlink"/>
            <w:rFonts w:ascii="Arial" w:hAnsi="Arial" w:cs="Arial"/>
            <w:sz w:val="20"/>
            <w:szCs w:val="20"/>
          </w:rPr>
          <w:t>https://doi.org/10.1089/cmb.2019.0323</w:t>
        </w:r>
      </w:hyperlink>
    </w:p>
    <w:p w14:paraId="7692EC50" w14:textId="58FE12FF"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lang w:val="de-DE"/>
        </w:rPr>
        <w:t xml:space="preserve">[32] </w:t>
      </w:r>
      <w:r>
        <w:rPr>
          <w:rFonts w:ascii="Arial" w:hAnsi="Arial" w:cs="Arial"/>
          <w:color w:val="222222"/>
          <w:sz w:val="20"/>
          <w:szCs w:val="20"/>
          <w:shd w:val="clear" w:color="auto" w:fill="FFFFFF"/>
          <w:lang w:val="de-DE"/>
        </w:rPr>
        <w:t xml:space="preserve"> </w:t>
      </w:r>
      <w:r w:rsidRPr="006C5C8C">
        <w:rPr>
          <w:rFonts w:ascii="Arial" w:hAnsi="Arial" w:cs="Arial"/>
          <w:color w:val="222222"/>
          <w:sz w:val="20"/>
          <w:szCs w:val="20"/>
          <w:shd w:val="clear" w:color="auto" w:fill="FFFFFF"/>
          <w:lang w:val="de-DE"/>
        </w:rPr>
        <w:t xml:space="preserve">Fu, L., Shi, S., Yi, J., Wang, N., He, Y., Wu, Z., ... </w:t>
      </w:r>
      <w:r w:rsidRPr="006C5C8C">
        <w:rPr>
          <w:rFonts w:ascii="Arial" w:hAnsi="Arial" w:cs="Arial"/>
          <w:color w:val="222222"/>
          <w:sz w:val="20"/>
          <w:szCs w:val="20"/>
          <w:shd w:val="clear" w:color="auto" w:fill="FFFFFF"/>
        </w:rPr>
        <w:t xml:space="preserve">and Cao, D. (2024). </w:t>
      </w:r>
      <w:proofErr w:type="spellStart"/>
      <w:r w:rsidRPr="006C5C8C">
        <w:rPr>
          <w:rFonts w:ascii="Arial" w:hAnsi="Arial" w:cs="Arial"/>
          <w:color w:val="222222"/>
          <w:sz w:val="20"/>
          <w:szCs w:val="20"/>
          <w:shd w:val="clear" w:color="auto" w:fill="FFFFFF"/>
        </w:rPr>
        <w:t>ADMETlab</w:t>
      </w:r>
      <w:proofErr w:type="spellEnd"/>
      <w:r w:rsidRPr="006C5C8C">
        <w:rPr>
          <w:rFonts w:ascii="Arial" w:hAnsi="Arial" w:cs="Arial"/>
          <w:color w:val="222222"/>
          <w:sz w:val="20"/>
          <w:szCs w:val="20"/>
          <w:shd w:val="clear" w:color="auto" w:fill="FFFFFF"/>
        </w:rPr>
        <w:t xml:space="preserve"> 3.0: </w:t>
      </w:r>
    </w:p>
    <w:p w14:paraId="7D80C09B" w14:textId="77777777"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An updated comprehensive online ADMET prediction platform enhanced with broader </w:t>
      </w:r>
    </w:p>
    <w:p w14:paraId="4F69EAC6" w14:textId="77777777" w:rsidR="006C5C8C" w:rsidRPr="006C5C8C" w:rsidRDefault="006C5C8C" w:rsidP="006C5C8C">
      <w:pPr>
        <w:spacing w:after="0" w:line="240" w:lineRule="auto"/>
        <w:ind w:left="360"/>
        <w:jc w:val="both"/>
        <w:rPr>
          <w:rFonts w:ascii="Arial" w:hAnsi="Arial" w:cs="Arial"/>
          <w:i/>
          <w:iCs/>
          <w:color w:val="222222"/>
          <w:sz w:val="20"/>
          <w:szCs w:val="20"/>
          <w:shd w:val="clear" w:color="auto" w:fill="FFFFFF"/>
        </w:rPr>
      </w:pPr>
      <w:r w:rsidRPr="006C5C8C">
        <w:rPr>
          <w:rFonts w:ascii="Arial" w:hAnsi="Arial" w:cs="Arial"/>
          <w:color w:val="222222"/>
          <w:sz w:val="20"/>
          <w:szCs w:val="20"/>
          <w:shd w:val="clear" w:color="auto" w:fill="FFFFFF"/>
        </w:rPr>
        <w:t xml:space="preserve">        coverage, improved performance, API functionality and decision support. </w:t>
      </w:r>
      <w:r w:rsidRPr="006C5C8C">
        <w:rPr>
          <w:rFonts w:ascii="Arial" w:hAnsi="Arial" w:cs="Arial"/>
          <w:i/>
          <w:iCs/>
          <w:color w:val="222222"/>
          <w:sz w:val="20"/>
          <w:szCs w:val="20"/>
          <w:shd w:val="clear" w:color="auto" w:fill="FFFFFF"/>
        </w:rPr>
        <w:t xml:space="preserve">Nucleic Acids </w:t>
      </w:r>
    </w:p>
    <w:p w14:paraId="2D60A07F" w14:textId="77777777" w:rsidR="006C5C8C" w:rsidRPr="006C5C8C" w:rsidRDefault="006C5C8C" w:rsidP="006C5C8C">
      <w:pPr>
        <w:spacing w:line="240" w:lineRule="auto"/>
        <w:ind w:left="360"/>
        <w:jc w:val="both"/>
        <w:rPr>
          <w:rFonts w:ascii="Arial" w:hAnsi="Arial" w:cs="Arial"/>
          <w:color w:val="222222"/>
          <w:sz w:val="20"/>
          <w:szCs w:val="20"/>
          <w:shd w:val="clear" w:color="auto" w:fill="FFFFFF"/>
        </w:rPr>
      </w:pPr>
      <w:r w:rsidRPr="006C5C8C">
        <w:rPr>
          <w:rFonts w:ascii="Arial" w:hAnsi="Arial" w:cs="Arial"/>
          <w:i/>
          <w:iCs/>
          <w:color w:val="222222"/>
          <w:sz w:val="20"/>
          <w:szCs w:val="20"/>
          <w:shd w:val="clear" w:color="auto" w:fill="FFFFFF"/>
        </w:rPr>
        <w:t xml:space="preserve">        Research</w:t>
      </w:r>
      <w:r w:rsidRPr="006C5C8C">
        <w:rPr>
          <w:rFonts w:ascii="Arial" w:hAnsi="Arial" w:cs="Arial"/>
          <w:color w:val="222222"/>
          <w:sz w:val="20"/>
          <w:szCs w:val="20"/>
          <w:shd w:val="clear" w:color="auto" w:fill="FFFFFF"/>
        </w:rPr>
        <w:t xml:space="preserve">, gkae236. </w:t>
      </w:r>
      <w:hyperlink r:id="rId70" w:history="1">
        <w:r w:rsidRPr="006C5C8C">
          <w:rPr>
            <w:rStyle w:val="Hyperlink"/>
            <w:rFonts w:ascii="Arial" w:hAnsi="Arial" w:cs="Arial"/>
            <w:sz w:val="20"/>
            <w:szCs w:val="20"/>
            <w:shd w:val="clear" w:color="auto" w:fill="FFFFFF"/>
          </w:rPr>
          <w:t>https://doi.org/10.1093/nar/gkae236</w:t>
        </w:r>
      </w:hyperlink>
    </w:p>
    <w:p w14:paraId="6EF9F78F" w14:textId="7264A565"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[33] Pires, D. E., Blundell, T. L., and Ascher, D. B. (2015). </w:t>
      </w:r>
      <w:proofErr w:type="spellStart"/>
      <w:r w:rsidRPr="006C5C8C">
        <w:rPr>
          <w:rFonts w:ascii="Arial" w:hAnsi="Arial" w:cs="Arial"/>
          <w:color w:val="222222"/>
          <w:sz w:val="20"/>
          <w:szCs w:val="20"/>
          <w:shd w:val="clear" w:color="auto" w:fill="FFFFFF"/>
        </w:rPr>
        <w:t>pkCSM</w:t>
      </w:r>
      <w:proofErr w:type="spellEnd"/>
      <w:r w:rsidRPr="006C5C8C">
        <w:rPr>
          <w:rFonts w:ascii="Arial" w:hAnsi="Arial" w:cs="Arial"/>
          <w:color w:val="222222"/>
          <w:sz w:val="20"/>
          <w:szCs w:val="20"/>
          <w:shd w:val="clear" w:color="auto" w:fill="FFFFFF"/>
        </w:rPr>
        <w:t xml:space="preserve">: predicting small-molecule </w:t>
      </w:r>
    </w:p>
    <w:p w14:paraId="069B1779" w14:textId="1A2A0117" w:rsidR="006C5C8C" w:rsidRPr="006C5C8C" w:rsidRDefault="006C5C8C" w:rsidP="006C5C8C">
      <w:pPr>
        <w:spacing w:after="0" w:line="240" w:lineRule="auto"/>
        <w:ind w:left="360"/>
        <w:jc w:val="both"/>
        <w:rPr>
          <w:rFonts w:ascii="Arial" w:hAnsi="Arial" w:cs="Arial"/>
          <w:i/>
          <w:iCs/>
          <w:color w:val="222222"/>
          <w:sz w:val="20"/>
          <w:szCs w:val="20"/>
          <w:shd w:val="clear" w:color="auto" w:fill="FFFFFF"/>
        </w:rPr>
      </w:pPr>
      <w:r w:rsidRPr="006C5C8C">
        <w:rPr>
          <w:rFonts w:ascii="Arial" w:hAnsi="Arial" w:cs="Arial"/>
          <w:color w:val="222222"/>
          <w:sz w:val="20"/>
          <w:szCs w:val="20"/>
          <w:shd w:val="clear" w:color="auto" w:fill="FFFFFF"/>
        </w:rPr>
        <w:t xml:space="preserve">       pharmacokinetic and toxicity properties using graph-based signatures. </w:t>
      </w:r>
      <w:r w:rsidRPr="006C5C8C">
        <w:rPr>
          <w:rFonts w:ascii="Arial" w:hAnsi="Arial" w:cs="Arial"/>
          <w:i/>
          <w:iCs/>
          <w:color w:val="222222"/>
          <w:sz w:val="20"/>
          <w:szCs w:val="20"/>
          <w:shd w:val="clear" w:color="auto" w:fill="FFFFFF"/>
        </w:rPr>
        <w:t xml:space="preserve">Journal of </w:t>
      </w:r>
    </w:p>
    <w:p w14:paraId="06E02D70" w14:textId="58788A53" w:rsidR="006C5C8C" w:rsidRPr="006C5C8C" w:rsidRDefault="006C5C8C" w:rsidP="006C5C8C">
      <w:pPr>
        <w:spacing w:line="240" w:lineRule="auto"/>
        <w:ind w:left="360"/>
        <w:jc w:val="both"/>
        <w:rPr>
          <w:rFonts w:ascii="Arial" w:hAnsi="Arial" w:cs="Arial"/>
          <w:color w:val="222222"/>
          <w:sz w:val="20"/>
          <w:szCs w:val="20"/>
          <w:shd w:val="clear" w:color="auto" w:fill="FFFFFF"/>
        </w:rPr>
      </w:pPr>
      <w:r w:rsidRPr="006C5C8C">
        <w:rPr>
          <w:rFonts w:ascii="Arial" w:hAnsi="Arial" w:cs="Arial"/>
          <w:i/>
          <w:iCs/>
          <w:color w:val="222222"/>
          <w:sz w:val="20"/>
          <w:szCs w:val="20"/>
          <w:shd w:val="clear" w:color="auto" w:fill="FFFFFF"/>
        </w:rPr>
        <w:t xml:space="preserve">       Medicinal Chemistry</w:t>
      </w:r>
      <w:r w:rsidRPr="006C5C8C">
        <w:rPr>
          <w:rFonts w:ascii="Arial" w:hAnsi="Arial" w:cs="Arial"/>
          <w:color w:val="222222"/>
          <w:sz w:val="20"/>
          <w:szCs w:val="20"/>
          <w:shd w:val="clear" w:color="auto" w:fill="FFFFFF"/>
        </w:rPr>
        <w:t>, </w:t>
      </w:r>
      <w:r w:rsidRPr="006C5C8C">
        <w:rPr>
          <w:rFonts w:ascii="Arial" w:hAnsi="Arial" w:cs="Arial"/>
          <w:i/>
          <w:iCs/>
          <w:color w:val="222222"/>
          <w:sz w:val="20"/>
          <w:szCs w:val="20"/>
          <w:shd w:val="clear" w:color="auto" w:fill="FFFFFF"/>
        </w:rPr>
        <w:t>58</w:t>
      </w:r>
      <w:r w:rsidRPr="006C5C8C">
        <w:rPr>
          <w:rFonts w:ascii="Arial" w:hAnsi="Arial" w:cs="Arial"/>
          <w:color w:val="222222"/>
          <w:sz w:val="20"/>
          <w:szCs w:val="20"/>
          <w:shd w:val="clear" w:color="auto" w:fill="FFFFFF"/>
        </w:rPr>
        <w:t xml:space="preserve">(9), 4066-4072. </w:t>
      </w:r>
      <w:hyperlink r:id="rId71" w:history="1">
        <w:r w:rsidRPr="006C5C8C">
          <w:rPr>
            <w:rStyle w:val="Hyperlink"/>
            <w:rFonts w:ascii="Arial" w:hAnsi="Arial" w:cs="Arial"/>
            <w:sz w:val="20"/>
            <w:szCs w:val="20"/>
            <w:shd w:val="clear" w:color="auto" w:fill="FFFFFF"/>
          </w:rPr>
          <w:t>https://doi.org/10.1021/acs.jmedchem.5b00104</w:t>
        </w:r>
      </w:hyperlink>
    </w:p>
    <w:p w14:paraId="613BE92B" w14:textId="77777777" w:rsidR="006C5C8C" w:rsidRPr="006C5C8C" w:rsidRDefault="006C5C8C" w:rsidP="006C5C8C">
      <w:pPr>
        <w:tabs>
          <w:tab w:val="left" w:pos="720"/>
        </w:tabs>
        <w:spacing w:after="0" w:line="240" w:lineRule="auto"/>
        <w:ind w:left="360"/>
        <w:jc w:val="both"/>
        <w:rPr>
          <w:rFonts w:ascii="Arial" w:hAnsi="Arial" w:cs="Arial"/>
          <w:sz w:val="20"/>
          <w:szCs w:val="20"/>
        </w:rPr>
      </w:pPr>
      <w:bookmarkStart w:id="10" w:name="_Hlk177600611"/>
      <w:r w:rsidRPr="006C5C8C">
        <w:rPr>
          <w:rFonts w:ascii="Arial" w:hAnsi="Arial" w:cs="Arial"/>
          <w:sz w:val="20"/>
          <w:szCs w:val="20"/>
        </w:rPr>
        <w:t>[34] Daoud</w:t>
      </w:r>
      <w:bookmarkEnd w:id="10"/>
      <w:r w:rsidRPr="006C5C8C">
        <w:rPr>
          <w:rFonts w:ascii="Arial" w:hAnsi="Arial" w:cs="Arial"/>
          <w:sz w:val="20"/>
          <w:szCs w:val="20"/>
        </w:rPr>
        <w:t xml:space="preserve">, N. E. H., Borah, P., Deb, P. K., Venugopala, K. N., Hourani, W., </w:t>
      </w:r>
      <w:proofErr w:type="spellStart"/>
      <w:r w:rsidRPr="006C5C8C">
        <w:rPr>
          <w:rFonts w:ascii="Arial" w:hAnsi="Arial" w:cs="Arial"/>
          <w:sz w:val="20"/>
          <w:szCs w:val="20"/>
        </w:rPr>
        <w:t>Alzweiri</w:t>
      </w:r>
      <w:proofErr w:type="spellEnd"/>
      <w:r w:rsidRPr="006C5C8C">
        <w:rPr>
          <w:rFonts w:ascii="Arial" w:hAnsi="Arial" w:cs="Arial"/>
          <w:sz w:val="20"/>
          <w:szCs w:val="20"/>
        </w:rPr>
        <w:t xml:space="preserve">, M., ... </w:t>
      </w:r>
    </w:p>
    <w:p w14:paraId="526CFB66" w14:textId="235F6A1F" w:rsidR="006C5C8C" w:rsidRPr="006C5C8C" w:rsidRDefault="006C5C8C" w:rsidP="006C5C8C">
      <w:pPr>
        <w:tabs>
          <w:tab w:val="left" w:pos="720"/>
        </w:tabs>
        <w:spacing w:after="0" w:line="240" w:lineRule="auto"/>
        <w:ind w:left="360"/>
        <w:jc w:val="both"/>
        <w:rPr>
          <w:rFonts w:ascii="Arial" w:hAnsi="Arial" w:cs="Arial"/>
          <w:sz w:val="20"/>
          <w:szCs w:val="20"/>
        </w:rPr>
      </w:pPr>
      <w:r w:rsidRPr="006C5C8C">
        <w:rPr>
          <w:rFonts w:ascii="Arial" w:hAnsi="Arial" w:cs="Arial"/>
          <w:sz w:val="20"/>
          <w:szCs w:val="20"/>
        </w:rPr>
        <w:t xml:space="preserve">       and Tiwari, V. (2021). ADMET profiling in drug discovery and development: Perspectives </w:t>
      </w:r>
    </w:p>
    <w:p w14:paraId="39F55DA8" w14:textId="521C8609" w:rsidR="006C5C8C" w:rsidRPr="006C5C8C" w:rsidRDefault="006C5C8C" w:rsidP="006C5C8C">
      <w:pPr>
        <w:tabs>
          <w:tab w:val="left" w:pos="720"/>
        </w:tabs>
        <w:spacing w:after="0" w:line="240" w:lineRule="auto"/>
        <w:ind w:left="360"/>
        <w:jc w:val="both"/>
        <w:rPr>
          <w:rFonts w:ascii="Arial" w:hAnsi="Arial" w:cs="Arial"/>
          <w:sz w:val="20"/>
          <w:szCs w:val="20"/>
        </w:rPr>
      </w:pPr>
      <w:r w:rsidRPr="006C5C8C">
        <w:rPr>
          <w:rFonts w:ascii="Arial" w:hAnsi="Arial" w:cs="Arial"/>
          <w:sz w:val="20"/>
          <w:szCs w:val="20"/>
        </w:rPr>
        <w:t xml:space="preserve">       of </w:t>
      </w:r>
      <w:r w:rsidRPr="006C5C8C">
        <w:rPr>
          <w:rFonts w:ascii="Arial" w:hAnsi="Arial" w:cs="Arial"/>
          <w:i/>
          <w:iCs/>
          <w:sz w:val="20"/>
          <w:szCs w:val="20"/>
        </w:rPr>
        <w:t>in silico</w:t>
      </w:r>
      <w:r w:rsidRPr="006C5C8C">
        <w:rPr>
          <w:rFonts w:ascii="Arial" w:hAnsi="Arial" w:cs="Arial"/>
          <w:sz w:val="20"/>
          <w:szCs w:val="20"/>
        </w:rPr>
        <w:t xml:space="preserve">, </w:t>
      </w:r>
      <w:r w:rsidRPr="006C5C8C">
        <w:rPr>
          <w:rFonts w:ascii="Arial" w:hAnsi="Arial" w:cs="Arial"/>
          <w:i/>
          <w:iCs/>
          <w:sz w:val="20"/>
          <w:szCs w:val="20"/>
        </w:rPr>
        <w:t>in vitro</w:t>
      </w:r>
      <w:r w:rsidRPr="006C5C8C">
        <w:rPr>
          <w:rFonts w:ascii="Arial" w:hAnsi="Arial" w:cs="Arial"/>
          <w:sz w:val="20"/>
          <w:szCs w:val="20"/>
        </w:rPr>
        <w:t xml:space="preserve"> and integrated approaches. </w:t>
      </w:r>
      <w:r w:rsidRPr="006C5C8C">
        <w:rPr>
          <w:rFonts w:ascii="Arial" w:hAnsi="Arial" w:cs="Arial"/>
          <w:i/>
          <w:iCs/>
          <w:sz w:val="20"/>
          <w:szCs w:val="20"/>
        </w:rPr>
        <w:t>Current Drug Metabolism</w:t>
      </w:r>
      <w:r w:rsidRPr="006C5C8C">
        <w:rPr>
          <w:rFonts w:ascii="Arial" w:hAnsi="Arial" w:cs="Arial"/>
          <w:sz w:val="20"/>
          <w:szCs w:val="20"/>
        </w:rPr>
        <w:t>, </w:t>
      </w:r>
      <w:r w:rsidRPr="006C5C8C">
        <w:rPr>
          <w:rFonts w:ascii="Arial" w:hAnsi="Arial" w:cs="Arial"/>
          <w:i/>
          <w:iCs/>
          <w:sz w:val="20"/>
          <w:szCs w:val="20"/>
        </w:rPr>
        <w:t>22</w:t>
      </w:r>
      <w:r w:rsidRPr="006C5C8C">
        <w:rPr>
          <w:rFonts w:ascii="Arial" w:hAnsi="Arial" w:cs="Arial"/>
          <w:sz w:val="20"/>
          <w:szCs w:val="20"/>
        </w:rPr>
        <w:t>(7), 503-</w:t>
      </w:r>
    </w:p>
    <w:p w14:paraId="1516DB90" w14:textId="02A8EE7F" w:rsidR="006C5C8C" w:rsidRPr="006C5C8C" w:rsidRDefault="006C5C8C" w:rsidP="006C5C8C">
      <w:pPr>
        <w:tabs>
          <w:tab w:val="left" w:pos="720"/>
        </w:tabs>
        <w:spacing w:line="240" w:lineRule="auto"/>
        <w:ind w:left="360"/>
        <w:jc w:val="both"/>
        <w:rPr>
          <w:rFonts w:ascii="Arial" w:hAnsi="Arial" w:cs="Arial"/>
          <w:sz w:val="20"/>
          <w:szCs w:val="20"/>
        </w:rPr>
      </w:pPr>
      <w:r w:rsidRPr="006C5C8C">
        <w:rPr>
          <w:rFonts w:ascii="Arial" w:hAnsi="Arial" w:cs="Arial"/>
          <w:sz w:val="20"/>
          <w:szCs w:val="20"/>
        </w:rPr>
        <w:t xml:space="preserve">       522. </w:t>
      </w:r>
      <w:hyperlink r:id="rId72" w:history="1">
        <w:r w:rsidRPr="006C5C8C">
          <w:rPr>
            <w:rStyle w:val="Hyperlink"/>
            <w:rFonts w:ascii="Arial" w:hAnsi="Arial" w:cs="Arial"/>
            <w:sz w:val="20"/>
            <w:szCs w:val="20"/>
          </w:rPr>
          <w:t>https://doi.org/10.2174/1389200222666210705122913</w:t>
        </w:r>
      </w:hyperlink>
    </w:p>
    <w:p w14:paraId="28F1DB83" w14:textId="77777777" w:rsidR="006C5C8C" w:rsidRPr="006C5C8C" w:rsidRDefault="006C5C8C" w:rsidP="006C5C8C">
      <w:pPr>
        <w:spacing w:after="0" w:line="240" w:lineRule="auto"/>
        <w:ind w:left="360"/>
        <w:jc w:val="both"/>
        <w:rPr>
          <w:rFonts w:ascii="Arial" w:hAnsi="Arial" w:cs="Arial"/>
          <w:color w:val="222222"/>
          <w:sz w:val="20"/>
          <w:szCs w:val="20"/>
          <w:shd w:val="clear" w:color="auto" w:fill="FFFFFF"/>
          <w:lang w:val="de-DE"/>
        </w:rPr>
      </w:pPr>
      <w:r w:rsidRPr="006C5C8C">
        <w:rPr>
          <w:rFonts w:ascii="Arial" w:hAnsi="Arial" w:cs="Arial"/>
          <w:color w:val="222222"/>
          <w:sz w:val="20"/>
          <w:szCs w:val="20"/>
          <w:shd w:val="clear" w:color="auto" w:fill="FFFFFF"/>
          <w:lang w:val="de-DE"/>
        </w:rPr>
        <w:t xml:space="preserve">[35] Babalola, M. O., Ashiru, M. A., Boyenle, I. D., Atanda, E. O., Oyedele, A. Q. K., Dimeji, </w:t>
      </w:r>
    </w:p>
    <w:p w14:paraId="617EECE8" w14:textId="25D23031"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lang w:val="de-DE"/>
        </w:rPr>
        <w:t xml:space="preserve">       I. Y., ... and Imaga, N. A. (2022). </w:t>
      </w:r>
      <w:r w:rsidRPr="006C5C8C">
        <w:rPr>
          <w:rFonts w:ascii="Arial" w:hAnsi="Arial" w:cs="Arial"/>
          <w:i/>
          <w:iCs/>
          <w:color w:val="222222"/>
          <w:sz w:val="20"/>
          <w:szCs w:val="20"/>
          <w:shd w:val="clear" w:color="auto" w:fill="FFFFFF"/>
        </w:rPr>
        <w:t>In vitro</w:t>
      </w:r>
      <w:r w:rsidRPr="006C5C8C">
        <w:rPr>
          <w:rFonts w:ascii="Arial" w:hAnsi="Arial" w:cs="Arial"/>
          <w:color w:val="222222"/>
          <w:sz w:val="20"/>
          <w:szCs w:val="20"/>
          <w:shd w:val="clear" w:color="auto" w:fill="FFFFFF"/>
        </w:rPr>
        <w:t xml:space="preserve"> analysis and molecular docking of gas </w:t>
      </w:r>
    </w:p>
    <w:p w14:paraId="5D536296" w14:textId="0B8F882C"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chromatography-mass spectroscopy fingerprints of polyherbal mixture reveals significant </w:t>
      </w:r>
    </w:p>
    <w:p w14:paraId="62F9FA51" w14:textId="1C67A53A"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antidiabetic </w:t>
      </w:r>
      <w:proofErr w:type="spellStart"/>
      <w:r w:rsidRPr="006C5C8C">
        <w:rPr>
          <w:rFonts w:ascii="Arial" w:hAnsi="Arial" w:cs="Arial"/>
          <w:color w:val="222222"/>
          <w:sz w:val="20"/>
          <w:szCs w:val="20"/>
          <w:shd w:val="clear" w:color="auto" w:fill="FFFFFF"/>
        </w:rPr>
        <w:t>miture</w:t>
      </w:r>
      <w:proofErr w:type="spellEnd"/>
      <w:r w:rsidRPr="006C5C8C">
        <w:rPr>
          <w:rFonts w:ascii="Arial" w:hAnsi="Arial" w:cs="Arial"/>
          <w:color w:val="222222"/>
          <w:sz w:val="20"/>
          <w:szCs w:val="20"/>
          <w:shd w:val="clear" w:color="auto" w:fill="FFFFFF"/>
        </w:rPr>
        <w:t>. </w:t>
      </w:r>
      <w:r w:rsidRPr="006C5C8C">
        <w:rPr>
          <w:rFonts w:ascii="Arial" w:hAnsi="Arial" w:cs="Arial"/>
          <w:i/>
          <w:iCs/>
          <w:color w:val="222222"/>
          <w:sz w:val="20"/>
          <w:szCs w:val="20"/>
          <w:shd w:val="clear" w:color="auto" w:fill="FFFFFF"/>
        </w:rPr>
        <w:t>Nigerian Journal of Experimental and Clinical Biosciences</w:t>
      </w:r>
      <w:r w:rsidRPr="006C5C8C">
        <w:rPr>
          <w:rFonts w:ascii="Arial" w:hAnsi="Arial" w:cs="Arial"/>
          <w:color w:val="222222"/>
          <w:sz w:val="20"/>
          <w:szCs w:val="20"/>
          <w:shd w:val="clear" w:color="auto" w:fill="FFFFFF"/>
        </w:rPr>
        <w:t>, </w:t>
      </w:r>
      <w:r w:rsidRPr="006C5C8C">
        <w:rPr>
          <w:rFonts w:ascii="Arial" w:hAnsi="Arial" w:cs="Arial"/>
          <w:i/>
          <w:iCs/>
          <w:color w:val="222222"/>
          <w:sz w:val="20"/>
          <w:szCs w:val="20"/>
          <w:shd w:val="clear" w:color="auto" w:fill="FFFFFF"/>
        </w:rPr>
        <w:t>10</w:t>
      </w:r>
      <w:r w:rsidRPr="006C5C8C">
        <w:rPr>
          <w:rFonts w:ascii="Arial" w:hAnsi="Arial" w:cs="Arial"/>
          <w:color w:val="222222"/>
          <w:sz w:val="20"/>
          <w:szCs w:val="20"/>
          <w:shd w:val="clear" w:color="auto" w:fill="FFFFFF"/>
        </w:rPr>
        <w:t xml:space="preserve">(4), </w:t>
      </w:r>
    </w:p>
    <w:p w14:paraId="2B04EFDC" w14:textId="4F3A601C" w:rsidR="006C5C8C" w:rsidRPr="006C5C8C" w:rsidRDefault="006C5C8C" w:rsidP="006C5C8C">
      <w:pPr>
        <w:spacing w:line="240" w:lineRule="auto"/>
        <w:ind w:left="360"/>
        <w:jc w:val="both"/>
        <w:rPr>
          <w:rStyle w:val="Hyperlink"/>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105-115. </w:t>
      </w:r>
      <w:hyperlink r:id="rId73" w:history="1">
        <w:r w:rsidRPr="006C5C8C">
          <w:rPr>
            <w:rStyle w:val="Hyperlink"/>
            <w:rFonts w:ascii="Arial" w:hAnsi="Arial" w:cs="Arial"/>
            <w:sz w:val="20"/>
            <w:szCs w:val="20"/>
            <w:shd w:val="clear" w:color="auto" w:fill="FFFFFF"/>
          </w:rPr>
          <w:t>https://doi.org/10.4103/njecp.njecp_15_22</w:t>
        </w:r>
      </w:hyperlink>
    </w:p>
    <w:p w14:paraId="77729D1D" w14:textId="77777777"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[36] Kehinde, O. A. Q., </w:t>
      </w:r>
      <w:proofErr w:type="spellStart"/>
      <w:r w:rsidRPr="006C5C8C">
        <w:rPr>
          <w:rFonts w:ascii="Arial" w:hAnsi="Arial" w:cs="Arial"/>
          <w:color w:val="222222"/>
          <w:sz w:val="20"/>
          <w:szCs w:val="20"/>
          <w:shd w:val="clear" w:color="auto" w:fill="FFFFFF"/>
        </w:rPr>
        <w:t>Boyenle</w:t>
      </w:r>
      <w:proofErr w:type="spellEnd"/>
      <w:r w:rsidRPr="006C5C8C">
        <w:rPr>
          <w:rFonts w:ascii="Arial" w:hAnsi="Arial" w:cs="Arial"/>
          <w:color w:val="222222"/>
          <w:sz w:val="20"/>
          <w:szCs w:val="20"/>
          <w:shd w:val="clear" w:color="auto" w:fill="FFFFFF"/>
        </w:rPr>
        <w:t xml:space="preserve">, D. I., Ogunlana, A., Ayoola, M. A., Atanda, O.E., and </w:t>
      </w:r>
      <w:proofErr w:type="spellStart"/>
      <w:r w:rsidRPr="006C5C8C">
        <w:rPr>
          <w:rFonts w:ascii="Arial" w:hAnsi="Arial" w:cs="Arial"/>
          <w:color w:val="222222"/>
          <w:sz w:val="20"/>
          <w:szCs w:val="20"/>
          <w:shd w:val="clear" w:color="auto" w:fill="FFFFFF"/>
        </w:rPr>
        <w:t>Adelusi</w:t>
      </w:r>
      <w:proofErr w:type="spellEnd"/>
      <w:r w:rsidRPr="006C5C8C">
        <w:rPr>
          <w:rFonts w:ascii="Arial" w:hAnsi="Arial" w:cs="Arial"/>
          <w:color w:val="222222"/>
          <w:sz w:val="20"/>
          <w:szCs w:val="20"/>
          <w:shd w:val="clear" w:color="auto" w:fill="FFFFFF"/>
        </w:rPr>
        <w:t xml:space="preserve">, </w:t>
      </w:r>
    </w:p>
    <w:p w14:paraId="03026BB5" w14:textId="0D85FB4D"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T.I. (2022). Inhibitors of α-glucosidase and angiotensin-converting enzyme in the </w:t>
      </w:r>
    </w:p>
    <w:p w14:paraId="0EEAB023" w14:textId="589273EC"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treatment of type 2 diabetes and its complications: A review on </w:t>
      </w:r>
      <w:r w:rsidRPr="006C5C8C">
        <w:rPr>
          <w:rFonts w:ascii="Arial" w:hAnsi="Arial" w:cs="Arial"/>
          <w:i/>
          <w:iCs/>
          <w:color w:val="222222"/>
          <w:sz w:val="20"/>
          <w:szCs w:val="20"/>
          <w:shd w:val="clear" w:color="auto" w:fill="FFFFFF"/>
        </w:rPr>
        <w:t>in silico</w:t>
      </w:r>
      <w:r w:rsidRPr="006C5C8C">
        <w:rPr>
          <w:rFonts w:ascii="Arial" w:hAnsi="Arial" w:cs="Arial"/>
          <w:color w:val="222222"/>
          <w:sz w:val="20"/>
          <w:szCs w:val="20"/>
          <w:shd w:val="clear" w:color="auto" w:fill="FFFFFF"/>
        </w:rPr>
        <w:t xml:space="preserve"> </w:t>
      </w:r>
    </w:p>
    <w:p w14:paraId="5C73D6BA" w14:textId="1EAAD16D"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approach. </w:t>
      </w:r>
      <w:r w:rsidRPr="006C5C8C">
        <w:rPr>
          <w:rFonts w:ascii="Arial" w:hAnsi="Arial" w:cs="Arial"/>
          <w:i/>
          <w:iCs/>
          <w:color w:val="222222"/>
          <w:sz w:val="20"/>
          <w:szCs w:val="20"/>
          <w:shd w:val="clear" w:color="auto" w:fill="FFFFFF"/>
        </w:rPr>
        <w:t>Pharmaceutical and Biomedical Research</w:t>
      </w:r>
      <w:r w:rsidRPr="006C5C8C">
        <w:rPr>
          <w:rFonts w:ascii="Arial" w:hAnsi="Arial" w:cs="Arial"/>
          <w:color w:val="222222"/>
          <w:sz w:val="20"/>
          <w:szCs w:val="20"/>
          <w:shd w:val="clear" w:color="auto" w:fill="FFFFFF"/>
        </w:rPr>
        <w:t>, </w:t>
      </w:r>
      <w:r w:rsidRPr="006C5C8C">
        <w:rPr>
          <w:rFonts w:ascii="Arial" w:hAnsi="Arial" w:cs="Arial"/>
          <w:i/>
          <w:iCs/>
          <w:color w:val="222222"/>
          <w:sz w:val="20"/>
          <w:szCs w:val="20"/>
          <w:shd w:val="clear" w:color="auto" w:fill="FFFFFF"/>
        </w:rPr>
        <w:t>8</w:t>
      </w:r>
      <w:r w:rsidRPr="006C5C8C">
        <w:rPr>
          <w:rFonts w:ascii="Arial" w:hAnsi="Arial" w:cs="Arial"/>
          <w:color w:val="222222"/>
          <w:sz w:val="20"/>
          <w:szCs w:val="20"/>
          <w:shd w:val="clear" w:color="auto" w:fill="FFFFFF"/>
        </w:rPr>
        <w:t xml:space="preserve">(4), 237-258. </w:t>
      </w:r>
    </w:p>
    <w:p w14:paraId="63018E43" w14:textId="6718919C"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color w:val="222222"/>
          <w:sz w:val="20"/>
          <w:szCs w:val="20"/>
          <w:shd w:val="clear" w:color="auto" w:fill="FFFFFF"/>
        </w:rPr>
        <w:t xml:space="preserve">       </w:t>
      </w:r>
      <w:hyperlink r:id="rId74" w:history="1">
        <w:r w:rsidRPr="00506711">
          <w:rPr>
            <w:rStyle w:val="Hyperlink"/>
            <w:rFonts w:ascii="Arial" w:hAnsi="Arial" w:cs="Arial"/>
            <w:sz w:val="20"/>
            <w:szCs w:val="20"/>
            <w:shd w:val="clear" w:color="auto" w:fill="FFFFFF"/>
          </w:rPr>
          <w:t>http://dx.doi.org/10.32598/PBR.8.4.1052.1</w:t>
        </w:r>
      </w:hyperlink>
    </w:p>
    <w:p w14:paraId="4DBB815F"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[37] Shukla, R., and Tripathi, T. (2020). Molecular dynamics simulation of protein and protein–</w:t>
      </w:r>
    </w:p>
    <w:p w14:paraId="2D5EFBF8" w14:textId="7F73B29A"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ligand complexes. </w:t>
      </w:r>
      <w:r w:rsidRPr="006C5C8C">
        <w:rPr>
          <w:rFonts w:ascii="Arial" w:hAnsi="Arial" w:cs="Arial"/>
          <w:i/>
          <w:iCs/>
          <w:sz w:val="20"/>
          <w:szCs w:val="20"/>
        </w:rPr>
        <w:t>Computer-aided Drug Design</w:t>
      </w:r>
      <w:r w:rsidRPr="006C5C8C">
        <w:rPr>
          <w:rFonts w:ascii="Arial" w:hAnsi="Arial" w:cs="Arial"/>
          <w:sz w:val="20"/>
          <w:szCs w:val="20"/>
        </w:rPr>
        <w:t>, 133-161.</w:t>
      </w:r>
    </w:p>
    <w:p w14:paraId="2FF5267F" w14:textId="69BC6F8D" w:rsidR="006C5C8C" w:rsidRPr="006C5C8C" w:rsidRDefault="006C5C8C" w:rsidP="006C5C8C">
      <w:pPr>
        <w:spacing w:line="240" w:lineRule="auto"/>
        <w:ind w:left="360"/>
        <w:jc w:val="both"/>
        <w:rPr>
          <w:rStyle w:val="Hyperlink"/>
          <w:rFonts w:ascii="Arial" w:hAnsi="Arial" w:cs="Arial"/>
          <w:color w:val="222222"/>
          <w:sz w:val="20"/>
          <w:szCs w:val="20"/>
          <w:shd w:val="clear" w:color="auto" w:fill="FFFFFF"/>
        </w:rPr>
      </w:pPr>
      <w:r w:rsidRPr="006C5C8C">
        <w:rPr>
          <w:rFonts w:ascii="Arial" w:hAnsi="Arial" w:cs="Arial"/>
          <w:sz w:val="20"/>
          <w:szCs w:val="20"/>
        </w:rPr>
        <w:t xml:space="preserve">       </w:t>
      </w:r>
      <w:hyperlink r:id="rId75" w:history="1">
        <w:r w:rsidRPr="00506711">
          <w:rPr>
            <w:rStyle w:val="Hyperlink"/>
            <w:rFonts w:ascii="Arial" w:hAnsi="Arial" w:cs="Arial"/>
            <w:sz w:val="20"/>
            <w:szCs w:val="20"/>
            <w:shd w:val="clear" w:color="auto" w:fill="FFFFFF"/>
          </w:rPr>
          <w:t>https://doi.org/10.1007/978-  981-15-6815-2_7</w:t>
        </w:r>
      </w:hyperlink>
    </w:p>
    <w:p w14:paraId="6AD2A1F6"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[38] Majewski, M., and </w:t>
      </w:r>
      <w:proofErr w:type="spellStart"/>
      <w:r w:rsidRPr="006C5C8C">
        <w:rPr>
          <w:rFonts w:ascii="Arial" w:hAnsi="Arial" w:cs="Arial"/>
          <w:sz w:val="20"/>
          <w:szCs w:val="20"/>
        </w:rPr>
        <w:t>Barril</w:t>
      </w:r>
      <w:proofErr w:type="spellEnd"/>
      <w:r w:rsidRPr="006C5C8C">
        <w:rPr>
          <w:rFonts w:ascii="Arial" w:hAnsi="Arial" w:cs="Arial"/>
          <w:sz w:val="20"/>
          <w:szCs w:val="20"/>
        </w:rPr>
        <w:t xml:space="preserve">, X. (2020). Structural stability predicts the binding mode of </w:t>
      </w:r>
    </w:p>
    <w:p w14:paraId="2D9C53AD" w14:textId="570D52E0"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protein–ligand complexes. </w:t>
      </w:r>
      <w:r w:rsidRPr="006C5C8C">
        <w:rPr>
          <w:rFonts w:ascii="Arial" w:hAnsi="Arial" w:cs="Arial"/>
          <w:i/>
          <w:iCs/>
          <w:sz w:val="20"/>
          <w:szCs w:val="20"/>
        </w:rPr>
        <w:t>Journal of Chemical Information and Modeling</w:t>
      </w:r>
      <w:r w:rsidRPr="006C5C8C">
        <w:rPr>
          <w:rFonts w:ascii="Arial" w:hAnsi="Arial" w:cs="Arial"/>
          <w:sz w:val="20"/>
          <w:szCs w:val="20"/>
        </w:rPr>
        <w:t>, </w:t>
      </w:r>
      <w:r w:rsidRPr="006C5C8C">
        <w:rPr>
          <w:rFonts w:ascii="Arial" w:hAnsi="Arial" w:cs="Arial"/>
          <w:i/>
          <w:iCs/>
          <w:sz w:val="20"/>
          <w:szCs w:val="20"/>
        </w:rPr>
        <w:t>60</w:t>
      </w:r>
      <w:r w:rsidRPr="006C5C8C">
        <w:rPr>
          <w:rFonts w:ascii="Arial" w:hAnsi="Arial" w:cs="Arial"/>
          <w:sz w:val="20"/>
          <w:szCs w:val="20"/>
        </w:rPr>
        <w:t>(3), 1644-</w:t>
      </w:r>
    </w:p>
    <w:p w14:paraId="6142F0AF" w14:textId="3531500A"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sz w:val="20"/>
          <w:szCs w:val="20"/>
        </w:rPr>
        <w:t xml:space="preserve">       1651. </w:t>
      </w:r>
      <w:hyperlink r:id="rId76" w:history="1">
        <w:r w:rsidRPr="006C5C8C">
          <w:rPr>
            <w:rStyle w:val="Hyperlink"/>
            <w:rFonts w:ascii="Arial" w:hAnsi="Arial" w:cs="Arial"/>
            <w:sz w:val="20"/>
            <w:szCs w:val="20"/>
          </w:rPr>
          <w:t>https://doi.org/10.1021/acs.jcim.9b01062</w:t>
        </w:r>
      </w:hyperlink>
    </w:p>
    <w:p w14:paraId="6018456F"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[39] Komarov, I. V., </w:t>
      </w:r>
      <w:proofErr w:type="spellStart"/>
      <w:r w:rsidRPr="006C5C8C">
        <w:rPr>
          <w:rFonts w:ascii="Arial" w:hAnsi="Arial" w:cs="Arial"/>
          <w:sz w:val="20"/>
          <w:szCs w:val="20"/>
        </w:rPr>
        <w:t>Bugrov</w:t>
      </w:r>
      <w:proofErr w:type="spellEnd"/>
      <w:r w:rsidRPr="006C5C8C">
        <w:rPr>
          <w:rFonts w:ascii="Arial" w:hAnsi="Arial" w:cs="Arial"/>
          <w:sz w:val="20"/>
          <w:szCs w:val="20"/>
        </w:rPr>
        <w:t xml:space="preserve">, V. A., </w:t>
      </w:r>
      <w:proofErr w:type="spellStart"/>
      <w:r w:rsidRPr="006C5C8C">
        <w:rPr>
          <w:rFonts w:ascii="Arial" w:hAnsi="Arial" w:cs="Arial"/>
          <w:sz w:val="20"/>
          <w:szCs w:val="20"/>
        </w:rPr>
        <w:t>Cherednychenko</w:t>
      </w:r>
      <w:proofErr w:type="spellEnd"/>
      <w:r w:rsidRPr="006C5C8C">
        <w:rPr>
          <w:rFonts w:ascii="Arial" w:hAnsi="Arial" w:cs="Arial"/>
          <w:sz w:val="20"/>
          <w:szCs w:val="20"/>
        </w:rPr>
        <w:t xml:space="preserve">, A., and </w:t>
      </w:r>
      <w:proofErr w:type="spellStart"/>
      <w:r w:rsidRPr="006C5C8C">
        <w:rPr>
          <w:rFonts w:ascii="Arial" w:hAnsi="Arial" w:cs="Arial"/>
          <w:sz w:val="20"/>
          <w:szCs w:val="20"/>
        </w:rPr>
        <w:t>Grygorenko</w:t>
      </w:r>
      <w:proofErr w:type="spellEnd"/>
      <w:r w:rsidRPr="006C5C8C">
        <w:rPr>
          <w:rFonts w:ascii="Arial" w:hAnsi="Arial" w:cs="Arial"/>
          <w:sz w:val="20"/>
          <w:szCs w:val="20"/>
        </w:rPr>
        <w:t xml:space="preserve">, O. O. (2024). </w:t>
      </w:r>
    </w:p>
    <w:p w14:paraId="1E2CA7B1"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Insights into modeling approaches in chemistry: Assessing ligand</w:t>
      </w:r>
      <w:r w:rsidRPr="006C5C8C">
        <w:rPr>
          <w:rFonts w:ascii="Cambria Math" w:hAnsi="Cambria Math" w:cs="Cambria Math"/>
          <w:sz w:val="20"/>
          <w:szCs w:val="20"/>
        </w:rPr>
        <w:t>‐</w:t>
      </w:r>
      <w:r w:rsidRPr="006C5C8C">
        <w:rPr>
          <w:rFonts w:ascii="Arial" w:hAnsi="Arial" w:cs="Arial"/>
          <w:sz w:val="20"/>
          <w:szCs w:val="20"/>
        </w:rPr>
        <w:t xml:space="preserve">protein binding </w:t>
      </w:r>
    </w:p>
    <w:p w14:paraId="3229E826" w14:textId="77777777" w:rsidR="006C5C8C" w:rsidRPr="006C5C8C" w:rsidRDefault="006C5C8C" w:rsidP="006C5C8C">
      <w:pPr>
        <w:spacing w:after="0" w:line="240" w:lineRule="auto"/>
        <w:ind w:left="360"/>
        <w:jc w:val="both"/>
        <w:rPr>
          <w:rFonts w:ascii="Arial" w:hAnsi="Arial" w:cs="Arial"/>
          <w:sz w:val="20"/>
          <w:szCs w:val="20"/>
        </w:rPr>
      </w:pPr>
      <w:r w:rsidRPr="006C5C8C">
        <w:rPr>
          <w:rFonts w:ascii="Arial" w:hAnsi="Arial" w:cs="Arial"/>
          <w:sz w:val="20"/>
          <w:szCs w:val="20"/>
        </w:rPr>
        <w:t xml:space="preserve">       thermodynamics based on rigid</w:t>
      </w:r>
      <w:r w:rsidRPr="006C5C8C">
        <w:rPr>
          <w:rFonts w:ascii="Cambria Math" w:hAnsi="Cambria Math" w:cs="Cambria Math"/>
          <w:sz w:val="20"/>
          <w:szCs w:val="20"/>
        </w:rPr>
        <w:t>‐</w:t>
      </w:r>
      <w:r w:rsidRPr="006C5C8C">
        <w:rPr>
          <w:rFonts w:ascii="Arial" w:hAnsi="Arial" w:cs="Arial"/>
          <w:sz w:val="20"/>
          <w:szCs w:val="20"/>
        </w:rPr>
        <w:t>flexible model molecules. </w:t>
      </w:r>
      <w:r w:rsidRPr="006C5C8C">
        <w:rPr>
          <w:rFonts w:ascii="Arial" w:hAnsi="Arial" w:cs="Arial"/>
          <w:i/>
          <w:iCs/>
          <w:sz w:val="20"/>
          <w:szCs w:val="20"/>
        </w:rPr>
        <w:t>The Chemical Record</w:t>
      </w:r>
      <w:r w:rsidRPr="006C5C8C">
        <w:rPr>
          <w:rFonts w:ascii="Arial" w:hAnsi="Arial" w:cs="Arial"/>
          <w:sz w:val="20"/>
          <w:szCs w:val="20"/>
        </w:rPr>
        <w:t>, </w:t>
      </w:r>
      <w:r w:rsidRPr="006C5C8C">
        <w:rPr>
          <w:rFonts w:ascii="Arial" w:hAnsi="Arial" w:cs="Arial"/>
          <w:i/>
          <w:iCs/>
          <w:sz w:val="20"/>
          <w:szCs w:val="20"/>
        </w:rPr>
        <w:t>24</w:t>
      </w:r>
      <w:r w:rsidRPr="006C5C8C">
        <w:rPr>
          <w:rFonts w:ascii="Arial" w:hAnsi="Arial" w:cs="Arial"/>
          <w:sz w:val="20"/>
          <w:szCs w:val="20"/>
        </w:rPr>
        <w:t xml:space="preserve">(2), </w:t>
      </w:r>
    </w:p>
    <w:p w14:paraId="0CBBD226" w14:textId="77777777" w:rsidR="006C5C8C" w:rsidRPr="006C5C8C" w:rsidRDefault="006C5C8C" w:rsidP="006C5C8C">
      <w:pPr>
        <w:spacing w:line="240" w:lineRule="auto"/>
        <w:ind w:left="360"/>
        <w:jc w:val="both"/>
        <w:rPr>
          <w:rFonts w:ascii="Arial" w:hAnsi="Arial" w:cs="Arial"/>
          <w:sz w:val="20"/>
          <w:szCs w:val="20"/>
        </w:rPr>
      </w:pPr>
      <w:r w:rsidRPr="006C5C8C">
        <w:rPr>
          <w:rFonts w:ascii="Arial" w:hAnsi="Arial" w:cs="Arial"/>
          <w:sz w:val="20"/>
          <w:szCs w:val="20"/>
        </w:rPr>
        <w:t xml:space="preserve">       e202300276. </w:t>
      </w:r>
      <w:hyperlink r:id="rId77" w:history="1">
        <w:r w:rsidRPr="006C5C8C">
          <w:rPr>
            <w:rStyle w:val="Hyperlink"/>
            <w:rFonts w:ascii="Arial" w:hAnsi="Arial" w:cs="Arial"/>
            <w:sz w:val="20"/>
            <w:szCs w:val="20"/>
          </w:rPr>
          <w:t>https://doi.org/10.1002/tcr.202300276</w:t>
        </w:r>
      </w:hyperlink>
    </w:p>
    <w:p w14:paraId="1C79B534" w14:textId="7777777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[40] Agu, P. C., </w:t>
      </w:r>
      <w:proofErr w:type="spellStart"/>
      <w:r w:rsidRPr="006C5C8C">
        <w:rPr>
          <w:rFonts w:ascii="Arial" w:hAnsi="Arial" w:cs="Arial"/>
          <w:sz w:val="20"/>
          <w:szCs w:val="20"/>
        </w:rPr>
        <w:t>Afiukwa</w:t>
      </w:r>
      <w:proofErr w:type="spellEnd"/>
      <w:r w:rsidRPr="006C5C8C">
        <w:rPr>
          <w:rFonts w:ascii="Arial" w:hAnsi="Arial" w:cs="Arial"/>
          <w:sz w:val="20"/>
          <w:szCs w:val="20"/>
        </w:rPr>
        <w:t xml:space="preserve">, C. A., Orji, O. U., Ezeh, E. M., </w:t>
      </w:r>
      <w:proofErr w:type="spellStart"/>
      <w:r w:rsidRPr="006C5C8C">
        <w:rPr>
          <w:rFonts w:ascii="Arial" w:hAnsi="Arial" w:cs="Arial"/>
          <w:sz w:val="20"/>
          <w:szCs w:val="20"/>
        </w:rPr>
        <w:t>Ofoke</w:t>
      </w:r>
      <w:proofErr w:type="spellEnd"/>
      <w:r w:rsidRPr="006C5C8C">
        <w:rPr>
          <w:rFonts w:ascii="Arial" w:hAnsi="Arial" w:cs="Arial"/>
          <w:sz w:val="20"/>
          <w:szCs w:val="20"/>
        </w:rPr>
        <w:t xml:space="preserve">, I. H., Ogbu, C. O., ... and </w:t>
      </w:r>
    </w:p>
    <w:p w14:paraId="0429449E" w14:textId="24BD9F33"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Aja, P. M. (2023). Molecular docking as a tool for the discovery of molecular targets of </w:t>
      </w:r>
    </w:p>
    <w:p w14:paraId="3E3A01C5" w14:textId="19913E4C"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nutraceuticals in diseases management. </w:t>
      </w:r>
      <w:r w:rsidRPr="006C5C8C">
        <w:rPr>
          <w:rFonts w:ascii="Arial" w:hAnsi="Arial" w:cs="Arial"/>
          <w:i/>
          <w:iCs/>
          <w:sz w:val="20"/>
          <w:szCs w:val="20"/>
        </w:rPr>
        <w:t>Scientific Reports</w:t>
      </w:r>
      <w:r w:rsidRPr="006C5C8C">
        <w:rPr>
          <w:rFonts w:ascii="Arial" w:hAnsi="Arial" w:cs="Arial"/>
          <w:sz w:val="20"/>
          <w:szCs w:val="20"/>
        </w:rPr>
        <w:t>, </w:t>
      </w:r>
      <w:r w:rsidRPr="006C5C8C">
        <w:rPr>
          <w:rFonts w:ascii="Arial" w:hAnsi="Arial" w:cs="Arial"/>
          <w:i/>
          <w:iCs/>
          <w:sz w:val="20"/>
          <w:szCs w:val="20"/>
        </w:rPr>
        <w:t>13</w:t>
      </w:r>
      <w:r w:rsidRPr="006C5C8C">
        <w:rPr>
          <w:rFonts w:ascii="Arial" w:hAnsi="Arial" w:cs="Arial"/>
          <w:sz w:val="20"/>
          <w:szCs w:val="20"/>
        </w:rPr>
        <w:t xml:space="preserve">(1), 13398. </w:t>
      </w:r>
    </w:p>
    <w:p w14:paraId="5262A806" w14:textId="3C0522B1"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sz w:val="20"/>
          <w:szCs w:val="20"/>
        </w:rPr>
        <w:t xml:space="preserve">       </w:t>
      </w:r>
      <w:hyperlink r:id="rId78" w:history="1">
        <w:r w:rsidR="00D0018D" w:rsidRPr="00506711">
          <w:rPr>
            <w:rStyle w:val="Hyperlink"/>
            <w:rFonts w:ascii="Arial" w:hAnsi="Arial" w:cs="Arial"/>
            <w:sz w:val="20"/>
            <w:szCs w:val="20"/>
          </w:rPr>
          <w:t>https://doi.org/10.1038/s41598-023-40160-2</w:t>
        </w:r>
      </w:hyperlink>
    </w:p>
    <w:p w14:paraId="2DD4D6A2" w14:textId="7777777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[41] Liu, P. C., Koblish, H., Wu, L., Bowman, K., Diamond, S., DiMatteo, D., ... and Hollis, </w:t>
      </w:r>
    </w:p>
    <w:p w14:paraId="593AC045" w14:textId="1D6FEBF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G. (2020). INCB054828 (</w:t>
      </w:r>
      <w:proofErr w:type="spellStart"/>
      <w:r w:rsidRPr="006C5C8C">
        <w:rPr>
          <w:rFonts w:ascii="Arial" w:hAnsi="Arial" w:cs="Arial"/>
          <w:sz w:val="20"/>
          <w:szCs w:val="20"/>
        </w:rPr>
        <w:t>pemigatinib</w:t>
      </w:r>
      <w:proofErr w:type="spellEnd"/>
      <w:r w:rsidRPr="006C5C8C">
        <w:rPr>
          <w:rFonts w:ascii="Arial" w:hAnsi="Arial" w:cs="Arial"/>
          <w:sz w:val="20"/>
          <w:szCs w:val="20"/>
        </w:rPr>
        <w:t xml:space="preserve">), a potent and selective inhibitor of fibroblast </w:t>
      </w:r>
    </w:p>
    <w:p w14:paraId="3DEEF27B" w14:textId="71814BD8"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growth factor receptors 1, 2, and 3, displays activity against genetically defined </w:t>
      </w:r>
      <w:proofErr w:type="spellStart"/>
      <w:r w:rsidRPr="006C5C8C">
        <w:rPr>
          <w:rFonts w:ascii="Arial" w:hAnsi="Arial" w:cs="Arial"/>
          <w:sz w:val="20"/>
          <w:szCs w:val="20"/>
        </w:rPr>
        <w:t>tumor</w:t>
      </w:r>
      <w:proofErr w:type="spellEnd"/>
      <w:r w:rsidRPr="006C5C8C">
        <w:rPr>
          <w:rFonts w:ascii="Arial" w:hAnsi="Arial" w:cs="Arial"/>
          <w:sz w:val="20"/>
          <w:szCs w:val="20"/>
        </w:rPr>
        <w:t xml:space="preserve"> </w:t>
      </w:r>
    </w:p>
    <w:p w14:paraId="12D9233E" w14:textId="3B7923B0"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sz w:val="20"/>
          <w:szCs w:val="20"/>
        </w:rPr>
        <w:t xml:space="preserve">       models. </w:t>
      </w:r>
      <w:proofErr w:type="spellStart"/>
      <w:r w:rsidRPr="006C5C8C">
        <w:rPr>
          <w:rFonts w:ascii="Arial" w:hAnsi="Arial" w:cs="Arial"/>
          <w:i/>
          <w:iCs/>
          <w:sz w:val="20"/>
          <w:szCs w:val="20"/>
        </w:rPr>
        <w:t>PloS</w:t>
      </w:r>
      <w:proofErr w:type="spellEnd"/>
      <w:r w:rsidRPr="006C5C8C">
        <w:rPr>
          <w:rFonts w:ascii="Arial" w:hAnsi="Arial" w:cs="Arial"/>
          <w:i/>
          <w:iCs/>
          <w:sz w:val="20"/>
          <w:szCs w:val="20"/>
        </w:rPr>
        <w:t xml:space="preserve"> one</w:t>
      </w:r>
      <w:r w:rsidRPr="006C5C8C">
        <w:rPr>
          <w:rFonts w:ascii="Arial" w:hAnsi="Arial" w:cs="Arial"/>
          <w:sz w:val="20"/>
          <w:szCs w:val="20"/>
        </w:rPr>
        <w:t>, </w:t>
      </w:r>
      <w:r w:rsidRPr="006C5C8C">
        <w:rPr>
          <w:rFonts w:ascii="Arial" w:hAnsi="Arial" w:cs="Arial"/>
          <w:i/>
          <w:iCs/>
          <w:sz w:val="20"/>
          <w:szCs w:val="20"/>
        </w:rPr>
        <w:t>15</w:t>
      </w:r>
      <w:r w:rsidRPr="006C5C8C">
        <w:rPr>
          <w:rFonts w:ascii="Arial" w:hAnsi="Arial" w:cs="Arial"/>
          <w:sz w:val="20"/>
          <w:szCs w:val="20"/>
        </w:rPr>
        <w:t xml:space="preserve">(4), e0231877. </w:t>
      </w:r>
      <w:hyperlink r:id="rId79" w:history="1">
        <w:r w:rsidRPr="006C5C8C">
          <w:rPr>
            <w:rStyle w:val="Hyperlink"/>
            <w:rFonts w:ascii="Arial" w:eastAsiaTheme="majorEastAsia" w:hAnsi="Arial" w:cs="Arial"/>
            <w:sz w:val="20"/>
            <w:szCs w:val="20"/>
          </w:rPr>
          <w:t>https://doi.org/10.1371/journal.pone.0231877</w:t>
        </w:r>
      </w:hyperlink>
    </w:p>
    <w:p w14:paraId="2F29AABC" w14:textId="7777777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lastRenderedPageBreak/>
        <w:t xml:space="preserve">[42] </w:t>
      </w:r>
      <w:proofErr w:type="spellStart"/>
      <w:r w:rsidRPr="006C5C8C">
        <w:rPr>
          <w:rFonts w:ascii="Arial" w:hAnsi="Arial" w:cs="Arial"/>
          <w:sz w:val="20"/>
          <w:szCs w:val="20"/>
        </w:rPr>
        <w:t>Modh</w:t>
      </w:r>
      <w:proofErr w:type="spellEnd"/>
      <w:r w:rsidRPr="006C5C8C">
        <w:rPr>
          <w:rFonts w:ascii="Arial" w:hAnsi="Arial" w:cs="Arial"/>
          <w:sz w:val="20"/>
          <w:szCs w:val="20"/>
        </w:rPr>
        <w:t xml:space="preserve">, D. H., Modi, S. J., </w:t>
      </w:r>
      <w:proofErr w:type="spellStart"/>
      <w:r w:rsidRPr="006C5C8C">
        <w:rPr>
          <w:rFonts w:ascii="Arial" w:hAnsi="Arial" w:cs="Arial"/>
          <w:sz w:val="20"/>
          <w:szCs w:val="20"/>
        </w:rPr>
        <w:t>Deokar</w:t>
      </w:r>
      <w:proofErr w:type="spellEnd"/>
      <w:r w:rsidRPr="006C5C8C">
        <w:rPr>
          <w:rFonts w:ascii="Arial" w:hAnsi="Arial" w:cs="Arial"/>
          <w:sz w:val="20"/>
          <w:szCs w:val="20"/>
        </w:rPr>
        <w:t xml:space="preserve">, H., Yadav, S., and Kulkarni, V. M. (2022). Fibroblast </w:t>
      </w:r>
    </w:p>
    <w:p w14:paraId="6C87C463" w14:textId="315AE41D"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growth factor receptor (FGFR) inhibitors as anticancer agents: 3D-QSAR, molecular </w:t>
      </w:r>
    </w:p>
    <w:p w14:paraId="2F85FEDB" w14:textId="06EE09D3"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docking and dynamics simulation studies of 1, 6-naphthyridines and pyridopyrimidines. </w:t>
      </w:r>
    </w:p>
    <w:p w14:paraId="428ED8D2" w14:textId="73B3753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w:t>
      </w:r>
      <w:r w:rsidRPr="006C5C8C">
        <w:rPr>
          <w:rFonts w:ascii="Arial" w:hAnsi="Arial" w:cs="Arial"/>
          <w:i/>
          <w:iCs/>
          <w:sz w:val="20"/>
          <w:szCs w:val="20"/>
        </w:rPr>
        <w:t>Journal of Biomolecular Structure and Dynamics</w:t>
      </w:r>
      <w:r w:rsidRPr="006C5C8C">
        <w:rPr>
          <w:rFonts w:ascii="Arial" w:hAnsi="Arial" w:cs="Arial"/>
          <w:sz w:val="20"/>
          <w:szCs w:val="20"/>
        </w:rPr>
        <w:t xml:space="preserve">, </w:t>
      </w:r>
      <w:r w:rsidRPr="006C5C8C">
        <w:rPr>
          <w:rFonts w:ascii="Arial" w:hAnsi="Arial" w:cs="Arial"/>
          <w:i/>
          <w:iCs/>
          <w:sz w:val="20"/>
          <w:szCs w:val="20"/>
        </w:rPr>
        <w:t>41</w:t>
      </w:r>
      <w:r w:rsidRPr="006C5C8C">
        <w:rPr>
          <w:rFonts w:ascii="Arial" w:hAnsi="Arial" w:cs="Arial"/>
          <w:sz w:val="20"/>
          <w:szCs w:val="20"/>
        </w:rPr>
        <w:t xml:space="preserve">(8), 3591–3606. </w:t>
      </w:r>
    </w:p>
    <w:p w14:paraId="7D20D224" w14:textId="46A4C4E1"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i/>
          <w:iCs/>
          <w:sz w:val="20"/>
          <w:szCs w:val="20"/>
        </w:rPr>
        <w:t xml:space="preserve">        </w:t>
      </w:r>
      <w:hyperlink r:id="rId80" w:history="1">
        <w:r w:rsidRPr="006C5C8C">
          <w:rPr>
            <w:rStyle w:val="Hyperlink"/>
            <w:rFonts w:ascii="Arial" w:hAnsi="Arial" w:cs="Arial"/>
            <w:sz w:val="20"/>
            <w:szCs w:val="20"/>
          </w:rPr>
          <w:t>https://doi.org/10.1080/07391102.2022.205320</w:t>
        </w:r>
      </w:hyperlink>
    </w:p>
    <w:p w14:paraId="6F2AB7D2" w14:textId="7777777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[43] </w:t>
      </w:r>
      <w:proofErr w:type="spellStart"/>
      <w:r w:rsidRPr="006C5C8C">
        <w:rPr>
          <w:rFonts w:ascii="Arial" w:hAnsi="Arial" w:cs="Arial"/>
          <w:sz w:val="20"/>
          <w:szCs w:val="20"/>
        </w:rPr>
        <w:t>Osunnaya</w:t>
      </w:r>
      <w:proofErr w:type="spellEnd"/>
      <w:r w:rsidRPr="006C5C8C">
        <w:rPr>
          <w:rFonts w:ascii="Arial" w:hAnsi="Arial" w:cs="Arial"/>
          <w:sz w:val="20"/>
          <w:szCs w:val="20"/>
        </w:rPr>
        <w:t xml:space="preserve">, S. A., </w:t>
      </w:r>
      <w:proofErr w:type="spellStart"/>
      <w:r w:rsidRPr="006C5C8C">
        <w:rPr>
          <w:rFonts w:ascii="Arial" w:hAnsi="Arial" w:cs="Arial"/>
          <w:sz w:val="20"/>
          <w:szCs w:val="20"/>
        </w:rPr>
        <w:t>Ndarawit</w:t>
      </w:r>
      <w:proofErr w:type="spellEnd"/>
      <w:r w:rsidRPr="006C5C8C">
        <w:rPr>
          <w:rFonts w:ascii="Arial" w:hAnsi="Arial" w:cs="Arial"/>
          <w:sz w:val="20"/>
          <w:szCs w:val="20"/>
        </w:rPr>
        <w:t xml:space="preserve">, W. K., Aderibigbe, I., </w:t>
      </w:r>
      <w:proofErr w:type="spellStart"/>
      <w:r w:rsidRPr="006C5C8C">
        <w:rPr>
          <w:rFonts w:ascii="Arial" w:hAnsi="Arial" w:cs="Arial"/>
          <w:sz w:val="20"/>
          <w:szCs w:val="20"/>
        </w:rPr>
        <w:t>Omolopo</w:t>
      </w:r>
      <w:proofErr w:type="spellEnd"/>
      <w:r w:rsidRPr="006C5C8C">
        <w:rPr>
          <w:rFonts w:ascii="Arial" w:hAnsi="Arial" w:cs="Arial"/>
          <w:sz w:val="20"/>
          <w:szCs w:val="20"/>
        </w:rPr>
        <w:t xml:space="preserve">, I. A., Aribisala, P. O., </w:t>
      </w:r>
    </w:p>
    <w:p w14:paraId="54DAE029" w14:textId="3A21B5FE"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Oluwasegun, E. A., ... and </w:t>
      </w:r>
      <w:proofErr w:type="spellStart"/>
      <w:r w:rsidRPr="006C5C8C">
        <w:rPr>
          <w:rFonts w:ascii="Arial" w:hAnsi="Arial" w:cs="Arial"/>
          <w:sz w:val="20"/>
          <w:szCs w:val="20"/>
        </w:rPr>
        <w:t>Bodun</w:t>
      </w:r>
      <w:proofErr w:type="spellEnd"/>
      <w:r w:rsidRPr="006C5C8C">
        <w:rPr>
          <w:rFonts w:ascii="Arial" w:hAnsi="Arial" w:cs="Arial"/>
          <w:sz w:val="20"/>
          <w:szCs w:val="20"/>
        </w:rPr>
        <w:t xml:space="preserve">, D. S. (2025). Identification and exploration of novel </w:t>
      </w:r>
    </w:p>
    <w:p w14:paraId="6BD65BE2" w14:textId="3A4FAB5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FGFR-1 inhibitors in the lotus database for cholangiocarcinoma (CCA) </w:t>
      </w:r>
    </w:p>
    <w:p w14:paraId="198FE8E3" w14:textId="1D6CE8D2"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treatment. </w:t>
      </w:r>
      <w:r w:rsidRPr="006C5C8C">
        <w:rPr>
          <w:rFonts w:ascii="Arial" w:hAnsi="Arial" w:cs="Arial"/>
          <w:i/>
          <w:iCs/>
          <w:sz w:val="20"/>
          <w:szCs w:val="20"/>
        </w:rPr>
        <w:t>Aspects of Molecular Medicine</w:t>
      </w:r>
      <w:r w:rsidRPr="006C5C8C">
        <w:rPr>
          <w:rFonts w:ascii="Arial" w:hAnsi="Arial" w:cs="Arial"/>
          <w:sz w:val="20"/>
          <w:szCs w:val="20"/>
        </w:rPr>
        <w:t xml:space="preserve">, 100085.  </w:t>
      </w:r>
    </w:p>
    <w:p w14:paraId="40E602A3" w14:textId="594357C4"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sz w:val="20"/>
          <w:szCs w:val="20"/>
        </w:rPr>
        <w:t xml:space="preserve">        </w:t>
      </w:r>
      <w:hyperlink r:id="rId81" w:history="1">
        <w:r w:rsidR="00D0018D" w:rsidRPr="00506711">
          <w:rPr>
            <w:rStyle w:val="Hyperlink"/>
            <w:rFonts w:ascii="Arial" w:eastAsiaTheme="majorEastAsia" w:hAnsi="Arial" w:cs="Arial"/>
            <w:sz w:val="20"/>
            <w:szCs w:val="20"/>
          </w:rPr>
          <w:t>https://doi.org/10.1016/j.amolm.2025.100085</w:t>
        </w:r>
      </w:hyperlink>
    </w:p>
    <w:p w14:paraId="53000D91" w14:textId="77777777" w:rsidR="006C5C8C" w:rsidRPr="006C5C8C" w:rsidRDefault="006C5C8C" w:rsidP="006C5C8C">
      <w:pPr>
        <w:pStyle w:val="NormalWeb"/>
        <w:spacing w:before="0" w:beforeAutospacing="0" w:after="0" w:afterAutospacing="0"/>
        <w:ind w:left="360"/>
        <w:jc w:val="both"/>
        <w:rPr>
          <w:rFonts w:ascii="Arial" w:hAnsi="Arial" w:cs="Arial"/>
          <w:i/>
          <w:iCs/>
          <w:sz w:val="20"/>
          <w:szCs w:val="20"/>
        </w:rPr>
      </w:pPr>
      <w:r w:rsidRPr="006C5C8C">
        <w:rPr>
          <w:rFonts w:ascii="Arial" w:hAnsi="Arial" w:cs="Arial"/>
          <w:sz w:val="20"/>
          <w:szCs w:val="20"/>
        </w:rPr>
        <w:t>[44] Jia, L., and Gao, H. (2022). Machine learning for</w:t>
      </w:r>
      <w:r w:rsidRPr="006C5C8C">
        <w:rPr>
          <w:rFonts w:ascii="Arial" w:hAnsi="Arial" w:cs="Arial"/>
          <w:i/>
          <w:iCs/>
          <w:sz w:val="20"/>
          <w:szCs w:val="20"/>
        </w:rPr>
        <w:t xml:space="preserve"> in-silico</w:t>
      </w:r>
      <w:r w:rsidRPr="006C5C8C">
        <w:rPr>
          <w:rFonts w:ascii="Arial" w:hAnsi="Arial" w:cs="Arial"/>
          <w:sz w:val="20"/>
          <w:szCs w:val="20"/>
        </w:rPr>
        <w:t xml:space="preserve"> ADMET prediction. </w:t>
      </w:r>
      <w:r w:rsidRPr="006C5C8C">
        <w:rPr>
          <w:rFonts w:ascii="Arial" w:hAnsi="Arial" w:cs="Arial"/>
          <w:i/>
          <w:iCs/>
          <w:sz w:val="20"/>
          <w:szCs w:val="20"/>
        </w:rPr>
        <w:t xml:space="preserve">Methods </w:t>
      </w:r>
    </w:p>
    <w:p w14:paraId="44155229" w14:textId="7CDC2112"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i/>
          <w:iCs/>
          <w:sz w:val="20"/>
          <w:szCs w:val="20"/>
        </w:rPr>
        <w:t xml:space="preserve">       </w:t>
      </w:r>
      <w:r w:rsidR="00D0018D">
        <w:rPr>
          <w:rFonts w:ascii="Arial" w:hAnsi="Arial" w:cs="Arial"/>
          <w:i/>
          <w:iCs/>
          <w:sz w:val="20"/>
          <w:szCs w:val="20"/>
        </w:rPr>
        <w:t xml:space="preserve"> </w:t>
      </w:r>
      <w:r w:rsidRPr="006C5C8C">
        <w:rPr>
          <w:rFonts w:ascii="Arial" w:hAnsi="Arial" w:cs="Arial"/>
          <w:i/>
          <w:iCs/>
          <w:sz w:val="20"/>
          <w:szCs w:val="20"/>
        </w:rPr>
        <w:t>of Molecular Biology</w:t>
      </w:r>
      <w:r w:rsidRPr="006C5C8C">
        <w:rPr>
          <w:rFonts w:ascii="Arial" w:hAnsi="Arial" w:cs="Arial"/>
          <w:sz w:val="20"/>
          <w:szCs w:val="20"/>
        </w:rPr>
        <w:t xml:space="preserve">, </w:t>
      </w:r>
      <w:r w:rsidRPr="006C5C8C">
        <w:rPr>
          <w:rFonts w:ascii="Arial" w:hAnsi="Arial" w:cs="Arial"/>
          <w:i/>
          <w:iCs/>
          <w:sz w:val="20"/>
          <w:szCs w:val="20"/>
        </w:rPr>
        <w:t>2390</w:t>
      </w:r>
      <w:r w:rsidRPr="006C5C8C">
        <w:rPr>
          <w:rFonts w:ascii="Arial" w:hAnsi="Arial" w:cs="Arial"/>
          <w:sz w:val="20"/>
          <w:szCs w:val="20"/>
        </w:rPr>
        <w:t xml:space="preserve">, 447–460. </w:t>
      </w:r>
      <w:hyperlink r:id="rId82" w:history="1">
        <w:r w:rsidRPr="006C5C8C">
          <w:rPr>
            <w:rStyle w:val="Hyperlink"/>
            <w:rFonts w:ascii="Arial" w:hAnsi="Arial" w:cs="Arial"/>
            <w:sz w:val="20"/>
            <w:szCs w:val="20"/>
          </w:rPr>
          <w:t>https://doi.org/10.1007/978-1-0716-1787-8_20</w:t>
        </w:r>
      </w:hyperlink>
    </w:p>
    <w:p w14:paraId="00FDCA9C" w14:textId="7777777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[45] Padhi, A. K., Janežič, M., and Zhang, K. Y. (2022). Molecular dynamics simulations: </w:t>
      </w:r>
    </w:p>
    <w:p w14:paraId="235282BD" w14:textId="23ED9A50" w:rsidR="006C5C8C" w:rsidRPr="006C5C8C" w:rsidRDefault="006C5C8C" w:rsidP="006C5C8C">
      <w:pPr>
        <w:pStyle w:val="NormalWeb"/>
        <w:spacing w:before="0" w:beforeAutospacing="0" w:after="0" w:afterAutospacing="0"/>
        <w:ind w:left="360"/>
        <w:jc w:val="both"/>
        <w:rPr>
          <w:rFonts w:ascii="Arial" w:hAnsi="Arial" w:cs="Arial"/>
          <w:i/>
          <w:iCs/>
          <w:sz w:val="20"/>
          <w:szCs w:val="20"/>
        </w:rPr>
      </w:pPr>
      <w:r w:rsidRPr="006C5C8C">
        <w:rPr>
          <w:rFonts w:ascii="Arial" w:hAnsi="Arial" w:cs="Arial"/>
          <w:sz w:val="20"/>
          <w:szCs w:val="20"/>
        </w:rPr>
        <w:t xml:space="preserve">       Principles, methods, and applications in protein conformational dynamics. In </w:t>
      </w:r>
      <w:r w:rsidRPr="006C5C8C">
        <w:rPr>
          <w:rFonts w:ascii="Arial" w:hAnsi="Arial" w:cs="Arial"/>
          <w:i/>
          <w:iCs/>
          <w:sz w:val="20"/>
          <w:szCs w:val="20"/>
        </w:rPr>
        <w:t xml:space="preserve">Advances </w:t>
      </w:r>
    </w:p>
    <w:p w14:paraId="2F6E4BC1" w14:textId="6D45C2C1"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i/>
          <w:iCs/>
          <w:sz w:val="20"/>
          <w:szCs w:val="20"/>
        </w:rPr>
        <w:t xml:space="preserve">       in Protein Molecular and Structural Biology Methods</w:t>
      </w:r>
      <w:r w:rsidRPr="006C5C8C">
        <w:rPr>
          <w:rFonts w:ascii="Arial" w:hAnsi="Arial" w:cs="Arial"/>
          <w:sz w:val="20"/>
          <w:szCs w:val="20"/>
        </w:rPr>
        <w:t xml:space="preserve"> (pp. 439-454). Academic Press. </w:t>
      </w:r>
    </w:p>
    <w:p w14:paraId="355CE7D8" w14:textId="77777777"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i/>
          <w:iCs/>
          <w:sz w:val="20"/>
          <w:szCs w:val="20"/>
        </w:rPr>
        <w:t xml:space="preserve">        </w:t>
      </w:r>
      <w:hyperlink r:id="rId83" w:history="1">
        <w:r w:rsidRPr="006C5C8C">
          <w:rPr>
            <w:rStyle w:val="Hyperlink"/>
            <w:rFonts w:ascii="Arial" w:hAnsi="Arial" w:cs="Arial"/>
            <w:sz w:val="20"/>
            <w:szCs w:val="20"/>
          </w:rPr>
          <w:t>https://doi.org/10.1016/B978-0-323-90264-9.00026-X</w:t>
        </w:r>
      </w:hyperlink>
      <w:r w:rsidRPr="006C5C8C">
        <w:rPr>
          <w:rFonts w:ascii="Arial" w:hAnsi="Arial" w:cs="Arial"/>
          <w:sz w:val="20"/>
          <w:szCs w:val="20"/>
        </w:rPr>
        <w:t>.</w:t>
      </w:r>
    </w:p>
    <w:p w14:paraId="4837188E" w14:textId="77777777" w:rsidR="006C5C8C" w:rsidRPr="006C5C8C" w:rsidRDefault="006C5C8C" w:rsidP="006C5C8C">
      <w:pPr>
        <w:pStyle w:val="NormalWeb"/>
        <w:spacing w:before="0" w:beforeAutospacing="0" w:after="0" w:afterAutospacing="0"/>
        <w:ind w:left="360"/>
        <w:jc w:val="both"/>
        <w:rPr>
          <w:rFonts w:ascii="Arial" w:hAnsi="Arial" w:cs="Arial"/>
          <w:sz w:val="20"/>
          <w:szCs w:val="20"/>
          <w:shd w:val="clear" w:color="auto" w:fill="FFFFFF"/>
        </w:rPr>
      </w:pPr>
      <w:r w:rsidRPr="006C5C8C">
        <w:rPr>
          <w:rFonts w:ascii="Arial" w:hAnsi="Arial" w:cs="Arial"/>
          <w:sz w:val="20"/>
          <w:szCs w:val="20"/>
          <w:shd w:val="clear" w:color="auto" w:fill="FFFFFF"/>
        </w:rPr>
        <w:t xml:space="preserve">[46] Kumar, A., and Ojha, K. K. (2023). Molecular dynamics simulation methods to study </w:t>
      </w:r>
    </w:p>
    <w:p w14:paraId="04B5E1EF" w14:textId="284D6232" w:rsidR="006C5C8C" w:rsidRPr="006C5C8C" w:rsidRDefault="006C5C8C" w:rsidP="006C5C8C">
      <w:pPr>
        <w:pStyle w:val="NormalWeb"/>
        <w:spacing w:before="0" w:beforeAutospacing="0" w:after="0" w:afterAutospacing="0"/>
        <w:ind w:left="360"/>
        <w:jc w:val="both"/>
        <w:rPr>
          <w:rFonts w:ascii="Arial" w:hAnsi="Arial" w:cs="Arial"/>
          <w:i/>
          <w:iCs/>
          <w:sz w:val="20"/>
          <w:szCs w:val="20"/>
          <w:shd w:val="clear" w:color="auto" w:fill="FFFFFF"/>
        </w:rPr>
      </w:pPr>
      <w:r w:rsidRPr="006C5C8C">
        <w:rPr>
          <w:rFonts w:ascii="Arial" w:hAnsi="Arial" w:cs="Arial"/>
          <w:sz w:val="20"/>
          <w:szCs w:val="20"/>
          <w:shd w:val="clear" w:color="auto" w:fill="FFFFFF"/>
        </w:rPr>
        <w:t xml:space="preserve">       structural dynamics of proteins. In </w:t>
      </w:r>
      <w:r w:rsidRPr="006C5C8C">
        <w:rPr>
          <w:rFonts w:ascii="Arial" w:hAnsi="Arial" w:cs="Arial"/>
          <w:i/>
          <w:iCs/>
          <w:sz w:val="20"/>
          <w:szCs w:val="20"/>
          <w:shd w:val="clear" w:color="auto" w:fill="FFFFFF"/>
        </w:rPr>
        <w:t xml:space="preserve">Protein Folding Dynamics and Stability: Experimental </w:t>
      </w:r>
    </w:p>
    <w:p w14:paraId="50A93DA1" w14:textId="5971EF7C" w:rsidR="006C5C8C" w:rsidRPr="006C5C8C" w:rsidRDefault="006C5C8C" w:rsidP="006C5C8C">
      <w:pPr>
        <w:pStyle w:val="NormalWeb"/>
        <w:spacing w:before="0" w:beforeAutospacing="0" w:after="0" w:afterAutospacing="0"/>
        <w:ind w:left="360"/>
        <w:jc w:val="both"/>
        <w:rPr>
          <w:rFonts w:ascii="Arial" w:hAnsi="Arial" w:cs="Arial"/>
          <w:sz w:val="20"/>
          <w:szCs w:val="20"/>
          <w:shd w:val="clear" w:color="auto" w:fill="FFFFFF"/>
        </w:rPr>
      </w:pPr>
      <w:r w:rsidRPr="006C5C8C">
        <w:rPr>
          <w:rFonts w:ascii="Arial" w:hAnsi="Arial" w:cs="Arial"/>
          <w:i/>
          <w:iCs/>
          <w:sz w:val="20"/>
          <w:szCs w:val="20"/>
          <w:shd w:val="clear" w:color="auto" w:fill="FFFFFF"/>
        </w:rPr>
        <w:t xml:space="preserve">       and Computational Methods</w:t>
      </w:r>
      <w:r w:rsidRPr="006C5C8C">
        <w:rPr>
          <w:rFonts w:ascii="Arial" w:hAnsi="Arial" w:cs="Arial"/>
          <w:sz w:val="20"/>
          <w:szCs w:val="20"/>
          <w:shd w:val="clear" w:color="auto" w:fill="FFFFFF"/>
        </w:rPr>
        <w:t xml:space="preserve"> (pp. 83-106). Singapore: Springer Nature Singapore. </w:t>
      </w:r>
    </w:p>
    <w:p w14:paraId="07AE1EFC" w14:textId="123CCA25"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i/>
          <w:iCs/>
          <w:sz w:val="20"/>
          <w:szCs w:val="20"/>
          <w:shd w:val="clear" w:color="auto" w:fill="FFFFFF"/>
        </w:rPr>
        <w:t xml:space="preserve">       </w:t>
      </w:r>
      <w:hyperlink r:id="rId84" w:history="1">
        <w:r w:rsidRPr="006C5C8C">
          <w:rPr>
            <w:rStyle w:val="Hyperlink"/>
            <w:rFonts w:ascii="Arial" w:hAnsi="Arial" w:cs="Arial"/>
            <w:sz w:val="20"/>
            <w:szCs w:val="20"/>
            <w:shd w:val="clear" w:color="auto" w:fill="FFFFFF"/>
          </w:rPr>
          <w:t>https://doi.org/10.1007/978-981-99-2079-2_5</w:t>
        </w:r>
      </w:hyperlink>
    </w:p>
    <w:p w14:paraId="3DE766B0" w14:textId="7777777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[47] </w:t>
      </w:r>
      <w:proofErr w:type="spellStart"/>
      <w:r w:rsidRPr="006C5C8C">
        <w:rPr>
          <w:rFonts w:ascii="Arial" w:hAnsi="Arial" w:cs="Arial"/>
          <w:sz w:val="20"/>
          <w:szCs w:val="20"/>
        </w:rPr>
        <w:t>Genheden</w:t>
      </w:r>
      <w:proofErr w:type="spellEnd"/>
      <w:r w:rsidRPr="006C5C8C">
        <w:rPr>
          <w:rFonts w:ascii="Arial" w:hAnsi="Arial" w:cs="Arial"/>
          <w:sz w:val="20"/>
          <w:szCs w:val="20"/>
        </w:rPr>
        <w:t xml:space="preserve">, S., and Ryde, U. (2015). The MM/PBSA and MM/GBSA methods to estimate </w:t>
      </w:r>
    </w:p>
    <w:p w14:paraId="715B502A" w14:textId="78B112EA"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       ligand-binding affinities. </w:t>
      </w:r>
      <w:r w:rsidRPr="006C5C8C">
        <w:rPr>
          <w:rFonts w:ascii="Arial" w:hAnsi="Arial" w:cs="Arial"/>
          <w:i/>
          <w:iCs/>
          <w:sz w:val="20"/>
          <w:szCs w:val="20"/>
        </w:rPr>
        <w:t>Expert Opinion on Drug Discovery</w:t>
      </w:r>
      <w:r w:rsidRPr="006C5C8C">
        <w:rPr>
          <w:rFonts w:ascii="Arial" w:hAnsi="Arial" w:cs="Arial"/>
          <w:sz w:val="20"/>
          <w:szCs w:val="20"/>
        </w:rPr>
        <w:t xml:space="preserve">, </w:t>
      </w:r>
      <w:r w:rsidRPr="006C5C8C">
        <w:rPr>
          <w:rFonts w:ascii="Arial" w:hAnsi="Arial" w:cs="Arial"/>
          <w:i/>
          <w:iCs/>
          <w:sz w:val="20"/>
          <w:szCs w:val="20"/>
        </w:rPr>
        <w:t>10</w:t>
      </w:r>
      <w:r w:rsidRPr="006C5C8C">
        <w:rPr>
          <w:rFonts w:ascii="Arial" w:hAnsi="Arial" w:cs="Arial"/>
          <w:sz w:val="20"/>
          <w:szCs w:val="20"/>
        </w:rPr>
        <w:t xml:space="preserve">(5), 449–461. </w:t>
      </w:r>
    </w:p>
    <w:p w14:paraId="571F607B" w14:textId="1EF1A7E8"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sz w:val="20"/>
          <w:szCs w:val="20"/>
        </w:rPr>
        <w:t xml:space="preserve">       </w:t>
      </w:r>
      <w:hyperlink r:id="rId85" w:history="1">
        <w:r w:rsidR="00D0018D" w:rsidRPr="00506711">
          <w:rPr>
            <w:rStyle w:val="Hyperlink"/>
            <w:rFonts w:ascii="Arial" w:hAnsi="Arial" w:cs="Arial"/>
            <w:sz w:val="20"/>
            <w:szCs w:val="20"/>
          </w:rPr>
          <w:t>https://doi.org/10.1517/17460441.2015.1032936</w:t>
        </w:r>
      </w:hyperlink>
    </w:p>
    <w:p w14:paraId="69C52706" w14:textId="77777777"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sz w:val="20"/>
          <w:szCs w:val="20"/>
        </w:rPr>
        <w:t xml:space="preserve">[48] Zhang, X., Pérez-Sánchez, H., and Lightstone, F. C. (2017). A Comprehensive docking </w:t>
      </w:r>
    </w:p>
    <w:p w14:paraId="4B76F0F0" w14:textId="11462001" w:rsidR="006C5C8C" w:rsidRPr="006C5C8C" w:rsidRDefault="006C5C8C" w:rsidP="006C5C8C">
      <w:pPr>
        <w:pStyle w:val="NormalWeb"/>
        <w:spacing w:before="0" w:beforeAutospacing="0" w:after="0" w:afterAutospacing="0"/>
        <w:ind w:left="360"/>
        <w:jc w:val="both"/>
        <w:rPr>
          <w:rFonts w:ascii="Arial" w:hAnsi="Arial" w:cs="Arial"/>
          <w:i/>
          <w:iCs/>
          <w:sz w:val="20"/>
          <w:szCs w:val="20"/>
        </w:rPr>
      </w:pPr>
      <w:r w:rsidRPr="006C5C8C">
        <w:rPr>
          <w:rFonts w:ascii="Arial" w:hAnsi="Arial" w:cs="Arial"/>
          <w:sz w:val="20"/>
          <w:szCs w:val="20"/>
        </w:rPr>
        <w:t xml:space="preserve">       and MM/GBSA rescoring study of ligand recognition upon binding antithrombin. </w:t>
      </w:r>
      <w:r w:rsidRPr="006C5C8C">
        <w:rPr>
          <w:rFonts w:ascii="Arial" w:hAnsi="Arial" w:cs="Arial"/>
          <w:i/>
          <w:iCs/>
          <w:sz w:val="20"/>
          <w:szCs w:val="20"/>
        </w:rPr>
        <w:t xml:space="preserve">Current  </w:t>
      </w:r>
    </w:p>
    <w:p w14:paraId="2D060646" w14:textId="4A467904" w:rsidR="006C5C8C" w:rsidRPr="006C5C8C" w:rsidRDefault="006C5C8C" w:rsidP="006C5C8C">
      <w:pPr>
        <w:pStyle w:val="NormalWeb"/>
        <w:spacing w:before="0" w:beforeAutospacing="0" w:after="0" w:afterAutospacing="0"/>
        <w:ind w:left="360"/>
        <w:jc w:val="both"/>
        <w:rPr>
          <w:rFonts w:ascii="Arial" w:hAnsi="Arial" w:cs="Arial"/>
          <w:sz w:val="20"/>
          <w:szCs w:val="20"/>
        </w:rPr>
      </w:pPr>
      <w:r w:rsidRPr="006C5C8C">
        <w:rPr>
          <w:rFonts w:ascii="Arial" w:hAnsi="Arial" w:cs="Arial"/>
          <w:i/>
          <w:iCs/>
          <w:sz w:val="20"/>
          <w:szCs w:val="20"/>
        </w:rPr>
        <w:t xml:space="preserve">       Topics in Medicinal Chemistry</w:t>
      </w:r>
      <w:r w:rsidRPr="006C5C8C">
        <w:rPr>
          <w:rFonts w:ascii="Arial" w:hAnsi="Arial" w:cs="Arial"/>
          <w:sz w:val="20"/>
          <w:szCs w:val="20"/>
        </w:rPr>
        <w:t xml:space="preserve">, </w:t>
      </w:r>
      <w:r w:rsidRPr="006C5C8C">
        <w:rPr>
          <w:rFonts w:ascii="Arial" w:hAnsi="Arial" w:cs="Arial"/>
          <w:i/>
          <w:iCs/>
          <w:sz w:val="20"/>
          <w:szCs w:val="20"/>
        </w:rPr>
        <w:t>17</w:t>
      </w:r>
      <w:r w:rsidRPr="006C5C8C">
        <w:rPr>
          <w:rFonts w:ascii="Arial" w:hAnsi="Arial" w:cs="Arial"/>
          <w:sz w:val="20"/>
          <w:szCs w:val="20"/>
        </w:rPr>
        <w:t xml:space="preserve">(14), 1631–1639. </w:t>
      </w:r>
    </w:p>
    <w:p w14:paraId="5B2B7229" w14:textId="0C9D6BB4"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i/>
          <w:iCs/>
          <w:sz w:val="20"/>
          <w:szCs w:val="20"/>
        </w:rPr>
        <w:t xml:space="preserve">        </w:t>
      </w:r>
      <w:hyperlink r:id="rId86" w:history="1">
        <w:r w:rsidRPr="006C5C8C">
          <w:rPr>
            <w:rStyle w:val="Hyperlink"/>
            <w:rFonts w:ascii="Arial" w:hAnsi="Arial" w:cs="Arial"/>
            <w:sz w:val="20"/>
            <w:szCs w:val="20"/>
          </w:rPr>
          <w:t>https://doi.org/10.2174/1568026616666161117112604</w:t>
        </w:r>
      </w:hyperlink>
      <w:r w:rsidRPr="006C5C8C">
        <w:rPr>
          <w:rFonts w:ascii="Arial" w:hAnsi="Arial" w:cs="Arial"/>
          <w:sz w:val="20"/>
          <w:szCs w:val="20"/>
        </w:rPr>
        <w:t xml:space="preserve"> </w:t>
      </w:r>
    </w:p>
    <w:p w14:paraId="2CC77AB8" w14:textId="77777777" w:rsidR="006C5C8C" w:rsidRPr="006C5C8C" w:rsidRDefault="006C5C8C" w:rsidP="006C5C8C">
      <w:pPr>
        <w:pStyle w:val="NormalWeb"/>
        <w:spacing w:before="0" w:beforeAutospacing="0" w:after="0" w:afterAutospacing="0"/>
        <w:ind w:left="360"/>
        <w:jc w:val="both"/>
        <w:rPr>
          <w:rFonts w:ascii="Arial" w:hAnsi="Arial" w:cs="Arial"/>
          <w:sz w:val="20"/>
          <w:szCs w:val="20"/>
          <w:shd w:val="clear" w:color="auto" w:fill="FFFFFF"/>
        </w:rPr>
      </w:pPr>
      <w:r w:rsidRPr="006C5C8C">
        <w:rPr>
          <w:rFonts w:ascii="Arial" w:hAnsi="Arial" w:cs="Arial"/>
          <w:sz w:val="20"/>
          <w:szCs w:val="20"/>
          <w:shd w:val="clear" w:color="auto" w:fill="FFFFFF"/>
        </w:rPr>
        <w:t xml:space="preserve">[49] Singh, S., and Singh, V. K. (2020). Molecular dynamics simulation: Methods and </w:t>
      </w:r>
    </w:p>
    <w:p w14:paraId="7BBBA6ED" w14:textId="0E39A113" w:rsidR="006C5C8C" w:rsidRPr="006C5C8C" w:rsidRDefault="006C5C8C" w:rsidP="006C5C8C">
      <w:pPr>
        <w:pStyle w:val="NormalWeb"/>
        <w:spacing w:before="0" w:beforeAutospacing="0" w:after="0" w:afterAutospacing="0"/>
        <w:ind w:left="360"/>
        <w:jc w:val="both"/>
        <w:rPr>
          <w:rFonts w:ascii="Arial" w:hAnsi="Arial" w:cs="Arial"/>
          <w:sz w:val="20"/>
          <w:szCs w:val="20"/>
          <w:shd w:val="clear" w:color="auto" w:fill="FFFFFF"/>
        </w:rPr>
      </w:pPr>
      <w:r w:rsidRPr="006C5C8C">
        <w:rPr>
          <w:rFonts w:ascii="Arial" w:hAnsi="Arial" w:cs="Arial"/>
          <w:sz w:val="20"/>
          <w:szCs w:val="20"/>
          <w:shd w:val="clear" w:color="auto" w:fill="FFFFFF"/>
        </w:rPr>
        <w:t xml:space="preserve">       application. In </w:t>
      </w:r>
      <w:r w:rsidRPr="006C5C8C">
        <w:rPr>
          <w:rFonts w:ascii="Arial" w:hAnsi="Arial" w:cs="Arial"/>
          <w:i/>
          <w:iCs/>
          <w:sz w:val="20"/>
          <w:szCs w:val="20"/>
          <w:shd w:val="clear" w:color="auto" w:fill="FFFFFF"/>
        </w:rPr>
        <w:t>Frontiers in Protein Structure, Function, and Dynamics</w:t>
      </w:r>
      <w:r w:rsidRPr="006C5C8C">
        <w:rPr>
          <w:rFonts w:ascii="Arial" w:hAnsi="Arial" w:cs="Arial"/>
          <w:sz w:val="20"/>
          <w:szCs w:val="20"/>
          <w:shd w:val="clear" w:color="auto" w:fill="FFFFFF"/>
        </w:rPr>
        <w:t xml:space="preserve"> (pp. 213-238). </w:t>
      </w:r>
    </w:p>
    <w:p w14:paraId="68FFDA3D" w14:textId="53E510B8" w:rsidR="006C5C8C" w:rsidRPr="006C5C8C" w:rsidRDefault="006C5C8C" w:rsidP="006C5C8C">
      <w:pPr>
        <w:pStyle w:val="NormalWeb"/>
        <w:spacing w:before="0" w:beforeAutospacing="0" w:after="240" w:afterAutospacing="0"/>
        <w:ind w:left="360"/>
        <w:jc w:val="both"/>
        <w:rPr>
          <w:rFonts w:ascii="Arial" w:hAnsi="Arial" w:cs="Arial"/>
          <w:sz w:val="20"/>
          <w:szCs w:val="20"/>
        </w:rPr>
      </w:pPr>
      <w:r w:rsidRPr="006C5C8C">
        <w:rPr>
          <w:rFonts w:ascii="Arial" w:hAnsi="Arial" w:cs="Arial"/>
          <w:sz w:val="20"/>
          <w:szCs w:val="20"/>
          <w:shd w:val="clear" w:color="auto" w:fill="FFFFFF"/>
        </w:rPr>
        <w:t xml:space="preserve">       Singapore: Springer Singapore. </w:t>
      </w:r>
      <w:hyperlink r:id="rId87" w:history="1">
        <w:r w:rsidRPr="006C5C8C">
          <w:rPr>
            <w:rStyle w:val="Hyperlink"/>
            <w:rFonts w:ascii="Arial" w:eastAsiaTheme="majorEastAsia" w:hAnsi="Arial" w:cs="Arial"/>
            <w:sz w:val="20"/>
            <w:szCs w:val="20"/>
            <w:shd w:val="clear" w:color="auto" w:fill="FFFFFF"/>
          </w:rPr>
          <w:t>https://doi.org/10.1007/978-981-15-5530-5_9</w:t>
        </w:r>
      </w:hyperlink>
    </w:p>
    <w:p w14:paraId="3A645803" w14:textId="77777777"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lang w:val="de-DE"/>
        </w:rPr>
        <w:t xml:space="preserve">[50] Fu, Y., Zhao, J., and Chen, Z. (2018). </w:t>
      </w:r>
      <w:r w:rsidRPr="006C5C8C">
        <w:rPr>
          <w:rFonts w:ascii="Arial" w:hAnsi="Arial" w:cs="Arial"/>
          <w:color w:val="222222"/>
          <w:sz w:val="20"/>
          <w:szCs w:val="20"/>
          <w:shd w:val="clear" w:color="auto" w:fill="FFFFFF"/>
        </w:rPr>
        <w:t>Insights into the molecular mechanisms of protein</w:t>
      </w:r>
      <w:r w:rsidRPr="006C5C8C">
        <w:rPr>
          <w:rFonts w:ascii="Cambria Math" w:hAnsi="Cambria Math" w:cs="Cambria Math"/>
          <w:color w:val="222222"/>
          <w:sz w:val="20"/>
          <w:szCs w:val="20"/>
          <w:shd w:val="clear" w:color="auto" w:fill="FFFFFF"/>
        </w:rPr>
        <w:t>‐</w:t>
      </w:r>
    </w:p>
    <w:p w14:paraId="36913C9D" w14:textId="15BF533D" w:rsidR="006C5C8C" w:rsidRPr="006C5C8C" w:rsidRDefault="006C5C8C" w:rsidP="006C5C8C">
      <w:pPr>
        <w:spacing w:after="0" w:line="240" w:lineRule="auto"/>
        <w:ind w:left="360"/>
        <w:jc w:val="both"/>
        <w:rPr>
          <w:rFonts w:ascii="Arial" w:hAnsi="Arial" w:cs="Arial"/>
          <w:color w:val="222222"/>
          <w:sz w:val="20"/>
          <w:szCs w:val="20"/>
          <w:shd w:val="clear" w:color="auto" w:fill="FFFFFF"/>
        </w:rPr>
      </w:pPr>
      <w:r w:rsidRPr="006C5C8C">
        <w:rPr>
          <w:rFonts w:ascii="Arial" w:hAnsi="Arial" w:cs="Arial"/>
          <w:color w:val="222222"/>
          <w:sz w:val="20"/>
          <w:szCs w:val="20"/>
          <w:shd w:val="clear" w:color="auto" w:fill="FFFFFF"/>
        </w:rPr>
        <w:t xml:space="preserve">       ligand interactions by molecular docking and molecular dynamics simulation: A case of </w:t>
      </w:r>
    </w:p>
    <w:p w14:paraId="7CCF1E7C" w14:textId="67E91051" w:rsidR="006C5C8C" w:rsidRPr="006C5C8C" w:rsidRDefault="006C5C8C" w:rsidP="006C5C8C">
      <w:pPr>
        <w:spacing w:after="0" w:line="240" w:lineRule="auto"/>
        <w:ind w:left="360"/>
        <w:jc w:val="both"/>
        <w:rPr>
          <w:rFonts w:ascii="Arial" w:hAnsi="Arial" w:cs="Arial"/>
          <w:i/>
          <w:iCs/>
          <w:color w:val="222222"/>
          <w:sz w:val="20"/>
          <w:szCs w:val="20"/>
          <w:shd w:val="clear" w:color="auto" w:fill="FFFFFF"/>
        </w:rPr>
      </w:pPr>
      <w:r w:rsidRPr="006C5C8C">
        <w:rPr>
          <w:rFonts w:ascii="Arial" w:hAnsi="Arial" w:cs="Arial"/>
          <w:color w:val="222222"/>
          <w:sz w:val="20"/>
          <w:szCs w:val="20"/>
          <w:shd w:val="clear" w:color="auto" w:fill="FFFFFF"/>
        </w:rPr>
        <w:t xml:space="preserve">       oligopeptide binding protein. </w:t>
      </w:r>
      <w:r w:rsidRPr="006C5C8C">
        <w:rPr>
          <w:rFonts w:ascii="Arial" w:hAnsi="Arial" w:cs="Arial"/>
          <w:i/>
          <w:iCs/>
          <w:color w:val="222222"/>
          <w:sz w:val="20"/>
          <w:szCs w:val="20"/>
          <w:shd w:val="clear" w:color="auto" w:fill="FFFFFF"/>
        </w:rPr>
        <w:t xml:space="preserve">Computational and Mathematical Methods in </w:t>
      </w:r>
    </w:p>
    <w:p w14:paraId="30D177E1" w14:textId="4349700D" w:rsidR="006C5C8C" w:rsidRPr="006C5C8C" w:rsidRDefault="006C5C8C" w:rsidP="006C5C8C">
      <w:pPr>
        <w:spacing w:line="240" w:lineRule="auto"/>
        <w:ind w:left="360"/>
        <w:jc w:val="both"/>
        <w:rPr>
          <w:rFonts w:ascii="Arial" w:hAnsi="Arial" w:cs="Arial"/>
          <w:color w:val="222222"/>
          <w:sz w:val="20"/>
          <w:szCs w:val="20"/>
          <w:shd w:val="clear" w:color="auto" w:fill="FFFFFF"/>
        </w:rPr>
      </w:pPr>
      <w:r w:rsidRPr="006C5C8C">
        <w:rPr>
          <w:rFonts w:ascii="Arial" w:hAnsi="Arial" w:cs="Arial"/>
          <w:i/>
          <w:iCs/>
          <w:color w:val="222222"/>
          <w:sz w:val="20"/>
          <w:szCs w:val="20"/>
          <w:shd w:val="clear" w:color="auto" w:fill="FFFFFF"/>
        </w:rPr>
        <w:t xml:space="preserve">       Medicine</w:t>
      </w:r>
      <w:r w:rsidRPr="006C5C8C">
        <w:rPr>
          <w:rFonts w:ascii="Arial" w:hAnsi="Arial" w:cs="Arial"/>
          <w:color w:val="222222"/>
          <w:sz w:val="20"/>
          <w:szCs w:val="20"/>
          <w:shd w:val="clear" w:color="auto" w:fill="FFFFFF"/>
        </w:rPr>
        <w:t>, </w:t>
      </w:r>
      <w:r w:rsidRPr="006C5C8C">
        <w:rPr>
          <w:rFonts w:ascii="Arial" w:hAnsi="Arial" w:cs="Arial"/>
          <w:i/>
          <w:iCs/>
          <w:color w:val="222222"/>
          <w:sz w:val="20"/>
          <w:szCs w:val="20"/>
          <w:shd w:val="clear" w:color="auto" w:fill="FFFFFF"/>
        </w:rPr>
        <w:t>2018</w:t>
      </w:r>
      <w:r w:rsidRPr="006C5C8C">
        <w:rPr>
          <w:rFonts w:ascii="Arial" w:hAnsi="Arial" w:cs="Arial"/>
          <w:color w:val="222222"/>
          <w:sz w:val="20"/>
          <w:szCs w:val="20"/>
          <w:shd w:val="clear" w:color="auto" w:fill="FFFFFF"/>
        </w:rPr>
        <w:t xml:space="preserve">(1), 3502514. </w:t>
      </w:r>
      <w:hyperlink r:id="rId88" w:history="1">
        <w:r w:rsidRPr="006C5C8C">
          <w:rPr>
            <w:rStyle w:val="Hyperlink"/>
            <w:rFonts w:ascii="Arial" w:hAnsi="Arial" w:cs="Arial"/>
            <w:sz w:val="20"/>
            <w:szCs w:val="20"/>
            <w:shd w:val="clear" w:color="auto" w:fill="FFFFFF"/>
          </w:rPr>
          <w:t>https://doi.org/10.1155/2018/3502514</w:t>
        </w:r>
      </w:hyperlink>
    </w:p>
    <w:p w14:paraId="127A5AB3" w14:textId="77777777" w:rsidR="006C5C8C" w:rsidRPr="006C5C8C" w:rsidRDefault="006C5C8C" w:rsidP="006C5C8C">
      <w:pPr>
        <w:spacing w:after="0" w:line="360" w:lineRule="auto"/>
        <w:jc w:val="both"/>
        <w:rPr>
          <w:rFonts w:ascii="Arial" w:hAnsi="Arial" w:cs="Arial"/>
          <w:sz w:val="20"/>
          <w:szCs w:val="20"/>
          <w:lang w:val="en-GB"/>
        </w:rPr>
      </w:pPr>
    </w:p>
    <w:sectPr w:rsidR="006C5C8C" w:rsidRPr="006C5C8C" w:rsidSect="00C258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5AC2A" w14:textId="77777777" w:rsidR="00EE77AB" w:rsidRDefault="00EE77AB" w:rsidP="00394CD1">
      <w:pPr>
        <w:spacing w:after="0" w:line="240" w:lineRule="auto"/>
      </w:pPr>
      <w:r>
        <w:separator/>
      </w:r>
    </w:p>
  </w:endnote>
  <w:endnote w:type="continuationSeparator" w:id="0">
    <w:p w14:paraId="621448BA" w14:textId="77777777" w:rsidR="00EE77AB" w:rsidRDefault="00EE77AB" w:rsidP="00394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B36B" w14:textId="77777777" w:rsidR="00394CD1" w:rsidRDefault="00394C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0B98" w14:textId="77777777" w:rsidR="00394CD1" w:rsidRDefault="00394C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6355B" w14:textId="77777777" w:rsidR="00394CD1" w:rsidRDefault="00394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1494E" w14:textId="77777777" w:rsidR="00EE77AB" w:rsidRDefault="00EE77AB" w:rsidP="00394CD1">
      <w:pPr>
        <w:spacing w:after="0" w:line="240" w:lineRule="auto"/>
      </w:pPr>
      <w:r>
        <w:separator/>
      </w:r>
    </w:p>
  </w:footnote>
  <w:footnote w:type="continuationSeparator" w:id="0">
    <w:p w14:paraId="42C6ADF5" w14:textId="77777777" w:rsidR="00EE77AB" w:rsidRDefault="00EE77AB" w:rsidP="00394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6DC3" w14:textId="75F821A0" w:rsidR="00394CD1" w:rsidRDefault="00394CD1">
    <w:pPr>
      <w:pStyle w:val="Header"/>
    </w:pPr>
    <w:r>
      <w:rPr>
        <w:noProof/>
      </w:rPr>
      <w:pict w14:anchorId="0F457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852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8FC7" w14:textId="6031D479" w:rsidR="00394CD1" w:rsidRDefault="00394CD1">
    <w:pPr>
      <w:pStyle w:val="Header"/>
    </w:pPr>
    <w:r>
      <w:rPr>
        <w:noProof/>
      </w:rPr>
      <w:pict w14:anchorId="57512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852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0A721" w14:textId="47C3AFA0" w:rsidR="00394CD1" w:rsidRDefault="00394CD1">
    <w:pPr>
      <w:pStyle w:val="Header"/>
    </w:pPr>
    <w:r>
      <w:rPr>
        <w:noProof/>
      </w:rPr>
      <w:pict w14:anchorId="569FB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852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1781C"/>
    <w:multiLevelType w:val="hybridMultilevel"/>
    <w:tmpl w:val="E3B4EFB2"/>
    <w:lvl w:ilvl="0" w:tplc="AB2C491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02D68F9"/>
    <w:multiLevelType w:val="hybridMultilevel"/>
    <w:tmpl w:val="E15ADA7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747DA6"/>
    <w:multiLevelType w:val="multilevel"/>
    <w:tmpl w:val="18108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395B67"/>
    <w:multiLevelType w:val="multilevel"/>
    <w:tmpl w:val="850ECD8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6F810050"/>
    <w:multiLevelType w:val="multilevel"/>
    <w:tmpl w:val="77EE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1081554">
    <w:abstractNumId w:val="3"/>
  </w:num>
  <w:num w:numId="2" w16cid:durableId="420611656">
    <w:abstractNumId w:val="2"/>
  </w:num>
  <w:num w:numId="3" w16cid:durableId="656222911">
    <w:abstractNumId w:val="4"/>
  </w:num>
  <w:num w:numId="4" w16cid:durableId="2038115652">
    <w:abstractNumId w:val="0"/>
  </w:num>
  <w:num w:numId="5" w16cid:durableId="122768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2F"/>
    <w:rsid w:val="00026031"/>
    <w:rsid w:val="00045DEB"/>
    <w:rsid w:val="00050357"/>
    <w:rsid w:val="00072DBF"/>
    <w:rsid w:val="000845E7"/>
    <w:rsid w:val="000B354A"/>
    <w:rsid w:val="000D24B6"/>
    <w:rsid w:val="0010639E"/>
    <w:rsid w:val="00127C30"/>
    <w:rsid w:val="00161670"/>
    <w:rsid w:val="00170718"/>
    <w:rsid w:val="001A03C4"/>
    <w:rsid w:val="001D7F49"/>
    <w:rsid w:val="002371FF"/>
    <w:rsid w:val="002524C0"/>
    <w:rsid w:val="00275507"/>
    <w:rsid w:val="00283253"/>
    <w:rsid w:val="002A113E"/>
    <w:rsid w:val="002D70BC"/>
    <w:rsid w:val="002F0B44"/>
    <w:rsid w:val="003011CC"/>
    <w:rsid w:val="0035286A"/>
    <w:rsid w:val="0035395B"/>
    <w:rsid w:val="0036799E"/>
    <w:rsid w:val="00394CD1"/>
    <w:rsid w:val="003D50C3"/>
    <w:rsid w:val="003E1E71"/>
    <w:rsid w:val="003E6FF4"/>
    <w:rsid w:val="003F5D3C"/>
    <w:rsid w:val="0041742D"/>
    <w:rsid w:val="00423749"/>
    <w:rsid w:val="0042394A"/>
    <w:rsid w:val="004356F2"/>
    <w:rsid w:val="004566AD"/>
    <w:rsid w:val="004570A0"/>
    <w:rsid w:val="00463F52"/>
    <w:rsid w:val="004B2929"/>
    <w:rsid w:val="004B40E4"/>
    <w:rsid w:val="004C4713"/>
    <w:rsid w:val="004D0E66"/>
    <w:rsid w:val="004D42F7"/>
    <w:rsid w:val="004E486F"/>
    <w:rsid w:val="004E48B1"/>
    <w:rsid w:val="00502BDA"/>
    <w:rsid w:val="005053AB"/>
    <w:rsid w:val="0052046B"/>
    <w:rsid w:val="00563903"/>
    <w:rsid w:val="005C0664"/>
    <w:rsid w:val="005C5CC0"/>
    <w:rsid w:val="005F5BBE"/>
    <w:rsid w:val="00651E79"/>
    <w:rsid w:val="00670F25"/>
    <w:rsid w:val="00677E44"/>
    <w:rsid w:val="006B6406"/>
    <w:rsid w:val="006B794F"/>
    <w:rsid w:val="006C22EE"/>
    <w:rsid w:val="006C391B"/>
    <w:rsid w:val="006C5C8C"/>
    <w:rsid w:val="006E1B77"/>
    <w:rsid w:val="006F7B23"/>
    <w:rsid w:val="00706C5B"/>
    <w:rsid w:val="00737D4B"/>
    <w:rsid w:val="007747AE"/>
    <w:rsid w:val="00784D6F"/>
    <w:rsid w:val="00797F2D"/>
    <w:rsid w:val="007C2923"/>
    <w:rsid w:val="007C7FE4"/>
    <w:rsid w:val="007D6BFF"/>
    <w:rsid w:val="00847A85"/>
    <w:rsid w:val="0085434C"/>
    <w:rsid w:val="0086650C"/>
    <w:rsid w:val="00892B6F"/>
    <w:rsid w:val="008A356D"/>
    <w:rsid w:val="008C4486"/>
    <w:rsid w:val="008C76B1"/>
    <w:rsid w:val="008F6E01"/>
    <w:rsid w:val="009230C7"/>
    <w:rsid w:val="00925599"/>
    <w:rsid w:val="009500EC"/>
    <w:rsid w:val="00986B08"/>
    <w:rsid w:val="009B0B7E"/>
    <w:rsid w:val="009B53C4"/>
    <w:rsid w:val="009C4196"/>
    <w:rsid w:val="009C4894"/>
    <w:rsid w:val="00A02237"/>
    <w:rsid w:val="00A31BEB"/>
    <w:rsid w:val="00A34918"/>
    <w:rsid w:val="00A803B4"/>
    <w:rsid w:val="00AA0D27"/>
    <w:rsid w:val="00AA3AD4"/>
    <w:rsid w:val="00AE0430"/>
    <w:rsid w:val="00AF2B21"/>
    <w:rsid w:val="00B7029A"/>
    <w:rsid w:val="00BB112F"/>
    <w:rsid w:val="00BB775A"/>
    <w:rsid w:val="00BB7D07"/>
    <w:rsid w:val="00C25855"/>
    <w:rsid w:val="00C32B0D"/>
    <w:rsid w:val="00C376B7"/>
    <w:rsid w:val="00C67780"/>
    <w:rsid w:val="00CB1E6A"/>
    <w:rsid w:val="00D0018D"/>
    <w:rsid w:val="00D010CC"/>
    <w:rsid w:val="00D1407C"/>
    <w:rsid w:val="00DC12C7"/>
    <w:rsid w:val="00DC3049"/>
    <w:rsid w:val="00DC6CBF"/>
    <w:rsid w:val="00DF4FBF"/>
    <w:rsid w:val="00E40D16"/>
    <w:rsid w:val="00E57CFB"/>
    <w:rsid w:val="00E7233F"/>
    <w:rsid w:val="00E91B0C"/>
    <w:rsid w:val="00E94941"/>
    <w:rsid w:val="00E94A82"/>
    <w:rsid w:val="00E97DBE"/>
    <w:rsid w:val="00EA240A"/>
    <w:rsid w:val="00EA739C"/>
    <w:rsid w:val="00EB4106"/>
    <w:rsid w:val="00EC71AA"/>
    <w:rsid w:val="00ED24B4"/>
    <w:rsid w:val="00ED2D9C"/>
    <w:rsid w:val="00EE77AB"/>
    <w:rsid w:val="00F0537E"/>
    <w:rsid w:val="00F063DB"/>
    <w:rsid w:val="00F43ABA"/>
    <w:rsid w:val="00F63E74"/>
    <w:rsid w:val="00F66C24"/>
    <w:rsid w:val="00F71966"/>
    <w:rsid w:val="00F726BD"/>
    <w:rsid w:val="00F770D4"/>
    <w:rsid w:val="00F96BBA"/>
    <w:rsid w:val="00FA6A85"/>
    <w:rsid w:val="00FE73C3"/>
    <w:rsid w:val="00FF6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FDFDA"/>
  <w15:chartTrackingRefBased/>
  <w15:docId w15:val="{3615C5BF-0C03-419B-B5E6-33A0B951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11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11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11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11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11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11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11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11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11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1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11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11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11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11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11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11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11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112F"/>
    <w:rPr>
      <w:rFonts w:eastAsiaTheme="majorEastAsia" w:cstheme="majorBidi"/>
      <w:color w:val="272727" w:themeColor="text1" w:themeTint="D8"/>
    </w:rPr>
  </w:style>
  <w:style w:type="paragraph" w:styleId="Title">
    <w:name w:val="Title"/>
    <w:basedOn w:val="Normal"/>
    <w:next w:val="Normal"/>
    <w:link w:val="TitleChar"/>
    <w:uiPriority w:val="10"/>
    <w:qFormat/>
    <w:rsid w:val="00BB11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11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11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11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112F"/>
    <w:pPr>
      <w:spacing w:before="160"/>
      <w:jc w:val="center"/>
    </w:pPr>
    <w:rPr>
      <w:i/>
      <w:iCs/>
      <w:color w:val="404040" w:themeColor="text1" w:themeTint="BF"/>
    </w:rPr>
  </w:style>
  <w:style w:type="character" w:customStyle="1" w:styleId="QuoteChar">
    <w:name w:val="Quote Char"/>
    <w:basedOn w:val="DefaultParagraphFont"/>
    <w:link w:val="Quote"/>
    <w:uiPriority w:val="29"/>
    <w:rsid w:val="00BB112F"/>
    <w:rPr>
      <w:i/>
      <w:iCs/>
      <w:color w:val="404040" w:themeColor="text1" w:themeTint="BF"/>
    </w:rPr>
  </w:style>
  <w:style w:type="paragraph" w:styleId="ListParagraph">
    <w:name w:val="List Paragraph"/>
    <w:basedOn w:val="Normal"/>
    <w:uiPriority w:val="34"/>
    <w:qFormat/>
    <w:rsid w:val="00BB112F"/>
    <w:pPr>
      <w:ind w:left="720"/>
      <w:contextualSpacing/>
    </w:pPr>
  </w:style>
  <w:style w:type="character" w:styleId="IntenseEmphasis">
    <w:name w:val="Intense Emphasis"/>
    <w:basedOn w:val="DefaultParagraphFont"/>
    <w:uiPriority w:val="21"/>
    <w:qFormat/>
    <w:rsid w:val="00BB112F"/>
    <w:rPr>
      <w:i/>
      <w:iCs/>
      <w:color w:val="2F5496" w:themeColor="accent1" w:themeShade="BF"/>
    </w:rPr>
  </w:style>
  <w:style w:type="paragraph" w:styleId="IntenseQuote">
    <w:name w:val="Intense Quote"/>
    <w:basedOn w:val="Normal"/>
    <w:next w:val="Normal"/>
    <w:link w:val="IntenseQuoteChar"/>
    <w:uiPriority w:val="30"/>
    <w:qFormat/>
    <w:rsid w:val="00BB11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112F"/>
    <w:rPr>
      <w:i/>
      <w:iCs/>
      <w:color w:val="2F5496" w:themeColor="accent1" w:themeShade="BF"/>
    </w:rPr>
  </w:style>
  <w:style w:type="character" w:styleId="IntenseReference">
    <w:name w:val="Intense Reference"/>
    <w:basedOn w:val="DefaultParagraphFont"/>
    <w:uiPriority w:val="32"/>
    <w:qFormat/>
    <w:rsid w:val="00BB112F"/>
    <w:rPr>
      <w:b/>
      <w:bCs/>
      <w:smallCaps/>
      <w:color w:val="2F5496" w:themeColor="accent1" w:themeShade="BF"/>
      <w:spacing w:val="5"/>
    </w:rPr>
  </w:style>
  <w:style w:type="paragraph" w:styleId="NormalWeb">
    <w:name w:val="Normal (Web)"/>
    <w:basedOn w:val="Normal"/>
    <w:uiPriority w:val="99"/>
    <w:unhideWhenUsed/>
    <w:rsid w:val="007C2923"/>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table" w:styleId="TableGrid">
    <w:name w:val="Table Grid"/>
    <w:basedOn w:val="TableNormal"/>
    <w:uiPriority w:val="59"/>
    <w:rsid w:val="00252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24C0"/>
    <w:rPr>
      <w:color w:val="0000FF"/>
      <w:u w:val="single"/>
    </w:rPr>
  </w:style>
  <w:style w:type="table" w:styleId="TableGridLight">
    <w:name w:val="Grid Table Light"/>
    <w:basedOn w:val="TableNormal"/>
    <w:uiPriority w:val="40"/>
    <w:rsid w:val="000845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7C7FE4"/>
    <w:pPr>
      <w:spacing w:after="0" w:line="240" w:lineRule="auto"/>
    </w:pPr>
    <w:rP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C5C8C"/>
    <w:rPr>
      <w:color w:val="605E5C"/>
      <w:shd w:val="clear" w:color="auto" w:fill="E1DFDD"/>
    </w:rPr>
  </w:style>
  <w:style w:type="character" w:customStyle="1" w:styleId="anchor-text">
    <w:name w:val="anchor-text"/>
    <w:basedOn w:val="DefaultParagraphFont"/>
    <w:rsid w:val="006C5C8C"/>
  </w:style>
  <w:style w:type="paragraph" w:styleId="Header">
    <w:name w:val="header"/>
    <w:basedOn w:val="Normal"/>
    <w:link w:val="HeaderChar"/>
    <w:uiPriority w:val="99"/>
    <w:unhideWhenUsed/>
    <w:rsid w:val="00394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CD1"/>
  </w:style>
  <w:style w:type="paragraph" w:styleId="Footer">
    <w:name w:val="footer"/>
    <w:basedOn w:val="Normal"/>
    <w:link w:val="FooterChar"/>
    <w:uiPriority w:val="99"/>
    <w:unhideWhenUsed/>
    <w:rsid w:val="00394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85299">
      <w:bodyDiv w:val="1"/>
      <w:marLeft w:val="0"/>
      <w:marRight w:val="0"/>
      <w:marTop w:val="0"/>
      <w:marBottom w:val="0"/>
      <w:divBdr>
        <w:top w:val="none" w:sz="0" w:space="0" w:color="auto"/>
        <w:left w:val="none" w:sz="0" w:space="0" w:color="auto"/>
        <w:bottom w:val="none" w:sz="0" w:space="0" w:color="auto"/>
        <w:right w:val="none" w:sz="0" w:space="0" w:color="auto"/>
      </w:divBdr>
    </w:div>
    <w:div w:id="153572315">
      <w:bodyDiv w:val="1"/>
      <w:marLeft w:val="0"/>
      <w:marRight w:val="0"/>
      <w:marTop w:val="0"/>
      <w:marBottom w:val="0"/>
      <w:divBdr>
        <w:top w:val="none" w:sz="0" w:space="0" w:color="auto"/>
        <w:left w:val="none" w:sz="0" w:space="0" w:color="auto"/>
        <w:bottom w:val="none" w:sz="0" w:space="0" w:color="auto"/>
        <w:right w:val="none" w:sz="0" w:space="0" w:color="auto"/>
      </w:divBdr>
    </w:div>
    <w:div w:id="155532627">
      <w:bodyDiv w:val="1"/>
      <w:marLeft w:val="0"/>
      <w:marRight w:val="0"/>
      <w:marTop w:val="0"/>
      <w:marBottom w:val="0"/>
      <w:divBdr>
        <w:top w:val="none" w:sz="0" w:space="0" w:color="auto"/>
        <w:left w:val="none" w:sz="0" w:space="0" w:color="auto"/>
        <w:bottom w:val="none" w:sz="0" w:space="0" w:color="auto"/>
        <w:right w:val="none" w:sz="0" w:space="0" w:color="auto"/>
      </w:divBdr>
    </w:div>
    <w:div w:id="244266930">
      <w:bodyDiv w:val="1"/>
      <w:marLeft w:val="0"/>
      <w:marRight w:val="0"/>
      <w:marTop w:val="0"/>
      <w:marBottom w:val="0"/>
      <w:divBdr>
        <w:top w:val="none" w:sz="0" w:space="0" w:color="auto"/>
        <w:left w:val="none" w:sz="0" w:space="0" w:color="auto"/>
        <w:bottom w:val="none" w:sz="0" w:space="0" w:color="auto"/>
        <w:right w:val="none" w:sz="0" w:space="0" w:color="auto"/>
      </w:divBdr>
    </w:div>
    <w:div w:id="308946799">
      <w:bodyDiv w:val="1"/>
      <w:marLeft w:val="0"/>
      <w:marRight w:val="0"/>
      <w:marTop w:val="0"/>
      <w:marBottom w:val="0"/>
      <w:divBdr>
        <w:top w:val="none" w:sz="0" w:space="0" w:color="auto"/>
        <w:left w:val="none" w:sz="0" w:space="0" w:color="auto"/>
        <w:bottom w:val="none" w:sz="0" w:space="0" w:color="auto"/>
        <w:right w:val="none" w:sz="0" w:space="0" w:color="auto"/>
      </w:divBdr>
    </w:div>
    <w:div w:id="335502863">
      <w:bodyDiv w:val="1"/>
      <w:marLeft w:val="0"/>
      <w:marRight w:val="0"/>
      <w:marTop w:val="0"/>
      <w:marBottom w:val="0"/>
      <w:divBdr>
        <w:top w:val="none" w:sz="0" w:space="0" w:color="auto"/>
        <w:left w:val="none" w:sz="0" w:space="0" w:color="auto"/>
        <w:bottom w:val="none" w:sz="0" w:space="0" w:color="auto"/>
        <w:right w:val="none" w:sz="0" w:space="0" w:color="auto"/>
      </w:divBdr>
    </w:div>
    <w:div w:id="481165670">
      <w:bodyDiv w:val="1"/>
      <w:marLeft w:val="0"/>
      <w:marRight w:val="0"/>
      <w:marTop w:val="0"/>
      <w:marBottom w:val="0"/>
      <w:divBdr>
        <w:top w:val="none" w:sz="0" w:space="0" w:color="auto"/>
        <w:left w:val="none" w:sz="0" w:space="0" w:color="auto"/>
        <w:bottom w:val="none" w:sz="0" w:space="0" w:color="auto"/>
        <w:right w:val="none" w:sz="0" w:space="0" w:color="auto"/>
      </w:divBdr>
    </w:div>
    <w:div w:id="545676626">
      <w:bodyDiv w:val="1"/>
      <w:marLeft w:val="0"/>
      <w:marRight w:val="0"/>
      <w:marTop w:val="0"/>
      <w:marBottom w:val="0"/>
      <w:divBdr>
        <w:top w:val="none" w:sz="0" w:space="0" w:color="auto"/>
        <w:left w:val="none" w:sz="0" w:space="0" w:color="auto"/>
        <w:bottom w:val="none" w:sz="0" w:space="0" w:color="auto"/>
        <w:right w:val="none" w:sz="0" w:space="0" w:color="auto"/>
      </w:divBdr>
    </w:div>
    <w:div w:id="550653605">
      <w:bodyDiv w:val="1"/>
      <w:marLeft w:val="0"/>
      <w:marRight w:val="0"/>
      <w:marTop w:val="0"/>
      <w:marBottom w:val="0"/>
      <w:divBdr>
        <w:top w:val="none" w:sz="0" w:space="0" w:color="auto"/>
        <w:left w:val="none" w:sz="0" w:space="0" w:color="auto"/>
        <w:bottom w:val="none" w:sz="0" w:space="0" w:color="auto"/>
        <w:right w:val="none" w:sz="0" w:space="0" w:color="auto"/>
      </w:divBdr>
    </w:div>
    <w:div w:id="722825968">
      <w:bodyDiv w:val="1"/>
      <w:marLeft w:val="0"/>
      <w:marRight w:val="0"/>
      <w:marTop w:val="0"/>
      <w:marBottom w:val="0"/>
      <w:divBdr>
        <w:top w:val="none" w:sz="0" w:space="0" w:color="auto"/>
        <w:left w:val="none" w:sz="0" w:space="0" w:color="auto"/>
        <w:bottom w:val="none" w:sz="0" w:space="0" w:color="auto"/>
        <w:right w:val="none" w:sz="0" w:space="0" w:color="auto"/>
      </w:divBdr>
    </w:div>
    <w:div w:id="730663504">
      <w:bodyDiv w:val="1"/>
      <w:marLeft w:val="0"/>
      <w:marRight w:val="0"/>
      <w:marTop w:val="0"/>
      <w:marBottom w:val="0"/>
      <w:divBdr>
        <w:top w:val="none" w:sz="0" w:space="0" w:color="auto"/>
        <w:left w:val="none" w:sz="0" w:space="0" w:color="auto"/>
        <w:bottom w:val="none" w:sz="0" w:space="0" w:color="auto"/>
        <w:right w:val="none" w:sz="0" w:space="0" w:color="auto"/>
      </w:divBdr>
    </w:div>
    <w:div w:id="810563354">
      <w:bodyDiv w:val="1"/>
      <w:marLeft w:val="0"/>
      <w:marRight w:val="0"/>
      <w:marTop w:val="0"/>
      <w:marBottom w:val="0"/>
      <w:divBdr>
        <w:top w:val="none" w:sz="0" w:space="0" w:color="auto"/>
        <w:left w:val="none" w:sz="0" w:space="0" w:color="auto"/>
        <w:bottom w:val="none" w:sz="0" w:space="0" w:color="auto"/>
        <w:right w:val="none" w:sz="0" w:space="0" w:color="auto"/>
      </w:divBdr>
    </w:div>
    <w:div w:id="933828137">
      <w:bodyDiv w:val="1"/>
      <w:marLeft w:val="0"/>
      <w:marRight w:val="0"/>
      <w:marTop w:val="0"/>
      <w:marBottom w:val="0"/>
      <w:divBdr>
        <w:top w:val="none" w:sz="0" w:space="0" w:color="auto"/>
        <w:left w:val="none" w:sz="0" w:space="0" w:color="auto"/>
        <w:bottom w:val="none" w:sz="0" w:space="0" w:color="auto"/>
        <w:right w:val="none" w:sz="0" w:space="0" w:color="auto"/>
      </w:divBdr>
    </w:div>
    <w:div w:id="978800152">
      <w:bodyDiv w:val="1"/>
      <w:marLeft w:val="0"/>
      <w:marRight w:val="0"/>
      <w:marTop w:val="0"/>
      <w:marBottom w:val="0"/>
      <w:divBdr>
        <w:top w:val="none" w:sz="0" w:space="0" w:color="auto"/>
        <w:left w:val="none" w:sz="0" w:space="0" w:color="auto"/>
        <w:bottom w:val="none" w:sz="0" w:space="0" w:color="auto"/>
        <w:right w:val="none" w:sz="0" w:space="0" w:color="auto"/>
      </w:divBdr>
    </w:div>
    <w:div w:id="1160195368">
      <w:bodyDiv w:val="1"/>
      <w:marLeft w:val="0"/>
      <w:marRight w:val="0"/>
      <w:marTop w:val="0"/>
      <w:marBottom w:val="0"/>
      <w:divBdr>
        <w:top w:val="none" w:sz="0" w:space="0" w:color="auto"/>
        <w:left w:val="none" w:sz="0" w:space="0" w:color="auto"/>
        <w:bottom w:val="none" w:sz="0" w:space="0" w:color="auto"/>
        <w:right w:val="none" w:sz="0" w:space="0" w:color="auto"/>
      </w:divBdr>
    </w:div>
    <w:div w:id="1206601191">
      <w:bodyDiv w:val="1"/>
      <w:marLeft w:val="0"/>
      <w:marRight w:val="0"/>
      <w:marTop w:val="0"/>
      <w:marBottom w:val="0"/>
      <w:divBdr>
        <w:top w:val="none" w:sz="0" w:space="0" w:color="auto"/>
        <w:left w:val="none" w:sz="0" w:space="0" w:color="auto"/>
        <w:bottom w:val="none" w:sz="0" w:space="0" w:color="auto"/>
        <w:right w:val="none" w:sz="0" w:space="0" w:color="auto"/>
      </w:divBdr>
    </w:div>
    <w:div w:id="1231885271">
      <w:bodyDiv w:val="1"/>
      <w:marLeft w:val="0"/>
      <w:marRight w:val="0"/>
      <w:marTop w:val="0"/>
      <w:marBottom w:val="0"/>
      <w:divBdr>
        <w:top w:val="none" w:sz="0" w:space="0" w:color="auto"/>
        <w:left w:val="none" w:sz="0" w:space="0" w:color="auto"/>
        <w:bottom w:val="none" w:sz="0" w:space="0" w:color="auto"/>
        <w:right w:val="none" w:sz="0" w:space="0" w:color="auto"/>
      </w:divBdr>
    </w:div>
    <w:div w:id="1260867431">
      <w:bodyDiv w:val="1"/>
      <w:marLeft w:val="0"/>
      <w:marRight w:val="0"/>
      <w:marTop w:val="0"/>
      <w:marBottom w:val="0"/>
      <w:divBdr>
        <w:top w:val="none" w:sz="0" w:space="0" w:color="auto"/>
        <w:left w:val="none" w:sz="0" w:space="0" w:color="auto"/>
        <w:bottom w:val="none" w:sz="0" w:space="0" w:color="auto"/>
        <w:right w:val="none" w:sz="0" w:space="0" w:color="auto"/>
      </w:divBdr>
    </w:div>
    <w:div w:id="1269003818">
      <w:bodyDiv w:val="1"/>
      <w:marLeft w:val="0"/>
      <w:marRight w:val="0"/>
      <w:marTop w:val="0"/>
      <w:marBottom w:val="0"/>
      <w:divBdr>
        <w:top w:val="none" w:sz="0" w:space="0" w:color="auto"/>
        <w:left w:val="none" w:sz="0" w:space="0" w:color="auto"/>
        <w:bottom w:val="none" w:sz="0" w:space="0" w:color="auto"/>
        <w:right w:val="none" w:sz="0" w:space="0" w:color="auto"/>
      </w:divBdr>
    </w:div>
    <w:div w:id="1297224556">
      <w:bodyDiv w:val="1"/>
      <w:marLeft w:val="0"/>
      <w:marRight w:val="0"/>
      <w:marTop w:val="0"/>
      <w:marBottom w:val="0"/>
      <w:divBdr>
        <w:top w:val="none" w:sz="0" w:space="0" w:color="auto"/>
        <w:left w:val="none" w:sz="0" w:space="0" w:color="auto"/>
        <w:bottom w:val="none" w:sz="0" w:space="0" w:color="auto"/>
        <w:right w:val="none" w:sz="0" w:space="0" w:color="auto"/>
      </w:divBdr>
    </w:div>
    <w:div w:id="1388341738">
      <w:bodyDiv w:val="1"/>
      <w:marLeft w:val="0"/>
      <w:marRight w:val="0"/>
      <w:marTop w:val="0"/>
      <w:marBottom w:val="0"/>
      <w:divBdr>
        <w:top w:val="none" w:sz="0" w:space="0" w:color="auto"/>
        <w:left w:val="none" w:sz="0" w:space="0" w:color="auto"/>
        <w:bottom w:val="none" w:sz="0" w:space="0" w:color="auto"/>
        <w:right w:val="none" w:sz="0" w:space="0" w:color="auto"/>
      </w:divBdr>
    </w:div>
    <w:div w:id="1424447561">
      <w:bodyDiv w:val="1"/>
      <w:marLeft w:val="0"/>
      <w:marRight w:val="0"/>
      <w:marTop w:val="0"/>
      <w:marBottom w:val="0"/>
      <w:divBdr>
        <w:top w:val="none" w:sz="0" w:space="0" w:color="auto"/>
        <w:left w:val="none" w:sz="0" w:space="0" w:color="auto"/>
        <w:bottom w:val="none" w:sz="0" w:space="0" w:color="auto"/>
        <w:right w:val="none" w:sz="0" w:space="0" w:color="auto"/>
      </w:divBdr>
    </w:div>
    <w:div w:id="1456096934">
      <w:bodyDiv w:val="1"/>
      <w:marLeft w:val="0"/>
      <w:marRight w:val="0"/>
      <w:marTop w:val="0"/>
      <w:marBottom w:val="0"/>
      <w:divBdr>
        <w:top w:val="none" w:sz="0" w:space="0" w:color="auto"/>
        <w:left w:val="none" w:sz="0" w:space="0" w:color="auto"/>
        <w:bottom w:val="none" w:sz="0" w:space="0" w:color="auto"/>
        <w:right w:val="none" w:sz="0" w:space="0" w:color="auto"/>
      </w:divBdr>
    </w:div>
    <w:div w:id="1498032450">
      <w:bodyDiv w:val="1"/>
      <w:marLeft w:val="0"/>
      <w:marRight w:val="0"/>
      <w:marTop w:val="0"/>
      <w:marBottom w:val="0"/>
      <w:divBdr>
        <w:top w:val="none" w:sz="0" w:space="0" w:color="auto"/>
        <w:left w:val="none" w:sz="0" w:space="0" w:color="auto"/>
        <w:bottom w:val="none" w:sz="0" w:space="0" w:color="auto"/>
        <w:right w:val="none" w:sz="0" w:space="0" w:color="auto"/>
      </w:divBdr>
    </w:div>
    <w:div w:id="1558932751">
      <w:bodyDiv w:val="1"/>
      <w:marLeft w:val="0"/>
      <w:marRight w:val="0"/>
      <w:marTop w:val="0"/>
      <w:marBottom w:val="0"/>
      <w:divBdr>
        <w:top w:val="none" w:sz="0" w:space="0" w:color="auto"/>
        <w:left w:val="none" w:sz="0" w:space="0" w:color="auto"/>
        <w:bottom w:val="none" w:sz="0" w:space="0" w:color="auto"/>
        <w:right w:val="none" w:sz="0" w:space="0" w:color="auto"/>
      </w:divBdr>
    </w:div>
    <w:div w:id="1608192838">
      <w:bodyDiv w:val="1"/>
      <w:marLeft w:val="0"/>
      <w:marRight w:val="0"/>
      <w:marTop w:val="0"/>
      <w:marBottom w:val="0"/>
      <w:divBdr>
        <w:top w:val="none" w:sz="0" w:space="0" w:color="auto"/>
        <w:left w:val="none" w:sz="0" w:space="0" w:color="auto"/>
        <w:bottom w:val="none" w:sz="0" w:space="0" w:color="auto"/>
        <w:right w:val="none" w:sz="0" w:space="0" w:color="auto"/>
      </w:divBdr>
    </w:div>
    <w:div w:id="1669865049">
      <w:bodyDiv w:val="1"/>
      <w:marLeft w:val="0"/>
      <w:marRight w:val="0"/>
      <w:marTop w:val="0"/>
      <w:marBottom w:val="0"/>
      <w:divBdr>
        <w:top w:val="none" w:sz="0" w:space="0" w:color="auto"/>
        <w:left w:val="none" w:sz="0" w:space="0" w:color="auto"/>
        <w:bottom w:val="none" w:sz="0" w:space="0" w:color="auto"/>
        <w:right w:val="none" w:sz="0" w:space="0" w:color="auto"/>
      </w:divBdr>
    </w:div>
    <w:div w:id="1678770994">
      <w:bodyDiv w:val="1"/>
      <w:marLeft w:val="0"/>
      <w:marRight w:val="0"/>
      <w:marTop w:val="0"/>
      <w:marBottom w:val="0"/>
      <w:divBdr>
        <w:top w:val="none" w:sz="0" w:space="0" w:color="auto"/>
        <w:left w:val="none" w:sz="0" w:space="0" w:color="auto"/>
        <w:bottom w:val="none" w:sz="0" w:space="0" w:color="auto"/>
        <w:right w:val="none" w:sz="0" w:space="0" w:color="auto"/>
      </w:divBdr>
    </w:div>
    <w:div w:id="1703968544">
      <w:bodyDiv w:val="1"/>
      <w:marLeft w:val="0"/>
      <w:marRight w:val="0"/>
      <w:marTop w:val="0"/>
      <w:marBottom w:val="0"/>
      <w:divBdr>
        <w:top w:val="none" w:sz="0" w:space="0" w:color="auto"/>
        <w:left w:val="none" w:sz="0" w:space="0" w:color="auto"/>
        <w:bottom w:val="none" w:sz="0" w:space="0" w:color="auto"/>
        <w:right w:val="none" w:sz="0" w:space="0" w:color="auto"/>
      </w:divBdr>
    </w:div>
    <w:div w:id="1805460160">
      <w:bodyDiv w:val="1"/>
      <w:marLeft w:val="0"/>
      <w:marRight w:val="0"/>
      <w:marTop w:val="0"/>
      <w:marBottom w:val="0"/>
      <w:divBdr>
        <w:top w:val="none" w:sz="0" w:space="0" w:color="auto"/>
        <w:left w:val="none" w:sz="0" w:space="0" w:color="auto"/>
        <w:bottom w:val="none" w:sz="0" w:space="0" w:color="auto"/>
        <w:right w:val="none" w:sz="0" w:space="0" w:color="auto"/>
      </w:divBdr>
    </w:div>
    <w:div w:id="1868063367">
      <w:bodyDiv w:val="1"/>
      <w:marLeft w:val="0"/>
      <w:marRight w:val="0"/>
      <w:marTop w:val="0"/>
      <w:marBottom w:val="0"/>
      <w:divBdr>
        <w:top w:val="none" w:sz="0" w:space="0" w:color="auto"/>
        <w:left w:val="none" w:sz="0" w:space="0" w:color="auto"/>
        <w:bottom w:val="none" w:sz="0" w:space="0" w:color="auto"/>
        <w:right w:val="none" w:sz="0" w:space="0" w:color="auto"/>
      </w:divBdr>
    </w:div>
    <w:div w:id="1879584551">
      <w:bodyDiv w:val="1"/>
      <w:marLeft w:val="0"/>
      <w:marRight w:val="0"/>
      <w:marTop w:val="0"/>
      <w:marBottom w:val="0"/>
      <w:divBdr>
        <w:top w:val="none" w:sz="0" w:space="0" w:color="auto"/>
        <w:left w:val="none" w:sz="0" w:space="0" w:color="auto"/>
        <w:bottom w:val="none" w:sz="0" w:space="0" w:color="auto"/>
        <w:right w:val="none" w:sz="0" w:space="0" w:color="auto"/>
      </w:divBdr>
    </w:div>
    <w:div w:id="1931116118">
      <w:bodyDiv w:val="1"/>
      <w:marLeft w:val="0"/>
      <w:marRight w:val="0"/>
      <w:marTop w:val="0"/>
      <w:marBottom w:val="0"/>
      <w:divBdr>
        <w:top w:val="none" w:sz="0" w:space="0" w:color="auto"/>
        <w:left w:val="none" w:sz="0" w:space="0" w:color="auto"/>
        <w:bottom w:val="none" w:sz="0" w:space="0" w:color="auto"/>
        <w:right w:val="none" w:sz="0" w:space="0" w:color="auto"/>
      </w:divBdr>
    </w:div>
    <w:div w:id="1940873488">
      <w:bodyDiv w:val="1"/>
      <w:marLeft w:val="0"/>
      <w:marRight w:val="0"/>
      <w:marTop w:val="0"/>
      <w:marBottom w:val="0"/>
      <w:divBdr>
        <w:top w:val="none" w:sz="0" w:space="0" w:color="auto"/>
        <w:left w:val="none" w:sz="0" w:space="0" w:color="auto"/>
        <w:bottom w:val="none" w:sz="0" w:space="0" w:color="auto"/>
        <w:right w:val="none" w:sz="0" w:space="0" w:color="auto"/>
      </w:divBdr>
    </w:div>
    <w:div w:id="1978221074">
      <w:bodyDiv w:val="1"/>
      <w:marLeft w:val="0"/>
      <w:marRight w:val="0"/>
      <w:marTop w:val="0"/>
      <w:marBottom w:val="0"/>
      <w:divBdr>
        <w:top w:val="none" w:sz="0" w:space="0" w:color="auto"/>
        <w:left w:val="none" w:sz="0" w:space="0" w:color="auto"/>
        <w:bottom w:val="none" w:sz="0" w:space="0" w:color="auto"/>
        <w:right w:val="none" w:sz="0" w:space="0" w:color="auto"/>
      </w:divBdr>
    </w:div>
    <w:div w:id="205535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dx.doi.org/10.4251/wjgo.v14.i3.607" TargetMode="External"/><Relationship Id="rId47" Type="http://schemas.openxmlformats.org/officeDocument/2006/relationships/hyperlink" Target="https://doi.org/10.1148/radiol.212132" TargetMode="External"/><Relationship Id="rId50" Type="http://schemas.openxmlformats.org/officeDocument/2006/relationships/hyperlink" Target="https://doi.org/10.1016/j.ctrv.2021.102170" TargetMode="External"/><Relationship Id="rId55" Type="http://schemas.openxmlformats.org/officeDocument/2006/relationships/hyperlink" Target="https://doi.org/10.3390/cancers14246203" TargetMode="External"/><Relationship Id="rId63" Type="http://schemas.openxmlformats.org/officeDocument/2006/relationships/hyperlink" Target="https://doi.org/10.1186/1758-2946-3-33" TargetMode="External"/><Relationship Id="rId68" Type="http://schemas.openxmlformats.org/officeDocument/2006/relationships/hyperlink" Target="https://doi.org/10.1016/j.ddtec.2004.11.007" TargetMode="External"/><Relationship Id="rId76" Type="http://schemas.openxmlformats.org/officeDocument/2006/relationships/hyperlink" Target="https://doi.org/10.1021/acs.jcim.9b01062" TargetMode="External"/><Relationship Id="rId84" Type="http://schemas.openxmlformats.org/officeDocument/2006/relationships/hyperlink" Target="https://doi.org/10.1007/978-981-99-2079-2_5"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oi.org/10.1021/acs.jmedchem.5b00104"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doi.org/10.1007/978-3-031-63878-7_40" TargetMode="External"/><Relationship Id="rId53" Type="http://schemas.openxmlformats.org/officeDocument/2006/relationships/hyperlink" Target="https://doi.org/10.2174/1389450121999201012201926" TargetMode="External"/><Relationship Id="rId58" Type="http://schemas.openxmlformats.org/officeDocument/2006/relationships/hyperlink" Target="https://doi.org/10.3390/biomedicines12010201" TargetMode="External"/><Relationship Id="rId66" Type="http://schemas.openxmlformats.org/officeDocument/2006/relationships/hyperlink" Target="https://doi.org/10.1021/ci500681r" TargetMode="External"/><Relationship Id="rId74" Type="http://schemas.openxmlformats.org/officeDocument/2006/relationships/hyperlink" Target="http://dx.doi.org/10.32598/PBR.8.4.1052.1" TargetMode="External"/><Relationship Id="rId79" Type="http://schemas.openxmlformats.org/officeDocument/2006/relationships/hyperlink" Target="https://doi.org/10.1371/journal.pone.0231877" TargetMode="External"/><Relationship Id="rId87" Type="http://schemas.openxmlformats.org/officeDocument/2006/relationships/hyperlink" Target="https://doi.org/10.1007/978-981-15-5530-5_9" TargetMode="External"/><Relationship Id="rId5" Type="http://schemas.openxmlformats.org/officeDocument/2006/relationships/footnotes" Target="footnotes.xml"/><Relationship Id="rId61" Type="http://schemas.openxmlformats.org/officeDocument/2006/relationships/hyperlink" Target="https://doi.org/10.1093/nar/gks1047" TargetMode="External"/><Relationship Id="rId82" Type="http://schemas.openxmlformats.org/officeDocument/2006/relationships/hyperlink" Target="https://doi.org/10.1007/978-1-0716-1787-8_20" TargetMode="External"/><Relationship Id="rId90" Type="http://schemas.openxmlformats.org/officeDocument/2006/relationships/theme" Target="theme/theme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rcsb.org"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doi.org/10.1016/B978-0-323-47674-4.00077-3" TargetMode="External"/><Relationship Id="rId48" Type="http://schemas.openxmlformats.org/officeDocument/2006/relationships/hyperlink" Target="https://doi.org/10.4251/wjgo.v13.i6.625" TargetMode="External"/><Relationship Id="rId56" Type="http://schemas.openxmlformats.org/officeDocument/2006/relationships/hyperlink" Target="https://doi.org/10.1007/s40415-015-0135-0" TargetMode="External"/><Relationship Id="rId64" Type="http://schemas.openxmlformats.org/officeDocument/2006/relationships/hyperlink" Target="http://vina.scripps.edu." TargetMode="External"/><Relationship Id="rId69" Type="http://schemas.openxmlformats.org/officeDocument/2006/relationships/hyperlink" Target="https://doi.org/10.1089/cmb.2019.0323" TargetMode="External"/><Relationship Id="rId77" Type="http://schemas.openxmlformats.org/officeDocument/2006/relationships/hyperlink" Target="https://doi.org/10.1002/tcr.202300276" TargetMode="External"/><Relationship Id="rId8" Type="http://schemas.openxmlformats.org/officeDocument/2006/relationships/hyperlink" Target="https://doi.org/10.2210/pdb7WCL/pdb" TargetMode="External"/><Relationship Id="rId51" Type="http://schemas.openxmlformats.org/officeDocument/2006/relationships/hyperlink" Target="https://doi.org/10.1038/s41416-020-01157-0" TargetMode="External"/><Relationship Id="rId72" Type="http://schemas.openxmlformats.org/officeDocument/2006/relationships/hyperlink" Target="https://doi.org/10.2174/1389200222666210705122913" TargetMode="External"/><Relationship Id="rId80" Type="http://schemas.openxmlformats.org/officeDocument/2006/relationships/hyperlink" Target="https://doi.org/10.1080/07391102.2022.205320" TargetMode="External"/><Relationship Id="rId85" Type="http://schemas.openxmlformats.org/officeDocument/2006/relationships/hyperlink" Target="https://doi.org/10.1517/17460441.2015.1032936" TargetMode="External"/><Relationship Id="rId3" Type="http://schemas.openxmlformats.org/officeDocument/2006/relationships/settings" Target="settings.xml"/><Relationship Id="rId12" Type="http://schemas.openxmlformats.org/officeDocument/2006/relationships/hyperlink" Target="http://crdd.osdd.net/raghava/npact/"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doi.org/10.3892/ol.2024.14729" TargetMode="External"/><Relationship Id="rId59" Type="http://schemas.openxmlformats.org/officeDocument/2006/relationships/hyperlink" Target="https://doi.org/10.9734/ijbcrr/2024/v33i6941" TargetMode="External"/><Relationship Id="rId67" Type="http://schemas.openxmlformats.org/officeDocument/2006/relationships/hyperlink" Target="https://doi.org/10.1007/s00894-022-05131-w" TargetMode="External"/><Relationship Id="rId20" Type="http://schemas.openxmlformats.org/officeDocument/2006/relationships/image" Target="media/image5.png"/><Relationship Id="rId41" Type="http://schemas.openxmlformats.org/officeDocument/2006/relationships/hyperlink" Target="https://doi.org/10.1038/s41572-021-00300-2" TargetMode="External"/><Relationship Id="rId54" Type="http://schemas.openxmlformats.org/officeDocument/2006/relationships/hyperlink" Target="https://doi.org/10.1016/j.ejmech.2020.112154" TargetMode="External"/><Relationship Id="rId62" Type="http://schemas.openxmlformats.org/officeDocument/2006/relationships/hyperlink" Target="https://doi.org/10.1039/D4MD00881B" TargetMode="External"/><Relationship Id="rId70" Type="http://schemas.openxmlformats.org/officeDocument/2006/relationships/hyperlink" Target="https://doi.org/10.1093/nar/gkae236" TargetMode="External"/><Relationship Id="rId75" Type="http://schemas.openxmlformats.org/officeDocument/2006/relationships/hyperlink" Target="https://doi.org/10.1007/978-%20%20981-15-6815-2_7" TargetMode="External"/><Relationship Id="rId83" Type="http://schemas.openxmlformats.org/officeDocument/2006/relationships/hyperlink" Target="https://doi.org/10.1016/B978-0-323-90264-9.00026-X" TargetMode="External"/><Relationship Id="rId88" Type="http://schemas.openxmlformats.org/officeDocument/2006/relationships/hyperlink" Target="https://doi.org/10.1155/2018/350251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doi.org/10.3390/diagnostics13010099" TargetMode="External"/><Relationship Id="rId57" Type="http://schemas.openxmlformats.org/officeDocument/2006/relationships/hyperlink" Target="https://doi.org/10.1016/j.arres.2024.100113" TargetMode="Externa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doi.org/10.3390/cancers13153657" TargetMode="External"/><Relationship Id="rId52" Type="http://schemas.openxmlformats.org/officeDocument/2006/relationships/hyperlink" Target="https://doi.org/10.1080/13543776.2019.1688300" TargetMode="External"/><Relationship Id="rId60" Type="http://schemas.openxmlformats.org/officeDocument/2006/relationships/hyperlink" Target="https://doi.org/10.1080/07391102.2024.2335297" TargetMode="External"/><Relationship Id="rId65" Type="http://schemas.openxmlformats.org/officeDocument/2006/relationships/hyperlink" Target="https://doi.org/10.1186/1471-2105-12-S1-S33" TargetMode="External"/><Relationship Id="rId73" Type="http://schemas.openxmlformats.org/officeDocument/2006/relationships/hyperlink" Target="https://doi.org/10.4103/njecp.njecp_15_22" TargetMode="External"/><Relationship Id="rId78" Type="http://schemas.openxmlformats.org/officeDocument/2006/relationships/hyperlink" Target="https://doi.org/10.1038/s41598-023-40160-2" TargetMode="External"/><Relationship Id="rId81" Type="http://schemas.openxmlformats.org/officeDocument/2006/relationships/hyperlink" Target="https://doi.org/10.1016/j.amolm.2025.100085" TargetMode="External"/><Relationship Id="rId86" Type="http://schemas.openxmlformats.org/officeDocument/2006/relationships/hyperlink" Target="https://doi.org/10.2174/15680266166661611171126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1577</TotalTime>
  <Pages>28</Pages>
  <Words>9090</Words>
  <Characters>51817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emmanuel</dc:creator>
  <cp:keywords/>
  <dc:description/>
  <cp:lastModifiedBy>Editor-22</cp:lastModifiedBy>
  <cp:revision>72</cp:revision>
  <dcterms:created xsi:type="dcterms:W3CDTF">2025-05-15T04:18:00Z</dcterms:created>
  <dcterms:modified xsi:type="dcterms:W3CDTF">2025-06-02T09:51:00Z</dcterms:modified>
</cp:coreProperties>
</file>