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08F0F" w14:textId="77777777" w:rsidR="00260101" w:rsidRPr="00260101" w:rsidRDefault="00260101" w:rsidP="00260101">
      <w:pPr>
        <w:spacing w:line="240" w:lineRule="auto"/>
        <w:jc w:val="center"/>
        <w:rPr>
          <w:rFonts w:ascii="Times New Roman" w:hAnsi="Times New Roman" w:cs="Times New Roman"/>
          <w:b/>
          <w:bCs/>
          <w:i/>
          <w:iCs/>
          <w:color w:val="000000" w:themeColor="text1"/>
          <w:sz w:val="24"/>
          <w:szCs w:val="24"/>
          <w:u w:val="single"/>
          <w:lang w:val="en-US"/>
        </w:rPr>
      </w:pPr>
      <w:bookmarkStart w:id="0" w:name="_GoBack"/>
      <w:bookmarkEnd w:id="0"/>
      <w:r w:rsidRPr="00260101">
        <w:rPr>
          <w:rFonts w:ascii="Times New Roman" w:hAnsi="Times New Roman" w:cs="Times New Roman"/>
          <w:b/>
          <w:bCs/>
          <w:i/>
          <w:iCs/>
          <w:color w:val="000000" w:themeColor="text1"/>
          <w:sz w:val="24"/>
          <w:szCs w:val="24"/>
          <w:u w:val="single"/>
          <w:lang w:val="en-US"/>
        </w:rPr>
        <w:t>Review Article</w:t>
      </w:r>
    </w:p>
    <w:p w14:paraId="3F46DBF1" w14:textId="77777777" w:rsidR="00260101" w:rsidRDefault="00260101" w:rsidP="00E96F1F">
      <w:pPr>
        <w:spacing w:line="240" w:lineRule="auto"/>
        <w:jc w:val="center"/>
        <w:rPr>
          <w:rFonts w:ascii="Times New Roman" w:hAnsi="Times New Roman" w:cs="Times New Roman"/>
          <w:b/>
          <w:color w:val="000000" w:themeColor="text1"/>
          <w:sz w:val="24"/>
          <w:szCs w:val="24"/>
        </w:rPr>
      </w:pPr>
    </w:p>
    <w:p w14:paraId="5B41B8A9" w14:textId="441A47F2" w:rsidR="00233964" w:rsidRDefault="00E96F1F" w:rsidP="00E96F1F">
      <w:pPr>
        <w:spacing w:line="240" w:lineRule="auto"/>
        <w:jc w:val="center"/>
        <w:rPr>
          <w:rFonts w:ascii="Times New Roman" w:hAnsi="Times New Roman" w:cs="Times New Roman"/>
          <w:b/>
          <w:color w:val="000000" w:themeColor="text1"/>
          <w:sz w:val="24"/>
          <w:szCs w:val="24"/>
        </w:rPr>
      </w:pPr>
      <w:r w:rsidRPr="00A50139">
        <w:rPr>
          <w:rFonts w:ascii="Times New Roman" w:hAnsi="Times New Roman" w:cs="Times New Roman"/>
          <w:b/>
          <w:color w:val="000000" w:themeColor="text1"/>
          <w:sz w:val="24"/>
          <w:szCs w:val="24"/>
        </w:rPr>
        <w:t>MULBERRY (MORUS SPP.): NATURE’S MEDICINE FOR MODERN HEALTH AND INDUSTRY</w:t>
      </w:r>
    </w:p>
    <w:p w14:paraId="5DF7B3BA" w14:textId="77777777" w:rsidR="00AB26EB" w:rsidRPr="00A50139" w:rsidRDefault="00AB26EB" w:rsidP="00D259D6">
      <w:pPr>
        <w:spacing w:line="240" w:lineRule="auto"/>
        <w:ind w:firstLine="0"/>
        <w:rPr>
          <w:rFonts w:ascii="Times New Roman" w:hAnsi="Times New Roman" w:cs="Times New Roman"/>
          <w:b/>
          <w:color w:val="000000" w:themeColor="text1"/>
          <w:sz w:val="24"/>
          <w:szCs w:val="24"/>
        </w:rPr>
      </w:pPr>
      <w:r w:rsidRPr="00A50139">
        <w:rPr>
          <w:rFonts w:ascii="Times New Roman" w:hAnsi="Times New Roman" w:cs="Times New Roman"/>
          <w:b/>
          <w:color w:val="000000" w:themeColor="text1"/>
          <w:sz w:val="24"/>
          <w:szCs w:val="24"/>
        </w:rPr>
        <w:t>Abstract:</w:t>
      </w:r>
    </w:p>
    <w:p w14:paraId="02B6C61C" w14:textId="77777777" w:rsidR="00AB26EB" w:rsidRPr="00A50139" w:rsidRDefault="00AB26EB" w:rsidP="00D259D6">
      <w:pPr>
        <w:spacing w:line="240" w:lineRule="auto"/>
        <w:rPr>
          <w:rFonts w:ascii="Times New Roman" w:hAnsi="Times New Roman" w:cs="Times New Roman"/>
          <w:sz w:val="24"/>
          <w:szCs w:val="24"/>
        </w:rPr>
      </w:pPr>
      <w:r w:rsidRPr="00A50139">
        <w:rPr>
          <w:rFonts w:ascii="Times New Roman" w:hAnsi="Times New Roman" w:cs="Times New Roman"/>
          <w:sz w:val="24"/>
          <w:szCs w:val="24"/>
        </w:rPr>
        <w:t>Mulberry (</w:t>
      </w:r>
      <w:r w:rsidRPr="00A50139">
        <w:rPr>
          <w:rStyle w:val="Emphasis"/>
          <w:rFonts w:ascii="Times New Roman" w:hAnsi="Times New Roman" w:cs="Times New Roman"/>
          <w:sz w:val="24"/>
          <w:szCs w:val="24"/>
        </w:rPr>
        <w:t>Morus</w:t>
      </w:r>
      <w:r w:rsidRPr="00A50139">
        <w:rPr>
          <w:rFonts w:ascii="Times New Roman" w:hAnsi="Times New Roman" w:cs="Times New Roman"/>
          <w:sz w:val="24"/>
          <w:szCs w:val="24"/>
        </w:rPr>
        <w:t xml:space="preserve"> spp.), a plant long revered in traditional medicine, has emerged as a promising source of functional nutrients and pharmacologically active compounds. This review provides a comprehensive synthesis of mulberry’s taxonomy, distribution, nutritional and phytochemical profile, and its broad spectrum of health-promoting properties. Key bioactive constituents—including flavonoids, anthocyanins, alkaloids, and stilbenes—exhibit potent antioxidant, antidiabetic, neuroprotective, hepatoprotective, and anticancer activities. The paper also reviews modern extraction and separation techniques for isolating these compounds and evaluates mulberry's industrial potential in functional foods, pharmaceuticals, cosmetics, and biomaterials. Despite extensive preclinical evidence, challenges such as limited human clinical trials, lack of standardization, and regulatory hurdles remain. Future research should focus on clinical validation, bioavailability enhancement, and sustainable commercialization. Overall, mulberry represents a valuable natural resource with significant potential for public health, nutraceutical innovation, and sustainable industry.</w:t>
      </w:r>
    </w:p>
    <w:p w14:paraId="38DAC3FD" w14:textId="77777777" w:rsidR="00E3315E" w:rsidRPr="00A50139" w:rsidRDefault="00E3315E" w:rsidP="00D259D6">
      <w:pPr>
        <w:spacing w:line="240" w:lineRule="auto"/>
        <w:ind w:firstLine="0"/>
        <w:rPr>
          <w:rFonts w:ascii="Times New Roman" w:hAnsi="Times New Roman" w:cs="Times New Roman"/>
          <w:sz w:val="24"/>
          <w:szCs w:val="24"/>
        </w:rPr>
      </w:pPr>
      <w:r w:rsidRPr="00A50139">
        <w:rPr>
          <w:rFonts w:ascii="Times New Roman" w:hAnsi="Times New Roman" w:cs="Times New Roman"/>
          <w:b/>
          <w:sz w:val="24"/>
          <w:szCs w:val="24"/>
        </w:rPr>
        <w:t>Keywords:</w:t>
      </w:r>
      <w:r w:rsidR="00E269C0">
        <w:rPr>
          <w:rFonts w:ascii="Times New Roman" w:hAnsi="Times New Roman" w:cs="Times New Roman"/>
          <w:sz w:val="24"/>
          <w:szCs w:val="24"/>
        </w:rPr>
        <w:t xml:space="preserve"> M</w:t>
      </w:r>
      <w:r w:rsidRPr="00A50139">
        <w:rPr>
          <w:rFonts w:ascii="Times New Roman" w:hAnsi="Times New Roman" w:cs="Times New Roman"/>
          <w:sz w:val="24"/>
          <w:szCs w:val="24"/>
        </w:rPr>
        <w:t xml:space="preserve">edicine; </w:t>
      </w:r>
      <w:r w:rsidRPr="00A50139">
        <w:rPr>
          <w:rFonts w:ascii="Times New Roman" w:hAnsi="Times New Roman" w:cs="Times New Roman"/>
          <w:i/>
          <w:sz w:val="24"/>
          <w:szCs w:val="24"/>
        </w:rPr>
        <w:t xml:space="preserve">Morus </w:t>
      </w:r>
      <w:r w:rsidR="00E269C0">
        <w:rPr>
          <w:rFonts w:ascii="Times New Roman" w:hAnsi="Times New Roman" w:cs="Times New Roman"/>
          <w:sz w:val="24"/>
          <w:szCs w:val="24"/>
        </w:rPr>
        <w:t xml:space="preserve">sp.; nutritional composition; </w:t>
      </w:r>
      <w:r w:rsidRPr="00A50139">
        <w:rPr>
          <w:rFonts w:ascii="Times New Roman" w:hAnsi="Times New Roman" w:cs="Times New Roman"/>
          <w:sz w:val="24"/>
          <w:szCs w:val="24"/>
        </w:rPr>
        <w:t>phytochemical</w:t>
      </w:r>
      <w:r w:rsidR="00E269C0">
        <w:rPr>
          <w:rFonts w:ascii="Times New Roman" w:hAnsi="Times New Roman" w:cs="Times New Roman"/>
          <w:sz w:val="24"/>
          <w:szCs w:val="24"/>
        </w:rPr>
        <w:t>s</w:t>
      </w:r>
      <w:r w:rsidRPr="00A50139">
        <w:rPr>
          <w:rFonts w:ascii="Times New Roman" w:hAnsi="Times New Roman" w:cs="Times New Roman"/>
          <w:sz w:val="24"/>
          <w:szCs w:val="24"/>
        </w:rPr>
        <w:t>; sericulture</w:t>
      </w:r>
    </w:p>
    <w:p w14:paraId="3B9D9402" w14:textId="77777777" w:rsidR="00AB26EB" w:rsidRPr="00A50139" w:rsidRDefault="000B4C6A"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sz w:val="24"/>
          <w:szCs w:val="24"/>
        </w:rPr>
        <w:t xml:space="preserve">1. </w:t>
      </w:r>
      <w:r w:rsidR="00AB26EB" w:rsidRPr="00A50139">
        <w:rPr>
          <w:rFonts w:ascii="Times New Roman" w:hAnsi="Times New Roman" w:cs="Times New Roman"/>
          <w:b/>
          <w:sz w:val="24"/>
          <w:szCs w:val="24"/>
        </w:rPr>
        <w:t>Introduction:</w:t>
      </w:r>
    </w:p>
    <w:p w14:paraId="2743EC11" w14:textId="77777777" w:rsidR="008D7A03" w:rsidRDefault="00830B14" w:rsidP="00D259D6">
      <w:pPr>
        <w:pStyle w:val="NormalWeb"/>
        <w:jc w:val="both"/>
      </w:pPr>
      <w:r w:rsidRPr="00A50139">
        <w:t xml:space="preserve">Chronic health conditions are long-term, slowly progressing diseases that are non-communicable [1], often leading to irreversible damage and economic burden. Physical inactivity [2] and poor diet [3] are key contributors to their rising prevalence. Various dietary patterns are linked to improved health outcomes [4]. </w:t>
      </w:r>
      <w:r w:rsidR="008D7A03" w:rsidRPr="00A50139">
        <w:t>Mulberry being a rich source of different macro and micro nutrients</w:t>
      </w:r>
      <w:r w:rsidR="001A734F" w:rsidRPr="00A50139">
        <w:t xml:space="preserve"> (Fig 1)</w:t>
      </w:r>
      <w:r w:rsidR="008D7A03" w:rsidRPr="00A50139">
        <w:t xml:space="preserve"> are used in prevention of</w:t>
      </w:r>
      <w:r w:rsidR="004F43DC" w:rsidRPr="00A50139">
        <w:t xml:space="preserve"> </w:t>
      </w:r>
      <w:r w:rsidRPr="00A50139">
        <w:t>cardiovascular diseases, diabetes, and certain cancers [5].</w:t>
      </w:r>
    </w:p>
    <w:p w14:paraId="73C40BC2" w14:textId="77777777" w:rsidR="00E96F1F" w:rsidRDefault="00E96F1F" w:rsidP="00E96F1F">
      <w:pPr>
        <w:spacing w:line="240" w:lineRule="auto"/>
        <w:rPr>
          <w:rFonts w:ascii="Times New Roman" w:hAnsi="Times New Roman" w:cs="Times New Roman"/>
          <w:b/>
          <w:color w:val="000000" w:themeColor="text1"/>
          <w:sz w:val="24"/>
          <w:szCs w:val="24"/>
        </w:rPr>
      </w:pPr>
    </w:p>
    <w:p w14:paraId="43040B89" w14:textId="77777777" w:rsidR="00E96F1F" w:rsidRPr="00A50139" w:rsidRDefault="00E96F1F" w:rsidP="00E96F1F">
      <w:pPr>
        <w:spacing w:line="240" w:lineRule="auto"/>
        <w:rPr>
          <w:rFonts w:ascii="Times New Roman" w:hAnsi="Times New Roman" w:cs="Times New Roman"/>
          <w:b/>
          <w:color w:val="000000" w:themeColor="text1"/>
          <w:sz w:val="24"/>
          <w:szCs w:val="24"/>
        </w:rPr>
      </w:pPr>
      <w:r w:rsidRPr="00A50139">
        <w:rPr>
          <w:rFonts w:ascii="Times New Roman" w:hAnsi="Times New Roman" w:cs="Times New Roman"/>
          <w:noProof/>
          <w:color w:val="000000" w:themeColor="text1"/>
          <w:sz w:val="24"/>
          <w:szCs w:val="24"/>
          <w:lang w:eastAsia="en-IN"/>
        </w:rPr>
        <w:lastRenderedPageBreak/>
        <w:drawing>
          <wp:inline distT="0" distB="0" distL="0" distR="0" wp14:anchorId="51AD3D71" wp14:editId="7E1B04EB">
            <wp:extent cx="4572000" cy="2600325"/>
            <wp:effectExtent l="19050" t="0" r="0" b="0"/>
            <wp:docPr id="1" name="Picture 2" descr="ChatGPT Image May 21, 2025, 03_00_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21, 2025, 03_00_06 PM.png"/>
                    <pic:cNvPicPr/>
                  </pic:nvPicPr>
                  <pic:blipFill>
                    <a:blip r:embed="rId8" cstate="print"/>
                    <a:srcRect t="14688"/>
                    <a:stretch>
                      <a:fillRect/>
                    </a:stretch>
                  </pic:blipFill>
                  <pic:spPr>
                    <a:xfrm>
                      <a:off x="0" y="0"/>
                      <a:ext cx="4572000" cy="2600325"/>
                    </a:xfrm>
                    <a:prstGeom prst="rect">
                      <a:avLst/>
                    </a:prstGeom>
                  </pic:spPr>
                </pic:pic>
              </a:graphicData>
            </a:graphic>
          </wp:inline>
        </w:drawing>
      </w:r>
    </w:p>
    <w:p w14:paraId="0D3B5C91" w14:textId="77777777" w:rsidR="00E96F1F" w:rsidRPr="00E96F1F" w:rsidRDefault="00E96F1F" w:rsidP="00E96F1F">
      <w:pPr>
        <w:spacing w:line="240" w:lineRule="auto"/>
        <w:ind w:firstLine="0"/>
        <w:jc w:val="center"/>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Fig1: Different nutritional components of mulberry</w:t>
      </w:r>
    </w:p>
    <w:p w14:paraId="395AD954" w14:textId="77777777" w:rsidR="00830B14" w:rsidRPr="00A50139" w:rsidRDefault="008D7A03" w:rsidP="00D259D6">
      <w:pPr>
        <w:pStyle w:val="NormalWeb"/>
        <w:jc w:val="both"/>
      </w:pPr>
      <w:r w:rsidRPr="00A50139">
        <w:tab/>
      </w:r>
      <w:r w:rsidR="00830B14" w:rsidRPr="00A50139">
        <w:t xml:space="preserve">Historically, mulberry has been valued since the Tang Dynasty (AD 659) and is featured in classic medical texts. The 2020 Chinese Pharmacopoeia recognizes Morus alba L. for nourishing Yin and blood, and moistening dryness. Globally, mulberry is consumed as both food and medicine due to its rich content of vitamins (A, B, C, K, E), fatty acids, organic acids, minerals (Mg, Fe, K, Ca), proteins, amino acids, sugars, and </w:t>
      </w:r>
      <w:proofErr w:type="spellStart"/>
      <w:r w:rsidR="00830B14" w:rsidRPr="00A50139">
        <w:t>fiber</w:t>
      </w:r>
      <w:proofErr w:type="spellEnd"/>
      <w:r w:rsidR="00830B14" w:rsidRPr="00A50139">
        <w:t xml:space="preserve"> [6,7,8]. It also exhibits antioxidant, </w:t>
      </w:r>
      <w:proofErr w:type="spellStart"/>
      <w:r w:rsidR="00830B14" w:rsidRPr="00A50139">
        <w:t>hypoglycemic</w:t>
      </w:r>
      <w:proofErr w:type="spellEnd"/>
      <w:r w:rsidR="00830B14" w:rsidRPr="00A50139">
        <w:t xml:space="preserve"> [9], anticancer [10], antibacterial, and lipid-lowering properties [11].</w:t>
      </w:r>
    </w:p>
    <w:p w14:paraId="6D503D43" w14:textId="77777777" w:rsidR="005212B3" w:rsidRDefault="00830B14" w:rsidP="00D259D6">
      <w:pPr>
        <w:pStyle w:val="NormalWeb"/>
        <w:jc w:val="both"/>
      </w:pPr>
      <w:r w:rsidRPr="00A50139">
        <w:tab/>
        <w:t>However, comprehensive evaluations of its nutrient structures, properties, mechanisms of action, and bioavailability are lacking. Clinical applications remain underexplored. This review aims to summarize the nutritional value, health benefits, and applications of mulberry in food, biomaterials, and medicine, to support drug development, functional foods, and public health strategies.</w:t>
      </w:r>
    </w:p>
    <w:p w14:paraId="3A4B13B3" w14:textId="77777777" w:rsidR="00460A8D" w:rsidRPr="005212B3" w:rsidRDefault="000B4C6A" w:rsidP="00D259D6">
      <w:pPr>
        <w:pStyle w:val="NormalWeb"/>
        <w:jc w:val="both"/>
      </w:pPr>
      <w:r>
        <w:rPr>
          <w:b/>
          <w:color w:val="000000" w:themeColor="text1"/>
        </w:rPr>
        <w:t xml:space="preserve">2. </w:t>
      </w:r>
      <w:r w:rsidR="00EB1A78" w:rsidRPr="00A50139">
        <w:rPr>
          <w:b/>
          <w:color w:val="000000" w:themeColor="text1"/>
        </w:rPr>
        <w:t>Taxonomy, distribution, and varietal diversity</w:t>
      </w:r>
    </w:p>
    <w:p w14:paraId="6D3F8447" w14:textId="77777777" w:rsidR="00EB5162" w:rsidRPr="00A50139" w:rsidRDefault="00EB5162" w:rsidP="00D259D6">
      <w:pPr>
        <w:pStyle w:val="NormalWeb"/>
        <w:jc w:val="both"/>
      </w:pPr>
      <w:r w:rsidRPr="00A50139">
        <w:t xml:space="preserve">Mulberry, belonging to the genus </w:t>
      </w:r>
      <w:r w:rsidRPr="00A50139">
        <w:rPr>
          <w:rStyle w:val="Emphasis"/>
        </w:rPr>
        <w:t>Morus</w:t>
      </w:r>
      <w:r w:rsidRPr="00A50139">
        <w:t xml:space="preserve">, is one of the most medicinally significant plants. India hosts over 20 mulberry species, with </w:t>
      </w:r>
      <w:r w:rsidRPr="00A50139">
        <w:rPr>
          <w:rStyle w:val="Emphasis"/>
        </w:rPr>
        <w:t>M. latifolia</w:t>
      </w:r>
      <w:r w:rsidRPr="00A50139">
        <w:t xml:space="preserve">, </w:t>
      </w:r>
      <w:r w:rsidRPr="00A50139">
        <w:rPr>
          <w:rStyle w:val="Emphasis"/>
        </w:rPr>
        <w:t>M. indica</w:t>
      </w:r>
      <w:r w:rsidRPr="00A50139">
        <w:t xml:space="preserve">, </w:t>
      </w:r>
      <w:r w:rsidRPr="00A50139">
        <w:rPr>
          <w:rStyle w:val="Emphasis"/>
        </w:rPr>
        <w:t>M. serrata</w:t>
      </w:r>
      <w:r w:rsidRPr="00A50139">
        <w:t xml:space="preserve">, and </w:t>
      </w:r>
      <w:r w:rsidRPr="00A50139">
        <w:rPr>
          <w:rStyle w:val="Emphasis"/>
        </w:rPr>
        <w:t>M. alba</w:t>
      </w:r>
      <w:r w:rsidRPr="00A50139">
        <w:t xml:space="preserve"> being the most commonly cultivated varieties [12]. These fast-growing, perennial, and deep-rooted plants can be either monoecious or dioecious, reaching heights of 10–12 meters. Mulberries are widely distributed across regions including India, China, Japan, North Africa, Arabia, and Southern Europe. The </w:t>
      </w:r>
      <w:r w:rsidRPr="00A50139">
        <w:rPr>
          <w:rStyle w:val="Emphasis"/>
        </w:rPr>
        <w:t>Morus</w:t>
      </w:r>
      <w:r w:rsidRPr="00A50139">
        <w:t xml:space="preserve"> genus includes around a dozen species, adaptable to both tropical and temperate climates. They thrive under rainfed or irrigated conditions, with optimal growth at temperatures between 24–29°C and humidity levels of 65–80%. While two species are native to the United States, others are spread throughout the warmer temperate zones of Eurasia, Africa, and North America. Characterized by their milky sap, these plants produce fruits that have given them their name.</w:t>
      </w:r>
    </w:p>
    <w:p w14:paraId="38C29839" w14:textId="77777777" w:rsidR="004130AD" w:rsidRPr="00A50139" w:rsidRDefault="00EB5162" w:rsidP="00D259D6">
      <w:pPr>
        <w:pStyle w:val="NormalWeb"/>
        <w:jc w:val="both"/>
      </w:pPr>
      <w:r w:rsidRPr="00A50139">
        <w:rPr>
          <w:rStyle w:val="Emphasis"/>
        </w:rPr>
        <w:t>Morus alba</w:t>
      </w:r>
      <w:r w:rsidRPr="00A50139">
        <w:t xml:space="preserve"> (white mulberry), the primary food for silkworms, is extensively cultivated in its native China. Unlike the red or black berries typical of most </w:t>
      </w:r>
      <w:r w:rsidRPr="00A50139">
        <w:rPr>
          <w:rStyle w:val="Emphasis"/>
        </w:rPr>
        <w:t>Morus</w:t>
      </w:r>
      <w:r w:rsidRPr="00A50139">
        <w:t xml:space="preserve"> species, the fruit of white mulberry ranges from white to pinkish and is also found in the Eastern United States. Historically, </w:t>
      </w:r>
      <w:r w:rsidRPr="00A50139">
        <w:rPr>
          <w:rStyle w:val="Emphasis"/>
        </w:rPr>
        <w:t>M. alba</w:t>
      </w:r>
      <w:r w:rsidRPr="00A50139">
        <w:t xml:space="preserve"> has been used in traditional Chinese medicine since A.D. 659. The </w:t>
      </w:r>
      <w:r w:rsidRPr="00A50139">
        <w:lastRenderedPageBreak/>
        <w:t>Chinese Pharmacopoeia (1985) lists various parts of the plant—including leaves, root bark, branches, and fruits—as components of medicinal formulations, while other parts like the sap and wood ash are also commonly utilized.</w:t>
      </w:r>
    </w:p>
    <w:p w14:paraId="1C568313" w14:textId="77777777" w:rsidR="00EB1A78" w:rsidRPr="00A50139" w:rsidRDefault="000B4C6A"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EB1A78" w:rsidRPr="00A50139">
        <w:rPr>
          <w:rFonts w:ascii="Times New Roman" w:hAnsi="Times New Roman" w:cs="Times New Roman"/>
          <w:b/>
          <w:color w:val="000000" w:themeColor="text1"/>
          <w:sz w:val="24"/>
          <w:szCs w:val="24"/>
        </w:rPr>
        <w:t>. Nutritional composition of mulberry:</w:t>
      </w:r>
    </w:p>
    <w:p w14:paraId="3DEF2481" w14:textId="77777777" w:rsidR="00EB5162" w:rsidRPr="00A50139" w:rsidRDefault="00EB1A78" w:rsidP="00D259D6">
      <w:pPr>
        <w:pStyle w:val="NormalWeb"/>
        <w:jc w:val="both"/>
      </w:pPr>
      <w:r w:rsidRPr="00A50139">
        <w:rPr>
          <w:color w:val="000000" w:themeColor="text1"/>
        </w:rPr>
        <w:tab/>
      </w:r>
      <w:r w:rsidR="00EB5162" w:rsidRPr="00A50139">
        <w:t xml:space="preserve">Mulberries are packed with essential functional components that play vital roles in promoting human health. Structurally, the fruit comprises approximately 71.4% pulp, 23.5% skin, 2.9% seeds, and 2.2% stems. Their high moisture content makes them difficult to preserve, yet they remain nutritionally rich, offering a variety of macro- and </w:t>
      </w:r>
      <w:proofErr w:type="spellStart"/>
      <w:r w:rsidR="00EB5162" w:rsidRPr="00A50139">
        <w:t>mi</w:t>
      </w:r>
      <w:r w:rsidR="008D7A03" w:rsidRPr="00A50139">
        <w:t>crocompounds</w:t>
      </w:r>
      <w:proofErr w:type="spellEnd"/>
      <w:r w:rsidR="008D7A03" w:rsidRPr="00A50139">
        <w:t>:</w:t>
      </w:r>
    </w:p>
    <w:p w14:paraId="1A582FF9" w14:textId="77777777" w:rsidR="00EB5162" w:rsidRPr="00A50139" w:rsidRDefault="00EB5162" w:rsidP="00D259D6">
      <w:pPr>
        <w:pStyle w:val="NormalWeb"/>
        <w:jc w:val="both"/>
      </w:pPr>
      <w:r w:rsidRPr="00A50139">
        <w:t xml:space="preserve">• </w:t>
      </w:r>
      <w:r w:rsidRPr="00A50139">
        <w:rPr>
          <w:rStyle w:val="Strong"/>
        </w:rPr>
        <w:t>Macronutrients and Bioactive Compounds</w:t>
      </w:r>
      <w:r w:rsidRPr="00A50139">
        <w:t xml:space="preserve">: Mulberries contain 0.5–1.4% protein and approximately 7.8–9% carbohydrates [13]. They also include 0.3% to 0.5% fatty acids, 1.1% to 1.8% free acids, and 0.9% to 1.3% crude </w:t>
      </w:r>
      <w:proofErr w:type="spellStart"/>
      <w:r w:rsidRPr="00A50139">
        <w:t>fiber</w:t>
      </w:r>
      <w:proofErr w:type="spellEnd"/>
      <w:r w:rsidRPr="00A50139">
        <w:t>. The primary fatty acids—linoleic, oleic, palmitic, and stearic acids—make up 69.66–78.02% of total fatty acids [14].</w:t>
      </w:r>
    </w:p>
    <w:p w14:paraId="44352565" w14:textId="77777777" w:rsidR="00EB5162" w:rsidRPr="00A50139" w:rsidRDefault="00EB5162" w:rsidP="00D259D6">
      <w:pPr>
        <w:pStyle w:val="NormalWeb"/>
        <w:jc w:val="both"/>
      </w:pPr>
      <w:r w:rsidRPr="00A50139">
        <w:t xml:space="preserve">• </w:t>
      </w:r>
      <w:r w:rsidRPr="00A50139">
        <w:rPr>
          <w:rStyle w:val="Strong"/>
        </w:rPr>
        <w:t>Amino Acids</w:t>
      </w:r>
      <w:r w:rsidRPr="00A50139">
        <w:t>: Nineteen amino acids have been detected in mulberries, with seven being essential for humans. Glutamate is the most prevalent (~20%), followed by glycine and aspartate [15]. Other amino acids include lysine, leucine, isoleucine, histidine, threonine, tryptophan, and serine. Notably, leucine, threonine, isoleucine, glycine, valine, tryptophan, arginine, aspartic acid, and serine are found in greater amounts in white mulberry, while black mulberry contains higher levels of lysine, histidine, and proline [16].</w:t>
      </w:r>
    </w:p>
    <w:p w14:paraId="45E86789" w14:textId="77777777" w:rsidR="00EB5162" w:rsidRPr="00A50139" w:rsidRDefault="00EB5162" w:rsidP="00D259D6">
      <w:pPr>
        <w:pStyle w:val="NormalWeb"/>
        <w:jc w:val="both"/>
      </w:pPr>
      <w:r w:rsidRPr="00A50139">
        <w:t xml:space="preserve">• </w:t>
      </w:r>
      <w:r w:rsidRPr="00A50139">
        <w:rPr>
          <w:rStyle w:val="Strong"/>
        </w:rPr>
        <w:t>Carbohydrates and Organic Acids</w:t>
      </w:r>
      <w:r w:rsidRPr="00A50139">
        <w:t xml:space="preserve">: Mulberries are rich in neutral sugars such as arabinose, galactose, glucose, rhamnose, xylose, and mannose, alongside significant quantities of </w:t>
      </w:r>
      <w:proofErr w:type="spellStart"/>
      <w:r w:rsidRPr="00A50139">
        <w:t>uronic</w:t>
      </w:r>
      <w:proofErr w:type="spellEnd"/>
      <w:r w:rsidRPr="00A50139">
        <w:t xml:space="preserve"> acids like galacturonic acid and glucuronic acid [17–20]. They also contain organic acids including succinic, acetic, malic, citric, and tartaric acids [21]. The titratable acid content ranges from 0.20–2.65%, with black mulberry exhibiting higher concentrations [16, 22].</w:t>
      </w:r>
    </w:p>
    <w:p w14:paraId="7FD8D66C" w14:textId="77777777" w:rsidR="00EB5162" w:rsidRPr="00A50139" w:rsidRDefault="00EB5162" w:rsidP="00D259D6">
      <w:pPr>
        <w:pStyle w:val="NormalWeb"/>
        <w:jc w:val="both"/>
      </w:pPr>
      <w:r w:rsidRPr="00A50139">
        <w:t xml:space="preserve">• </w:t>
      </w:r>
      <w:r w:rsidRPr="00A50139">
        <w:rPr>
          <w:rStyle w:val="Strong"/>
        </w:rPr>
        <w:t>Vitamins and Minerals</w:t>
      </w:r>
      <w:r w:rsidRPr="00A50139">
        <w:t>: Key vitamins in mulberries include vitamin C, vitamin A, and several B-complex vitamins [23]. They are also abundant in minerals such as calcium (Ca), potassium (K), sodium (Na), phosphorus (P), iron (Fe), magnesium (Mg), zinc (Zn), copper (Cu), nickel (Ni), and selenium (Se). Notably, mulberries contain 5 to 20 times more selenium than apples, offering significant benefits for cardiovascular health and immune function [24].</w:t>
      </w:r>
    </w:p>
    <w:p w14:paraId="3CA6DD67" w14:textId="77777777" w:rsidR="00EB5162" w:rsidRPr="00A50139" w:rsidRDefault="00EB5162" w:rsidP="00D259D6">
      <w:pPr>
        <w:pStyle w:val="NormalWeb"/>
        <w:jc w:val="both"/>
      </w:pPr>
      <w:r w:rsidRPr="00A50139">
        <w:t xml:space="preserve">• </w:t>
      </w:r>
      <w:r w:rsidRPr="00A50139">
        <w:rPr>
          <w:rStyle w:val="Strong"/>
        </w:rPr>
        <w:t>Soluble Solids</w:t>
      </w:r>
      <w:r w:rsidRPr="00A50139">
        <w:t xml:space="preserve">: Sugars, acids, vitamins, and minerals contribute to the fruit’s </w:t>
      </w:r>
      <w:proofErr w:type="spellStart"/>
      <w:r w:rsidRPr="00A50139">
        <w:t>flavor</w:t>
      </w:r>
      <w:proofErr w:type="spellEnd"/>
      <w:r w:rsidRPr="00A50139">
        <w:t xml:space="preserve"> and nutritional value. The total soluble solid content varies between 6.2% and 25.8% [22, 16, 25, 26].</w:t>
      </w:r>
    </w:p>
    <w:p w14:paraId="68888F1C" w14:textId="77777777" w:rsidR="008D7A03" w:rsidRPr="00A50139" w:rsidRDefault="00EB5162" w:rsidP="00D259D6">
      <w:pPr>
        <w:pStyle w:val="NormalWeb"/>
        <w:jc w:val="both"/>
      </w:pPr>
      <w:r w:rsidRPr="00A50139">
        <w:t xml:space="preserve">• </w:t>
      </w:r>
      <w:r w:rsidRPr="00A50139">
        <w:rPr>
          <w:rStyle w:val="Strong"/>
        </w:rPr>
        <w:t>Nutritional Importance</w:t>
      </w:r>
      <w:r w:rsidRPr="00A50139">
        <w:t xml:space="preserve">: These nutrients collectively support vital physiological and metabolic functions, bolster immune </w:t>
      </w:r>
      <w:proofErr w:type="spellStart"/>
      <w:r w:rsidRPr="00A50139">
        <w:t>defenses</w:t>
      </w:r>
      <w:proofErr w:type="spellEnd"/>
      <w:r w:rsidRPr="00A50139">
        <w:t>, and aid in glucose regulation [13, 27, 28].</w:t>
      </w:r>
    </w:p>
    <w:p w14:paraId="59E70514" w14:textId="77777777" w:rsidR="005D3611" w:rsidRPr="00A50139" w:rsidRDefault="000B4C6A" w:rsidP="00D259D6">
      <w:pPr>
        <w:pStyle w:val="NormalWeb"/>
        <w:jc w:val="both"/>
      </w:pPr>
      <w:r>
        <w:rPr>
          <w:b/>
          <w:color w:val="000000" w:themeColor="text1"/>
        </w:rPr>
        <w:t>4</w:t>
      </w:r>
      <w:r w:rsidR="00EB1A78" w:rsidRPr="00A50139">
        <w:rPr>
          <w:b/>
          <w:color w:val="000000" w:themeColor="text1"/>
        </w:rPr>
        <w:t xml:space="preserve">. </w:t>
      </w:r>
      <w:r w:rsidR="005D3611" w:rsidRPr="00A50139">
        <w:rPr>
          <w:rStyle w:val="Strong"/>
        </w:rPr>
        <w:t>Phytochemicals and Bioactive Compounds</w:t>
      </w:r>
    </w:p>
    <w:p w14:paraId="0EBABD4A" w14:textId="77777777" w:rsidR="005D3611" w:rsidRDefault="005D3611" w:rsidP="00D259D6">
      <w:pPr>
        <w:pStyle w:val="NormalWeb"/>
        <w:jc w:val="both"/>
      </w:pPr>
      <w:r w:rsidRPr="00A50139">
        <w:tab/>
        <w:t>Mulberry serves as a rich reservoir of diverse phytochemicals and bioactive constituents that significantly enhance its nutritional and therapeutic importance.</w:t>
      </w:r>
      <w:r w:rsidR="00F743D0" w:rsidRPr="00A50139">
        <w:t xml:space="preserve"> These are seen depicted in figure 2.</w:t>
      </w:r>
      <w:r w:rsidRPr="00A50139">
        <w:t xml:space="preserve"> The most extensively researched compounds include polyphenols, </w:t>
      </w:r>
      <w:r w:rsidRPr="00A50139">
        <w:lastRenderedPageBreak/>
        <w:t xml:space="preserve">flavonoids, anthocyanins, alkaloids, polysaccharides, stilbenes, and benzofurans. These </w:t>
      </w:r>
      <w:proofErr w:type="spellStart"/>
      <w:r w:rsidRPr="00A50139">
        <w:t>bioactives</w:t>
      </w:r>
      <w:proofErr w:type="spellEnd"/>
      <w:r w:rsidRPr="00A50139">
        <w:t xml:space="preserve"> are associated with a wide range of health-promoting effects, such as antioxidant, anti-inflammatory, antidiabetic, hepatoprotective, and neuroprotective activities. The levels and types of these compounds can vary greatly depending on several variables, notably the </w:t>
      </w:r>
      <w:r w:rsidRPr="00A50139">
        <w:rPr>
          <w:rStyle w:val="Emphasis"/>
        </w:rPr>
        <w:t>Morus</w:t>
      </w:r>
      <w:r w:rsidRPr="00A50139">
        <w:t xml:space="preserve"> species, the specific plant part used, the stage of maturity, and environmental influences. For instance, </w:t>
      </w:r>
      <w:r w:rsidRPr="00A50139">
        <w:rPr>
          <w:rStyle w:val="Emphasis"/>
        </w:rPr>
        <w:t>Morus nigra</w:t>
      </w:r>
      <w:r w:rsidRPr="00A50139">
        <w:t xml:space="preserve"> (black mulberry) typically exhibits higher concentrations of total phenolics, flavonoids, and anthocyanins when compared to </w:t>
      </w:r>
      <w:r w:rsidRPr="00A50139">
        <w:rPr>
          <w:rStyle w:val="Emphasis"/>
        </w:rPr>
        <w:t>M. rubra</w:t>
      </w:r>
      <w:r w:rsidRPr="00A50139">
        <w:t xml:space="preserve"> and </w:t>
      </w:r>
      <w:r w:rsidRPr="00A50139">
        <w:rPr>
          <w:rStyle w:val="Emphasis"/>
        </w:rPr>
        <w:t>M. alba</w:t>
      </w:r>
      <w:r w:rsidRPr="00A50139">
        <w:t xml:space="preserve"> [22, 24, 29].</w:t>
      </w:r>
    </w:p>
    <w:p w14:paraId="2CFC7E60" w14:textId="77777777" w:rsidR="00E96F1F" w:rsidRPr="00A50139" w:rsidRDefault="00E96F1F" w:rsidP="00E96F1F">
      <w:pPr>
        <w:spacing w:line="240" w:lineRule="auto"/>
        <w:ind w:left="720" w:firstLine="0"/>
        <w:jc w:val="center"/>
        <w:rPr>
          <w:rFonts w:ascii="Times New Roman" w:hAnsi="Times New Roman" w:cs="Times New Roman"/>
          <w:color w:val="000000" w:themeColor="text1"/>
          <w:sz w:val="24"/>
          <w:szCs w:val="24"/>
        </w:rPr>
      </w:pPr>
      <w:r w:rsidRPr="00A50139">
        <w:rPr>
          <w:rFonts w:ascii="Times New Roman" w:hAnsi="Times New Roman" w:cs="Times New Roman"/>
          <w:noProof/>
          <w:color w:val="000000" w:themeColor="text1"/>
          <w:sz w:val="24"/>
          <w:szCs w:val="24"/>
          <w:lang w:eastAsia="en-IN"/>
        </w:rPr>
        <w:drawing>
          <wp:inline distT="0" distB="0" distL="0" distR="0" wp14:anchorId="6D98A8A6" wp14:editId="148ADD1F">
            <wp:extent cx="4438650" cy="4114800"/>
            <wp:effectExtent l="19050" t="0" r="0" b="0"/>
            <wp:docPr id="2" name="Picture 4" descr="ChatGPT Image May 21, 2025, 03_10_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21, 2025, 03_10_27 PM.png"/>
                    <pic:cNvPicPr/>
                  </pic:nvPicPr>
                  <pic:blipFill>
                    <a:blip r:embed="rId9"/>
                    <a:stretch>
                      <a:fillRect/>
                    </a:stretch>
                  </pic:blipFill>
                  <pic:spPr>
                    <a:xfrm>
                      <a:off x="0" y="0"/>
                      <a:ext cx="4438650" cy="4114800"/>
                    </a:xfrm>
                    <a:prstGeom prst="rect">
                      <a:avLst/>
                    </a:prstGeom>
                  </pic:spPr>
                </pic:pic>
              </a:graphicData>
            </a:graphic>
          </wp:inline>
        </w:drawing>
      </w:r>
    </w:p>
    <w:p w14:paraId="6D88EF15" w14:textId="77777777" w:rsidR="00E96F1F" w:rsidRPr="00A50139" w:rsidRDefault="00E96F1F" w:rsidP="00E96F1F">
      <w:pPr>
        <w:spacing w:line="240" w:lineRule="auto"/>
        <w:ind w:left="720" w:firstLine="0"/>
        <w:jc w:val="center"/>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Fig 2: </w:t>
      </w:r>
      <w:r w:rsidRPr="00A50139">
        <w:rPr>
          <w:rFonts w:ascii="Times New Roman" w:hAnsi="Times New Roman" w:cs="Times New Roman"/>
          <w:sz w:val="24"/>
          <w:szCs w:val="24"/>
        </w:rPr>
        <w:t>Phytochemicals and bioactive constituents in mulberry</w:t>
      </w:r>
    </w:p>
    <w:p w14:paraId="3948DA09" w14:textId="77777777" w:rsidR="00E96F1F" w:rsidRPr="00A50139" w:rsidRDefault="00E96F1F" w:rsidP="00D259D6">
      <w:pPr>
        <w:pStyle w:val="NormalWeb"/>
        <w:jc w:val="both"/>
      </w:pPr>
    </w:p>
    <w:p w14:paraId="3AE16A34" w14:textId="77777777" w:rsidR="008C0725" w:rsidRPr="00A50139" w:rsidRDefault="005D3611" w:rsidP="00D259D6">
      <w:pPr>
        <w:pStyle w:val="NormalWeb"/>
        <w:jc w:val="both"/>
      </w:pPr>
      <w:r w:rsidRPr="00A50139">
        <w:t xml:space="preserve">Beyond species differences, environmental and geographical conditions significantly affect the phytochemical profile. Factors such as climate, soil composition, agricultural practices, and elevation can all impact the accumulation of </w:t>
      </w:r>
      <w:proofErr w:type="spellStart"/>
      <w:r w:rsidRPr="00A50139">
        <w:t>bioactives</w:t>
      </w:r>
      <w:proofErr w:type="spellEnd"/>
      <w:r w:rsidRPr="00A50139">
        <w:t xml:space="preserve"> in mulberry fruits [23, 30, 31]. Comparative studies of mulberries from various regions have shown marked differences in total phenolic content, ranging from 181–1422 mg GAE/100g FW in samples from Turkey to 547.60 mg GAE/g MAE in those from Hangzhou, China [22, 32]. Similarly, total flavonoid concentrations ranged from 29–276 mg QE/100g FW in Turkish varieties [22] to as much as 893.73 mg RE/g in anthocyanin extracts from Chinese mulberries [32]. These variations highlight the importance of region-specific assessment and standardization of mulberry cultivars to maximize their health-related properties. Recognizing and understanding these species- and location-specific differences in phytochemical content is vital for the effective development of mulberry-based nutraceutical and functional food products.</w:t>
      </w:r>
    </w:p>
    <w:p w14:paraId="74B42C0C"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4</w:t>
      </w:r>
      <w:r w:rsidR="000E712D" w:rsidRPr="00A50139">
        <w:rPr>
          <w:rFonts w:ascii="Times New Roman" w:eastAsia="Times New Roman" w:hAnsi="Times New Roman" w:cs="Times New Roman"/>
          <w:b/>
          <w:bCs/>
          <w:sz w:val="24"/>
          <w:szCs w:val="24"/>
          <w:lang w:eastAsia="en-IN"/>
        </w:rPr>
        <w:t>.1. Flavonoids</w:t>
      </w:r>
    </w:p>
    <w:p w14:paraId="3F0ABC6C" w14:textId="77777777"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Flavonoids are natural polyphenolic compounds with notable neuroprotective effects. In mulberry, they are grouped into </w:t>
      </w:r>
      <w:proofErr w:type="spellStart"/>
      <w:r w:rsidRPr="00A50139">
        <w:rPr>
          <w:rFonts w:ascii="Times New Roman" w:eastAsia="Times New Roman" w:hAnsi="Times New Roman" w:cs="Times New Roman"/>
          <w:sz w:val="24"/>
          <w:szCs w:val="24"/>
          <w:lang w:eastAsia="en-IN"/>
        </w:rPr>
        <w:t>flavonols</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dihydroflavones</w:t>
      </w:r>
      <w:proofErr w:type="spellEnd"/>
      <w:r w:rsidRPr="00A50139">
        <w:rPr>
          <w:rFonts w:ascii="Times New Roman" w:eastAsia="Times New Roman" w:hAnsi="Times New Roman" w:cs="Times New Roman"/>
          <w:sz w:val="24"/>
          <w:szCs w:val="24"/>
          <w:lang w:eastAsia="en-IN"/>
        </w:rPr>
        <w:t>, anthocyanins, and chalcones.</w:t>
      </w:r>
    </w:p>
    <w:p w14:paraId="19EB6303"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 xml:space="preserve">.1.1. </w:t>
      </w:r>
      <w:proofErr w:type="spellStart"/>
      <w:r w:rsidR="000E712D" w:rsidRPr="00A50139">
        <w:rPr>
          <w:rFonts w:ascii="Times New Roman" w:eastAsia="Times New Roman" w:hAnsi="Times New Roman" w:cs="Times New Roman"/>
          <w:b/>
          <w:bCs/>
          <w:sz w:val="24"/>
          <w:szCs w:val="24"/>
          <w:lang w:eastAsia="en-IN"/>
        </w:rPr>
        <w:t>Flavonols</w:t>
      </w:r>
      <w:proofErr w:type="spellEnd"/>
    </w:p>
    <w:p w14:paraId="76423384" w14:textId="77777777"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proofErr w:type="spellStart"/>
      <w:r w:rsidRPr="00A50139">
        <w:rPr>
          <w:rFonts w:ascii="Times New Roman" w:eastAsia="Times New Roman" w:hAnsi="Times New Roman" w:cs="Times New Roman"/>
          <w:sz w:val="24"/>
          <w:szCs w:val="24"/>
          <w:lang w:eastAsia="en-IN"/>
        </w:rPr>
        <w:t>Flavonols</w:t>
      </w:r>
      <w:proofErr w:type="spellEnd"/>
      <w:r w:rsidRPr="00A50139">
        <w:rPr>
          <w:rFonts w:ascii="Times New Roman" w:eastAsia="Times New Roman" w:hAnsi="Times New Roman" w:cs="Times New Roman"/>
          <w:sz w:val="24"/>
          <w:szCs w:val="24"/>
          <w:lang w:eastAsia="en-IN"/>
        </w:rPr>
        <w:t xml:space="preserve"> (3-hydroxyflavones) display antioxidant, antibacterial, hepatoprotective, and anti-inflammatory properties [33].</w:t>
      </w:r>
    </w:p>
    <w:p w14:paraId="64BF4F74" w14:textId="77777777"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Morin</w:t>
      </w:r>
      <w:r w:rsidRPr="00A50139">
        <w:rPr>
          <w:rFonts w:ascii="Times New Roman" w:eastAsia="Times New Roman" w:hAnsi="Times New Roman" w:cs="Times New Roman"/>
          <w:sz w:val="24"/>
          <w:szCs w:val="24"/>
          <w:lang w:eastAsia="en-IN"/>
        </w:rPr>
        <w:t xml:space="preserve"> reduces oxidative stress and improves cognition in sleep-deprived mice (5–20 mg/</w:t>
      </w:r>
      <w:proofErr w:type="spellStart"/>
      <w:r w:rsidRPr="00A50139">
        <w:rPr>
          <w:rFonts w:ascii="Times New Roman" w:eastAsia="Times New Roman" w:hAnsi="Times New Roman" w:cs="Times New Roman"/>
          <w:sz w:val="24"/>
          <w:szCs w:val="24"/>
          <w:lang w:eastAsia="en-IN"/>
        </w:rPr>
        <w:t>kg•b.w</w:t>
      </w:r>
      <w:proofErr w:type="spellEnd"/>
      <w:r w:rsidRPr="00A50139">
        <w:rPr>
          <w:rFonts w:ascii="Times New Roman" w:eastAsia="Times New Roman" w:hAnsi="Times New Roman" w:cs="Times New Roman"/>
          <w:sz w:val="24"/>
          <w:szCs w:val="24"/>
          <w:lang w:eastAsia="en-IN"/>
        </w:rPr>
        <w:t>.) [34]; it also inhibits astrocyte activation and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in PD models [35], and promotes mitophagy via AMPK-ULK1/TFEB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[36].</w:t>
      </w:r>
    </w:p>
    <w:p w14:paraId="1A5802C3" w14:textId="77777777"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Moralbaflavone</w:t>
      </w:r>
      <w:proofErr w:type="spellEnd"/>
      <w:r w:rsidRPr="00A50139">
        <w:rPr>
          <w:rFonts w:ascii="Times New Roman" w:eastAsia="Times New Roman" w:hAnsi="Times New Roman" w:cs="Times New Roman"/>
          <w:i/>
          <w:iCs/>
          <w:sz w:val="24"/>
          <w:szCs w:val="24"/>
          <w:lang w:eastAsia="en-IN"/>
        </w:rPr>
        <w:t xml:space="preserve"> C</w:t>
      </w:r>
      <w:r w:rsidRPr="00A50139">
        <w:rPr>
          <w:rFonts w:ascii="Times New Roman" w:eastAsia="Times New Roman" w:hAnsi="Times New Roman" w:cs="Times New Roman"/>
          <w:sz w:val="24"/>
          <w:szCs w:val="24"/>
          <w:lang w:eastAsia="en-IN"/>
        </w:rPr>
        <w:t xml:space="preserve"> (10 </w:t>
      </w:r>
      <w:proofErr w:type="spellStart"/>
      <w:r w:rsidRPr="00A50139">
        <w:rPr>
          <w:rFonts w:ascii="Times New Roman" w:eastAsia="Times New Roman" w:hAnsi="Times New Roman" w:cs="Times New Roman"/>
          <w:sz w:val="24"/>
          <w:szCs w:val="24"/>
          <w:lang w:eastAsia="en-IN"/>
        </w:rPr>
        <w:t>μmol</w:t>
      </w:r>
      <w:proofErr w:type="spellEnd"/>
      <w:r w:rsidRPr="00A50139">
        <w:rPr>
          <w:rFonts w:ascii="Times New Roman" w:eastAsia="Times New Roman" w:hAnsi="Times New Roman" w:cs="Times New Roman"/>
          <w:sz w:val="24"/>
          <w:szCs w:val="24"/>
          <w:lang w:eastAsia="en-IN"/>
        </w:rPr>
        <w:t xml:space="preserve">/L) protects PC12 cells from oxidative stress, surpassing </w:t>
      </w:r>
      <w:proofErr w:type="spellStart"/>
      <w:r w:rsidRPr="00A50139">
        <w:rPr>
          <w:rFonts w:ascii="Times New Roman" w:eastAsia="Times New Roman" w:hAnsi="Times New Roman" w:cs="Times New Roman"/>
          <w:sz w:val="24"/>
          <w:szCs w:val="24"/>
          <w:lang w:eastAsia="en-IN"/>
        </w:rPr>
        <w:t>edaravone</w:t>
      </w:r>
      <w:proofErr w:type="spellEnd"/>
      <w:r w:rsidRPr="00A50139">
        <w:rPr>
          <w:rFonts w:ascii="Times New Roman" w:eastAsia="Times New Roman" w:hAnsi="Times New Roman" w:cs="Times New Roman"/>
          <w:sz w:val="24"/>
          <w:szCs w:val="24"/>
          <w:lang w:eastAsia="en-IN"/>
        </w:rPr>
        <w:t xml:space="preserve"> [37].</w:t>
      </w:r>
    </w:p>
    <w:p w14:paraId="3D6EC2B7" w14:textId="77777777"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Sanggenol</w:t>
      </w:r>
      <w:proofErr w:type="spellEnd"/>
      <w:r w:rsidRPr="00A50139">
        <w:rPr>
          <w:rFonts w:ascii="Times New Roman" w:eastAsia="Times New Roman" w:hAnsi="Times New Roman" w:cs="Times New Roman"/>
          <w:i/>
          <w:iCs/>
          <w:sz w:val="24"/>
          <w:szCs w:val="24"/>
          <w:lang w:eastAsia="en-IN"/>
        </w:rPr>
        <w:t xml:space="preserve"> L</w:t>
      </w:r>
      <w:r w:rsidRPr="00A50139">
        <w:rPr>
          <w:rFonts w:ascii="Times New Roman" w:eastAsia="Times New Roman" w:hAnsi="Times New Roman" w:cs="Times New Roman"/>
          <w:sz w:val="24"/>
          <w:szCs w:val="24"/>
          <w:lang w:eastAsia="en-IN"/>
        </w:rPr>
        <w:t xml:space="preserve"> restores PI3K/</w:t>
      </w:r>
      <w:proofErr w:type="spellStart"/>
      <w:r w:rsidRPr="00A50139">
        <w:rPr>
          <w:rFonts w:ascii="Times New Roman" w:eastAsia="Times New Roman" w:hAnsi="Times New Roman" w:cs="Times New Roman"/>
          <w:sz w:val="24"/>
          <w:szCs w:val="24"/>
          <w:lang w:eastAsia="en-IN"/>
        </w:rPr>
        <w:t>Akt</w:t>
      </w:r>
      <w:proofErr w:type="spellEnd"/>
      <w:r w:rsidRPr="00A50139">
        <w:rPr>
          <w:rFonts w:ascii="Times New Roman" w:eastAsia="Times New Roman" w:hAnsi="Times New Roman" w:cs="Times New Roman"/>
          <w:sz w:val="24"/>
          <w:szCs w:val="24"/>
          <w:lang w:eastAsia="en-IN"/>
        </w:rPr>
        <w:t xml:space="preserve">/mTOR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and promotes autophagy in rotenone-damaged SK-N-SH cells [38].</w:t>
      </w:r>
    </w:p>
    <w:p w14:paraId="5D30B215"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.1.2. Anthocyanins</w:t>
      </w:r>
    </w:p>
    <w:p w14:paraId="302CB409" w14:textId="77777777"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Pr="00A50139">
        <w:rPr>
          <w:rFonts w:ascii="Times New Roman" w:eastAsia="Times New Roman" w:hAnsi="Times New Roman" w:cs="Times New Roman"/>
          <w:i/>
          <w:iCs/>
          <w:sz w:val="24"/>
          <w:szCs w:val="24"/>
          <w:lang w:eastAsia="en-IN"/>
        </w:rPr>
        <w:t>Cyanidin-3-glucoside (C3G)</w:t>
      </w:r>
      <w:r w:rsidRPr="00A50139">
        <w:rPr>
          <w:rFonts w:ascii="Times New Roman" w:eastAsia="Times New Roman" w:hAnsi="Times New Roman" w:cs="Times New Roman"/>
          <w:sz w:val="24"/>
          <w:szCs w:val="24"/>
          <w:lang w:eastAsia="en-IN"/>
        </w:rPr>
        <w:t xml:space="preserve"> is the main anthocyanin in mulberry, known for antioxidant and anti-inflammatory effects [39, 40].</w:t>
      </w:r>
    </w:p>
    <w:p w14:paraId="3E038008" w14:textId="77777777" w:rsidR="000E712D" w:rsidRPr="00A50139" w:rsidRDefault="000E712D" w:rsidP="00D259D6">
      <w:pPr>
        <w:numPr>
          <w:ilvl w:val="0"/>
          <w:numId w:val="20"/>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C3G protects against brain ischemia in MCAO mice [41], improves PC12 cell viability (10–30 </w:t>
      </w:r>
      <w:proofErr w:type="spellStart"/>
      <w:r w:rsidRPr="00A50139">
        <w:rPr>
          <w:rFonts w:ascii="Times New Roman" w:eastAsia="Times New Roman" w:hAnsi="Times New Roman" w:cs="Times New Roman"/>
          <w:sz w:val="24"/>
          <w:szCs w:val="24"/>
          <w:lang w:eastAsia="en-IN"/>
        </w:rPr>
        <w:t>μg</w:t>
      </w:r>
      <w:proofErr w:type="spellEnd"/>
      <w:r w:rsidRPr="00A50139">
        <w:rPr>
          <w:rFonts w:ascii="Times New Roman" w:eastAsia="Times New Roman" w:hAnsi="Times New Roman" w:cs="Times New Roman"/>
          <w:sz w:val="24"/>
          <w:szCs w:val="24"/>
          <w:lang w:eastAsia="en-IN"/>
        </w:rPr>
        <w:t>/mL) [41], and maintains mitochondrial membrane potential in OGD-injured neurons [42].</w:t>
      </w:r>
    </w:p>
    <w:p w14:paraId="275386AE"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.1.3. Chalcones</w:t>
      </w:r>
    </w:p>
    <w:p w14:paraId="4A627789" w14:textId="77777777"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Chalcones exhibit neuroprotective and antioxidant effects by inhibiting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[43–45].</w:t>
      </w:r>
    </w:p>
    <w:p w14:paraId="3E9090B2" w14:textId="77777777" w:rsidR="000E712D" w:rsidRPr="00A50139" w:rsidRDefault="000E712D" w:rsidP="00D259D6">
      <w:pPr>
        <w:numPr>
          <w:ilvl w:val="0"/>
          <w:numId w:val="21"/>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Morachalcone</w:t>
      </w:r>
      <w:proofErr w:type="spellEnd"/>
      <w:r w:rsidRPr="00A50139">
        <w:rPr>
          <w:rFonts w:ascii="Times New Roman" w:eastAsia="Times New Roman" w:hAnsi="Times New Roman" w:cs="Times New Roman"/>
          <w:i/>
          <w:iCs/>
          <w:sz w:val="24"/>
          <w:szCs w:val="24"/>
          <w:lang w:eastAsia="en-IN"/>
        </w:rPr>
        <w:t xml:space="preserve"> D and E</w:t>
      </w:r>
      <w:r w:rsidRPr="00A50139">
        <w:rPr>
          <w:rFonts w:ascii="Times New Roman" w:eastAsia="Times New Roman" w:hAnsi="Times New Roman" w:cs="Times New Roman"/>
          <w:sz w:val="24"/>
          <w:szCs w:val="24"/>
          <w:lang w:eastAsia="en-IN"/>
        </w:rPr>
        <w:t xml:space="preserve"> protect HT22 cells from oxidative stress and ferroptosis. </w:t>
      </w:r>
      <w:proofErr w:type="spellStart"/>
      <w:r w:rsidRPr="00A50139">
        <w:rPr>
          <w:rFonts w:ascii="Times New Roman" w:eastAsia="Times New Roman" w:hAnsi="Times New Roman" w:cs="Times New Roman"/>
          <w:sz w:val="24"/>
          <w:szCs w:val="24"/>
          <w:lang w:eastAsia="en-IN"/>
        </w:rPr>
        <w:t>Morachalcone</w:t>
      </w:r>
      <w:proofErr w:type="spellEnd"/>
      <w:r w:rsidRPr="00A50139">
        <w:rPr>
          <w:rFonts w:ascii="Times New Roman" w:eastAsia="Times New Roman" w:hAnsi="Times New Roman" w:cs="Times New Roman"/>
          <w:sz w:val="24"/>
          <w:szCs w:val="24"/>
          <w:lang w:eastAsia="en-IN"/>
        </w:rPr>
        <w:t xml:space="preserve"> D (20–40 µmol/L) activates Nrf2 and upregulates GPx4, CAT, and SOD [46].</w:t>
      </w:r>
    </w:p>
    <w:p w14:paraId="4B0BD2E8"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.2. Diels-Alder-Type Adducts (DAAs)</w:t>
      </w:r>
    </w:p>
    <w:p w14:paraId="1FA6EABF" w14:textId="77777777"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Formed via [4+2] cycloaddition, DAAs in mulberry include potent </w:t>
      </w:r>
      <w:proofErr w:type="spellStart"/>
      <w:r w:rsidRPr="00A50139">
        <w:rPr>
          <w:rFonts w:ascii="Times New Roman" w:eastAsia="Times New Roman" w:hAnsi="Times New Roman" w:cs="Times New Roman"/>
          <w:sz w:val="24"/>
          <w:szCs w:val="24"/>
          <w:lang w:eastAsia="en-IN"/>
        </w:rPr>
        <w:t>neuroprotectives</w:t>
      </w:r>
      <w:proofErr w:type="spellEnd"/>
      <w:r w:rsidRPr="00A50139">
        <w:rPr>
          <w:rFonts w:ascii="Times New Roman" w:eastAsia="Times New Roman" w:hAnsi="Times New Roman" w:cs="Times New Roman"/>
          <w:sz w:val="24"/>
          <w:szCs w:val="24"/>
          <w:lang w:eastAsia="en-IN"/>
        </w:rPr>
        <w:t xml:space="preserve"> like </w:t>
      </w:r>
      <w:proofErr w:type="spellStart"/>
      <w:r w:rsidRPr="00A50139">
        <w:rPr>
          <w:rFonts w:ascii="Times New Roman" w:eastAsia="Times New Roman" w:hAnsi="Times New Roman" w:cs="Times New Roman"/>
          <w:i/>
          <w:iCs/>
          <w:sz w:val="24"/>
          <w:szCs w:val="24"/>
          <w:lang w:eastAsia="en-IN"/>
        </w:rPr>
        <w:t>mulberrofuran</w:t>
      </w:r>
      <w:proofErr w:type="spellEnd"/>
      <w:r w:rsidRPr="00A50139">
        <w:rPr>
          <w:rFonts w:ascii="Times New Roman" w:eastAsia="Times New Roman" w:hAnsi="Times New Roman" w:cs="Times New Roman"/>
          <w:i/>
          <w:iCs/>
          <w:sz w:val="24"/>
          <w:szCs w:val="24"/>
          <w:lang w:eastAsia="en-IN"/>
        </w:rPr>
        <w:t xml:space="preserve"> C, J, G, K,</w:t>
      </w:r>
      <w:r w:rsidRPr="00A50139">
        <w:rPr>
          <w:rFonts w:ascii="Times New Roman" w:eastAsia="Times New Roman" w:hAnsi="Times New Roman" w:cs="Times New Roman"/>
          <w:sz w:val="24"/>
          <w:szCs w:val="24"/>
          <w:lang w:eastAsia="en-IN"/>
        </w:rPr>
        <w:t xml:space="preserve"> and </w:t>
      </w:r>
      <w:r w:rsidRPr="00A50139">
        <w:rPr>
          <w:rFonts w:ascii="Times New Roman" w:eastAsia="Times New Roman" w:hAnsi="Times New Roman" w:cs="Times New Roman"/>
          <w:i/>
          <w:iCs/>
          <w:sz w:val="24"/>
          <w:szCs w:val="24"/>
          <w:lang w:eastAsia="en-IN"/>
        </w:rPr>
        <w:t>kuwanon G</w:t>
      </w:r>
      <w:r w:rsidRPr="00A50139">
        <w:rPr>
          <w:rFonts w:ascii="Times New Roman" w:eastAsia="Times New Roman" w:hAnsi="Times New Roman" w:cs="Times New Roman"/>
          <w:sz w:val="24"/>
          <w:szCs w:val="24"/>
          <w:lang w:eastAsia="en-IN"/>
        </w:rPr>
        <w:t xml:space="preserve"> [47, 48].</w:t>
      </w:r>
    </w:p>
    <w:p w14:paraId="61885A68" w14:textId="77777777"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C is ~3× stronger than Trolox and inhibits Aβ42 aggregation (56–70%) [49].</w:t>
      </w:r>
    </w:p>
    <w:p w14:paraId="47012A63" w14:textId="77777777"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Kuwanon G inhibits tau aggregation (96%) [49]; several DAAs also inhibit </w:t>
      </w:r>
      <w:proofErr w:type="spellStart"/>
      <w:r w:rsidRPr="00A50139">
        <w:rPr>
          <w:rFonts w:ascii="Times New Roman" w:eastAsia="Times New Roman" w:hAnsi="Times New Roman" w:cs="Times New Roman"/>
          <w:sz w:val="24"/>
          <w:szCs w:val="24"/>
          <w:lang w:eastAsia="en-IN"/>
        </w:rPr>
        <w:t>AChE</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BuChE</w:t>
      </w:r>
      <w:proofErr w:type="spellEnd"/>
      <w:r w:rsidRPr="00A50139">
        <w:rPr>
          <w:rFonts w:ascii="Times New Roman" w:eastAsia="Times New Roman" w:hAnsi="Times New Roman" w:cs="Times New Roman"/>
          <w:sz w:val="24"/>
          <w:szCs w:val="24"/>
          <w:lang w:eastAsia="en-IN"/>
        </w:rPr>
        <w:t>, and BACE1 (IC₅₀ = 1.4–2.7 µmol/L) [49].</w:t>
      </w:r>
    </w:p>
    <w:p w14:paraId="12C3F34E" w14:textId="77777777"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Mulberrofuran</w:t>
      </w:r>
      <w:proofErr w:type="spellEnd"/>
      <w:r w:rsidRPr="00A50139">
        <w:rPr>
          <w:rFonts w:ascii="Times New Roman" w:eastAsia="Times New Roman" w:hAnsi="Times New Roman" w:cs="Times New Roman"/>
          <w:i/>
          <w:iCs/>
          <w:sz w:val="24"/>
          <w:szCs w:val="24"/>
          <w:lang w:eastAsia="en-IN"/>
        </w:rPr>
        <w:t xml:space="preserve"> K</w:t>
      </w:r>
      <w:r w:rsidRPr="00A50139">
        <w:rPr>
          <w:rFonts w:ascii="Times New Roman" w:eastAsia="Times New Roman" w:hAnsi="Times New Roman" w:cs="Times New Roman"/>
          <w:sz w:val="24"/>
          <w:szCs w:val="24"/>
          <w:lang w:eastAsia="en-IN"/>
        </w:rPr>
        <w:t xml:space="preserve"> crosses the blood–brain barrier and protects HT22 cells from glutamate toxicity [49].</w:t>
      </w:r>
    </w:p>
    <w:p w14:paraId="0259BAED"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.3. Benzofurans</w:t>
      </w:r>
    </w:p>
    <w:p w14:paraId="4764C36E" w14:textId="77777777" w:rsidR="000E712D" w:rsidRPr="00A50139" w:rsidRDefault="000E712D" w:rsidP="00D259D6">
      <w:pPr>
        <w:numPr>
          <w:ilvl w:val="0"/>
          <w:numId w:val="23"/>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lastRenderedPageBreak/>
        <w:t>Artoindonesianin O</w:t>
      </w:r>
      <w:r w:rsidRPr="00A50139">
        <w:rPr>
          <w:rFonts w:ascii="Times New Roman" w:eastAsia="Times New Roman" w:hAnsi="Times New Roman" w:cs="Times New Roman"/>
          <w:sz w:val="24"/>
          <w:szCs w:val="24"/>
          <w:lang w:eastAsia="en-IN"/>
        </w:rPr>
        <w:t xml:space="preserve"> reverses tau hyperphosphorylation and Aβ42/NMDA-induced damage, improving synaptic plasticity [50].</w:t>
      </w:r>
    </w:p>
    <w:p w14:paraId="7FAA28AD" w14:textId="77777777" w:rsidR="000E712D" w:rsidRPr="00A50139" w:rsidRDefault="000E712D" w:rsidP="00D259D6">
      <w:pPr>
        <w:numPr>
          <w:ilvl w:val="0"/>
          <w:numId w:val="23"/>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Moracin N</w:t>
      </w:r>
      <w:r w:rsidRPr="00A50139">
        <w:rPr>
          <w:rFonts w:ascii="Times New Roman" w:eastAsia="Times New Roman" w:hAnsi="Times New Roman" w:cs="Times New Roman"/>
          <w:sz w:val="24"/>
          <w:szCs w:val="24"/>
          <w:lang w:eastAsia="en-IN"/>
        </w:rPr>
        <w:t xml:space="preserve"> reduces ROS and Fe²⁺ in HT22 cells and restores antioxidant </w:t>
      </w:r>
      <w:proofErr w:type="spellStart"/>
      <w:r w:rsidRPr="00A50139">
        <w:rPr>
          <w:rFonts w:ascii="Times New Roman" w:eastAsia="Times New Roman" w:hAnsi="Times New Roman" w:cs="Times New Roman"/>
          <w:sz w:val="24"/>
          <w:szCs w:val="24"/>
          <w:lang w:eastAsia="en-IN"/>
        </w:rPr>
        <w:t>defense</w:t>
      </w:r>
      <w:proofErr w:type="spellEnd"/>
      <w:r w:rsidRPr="00A50139">
        <w:rPr>
          <w:rFonts w:ascii="Times New Roman" w:eastAsia="Times New Roman" w:hAnsi="Times New Roman" w:cs="Times New Roman"/>
          <w:sz w:val="24"/>
          <w:szCs w:val="24"/>
          <w:lang w:eastAsia="en-IN"/>
        </w:rPr>
        <w:t xml:space="preserve"> (EC₅₀ = 0.4 µmol/L) [51].</w:t>
      </w:r>
    </w:p>
    <w:p w14:paraId="3DE78443"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.4. Quinones</w:t>
      </w:r>
    </w:p>
    <w:p w14:paraId="75C9CB4A" w14:textId="77777777" w:rsidR="000E712D" w:rsidRPr="00A50139" w:rsidRDefault="000E712D" w:rsidP="00D259D6">
      <w:pPr>
        <w:numPr>
          <w:ilvl w:val="0"/>
          <w:numId w:val="24"/>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Evariquinone</w:t>
      </w:r>
      <w:proofErr w:type="spellEnd"/>
      <w:r w:rsidRPr="00A50139">
        <w:rPr>
          <w:rFonts w:ascii="Times New Roman" w:eastAsia="Times New Roman" w:hAnsi="Times New Roman" w:cs="Times New Roman"/>
          <w:sz w:val="24"/>
          <w:szCs w:val="24"/>
          <w:lang w:eastAsia="en-IN"/>
        </w:rPr>
        <w:t xml:space="preserve">, from </w:t>
      </w:r>
      <w:r w:rsidRPr="00A50139">
        <w:rPr>
          <w:rFonts w:ascii="Times New Roman" w:eastAsia="Times New Roman" w:hAnsi="Times New Roman" w:cs="Times New Roman"/>
          <w:i/>
          <w:iCs/>
          <w:sz w:val="24"/>
          <w:szCs w:val="24"/>
          <w:lang w:eastAsia="en-IN"/>
        </w:rPr>
        <w:t>Colletotrichum</w:t>
      </w:r>
      <w:r w:rsidRPr="00A50139">
        <w:rPr>
          <w:rFonts w:ascii="Times New Roman" w:eastAsia="Times New Roman" w:hAnsi="Times New Roman" w:cs="Times New Roman"/>
          <w:sz w:val="24"/>
          <w:szCs w:val="24"/>
          <w:lang w:eastAsia="en-IN"/>
        </w:rPr>
        <w:t xml:space="preserve"> sp., inhibits ROS and Ca²⁺ overload in HT22 cells, downregulating MAPK pathways and preventing apoptosis [52].</w:t>
      </w:r>
    </w:p>
    <w:p w14:paraId="5988C4A0"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.5. Stilbenes</w:t>
      </w:r>
    </w:p>
    <w:p w14:paraId="6EEC19F2" w14:textId="77777777"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Mulberroside</w:t>
      </w:r>
      <w:proofErr w:type="spellEnd"/>
      <w:r w:rsidRPr="00A50139">
        <w:rPr>
          <w:rFonts w:ascii="Times New Roman" w:eastAsia="Times New Roman" w:hAnsi="Times New Roman" w:cs="Times New Roman"/>
          <w:i/>
          <w:iCs/>
          <w:sz w:val="24"/>
          <w:szCs w:val="24"/>
          <w:lang w:eastAsia="en-IN"/>
        </w:rPr>
        <w:t xml:space="preserve"> A</w:t>
      </w:r>
      <w:r w:rsidRPr="00A50139">
        <w:rPr>
          <w:rFonts w:ascii="Times New Roman" w:eastAsia="Times New Roman" w:hAnsi="Times New Roman" w:cs="Times New Roman"/>
          <w:sz w:val="24"/>
          <w:szCs w:val="24"/>
          <w:lang w:eastAsia="en-IN"/>
        </w:rPr>
        <w:t xml:space="preserve"> protects neurons from OGD/R-induced damage by suppressing ERK/JNK/p38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[53] and improves gut-brain integrity in </w:t>
      </w:r>
      <w:proofErr w:type="spellStart"/>
      <w:r w:rsidRPr="00A50139">
        <w:rPr>
          <w:rFonts w:ascii="Times New Roman" w:eastAsia="Times New Roman" w:hAnsi="Times New Roman" w:cs="Times New Roman"/>
          <w:sz w:val="24"/>
          <w:szCs w:val="24"/>
          <w:lang w:eastAsia="en-IN"/>
        </w:rPr>
        <w:t>HFrD</w:t>
      </w:r>
      <w:proofErr w:type="spellEnd"/>
      <w:r w:rsidRPr="00A50139">
        <w:rPr>
          <w:rFonts w:ascii="Times New Roman" w:eastAsia="Times New Roman" w:hAnsi="Times New Roman" w:cs="Times New Roman"/>
          <w:sz w:val="24"/>
          <w:szCs w:val="24"/>
          <w:lang w:eastAsia="en-IN"/>
        </w:rPr>
        <w:t xml:space="preserve"> models [54].</w:t>
      </w:r>
    </w:p>
    <w:p w14:paraId="72AC415D" w14:textId="77777777"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Resveratrol</w:t>
      </w:r>
      <w:r w:rsidRPr="00A50139">
        <w:rPr>
          <w:rFonts w:ascii="Times New Roman" w:eastAsia="Times New Roman" w:hAnsi="Times New Roman" w:cs="Times New Roman"/>
          <w:sz w:val="24"/>
          <w:szCs w:val="24"/>
          <w:lang w:eastAsia="en-IN"/>
        </w:rPr>
        <w:t xml:space="preserve"> enhances mitochondrial biogenesis and reduces apoptosis in epilepsy models via PGC-1α, NRF1, and COX1 [55].</w:t>
      </w:r>
    </w:p>
    <w:p w14:paraId="55546EB7" w14:textId="77777777"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Oxyresveratrol</w:t>
      </w:r>
      <w:proofErr w:type="spellEnd"/>
      <w:r w:rsidRPr="00A50139">
        <w:rPr>
          <w:rFonts w:ascii="Times New Roman" w:eastAsia="Times New Roman" w:hAnsi="Times New Roman" w:cs="Times New Roman"/>
          <w:sz w:val="24"/>
          <w:szCs w:val="24"/>
          <w:lang w:eastAsia="en-IN"/>
        </w:rPr>
        <w:t xml:space="preserve"> protects SH-SY5Y cells from 6-OHDA neurotoxicity but shows condition-specific effects [56, 57].</w:t>
      </w:r>
    </w:p>
    <w:p w14:paraId="23284BE8" w14:textId="77777777"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.6. Alkaloids</w:t>
      </w:r>
    </w:p>
    <w:p w14:paraId="5BF4CC8F" w14:textId="77777777" w:rsidR="000E712D" w:rsidRPr="00A50139" w:rsidRDefault="000E712D" w:rsidP="00D259D6">
      <w:pPr>
        <w:numPr>
          <w:ilvl w:val="0"/>
          <w:numId w:val="26"/>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1-Deoxynojirimycin (DNJ)</w:t>
      </w:r>
      <w:r w:rsidRPr="00A50139">
        <w:rPr>
          <w:rFonts w:ascii="Times New Roman" w:eastAsia="Times New Roman" w:hAnsi="Times New Roman" w:cs="Times New Roman"/>
          <w:sz w:val="24"/>
          <w:szCs w:val="24"/>
          <w:lang w:eastAsia="en-IN"/>
        </w:rPr>
        <w:t xml:space="preserve">, abundant in branches, improves learning, reduces Aβ and inflammation, and downregulates BACE-1 in SAMP8 mice [58]. In insulin-resistant cells, DNJ (5 µmol/L) restores PI3K/AKT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lowers tau phosphorylation, and boosts IDE expression [59, 60].</w:t>
      </w:r>
    </w:p>
    <w:p w14:paraId="59587C83" w14:textId="77777777" w:rsidR="000E712D" w:rsidRPr="00A50139" w:rsidRDefault="000B4C6A" w:rsidP="00D259D6">
      <w:pPr>
        <w:pStyle w:val="NormalWeb"/>
        <w:jc w:val="both"/>
      </w:pPr>
      <w:r>
        <w:rPr>
          <w:b/>
          <w:color w:val="000000" w:themeColor="text1"/>
        </w:rPr>
        <w:t>5</w:t>
      </w:r>
      <w:r w:rsidR="00EB1A78" w:rsidRPr="00A50139">
        <w:rPr>
          <w:b/>
          <w:color w:val="000000" w:themeColor="text1"/>
        </w:rPr>
        <w:t xml:space="preserve">. </w:t>
      </w:r>
      <w:r w:rsidR="000E712D" w:rsidRPr="00A50139">
        <w:rPr>
          <w:rStyle w:val="Strong"/>
        </w:rPr>
        <w:t>Extraction and Separation Methods</w:t>
      </w:r>
      <w:r w:rsidR="00614D79" w:rsidRPr="00A50139">
        <w:rPr>
          <w:rStyle w:val="Strong"/>
        </w:rPr>
        <w:t>:</w:t>
      </w:r>
    </w:p>
    <w:p w14:paraId="32ADA361" w14:textId="77777777" w:rsidR="000E712D" w:rsidRPr="00A50139" w:rsidRDefault="000E712D" w:rsidP="00D259D6">
      <w:pPr>
        <w:pStyle w:val="NormalWeb"/>
        <w:jc w:val="both"/>
      </w:pPr>
      <w:r w:rsidRPr="00A50139">
        <w:t>Modern techniques have significantly advanced the extraction and analysis of bioactive compounds from mulberry (Morus spp.), offering improved efficiency and precision. While traditional methods like solid-liquid extraction (SLE) remain common, innovative approaches such as microwave-assisted extraction (MAE), ultrasonic-assisted extraction (UAE), supercritical fluid extraction (SFE), pressurized liquid extraction (PLE), enzymatic-assisted extraction (EAE), and solid-phase extraction (SPE) have enhanced yields and preserved compound stability. For example, MAE uses electromagnetic waves to rapidly heat solvents and tissues, while UAE relies on cavitation to disrupt plant cells and release phenolics and flavonoids.</w:t>
      </w:r>
    </w:p>
    <w:p w14:paraId="4A618865" w14:textId="77777777" w:rsidR="000E712D" w:rsidRPr="00A50139" w:rsidRDefault="00614D79" w:rsidP="00D259D6">
      <w:pPr>
        <w:pStyle w:val="NormalWeb"/>
        <w:jc w:val="both"/>
      </w:pPr>
      <w:r w:rsidRPr="00A50139">
        <w:tab/>
      </w:r>
      <w:r w:rsidR="000E712D" w:rsidRPr="00A50139">
        <w:t xml:space="preserve">SFE, particularly with supercritical CO₂, is </w:t>
      </w:r>
      <w:proofErr w:type="spellStart"/>
      <w:r w:rsidR="000E712D" w:rsidRPr="00A50139">
        <w:t>favored</w:t>
      </w:r>
      <w:proofErr w:type="spellEnd"/>
      <w:r w:rsidR="000E712D" w:rsidRPr="00A50139">
        <w:t xml:space="preserve"> for its environmental benefits and effectiveness, outperforming Soxhlet extraction by 1.15 times for non-polar compounds in </w:t>
      </w:r>
      <w:r w:rsidR="000E712D" w:rsidRPr="00A50139">
        <w:rPr>
          <w:rStyle w:val="Emphasis"/>
        </w:rPr>
        <w:t>M. alba</w:t>
      </w:r>
      <w:r w:rsidR="000E712D" w:rsidRPr="00A50139">
        <w:t xml:space="preserve"> and </w:t>
      </w:r>
      <w:r w:rsidR="000E712D" w:rsidRPr="00A50139">
        <w:rPr>
          <w:rStyle w:val="Emphasis"/>
        </w:rPr>
        <w:t>M. nigra</w:t>
      </w:r>
      <w:r w:rsidR="000E712D" w:rsidRPr="00A50139">
        <w:t xml:space="preserve"> leaves [61]. Successful extractions include α-amyrin acetate from </w:t>
      </w:r>
      <w:r w:rsidR="000E712D" w:rsidRPr="00A50139">
        <w:rPr>
          <w:rStyle w:val="Emphasis"/>
        </w:rPr>
        <w:t>M. alba</w:t>
      </w:r>
      <w:r w:rsidR="000E712D" w:rsidRPr="00A50139">
        <w:t xml:space="preserve"> root bark (3.68 ± 0.32 mg/g at 60°C, 20 MPa) [62] and β-sitosterol from leaves (30 MPa) and stem bark (40 MPa) [63]. However, high equipment costs limit SFE's wider use.</w:t>
      </w:r>
    </w:p>
    <w:p w14:paraId="1ABA6176" w14:textId="77777777" w:rsidR="000E712D" w:rsidRPr="00A50139" w:rsidRDefault="00614D79" w:rsidP="00D259D6">
      <w:pPr>
        <w:pStyle w:val="NormalWeb"/>
        <w:jc w:val="both"/>
      </w:pPr>
      <w:r w:rsidRPr="00A50139">
        <w:tab/>
      </w:r>
      <w:r w:rsidR="000E712D" w:rsidRPr="00A50139">
        <w:t xml:space="preserve">SPE is widely used for both extraction and purification. It enhanced anthocyanin analysis from </w:t>
      </w:r>
      <w:r w:rsidR="000E712D" w:rsidRPr="00A50139">
        <w:rPr>
          <w:rStyle w:val="Emphasis"/>
        </w:rPr>
        <w:t>M. nigra</w:t>
      </w:r>
      <w:r w:rsidR="000E712D" w:rsidRPr="00A50139">
        <w:t xml:space="preserve"> using HPLC [64] and helped identify aroma-active compounds such as benzaldehyde and (E)-2-nonenal in various mulberry species [65]. To overcome co-extraction of unwanted substances, combined techniques like SLE with enzymatic treatment or MAE with SPE are often employed. Ultrasound-assisted enzymatic extraction of </w:t>
      </w:r>
      <w:r w:rsidR="000E712D" w:rsidRPr="00A50139">
        <w:rPr>
          <w:rStyle w:val="Emphasis"/>
        </w:rPr>
        <w:t>M. nigra</w:t>
      </w:r>
      <w:r w:rsidR="000E712D" w:rsidRPr="00A50139">
        <w:t xml:space="preserve"> </w:t>
      </w:r>
      <w:r w:rsidR="000E712D" w:rsidRPr="00A50139">
        <w:lastRenderedPageBreak/>
        <w:t>resulted in higher yields of phenolics, flavonoids, and anthocyanins than individual methods [66].</w:t>
      </w:r>
    </w:p>
    <w:p w14:paraId="7B39AC61" w14:textId="77777777" w:rsidR="000E712D" w:rsidRPr="00A50139" w:rsidRDefault="00614D79" w:rsidP="00D259D6">
      <w:pPr>
        <w:pStyle w:val="NormalWeb"/>
        <w:jc w:val="both"/>
      </w:pPr>
      <w:r w:rsidRPr="00A50139">
        <w:tab/>
      </w:r>
      <w:r w:rsidR="000E712D" w:rsidRPr="00A50139">
        <w:t xml:space="preserve">For compound separation and identification, chromatography methods such as </w:t>
      </w:r>
      <w:proofErr w:type="spellStart"/>
      <w:r w:rsidR="000E712D" w:rsidRPr="00A50139">
        <w:t>macroporous</w:t>
      </w:r>
      <w:proofErr w:type="spellEnd"/>
      <w:r w:rsidR="000E712D" w:rsidRPr="00A50139">
        <w:t xml:space="preserve"> resin adsorption (MAR), silica gel chromatography (SGC), ion exchange chromatography (IEC), gel filtration chromatography (GFC), preparative liquid chromatography (PLC), and </w:t>
      </w:r>
      <w:proofErr w:type="spellStart"/>
      <w:r w:rsidR="000E712D" w:rsidRPr="00A50139">
        <w:t>countercurrent</w:t>
      </w:r>
      <w:proofErr w:type="spellEnd"/>
      <w:r w:rsidR="000E712D" w:rsidRPr="00A50139">
        <w:t xml:space="preserve"> chromatography (CCC) are utilized. MAR relies on non-covalent interactions, while IEC effectively isolates charged compounds like DNJ and polysaccharides using DEAE-cellulose. These are often paired with analytical tools like GC, HPLC, and MS for accurate characterization [19].</w:t>
      </w:r>
    </w:p>
    <w:p w14:paraId="6E96EE23" w14:textId="77777777" w:rsidR="000E712D" w:rsidRPr="00A50139" w:rsidRDefault="00614D79" w:rsidP="00D259D6">
      <w:pPr>
        <w:pStyle w:val="NormalWeb"/>
        <w:jc w:val="both"/>
      </w:pPr>
      <w:r w:rsidRPr="00A50139">
        <w:tab/>
      </w:r>
      <w:r w:rsidR="000E712D" w:rsidRPr="00A50139">
        <w:t>Despite their advantages, limitations persist. SFE struggles with polar compounds; PLE and MAE may cause thermal degradation; EAE is hindered by enzyme specificity; and SPE remains largely lab-scale. While MAR, SGC, IEC, and GFC are more suited to preliminary screening, PLC and CCC, though effective, are costly and less scalable [67].</w:t>
      </w:r>
      <w:r w:rsidRPr="00A50139">
        <w:t xml:space="preserve"> </w:t>
      </w:r>
      <w:r w:rsidR="000E712D" w:rsidRPr="00A50139">
        <w:t>combining advanced extraction with chromatographic separation has greatly improved mulberry phytochemical profiling. Yet, challenges in scalability, cost, and method-specific constraints must be addressed for industrial application and commercialization.</w:t>
      </w:r>
    </w:p>
    <w:p w14:paraId="2F3A99F2" w14:textId="77777777" w:rsidR="00F55B0A" w:rsidRPr="00A50139" w:rsidRDefault="000B4C6A" w:rsidP="00D259D6">
      <w:pPr>
        <w:spacing w:line="240" w:lineRule="auto"/>
        <w:ind w:firstLine="0"/>
        <w:rPr>
          <w:rStyle w:val="Strong"/>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rPr>
        <w:t>6</w:t>
      </w:r>
      <w:r w:rsidR="00EB1A78" w:rsidRPr="00A50139">
        <w:rPr>
          <w:rStyle w:val="Strong"/>
          <w:rFonts w:ascii="Times New Roman" w:hAnsi="Times New Roman" w:cs="Times New Roman"/>
          <w:color w:val="000000" w:themeColor="text1"/>
          <w:sz w:val="24"/>
          <w:szCs w:val="24"/>
        </w:rPr>
        <w:t xml:space="preserve">. Pharmacological activities and mechanisms of mulberry </w:t>
      </w:r>
    </w:p>
    <w:p w14:paraId="76309BAC" w14:textId="77777777" w:rsidR="00B907DA" w:rsidRPr="00A50139" w:rsidRDefault="004E632B" w:rsidP="00D259D6">
      <w:pPr>
        <w:pStyle w:val="NormalWeb"/>
        <w:jc w:val="both"/>
      </w:pPr>
      <w:r w:rsidRPr="00A50139">
        <w:tab/>
        <w:t>The following table</w:t>
      </w:r>
      <w:r w:rsidR="006F629E" w:rsidRPr="00A50139">
        <w:t xml:space="preserve"> 1</w:t>
      </w:r>
      <w:r w:rsidRPr="00A50139">
        <w:t xml:space="preserve"> summarizes the key pharmacological activities of mulberry (Morus spp.) along with their associated bioactive compounds, underlying molecular mechanisms, and corresponding therapeutic effects. This comprehensive overview highlights how mulberry's diverse phytochemicals contribute to its wide-ranging health benefits, supporting its potential as a functional food and therapeutic agent.</w:t>
      </w:r>
    </w:p>
    <w:p w14:paraId="41D10F9E"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7</w:t>
      </w:r>
      <w:r w:rsidR="00614D79" w:rsidRPr="00A50139">
        <w:rPr>
          <w:rFonts w:ascii="Times New Roman" w:eastAsia="Times New Roman" w:hAnsi="Times New Roman" w:cs="Times New Roman"/>
          <w:b/>
          <w:bCs/>
          <w:sz w:val="24"/>
          <w:szCs w:val="24"/>
          <w:lang w:eastAsia="en-IN"/>
        </w:rPr>
        <w:t>. Applications in Traditional and Modern Medicine</w:t>
      </w:r>
    </w:p>
    <w:p w14:paraId="0C50FD3D"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Mulberry (Morus spp.) has a rich history in traditional medicinal systems like Traditional Chinese Medicine (TCM) and Ayurveda, used to treat ailments such as fever, hypertension, liver disorders, and diabetes. In TCM, Morus alba (white mulberry) has been used since A.D. 659, with the Chinese Pharmacopoeia (1985) documenting the use of its leaves, root bark, branches, fruits, sap, and wood ash. The leaves possess diaphoretic and emollient properties, soothing throat irritation and supporting skin health. The root bark ("Sang bai pi") is notable for treating cough, asthma, high blood pressure, and shows anti-HIV activity. In Ayurveda and Unani, mulberry serves as a purgative, vermifuge, and anti-inflammatory agent. Its fruit juice is traditionally used for </w:t>
      </w:r>
      <w:proofErr w:type="spellStart"/>
      <w:r w:rsidRPr="00A50139">
        <w:rPr>
          <w:rFonts w:ascii="Times New Roman" w:eastAsia="Times New Roman" w:hAnsi="Times New Roman" w:cs="Times New Roman"/>
          <w:sz w:val="24"/>
          <w:szCs w:val="24"/>
          <w:lang w:eastAsia="en-IN"/>
        </w:rPr>
        <w:t>diarrhea</w:t>
      </w:r>
      <w:proofErr w:type="spellEnd"/>
      <w:r w:rsidRPr="00A50139">
        <w:rPr>
          <w:rFonts w:ascii="Times New Roman" w:eastAsia="Times New Roman" w:hAnsi="Times New Roman" w:cs="Times New Roman"/>
          <w:sz w:val="24"/>
          <w:szCs w:val="24"/>
          <w:lang w:eastAsia="en-IN"/>
        </w:rPr>
        <w:t>, malaria, and throat infections due to its refrigerant and laxative effects [82].</w:t>
      </w:r>
    </w:p>
    <w:p w14:paraId="1A0FC2A9"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In modern medicine, mulberry is commonly found as </w:t>
      </w:r>
      <w:proofErr w:type="spellStart"/>
      <w:r w:rsidRPr="00A50139">
        <w:rPr>
          <w:rFonts w:ascii="Times New Roman" w:eastAsia="Times New Roman" w:hAnsi="Times New Roman" w:cs="Times New Roman"/>
          <w:sz w:val="24"/>
          <w:szCs w:val="24"/>
          <w:lang w:eastAsia="en-IN"/>
        </w:rPr>
        <w:t>Syrupus</w:t>
      </w:r>
      <w:proofErr w:type="spellEnd"/>
      <w:r w:rsidRPr="00A50139">
        <w:rPr>
          <w:rFonts w:ascii="Times New Roman" w:eastAsia="Times New Roman" w:hAnsi="Times New Roman" w:cs="Times New Roman"/>
          <w:sz w:val="24"/>
          <w:szCs w:val="24"/>
          <w:lang w:eastAsia="en-IN"/>
        </w:rPr>
        <w:t xml:space="preserve"> Mori in the British Pharmacopoeia, used as a </w:t>
      </w:r>
      <w:proofErr w:type="spellStart"/>
      <w:r w:rsidRPr="00A50139">
        <w:rPr>
          <w:rFonts w:ascii="Times New Roman" w:eastAsia="Times New Roman" w:hAnsi="Times New Roman" w:cs="Times New Roman"/>
          <w:sz w:val="24"/>
          <w:szCs w:val="24"/>
          <w:lang w:eastAsia="en-IN"/>
        </w:rPr>
        <w:t>flavoring</w:t>
      </w:r>
      <w:proofErr w:type="spellEnd"/>
      <w:r w:rsidRPr="00A50139">
        <w:rPr>
          <w:rFonts w:ascii="Times New Roman" w:eastAsia="Times New Roman" w:hAnsi="Times New Roman" w:cs="Times New Roman"/>
          <w:sz w:val="24"/>
          <w:szCs w:val="24"/>
          <w:lang w:eastAsia="en-IN"/>
        </w:rPr>
        <w:t xml:space="preserve"> agent and sore throat gargle [83]. Ethnobotanical studies also report its use for urinary incontinence, tinnitus, constipation, depression, and menopausal symptoms. Mulberry fruit wine is consumed for detoxification and blood purification. Ayurvedic decoctions from mulberry fruits are used against chronic nephritis, nasopharyngeal cancer, and arteriosclerosis. In Unani medicine, Morus nigra (black mulberry), known as “Tut-</w:t>
      </w:r>
      <w:proofErr w:type="spellStart"/>
      <w:r w:rsidRPr="00A50139">
        <w:rPr>
          <w:rFonts w:ascii="Times New Roman" w:eastAsia="Times New Roman" w:hAnsi="Times New Roman" w:cs="Times New Roman"/>
          <w:sz w:val="24"/>
          <w:szCs w:val="24"/>
          <w:lang w:eastAsia="en-IN"/>
        </w:rPr>
        <w:t>i</w:t>
      </w:r>
      <w:proofErr w:type="spellEnd"/>
      <w:r w:rsidRPr="00A50139">
        <w:rPr>
          <w:rFonts w:ascii="Times New Roman" w:eastAsia="Times New Roman" w:hAnsi="Times New Roman" w:cs="Times New Roman"/>
          <w:sz w:val="24"/>
          <w:szCs w:val="24"/>
          <w:lang w:eastAsia="en-IN"/>
        </w:rPr>
        <w:t>-</w:t>
      </w:r>
      <w:proofErr w:type="spellStart"/>
      <w:r w:rsidRPr="00A50139">
        <w:rPr>
          <w:rFonts w:ascii="Times New Roman" w:eastAsia="Times New Roman" w:hAnsi="Times New Roman" w:cs="Times New Roman"/>
          <w:sz w:val="24"/>
          <w:szCs w:val="24"/>
          <w:lang w:eastAsia="en-IN"/>
        </w:rPr>
        <w:t>aswad</w:t>
      </w:r>
      <w:proofErr w:type="spellEnd"/>
      <w:r w:rsidRPr="00A50139">
        <w:rPr>
          <w:rFonts w:ascii="Times New Roman" w:eastAsia="Times New Roman" w:hAnsi="Times New Roman" w:cs="Times New Roman"/>
          <w:sz w:val="24"/>
          <w:szCs w:val="24"/>
          <w:lang w:eastAsia="en-IN"/>
        </w:rPr>
        <w:t xml:space="preserve">,” is valued for anti-cancer properties [84]. Herbal combinations with Radix </w:t>
      </w:r>
      <w:proofErr w:type="spellStart"/>
      <w:r w:rsidRPr="00A50139">
        <w:rPr>
          <w:rFonts w:ascii="Times New Roman" w:eastAsia="Times New Roman" w:hAnsi="Times New Roman" w:cs="Times New Roman"/>
          <w:sz w:val="24"/>
          <w:szCs w:val="24"/>
          <w:lang w:eastAsia="en-IN"/>
        </w:rPr>
        <w:t>Glycyrrhizae</w:t>
      </w:r>
      <w:proofErr w:type="spellEnd"/>
      <w:r w:rsidRPr="00A50139">
        <w:rPr>
          <w:rFonts w:ascii="Times New Roman" w:eastAsia="Times New Roman" w:hAnsi="Times New Roman" w:cs="Times New Roman"/>
          <w:sz w:val="24"/>
          <w:szCs w:val="24"/>
          <w:lang w:eastAsia="en-IN"/>
        </w:rPr>
        <w:t xml:space="preserve"> and Cortex </w:t>
      </w:r>
      <w:proofErr w:type="spellStart"/>
      <w:r w:rsidRPr="00A50139">
        <w:rPr>
          <w:rFonts w:ascii="Times New Roman" w:eastAsia="Times New Roman" w:hAnsi="Times New Roman" w:cs="Times New Roman"/>
          <w:sz w:val="24"/>
          <w:szCs w:val="24"/>
          <w:lang w:eastAsia="en-IN"/>
        </w:rPr>
        <w:t>Poriae</w:t>
      </w:r>
      <w:proofErr w:type="spellEnd"/>
      <w:r w:rsidRPr="00A50139">
        <w:rPr>
          <w:rFonts w:ascii="Times New Roman" w:eastAsia="Times New Roman" w:hAnsi="Times New Roman" w:cs="Times New Roman"/>
          <w:sz w:val="24"/>
          <w:szCs w:val="24"/>
          <w:lang w:eastAsia="en-IN"/>
        </w:rPr>
        <w:t xml:space="preserve"> are prescribed for </w:t>
      </w:r>
      <w:proofErr w:type="spellStart"/>
      <w:r w:rsidRPr="00A50139">
        <w:rPr>
          <w:rFonts w:ascii="Times New Roman" w:eastAsia="Times New Roman" w:hAnsi="Times New Roman" w:cs="Times New Roman"/>
          <w:sz w:val="24"/>
          <w:szCs w:val="24"/>
          <w:lang w:eastAsia="en-IN"/>
        </w:rPr>
        <w:t>edema</w:t>
      </w:r>
      <w:proofErr w:type="spellEnd"/>
      <w:r w:rsidRPr="00A50139">
        <w:rPr>
          <w:rFonts w:ascii="Times New Roman" w:eastAsia="Times New Roman" w:hAnsi="Times New Roman" w:cs="Times New Roman"/>
          <w:sz w:val="24"/>
          <w:szCs w:val="24"/>
          <w:lang w:eastAsia="en-IN"/>
        </w:rPr>
        <w:t>, thick sputum cough, and fever [85].</w:t>
      </w:r>
    </w:p>
    <w:p w14:paraId="69AB9B65"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ab/>
        <w:t>Scientific research increasingly supports these uses by identifying active compounds like flavonoids (</w:t>
      </w:r>
      <w:proofErr w:type="spellStart"/>
      <w:r w:rsidRPr="00A50139">
        <w:rPr>
          <w:rFonts w:ascii="Times New Roman" w:eastAsia="Times New Roman" w:hAnsi="Times New Roman" w:cs="Times New Roman"/>
          <w:sz w:val="24"/>
          <w:szCs w:val="24"/>
          <w:lang w:eastAsia="en-IN"/>
        </w:rPr>
        <w:t>morusin</w:t>
      </w:r>
      <w:proofErr w:type="spellEnd"/>
      <w:r w:rsidRPr="00A50139">
        <w:rPr>
          <w:rFonts w:ascii="Times New Roman" w:eastAsia="Times New Roman" w:hAnsi="Times New Roman" w:cs="Times New Roman"/>
          <w:sz w:val="24"/>
          <w:szCs w:val="24"/>
          <w:lang w:eastAsia="en-IN"/>
        </w:rPr>
        <w:t>, quercetin), anthocyanins, and alkaloids (</w:t>
      </w:r>
      <w:proofErr w:type="spellStart"/>
      <w:r w:rsidRPr="00A50139">
        <w:rPr>
          <w:rFonts w:ascii="Times New Roman" w:eastAsia="Times New Roman" w:hAnsi="Times New Roman" w:cs="Times New Roman"/>
          <w:sz w:val="24"/>
          <w:szCs w:val="24"/>
          <w:lang w:eastAsia="en-IN"/>
        </w:rPr>
        <w:t>deoxynojirimycin</w:t>
      </w:r>
      <w:proofErr w:type="spellEnd"/>
      <w:r w:rsidRPr="00A50139">
        <w:rPr>
          <w:rFonts w:ascii="Times New Roman" w:eastAsia="Times New Roman" w:hAnsi="Times New Roman" w:cs="Times New Roman"/>
          <w:sz w:val="24"/>
          <w:szCs w:val="24"/>
          <w:lang w:eastAsia="en-IN"/>
        </w:rPr>
        <w:t>), reinforcing mulberry’s role in integrated medicine and phytopharmaceuticals [83].</w:t>
      </w:r>
    </w:p>
    <w:p w14:paraId="77754EE6"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8</w:t>
      </w:r>
      <w:r w:rsidR="00614D79" w:rsidRPr="00A50139">
        <w:rPr>
          <w:rFonts w:ascii="Times New Roman" w:eastAsia="Times New Roman" w:hAnsi="Times New Roman" w:cs="Times New Roman"/>
          <w:b/>
          <w:bCs/>
          <w:sz w:val="24"/>
          <w:szCs w:val="24"/>
          <w:lang w:eastAsia="en-IN"/>
        </w:rPr>
        <w:t>. Neuroprotective Effects of Mulberry Compounds</w:t>
      </w:r>
    </w:p>
    <w:p w14:paraId="6A60CC42"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Mulberry exhibits strong neuroprotective properties due to bioactive phytochemicals such as flavonoids, anthocyanins, Diels–Alder adducts, benzofurans, quinones, and stilbenes. These target key mechanisms in neurodegenerative diseases like Alzheimer’s (AD) and Parkinson’s (PD), including oxidative stress, protein aggregation (Aβ and tau), mitochondrial dysfunction, and neuroinflammation.</w:t>
      </w:r>
    </w:p>
    <w:p w14:paraId="1E88DFD0"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Fonts w:ascii="Times New Roman" w:eastAsia="Times New Roman" w:hAnsi="Times New Roman" w:cs="Times New Roman"/>
          <w:b/>
          <w:sz w:val="24"/>
          <w:szCs w:val="24"/>
          <w:lang w:eastAsia="en-IN"/>
        </w:rPr>
        <w:t>8.1</w:t>
      </w:r>
      <w:r>
        <w:rPr>
          <w:rFonts w:ascii="Times New Roman" w:eastAsia="Times New Roman" w:hAnsi="Times New Roman" w:cs="Times New Roman"/>
          <w:b/>
          <w:sz w:val="24"/>
          <w:szCs w:val="24"/>
          <w:lang w:eastAsia="en-IN"/>
        </w:rPr>
        <w:t>.</w:t>
      </w:r>
      <w:r w:rsidR="00614D79" w:rsidRPr="00A50139">
        <w:rPr>
          <w:rFonts w:ascii="Times New Roman" w:eastAsia="Times New Roman" w:hAnsi="Times New Roman" w:cs="Times New Roman"/>
          <w:sz w:val="24"/>
          <w:szCs w:val="24"/>
          <w:lang w:eastAsia="en-IN"/>
        </w:rPr>
        <w:t xml:space="preserve"> </w:t>
      </w:r>
      <w:r w:rsidR="00614D79" w:rsidRPr="00A50139">
        <w:rPr>
          <w:rFonts w:ascii="Times New Roman" w:eastAsia="Times New Roman" w:hAnsi="Times New Roman" w:cs="Times New Roman"/>
          <w:b/>
          <w:bCs/>
          <w:sz w:val="24"/>
          <w:szCs w:val="24"/>
          <w:lang w:eastAsia="en-IN"/>
        </w:rPr>
        <w:t xml:space="preserve">Antioxidant </w:t>
      </w:r>
      <w:proofErr w:type="spellStart"/>
      <w:r w:rsidR="00614D79" w:rsidRPr="00A50139">
        <w:rPr>
          <w:rFonts w:ascii="Times New Roman" w:eastAsia="Times New Roman" w:hAnsi="Times New Roman" w:cs="Times New Roman"/>
          <w:b/>
          <w:bCs/>
          <w:sz w:val="24"/>
          <w:szCs w:val="24"/>
          <w:lang w:eastAsia="en-IN"/>
        </w:rPr>
        <w:t>Defense</w:t>
      </w:r>
      <w:proofErr w:type="spellEnd"/>
      <w:r w:rsidR="00614D79" w:rsidRPr="00A50139">
        <w:rPr>
          <w:rFonts w:ascii="Times New Roman" w:eastAsia="Times New Roman" w:hAnsi="Times New Roman" w:cs="Times New Roman"/>
          <w:b/>
          <w:bCs/>
          <w:sz w:val="24"/>
          <w:szCs w:val="24"/>
          <w:lang w:eastAsia="en-IN"/>
        </w:rPr>
        <w:t xml:space="preserve"> Mechanism</w:t>
      </w:r>
    </w:p>
    <w:p w14:paraId="03FEEE41"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Oxidative stress from excessive reactive oxygen species (ROS) is central in AD and PD pathology [86]. Mulberry extracts and compounds such as morin, cyanidin-3-glucoside (C3G), and </w:t>
      </w:r>
      <w:proofErr w:type="spellStart"/>
      <w:r w:rsidRPr="00A50139">
        <w:rPr>
          <w:rFonts w:ascii="Times New Roman" w:eastAsia="Times New Roman" w:hAnsi="Times New Roman" w:cs="Times New Roman"/>
          <w:sz w:val="24"/>
          <w:szCs w:val="24"/>
          <w:lang w:eastAsia="en-IN"/>
        </w:rPr>
        <w:t>mulberroside</w:t>
      </w:r>
      <w:proofErr w:type="spellEnd"/>
      <w:r w:rsidRPr="00A50139">
        <w:rPr>
          <w:rFonts w:ascii="Times New Roman" w:eastAsia="Times New Roman" w:hAnsi="Times New Roman" w:cs="Times New Roman"/>
          <w:sz w:val="24"/>
          <w:szCs w:val="24"/>
          <w:lang w:eastAsia="en-IN"/>
        </w:rPr>
        <w:t xml:space="preserve"> A boost antioxidant enzymes (SOD, </w:t>
      </w:r>
      <w:proofErr w:type="spellStart"/>
      <w:r w:rsidRPr="00A50139">
        <w:rPr>
          <w:rFonts w:ascii="Times New Roman" w:eastAsia="Times New Roman" w:hAnsi="Times New Roman" w:cs="Times New Roman"/>
          <w:sz w:val="24"/>
          <w:szCs w:val="24"/>
          <w:lang w:eastAsia="en-IN"/>
        </w:rPr>
        <w:t>GPx</w:t>
      </w:r>
      <w:proofErr w:type="spellEnd"/>
      <w:r w:rsidRPr="00A50139">
        <w:rPr>
          <w:rFonts w:ascii="Times New Roman" w:eastAsia="Times New Roman" w:hAnsi="Times New Roman" w:cs="Times New Roman"/>
          <w:sz w:val="24"/>
          <w:szCs w:val="24"/>
          <w:lang w:eastAsia="en-IN"/>
        </w:rPr>
        <w:t>, CAT), increase glutathione (GSH), and reduce oxidative markers like MDA [34, 41, 46, 53]. For example, morin protected mouse hippocampus by modulating antioxidants and enhancing mitophagy via the AMPK-ULK1-TFEB pathway [36]. C3G safeguarded rat cortical neurons from mitochondrial depolarization in oxygen-glucose deprivation models [42].</w:t>
      </w:r>
    </w:p>
    <w:p w14:paraId="6606F639"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Fonts w:ascii="Times New Roman" w:eastAsia="Times New Roman" w:hAnsi="Times New Roman" w:cs="Times New Roman"/>
          <w:b/>
          <w:sz w:val="24"/>
          <w:szCs w:val="24"/>
          <w:lang w:eastAsia="en-IN"/>
        </w:rPr>
        <w:t>8.2</w:t>
      </w:r>
      <w:r>
        <w:rPr>
          <w:rFonts w:ascii="Times New Roman" w:eastAsia="Times New Roman" w:hAnsi="Times New Roman" w:cs="Times New Roman"/>
          <w:b/>
          <w:sz w:val="24"/>
          <w:szCs w:val="24"/>
          <w:lang w:eastAsia="en-IN"/>
        </w:rPr>
        <w:t>.</w:t>
      </w:r>
      <w:r>
        <w:rPr>
          <w:rFonts w:ascii="Times New Roman" w:eastAsia="Times New Roman" w:hAnsi="Times New Roman" w:cs="Times New Roman"/>
          <w:sz w:val="24"/>
          <w:szCs w:val="24"/>
          <w:lang w:eastAsia="en-IN"/>
        </w:rPr>
        <w:t xml:space="preserve"> </w:t>
      </w:r>
      <w:r w:rsidR="00614D79" w:rsidRPr="00A50139">
        <w:rPr>
          <w:rFonts w:ascii="Times New Roman" w:eastAsia="Times New Roman" w:hAnsi="Times New Roman" w:cs="Times New Roman"/>
          <w:b/>
          <w:bCs/>
          <w:sz w:val="24"/>
          <w:szCs w:val="24"/>
          <w:lang w:eastAsia="en-IN"/>
        </w:rPr>
        <w:t>Inhibition of Aβ Aggregation</w:t>
      </w:r>
    </w:p>
    <w:p w14:paraId="3420D4E8"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Aβ aggregation is a hallmark of Alzheimer’s. Diels–Alder adducts such as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C, kuwanon G, and </w:t>
      </w:r>
      <w:proofErr w:type="spellStart"/>
      <w:r w:rsidRPr="00A50139">
        <w:rPr>
          <w:rFonts w:ascii="Times New Roman" w:eastAsia="Times New Roman" w:hAnsi="Times New Roman" w:cs="Times New Roman"/>
          <w:sz w:val="24"/>
          <w:szCs w:val="24"/>
          <w:lang w:eastAsia="en-IN"/>
        </w:rPr>
        <w:t>albafuran</w:t>
      </w:r>
      <w:proofErr w:type="spellEnd"/>
      <w:r w:rsidRPr="00A50139">
        <w:rPr>
          <w:rFonts w:ascii="Times New Roman" w:eastAsia="Times New Roman" w:hAnsi="Times New Roman" w:cs="Times New Roman"/>
          <w:sz w:val="24"/>
          <w:szCs w:val="24"/>
          <w:lang w:eastAsia="en-IN"/>
        </w:rPr>
        <w:t xml:space="preserve"> C inhibited Aβ42 fibril formation by 56–70%, comparable to resveratrol and methylene blue. These also blocked tau aggregation, with kuwanon G achieving 96% inhibition, surpassing methylene blue’s 80% [49]. Mulberry leaf methanol extract shortened Aβ fibrils and preserved hippocampal neurons in toxicity assays [87].</w:t>
      </w:r>
    </w:p>
    <w:p w14:paraId="6A9486D8" w14:textId="77777777" w:rsidR="00614D79" w:rsidRPr="000B4C6A" w:rsidRDefault="000B4C6A" w:rsidP="00D259D6">
      <w:pPr>
        <w:spacing w:line="240" w:lineRule="auto"/>
        <w:ind w:firstLine="0"/>
        <w:rPr>
          <w:rFonts w:ascii="Times New Roman" w:eastAsia="Times New Roman" w:hAnsi="Times New Roman" w:cs="Times New Roman"/>
          <w:b/>
          <w:sz w:val="24"/>
          <w:szCs w:val="24"/>
          <w:lang w:eastAsia="en-IN"/>
        </w:rPr>
      </w:pPr>
      <w:r w:rsidRPr="000B4C6A">
        <w:rPr>
          <w:rFonts w:ascii="Times New Roman" w:eastAsia="Times New Roman" w:hAnsi="Times New Roman" w:cs="Times New Roman"/>
          <w:b/>
          <w:sz w:val="24"/>
          <w:szCs w:val="24"/>
          <w:lang w:eastAsia="en-IN"/>
        </w:rPr>
        <w:t>8.3.</w:t>
      </w:r>
      <w:r w:rsidR="00614D79" w:rsidRPr="000B4C6A">
        <w:rPr>
          <w:rFonts w:ascii="Times New Roman" w:eastAsia="Times New Roman" w:hAnsi="Times New Roman" w:cs="Times New Roman"/>
          <w:b/>
          <w:sz w:val="24"/>
          <w:szCs w:val="24"/>
          <w:lang w:eastAsia="en-IN"/>
        </w:rPr>
        <w:t xml:space="preserve"> </w:t>
      </w:r>
      <w:r w:rsidR="00614D79" w:rsidRPr="000B4C6A">
        <w:rPr>
          <w:rFonts w:ascii="Times New Roman" w:eastAsia="Times New Roman" w:hAnsi="Times New Roman" w:cs="Times New Roman"/>
          <w:b/>
          <w:bCs/>
          <w:sz w:val="24"/>
          <w:szCs w:val="24"/>
          <w:lang w:eastAsia="en-IN"/>
        </w:rPr>
        <w:t>Anti-Inflammatory Pathways</w:t>
      </w:r>
    </w:p>
    <w:p w14:paraId="5F060002"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Mulberry phytochemicals reduce pro-inflammatory cytokines IL-1β, IL-6, and TNF-α [53]. </w:t>
      </w:r>
      <w:proofErr w:type="spellStart"/>
      <w:r w:rsidRPr="00A50139">
        <w:rPr>
          <w:rFonts w:ascii="Times New Roman" w:eastAsia="Times New Roman" w:hAnsi="Times New Roman" w:cs="Times New Roman"/>
          <w:sz w:val="24"/>
          <w:szCs w:val="24"/>
          <w:lang w:eastAsia="en-IN"/>
        </w:rPr>
        <w:t>Mulberroside</w:t>
      </w:r>
      <w:proofErr w:type="spellEnd"/>
      <w:r w:rsidRPr="00A50139">
        <w:rPr>
          <w:rFonts w:ascii="Times New Roman" w:eastAsia="Times New Roman" w:hAnsi="Times New Roman" w:cs="Times New Roman"/>
          <w:sz w:val="24"/>
          <w:szCs w:val="24"/>
          <w:lang w:eastAsia="en-IN"/>
        </w:rPr>
        <w:t xml:space="preserve"> A effectively modulated ERK1/2, JNK1/2, and p38 MAPK pathways, suppressing neuroinflammation in cortical neuron models [53]. In vivo, it restored blood-brain barrier integrity and reduced hippocampal inflammation from high-fructose diet neurotoxicity [54].</w:t>
      </w:r>
    </w:p>
    <w:p w14:paraId="043B2A04"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8.4</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Mitochondrial and Synaptic Protection</w:t>
      </w:r>
    </w:p>
    <w:p w14:paraId="6CC79465" w14:textId="77777777" w:rsidR="000B4C6A"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Compounds like resveratrol and </w:t>
      </w:r>
      <w:proofErr w:type="spellStart"/>
      <w:r w:rsidRPr="00A50139">
        <w:rPr>
          <w:rFonts w:ascii="Times New Roman" w:eastAsia="Times New Roman" w:hAnsi="Times New Roman" w:cs="Times New Roman"/>
          <w:sz w:val="24"/>
          <w:szCs w:val="24"/>
          <w:lang w:eastAsia="en-IN"/>
        </w:rPr>
        <w:t>oxyresveratrol</w:t>
      </w:r>
      <w:proofErr w:type="spellEnd"/>
      <w:r w:rsidRPr="00A50139">
        <w:rPr>
          <w:rFonts w:ascii="Times New Roman" w:eastAsia="Times New Roman" w:hAnsi="Times New Roman" w:cs="Times New Roman"/>
          <w:sz w:val="24"/>
          <w:szCs w:val="24"/>
          <w:lang w:eastAsia="en-IN"/>
        </w:rPr>
        <w:t xml:space="preserve"> improved mitochondrial function, DNA expression, and reduced apoptosis in neurodegeneration models [55, 56]. Artoindonesianin O (AIO), a benzofuran derivative, inhibited tau hyperphosphorylation, restored ATP production, and promoted dendritic spine regeneration and synaptic plasticity [50].</w:t>
      </w:r>
    </w:p>
    <w:p w14:paraId="3F94E8B1"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8.5</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Ferroptosis Inhibition</w:t>
      </w:r>
    </w:p>
    <w:p w14:paraId="4EAFADD5"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ab/>
        <w:t xml:space="preserve">Ferroptosis, an iron-dependent cell death, is a new neurodegeneration target. </w:t>
      </w:r>
      <w:proofErr w:type="spellStart"/>
      <w:r w:rsidRPr="00A50139">
        <w:rPr>
          <w:rFonts w:ascii="Times New Roman" w:eastAsia="Times New Roman" w:hAnsi="Times New Roman" w:cs="Times New Roman"/>
          <w:sz w:val="24"/>
          <w:szCs w:val="24"/>
          <w:lang w:eastAsia="en-IN"/>
        </w:rPr>
        <w:t>Morachalcone</w:t>
      </w:r>
      <w:proofErr w:type="spellEnd"/>
      <w:r w:rsidRPr="00A50139">
        <w:rPr>
          <w:rFonts w:ascii="Times New Roman" w:eastAsia="Times New Roman" w:hAnsi="Times New Roman" w:cs="Times New Roman"/>
          <w:sz w:val="24"/>
          <w:szCs w:val="24"/>
          <w:lang w:eastAsia="en-IN"/>
        </w:rPr>
        <w:t xml:space="preserve"> D and moracin N suppressed ferroptosis by maintaining GSH, inhibiting Fe²⁺ accumulation, and upregulating antioxidant genes like GPx4 and Nrf2 pathways [46, 51].</w:t>
      </w:r>
    </w:p>
    <w:p w14:paraId="44ACB4EC"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8.6</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Blood–Brain Barrier (BBB) Permeability</w:t>
      </w:r>
    </w:p>
    <w:p w14:paraId="30A594D5" w14:textId="77777777"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Some mulberry compounds, including kuwanon H and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K, showed promising BBB permeability in PAMPA assays, indicating CNS access for therapeutic action [49].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K also protected HT22 cells from glutamate toxicity by increasing GSH and reducing ROS.</w:t>
      </w:r>
    </w:p>
    <w:p w14:paraId="5B4B73B6" w14:textId="77777777" w:rsidR="00CE320A" w:rsidRPr="00A50139" w:rsidRDefault="000B4C6A" w:rsidP="00D259D6">
      <w:pPr>
        <w:pStyle w:val="Heading3"/>
        <w:rPr>
          <w:color w:val="000000" w:themeColor="text1"/>
          <w:sz w:val="24"/>
          <w:szCs w:val="24"/>
        </w:rPr>
      </w:pPr>
      <w:r>
        <w:rPr>
          <w:rStyle w:val="Strong"/>
          <w:b/>
          <w:bCs/>
          <w:color w:val="000000" w:themeColor="text1"/>
          <w:sz w:val="24"/>
          <w:szCs w:val="24"/>
        </w:rPr>
        <w:t>9</w:t>
      </w:r>
      <w:r w:rsidR="004E632B" w:rsidRPr="00A50139">
        <w:rPr>
          <w:rStyle w:val="Strong"/>
          <w:b/>
          <w:bCs/>
          <w:color w:val="000000" w:themeColor="text1"/>
          <w:sz w:val="24"/>
          <w:szCs w:val="24"/>
        </w:rPr>
        <w:t xml:space="preserve">. </w:t>
      </w:r>
      <w:r w:rsidR="001E362C" w:rsidRPr="00A50139">
        <w:rPr>
          <w:rStyle w:val="Strong"/>
          <w:b/>
          <w:bCs/>
          <w:color w:val="000000" w:themeColor="text1"/>
          <w:sz w:val="24"/>
          <w:szCs w:val="24"/>
        </w:rPr>
        <w:t>Industrial applications and commercialization potential of mulberry</w:t>
      </w:r>
      <w:r w:rsidR="004A4607" w:rsidRPr="00A50139">
        <w:rPr>
          <w:rStyle w:val="Strong"/>
          <w:b/>
          <w:bCs/>
          <w:color w:val="000000" w:themeColor="text1"/>
          <w:sz w:val="24"/>
          <w:szCs w:val="24"/>
        </w:rPr>
        <w:t xml:space="preserve"> </w:t>
      </w:r>
    </w:p>
    <w:p w14:paraId="78A30021" w14:textId="77777777"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bCs/>
          <w:sz w:val="24"/>
          <w:szCs w:val="24"/>
          <w:lang w:eastAsia="en-IN"/>
        </w:rPr>
        <w:t>Mulberry (Morus spp.) exhibits broad industrial potential due to its rich phytochemicals and traditional medicinal use. As demand for natural and health-promoting products grows, mulberry-based derivatives are increasingly commercialized across functional foods, pharmaceuticals, cosmetics, and biomaterials.</w:t>
      </w:r>
    </w:p>
    <w:p w14:paraId="2048EB39" w14:textId="77777777" w:rsidR="00EF7376" w:rsidRPr="000B4C6A"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.1</w:t>
      </w:r>
      <w:r w:rsidR="00EF7376" w:rsidRPr="000B4C6A">
        <w:rPr>
          <w:rFonts w:ascii="Times New Roman" w:eastAsia="Times New Roman" w:hAnsi="Times New Roman" w:cs="Times New Roman"/>
          <w:b/>
          <w:bCs/>
          <w:sz w:val="24"/>
          <w:szCs w:val="24"/>
          <w:lang w:eastAsia="en-IN"/>
        </w:rPr>
        <w:t>. Functional Foods and Beverages</w:t>
      </w:r>
    </w:p>
    <w:p w14:paraId="2874BFA7" w14:textId="77777777"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Mulberries, rich in polyphenols, flavonoids, anthocyanins, and vitamins, are used to create various health-oriented products. These include mulberry syrup, which retains stable phenolics and anthocyanins for 30 days and offers antioxidant benefits [88]; mulberry wine, known for strong free radical scavenging [89]; mulberry vinegar, which modulates neuroinflammation via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and glial pathways [80]; and mulberry enzyme that improves gastrointestinal motility and relieves constipation [90]. Additionally, mulberry yogurt boosts antioxidant activity and gut health, while mulberry jelly, enhanced with inulin, supports probiotic growth and sensory quality [91]. These uses highlight mulberry’s versatility in nutraceuticals and functional food development.</w:t>
      </w:r>
    </w:p>
    <w:p w14:paraId="21E92A42" w14:textId="77777777"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.2</w:t>
      </w:r>
      <w:r>
        <w:rPr>
          <w:rStyle w:val="Strong"/>
          <w:color w:val="000000" w:themeColor="text1"/>
          <w:sz w:val="24"/>
          <w:szCs w:val="24"/>
        </w:rPr>
        <w:t xml:space="preserve">. </w:t>
      </w:r>
      <w:r w:rsidR="00EF7376" w:rsidRPr="00A50139">
        <w:rPr>
          <w:rFonts w:ascii="Times New Roman" w:eastAsia="Times New Roman" w:hAnsi="Times New Roman" w:cs="Times New Roman"/>
          <w:b/>
          <w:bCs/>
          <w:sz w:val="24"/>
          <w:szCs w:val="24"/>
          <w:lang w:eastAsia="en-IN"/>
        </w:rPr>
        <w:t>Natural Colorants and Additives</w:t>
      </w:r>
    </w:p>
    <w:p w14:paraId="0906EF7C" w14:textId="77777777"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Mulberry anthocyanins are promising natural food colorants, providing vibrant pigments and antioxidant effects. They offer a safer alternative to synthetic dyes, improving both nutrition and appearance in foods [92]. This also opens industrial-scale production opportunities, especially in mulberry-cultivating tropical sericulture regions.</w:t>
      </w:r>
    </w:p>
    <w:p w14:paraId="6A1E22CA" w14:textId="77777777"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3</w:t>
      </w:r>
      <w:r>
        <w:rPr>
          <w:rFonts w:ascii="Times New Roman" w:eastAsia="Times New Roman" w:hAnsi="Times New Roman" w:cs="Times New Roman"/>
          <w:b/>
          <w:bCs/>
          <w:sz w:val="24"/>
          <w:szCs w:val="24"/>
          <w:lang w:eastAsia="en-IN"/>
        </w:rPr>
        <w:t>.</w:t>
      </w:r>
      <w:r w:rsidR="00EF7376" w:rsidRPr="00A50139">
        <w:rPr>
          <w:rFonts w:ascii="Times New Roman" w:eastAsia="Times New Roman" w:hAnsi="Times New Roman" w:cs="Times New Roman"/>
          <w:b/>
          <w:bCs/>
          <w:sz w:val="24"/>
          <w:szCs w:val="24"/>
          <w:lang w:eastAsia="en-IN"/>
        </w:rPr>
        <w:t xml:space="preserve"> Cosmetic and Dermatological Applications</w:t>
      </w:r>
    </w:p>
    <w:p w14:paraId="212988CF" w14:textId="77777777"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Compounds like resveratrol and flavonoids reduce oxidative stress, promote hyaluronic acid and collagen synthesis, and inhibit melanin production, leading to anti-aging creams, sunscreens, and whitening products [88].</w:t>
      </w:r>
    </w:p>
    <w:p w14:paraId="5172367A" w14:textId="77777777"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4</w:t>
      </w:r>
      <w:r w:rsidR="00EF7376" w:rsidRPr="00A50139">
        <w:rPr>
          <w:rFonts w:ascii="Times New Roman" w:eastAsia="Times New Roman" w:hAnsi="Times New Roman" w:cs="Times New Roman"/>
          <w:b/>
          <w:bCs/>
          <w:sz w:val="24"/>
          <w:szCs w:val="24"/>
          <w:lang w:eastAsia="en-IN"/>
        </w:rPr>
        <w:t>. Pharmaceutical Uses</w:t>
      </w:r>
    </w:p>
    <w:p w14:paraId="25A0D8E3" w14:textId="77777777"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Beyond traditional systems like Ayurveda and TCM, mulberries contribute to modern pharmaceuticals. </w:t>
      </w:r>
      <w:proofErr w:type="spellStart"/>
      <w:r w:rsidRPr="00A50139">
        <w:rPr>
          <w:rFonts w:ascii="Times New Roman" w:eastAsia="Times New Roman" w:hAnsi="Times New Roman" w:cs="Times New Roman"/>
          <w:sz w:val="24"/>
          <w:szCs w:val="24"/>
          <w:lang w:eastAsia="en-IN"/>
        </w:rPr>
        <w:t>Syrupus</w:t>
      </w:r>
      <w:proofErr w:type="spellEnd"/>
      <w:r w:rsidRPr="00A50139">
        <w:rPr>
          <w:rFonts w:ascii="Times New Roman" w:eastAsia="Times New Roman" w:hAnsi="Times New Roman" w:cs="Times New Roman"/>
          <w:sz w:val="24"/>
          <w:szCs w:val="24"/>
          <w:lang w:eastAsia="en-IN"/>
        </w:rPr>
        <w:t xml:space="preserve"> mori from ripe fruits is used for sore throat and cough, leveraging antioxidant and immune-supportive effects. Flavonoids and alkaloids such as </w:t>
      </w:r>
      <w:proofErr w:type="spellStart"/>
      <w:r w:rsidRPr="00A50139">
        <w:rPr>
          <w:rFonts w:ascii="Times New Roman" w:eastAsia="Times New Roman" w:hAnsi="Times New Roman" w:cs="Times New Roman"/>
          <w:sz w:val="24"/>
          <w:szCs w:val="24"/>
          <w:lang w:eastAsia="en-IN"/>
        </w:rPr>
        <w:t>morusin</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D, and 1-deoxynojirimycin exhibit antiviral, antidiabetic, and anticancer properties, highlighting pharmaceutical potential [83, 88].</w:t>
      </w:r>
    </w:p>
    <w:p w14:paraId="26AD4BE4"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lastRenderedPageBreak/>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5</w:t>
      </w:r>
      <w:r w:rsidR="00EF7376" w:rsidRPr="00A50139">
        <w:rPr>
          <w:rFonts w:ascii="Times New Roman" w:eastAsia="Times New Roman" w:hAnsi="Times New Roman" w:cs="Times New Roman"/>
          <w:b/>
          <w:bCs/>
          <w:sz w:val="24"/>
          <w:szCs w:val="24"/>
          <w:lang w:eastAsia="en-IN"/>
        </w:rPr>
        <w:t>. Biomaterials and Packaging Innovations</w:t>
      </w:r>
    </w:p>
    <w:p w14:paraId="614531FB" w14:textId="77777777" w:rsidR="00EF7376"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00EF7376" w:rsidRPr="00A50139">
        <w:rPr>
          <w:rFonts w:ascii="Times New Roman" w:eastAsia="Times New Roman" w:hAnsi="Times New Roman" w:cs="Times New Roman"/>
          <w:sz w:val="24"/>
          <w:szCs w:val="24"/>
          <w:lang w:eastAsia="en-IN"/>
        </w:rPr>
        <w:t xml:space="preserve">Mulberry compounds are applied in biomaterials like films, wound dressings, and smart food packaging. For example, polyvinyl alcohol/tapioca starch films with mulberry anthocyanins and </w:t>
      </w:r>
      <w:proofErr w:type="spellStart"/>
      <w:r w:rsidR="00EF7376" w:rsidRPr="00A50139">
        <w:rPr>
          <w:rFonts w:ascii="Times New Roman" w:eastAsia="Times New Roman" w:hAnsi="Times New Roman" w:cs="Times New Roman"/>
          <w:sz w:val="24"/>
          <w:szCs w:val="24"/>
          <w:lang w:eastAsia="en-IN"/>
        </w:rPr>
        <w:t>lauroyl</w:t>
      </w:r>
      <w:proofErr w:type="spellEnd"/>
      <w:r w:rsidR="00EF7376" w:rsidRPr="00A50139">
        <w:rPr>
          <w:rFonts w:ascii="Times New Roman" w:eastAsia="Times New Roman" w:hAnsi="Times New Roman" w:cs="Times New Roman"/>
          <w:sz w:val="24"/>
          <w:szCs w:val="24"/>
          <w:lang w:eastAsia="en-IN"/>
        </w:rPr>
        <w:t xml:space="preserve"> </w:t>
      </w:r>
      <w:proofErr w:type="spellStart"/>
      <w:r w:rsidR="00EF7376" w:rsidRPr="00A50139">
        <w:rPr>
          <w:rFonts w:ascii="Times New Roman" w:eastAsia="Times New Roman" w:hAnsi="Times New Roman" w:cs="Times New Roman"/>
          <w:sz w:val="24"/>
          <w:szCs w:val="24"/>
          <w:lang w:eastAsia="en-IN"/>
        </w:rPr>
        <w:t>arginate</w:t>
      </w:r>
      <w:proofErr w:type="spellEnd"/>
      <w:r w:rsidR="00EF7376" w:rsidRPr="00A50139">
        <w:rPr>
          <w:rFonts w:ascii="Times New Roman" w:eastAsia="Times New Roman" w:hAnsi="Times New Roman" w:cs="Times New Roman"/>
          <w:sz w:val="24"/>
          <w:szCs w:val="24"/>
          <w:lang w:eastAsia="en-IN"/>
        </w:rPr>
        <w:t xml:space="preserve"> serve as natural spoilage indicators and extend shelf life [93]. In biomedical uses, mulberry polyphenols enhance wound dressings through antimicrobial and anti-inflammatory effects, promoting healing and infection control.</w:t>
      </w:r>
    </w:p>
    <w:p w14:paraId="369B6751" w14:textId="77777777"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6</w:t>
      </w:r>
      <w:r w:rsidR="00EF7376" w:rsidRPr="00A50139">
        <w:rPr>
          <w:rFonts w:ascii="Times New Roman" w:eastAsia="Times New Roman" w:hAnsi="Times New Roman" w:cs="Times New Roman"/>
          <w:b/>
          <w:bCs/>
          <w:sz w:val="24"/>
          <w:szCs w:val="24"/>
          <w:lang w:eastAsia="en-IN"/>
        </w:rPr>
        <w:t>. Emerging Products and Future Prospects</w:t>
      </w:r>
    </w:p>
    <w:p w14:paraId="02D74EF1" w14:textId="77777777" w:rsidR="00EF7376"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00EF7376" w:rsidRPr="00A50139">
        <w:rPr>
          <w:rFonts w:ascii="Times New Roman" w:eastAsia="Times New Roman" w:hAnsi="Times New Roman" w:cs="Times New Roman"/>
          <w:sz w:val="24"/>
          <w:szCs w:val="24"/>
          <w:lang w:eastAsia="en-IN"/>
        </w:rPr>
        <w:t xml:space="preserve">Mulberry’s potential is expanding with products like mulberry milk, which inhibits cortisol and improves memory [94]; mulberry fruit powder for yogurt fortification [95]; and energy bars and dietary supplements. Its </w:t>
      </w:r>
      <w:proofErr w:type="spellStart"/>
      <w:r w:rsidR="00EF7376" w:rsidRPr="00A50139">
        <w:rPr>
          <w:rFonts w:ascii="Times New Roman" w:eastAsia="Times New Roman" w:hAnsi="Times New Roman" w:cs="Times New Roman"/>
          <w:sz w:val="24"/>
          <w:szCs w:val="24"/>
          <w:lang w:eastAsia="en-IN"/>
        </w:rPr>
        <w:t>bioactives</w:t>
      </w:r>
      <w:proofErr w:type="spellEnd"/>
      <w:r w:rsidR="00EF7376" w:rsidRPr="00A50139">
        <w:rPr>
          <w:rFonts w:ascii="Times New Roman" w:eastAsia="Times New Roman" w:hAnsi="Times New Roman" w:cs="Times New Roman"/>
          <w:sz w:val="24"/>
          <w:szCs w:val="24"/>
          <w:lang w:eastAsia="en-IN"/>
        </w:rPr>
        <w:t xml:space="preserve"> function as food preservatives, colorants, and therapeutic agents, supporting sustainable product innovation. However, future industrial success depends on advances in bioavailability, standardization, and regulatory approval [88].</w:t>
      </w:r>
    </w:p>
    <w:p w14:paraId="18FC3617" w14:textId="77777777" w:rsidR="000B4C6A" w:rsidRDefault="000B4C6A" w:rsidP="00D259D6">
      <w:pPr>
        <w:pStyle w:val="Heading3"/>
        <w:jc w:val="both"/>
        <w:rPr>
          <w:rStyle w:val="Strong"/>
          <w:b/>
          <w:bCs/>
          <w:color w:val="000000" w:themeColor="text1"/>
          <w:sz w:val="24"/>
          <w:szCs w:val="24"/>
        </w:rPr>
      </w:pPr>
      <w:r>
        <w:rPr>
          <w:rStyle w:val="Strong"/>
          <w:b/>
          <w:bCs/>
          <w:color w:val="000000" w:themeColor="text1"/>
          <w:sz w:val="24"/>
          <w:szCs w:val="24"/>
        </w:rPr>
        <w:t xml:space="preserve">10. </w:t>
      </w:r>
      <w:r w:rsidR="00614D79" w:rsidRPr="00A50139">
        <w:rPr>
          <w:rStyle w:val="Strong"/>
          <w:b/>
          <w:bCs/>
          <w:color w:val="000000" w:themeColor="text1"/>
          <w:sz w:val="24"/>
          <w:szCs w:val="24"/>
        </w:rPr>
        <w:t>Challenges and future prospects</w:t>
      </w:r>
    </w:p>
    <w:p w14:paraId="1EB3CF3A" w14:textId="77777777" w:rsidR="004A4607" w:rsidRPr="000B4C6A" w:rsidRDefault="004A4607" w:rsidP="00D259D6">
      <w:pPr>
        <w:pStyle w:val="Heading3"/>
        <w:jc w:val="both"/>
        <w:rPr>
          <w:b w:val="0"/>
          <w:color w:val="000000" w:themeColor="text1"/>
          <w:sz w:val="24"/>
          <w:szCs w:val="24"/>
        </w:rPr>
      </w:pPr>
      <w:r w:rsidRPr="000B4C6A">
        <w:rPr>
          <w:b w:val="0"/>
          <w:color w:val="000000" w:themeColor="text1"/>
          <w:sz w:val="24"/>
          <w:szCs w:val="24"/>
        </w:rPr>
        <w:t>Despite the extensive pharmacological and industrial potential of mulberry (</w:t>
      </w:r>
      <w:r w:rsidRPr="000B4C6A">
        <w:rPr>
          <w:rStyle w:val="Emphasis"/>
          <w:b w:val="0"/>
          <w:color w:val="000000" w:themeColor="text1"/>
          <w:sz w:val="24"/>
          <w:szCs w:val="24"/>
        </w:rPr>
        <w:t>Morus</w:t>
      </w:r>
      <w:r w:rsidRPr="000B4C6A">
        <w:rPr>
          <w:b w:val="0"/>
          <w:color w:val="000000" w:themeColor="text1"/>
          <w:sz w:val="24"/>
          <w:szCs w:val="24"/>
        </w:rPr>
        <w:t xml:space="preserve"> spp.) and its derivatives, several challenges remain that must be addressed to support its widespread adoption and commercialization.</w:t>
      </w:r>
    </w:p>
    <w:p w14:paraId="73219765" w14:textId="77777777" w:rsidR="004A4607" w:rsidRPr="00D259D6" w:rsidRDefault="000B4C6A"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10.1</w:t>
      </w:r>
      <w:r w:rsidR="004A4607" w:rsidRPr="00D259D6">
        <w:rPr>
          <w:rStyle w:val="Strong"/>
          <w:rFonts w:ascii="Times New Roman" w:hAnsi="Times New Roman" w:cs="Times New Roman"/>
          <w:bCs w:val="0"/>
          <w:color w:val="000000" w:themeColor="text1"/>
          <w:sz w:val="24"/>
          <w:szCs w:val="24"/>
        </w:rPr>
        <w:t>. Lack of Standardized Methodologies and Global Acceptance</w:t>
      </w:r>
    </w:p>
    <w:p w14:paraId="6AB9E7CA" w14:textId="77777777"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One of the major limitations hindering the broader use of mulberry in food, pharmaceutical, and cosmetic industries is the </w:t>
      </w:r>
      <w:r w:rsidRPr="00A50139">
        <w:rPr>
          <w:rStyle w:val="Strong"/>
          <w:rFonts w:ascii="Times New Roman" w:hAnsi="Times New Roman" w:cs="Times New Roman"/>
          <w:b w:val="0"/>
          <w:color w:val="000000" w:themeColor="text1"/>
          <w:sz w:val="24"/>
          <w:szCs w:val="24"/>
        </w:rPr>
        <w:t>lack of standardized extraction, purification, and quantification protocols</w:t>
      </w:r>
      <w:r w:rsidRPr="00A50139">
        <w:rPr>
          <w:rFonts w:ascii="Times New Roman" w:hAnsi="Times New Roman" w:cs="Times New Roman"/>
          <w:color w:val="000000" w:themeColor="text1"/>
          <w:sz w:val="24"/>
          <w:szCs w:val="24"/>
        </w:rPr>
        <w:t xml:space="preserve">. Differences in extraction solvents, plant parts used, harvest timing, and analytical methods lead to inconsistent results across studies, making it difficult to compare findings or develop universally accepted formulations. Furthermore, the absence of globally recognized </w:t>
      </w:r>
      <w:r w:rsidRPr="00A50139">
        <w:rPr>
          <w:rStyle w:val="Strong"/>
          <w:rFonts w:ascii="Times New Roman" w:hAnsi="Times New Roman" w:cs="Times New Roman"/>
          <w:b w:val="0"/>
          <w:color w:val="000000" w:themeColor="text1"/>
          <w:sz w:val="24"/>
          <w:szCs w:val="24"/>
        </w:rPr>
        <w:t>quality control parameters</w:t>
      </w:r>
      <w:r w:rsidRPr="00A50139">
        <w:rPr>
          <w:rFonts w:ascii="Times New Roman" w:hAnsi="Times New Roman" w:cs="Times New Roman"/>
          <w:color w:val="000000" w:themeColor="text1"/>
          <w:sz w:val="24"/>
          <w:szCs w:val="24"/>
        </w:rPr>
        <w:t xml:space="preserve">, particularly for bioactive-rich extracts like anthocyanins, flavonoids, or DNJ, impedes their inclusion in regulatory frameworks and official </w:t>
      </w:r>
      <w:proofErr w:type="spellStart"/>
      <w:r w:rsidRPr="00A50139">
        <w:rPr>
          <w:rFonts w:ascii="Times New Roman" w:hAnsi="Times New Roman" w:cs="Times New Roman"/>
          <w:color w:val="000000" w:themeColor="text1"/>
          <w:sz w:val="24"/>
          <w:szCs w:val="24"/>
        </w:rPr>
        <w:t>pharmacopeias</w:t>
      </w:r>
      <w:proofErr w:type="spellEnd"/>
      <w:r w:rsidRPr="00A50139">
        <w:rPr>
          <w:rFonts w:ascii="Times New Roman" w:hAnsi="Times New Roman" w:cs="Times New Roman"/>
          <w:color w:val="000000" w:themeColor="text1"/>
          <w:sz w:val="24"/>
          <w:szCs w:val="24"/>
        </w:rPr>
        <w:t xml:space="preserve">. Establishing </w:t>
      </w:r>
      <w:r w:rsidRPr="00A50139">
        <w:rPr>
          <w:rStyle w:val="Strong"/>
          <w:rFonts w:ascii="Times New Roman" w:hAnsi="Times New Roman" w:cs="Times New Roman"/>
          <w:b w:val="0"/>
          <w:color w:val="000000" w:themeColor="text1"/>
          <w:sz w:val="24"/>
          <w:szCs w:val="24"/>
        </w:rPr>
        <w:t>Good Agricultural and Collection Practices (GACP)</w:t>
      </w:r>
      <w:r w:rsidRPr="00A50139">
        <w:rPr>
          <w:rFonts w:ascii="Times New Roman" w:hAnsi="Times New Roman" w:cs="Times New Roman"/>
          <w:color w:val="000000" w:themeColor="text1"/>
          <w:sz w:val="24"/>
          <w:szCs w:val="24"/>
        </w:rPr>
        <w:t xml:space="preserve"> and </w:t>
      </w:r>
      <w:r w:rsidRPr="00A50139">
        <w:rPr>
          <w:rStyle w:val="Strong"/>
          <w:rFonts w:ascii="Times New Roman" w:hAnsi="Times New Roman" w:cs="Times New Roman"/>
          <w:b w:val="0"/>
          <w:color w:val="000000" w:themeColor="text1"/>
          <w:sz w:val="24"/>
          <w:szCs w:val="24"/>
        </w:rPr>
        <w:t>Good Manufacturing Practices (GMP)</w:t>
      </w:r>
      <w:r w:rsidRPr="00A50139">
        <w:rPr>
          <w:rFonts w:ascii="Times New Roman" w:hAnsi="Times New Roman" w:cs="Times New Roman"/>
          <w:color w:val="000000" w:themeColor="text1"/>
          <w:sz w:val="24"/>
          <w:szCs w:val="24"/>
        </w:rPr>
        <w:t xml:space="preserve"> tailored to mulberry could help bridge this gap and increase international credibility and acceptance.</w:t>
      </w:r>
    </w:p>
    <w:p w14:paraId="78FE1203" w14:textId="77777777" w:rsidR="004A4607" w:rsidRPr="00D259D6" w:rsidRDefault="00D259D6"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w:t>
      </w:r>
      <w:r>
        <w:rPr>
          <w:rStyle w:val="Strong"/>
          <w:rFonts w:ascii="Times New Roman" w:hAnsi="Times New Roman" w:cs="Times New Roman"/>
          <w:bCs w:val="0"/>
          <w:color w:val="000000" w:themeColor="text1"/>
          <w:sz w:val="24"/>
          <w:szCs w:val="24"/>
        </w:rPr>
        <w:t xml:space="preserve">2. </w:t>
      </w:r>
      <w:r w:rsidR="004A4607" w:rsidRPr="00D259D6">
        <w:rPr>
          <w:rStyle w:val="Strong"/>
          <w:rFonts w:ascii="Times New Roman" w:hAnsi="Times New Roman" w:cs="Times New Roman"/>
          <w:bCs w:val="0"/>
          <w:color w:val="000000" w:themeColor="text1"/>
          <w:sz w:val="24"/>
          <w:szCs w:val="24"/>
        </w:rPr>
        <w:t>Need for Clinical Trials and Regulatory Approval</w:t>
      </w:r>
    </w:p>
    <w:p w14:paraId="4605F0EE" w14:textId="77777777"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Although numerous </w:t>
      </w:r>
      <w:r w:rsidRPr="00A50139">
        <w:rPr>
          <w:rStyle w:val="Strong"/>
          <w:rFonts w:ascii="Times New Roman" w:hAnsi="Times New Roman" w:cs="Times New Roman"/>
          <w:b w:val="0"/>
          <w:color w:val="000000" w:themeColor="text1"/>
          <w:sz w:val="24"/>
          <w:szCs w:val="24"/>
        </w:rPr>
        <w:t>in vitro and in vivo studies</w:t>
      </w:r>
      <w:r w:rsidRPr="00A50139">
        <w:rPr>
          <w:rFonts w:ascii="Times New Roman" w:hAnsi="Times New Roman" w:cs="Times New Roman"/>
          <w:color w:val="000000" w:themeColor="text1"/>
          <w:sz w:val="24"/>
          <w:szCs w:val="24"/>
        </w:rPr>
        <w:t xml:space="preserve"> have demonstrated the therapeutic efficacy of mulberry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—including antidiabetic, neuroprotective, anticancer, and antioxidant effects—</w:t>
      </w:r>
      <w:r w:rsidRPr="00A50139">
        <w:rPr>
          <w:rStyle w:val="Strong"/>
          <w:rFonts w:ascii="Times New Roman" w:hAnsi="Times New Roman" w:cs="Times New Roman"/>
          <w:b w:val="0"/>
          <w:color w:val="000000" w:themeColor="text1"/>
          <w:sz w:val="24"/>
          <w:szCs w:val="24"/>
        </w:rPr>
        <w:t>clinical evidence in humans remains limited</w:t>
      </w:r>
      <w:r w:rsidRPr="00A50139">
        <w:rPr>
          <w:rFonts w:ascii="Times New Roman" w:hAnsi="Times New Roman" w:cs="Times New Roman"/>
          <w:color w:val="000000" w:themeColor="text1"/>
          <w:sz w:val="24"/>
          <w:szCs w:val="24"/>
        </w:rPr>
        <w:t xml:space="preserve">. The majority of existing studies focus on cell lines or animal models, with few progressing to human trials. Without robust </w:t>
      </w:r>
      <w:r w:rsidRPr="00A50139">
        <w:rPr>
          <w:rStyle w:val="Strong"/>
          <w:rFonts w:ascii="Times New Roman" w:hAnsi="Times New Roman" w:cs="Times New Roman"/>
          <w:b w:val="0"/>
          <w:color w:val="000000" w:themeColor="text1"/>
          <w:sz w:val="24"/>
          <w:szCs w:val="24"/>
        </w:rPr>
        <w:t>randomized controlled trials (RCTs)</w:t>
      </w:r>
      <w:r w:rsidRPr="00A50139">
        <w:rPr>
          <w:rFonts w:ascii="Times New Roman" w:hAnsi="Times New Roman" w:cs="Times New Roman"/>
          <w:color w:val="000000" w:themeColor="text1"/>
          <w:sz w:val="24"/>
          <w:szCs w:val="24"/>
        </w:rPr>
        <w:t>, it is challenging to verify dosage, safety, efficacy, or potential side effects in human populations. Additionally, regulatory approval from agencies like the FDA, EFSA, or WHO requires comprehensive toxicological, pharmacokinetic, and long-term safety data. This regulatory uncertainty poses a significant barrier to the full-scale commercial application of mulberry-based nutraceuticals and therapeutic agents.</w:t>
      </w:r>
    </w:p>
    <w:p w14:paraId="6CF8AD67" w14:textId="77777777" w:rsidR="004A4607" w:rsidRPr="00D259D6" w:rsidRDefault="00D259D6"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10.3.</w:t>
      </w:r>
      <w:r w:rsidR="004A4607" w:rsidRPr="00D259D6">
        <w:rPr>
          <w:rStyle w:val="Strong"/>
          <w:rFonts w:ascii="Times New Roman" w:hAnsi="Times New Roman" w:cs="Times New Roman"/>
          <w:bCs w:val="0"/>
          <w:color w:val="000000" w:themeColor="text1"/>
          <w:sz w:val="24"/>
          <w:szCs w:val="24"/>
        </w:rPr>
        <w:t xml:space="preserve"> Future Research Directions</w:t>
      </w:r>
    </w:p>
    <w:p w14:paraId="1B214B8C" w14:textId="77777777"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lastRenderedPageBreak/>
        <w:t xml:space="preserve">To unlock the full potential of mulberry, future research should adopt </w:t>
      </w:r>
      <w:r w:rsidRPr="00A50139">
        <w:rPr>
          <w:rStyle w:val="Strong"/>
          <w:rFonts w:ascii="Times New Roman" w:hAnsi="Times New Roman" w:cs="Times New Roman"/>
          <w:b w:val="0"/>
          <w:color w:val="000000" w:themeColor="text1"/>
          <w:sz w:val="24"/>
          <w:szCs w:val="24"/>
        </w:rPr>
        <w:t>integrated, high-throughput, and precision-based approaches</w:t>
      </w:r>
      <w:r w:rsidRPr="00A50139">
        <w:rPr>
          <w:rFonts w:ascii="Times New Roman" w:hAnsi="Times New Roman" w:cs="Times New Roman"/>
          <w:color w:val="000000" w:themeColor="text1"/>
          <w:sz w:val="24"/>
          <w:szCs w:val="24"/>
        </w:rPr>
        <w:t>.</w:t>
      </w:r>
    </w:p>
    <w:p w14:paraId="675BE88A" w14:textId="77777777" w:rsidR="004A4607"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t>Omics technologies</w:t>
      </w:r>
      <w:r w:rsidRPr="00A50139">
        <w:rPr>
          <w:rFonts w:ascii="Times New Roman" w:hAnsi="Times New Roman" w:cs="Times New Roman"/>
          <w:color w:val="000000" w:themeColor="text1"/>
          <w:sz w:val="24"/>
          <w:szCs w:val="24"/>
        </w:rPr>
        <w:t xml:space="preserve">—including genomics, transcriptomics, proteomics, and metabolomics—can elucidate the biosynthetic pathways of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 xml:space="preserve"> like anthocyanins, stilbenes, and alkaloids, and identify key regulatory genes for metabolic engineering or breeding programs.</w:t>
      </w:r>
    </w:p>
    <w:p w14:paraId="4BF4D631" w14:textId="77777777" w:rsidR="004A4607"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t>Pharmacokinetic studies</w:t>
      </w:r>
      <w:r w:rsidRPr="00A50139">
        <w:rPr>
          <w:rFonts w:ascii="Times New Roman" w:hAnsi="Times New Roman" w:cs="Times New Roman"/>
          <w:color w:val="000000" w:themeColor="text1"/>
          <w:sz w:val="24"/>
          <w:szCs w:val="24"/>
        </w:rPr>
        <w:t xml:space="preserve"> are essential to determine the absorption, distribution, metabolism, and excretion (ADME) of individual mulberry phytochemicals, particularly in complex human systems. Understanding bioavailability and half-life will support optimized dosing and delivery.</w:t>
      </w:r>
    </w:p>
    <w:p w14:paraId="0AC9EA66" w14:textId="77777777" w:rsidR="00EB48E9"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t>Nanotechnology-based delivery systems</w:t>
      </w:r>
      <w:r w:rsidRPr="00A50139">
        <w:rPr>
          <w:rFonts w:ascii="Times New Roman" w:hAnsi="Times New Roman" w:cs="Times New Roman"/>
          <w:color w:val="000000" w:themeColor="text1"/>
          <w:sz w:val="24"/>
          <w:szCs w:val="24"/>
        </w:rPr>
        <w:t xml:space="preserve">, such as </w:t>
      </w:r>
      <w:proofErr w:type="spellStart"/>
      <w:r w:rsidRPr="00A50139">
        <w:rPr>
          <w:rFonts w:ascii="Times New Roman" w:hAnsi="Times New Roman" w:cs="Times New Roman"/>
          <w:color w:val="000000" w:themeColor="text1"/>
          <w:sz w:val="24"/>
          <w:szCs w:val="24"/>
        </w:rPr>
        <w:t>nanoemulsions</w:t>
      </w:r>
      <w:proofErr w:type="spellEnd"/>
      <w:r w:rsidRPr="00A50139">
        <w:rPr>
          <w:rFonts w:ascii="Times New Roman" w:hAnsi="Times New Roman" w:cs="Times New Roman"/>
          <w:color w:val="000000" w:themeColor="text1"/>
          <w:sz w:val="24"/>
          <w:szCs w:val="24"/>
        </w:rPr>
        <w:t xml:space="preserve">, liposomes, and polymeric nanoparticles, represent a promising strategy to improve the stability, solubility, and targeted delivery of mulberry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 These systems could help overcome limitations associated with poor water solubility, rapid metabolism, or degradation in the gastrointestinal tract.</w:t>
      </w:r>
    </w:p>
    <w:p w14:paraId="7F32014D" w14:textId="77777777" w:rsidR="00AB26EB" w:rsidRPr="00A50139" w:rsidRDefault="00D259D6"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11. </w:t>
      </w:r>
      <w:r w:rsidR="00AB26EB" w:rsidRPr="00A50139">
        <w:rPr>
          <w:rFonts w:ascii="Times New Roman" w:hAnsi="Times New Roman" w:cs="Times New Roman"/>
          <w:b/>
          <w:color w:val="000000" w:themeColor="text1"/>
          <w:sz w:val="24"/>
          <w:szCs w:val="24"/>
        </w:rPr>
        <w:t>Conclusion:</w:t>
      </w:r>
    </w:p>
    <w:p w14:paraId="3C68D44B" w14:textId="77777777" w:rsidR="00AB26EB" w:rsidRPr="00A50139" w:rsidRDefault="00AB26EB" w:rsidP="00D259D6">
      <w:pPr>
        <w:spacing w:line="240" w:lineRule="auto"/>
        <w:ind w:firstLine="0"/>
        <w:rPr>
          <w:rFonts w:ascii="Times New Roman" w:hAnsi="Times New Roman" w:cs="Times New Roman"/>
          <w:b/>
          <w:color w:val="000000" w:themeColor="text1"/>
          <w:sz w:val="24"/>
          <w:szCs w:val="24"/>
        </w:rPr>
      </w:pPr>
      <w:r w:rsidRPr="00A50139">
        <w:rPr>
          <w:rFonts w:ascii="Times New Roman" w:hAnsi="Times New Roman" w:cs="Times New Roman"/>
          <w:sz w:val="24"/>
          <w:szCs w:val="24"/>
        </w:rPr>
        <w:tab/>
        <w:t>Mulberry (</w:t>
      </w:r>
      <w:r w:rsidRPr="00A50139">
        <w:rPr>
          <w:rStyle w:val="Emphasis"/>
          <w:rFonts w:ascii="Times New Roman" w:hAnsi="Times New Roman" w:cs="Times New Roman"/>
          <w:sz w:val="24"/>
          <w:szCs w:val="24"/>
        </w:rPr>
        <w:t>Morus</w:t>
      </w:r>
      <w:r w:rsidRPr="00A50139">
        <w:rPr>
          <w:rFonts w:ascii="Times New Roman" w:hAnsi="Times New Roman" w:cs="Times New Roman"/>
          <w:sz w:val="24"/>
          <w:szCs w:val="24"/>
        </w:rPr>
        <w:t xml:space="preserve"> spp.) stands as a multifunctional plant with deep roots in traditional medicine and expanding relevance in modern science. Rich in nutrients and bioactive compounds, it exhibits wide-ranging therapeutic properties that support its integration into functional foods, phytopharmaceuticals, and natural health products. Advances in extraction technology and phytochemical analysis have paved the way for innovative applications in cosmetics, food preservation, and biomaterials. However, critical challenges persist, particularly the need for standardized processing methods, human clinical evidence, and regulatory approval. Interdisciplinary research leveraging genomics, pharmacokinetics, and nanotechnology holds promise for unlocking mulberry’s full medicinal and industrial potential. As interest in natural and sustainable health solutions grows, mulberry emerges as a compelling candidate for future innovations in health and industry.</w:t>
      </w:r>
    </w:p>
    <w:p w14:paraId="1CA51BB0" w14:textId="77777777" w:rsidR="00EB48E9" w:rsidRPr="00A50139" w:rsidRDefault="00EB48E9" w:rsidP="00D259D6">
      <w:pPr>
        <w:spacing w:line="240" w:lineRule="auto"/>
        <w:ind w:firstLine="0"/>
        <w:rPr>
          <w:rFonts w:ascii="Times New Roman" w:hAnsi="Times New Roman" w:cs="Times New Roman"/>
          <w:b/>
          <w:color w:val="000000" w:themeColor="text1"/>
          <w:sz w:val="24"/>
          <w:szCs w:val="24"/>
        </w:rPr>
      </w:pPr>
      <w:r w:rsidRPr="00A50139">
        <w:rPr>
          <w:rFonts w:ascii="Times New Roman" w:hAnsi="Times New Roman" w:cs="Times New Roman"/>
          <w:b/>
          <w:color w:val="000000" w:themeColor="text1"/>
          <w:sz w:val="24"/>
          <w:szCs w:val="24"/>
        </w:rPr>
        <w:t>References</w:t>
      </w:r>
    </w:p>
    <w:p w14:paraId="0523EBA2" w14:textId="77777777" w:rsidR="00EB48E9" w:rsidRPr="00A50139" w:rsidRDefault="004A45A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Castellano-Tejedor, C. </w:t>
      </w:r>
      <w:r w:rsidR="009540BA" w:rsidRPr="00A50139">
        <w:rPr>
          <w:rFonts w:ascii="Times New Roman" w:hAnsi="Times New Roman" w:cs="Times New Roman"/>
          <w:color w:val="222222"/>
          <w:sz w:val="24"/>
          <w:szCs w:val="24"/>
          <w:shd w:val="clear" w:color="auto" w:fill="FFFFFF"/>
        </w:rPr>
        <w:t>Non-pharmacological interventions for the management of chronic health conditions and non-communicable diseases. </w:t>
      </w:r>
      <w:r w:rsidRPr="00A50139">
        <w:rPr>
          <w:rFonts w:ascii="Times New Roman" w:hAnsi="Times New Roman" w:cs="Times New Roman"/>
          <w:color w:val="000000" w:themeColor="text1"/>
          <w:sz w:val="24"/>
          <w:szCs w:val="24"/>
        </w:rPr>
        <w:t>Int J Environ Res Public Health</w:t>
      </w:r>
      <w:r w:rsidR="009540BA" w:rsidRPr="00A50139">
        <w:rPr>
          <w:rFonts w:ascii="Times New Roman" w:hAnsi="Times New Roman" w:cs="Times New Roman"/>
          <w:color w:val="222222"/>
          <w:sz w:val="24"/>
          <w:szCs w:val="24"/>
          <w:shd w:val="clear" w:color="auto" w:fill="FFFFFF"/>
        </w:rPr>
        <w:t>, </w:t>
      </w:r>
      <w:r w:rsidRPr="00A50139">
        <w:rPr>
          <w:rFonts w:ascii="Times New Roman" w:hAnsi="Times New Roman" w:cs="Times New Roman"/>
          <w:color w:val="222222"/>
          <w:sz w:val="24"/>
          <w:szCs w:val="24"/>
          <w:shd w:val="clear" w:color="auto" w:fill="FFFFFF"/>
        </w:rPr>
        <w:t xml:space="preserve">(2022) </w:t>
      </w:r>
      <w:r w:rsidR="009540BA" w:rsidRPr="00A50139">
        <w:rPr>
          <w:rFonts w:ascii="Times New Roman" w:hAnsi="Times New Roman" w:cs="Times New Roman"/>
          <w:i/>
          <w:iCs/>
          <w:color w:val="222222"/>
          <w:sz w:val="24"/>
          <w:szCs w:val="24"/>
          <w:shd w:val="clear" w:color="auto" w:fill="FFFFFF"/>
        </w:rPr>
        <w:t>19</w:t>
      </w:r>
      <w:r w:rsidR="009540BA" w:rsidRPr="00A50139">
        <w:rPr>
          <w:rFonts w:ascii="Times New Roman" w:hAnsi="Times New Roman" w:cs="Times New Roman"/>
          <w:color w:val="222222"/>
          <w:sz w:val="24"/>
          <w:szCs w:val="24"/>
          <w:shd w:val="clear" w:color="auto" w:fill="FFFFFF"/>
        </w:rPr>
        <w:t>(14), 8536</w:t>
      </w:r>
      <w:r w:rsidRPr="00A50139">
        <w:rPr>
          <w:rFonts w:ascii="Times New Roman" w:hAnsi="Times New Roman" w:cs="Times New Roman"/>
          <w:color w:val="222222"/>
          <w:sz w:val="24"/>
          <w:szCs w:val="24"/>
          <w:shd w:val="clear" w:color="auto" w:fill="FFFFFF"/>
        </w:rPr>
        <w:t>.</w:t>
      </w:r>
      <w:r w:rsidR="009540BA" w:rsidRPr="00A50139">
        <w:rPr>
          <w:rFonts w:ascii="Times New Roman" w:hAnsi="Times New Roman" w:cs="Times New Roman"/>
          <w:color w:val="000000" w:themeColor="text1"/>
          <w:sz w:val="24"/>
          <w:szCs w:val="24"/>
        </w:rPr>
        <w:t xml:space="preserve"> </w:t>
      </w:r>
      <w:proofErr w:type="spellStart"/>
      <w:r w:rsidR="009540BA" w:rsidRPr="00A50139">
        <w:rPr>
          <w:rFonts w:ascii="Times New Roman" w:hAnsi="Times New Roman" w:cs="Times New Roman"/>
          <w:color w:val="1B1B1B"/>
          <w:sz w:val="24"/>
          <w:szCs w:val="24"/>
          <w:shd w:val="clear" w:color="auto" w:fill="FFFFFF"/>
        </w:rPr>
        <w:t>doi</w:t>
      </w:r>
      <w:proofErr w:type="spellEnd"/>
      <w:r w:rsidR="009540BA" w:rsidRPr="00A50139">
        <w:rPr>
          <w:rFonts w:ascii="Times New Roman" w:hAnsi="Times New Roman" w:cs="Times New Roman"/>
          <w:color w:val="1B1B1B"/>
          <w:sz w:val="24"/>
          <w:szCs w:val="24"/>
          <w:shd w:val="clear" w:color="auto" w:fill="FFFFFF"/>
        </w:rPr>
        <w:t>: </w:t>
      </w:r>
      <w:hyperlink r:id="rId10" w:tgtFrame="_blank" w:history="1">
        <w:r w:rsidR="009540BA" w:rsidRPr="00A50139">
          <w:rPr>
            <w:rStyle w:val="Hyperlink"/>
            <w:rFonts w:ascii="Times New Roman" w:hAnsi="Times New Roman" w:cs="Times New Roman"/>
            <w:color w:val="1A4480"/>
            <w:sz w:val="24"/>
            <w:szCs w:val="24"/>
            <w:shd w:val="clear" w:color="auto" w:fill="FFFFFF"/>
          </w:rPr>
          <w:t>10.3390/ijerph19148536</w:t>
        </w:r>
      </w:hyperlink>
    </w:p>
    <w:p w14:paraId="4E135E46" w14:textId="77777777" w:rsidR="00EB48E9" w:rsidRPr="00A50139" w:rsidRDefault="009540B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Ivey, F. M., Hafer-Macko, C. E., &amp; Macko, R. F. Exercise training for cardiometabolic adaptation after stroke. </w:t>
      </w:r>
      <w:r w:rsidRPr="00A50139">
        <w:rPr>
          <w:rFonts w:ascii="Times New Roman" w:hAnsi="Times New Roman" w:cs="Times New Roman"/>
          <w:i/>
          <w:iCs/>
          <w:color w:val="222222"/>
          <w:sz w:val="24"/>
          <w:szCs w:val="24"/>
          <w:shd w:val="clear" w:color="auto" w:fill="FFFFFF"/>
        </w:rPr>
        <w:t xml:space="preserve">J </w:t>
      </w:r>
      <w:proofErr w:type="spellStart"/>
      <w:r w:rsidRPr="00A50139">
        <w:rPr>
          <w:rFonts w:ascii="Times New Roman" w:hAnsi="Times New Roman" w:cs="Times New Roman"/>
          <w:i/>
          <w:iCs/>
          <w:color w:val="222222"/>
          <w:sz w:val="24"/>
          <w:szCs w:val="24"/>
          <w:shd w:val="clear" w:color="auto" w:fill="FFFFFF"/>
        </w:rPr>
        <w:t>cardiopulm</w:t>
      </w:r>
      <w:proofErr w:type="spellEnd"/>
      <w:r w:rsidRPr="00A50139">
        <w:rPr>
          <w:rFonts w:ascii="Times New Roman" w:hAnsi="Times New Roman" w:cs="Times New Roman"/>
          <w:i/>
          <w:iCs/>
          <w:color w:val="222222"/>
          <w:sz w:val="24"/>
          <w:szCs w:val="24"/>
          <w:shd w:val="clear" w:color="auto" w:fill="FFFFFF"/>
        </w:rPr>
        <w:t xml:space="preserve"> </w:t>
      </w:r>
      <w:proofErr w:type="spellStart"/>
      <w:r w:rsidRPr="00A50139">
        <w:rPr>
          <w:rFonts w:ascii="Times New Roman" w:hAnsi="Times New Roman" w:cs="Times New Roman"/>
          <w:i/>
          <w:iCs/>
          <w:color w:val="222222"/>
          <w:sz w:val="24"/>
          <w:szCs w:val="24"/>
          <w:shd w:val="clear" w:color="auto" w:fill="FFFFFF"/>
        </w:rPr>
        <w:t>rehabil</w:t>
      </w:r>
      <w:proofErr w:type="spellEnd"/>
      <w:r w:rsidRPr="00A50139">
        <w:rPr>
          <w:rFonts w:ascii="Times New Roman" w:hAnsi="Times New Roman" w:cs="Times New Roman"/>
          <w:i/>
          <w:iCs/>
          <w:color w:val="222222"/>
          <w:sz w:val="24"/>
          <w:szCs w:val="24"/>
          <w:shd w:val="clear" w:color="auto" w:fill="FFFFFF"/>
        </w:rPr>
        <w:t xml:space="preserve"> prev</w:t>
      </w:r>
      <w:r w:rsidR="004A45AA" w:rsidRPr="00A50139">
        <w:rPr>
          <w:rFonts w:ascii="Times New Roman" w:hAnsi="Times New Roman" w:cs="Times New Roman"/>
          <w:i/>
          <w:iCs/>
          <w:color w:val="222222"/>
          <w:sz w:val="24"/>
          <w:szCs w:val="24"/>
          <w:shd w:val="clear" w:color="auto" w:fill="FFFFFF"/>
        </w:rPr>
        <w: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(2008). </w:t>
      </w:r>
      <w:r w:rsidRPr="00A50139">
        <w:rPr>
          <w:rFonts w:ascii="Times New Roman" w:hAnsi="Times New Roman" w:cs="Times New Roman"/>
          <w:i/>
          <w:iCs/>
          <w:color w:val="222222"/>
          <w:sz w:val="24"/>
          <w:szCs w:val="24"/>
          <w:shd w:val="clear" w:color="auto" w:fill="FFFFFF"/>
        </w:rPr>
        <w:t>28</w:t>
      </w:r>
      <w:r w:rsidRPr="00A50139">
        <w:rPr>
          <w:rFonts w:ascii="Times New Roman" w:hAnsi="Times New Roman" w:cs="Times New Roman"/>
          <w:color w:val="222222"/>
          <w:sz w:val="24"/>
          <w:szCs w:val="24"/>
          <w:shd w:val="clear" w:color="auto" w:fill="FFFFFF"/>
        </w:rPr>
        <w:t>(1), 2-11</w:t>
      </w:r>
      <w:r w:rsidR="004A45AA" w:rsidRPr="00A50139">
        <w:rPr>
          <w:rFonts w:ascii="Times New Roman" w:hAnsi="Times New Roman" w:cs="Times New Roman"/>
          <w:color w:val="222222"/>
          <w:sz w:val="24"/>
          <w:szCs w:val="24"/>
          <w:shd w:val="clear" w:color="auto" w:fill="FFFFFF"/>
        </w:rPr>
        <w:t xml:space="preserve">. </w:t>
      </w:r>
      <w:r w:rsidRPr="00A50139">
        <w:rPr>
          <w:rStyle w:val="ej-journal-doi"/>
          <w:rFonts w:ascii="Times New Roman" w:hAnsi="Times New Roman" w:cs="Times New Roman"/>
          <w:i/>
          <w:iCs/>
          <w:color w:val="3B3030"/>
          <w:sz w:val="24"/>
          <w:szCs w:val="24"/>
          <w:shd w:val="clear" w:color="auto" w:fill="FFFFFF"/>
        </w:rPr>
        <w:t>DOI: </w:t>
      </w:r>
      <w:r w:rsidRPr="00A50139">
        <w:rPr>
          <w:rFonts w:ascii="Times New Roman" w:hAnsi="Times New Roman" w:cs="Times New Roman"/>
          <w:color w:val="3B3030"/>
          <w:sz w:val="24"/>
          <w:szCs w:val="24"/>
          <w:shd w:val="clear" w:color="auto" w:fill="FFFFFF"/>
        </w:rPr>
        <w:t>10.1097/01.HCR.</w:t>
      </w:r>
      <w:proofErr w:type="gramStart"/>
      <w:r w:rsidRPr="00A50139">
        <w:rPr>
          <w:rFonts w:ascii="Times New Roman" w:hAnsi="Times New Roman" w:cs="Times New Roman"/>
          <w:color w:val="3B3030"/>
          <w:sz w:val="24"/>
          <w:szCs w:val="24"/>
          <w:shd w:val="clear" w:color="auto" w:fill="FFFFFF"/>
        </w:rPr>
        <w:t>0000311501.57022.a</w:t>
      </w:r>
      <w:proofErr w:type="gramEnd"/>
      <w:r w:rsidRPr="00A50139">
        <w:rPr>
          <w:rFonts w:ascii="Times New Roman" w:hAnsi="Times New Roman" w:cs="Times New Roman"/>
          <w:color w:val="3B3030"/>
          <w:sz w:val="24"/>
          <w:szCs w:val="24"/>
          <w:shd w:val="clear" w:color="auto" w:fill="FFFFFF"/>
        </w:rPr>
        <w:t xml:space="preserve">8 </w:t>
      </w:r>
    </w:p>
    <w:p w14:paraId="581474A7" w14:textId="77777777" w:rsidR="00EB48E9" w:rsidRPr="00A50139" w:rsidRDefault="009540B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Cowell, O. R., Mistry, N., Deighton, K., Matu, J., Griffiths, A., Minihane, A. M., ... &amp; </w:t>
      </w:r>
      <w:proofErr w:type="spellStart"/>
      <w:r w:rsidRPr="00A50139">
        <w:rPr>
          <w:rFonts w:ascii="Times New Roman" w:hAnsi="Times New Roman" w:cs="Times New Roman"/>
          <w:color w:val="222222"/>
          <w:sz w:val="24"/>
          <w:szCs w:val="24"/>
          <w:shd w:val="clear" w:color="auto" w:fill="FFFFFF"/>
        </w:rPr>
        <w:t>Siervo</w:t>
      </w:r>
      <w:proofErr w:type="spellEnd"/>
      <w:r w:rsidRPr="00A50139">
        <w:rPr>
          <w:rFonts w:ascii="Times New Roman" w:hAnsi="Times New Roman" w:cs="Times New Roman"/>
          <w:color w:val="222222"/>
          <w:sz w:val="24"/>
          <w:szCs w:val="24"/>
          <w:shd w:val="clear" w:color="auto" w:fill="FFFFFF"/>
        </w:rPr>
        <w:t>, M. Effects of a Mediterranean diet on blood pressure: a systematic review and meta-analysis of randomized controlled trials and observational studies. </w:t>
      </w:r>
      <w:r w:rsidR="004A45AA" w:rsidRPr="00A50139">
        <w:rPr>
          <w:rFonts w:ascii="Times New Roman" w:hAnsi="Times New Roman" w:cs="Times New Roman"/>
          <w:color w:val="000000" w:themeColor="text1"/>
          <w:sz w:val="24"/>
          <w:szCs w:val="24"/>
        </w:rPr>
        <w:t xml:space="preserve">J </w:t>
      </w:r>
      <w:proofErr w:type="spellStart"/>
      <w:r w:rsidR="004A45AA" w:rsidRPr="00A50139">
        <w:rPr>
          <w:rFonts w:ascii="Times New Roman" w:hAnsi="Times New Roman" w:cs="Times New Roman"/>
          <w:color w:val="000000" w:themeColor="text1"/>
          <w:sz w:val="24"/>
          <w:szCs w:val="24"/>
        </w:rPr>
        <w:t>Hypertens</w:t>
      </w:r>
      <w:proofErr w:type="spellEnd"/>
      <w:r w:rsidR="004A45AA" w:rsidRPr="00A50139">
        <w:rPr>
          <w:rFonts w:ascii="Times New Roman" w:hAnsi="Times New Roman" w:cs="Times New Roman"/>
          <w:color w:val="000000" w:themeColor="text1"/>
          <w:sz w:val="24"/>
          <w:szCs w:val="24"/>
        </w:rPr>
        <w: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39</w:t>
      </w:r>
      <w:r w:rsidRPr="00A50139">
        <w:rPr>
          <w:rFonts w:ascii="Times New Roman" w:hAnsi="Times New Roman" w:cs="Times New Roman"/>
          <w:color w:val="222222"/>
          <w:sz w:val="24"/>
          <w:szCs w:val="24"/>
          <w:shd w:val="clear" w:color="auto" w:fill="FFFFFF"/>
        </w:rPr>
        <w:t>(4), 729-739</w:t>
      </w:r>
      <w:r w:rsidR="004A45AA" w:rsidRPr="00A50139">
        <w:rPr>
          <w:rFonts w:ascii="Times New Roman" w:hAnsi="Times New Roman" w:cs="Times New Roman"/>
          <w:color w:val="222222"/>
          <w:sz w:val="24"/>
          <w:szCs w:val="24"/>
          <w:shd w:val="clear" w:color="auto" w:fill="FFFFFF"/>
        </w:rPr>
        <w:t xml:space="preserve">. </w:t>
      </w:r>
      <w:r w:rsidR="005D4A1B" w:rsidRPr="00A50139">
        <w:rPr>
          <w:rStyle w:val="ej-journal-doi"/>
          <w:rFonts w:ascii="Times New Roman" w:hAnsi="Times New Roman" w:cs="Times New Roman"/>
          <w:i/>
          <w:iCs/>
          <w:color w:val="3B3030"/>
          <w:sz w:val="24"/>
          <w:szCs w:val="24"/>
          <w:shd w:val="clear" w:color="auto" w:fill="FFFFFF"/>
        </w:rPr>
        <w:t>DOI: </w:t>
      </w:r>
      <w:r w:rsidR="005D4A1B" w:rsidRPr="00A50139">
        <w:rPr>
          <w:rFonts w:ascii="Times New Roman" w:hAnsi="Times New Roman" w:cs="Times New Roman"/>
          <w:color w:val="3B3030"/>
          <w:sz w:val="24"/>
          <w:szCs w:val="24"/>
          <w:shd w:val="clear" w:color="auto" w:fill="FFFFFF"/>
        </w:rPr>
        <w:t>10.1097/01.HCR.</w:t>
      </w:r>
      <w:proofErr w:type="gramStart"/>
      <w:r w:rsidR="005D4A1B" w:rsidRPr="00A50139">
        <w:rPr>
          <w:rFonts w:ascii="Times New Roman" w:hAnsi="Times New Roman" w:cs="Times New Roman"/>
          <w:color w:val="3B3030"/>
          <w:sz w:val="24"/>
          <w:szCs w:val="24"/>
          <w:shd w:val="clear" w:color="auto" w:fill="FFFFFF"/>
        </w:rPr>
        <w:t>0000311501.57022.a</w:t>
      </w:r>
      <w:proofErr w:type="gramEnd"/>
      <w:r w:rsidR="005D4A1B" w:rsidRPr="00A50139">
        <w:rPr>
          <w:rFonts w:ascii="Times New Roman" w:hAnsi="Times New Roman" w:cs="Times New Roman"/>
          <w:color w:val="3B3030"/>
          <w:sz w:val="24"/>
          <w:szCs w:val="24"/>
          <w:shd w:val="clear" w:color="auto" w:fill="FFFFFF"/>
        </w:rPr>
        <w:t xml:space="preserve">8 </w:t>
      </w:r>
    </w:p>
    <w:p w14:paraId="23CC009D" w14:textId="77777777"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Willett, W., </w:t>
      </w:r>
      <w:proofErr w:type="spellStart"/>
      <w:r w:rsidRPr="00A50139">
        <w:rPr>
          <w:rFonts w:ascii="Times New Roman" w:hAnsi="Times New Roman" w:cs="Times New Roman"/>
          <w:color w:val="222222"/>
          <w:sz w:val="24"/>
          <w:szCs w:val="24"/>
          <w:shd w:val="clear" w:color="auto" w:fill="FFFFFF"/>
        </w:rPr>
        <w:t>Rockström</w:t>
      </w:r>
      <w:proofErr w:type="spellEnd"/>
      <w:r w:rsidRPr="00A50139">
        <w:rPr>
          <w:rFonts w:ascii="Times New Roman" w:hAnsi="Times New Roman" w:cs="Times New Roman"/>
          <w:color w:val="222222"/>
          <w:sz w:val="24"/>
          <w:szCs w:val="24"/>
          <w:shd w:val="clear" w:color="auto" w:fill="FFFFFF"/>
        </w:rPr>
        <w:t>, J., Loken, B., Springmann, M., Lang, T., Vermeulen, Garnett T..... &amp; Murray, C. J. Food in the Anthropocene: the EAT–Lancet Commission on healthy diets from sustainable food systems. </w:t>
      </w:r>
      <w:r w:rsidRPr="00A50139">
        <w:rPr>
          <w:rFonts w:ascii="Times New Roman" w:hAnsi="Times New Roman" w:cs="Times New Roman"/>
          <w:i/>
          <w:iCs/>
          <w:color w:val="222222"/>
          <w:sz w:val="24"/>
          <w:szCs w:val="24"/>
          <w:shd w:val="clear" w:color="auto" w:fill="FFFFFF"/>
        </w:rPr>
        <w:t>The lancet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(2019).  </w:t>
      </w:r>
      <w:r w:rsidRPr="00A50139">
        <w:rPr>
          <w:rFonts w:ascii="Times New Roman" w:hAnsi="Times New Roman" w:cs="Times New Roman"/>
          <w:i/>
          <w:iCs/>
          <w:color w:val="222222"/>
          <w:sz w:val="24"/>
          <w:szCs w:val="24"/>
          <w:shd w:val="clear" w:color="auto" w:fill="FFFFFF"/>
        </w:rPr>
        <w:t>393</w:t>
      </w:r>
      <w:r w:rsidRPr="00A50139">
        <w:rPr>
          <w:rFonts w:ascii="Times New Roman" w:hAnsi="Times New Roman" w:cs="Times New Roman"/>
          <w:color w:val="222222"/>
          <w:sz w:val="24"/>
          <w:szCs w:val="24"/>
          <w:shd w:val="clear" w:color="auto" w:fill="FFFFFF"/>
        </w:rPr>
        <w:t>(10170), 447-492</w:t>
      </w:r>
      <w:r w:rsidR="004A45AA" w:rsidRPr="00A50139">
        <w:rPr>
          <w:rFonts w:ascii="Times New Roman" w:hAnsi="Times New Roman" w:cs="Times New Roman"/>
          <w:color w:val="222222"/>
          <w:sz w:val="24"/>
          <w:szCs w:val="24"/>
          <w:shd w:val="clear" w:color="auto" w:fill="FFFFFF"/>
        </w:rPr>
        <w:t xml:space="preserve">. </w:t>
      </w:r>
      <w:r w:rsidR="00EB48E9" w:rsidRPr="00A50139">
        <w:rPr>
          <w:rFonts w:ascii="Times New Roman" w:hAnsi="Times New Roman" w:cs="Times New Roman"/>
          <w:color w:val="000000" w:themeColor="text1"/>
          <w:sz w:val="24"/>
          <w:szCs w:val="24"/>
        </w:rPr>
        <w:t>doi:10.1016/ s0140-6736(18)31788-4</w:t>
      </w:r>
    </w:p>
    <w:p w14:paraId="6440479F" w14:textId="77777777"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222222"/>
          <w:sz w:val="24"/>
          <w:szCs w:val="24"/>
          <w:shd w:val="clear" w:color="auto" w:fill="FFFFFF"/>
        </w:rPr>
        <w:t>Golovinskaia</w:t>
      </w:r>
      <w:proofErr w:type="spellEnd"/>
      <w:r w:rsidRPr="00A50139">
        <w:rPr>
          <w:rFonts w:ascii="Times New Roman" w:hAnsi="Times New Roman" w:cs="Times New Roman"/>
          <w:color w:val="222222"/>
          <w:sz w:val="24"/>
          <w:szCs w:val="24"/>
          <w:shd w:val="clear" w:color="auto" w:fill="FFFFFF"/>
        </w:rPr>
        <w:t xml:space="preserve">, </w:t>
      </w:r>
      <w:r w:rsidR="004A45AA" w:rsidRPr="00A50139">
        <w:rPr>
          <w:rFonts w:ascii="Times New Roman" w:hAnsi="Times New Roman" w:cs="Times New Roman"/>
          <w:color w:val="222222"/>
          <w:sz w:val="24"/>
          <w:szCs w:val="24"/>
          <w:shd w:val="clear" w:color="auto" w:fill="FFFFFF"/>
        </w:rPr>
        <w:t>O., &amp; Wang, C. K</w:t>
      </w:r>
      <w:r w:rsidRPr="00A50139">
        <w:rPr>
          <w:rFonts w:ascii="Times New Roman" w:hAnsi="Times New Roman" w:cs="Times New Roman"/>
          <w:color w:val="222222"/>
          <w:sz w:val="24"/>
          <w:szCs w:val="24"/>
          <w:shd w:val="clear" w:color="auto" w:fill="FFFFFF"/>
        </w:rPr>
        <w:t>. Review of functional and pharmacological activities of berries. </w:t>
      </w:r>
      <w:r w:rsidRPr="00A50139">
        <w:rPr>
          <w:rFonts w:ascii="Times New Roman" w:hAnsi="Times New Roman" w:cs="Times New Roman"/>
          <w:i/>
          <w:iCs/>
          <w:color w:val="222222"/>
          <w:sz w:val="24"/>
          <w:szCs w:val="24"/>
          <w:shd w:val="clear" w:color="auto" w:fill="FFFFFF"/>
        </w:rPr>
        <w:t>Molecules</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26</w:t>
      </w:r>
      <w:r w:rsidRPr="00A50139">
        <w:rPr>
          <w:rFonts w:ascii="Times New Roman" w:hAnsi="Times New Roman" w:cs="Times New Roman"/>
          <w:color w:val="222222"/>
          <w:sz w:val="24"/>
          <w:szCs w:val="24"/>
          <w:shd w:val="clear" w:color="auto" w:fill="FFFFFF"/>
        </w:rPr>
        <w:t>(13), 3904</w:t>
      </w:r>
      <w:r w:rsidR="00EB48E9" w:rsidRPr="00A50139">
        <w:rPr>
          <w:rFonts w:ascii="Times New Roman" w:hAnsi="Times New Roman" w:cs="Times New Roman"/>
          <w:color w:val="000000" w:themeColor="text1"/>
          <w:sz w:val="24"/>
          <w:szCs w:val="24"/>
        </w:rPr>
        <w:t xml:space="preserve">. </w:t>
      </w:r>
      <w:hyperlink r:id="rId11" w:history="1">
        <w:r w:rsidRPr="00A50139">
          <w:rPr>
            <w:rStyle w:val="Hyperlink"/>
            <w:rFonts w:ascii="Times New Roman" w:hAnsi="Times New Roman" w:cs="Times New Roman"/>
            <w:b/>
            <w:bCs/>
            <w:color w:val="4F5671"/>
            <w:sz w:val="24"/>
            <w:szCs w:val="24"/>
            <w:shd w:val="clear" w:color="auto" w:fill="FFFFFF"/>
          </w:rPr>
          <w:t>https://doi.org/10.3390/molecules26133904</w:t>
        </w:r>
      </w:hyperlink>
    </w:p>
    <w:p w14:paraId="11088EA2" w14:textId="77777777"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lastRenderedPageBreak/>
        <w:t>Lin, M., Li, Y., Gao, Q., Shi, L., He, W., Li, W., ... &amp; Zhang, Z. Dynamic changes in physicochemical and transcriptional expression profiles of mulberry (Morus alba L.) fruit during ripening. </w:t>
      </w:r>
      <w:r w:rsidRPr="00A50139">
        <w:rPr>
          <w:rFonts w:ascii="Times New Roman" w:hAnsi="Times New Roman" w:cs="Times New Roman"/>
          <w:i/>
          <w:iCs/>
          <w:color w:val="222222"/>
          <w:sz w:val="24"/>
          <w:szCs w:val="24"/>
          <w:shd w:val="clear" w:color="auto" w:fill="FFFFFF"/>
        </w:rPr>
        <w:t>Food Bioscience</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(2024). </w:t>
      </w:r>
      <w:r w:rsidRPr="00A50139">
        <w:rPr>
          <w:rFonts w:ascii="Times New Roman" w:hAnsi="Times New Roman" w:cs="Times New Roman"/>
          <w:i/>
          <w:iCs/>
          <w:color w:val="222222"/>
          <w:sz w:val="24"/>
          <w:szCs w:val="24"/>
          <w:shd w:val="clear" w:color="auto" w:fill="FFFFFF"/>
        </w:rPr>
        <w:t>57</w:t>
      </w:r>
      <w:r w:rsidRPr="00A50139">
        <w:rPr>
          <w:rFonts w:ascii="Times New Roman" w:hAnsi="Times New Roman" w:cs="Times New Roman"/>
          <w:color w:val="222222"/>
          <w:sz w:val="24"/>
          <w:szCs w:val="24"/>
          <w:shd w:val="clear" w:color="auto" w:fill="FFFFFF"/>
        </w:rPr>
        <w:t>, 103606.</w:t>
      </w:r>
      <w:r w:rsidR="00EB48E9" w:rsidRPr="00A50139">
        <w:rPr>
          <w:rFonts w:ascii="Times New Roman" w:hAnsi="Times New Roman" w:cs="Times New Roman"/>
          <w:color w:val="000000" w:themeColor="text1"/>
          <w:sz w:val="24"/>
          <w:szCs w:val="24"/>
        </w:rPr>
        <w:t xml:space="preserve"> </w:t>
      </w:r>
      <w:hyperlink r:id="rId12" w:tgtFrame="_blank" w:tooltip="Persistent link using digital object identifier" w:history="1">
        <w:r w:rsidRPr="00A50139">
          <w:rPr>
            <w:rStyle w:val="anchor-text"/>
            <w:rFonts w:ascii="Times New Roman" w:hAnsi="Times New Roman" w:cs="Times New Roman"/>
            <w:color w:val="0272B1"/>
            <w:sz w:val="24"/>
            <w:szCs w:val="24"/>
          </w:rPr>
          <w:t>https://doi.org/10.1016/j.fbio.2024.103606</w:t>
        </w:r>
      </w:hyperlink>
      <w:r w:rsidR="00EB48E9" w:rsidRPr="00A50139">
        <w:rPr>
          <w:rFonts w:ascii="Times New Roman" w:hAnsi="Times New Roman" w:cs="Times New Roman"/>
          <w:color w:val="000000" w:themeColor="text1"/>
          <w:sz w:val="24"/>
          <w:szCs w:val="24"/>
        </w:rPr>
        <w:t xml:space="preserve"> </w:t>
      </w:r>
    </w:p>
    <w:p w14:paraId="10549799" w14:textId="77777777" w:rsidR="00EB48E9" w:rsidRPr="00A50139" w:rsidRDefault="005D4A1B"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Wang, K., Qi, J., Jin, Y., Li, F., Wang, J., &amp; Xu, H. Influence of fruit maturity and lactic fermentation on physicochemical properties, phenolics, volatiles, and sensory of mulberry juice. </w:t>
      </w:r>
      <w:r w:rsidRPr="00A50139">
        <w:rPr>
          <w:rFonts w:ascii="Times New Roman" w:hAnsi="Times New Roman" w:cs="Times New Roman"/>
          <w:i/>
          <w:iCs/>
          <w:color w:val="222222"/>
          <w:sz w:val="24"/>
          <w:szCs w:val="24"/>
          <w:shd w:val="clear" w:color="auto" w:fill="FFFFFF"/>
        </w:rPr>
        <w:t>Food Bioscience</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(2022). </w:t>
      </w:r>
      <w:r w:rsidRPr="00A50139">
        <w:rPr>
          <w:rFonts w:ascii="Times New Roman" w:hAnsi="Times New Roman" w:cs="Times New Roman"/>
          <w:i/>
          <w:iCs/>
          <w:color w:val="222222"/>
          <w:sz w:val="24"/>
          <w:szCs w:val="24"/>
          <w:shd w:val="clear" w:color="auto" w:fill="FFFFFF"/>
        </w:rPr>
        <w:t>48</w:t>
      </w:r>
      <w:r w:rsidRPr="00A50139">
        <w:rPr>
          <w:rFonts w:ascii="Times New Roman" w:hAnsi="Times New Roman" w:cs="Times New Roman"/>
          <w:color w:val="222222"/>
          <w:sz w:val="24"/>
          <w:szCs w:val="24"/>
          <w:shd w:val="clear" w:color="auto" w:fill="FFFFFF"/>
        </w:rPr>
        <w:t>, 101782.</w:t>
      </w:r>
      <w:r w:rsidR="00EB48E9" w:rsidRPr="00A50139">
        <w:rPr>
          <w:rFonts w:ascii="Times New Roman" w:hAnsi="Times New Roman" w:cs="Times New Roman"/>
          <w:color w:val="000000" w:themeColor="text1"/>
          <w:sz w:val="24"/>
          <w:szCs w:val="24"/>
        </w:rPr>
        <w:t xml:space="preserve"> </w:t>
      </w:r>
      <w:hyperlink r:id="rId13" w:tgtFrame="_blank" w:tooltip="Persistent link using digital object identifier" w:history="1">
        <w:r w:rsidRPr="00A50139">
          <w:rPr>
            <w:rStyle w:val="anchor-text"/>
            <w:rFonts w:ascii="Times New Roman" w:hAnsi="Times New Roman" w:cs="Times New Roman"/>
            <w:color w:val="0272B1"/>
            <w:sz w:val="24"/>
            <w:szCs w:val="24"/>
          </w:rPr>
          <w:t>https://doi.org/10.1016/j.fbio.2022.101782</w:t>
        </w:r>
      </w:hyperlink>
    </w:p>
    <w:p w14:paraId="18488BA5" w14:textId="77777777"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Martins, M. S., Gonçalves, A. C., Alves, G., &amp; Silva, L. R. Blackberries and mulberries: Berries with significant health-promoting properties. </w:t>
      </w:r>
      <w:r w:rsidR="0014740A" w:rsidRPr="00A50139">
        <w:rPr>
          <w:rFonts w:ascii="Times New Roman" w:hAnsi="Times New Roman" w:cs="Times New Roman"/>
          <w:color w:val="000000" w:themeColor="text1"/>
          <w:sz w:val="24"/>
          <w:szCs w:val="24"/>
        </w:rPr>
        <w:t>Int J Mol Sci</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(2023). </w:t>
      </w:r>
      <w:r w:rsidRPr="00A50139">
        <w:rPr>
          <w:rFonts w:ascii="Times New Roman" w:hAnsi="Times New Roman" w:cs="Times New Roman"/>
          <w:i/>
          <w:iCs/>
          <w:color w:val="222222"/>
          <w:sz w:val="24"/>
          <w:szCs w:val="24"/>
          <w:shd w:val="clear" w:color="auto" w:fill="FFFFFF"/>
        </w:rPr>
        <w:t>24</w:t>
      </w:r>
      <w:r w:rsidRPr="00A50139">
        <w:rPr>
          <w:rFonts w:ascii="Times New Roman" w:hAnsi="Times New Roman" w:cs="Times New Roman"/>
          <w:color w:val="222222"/>
          <w:sz w:val="24"/>
          <w:szCs w:val="24"/>
          <w:shd w:val="clear" w:color="auto" w:fill="FFFFFF"/>
        </w:rPr>
        <w:t>(15), 12024.</w:t>
      </w:r>
      <w:r w:rsidR="00EB48E9" w:rsidRPr="00A50139">
        <w:rPr>
          <w:rFonts w:ascii="Times New Roman" w:hAnsi="Times New Roman" w:cs="Times New Roman"/>
          <w:color w:val="000000" w:themeColor="text1"/>
          <w:sz w:val="24"/>
          <w:szCs w:val="24"/>
        </w:rPr>
        <w:t xml:space="preserve"> </w:t>
      </w:r>
      <w:hyperlink r:id="rId14" w:history="1">
        <w:r w:rsidRPr="00A50139">
          <w:rPr>
            <w:rStyle w:val="Hyperlink"/>
            <w:rFonts w:ascii="Times New Roman" w:hAnsi="Times New Roman" w:cs="Times New Roman"/>
            <w:b/>
            <w:bCs/>
            <w:color w:val="4F5671"/>
            <w:sz w:val="24"/>
            <w:szCs w:val="24"/>
            <w:shd w:val="clear" w:color="auto" w:fill="FFFFFF"/>
          </w:rPr>
          <w:t>https://doi.org/10.3390/ijms241512024</w:t>
        </w:r>
      </w:hyperlink>
    </w:p>
    <w:p w14:paraId="32220239" w14:textId="77777777"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Li, E., Long, X., Liao, S., Pang, D., Li, Q., &amp; Zou, Y. Effect of mulberry </w:t>
      </w:r>
      <w:proofErr w:type="spellStart"/>
      <w:r w:rsidRPr="00A50139">
        <w:rPr>
          <w:rFonts w:ascii="Times New Roman" w:hAnsi="Times New Roman" w:cs="Times New Roman"/>
          <w:color w:val="222222"/>
          <w:sz w:val="24"/>
          <w:szCs w:val="24"/>
          <w:shd w:val="clear" w:color="auto" w:fill="FFFFFF"/>
        </w:rPr>
        <w:t>galacto</w:t>
      </w:r>
      <w:proofErr w:type="spellEnd"/>
      <w:r w:rsidRPr="00A50139">
        <w:rPr>
          <w:rFonts w:ascii="Times New Roman" w:hAnsi="Times New Roman" w:cs="Times New Roman"/>
          <w:color w:val="222222"/>
          <w:sz w:val="24"/>
          <w:szCs w:val="24"/>
          <w:shd w:val="clear" w:color="auto" w:fill="FFFFFF"/>
        </w:rPr>
        <w:t>-oligosaccharide isolated from mulberry on glucose metabolism and gut microbiota in a type 2 diabetic mice. </w:t>
      </w:r>
      <w:r w:rsidR="0014740A" w:rsidRPr="00A50139">
        <w:rPr>
          <w:rFonts w:ascii="Times New Roman" w:hAnsi="Times New Roman" w:cs="Times New Roman"/>
          <w:color w:val="000000" w:themeColor="text1"/>
          <w:sz w:val="24"/>
          <w:szCs w:val="24"/>
        </w:rPr>
        <w:t xml:space="preserve">J </w:t>
      </w:r>
      <w:proofErr w:type="spellStart"/>
      <w:r w:rsidR="0014740A" w:rsidRPr="00A50139">
        <w:rPr>
          <w:rFonts w:ascii="Times New Roman" w:hAnsi="Times New Roman" w:cs="Times New Roman"/>
          <w:color w:val="000000" w:themeColor="text1"/>
          <w:sz w:val="24"/>
          <w:szCs w:val="24"/>
        </w:rPr>
        <w:t>Funct</w:t>
      </w:r>
      <w:proofErr w:type="spellEnd"/>
      <w:r w:rsidR="0014740A" w:rsidRPr="00A50139">
        <w:rPr>
          <w:rFonts w:ascii="Times New Roman" w:hAnsi="Times New Roman" w:cs="Times New Roman"/>
          <w:color w:val="000000" w:themeColor="text1"/>
          <w:sz w:val="24"/>
          <w:szCs w:val="24"/>
        </w:rPr>
        <w:t xml:space="preserve"> Foods</w:t>
      </w:r>
      <w:r w:rsidRPr="00A50139">
        <w:rPr>
          <w:rFonts w:ascii="Times New Roman" w:hAnsi="Times New Roman" w:cs="Times New Roman"/>
          <w:color w:val="222222"/>
          <w:sz w:val="24"/>
          <w:szCs w:val="24"/>
          <w:shd w:val="clear" w:color="auto" w:fill="FFFFFF"/>
        </w:rPr>
        <w:t>, </w:t>
      </w:r>
      <w:r w:rsidR="0014740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87</w:t>
      </w:r>
      <w:r w:rsidRPr="00A50139">
        <w:rPr>
          <w:rFonts w:ascii="Times New Roman" w:hAnsi="Times New Roman" w:cs="Times New Roman"/>
          <w:color w:val="222222"/>
          <w:sz w:val="24"/>
          <w:szCs w:val="24"/>
          <w:shd w:val="clear" w:color="auto" w:fill="FFFFFF"/>
        </w:rPr>
        <w:t>, 104836</w:t>
      </w:r>
      <w:r w:rsidR="00EB48E9" w:rsidRPr="00A50139">
        <w:rPr>
          <w:rFonts w:ascii="Times New Roman" w:hAnsi="Times New Roman" w:cs="Times New Roman"/>
          <w:color w:val="000000" w:themeColor="text1"/>
          <w:sz w:val="24"/>
          <w:szCs w:val="24"/>
        </w:rPr>
        <w:t>.</w:t>
      </w:r>
      <w:r w:rsidR="0014740A" w:rsidRPr="00A50139">
        <w:rPr>
          <w:rFonts w:ascii="Times New Roman" w:hAnsi="Times New Roman" w:cs="Times New Roman"/>
          <w:color w:val="000000" w:themeColor="text1"/>
          <w:sz w:val="24"/>
          <w:szCs w:val="24"/>
        </w:rPr>
        <w:t xml:space="preserve"> </w:t>
      </w:r>
      <w:hyperlink r:id="rId15" w:tgtFrame="_blank" w:tooltip="Persistent link using digital object identifier" w:history="1">
        <w:r w:rsidRPr="00A50139">
          <w:rPr>
            <w:rStyle w:val="anchor-text"/>
            <w:rFonts w:ascii="Times New Roman" w:hAnsi="Times New Roman" w:cs="Times New Roman"/>
            <w:color w:val="0272B1"/>
            <w:sz w:val="24"/>
            <w:szCs w:val="24"/>
          </w:rPr>
          <w:t>https://doi.org/10.1016/j.jff.2021.104836</w:t>
        </w:r>
      </w:hyperlink>
    </w:p>
    <w:p w14:paraId="5DBC10E8"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Mottaghi</w:t>
      </w:r>
      <w:proofErr w:type="spellEnd"/>
      <w:r w:rsidRPr="00A50139">
        <w:rPr>
          <w:rFonts w:ascii="Times New Roman" w:hAnsi="Times New Roman" w:cs="Times New Roman"/>
          <w:color w:val="000000" w:themeColor="text1"/>
          <w:sz w:val="24"/>
          <w:szCs w:val="24"/>
        </w:rPr>
        <w:t xml:space="preserve"> S, </w:t>
      </w:r>
      <w:proofErr w:type="spellStart"/>
      <w:r w:rsidRPr="00A50139">
        <w:rPr>
          <w:rFonts w:ascii="Times New Roman" w:hAnsi="Times New Roman" w:cs="Times New Roman"/>
          <w:color w:val="000000" w:themeColor="text1"/>
          <w:sz w:val="24"/>
          <w:szCs w:val="24"/>
        </w:rPr>
        <w:t>Abbaszadeh</w:t>
      </w:r>
      <w:proofErr w:type="spellEnd"/>
      <w:r w:rsidRPr="00A50139">
        <w:rPr>
          <w:rFonts w:ascii="Times New Roman" w:hAnsi="Times New Roman" w:cs="Times New Roman"/>
          <w:color w:val="000000" w:themeColor="text1"/>
          <w:sz w:val="24"/>
          <w:szCs w:val="24"/>
        </w:rPr>
        <w:t xml:space="preserve"> H. </w:t>
      </w:r>
      <w:r w:rsidR="0014740A" w:rsidRPr="00A50139">
        <w:rPr>
          <w:rFonts w:ascii="Times New Roman" w:hAnsi="Times New Roman" w:cs="Times New Roman"/>
          <w:color w:val="222222"/>
          <w:sz w:val="24"/>
          <w:szCs w:val="24"/>
          <w:shd w:val="clear" w:color="auto" w:fill="FFFFFF"/>
        </w:rPr>
        <w:t>The anticarcinogenic and anticancer effects of the dietary flavonoid, morin: Current status, challenges, and future perspectives</w:t>
      </w:r>
      <w:r w:rsidRPr="00A50139">
        <w:rPr>
          <w:rFonts w:ascii="Times New Roman" w:hAnsi="Times New Roman" w:cs="Times New Roman"/>
          <w:color w:val="000000" w:themeColor="text1"/>
          <w:sz w:val="24"/>
          <w:szCs w:val="24"/>
        </w:rPr>
        <w:t xml:space="preserve">. </w:t>
      </w:r>
      <w:proofErr w:type="spellStart"/>
      <w:r w:rsidRPr="00A50139">
        <w:rPr>
          <w:rFonts w:ascii="Times New Roman" w:hAnsi="Times New Roman" w:cs="Times New Roman"/>
          <w:color w:val="000000" w:themeColor="text1"/>
          <w:sz w:val="24"/>
          <w:szCs w:val="24"/>
        </w:rPr>
        <w:t>Phytother</w:t>
      </w:r>
      <w:proofErr w:type="spellEnd"/>
      <w:r w:rsidRPr="00A50139">
        <w:rPr>
          <w:rFonts w:ascii="Times New Roman" w:hAnsi="Times New Roman" w:cs="Times New Roman"/>
          <w:color w:val="000000" w:themeColor="text1"/>
          <w:sz w:val="24"/>
          <w:szCs w:val="24"/>
        </w:rPr>
        <w:t xml:space="preserve"> Res. 2021;35(12):6843-6861. </w:t>
      </w:r>
      <w:hyperlink r:id="rId16" w:history="1">
        <w:r w:rsidR="0014740A" w:rsidRPr="00A50139">
          <w:rPr>
            <w:rStyle w:val="Hyperlink"/>
            <w:rFonts w:ascii="Times New Roman" w:hAnsi="Times New Roman" w:cs="Times New Roman"/>
            <w:b/>
            <w:bCs/>
            <w:color w:val="123D80"/>
            <w:sz w:val="24"/>
            <w:szCs w:val="24"/>
            <w:shd w:val="clear" w:color="auto" w:fill="FFFFFF"/>
          </w:rPr>
          <w:t>https://doi.org/10.1002/ptr.7270</w:t>
        </w:r>
      </w:hyperlink>
    </w:p>
    <w:p w14:paraId="12E18A12" w14:textId="77777777" w:rsidR="00EB48E9" w:rsidRPr="00A50139" w:rsidRDefault="0014740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Li, Z., Chen, X., Liu, G., Li, J., Zhang, J., Cao, Y., &amp; Miao, J</w:t>
      </w:r>
      <w:r w:rsidR="00EB48E9" w:rsidRPr="00A50139">
        <w:rPr>
          <w:rFonts w:ascii="Times New Roman" w:hAnsi="Times New Roman" w:cs="Times New Roman"/>
          <w:color w:val="000000" w:themeColor="text1"/>
          <w:sz w:val="24"/>
          <w:szCs w:val="24"/>
        </w:rPr>
        <w:t>. Antioxidant activity and mechanism of resveratrol and polydatin isolated from Mulberry (</w:t>
      </w:r>
      <w:r w:rsidR="00EB48E9" w:rsidRPr="00A50139">
        <w:rPr>
          <w:rFonts w:ascii="Times New Roman" w:hAnsi="Times New Roman" w:cs="Times New Roman"/>
          <w:i/>
          <w:color w:val="000000" w:themeColor="text1"/>
          <w:sz w:val="24"/>
          <w:szCs w:val="24"/>
        </w:rPr>
        <w:t>Morus alba</w:t>
      </w:r>
      <w:r w:rsidRPr="00A50139">
        <w:rPr>
          <w:rFonts w:ascii="Times New Roman" w:hAnsi="Times New Roman" w:cs="Times New Roman"/>
          <w:color w:val="000000" w:themeColor="text1"/>
          <w:sz w:val="24"/>
          <w:szCs w:val="24"/>
        </w:rPr>
        <w:t xml:space="preserve"> L.). Molecules. 2021. </w:t>
      </w:r>
      <w:r w:rsidR="00EB48E9" w:rsidRPr="00A50139">
        <w:rPr>
          <w:rFonts w:ascii="Times New Roman" w:hAnsi="Times New Roman" w:cs="Times New Roman"/>
          <w:color w:val="000000" w:themeColor="text1"/>
          <w:sz w:val="24"/>
          <w:szCs w:val="24"/>
        </w:rPr>
        <w:t xml:space="preserve">26(24):7574. </w:t>
      </w:r>
      <w:r w:rsidRPr="00A50139">
        <w:rPr>
          <w:rFonts w:ascii="Times New Roman" w:hAnsi="Times New Roman" w:cs="Times New Roman"/>
          <w:color w:val="222222"/>
          <w:sz w:val="24"/>
          <w:szCs w:val="24"/>
          <w:shd w:val="clear" w:color="auto" w:fill="FFFFFF"/>
        </w:rPr>
        <w:t> </w:t>
      </w:r>
      <w:hyperlink r:id="rId17" w:history="1">
        <w:r w:rsidRPr="00A50139">
          <w:rPr>
            <w:rStyle w:val="Hyperlink"/>
            <w:rFonts w:ascii="Times New Roman" w:hAnsi="Times New Roman" w:cs="Times New Roman"/>
            <w:b/>
            <w:bCs/>
            <w:color w:val="4F5671"/>
            <w:sz w:val="24"/>
            <w:szCs w:val="24"/>
            <w:shd w:val="clear" w:color="auto" w:fill="FFFFFF"/>
          </w:rPr>
          <w:t>https://doi.org/10.3390/molecules26247574</w:t>
        </w:r>
      </w:hyperlink>
    </w:p>
    <w:p w14:paraId="717A9CB1"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Tembhare</w:t>
      </w:r>
      <w:proofErr w:type="spellEnd"/>
      <w:r w:rsidRPr="00A50139">
        <w:rPr>
          <w:rFonts w:ascii="Times New Roman" w:hAnsi="Times New Roman" w:cs="Times New Roman"/>
          <w:color w:val="000000" w:themeColor="text1"/>
          <w:sz w:val="24"/>
          <w:szCs w:val="24"/>
        </w:rPr>
        <w:t>, D. B. 2012. Modern Entomology. Himalaya Publishing House, Mumbai, India, 352-353.</w:t>
      </w:r>
    </w:p>
    <w:p w14:paraId="07DA2F6F" w14:textId="77777777"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Singhal, B. K., Khan, M. A., Dhar, A., </w:t>
      </w:r>
      <w:proofErr w:type="spellStart"/>
      <w:r w:rsidRPr="00A50139">
        <w:rPr>
          <w:rFonts w:ascii="Times New Roman" w:hAnsi="Times New Roman" w:cs="Times New Roman"/>
          <w:color w:val="222222"/>
          <w:sz w:val="24"/>
          <w:szCs w:val="24"/>
          <w:shd w:val="clear" w:color="auto" w:fill="FFFFFF"/>
        </w:rPr>
        <w:t>Baqual</w:t>
      </w:r>
      <w:proofErr w:type="spellEnd"/>
      <w:r w:rsidRPr="00A50139">
        <w:rPr>
          <w:rFonts w:ascii="Times New Roman" w:hAnsi="Times New Roman" w:cs="Times New Roman"/>
          <w:color w:val="222222"/>
          <w:sz w:val="24"/>
          <w:szCs w:val="24"/>
          <w:shd w:val="clear" w:color="auto" w:fill="FFFFFF"/>
        </w:rPr>
        <w:t xml:space="preserve">, F. M., &amp; </w:t>
      </w:r>
      <w:proofErr w:type="spellStart"/>
      <w:r w:rsidRPr="00A50139">
        <w:rPr>
          <w:rFonts w:ascii="Times New Roman" w:hAnsi="Times New Roman" w:cs="Times New Roman"/>
          <w:color w:val="222222"/>
          <w:sz w:val="24"/>
          <w:szCs w:val="24"/>
          <w:shd w:val="clear" w:color="auto" w:fill="FFFFFF"/>
        </w:rPr>
        <w:t>Bindroo</w:t>
      </w:r>
      <w:proofErr w:type="spellEnd"/>
      <w:r w:rsidRPr="00A50139">
        <w:rPr>
          <w:rFonts w:ascii="Times New Roman" w:hAnsi="Times New Roman" w:cs="Times New Roman"/>
          <w:color w:val="222222"/>
          <w:sz w:val="24"/>
          <w:szCs w:val="24"/>
          <w:shd w:val="clear" w:color="auto" w:fill="FFFFFF"/>
        </w:rPr>
        <w:t>, B. B</w:t>
      </w:r>
      <w:r w:rsidR="00EB48E9" w:rsidRPr="00A50139">
        <w:rPr>
          <w:rFonts w:ascii="Times New Roman" w:eastAsia="Times New Roman" w:hAnsi="Times New Roman" w:cs="Times New Roman"/>
          <w:color w:val="000000" w:themeColor="text1"/>
          <w:sz w:val="24"/>
          <w:szCs w:val="24"/>
          <w:lang w:eastAsia="en-IN"/>
        </w:rPr>
        <w:t xml:space="preserve">. Approaches to industrial exploitation of mulberry (Mulberry sp.) fruits. J Fruit </w:t>
      </w:r>
      <w:proofErr w:type="spellStart"/>
      <w:r w:rsidR="00EB48E9" w:rsidRPr="00A50139">
        <w:rPr>
          <w:rFonts w:ascii="Times New Roman" w:eastAsia="Times New Roman" w:hAnsi="Times New Roman" w:cs="Times New Roman"/>
          <w:color w:val="000000" w:themeColor="text1"/>
          <w:sz w:val="24"/>
          <w:szCs w:val="24"/>
          <w:lang w:eastAsia="en-IN"/>
        </w:rPr>
        <w:t>Ornam</w:t>
      </w:r>
      <w:proofErr w:type="spellEnd"/>
      <w:r w:rsidR="00EB48E9" w:rsidRPr="00A50139">
        <w:rPr>
          <w:rFonts w:ascii="Times New Roman" w:eastAsia="Times New Roman" w:hAnsi="Times New Roman" w:cs="Times New Roman"/>
          <w:color w:val="000000" w:themeColor="text1"/>
          <w:sz w:val="24"/>
          <w:szCs w:val="24"/>
          <w:lang w:eastAsia="en-IN"/>
        </w:rPr>
        <w:t xml:space="preserve"> Plant Res. 2010;18(1):83-99</w:t>
      </w:r>
    </w:p>
    <w:p w14:paraId="585A75FC" w14:textId="77777777"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Sánchez-Salcedo, E. M., Sendra, E., </w:t>
      </w:r>
      <w:proofErr w:type="spellStart"/>
      <w:r w:rsidRPr="00A50139">
        <w:rPr>
          <w:rFonts w:ascii="Times New Roman" w:hAnsi="Times New Roman" w:cs="Times New Roman"/>
          <w:color w:val="222222"/>
          <w:sz w:val="24"/>
          <w:szCs w:val="24"/>
          <w:shd w:val="clear" w:color="auto" w:fill="FFFFFF"/>
        </w:rPr>
        <w:t>Carbonell-Barrachina</w:t>
      </w:r>
      <w:proofErr w:type="spellEnd"/>
      <w:r w:rsidRPr="00A50139">
        <w:rPr>
          <w:rFonts w:ascii="Times New Roman" w:hAnsi="Times New Roman" w:cs="Times New Roman"/>
          <w:color w:val="222222"/>
          <w:sz w:val="24"/>
          <w:szCs w:val="24"/>
          <w:shd w:val="clear" w:color="auto" w:fill="FFFFFF"/>
        </w:rPr>
        <w:t>, Á. A., Martínez, J. J., &amp; Hernández, F. </w:t>
      </w:r>
      <w:r w:rsidR="00EB48E9" w:rsidRPr="00A50139">
        <w:rPr>
          <w:rFonts w:ascii="Times New Roman" w:eastAsia="Times New Roman" w:hAnsi="Times New Roman" w:cs="Times New Roman"/>
          <w:color w:val="000000" w:themeColor="text1"/>
          <w:sz w:val="24"/>
          <w:szCs w:val="24"/>
          <w:lang w:eastAsia="en-IN"/>
        </w:rPr>
        <w:t>Fatty acids composition of Spanish black (</w:t>
      </w:r>
      <w:r w:rsidR="00EB48E9" w:rsidRPr="00A50139">
        <w:rPr>
          <w:rFonts w:ascii="Times New Roman" w:eastAsia="Times New Roman" w:hAnsi="Times New Roman" w:cs="Times New Roman"/>
          <w:i/>
          <w:color w:val="000000" w:themeColor="text1"/>
          <w:sz w:val="24"/>
          <w:szCs w:val="24"/>
          <w:lang w:eastAsia="en-IN"/>
        </w:rPr>
        <w:t>Morus nigra</w:t>
      </w:r>
      <w:r w:rsidR="00EB48E9" w:rsidRPr="00A50139">
        <w:rPr>
          <w:rFonts w:ascii="Times New Roman" w:eastAsia="Times New Roman" w:hAnsi="Times New Roman" w:cs="Times New Roman"/>
          <w:color w:val="000000" w:themeColor="text1"/>
          <w:sz w:val="24"/>
          <w:szCs w:val="24"/>
          <w:lang w:eastAsia="en-IN"/>
        </w:rPr>
        <w:t xml:space="preserve"> L.) and white (</w:t>
      </w:r>
      <w:r w:rsidR="00EB48E9" w:rsidRPr="00A50139">
        <w:rPr>
          <w:rFonts w:ascii="Times New Roman" w:eastAsia="Times New Roman" w:hAnsi="Times New Roman" w:cs="Times New Roman"/>
          <w:i/>
          <w:color w:val="000000" w:themeColor="text1"/>
          <w:sz w:val="24"/>
          <w:szCs w:val="24"/>
          <w:lang w:eastAsia="en-IN"/>
        </w:rPr>
        <w:t>Morus alba</w:t>
      </w:r>
      <w:r w:rsidR="00EB48E9" w:rsidRPr="00A50139">
        <w:rPr>
          <w:rFonts w:ascii="Times New Roman" w:eastAsia="Times New Roman" w:hAnsi="Times New Roman" w:cs="Times New Roman"/>
          <w:color w:val="000000" w:themeColor="text1"/>
          <w:sz w:val="24"/>
          <w:szCs w:val="24"/>
          <w:lang w:eastAsia="en-IN"/>
        </w:rPr>
        <w:t xml:space="preserve"> L.) mulberries. Food Chem. 2016, 190, 566–571</w:t>
      </w:r>
      <w:r w:rsidRPr="00A50139">
        <w:rPr>
          <w:rFonts w:ascii="Times New Roman" w:eastAsia="Times New Roman" w:hAnsi="Times New Roman" w:cs="Times New Roman"/>
          <w:color w:val="000000" w:themeColor="text1"/>
          <w:sz w:val="24"/>
          <w:szCs w:val="24"/>
          <w:lang w:eastAsia="en-IN"/>
        </w:rPr>
        <w:t xml:space="preserve">. </w:t>
      </w:r>
      <w:hyperlink r:id="rId18" w:tgtFrame="_blank" w:tooltip="Persistent link using digital object identifier" w:history="1">
        <w:r w:rsidRPr="00A50139">
          <w:rPr>
            <w:rStyle w:val="anchor-text"/>
            <w:rFonts w:ascii="Times New Roman" w:hAnsi="Times New Roman" w:cs="Times New Roman"/>
            <w:color w:val="0272B1"/>
            <w:sz w:val="24"/>
            <w:szCs w:val="24"/>
          </w:rPr>
          <w:t>https://doi.org/10.1016/j.foodchem.2015.06.008</w:t>
        </w:r>
      </w:hyperlink>
    </w:p>
    <w:p w14:paraId="216D3B63" w14:textId="77777777"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Lee, Y., &amp; Hwang, K. T</w:t>
      </w:r>
      <w:r w:rsidR="00EB48E9" w:rsidRPr="00A50139">
        <w:rPr>
          <w:rFonts w:ascii="Times New Roman" w:eastAsia="Times New Roman" w:hAnsi="Times New Roman" w:cs="Times New Roman"/>
          <w:color w:val="000000" w:themeColor="text1"/>
          <w:sz w:val="24"/>
          <w:szCs w:val="24"/>
          <w:lang w:eastAsia="en-IN"/>
        </w:rPr>
        <w:t>. Changes in physicochemical properties of mulberry fruits (</w:t>
      </w:r>
      <w:r w:rsidR="00EB48E9" w:rsidRPr="00A50139">
        <w:rPr>
          <w:rFonts w:ascii="Times New Roman" w:eastAsia="Times New Roman" w:hAnsi="Times New Roman" w:cs="Times New Roman"/>
          <w:i/>
          <w:color w:val="000000" w:themeColor="text1"/>
          <w:sz w:val="24"/>
          <w:szCs w:val="24"/>
          <w:lang w:eastAsia="en-IN"/>
        </w:rPr>
        <w:t>Morus alba</w:t>
      </w:r>
      <w:r w:rsidR="00EB48E9" w:rsidRPr="00A50139">
        <w:rPr>
          <w:rFonts w:ascii="Times New Roman" w:eastAsia="Times New Roman" w:hAnsi="Times New Roman" w:cs="Times New Roman"/>
          <w:color w:val="000000" w:themeColor="text1"/>
          <w:sz w:val="24"/>
          <w:szCs w:val="24"/>
          <w:lang w:eastAsia="en-IN"/>
        </w:rPr>
        <w:t xml:space="preserve"> L.) during ripening. Sci. </w:t>
      </w:r>
      <w:proofErr w:type="spellStart"/>
      <w:r w:rsidR="00EB48E9" w:rsidRPr="00A50139">
        <w:rPr>
          <w:rFonts w:ascii="Times New Roman" w:eastAsia="Times New Roman" w:hAnsi="Times New Roman" w:cs="Times New Roman"/>
          <w:color w:val="000000" w:themeColor="text1"/>
          <w:sz w:val="24"/>
          <w:szCs w:val="24"/>
          <w:lang w:eastAsia="en-IN"/>
        </w:rPr>
        <w:t>Hortic</w:t>
      </w:r>
      <w:proofErr w:type="spellEnd"/>
      <w:r w:rsidR="00EB48E9" w:rsidRPr="00A50139">
        <w:rPr>
          <w:rFonts w:ascii="Times New Roman" w:eastAsia="Times New Roman" w:hAnsi="Times New Roman" w:cs="Times New Roman"/>
          <w:color w:val="000000" w:themeColor="text1"/>
          <w:sz w:val="24"/>
          <w:szCs w:val="24"/>
          <w:lang w:eastAsia="en-IN"/>
        </w:rPr>
        <w:t>. 2017, 217, 189–196</w:t>
      </w:r>
      <w:r w:rsidR="00645F5A" w:rsidRPr="00A50139">
        <w:rPr>
          <w:rFonts w:ascii="Times New Roman" w:eastAsia="Times New Roman" w:hAnsi="Times New Roman" w:cs="Times New Roman"/>
          <w:color w:val="000000" w:themeColor="text1"/>
          <w:sz w:val="24"/>
          <w:szCs w:val="24"/>
          <w:lang w:eastAsia="en-IN"/>
        </w:rPr>
        <w:t xml:space="preserve">. </w:t>
      </w:r>
      <w:hyperlink r:id="rId19" w:tgtFrame="_blank" w:tooltip="Persistent link using digital object identifier" w:history="1">
        <w:r w:rsidR="00645F5A" w:rsidRPr="00A50139">
          <w:rPr>
            <w:rStyle w:val="anchor-text"/>
            <w:rFonts w:ascii="Times New Roman" w:hAnsi="Times New Roman" w:cs="Times New Roman"/>
            <w:color w:val="0272B1"/>
            <w:sz w:val="24"/>
            <w:szCs w:val="24"/>
          </w:rPr>
          <w:t>https://doi.org/10.1016/j.scienta.2017.01.042</w:t>
        </w:r>
      </w:hyperlink>
    </w:p>
    <w:p w14:paraId="768BFB96" w14:textId="77777777"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Jiang, Y., &amp; Nie, W. J. </w:t>
      </w:r>
      <w:r w:rsidR="00EB48E9" w:rsidRPr="00A50139">
        <w:rPr>
          <w:rFonts w:ascii="Times New Roman" w:eastAsia="Times New Roman" w:hAnsi="Times New Roman" w:cs="Times New Roman"/>
          <w:color w:val="000000" w:themeColor="text1"/>
          <w:sz w:val="24"/>
          <w:szCs w:val="24"/>
          <w:lang w:eastAsia="en-IN"/>
        </w:rPr>
        <w:t>Chemical properties in fruits of mulberry species from the Xinjiang pro</w:t>
      </w:r>
      <w:r w:rsidRPr="00A50139">
        <w:rPr>
          <w:rFonts w:ascii="Times New Roman" w:eastAsia="Times New Roman" w:hAnsi="Times New Roman" w:cs="Times New Roman"/>
          <w:color w:val="000000" w:themeColor="text1"/>
          <w:sz w:val="24"/>
          <w:szCs w:val="24"/>
          <w:lang w:eastAsia="en-IN"/>
        </w:rPr>
        <w:t>vince of China. Food Chem. 2015.</w:t>
      </w:r>
      <w:r w:rsidR="00EB48E9" w:rsidRPr="00A50139">
        <w:rPr>
          <w:rFonts w:ascii="Times New Roman" w:eastAsia="Times New Roman" w:hAnsi="Times New Roman" w:cs="Times New Roman"/>
          <w:color w:val="000000" w:themeColor="text1"/>
          <w:sz w:val="24"/>
          <w:szCs w:val="24"/>
          <w:lang w:eastAsia="en-IN"/>
        </w:rPr>
        <w:t xml:space="preserve"> 174, 460–466.</w:t>
      </w:r>
      <w:r w:rsidRPr="00A50139">
        <w:rPr>
          <w:rFonts w:ascii="Times New Roman" w:eastAsia="Times New Roman" w:hAnsi="Times New Roman" w:cs="Times New Roman"/>
          <w:color w:val="000000" w:themeColor="text1"/>
          <w:sz w:val="24"/>
          <w:szCs w:val="24"/>
          <w:lang w:eastAsia="en-IN"/>
        </w:rPr>
        <w:t xml:space="preserve"> </w:t>
      </w:r>
      <w:hyperlink r:id="rId20" w:tgtFrame="_blank" w:tooltip="Persistent link using digital object identifier" w:history="1">
        <w:r w:rsidRPr="00A50139">
          <w:rPr>
            <w:rStyle w:val="anchor-text"/>
            <w:rFonts w:ascii="Times New Roman" w:hAnsi="Times New Roman" w:cs="Times New Roman"/>
            <w:color w:val="0272B1"/>
            <w:sz w:val="24"/>
            <w:szCs w:val="24"/>
          </w:rPr>
          <w:t>https://doi.org/10.1016/j.foodchem.2014.11.083</w:t>
        </w:r>
      </w:hyperlink>
    </w:p>
    <w:p w14:paraId="733F934A" w14:textId="77777777"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Chen, C., Zhang, B., Fu, X., You, L. J., Abbasi, A. M., &amp; Liu, R. H. </w:t>
      </w:r>
      <w:r w:rsidR="00EB48E9" w:rsidRPr="00A50139">
        <w:rPr>
          <w:rFonts w:ascii="Times New Roman" w:eastAsia="Times New Roman" w:hAnsi="Times New Roman" w:cs="Times New Roman"/>
          <w:color w:val="000000" w:themeColor="text1"/>
          <w:sz w:val="24"/>
          <w:szCs w:val="24"/>
          <w:lang w:eastAsia="en-IN"/>
        </w:rPr>
        <w:t xml:space="preserve"> The digestibility of mulberry fruit polysaccharides and its impact on lipolysis under simulated saliva, gastric and intestinal conditions. Food </w:t>
      </w:r>
      <w:proofErr w:type="spellStart"/>
      <w:r w:rsidR="00EB48E9" w:rsidRPr="00A50139">
        <w:rPr>
          <w:rFonts w:ascii="Times New Roman" w:eastAsia="Times New Roman" w:hAnsi="Times New Roman" w:cs="Times New Roman"/>
          <w:color w:val="000000" w:themeColor="text1"/>
          <w:sz w:val="24"/>
          <w:szCs w:val="24"/>
          <w:lang w:eastAsia="en-IN"/>
        </w:rPr>
        <w:t>Hydrocoll</w:t>
      </w:r>
      <w:proofErr w:type="spellEnd"/>
      <w:r w:rsidR="00EB48E9" w:rsidRPr="00A50139">
        <w:rPr>
          <w:rFonts w:ascii="Times New Roman" w:eastAsia="Times New Roman" w:hAnsi="Times New Roman" w:cs="Times New Roman"/>
          <w:color w:val="000000" w:themeColor="text1"/>
          <w:sz w:val="24"/>
          <w:szCs w:val="24"/>
          <w:lang w:eastAsia="en-IN"/>
        </w:rPr>
        <w:t>. 2016, 58, 171–178</w:t>
      </w:r>
      <w:r w:rsidRPr="00A50139">
        <w:rPr>
          <w:rFonts w:ascii="Times New Roman" w:eastAsia="Times New Roman" w:hAnsi="Times New Roman" w:cs="Times New Roman"/>
          <w:color w:val="000000" w:themeColor="text1"/>
          <w:sz w:val="24"/>
          <w:szCs w:val="24"/>
          <w:lang w:eastAsia="en-IN"/>
        </w:rPr>
        <w:t xml:space="preserve">. </w:t>
      </w:r>
      <w:hyperlink r:id="rId21" w:tgtFrame="_blank" w:tooltip="Persistent link using digital object identifier" w:history="1">
        <w:r w:rsidRPr="00A50139">
          <w:rPr>
            <w:rStyle w:val="anchor-text"/>
            <w:rFonts w:ascii="Times New Roman" w:hAnsi="Times New Roman" w:cs="Times New Roman"/>
            <w:color w:val="0272B1"/>
            <w:sz w:val="24"/>
            <w:szCs w:val="24"/>
          </w:rPr>
          <w:t>https://doi.org/10.1016/j.foodhyd.2016.02.033</w:t>
        </w:r>
      </w:hyperlink>
    </w:p>
    <w:p w14:paraId="69026A01" w14:textId="77777777" w:rsidR="00EB48E9" w:rsidRPr="00A50139" w:rsidRDefault="00645F5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Choi, J. W., </w:t>
      </w:r>
      <w:proofErr w:type="spellStart"/>
      <w:r w:rsidRPr="00A50139">
        <w:rPr>
          <w:rFonts w:ascii="Times New Roman" w:hAnsi="Times New Roman" w:cs="Times New Roman"/>
          <w:color w:val="222222"/>
          <w:sz w:val="24"/>
          <w:szCs w:val="24"/>
          <w:shd w:val="clear" w:color="auto" w:fill="FFFFFF"/>
        </w:rPr>
        <w:t>Synytsya</w:t>
      </w:r>
      <w:proofErr w:type="spellEnd"/>
      <w:r w:rsidRPr="00A50139">
        <w:rPr>
          <w:rFonts w:ascii="Times New Roman" w:hAnsi="Times New Roman" w:cs="Times New Roman"/>
          <w:color w:val="222222"/>
          <w:sz w:val="24"/>
          <w:szCs w:val="24"/>
          <w:shd w:val="clear" w:color="auto" w:fill="FFFFFF"/>
        </w:rPr>
        <w:t xml:space="preserve">, A., Capek, P., </w:t>
      </w:r>
      <w:proofErr w:type="spellStart"/>
      <w:r w:rsidRPr="00A50139">
        <w:rPr>
          <w:rFonts w:ascii="Times New Roman" w:hAnsi="Times New Roman" w:cs="Times New Roman"/>
          <w:color w:val="222222"/>
          <w:sz w:val="24"/>
          <w:szCs w:val="24"/>
          <w:shd w:val="clear" w:color="auto" w:fill="FFFFFF"/>
        </w:rPr>
        <w:t>Bleha</w:t>
      </w:r>
      <w:proofErr w:type="spellEnd"/>
      <w:r w:rsidRPr="00A50139">
        <w:rPr>
          <w:rFonts w:ascii="Times New Roman" w:hAnsi="Times New Roman" w:cs="Times New Roman"/>
          <w:color w:val="222222"/>
          <w:sz w:val="24"/>
          <w:szCs w:val="24"/>
          <w:shd w:val="clear" w:color="auto" w:fill="FFFFFF"/>
        </w:rPr>
        <w:t>, R., Pohl, R., &amp; Park, Y. I. </w:t>
      </w:r>
      <w:r w:rsidR="00EB48E9" w:rsidRPr="00A50139">
        <w:rPr>
          <w:rFonts w:ascii="Times New Roman" w:eastAsia="Times New Roman" w:hAnsi="Times New Roman" w:cs="Times New Roman"/>
          <w:color w:val="000000" w:themeColor="text1"/>
          <w:sz w:val="24"/>
          <w:szCs w:val="24"/>
          <w:lang w:eastAsia="en-IN"/>
        </w:rPr>
        <w:t>Structural analysis and anti-obesity effect of a pectic polysaccharide isolated from Korean mulberry fruit Oddi (</w:t>
      </w:r>
      <w:r w:rsidR="00EB48E9" w:rsidRPr="00A50139">
        <w:rPr>
          <w:rFonts w:ascii="Times New Roman" w:eastAsia="Times New Roman" w:hAnsi="Times New Roman" w:cs="Times New Roman"/>
          <w:i/>
          <w:color w:val="000000" w:themeColor="text1"/>
          <w:sz w:val="24"/>
          <w:szCs w:val="24"/>
          <w:lang w:eastAsia="en-IN"/>
        </w:rPr>
        <w:t>Morus alba</w:t>
      </w:r>
      <w:r w:rsidR="00EB48E9" w:rsidRPr="00A50139">
        <w:rPr>
          <w:rFonts w:ascii="Times New Roman" w:eastAsia="Times New Roman" w:hAnsi="Times New Roman" w:cs="Times New Roman"/>
          <w:color w:val="000000" w:themeColor="text1"/>
          <w:sz w:val="24"/>
          <w:szCs w:val="24"/>
          <w:lang w:eastAsia="en-IN"/>
        </w:rPr>
        <w:t xml:space="preserve"> L.). </w:t>
      </w:r>
      <w:proofErr w:type="spellStart"/>
      <w:r w:rsidR="00EB48E9" w:rsidRPr="00A50139">
        <w:rPr>
          <w:rFonts w:ascii="Times New Roman" w:eastAsia="Times New Roman" w:hAnsi="Times New Roman" w:cs="Times New Roman"/>
          <w:color w:val="000000" w:themeColor="text1"/>
          <w:sz w:val="24"/>
          <w:szCs w:val="24"/>
          <w:lang w:eastAsia="en-IN"/>
        </w:rPr>
        <w:t>Carbohydr</w:t>
      </w:r>
      <w:proofErr w:type="spellEnd"/>
      <w:r w:rsidR="00EB48E9" w:rsidRPr="00A50139">
        <w:rPr>
          <w:rFonts w:ascii="Times New Roman" w:eastAsia="Times New Roman" w:hAnsi="Times New Roman" w:cs="Times New Roman"/>
          <w:color w:val="000000" w:themeColor="text1"/>
          <w:sz w:val="24"/>
          <w:szCs w:val="24"/>
          <w:lang w:eastAsia="en-IN"/>
        </w:rPr>
        <w:t xml:space="preserve">. </w:t>
      </w:r>
      <w:proofErr w:type="spellStart"/>
      <w:r w:rsidR="00EB48E9" w:rsidRPr="00A50139">
        <w:rPr>
          <w:rFonts w:ascii="Times New Roman" w:eastAsia="Times New Roman" w:hAnsi="Times New Roman" w:cs="Times New Roman"/>
          <w:color w:val="000000" w:themeColor="text1"/>
          <w:sz w:val="24"/>
          <w:szCs w:val="24"/>
          <w:lang w:eastAsia="en-IN"/>
        </w:rPr>
        <w:t>Polym</w:t>
      </w:r>
      <w:proofErr w:type="spellEnd"/>
      <w:r w:rsidR="00EB48E9" w:rsidRPr="00A50139">
        <w:rPr>
          <w:rFonts w:ascii="Times New Roman" w:eastAsia="Times New Roman" w:hAnsi="Times New Roman" w:cs="Times New Roman"/>
          <w:color w:val="000000" w:themeColor="text1"/>
          <w:sz w:val="24"/>
          <w:szCs w:val="24"/>
          <w:lang w:eastAsia="en-IN"/>
        </w:rPr>
        <w:t>. 2016, 146, 187–196.</w:t>
      </w:r>
      <w:r w:rsidRPr="00A50139">
        <w:rPr>
          <w:rFonts w:ascii="Times New Roman" w:eastAsia="Times New Roman" w:hAnsi="Times New Roman" w:cs="Times New Roman"/>
          <w:color w:val="000000" w:themeColor="text1"/>
          <w:sz w:val="24"/>
          <w:szCs w:val="24"/>
          <w:lang w:eastAsia="en-IN"/>
        </w:rPr>
        <w:t xml:space="preserve"> </w:t>
      </w:r>
      <w:hyperlink r:id="rId22" w:tgtFrame="_blank" w:tooltip="Persistent link using digital object identifier" w:history="1">
        <w:r w:rsidRPr="00A50139">
          <w:rPr>
            <w:rStyle w:val="anchor-text"/>
            <w:rFonts w:ascii="Times New Roman" w:hAnsi="Times New Roman" w:cs="Times New Roman"/>
            <w:color w:val="0272B1"/>
            <w:sz w:val="24"/>
            <w:szCs w:val="24"/>
          </w:rPr>
          <w:t>https://doi.org/10.1016/j.carbpol.2016.03.043</w:t>
        </w:r>
      </w:hyperlink>
    </w:p>
    <w:p w14:paraId="1CA98667" w14:textId="77777777"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Lee, J. S., </w:t>
      </w:r>
      <w:proofErr w:type="spellStart"/>
      <w:r w:rsidRPr="00A50139">
        <w:rPr>
          <w:rFonts w:ascii="Times New Roman" w:hAnsi="Times New Roman" w:cs="Times New Roman"/>
          <w:color w:val="222222"/>
          <w:sz w:val="24"/>
          <w:szCs w:val="24"/>
          <w:shd w:val="clear" w:color="auto" w:fill="FFFFFF"/>
        </w:rPr>
        <w:t>Synytsya</w:t>
      </w:r>
      <w:proofErr w:type="spellEnd"/>
      <w:r w:rsidRPr="00A50139">
        <w:rPr>
          <w:rFonts w:ascii="Times New Roman" w:hAnsi="Times New Roman" w:cs="Times New Roman"/>
          <w:color w:val="222222"/>
          <w:sz w:val="24"/>
          <w:szCs w:val="24"/>
          <w:shd w:val="clear" w:color="auto" w:fill="FFFFFF"/>
        </w:rPr>
        <w:t>, A., Kim, H. B., Choi, D. J., Lee, S., Lee, J., Kim Jung, W., Jang S. J., &amp; Park, Y. I. Purification, characterization and immunomodulating activity of a pectic polysaccharide isolated from Korean mulberry fruit Oddi (</w:t>
      </w:r>
      <w:r w:rsidRPr="00A50139">
        <w:rPr>
          <w:rFonts w:ascii="Times New Roman" w:hAnsi="Times New Roman" w:cs="Times New Roman"/>
          <w:i/>
          <w:color w:val="222222"/>
          <w:sz w:val="24"/>
          <w:szCs w:val="24"/>
          <w:shd w:val="clear" w:color="auto" w:fill="FFFFFF"/>
        </w:rPr>
        <w:t>Morus alba</w:t>
      </w:r>
      <w:r w:rsidRPr="00A50139">
        <w:rPr>
          <w:rFonts w:ascii="Times New Roman" w:hAnsi="Times New Roman" w:cs="Times New Roman"/>
          <w:color w:val="222222"/>
          <w:sz w:val="24"/>
          <w:szCs w:val="24"/>
          <w:shd w:val="clear" w:color="auto" w:fill="FFFFFF"/>
        </w:rPr>
        <w:t xml:space="preserve"> L.). </w:t>
      </w:r>
      <w:r w:rsidRPr="00A50139">
        <w:rPr>
          <w:rFonts w:ascii="Times New Roman" w:hAnsi="Times New Roman" w:cs="Times New Roman"/>
          <w:color w:val="001D35"/>
          <w:sz w:val="24"/>
          <w:szCs w:val="24"/>
          <w:shd w:val="clear" w:color="auto" w:fill="FFFFFF"/>
        </w:rPr>
        <w:t>Int. </w:t>
      </w:r>
      <w:proofErr w:type="spellStart"/>
      <w:r w:rsidRPr="00A50139">
        <w:rPr>
          <w:rFonts w:ascii="Times New Roman" w:hAnsi="Times New Roman" w:cs="Times New Roman"/>
          <w:color w:val="001D35"/>
          <w:sz w:val="24"/>
          <w:szCs w:val="24"/>
          <w:shd w:val="clear" w:color="auto" w:fill="FFFFFF"/>
        </w:rPr>
        <w:t>Immunopharmacol</w:t>
      </w:r>
      <w:proofErr w:type="spellEnd"/>
      <w:r w:rsidRPr="00A50139">
        <w:rPr>
          <w:rFonts w:ascii="Times New Roman" w:hAnsi="Times New Roman" w:cs="Times New Roman"/>
          <w:color w:val="001D35"/>
          <w:sz w:val="24"/>
          <w:szCs w:val="24"/>
          <w:shd w:val="clear" w:color="auto" w:fill="FFFFFF"/>
        </w:rPr>
        <w:t>.</w:t>
      </w:r>
      <w:r w:rsidRPr="00A50139">
        <w:rPr>
          <w:rFonts w:ascii="Times New Roman" w:hAnsi="Times New Roman" w:cs="Times New Roman"/>
          <w:color w:val="222222"/>
          <w:sz w:val="24"/>
          <w:szCs w:val="24"/>
          <w:shd w:val="clear" w:color="auto" w:fill="FFFFFF"/>
        </w:rPr>
        <w:t xml:space="preserve">, (2013). </w:t>
      </w:r>
      <w:r w:rsidRPr="00A50139">
        <w:rPr>
          <w:rFonts w:ascii="Times New Roman" w:hAnsi="Times New Roman" w:cs="Times New Roman"/>
          <w:i/>
          <w:iCs/>
          <w:color w:val="222222"/>
          <w:sz w:val="24"/>
          <w:szCs w:val="24"/>
          <w:shd w:val="clear" w:color="auto" w:fill="FFFFFF"/>
        </w:rPr>
        <w:t>17</w:t>
      </w:r>
      <w:r w:rsidRPr="00A50139">
        <w:rPr>
          <w:rFonts w:ascii="Times New Roman" w:hAnsi="Times New Roman" w:cs="Times New Roman"/>
          <w:color w:val="222222"/>
          <w:sz w:val="24"/>
          <w:szCs w:val="24"/>
          <w:shd w:val="clear" w:color="auto" w:fill="FFFFFF"/>
        </w:rPr>
        <w:t xml:space="preserve">(3), 858-866. </w:t>
      </w:r>
      <w:r w:rsidRPr="00A50139">
        <w:rPr>
          <w:rFonts w:ascii="Times New Roman" w:eastAsia="Times New Roman" w:hAnsi="Times New Roman" w:cs="Times New Roman"/>
          <w:color w:val="000000" w:themeColor="text1"/>
          <w:sz w:val="24"/>
          <w:szCs w:val="24"/>
          <w:lang w:eastAsia="en-IN"/>
        </w:rPr>
        <w:t xml:space="preserve"> </w:t>
      </w:r>
      <w:hyperlink r:id="rId23" w:tgtFrame="_blank" w:tooltip="Persistent link using digital object identifier" w:history="1">
        <w:r w:rsidRPr="00A50139">
          <w:rPr>
            <w:rStyle w:val="anchor-text"/>
            <w:rFonts w:ascii="Times New Roman" w:hAnsi="Times New Roman" w:cs="Times New Roman"/>
            <w:color w:val="0272B1"/>
            <w:sz w:val="24"/>
            <w:szCs w:val="24"/>
          </w:rPr>
          <w:t>https://doi.org/10.1016/j.intimp.2013.09.019</w:t>
        </w:r>
      </w:hyperlink>
      <w:r w:rsidRPr="00A50139">
        <w:rPr>
          <w:rFonts w:ascii="Times New Roman" w:hAnsi="Times New Roman" w:cs="Times New Roman"/>
          <w:sz w:val="24"/>
          <w:szCs w:val="24"/>
        </w:rPr>
        <w:t xml:space="preserve"> </w:t>
      </w:r>
    </w:p>
    <w:p w14:paraId="2E95CF52"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lastRenderedPageBreak/>
        <w:t>Li, E.; Long, X.; Liao, S.; Pang, D.; Li, Q.; Zou</w:t>
      </w:r>
      <w:r w:rsidR="00645F5A" w:rsidRPr="00A50139">
        <w:rPr>
          <w:rFonts w:ascii="Times New Roman" w:eastAsia="Times New Roman" w:hAnsi="Times New Roman" w:cs="Times New Roman"/>
          <w:color w:val="000000" w:themeColor="text1"/>
          <w:sz w:val="24"/>
          <w:szCs w:val="24"/>
          <w:lang w:eastAsia="en-IN"/>
        </w:rPr>
        <w:t xml:space="preserve">, Y. Effect of mulberry </w:t>
      </w:r>
      <w:proofErr w:type="spellStart"/>
      <w:r w:rsidR="00645F5A" w:rsidRPr="00A50139">
        <w:rPr>
          <w:rFonts w:ascii="Times New Roman" w:eastAsia="Times New Roman" w:hAnsi="Times New Roman" w:cs="Times New Roman"/>
          <w:color w:val="000000" w:themeColor="text1"/>
          <w:sz w:val="24"/>
          <w:szCs w:val="24"/>
          <w:lang w:eastAsia="en-IN"/>
        </w:rPr>
        <w:t>galacto</w:t>
      </w:r>
      <w:proofErr w:type="spellEnd"/>
      <w:r w:rsidR="00645F5A"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oligosaccharide isolated from mulberry on glucose metabolism and gut microbiota in a type 2</w:t>
      </w:r>
      <w:r w:rsidR="00645F5A" w:rsidRPr="00A50139">
        <w:rPr>
          <w:rFonts w:ascii="Times New Roman" w:eastAsia="Times New Roman" w:hAnsi="Times New Roman" w:cs="Times New Roman"/>
          <w:color w:val="000000" w:themeColor="text1"/>
          <w:sz w:val="24"/>
          <w:szCs w:val="24"/>
          <w:lang w:eastAsia="en-IN"/>
        </w:rPr>
        <w:t xml:space="preserve"> diabetic mice. J. </w:t>
      </w:r>
      <w:proofErr w:type="spellStart"/>
      <w:r w:rsidR="00645F5A" w:rsidRPr="00A50139">
        <w:rPr>
          <w:rFonts w:ascii="Times New Roman" w:eastAsia="Times New Roman" w:hAnsi="Times New Roman" w:cs="Times New Roman"/>
          <w:color w:val="000000" w:themeColor="text1"/>
          <w:sz w:val="24"/>
          <w:szCs w:val="24"/>
          <w:lang w:eastAsia="en-IN"/>
        </w:rPr>
        <w:t>Funct</w:t>
      </w:r>
      <w:proofErr w:type="spellEnd"/>
      <w:r w:rsidR="00645F5A" w:rsidRPr="00A50139">
        <w:rPr>
          <w:rFonts w:ascii="Times New Roman" w:eastAsia="Times New Roman" w:hAnsi="Times New Roman" w:cs="Times New Roman"/>
          <w:color w:val="000000" w:themeColor="text1"/>
          <w:sz w:val="24"/>
          <w:szCs w:val="24"/>
          <w:lang w:eastAsia="en-IN"/>
        </w:rPr>
        <w:t xml:space="preserve">. Foods, 2021. </w:t>
      </w:r>
      <w:r w:rsidRPr="00A50139">
        <w:rPr>
          <w:rFonts w:ascii="Times New Roman" w:eastAsia="Times New Roman" w:hAnsi="Times New Roman" w:cs="Times New Roman"/>
          <w:color w:val="000000" w:themeColor="text1"/>
          <w:sz w:val="24"/>
          <w:szCs w:val="24"/>
          <w:lang w:eastAsia="en-IN"/>
        </w:rPr>
        <w:t>87, 104836.</w:t>
      </w:r>
      <w:r w:rsidR="00645F5A" w:rsidRPr="00A50139">
        <w:rPr>
          <w:rFonts w:ascii="Times New Roman" w:eastAsia="Times New Roman" w:hAnsi="Times New Roman" w:cs="Times New Roman"/>
          <w:color w:val="000000" w:themeColor="text1"/>
          <w:sz w:val="24"/>
          <w:szCs w:val="24"/>
          <w:lang w:eastAsia="en-IN"/>
        </w:rPr>
        <w:t xml:space="preserve"> </w:t>
      </w:r>
      <w:hyperlink r:id="rId24" w:tgtFrame="_blank" w:tooltip="Persistent link using digital object identifier" w:history="1">
        <w:r w:rsidR="00645F5A" w:rsidRPr="00A50139">
          <w:rPr>
            <w:rStyle w:val="anchor-text"/>
            <w:rFonts w:ascii="Times New Roman" w:hAnsi="Times New Roman" w:cs="Times New Roman"/>
            <w:color w:val="0272B1"/>
            <w:sz w:val="24"/>
            <w:szCs w:val="24"/>
          </w:rPr>
          <w:t>https://doi.org/10.1016/j.jff.2021.104836</w:t>
        </w:r>
      </w:hyperlink>
    </w:p>
    <w:p w14:paraId="443F5594" w14:textId="77777777" w:rsidR="00EB48E9" w:rsidRPr="00A50139" w:rsidRDefault="000B0B9D"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Gundogdu, M., </w:t>
      </w:r>
      <w:proofErr w:type="spellStart"/>
      <w:r w:rsidRPr="00A50139">
        <w:rPr>
          <w:rFonts w:ascii="Times New Roman" w:hAnsi="Times New Roman" w:cs="Times New Roman"/>
          <w:color w:val="222222"/>
          <w:sz w:val="24"/>
          <w:szCs w:val="24"/>
          <w:shd w:val="clear" w:color="auto" w:fill="FFFFFF"/>
        </w:rPr>
        <w:t>Muradoglu</w:t>
      </w:r>
      <w:proofErr w:type="spellEnd"/>
      <w:r w:rsidRPr="00A50139">
        <w:rPr>
          <w:rFonts w:ascii="Times New Roman" w:hAnsi="Times New Roman" w:cs="Times New Roman"/>
          <w:color w:val="222222"/>
          <w:sz w:val="24"/>
          <w:szCs w:val="24"/>
          <w:shd w:val="clear" w:color="auto" w:fill="FFFFFF"/>
        </w:rPr>
        <w:t xml:space="preserve">, F., </w:t>
      </w:r>
      <w:proofErr w:type="spellStart"/>
      <w:r w:rsidRPr="00A50139">
        <w:rPr>
          <w:rFonts w:ascii="Times New Roman" w:hAnsi="Times New Roman" w:cs="Times New Roman"/>
          <w:color w:val="222222"/>
          <w:sz w:val="24"/>
          <w:szCs w:val="24"/>
          <w:shd w:val="clear" w:color="auto" w:fill="FFFFFF"/>
        </w:rPr>
        <w:t>Sensoy</w:t>
      </w:r>
      <w:proofErr w:type="spellEnd"/>
      <w:r w:rsidRPr="00A50139">
        <w:rPr>
          <w:rFonts w:ascii="Times New Roman" w:hAnsi="Times New Roman" w:cs="Times New Roman"/>
          <w:color w:val="222222"/>
          <w:sz w:val="24"/>
          <w:szCs w:val="24"/>
          <w:shd w:val="clear" w:color="auto" w:fill="FFFFFF"/>
        </w:rPr>
        <w:t>, R. G., &amp; Yilmaz, H. J. S. H. </w:t>
      </w:r>
      <w:r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hAnsi="Times New Roman" w:cs="Times New Roman"/>
          <w:color w:val="222222"/>
          <w:sz w:val="24"/>
          <w:szCs w:val="24"/>
          <w:shd w:val="clear" w:color="auto" w:fill="FFFFFF"/>
        </w:rPr>
        <w:t>Determination of fruit chemical properties of Morus nigra L., Morus alba L. and Morus rubra L. by HPLC</w:t>
      </w:r>
      <w:r w:rsidRPr="00A50139">
        <w:rPr>
          <w:rFonts w:ascii="Times New Roman" w:eastAsia="Times New Roman" w:hAnsi="Times New Roman" w:cs="Times New Roman"/>
          <w:color w:val="000000" w:themeColor="text1"/>
          <w:sz w:val="24"/>
          <w:szCs w:val="24"/>
          <w:lang w:eastAsia="en-IN"/>
        </w:rPr>
        <w:t xml:space="preserve">. Sci. </w:t>
      </w:r>
      <w:proofErr w:type="spellStart"/>
      <w:r w:rsidR="00EB48E9" w:rsidRPr="00A50139">
        <w:rPr>
          <w:rFonts w:ascii="Times New Roman" w:eastAsia="Times New Roman" w:hAnsi="Times New Roman" w:cs="Times New Roman"/>
          <w:color w:val="000000" w:themeColor="text1"/>
          <w:sz w:val="24"/>
          <w:szCs w:val="24"/>
          <w:lang w:eastAsia="en-IN"/>
        </w:rPr>
        <w:t>Hortic</w:t>
      </w:r>
      <w:proofErr w:type="spellEnd"/>
      <w:r w:rsidR="00EB48E9" w:rsidRPr="00A50139">
        <w:rPr>
          <w:rFonts w:ascii="Times New Roman" w:eastAsia="Times New Roman" w:hAnsi="Times New Roman" w:cs="Times New Roman"/>
          <w:color w:val="000000" w:themeColor="text1"/>
          <w:sz w:val="24"/>
          <w:szCs w:val="24"/>
          <w:lang w:eastAsia="en-IN"/>
        </w:rPr>
        <w:t>. 2011, 132, 37–41</w:t>
      </w:r>
      <w:r w:rsidRPr="00A50139">
        <w:rPr>
          <w:rFonts w:ascii="Times New Roman" w:eastAsia="Times New Roman" w:hAnsi="Times New Roman" w:cs="Times New Roman"/>
          <w:color w:val="000000" w:themeColor="text1"/>
          <w:sz w:val="24"/>
          <w:szCs w:val="24"/>
          <w:lang w:eastAsia="en-IN"/>
        </w:rPr>
        <w:t xml:space="preserve">. </w:t>
      </w:r>
      <w:hyperlink r:id="rId25" w:tgtFrame="_blank" w:tooltip="Persistent link using digital object identifier" w:history="1">
        <w:r w:rsidRPr="00A50139">
          <w:rPr>
            <w:rStyle w:val="anchor-text"/>
            <w:rFonts w:ascii="Times New Roman" w:hAnsi="Times New Roman" w:cs="Times New Roman"/>
            <w:color w:val="0272B1"/>
            <w:sz w:val="24"/>
            <w:szCs w:val="24"/>
          </w:rPr>
          <w:t>https://doi.org/10.1016/j.scienta.2011.09.035</w:t>
        </w:r>
      </w:hyperlink>
    </w:p>
    <w:p w14:paraId="4CC2F1F8" w14:textId="77777777" w:rsidR="00EB48E9" w:rsidRPr="00A50139" w:rsidRDefault="000B0B9D"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Ercisli</w:t>
      </w:r>
      <w:proofErr w:type="spellEnd"/>
      <w:r w:rsidRPr="00A50139">
        <w:rPr>
          <w:rFonts w:ascii="Times New Roman" w:eastAsia="Times New Roman" w:hAnsi="Times New Roman" w:cs="Times New Roman"/>
          <w:color w:val="000000" w:themeColor="text1"/>
          <w:sz w:val="24"/>
          <w:szCs w:val="24"/>
          <w:lang w:eastAsia="en-IN"/>
        </w:rPr>
        <w:t>, S. &amp;</w:t>
      </w:r>
      <w:r w:rsidR="00EB48E9" w:rsidRPr="00A50139">
        <w:rPr>
          <w:rFonts w:ascii="Times New Roman" w:eastAsia="Times New Roman" w:hAnsi="Times New Roman" w:cs="Times New Roman"/>
          <w:color w:val="000000" w:themeColor="text1"/>
          <w:sz w:val="24"/>
          <w:szCs w:val="24"/>
          <w:lang w:eastAsia="en-IN"/>
        </w:rPr>
        <w:t xml:space="preserve"> Orhan, E. Chemical composition of white (Morus alba), red (Morus rubra) and black (Morus nigra) mulberry fruits. Food Chem. 2007, 103, 1380–1384.</w:t>
      </w:r>
      <w:r w:rsidRPr="00A50139">
        <w:rPr>
          <w:rFonts w:ascii="Times New Roman" w:eastAsia="Times New Roman" w:hAnsi="Times New Roman" w:cs="Times New Roman"/>
          <w:color w:val="000000" w:themeColor="text1"/>
          <w:sz w:val="24"/>
          <w:szCs w:val="24"/>
          <w:lang w:eastAsia="en-IN"/>
        </w:rPr>
        <w:t xml:space="preserve"> </w:t>
      </w:r>
      <w:hyperlink r:id="rId26" w:tgtFrame="_blank" w:tooltip="Persistent link using digital object identifier" w:history="1">
        <w:r w:rsidRPr="00A50139">
          <w:rPr>
            <w:rStyle w:val="anchor-text"/>
            <w:rFonts w:ascii="Times New Roman" w:hAnsi="Times New Roman" w:cs="Times New Roman"/>
            <w:color w:val="0272B1"/>
            <w:sz w:val="24"/>
            <w:szCs w:val="24"/>
          </w:rPr>
          <w:t>https://doi.org/10.1016/j.foodchem.2006.10.054</w:t>
        </w:r>
      </w:hyperlink>
    </w:p>
    <w:p w14:paraId="6DC9A3D0"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Paunovic´, S.M.; </w:t>
      </w:r>
      <w:proofErr w:type="spellStart"/>
      <w:r w:rsidRPr="00A50139">
        <w:rPr>
          <w:rFonts w:ascii="Times New Roman" w:eastAsia="Times New Roman" w:hAnsi="Times New Roman" w:cs="Times New Roman"/>
          <w:color w:val="000000" w:themeColor="text1"/>
          <w:sz w:val="24"/>
          <w:szCs w:val="24"/>
          <w:lang w:eastAsia="en-IN"/>
        </w:rPr>
        <w:t>Maškovic</w:t>
      </w:r>
      <w:proofErr w:type="spellEnd"/>
      <w:r w:rsidRPr="00A50139">
        <w:rPr>
          <w:rFonts w:ascii="Times New Roman" w:eastAsia="Times New Roman" w:hAnsi="Times New Roman" w:cs="Times New Roman"/>
          <w:color w:val="000000" w:themeColor="text1"/>
          <w:sz w:val="24"/>
          <w:szCs w:val="24"/>
          <w:lang w:eastAsia="en-IN"/>
        </w:rPr>
        <w:t xml:space="preserve">´, P.; Milinkovic´, M. </w:t>
      </w:r>
      <w:r w:rsidR="000B0B9D" w:rsidRPr="00A50139">
        <w:rPr>
          <w:rFonts w:ascii="Times New Roman" w:hAnsi="Times New Roman" w:cs="Times New Roman"/>
          <w:color w:val="222222"/>
          <w:sz w:val="24"/>
          <w:szCs w:val="24"/>
          <w:shd w:val="clear" w:color="auto" w:fill="FFFFFF"/>
        </w:rPr>
        <w:t>Determination of primary metabolites, vitamins and minerals in black mulberry (Morus nigra) berries depending on altitude.</w:t>
      </w:r>
      <w:r w:rsidR="000B0B9D" w:rsidRPr="00A50139">
        <w:rPr>
          <w:rFonts w:ascii="Times New Roman" w:eastAsia="Times New Roman" w:hAnsi="Times New Roman" w:cs="Times New Roman"/>
          <w:color w:val="000000" w:themeColor="text1"/>
          <w:sz w:val="24"/>
          <w:szCs w:val="24"/>
          <w:lang w:eastAsia="en-IN"/>
        </w:rPr>
        <w:t xml:space="preserve"> </w:t>
      </w:r>
      <w:proofErr w:type="spellStart"/>
      <w:r w:rsidR="000B0B9D" w:rsidRPr="00A50139">
        <w:rPr>
          <w:rFonts w:ascii="Times New Roman" w:eastAsia="Times New Roman" w:hAnsi="Times New Roman" w:cs="Times New Roman"/>
          <w:color w:val="000000" w:themeColor="text1"/>
          <w:sz w:val="24"/>
          <w:szCs w:val="24"/>
          <w:lang w:eastAsia="en-IN"/>
        </w:rPr>
        <w:t>Erwerbs-Obstbau</w:t>
      </w:r>
      <w:proofErr w:type="spellEnd"/>
      <w:r w:rsidR="000B0B9D" w:rsidRPr="00A50139">
        <w:rPr>
          <w:rFonts w:ascii="Times New Roman" w:eastAsia="Times New Roman" w:hAnsi="Times New Roman" w:cs="Times New Roman"/>
          <w:color w:val="000000" w:themeColor="text1"/>
          <w:sz w:val="24"/>
          <w:szCs w:val="24"/>
          <w:lang w:eastAsia="en-IN"/>
        </w:rPr>
        <w:t>. (</w:t>
      </w:r>
      <w:r w:rsidRPr="00A50139">
        <w:rPr>
          <w:rFonts w:ascii="Times New Roman" w:eastAsia="Times New Roman" w:hAnsi="Times New Roman" w:cs="Times New Roman"/>
          <w:color w:val="000000" w:themeColor="text1"/>
          <w:sz w:val="24"/>
          <w:szCs w:val="24"/>
          <w:lang w:eastAsia="en-IN"/>
        </w:rPr>
        <w:t>2020</w:t>
      </w:r>
      <w:r w:rsidR="000B0B9D"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62, 355–360.</w:t>
      </w:r>
      <w:r w:rsidR="000B0B9D" w:rsidRPr="00A50139">
        <w:rPr>
          <w:rFonts w:ascii="Times New Roman" w:hAnsi="Times New Roman" w:cs="Times New Roman"/>
          <w:color w:val="222222"/>
          <w:sz w:val="24"/>
          <w:szCs w:val="24"/>
          <w:shd w:val="clear" w:color="auto" w:fill="FFFFFF"/>
        </w:rPr>
        <w:t xml:space="preserve"> </w:t>
      </w:r>
      <w:hyperlink r:id="rId27" w:history="1">
        <w:r w:rsidR="000B0B9D" w:rsidRPr="00A50139">
          <w:rPr>
            <w:rStyle w:val="Hyperlink"/>
            <w:rFonts w:ascii="Times New Roman" w:hAnsi="Times New Roman" w:cs="Times New Roman"/>
            <w:sz w:val="24"/>
            <w:szCs w:val="24"/>
            <w:shd w:val="clear" w:color="auto" w:fill="FFFFFF"/>
          </w:rPr>
          <w:t>https://doi.org/10.1007/s10341-020-00509-7</w:t>
        </w:r>
      </w:hyperlink>
      <w:r w:rsidR="000B0B9D" w:rsidRPr="00A50139">
        <w:rPr>
          <w:rFonts w:ascii="Times New Roman" w:hAnsi="Times New Roman" w:cs="Times New Roman"/>
          <w:color w:val="222222"/>
          <w:sz w:val="24"/>
          <w:szCs w:val="24"/>
          <w:shd w:val="clear" w:color="auto" w:fill="FFFFFF"/>
        </w:rPr>
        <w:t xml:space="preserve"> </w:t>
      </w:r>
    </w:p>
    <w:p w14:paraId="6B9E51E7"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Sánchez-Salcedo, E.M.; Mena, P.; García-</w:t>
      </w:r>
      <w:proofErr w:type="spellStart"/>
      <w:r w:rsidRPr="00A50139">
        <w:rPr>
          <w:rFonts w:ascii="Times New Roman" w:eastAsia="Times New Roman" w:hAnsi="Times New Roman" w:cs="Times New Roman"/>
          <w:color w:val="000000" w:themeColor="text1"/>
          <w:sz w:val="24"/>
          <w:szCs w:val="24"/>
          <w:lang w:eastAsia="en-IN"/>
        </w:rPr>
        <w:t>Viguera</w:t>
      </w:r>
      <w:proofErr w:type="spellEnd"/>
      <w:r w:rsidRPr="00A50139">
        <w:rPr>
          <w:rFonts w:ascii="Times New Roman" w:eastAsia="Times New Roman" w:hAnsi="Times New Roman" w:cs="Times New Roman"/>
          <w:color w:val="000000" w:themeColor="text1"/>
          <w:sz w:val="24"/>
          <w:szCs w:val="24"/>
          <w:lang w:eastAsia="en-IN"/>
        </w:rPr>
        <w:t xml:space="preserve">, C.; Martínez, J.J.; Hernández, F. </w:t>
      </w:r>
      <w:r w:rsidR="000B0B9D" w:rsidRPr="00A50139">
        <w:rPr>
          <w:rFonts w:ascii="Times New Roman" w:hAnsi="Times New Roman" w:cs="Times New Roman"/>
          <w:color w:val="222222"/>
          <w:sz w:val="24"/>
          <w:szCs w:val="24"/>
          <w:shd w:val="clear" w:color="auto" w:fill="FFFFFF"/>
        </w:rPr>
        <w:t>Phytochemical evaluation of white (Morus alba L.) and black (Morus nigra L.) mulberry fruits, a starting point for the assessment of their beneficial properties.</w:t>
      </w:r>
      <w:r w:rsidR="000B0B9D" w:rsidRPr="00A50139">
        <w:rPr>
          <w:rFonts w:ascii="Times New Roman" w:eastAsia="Times New Roman" w:hAnsi="Times New Roman" w:cs="Times New Roman"/>
          <w:color w:val="000000" w:themeColor="text1"/>
          <w:sz w:val="24"/>
          <w:szCs w:val="24"/>
          <w:lang w:eastAsia="en-IN"/>
        </w:rPr>
        <w:t xml:space="preserve"> </w:t>
      </w:r>
      <w:proofErr w:type="spellStart"/>
      <w:proofErr w:type="gramStart"/>
      <w:r w:rsidR="000B0B9D" w:rsidRPr="00A50139">
        <w:rPr>
          <w:rFonts w:ascii="Times New Roman" w:eastAsia="Times New Roman" w:hAnsi="Times New Roman" w:cs="Times New Roman"/>
          <w:color w:val="000000" w:themeColor="text1"/>
          <w:sz w:val="24"/>
          <w:szCs w:val="24"/>
          <w:lang w:eastAsia="en-IN"/>
        </w:rPr>
        <w:t>J.Funct</w:t>
      </w:r>
      <w:proofErr w:type="spellEnd"/>
      <w:proofErr w:type="gramEnd"/>
      <w:r w:rsidR="000B0B9D" w:rsidRPr="00A50139">
        <w:rPr>
          <w:rFonts w:ascii="Times New Roman" w:eastAsia="Times New Roman" w:hAnsi="Times New Roman" w:cs="Times New Roman"/>
          <w:color w:val="000000" w:themeColor="text1"/>
          <w:sz w:val="24"/>
          <w:szCs w:val="24"/>
          <w:lang w:eastAsia="en-IN"/>
        </w:rPr>
        <w:t>. Foods. (</w:t>
      </w:r>
      <w:r w:rsidRPr="00A50139">
        <w:rPr>
          <w:rFonts w:ascii="Times New Roman" w:eastAsia="Times New Roman" w:hAnsi="Times New Roman" w:cs="Times New Roman"/>
          <w:color w:val="000000" w:themeColor="text1"/>
          <w:sz w:val="24"/>
          <w:szCs w:val="24"/>
          <w:lang w:eastAsia="en-IN"/>
        </w:rPr>
        <w:t>2015</w:t>
      </w:r>
      <w:r w:rsidR="000B0B9D"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12, 399–408.</w:t>
      </w:r>
      <w:r w:rsidR="000B0B9D" w:rsidRPr="00A50139">
        <w:rPr>
          <w:rFonts w:ascii="Times New Roman" w:eastAsia="Times New Roman" w:hAnsi="Times New Roman" w:cs="Times New Roman"/>
          <w:color w:val="000000" w:themeColor="text1"/>
          <w:sz w:val="24"/>
          <w:szCs w:val="24"/>
          <w:lang w:eastAsia="en-IN"/>
        </w:rPr>
        <w:t xml:space="preserve"> </w:t>
      </w:r>
      <w:hyperlink r:id="rId28" w:tgtFrame="_blank" w:tooltip="Persistent link using digital object identifier" w:history="1">
        <w:r w:rsidR="000B0B9D" w:rsidRPr="00A50139">
          <w:rPr>
            <w:rStyle w:val="anchor-text"/>
            <w:rFonts w:ascii="Times New Roman" w:hAnsi="Times New Roman" w:cs="Times New Roman"/>
            <w:color w:val="0272B1"/>
            <w:sz w:val="24"/>
            <w:szCs w:val="24"/>
          </w:rPr>
          <w:t>https://doi.org/10.1016/j.jff.2014.12.010</w:t>
        </w:r>
      </w:hyperlink>
    </w:p>
    <w:p w14:paraId="33B90820"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Chen, H.; Chen, J.; Yang, H.; Chen, W.; Gao, H.; Lu, W. Variation in total anthocyanin, phenolic contents, antioxidant enzyme and antioxidant capacity among different mulberry (Morus sp.) cultivars in China. Sci. </w:t>
      </w:r>
      <w:proofErr w:type="spellStart"/>
      <w:r w:rsidRPr="00A50139">
        <w:rPr>
          <w:rFonts w:ascii="Times New Roman" w:eastAsia="Times New Roman" w:hAnsi="Times New Roman" w:cs="Times New Roman"/>
          <w:color w:val="000000" w:themeColor="text1"/>
          <w:sz w:val="24"/>
          <w:szCs w:val="24"/>
          <w:lang w:eastAsia="en-IN"/>
        </w:rPr>
        <w:t>Hortic</w:t>
      </w:r>
      <w:proofErr w:type="spellEnd"/>
      <w:r w:rsidRPr="00A50139">
        <w:rPr>
          <w:rFonts w:ascii="Times New Roman" w:eastAsia="Times New Roman" w:hAnsi="Times New Roman" w:cs="Times New Roman"/>
          <w:color w:val="000000" w:themeColor="text1"/>
          <w:sz w:val="24"/>
          <w:szCs w:val="24"/>
          <w:lang w:eastAsia="en-IN"/>
        </w:rPr>
        <w:t>. 2016, 213, 186–192.</w:t>
      </w:r>
      <w:r w:rsidR="000B0B9D" w:rsidRPr="00A50139">
        <w:rPr>
          <w:rFonts w:ascii="Times New Roman" w:hAnsi="Times New Roman" w:cs="Times New Roman"/>
          <w:sz w:val="24"/>
          <w:szCs w:val="24"/>
        </w:rPr>
        <w:t xml:space="preserve"> </w:t>
      </w:r>
      <w:hyperlink r:id="rId29" w:tgtFrame="_blank" w:tooltip="Persistent link using digital object identifier" w:history="1">
        <w:r w:rsidR="000B0B9D" w:rsidRPr="00A50139">
          <w:rPr>
            <w:rStyle w:val="anchor-text"/>
            <w:rFonts w:ascii="Times New Roman" w:hAnsi="Times New Roman" w:cs="Times New Roman"/>
            <w:color w:val="0272B1"/>
            <w:sz w:val="24"/>
            <w:szCs w:val="24"/>
          </w:rPr>
          <w:t>https://doi.org/10.1016/j.scienta.2016.10.036</w:t>
        </w:r>
      </w:hyperlink>
    </w:p>
    <w:p w14:paraId="5C797B2E"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Calínsánchez</w:t>
      </w:r>
      <w:proofErr w:type="spellEnd"/>
      <w:r w:rsidRPr="00A50139">
        <w:rPr>
          <w:rFonts w:ascii="Times New Roman" w:eastAsia="Times New Roman" w:hAnsi="Times New Roman" w:cs="Times New Roman"/>
          <w:color w:val="000000" w:themeColor="text1"/>
          <w:sz w:val="24"/>
          <w:szCs w:val="24"/>
          <w:lang w:eastAsia="en-IN"/>
        </w:rPr>
        <w:t xml:space="preserve">, A.; </w:t>
      </w:r>
      <w:proofErr w:type="spellStart"/>
      <w:r w:rsidRPr="00A50139">
        <w:rPr>
          <w:rFonts w:ascii="Times New Roman" w:eastAsia="Times New Roman" w:hAnsi="Times New Roman" w:cs="Times New Roman"/>
          <w:color w:val="000000" w:themeColor="text1"/>
          <w:sz w:val="24"/>
          <w:szCs w:val="24"/>
          <w:lang w:eastAsia="en-IN"/>
        </w:rPr>
        <w:t>Martíneznicolás</w:t>
      </w:r>
      <w:proofErr w:type="spellEnd"/>
      <w:r w:rsidRPr="00A50139">
        <w:rPr>
          <w:rFonts w:ascii="Times New Roman" w:eastAsia="Times New Roman" w:hAnsi="Times New Roman" w:cs="Times New Roman"/>
          <w:color w:val="000000" w:themeColor="text1"/>
          <w:sz w:val="24"/>
          <w:szCs w:val="24"/>
          <w:lang w:eastAsia="en-IN"/>
        </w:rPr>
        <w:t xml:space="preserve">, J.J.; </w:t>
      </w:r>
      <w:proofErr w:type="spellStart"/>
      <w:r w:rsidRPr="00A50139">
        <w:rPr>
          <w:rFonts w:ascii="Times New Roman" w:eastAsia="Times New Roman" w:hAnsi="Times New Roman" w:cs="Times New Roman"/>
          <w:color w:val="000000" w:themeColor="text1"/>
          <w:sz w:val="24"/>
          <w:szCs w:val="24"/>
          <w:lang w:eastAsia="en-IN"/>
        </w:rPr>
        <w:t>Munerapicazo</w:t>
      </w:r>
      <w:proofErr w:type="spellEnd"/>
      <w:r w:rsidRPr="00A50139">
        <w:rPr>
          <w:rFonts w:ascii="Times New Roman" w:eastAsia="Times New Roman" w:hAnsi="Times New Roman" w:cs="Times New Roman"/>
          <w:color w:val="000000" w:themeColor="text1"/>
          <w:sz w:val="24"/>
          <w:szCs w:val="24"/>
          <w:lang w:eastAsia="en-IN"/>
        </w:rPr>
        <w:t xml:space="preserve">, S.; </w:t>
      </w:r>
      <w:proofErr w:type="spellStart"/>
      <w:r w:rsidRPr="00A50139">
        <w:rPr>
          <w:rFonts w:ascii="Times New Roman" w:eastAsia="Times New Roman" w:hAnsi="Times New Roman" w:cs="Times New Roman"/>
          <w:color w:val="000000" w:themeColor="text1"/>
          <w:sz w:val="24"/>
          <w:szCs w:val="24"/>
          <w:lang w:eastAsia="en-IN"/>
        </w:rPr>
        <w:t>Carbonellbarrachina</w:t>
      </w:r>
      <w:proofErr w:type="spellEnd"/>
      <w:r w:rsidRPr="00A50139">
        <w:rPr>
          <w:rFonts w:ascii="Times New Roman" w:eastAsia="Times New Roman" w:hAnsi="Times New Roman" w:cs="Times New Roman"/>
          <w:color w:val="000000" w:themeColor="text1"/>
          <w:sz w:val="24"/>
          <w:szCs w:val="24"/>
          <w:lang w:eastAsia="en-IN"/>
        </w:rPr>
        <w:t xml:space="preserve">, A.A.; </w:t>
      </w:r>
      <w:proofErr w:type="spellStart"/>
      <w:r w:rsidRPr="00A50139">
        <w:rPr>
          <w:rFonts w:ascii="Times New Roman" w:eastAsia="Times New Roman" w:hAnsi="Times New Roman" w:cs="Times New Roman"/>
          <w:color w:val="000000" w:themeColor="text1"/>
          <w:sz w:val="24"/>
          <w:szCs w:val="24"/>
          <w:lang w:eastAsia="en-IN"/>
        </w:rPr>
        <w:t>Legua</w:t>
      </w:r>
      <w:proofErr w:type="spellEnd"/>
      <w:r w:rsidRPr="00A50139">
        <w:rPr>
          <w:rFonts w:ascii="Times New Roman" w:eastAsia="Times New Roman" w:hAnsi="Times New Roman" w:cs="Times New Roman"/>
          <w:color w:val="000000" w:themeColor="text1"/>
          <w:sz w:val="24"/>
          <w:szCs w:val="24"/>
          <w:lang w:eastAsia="en-IN"/>
        </w:rPr>
        <w:t xml:space="preserve">, P.; Hernández, F. Bioactive Compounds and Sensory Quality of Black and White Mulberries Grown in Spain. Plant Foods Hum. </w:t>
      </w:r>
      <w:proofErr w:type="spellStart"/>
      <w:r w:rsidRPr="00A50139">
        <w:rPr>
          <w:rFonts w:ascii="Times New Roman" w:eastAsia="Times New Roman" w:hAnsi="Times New Roman" w:cs="Times New Roman"/>
          <w:color w:val="000000" w:themeColor="text1"/>
          <w:sz w:val="24"/>
          <w:szCs w:val="24"/>
          <w:lang w:eastAsia="en-IN"/>
        </w:rPr>
        <w:t>Nutr</w:t>
      </w:r>
      <w:proofErr w:type="spellEnd"/>
      <w:r w:rsidRPr="00A50139">
        <w:rPr>
          <w:rFonts w:ascii="Times New Roman" w:eastAsia="Times New Roman" w:hAnsi="Times New Roman" w:cs="Times New Roman"/>
          <w:color w:val="000000" w:themeColor="text1"/>
          <w:sz w:val="24"/>
          <w:szCs w:val="24"/>
          <w:lang w:eastAsia="en-IN"/>
        </w:rPr>
        <w:t>. 2013, 68, 370–377.</w:t>
      </w:r>
      <w:r w:rsidR="00356906" w:rsidRPr="00A50139">
        <w:rPr>
          <w:rFonts w:ascii="Times New Roman" w:eastAsia="Times New Roman" w:hAnsi="Times New Roman" w:cs="Times New Roman"/>
          <w:color w:val="000000" w:themeColor="text1"/>
          <w:sz w:val="24"/>
          <w:szCs w:val="24"/>
          <w:lang w:eastAsia="en-IN"/>
        </w:rPr>
        <w:t xml:space="preserve"> </w:t>
      </w:r>
      <w:r w:rsidR="00356906" w:rsidRPr="00A50139">
        <w:rPr>
          <w:rFonts w:ascii="Times New Roman" w:hAnsi="Times New Roman" w:cs="Times New Roman"/>
          <w:color w:val="222222"/>
          <w:sz w:val="24"/>
          <w:szCs w:val="24"/>
          <w:shd w:val="clear" w:color="auto" w:fill="FFFFFF"/>
        </w:rPr>
        <w:t>https://doi.org/10.1007/s11130-013-0382-9</w:t>
      </w:r>
    </w:p>
    <w:p w14:paraId="3B777F75" w14:textId="77777777" w:rsidR="00EB48E9" w:rsidRPr="00A50139" w:rsidRDefault="00356906"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Stefanovski, D., Punjabi, N. M., Boston, R. C., &amp; Watanabe, R. M. </w:t>
      </w:r>
      <w:r w:rsidR="00EB48E9"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hAnsi="Times New Roman" w:cs="Times New Roman"/>
          <w:color w:val="222222"/>
          <w:sz w:val="24"/>
          <w:szCs w:val="24"/>
          <w:shd w:val="clear" w:color="auto" w:fill="FFFFFF"/>
        </w:rPr>
        <w:t>Insulin action, glucose homeostasis and free fatty acid metabolism: insights from a novel model.</w:t>
      </w:r>
      <w:r w:rsidR="00EB48E9" w:rsidRPr="00A50139">
        <w:rPr>
          <w:rFonts w:ascii="Times New Roman" w:eastAsia="Times New Roman" w:hAnsi="Times New Roman" w:cs="Times New Roman"/>
          <w:color w:val="000000" w:themeColor="text1"/>
          <w:sz w:val="24"/>
          <w:szCs w:val="24"/>
          <w:lang w:eastAsia="en-IN"/>
        </w:rPr>
        <w:t xml:space="preserve"> Front Endocrinol. </w:t>
      </w:r>
      <w:r w:rsidRPr="00A50139">
        <w:rPr>
          <w:rFonts w:ascii="Times New Roman" w:eastAsia="Times New Roman" w:hAnsi="Times New Roman" w:cs="Times New Roman"/>
          <w:color w:val="000000" w:themeColor="text1"/>
          <w:sz w:val="24"/>
          <w:szCs w:val="24"/>
          <w:lang w:eastAsia="en-IN"/>
        </w:rPr>
        <w:t>(</w:t>
      </w:r>
      <w:r w:rsidR="00EB48E9" w:rsidRPr="00A50139">
        <w:rPr>
          <w:rFonts w:ascii="Times New Roman" w:eastAsia="Times New Roman" w:hAnsi="Times New Roman" w:cs="Times New Roman"/>
          <w:color w:val="000000" w:themeColor="text1"/>
          <w:sz w:val="24"/>
          <w:szCs w:val="24"/>
          <w:lang w:eastAsia="en-IN"/>
        </w:rPr>
        <w:t>2021</w:t>
      </w:r>
      <w:r w:rsidRPr="00A50139">
        <w:rPr>
          <w:rFonts w:ascii="Times New Roman" w:eastAsia="Times New Roman" w:hAnsi="Times New Roman" w:cs="Times New Roman"/>
          <w:color w:val="000000" w:themeColor="text1"/>
          <w:sz w:val="24"/>
          <w:szCs w:val="24"/>
          <w:lang w:eastAsia="en-IN"/>
        </w:rPr>
        <w:t>)</w:t>
      </w:r>
      <w:r w:rsidR="00EB48E9"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xml:space="preserve"> </w:t>
      </w:r>
      <w:r w:rsidR="00EB48E9" w:rsidRPr="00A50139">
        <w:rPr>
          <w:rFonts w:ascii="Times New Roman" w:eastAsia="Times New Roman" w:hAnsi="Times New Roman" w:cs="Times New Roman"/>
          <w:color w:val="000000" w:themeColor="text1"/>
          <w:sz w:val="24"/>
          <w:szCs w:val="24"/>
          <w:lang w:eastAsia="en-IN"/>
        </w:rPr>
        <w:t>12:789390.</w:t>
      </w:r>
      <w:r w:rsidR="00EB48E9" w:rsidRPr="00A50139">
        <w:rPr>
          <w:rFonts w:ascii="Times New Roman" w:hAnsi="Times New Roman" w:cs="Times New Roman"/>
          <w:sz w:val="24"/>
          <w:szCs w:val="24"/>
        </w:rPr>
        <w:t xml:space="preserve"> </w:t>
      </w:r>
      <w:hyperlink r:id="rId30" w:history="1">
        <w:r w:rsidRPr="00A50139">
          <w:rPr>
            <w:rStyle w:val="Hyperlink"/>
            <w:rFonts w:ascii="Times New Roman" w:hAnsi="Times New Roman" w:cs="Times New Roman"/>
            <w:sz w:val="24"/>
            <w:szCs w:val="24"/>
          </w:rPr>
          <w:t>https://doi.org/10.3389/fendo.2021.625701</w:t>
        </w:r>
      </w:hyperlink>
    </w:p>
    <w:p w14:paraId="72618CFC" w14:textId="77777777" w:rsidR="00EB48E9" w:rsidRPr="00A50139" w:rsidRDefault="00356906"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Mitra, S., Paul, S., Roy, S., Sutradhar, H., Bin Emran, T., Nainu, F., Khandaker, M. U., Almalki, M., </w:t>
      </w:r>
      <w:proofErr w:type="spellStart"/>
      <w:r w:rsidRPr="00A50139">
        <w:rPr>
          <w:rFonts w:ascii="Times New Roman" w:hAnsi="Times New Roman" w:cs="Times New Roman"/>
          <w:color w:val="222222"/>
          <w:sz w:val="24"/>
          <w:szCs w:val="24"/>
          <w:shd w:val="clear" w:color="auto" w:fill="FFFFFF"/>
        </w:rPr>
        <w:t>Wilairatana</w:t>
      </w:r>
      <w:proofErr w:type="spellEnd"/>
      <w:r w:rsidRPr="00A50139">
        <w:rPr>
          <w:rFonts w:ascii="Times New Roman" w:hAnsi="Times New Roman" w:cs="Times New Roman"/>
          <w:color w:val="222222"/>
          <w:sz w:val="24"/>
          <w:szCs w:val="24"/>
          <w:shd w:val="clear" w:color="auto" w:fill="FFFFFF"/>
        </w:rPr>
        <w:t>, P., &amp; Mubarak, M. S.</w:t>
      </w:r>
      <w:r w:rsidR="00EB48E9" w:rsidRPr="00A50139">
        <w:rPr>
          <w:rFonts w:ascii="Times New Roman" w:eastAsia="Times New Roman" w:hAnsi="Times New Roman" w:cs="Times New Roman"/>
          <w:color w:val="000000" w:themeColor="text1"/>
          <w:sz w:val="24"/>
          <w:szCs w:val="24"/>
          <w:lang w:eastAsia="en-IN"/>
        </w:rPr>
        <w:t xml:space="preserve"> Exploring the immune-boosting functions of vitamins and minerals as nutritional food bioactive co</w:t>
      </w:r>
      <w:r w:rsidRPr="00A50139">
        <w:rPr>
          <w:rFonts w:ascii="Times New Roman" w:eastAsia="Times New Roman" w:hAnsi="Times New Roman" w:cs="Times New Roman"/>
          <w:color w:val="000000" w:themeColor="text1"/>
          <w:sz w:val="24"/>
          <w:szCs w:val="24"/>
          <w:lang w:eastAsia="en-IN"/>
        </w:rPr>
        <w:t xml:space="preserve">mpounds: a comprehensive review. </w:t>
      </w:r>
      <w:r w:rsidR="00EB48E9" w:rsidRPr="00A50139">
        <w:rPr>
          <w:rFonts w:ascii="Times New Roman" w:eastAsia="Times New Roman" w:hAnsi="Times New Roman" w:cs="Times New Roman"/>
          <w:color w:val="000000" w:themeColor="text1"/>
          <w:sz w:val="24"/>
          <w:szCs w:val="24"/>
          <w:lang w:eastAsia="en-IN"/>
        </w:rPr>
        <w:t>Molecules. 2022; 27(2):555.</w:t>
      </w:r>
      <w:r w:rsidRPr="00A50139">
        <w:rPr>
          <w:rFonts w:ascii="Times New Roman" w:eastAsia="Times New Roman" w:hAnsi="Times New Roman" w:cs="Times New Roman"/>
          <w:color w:val="000000" w:themeColor="text1"/>
          <w:sz w:val="24"/>
          <w:szCs w:val="24"/>
          <w:lang w:eastAsia="en-IN"/>
        </w:rPr>
        <w:t xml:space="preserve"> </w:t>
      </w:r>
      <w:hyperlink r:id="rId31" w:history="1">
        <w:r w:rsidRPr="00A50139">
          <w:rPr>
            <w:rStyle w:val="Hyperlink"/>
            <w:rFonts w:ascii="Times New Roman" w:hAnsi="Times New Roman" w:cs="Times New Roman"/>
            <w:b/>
            <w:bCs/>
            <w:color w:val="4F5671"/>
            <w:sz w:val="24"/>
            <w:szCs w:val="24"/>
            <w:shd w:val="clear" w:color="auto" w:fill="FFFFFF"/>
          </w:rPr>
          <w:t>https://doi.org/10.3390/molecules27020555</w:t>
        </w:r>
      </w:hyperlink>
    </w:p>
    <w:p w14:paraId="236A8574"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Li, Y.; Bao, T.; Chen, W. Comparison of the protective effect of black and white mulberry against ethyl carbamate-induced cytotoxicity and oxidative damage. Food Chem. </w:t>
      </w:r>
      <w:r w:rsidR="00356906"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2018</w:t>
      </w:r>
      <w:r w:rsidR="00356906"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xml:space="preserve">, 243, 65–73. </w:t>
      </w:r>
      <w:hyperlink r:id="rId32"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https://doi.org/10.1016/j.foodchem.2017.09.106</w:t>
        </w:r>
      </w:hyperlink>
    </w:p>
    <w:p w14:paraId="488E67D1"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Liang, D.; Yang, Q.; Tan, B.; Dong, X.; Chi, S.; Liu, H.; Zhang, S. Dietary vitamin A deﬁciency reduces growth performance, immune function of intestine, and alters tight junction proteins of intestine for juvenile hybrid grouper (</w:t>
      </w:r>
      <w:proofErr w:type="spellStart"/>
      <w:r w:rsidRPr="00A50139">
        <w:rPr>
          <w:rFonts w:ascii="Times New Roman" w:eastAsia="Times New Roman" w:hAnsi="Times New Roman" w:cs="Times New Roman"/>
          <w:color w:val="000000" w:themeColor="text1"/>
          <w:sz w:val="24"/>
          <w:szCs w:val="24"/>
          <w:lang w:eastAsia="en-IN"/>
        </w:rPr>
        <w:t>Epinephelus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fuscoguttatus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Epinephelus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lanceolatus</w:t>
      </w:r>
      <w:proofErr w:type="spellEnd"/>
      <w:r w:rsidRPr="00A50139">
        <w:rPr>
          <w:rFonts w:ascii="Times New Roman" w:eastAsia="Times New Roman" w:hAnsi="Times New Roman" w:cs="Times New Roman"/>
          <w:color w:val="000000" w:themeColor="text1"/>
          <w:sz w:val="24"/>
          <w:szCs w:val="24"/>
          <w:lang w:eastAsia="en-IN"/>
        </w:rPr>
        <w:t>♂). Fish Shellﬁsh Immunol. 2020, 107, 346–356.</w:t>
      </w:r>
      <w:r w:rsidR="00356906" w:rsidRPr="00A50139">
        <w:rPr>
          <w:rFonts w:ascii="Times New Roman" w:eastAsia="Times New Roman" w:hAnsi="Times New Roman" w:cs="Times New Roman"/>
          <w:color w:val="000000" w:themeColor="text1"/>
          <w:sz w:val="24"/>
          <w:szCs w:val="24"/>
          <w:lang w:eastAsia="en-IN"/>
        </w:rPr>
        <w:t xml:space="preserve"> </w:t>
      </w:r>
      <w:hyperlink r:id="rId33"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https://doi.org/10.1016/j.fsi.2020.10.016</w:t>
        </w:r>
      </w:hyperlink>
    </w:p>
    <w:p w14:paraId="1A318B01"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Yang, X.; Yang, L.; Zheng, H. Hypolipidemic and antioxidant effects of mulberry (Morus alba L.) fruit in hyperlipidaemia rats. Food Chem. </w:t>
      </w:r>
      <w:proofErr w:type="spellStart"/>
      <w:r w:rsidRPr="00A50139">
        <w:rPr>
          <w:rFonts w:ascii="Times New Roman" w:eastAsia="Times New Roman" w:hAnsi="Times New Roman" w:cs="Times New Roman"/>
          <w:color w:val="000000" w:themeColor="text1"/>
          <w:sz w:val="24"/>
          <w:szCs w:val="24"/>
          <w:lang w:eastAsia="en-IN"/>
        </w:rPr>
        <w:t>Toxicol</w:t>
      </w:r>
      <w:proofErr w:type="spellEnd"/>
      <w:r w:rsidRPr="00A50139">
        <w:rPr>
          <w:rFonts w:ascii="Times New Roman" w:eastAsia="Times New Roman" w:hAnsi="Times New Roman" w:cs="Times New Roman"/>
          <w:color w:val="000000" w:themeColor="text1"/>
          <w:sz w:val="24"/>
          <w:szCs w:val="24"/>
          <w:lang w:eastAsia="en-IN"/>
        </w:rPr>
        <w:t>. 2010, 48, 2374–2379.</w:t>
      </w:r>
      <w:r w:rsidR="00356906" w:rsidRPr="00A50139">
        <w:rPr>
          <w:rFonts w:ascii="Times New Roman" w:eastAsia="Times New Roman" w:hAnsi="Times New Roman" w:cs="Times New Roman"/>
          <w:color w:val="000000" w:themeColor="text1"/>
          <w:sz w:val="24"/>
          <w:szCs w:val="24"/>
          <w:lang w:eastAsia="en-IN"/>
        </w:rPr>
        <w:t xml:space="preserve"> </w:t>
      </w:r>
      <w:hyperlink r:id="rId34"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https://doi.org/10.1016/j.fct.2010.05.074</w:t>
        </w:r>
      </w:hyperlink>
    </w:p>
    <w:p w14:paraId="79AE632D"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Yan, F.; Zheng, X. Anthocyanin-rich mulberry fruit improves insulin resistance and protects hepatocytes against oxidative stress during </w:t>
      </w:r>
      <w:proofErr w:type="spellStart"/>
      <w:r w:rsidRPr="00A50139">
        <w:rPr>
          <w:rFonts w:ascii="Times New Roman" w:eastAsia="Times New Roman" w:hAnsi="Times New Roman" w:cs="Times New Roman"/>
          <w:color w:val="000000" w:themeColor="text1"/>
          <w:sz w:val="24"/>
          <w:szCs w:val="24"/>
          <w:lang w:eastAsia="en-IN"/>
        </w:rPr>
        <w:t>hyperglycemia</w:t>
      </w:r>
      <w:proofErr w:type="spellEnd"/>
      <w:r w:rsidRPr="00A50139">
        <w:rPr>
          <w:rFonts w:ascii="Times New Roman" w:eastAsia="Times New Roman" w:hAnsi="Times New Roman" w:cs="Times New Roman"/>
          <w:color w:val="000000" w:themeColor="text1"/>
          <w:sz w:val="24"/>
          <w:szCs w:val="24"/>
          <w:lang w:eastAsia="en-IN"/>
        </w:rPr>
        <w:t xml:space="preserve"> by regulating AMPK/ACC/mTOR pathway. J. </w:t>
      </w:r>
      <w:proofErr w:type="spellStart"/>
      <w:r w:rsidRPr="00A50139">
        <w:rPr>
          <w:rFonts w:ascii="Times New Roman" w:eastAsia="Times New Roman" w:hAnsi="Times New Roman" w:cs="Times New Roman"/>
          <w:color w:val="000000" w:themeColor="text1"/>
          <w:sz w:val="24"/>
          <w:szCs w:val="24"/>
          <w:lang w:eastAsia="en-IN"/>
        </w:rPr>
        <w:t>Funct</w:t>
      </w:r>
      <w:proofErr w:type="spellEnd"/>
      <w:r w:rsidRPr="00A50139">
        <w:rPr>
          <w:rFonts w:ascii="Times New Roman" w:eastAsia="Times New Roman" w:hAnsi="Times New Roman" w:cs="Times New Roman"/>
          <w:color w:val="000000" w:themeColor="text1"/>
          <w:sz w:val="24"/>
          <w:szCs w:val="24"/>
          <w:lang w:eastAsia="en-IN"/>
        </w:rPr>
        <w:t>. Foods 2017, 30, 270–281</w:t>
      </w:r>
      <w:r w:rsidR="00356906" w:rsidRPr="00A50139">
        <w:rPr>
          <w:rFonts w:ascii="Times New Roman" w:eastAsia="Times New Roman" w:hAnsi="Times New Roman" w:cs="Times New Roman"/>
          <w:color w:val="000000" w:themeColor="text1"/>
          <w:sz w:val="24"/>
          <w:szCs w:val="24"/>
          <w:lang w:eastAsia="en-IN"/>
        </w:rPr>
        <w:t xml:space="preserve">. </w:t>
      </w:r>
      <w:hyperlink r:id="rId35"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https://doi.org/10.1016/j.jff.2017.01.027</w:t>
        </w:r>
      </w:hyperlink>
    </w:p>
    <w:p w14:paraId="321FAFEE"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lastRenderedPageBreak/>
        <w:t xml:space="preserve">Bangar, S.P.; Chaudhary, V.; Sharma, N.; Bansal, V.; </w:t>
      </w:r>
      <w:proofErr w:type="spellStart"/>
      <w:r w:rsidRPr="00A50139">
        <w:rPr>
          <w:rFonts w:ascii="Times New Roman" w:eastAsia="Times New Roman" w:hAnsi="Times New Roman" w:cs="Times New Roman"/>
          <w:color w:val="000000" w:themeColor="text1"/>
          <w:sz w:val="24"/>
          <w:szCs w:val="24"/>
          <w:lang w:eastAsia="en-IN"/>
        </w:rPr>
        <w:t>Ozogul</w:t>
      </w:r>
      <w:proofErr w:type="spellEnd"/>
      <w:r w:rsidRPr="00A50139">
        <w:rPr>
          <w:rFonts w:ascii="Times New Roman" w:eastAsia="Times New Roman" w:hAnsi="Times New Roman" w:cs="Times New Roman"/>
          <w:color w:val="000000" w:themeColor="text1"/>
          <w:sz w:val="24"/>
          <w:szCs w:val="24"/>
          <w:lang w:eastAsia="en-IN"/>
        </w:rPr>
        <w:t xml:space="preserve">, F.; Lorenzo, J.M. Kaempferol: A Flavonoid with Wider Biological Activities and Its Applications. Crit. Rev. Food Sci. </w:t>
      </w:r>
      <w:proofErr w:type="spellStart"/>
      <w:r w:rsidRPr="00A50139">
        <w:rPr>
          <w:rFonts w:ascii="Times New Roman" w:eastAsia="Times New Roman" w:hAnsi="Times New Roman" w:cs="Times New Roman"/>
          <w:color w:val="000000" w:themeColor="text1"/>
          <w:sz w:val="24"/>
          <w:szCs w:val="24"/>
          <w:lang w:eastAsia="en-IN"/>
        </w:rPr>
        <w:t>Nutr</w:t>
      </w:r>
      <w:proofErr w:type="spellEnd"/>
      <w:r w:rsidRPr="00A50139">
        <w:rPr>
          <w:rFonts w:ascii="Times New Roman" w:eastAsia="Times New Roman" w:hAnsi="Times New Roman" w:cs="Times New Roman"/>
          <w:color w:val="000000" w:themeColor="text1"/>
          <w:sz w:val="24"/>
          <w:szCs w:val="24"/>
          <w:lang w:eastAsia="en-IN"/>
        </w:rPr>
        <w:t>. 2023, 63, 9580–9604.</w:t>
      </w:r>
      <w:r w:rsidR="00356906" w:rsidRPr="00A50139">
        <w:rPr>
          <w:rFonts w:ascii="Times New Roman" w:eastAsia="Times New Roman" w:hAnsi="Times New Roman" w:cs="Times New Roman"/>
          <w:color w:val="000000" w:themeColor="text1"/>
          <w:sz w:val="24"/>
          <w:szCs w:val="24"/>
          <w:lang w:eastAsia="en-IN"/>
        </w:rPr>
        <w:t xml:space="preserve"> </w:t>
      </w:r>
      <w:hyperlink r:id="rId36" w:history="1">
        <w:r w:rsidR="00356906" w:rsidRPr="00A50139">
          <w:rPr>
            <w:rStyle w:val="Hyperlink"/>
            <w:rFonts w:ascii="Times New Roman" w:hAnsi="Times New Roman" w:cs="Times New Roman"/>
            <w:color w:val="006DB4"/>
            <w:sz w:val="24"/>
            <w:szCs w:val="24"/>
          </w:rPr>
          <w:t>https://doi.org/10.1080/10408398.2022.2067121</w:t>
        </w:r>
      </w:hyperlink>
    </w:p>
    <w:p w14:paraId="04AD1D99"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eastAsia="Times New Roman" w:hAnsi="Times New Roman" w:cs="Times New Roman"/>
          <w:color w:val="000000" w:themeColor="text1"/>
          <w:sz w:val="24"/>
          <w:szCs w:val="24"/>
          <w:lang w:eastAsia="en-IN"/>
        </w:rPr>
        <w:t>Olonode</w:t>
      </w:r>
      <w:proofErr w:type="spellEnd"/>
      <w:r w:rsidRPr="00A50139">
        <w:rPr>
          <w:rFonts w:ascii="Times New Roman" w:eastAsia="Times New Roman" w:hAnsi="Times New Roman" w:cs="Times New Roman"/>
          <w:color w:val="000000" w:themeColor="text1"/>
          <w:sz w:val="24"/>
          <w:szCs w:val="24"/>
          <w:lang w:eastAsia="en-IN"/>
        </w:rPr>
        <w:t xml:space="preserve">, E.T.; </w:t>
      </w:r>
      <w:proofErr w:type="spellStart"/>
      <w:r w:rsidRPr="00A50139">
        <w:rPr>
          <w:rFonts w:ascii="Times New Roman" w:eastAsia="Times New Roman" w:hAnsi="Times New Roman" w:cs="Times New Roman"/>
          <w:color w:val="000000" w:themeColor="text1"/>
          <w:sz w:val="24"/>
          <w:szCs w:val="24"/>
          <w:lang w:eastAsia="en-IN"/>
        </w:rPr>
        <w:t>Aderibigbe</w:t>
      </w:r>
      <w:proofErr w:type="spellEnd"/>
      <w:r w:rsidRPr="00A50139">
        <w:rPr>
          <w:rFonts w:ascii="Times New Roman" w:eastAsia="Times New Roman" w:hAnsi="Times New Roman" w:cs="Times New Roman"/>
          <w:color w:val="000000" w:themeColor="text1"/>
          <w:sz w:val="24"/>
          <w:szCs w:val="24"/>
          <w:lang w:eastAsia="en-IN"/>
        </w:rPr>
        <w:t xml:space="preserve">, A.O.; </w:t>
      </w:r>
      <w:proofErr w:type="spellStart"/>
      <w:r w:rsidRPr="00A50139">
        <w:rPr>
          <w:rFonts w:ascii="Times New Roman" w:eastAsia="Times New Roman" w:hAnsi="Times New Roman" w:cs="Times New Roman"/>
          <w:color w:val="000000" w:themeColor="text1"/>
          <w:sz w:val="24"/>
          <w:szCs w:val="24"/>
          <w:lang w:eastAsia="en-IN"/>
        </w:rPr>
        <w:t>Adeoluwa</w:t>
      </w:r>
      <w:proofErr w:type="spellEnd"/>
      <w:r w:rsidRPr="00A50139">
        <w:rPr>
          <w:rFonts w:ascii="Times New Roman" w:eastAsia="Times New Roman" w:hAnsi="Times New Roman" w:cs="Times New Roman"/>
          <w:color w:val="000000" w:themeColor="text1"/>
          <w:sz w:val="24"/>
          <w:szCs w:val="24"/>
          <w:lang w:eastAsia="en-IN"/>
        </w:rPr>
        <w:t xml:space="preserve">, O.A.; </w:t>
      </w:r>
      <w:proofErr w:type="spellStart"/>
      <w:r w:rsidRPr="00A50139">
        <w:rPr>
          <w:rFonts w:ascii="Times New Roman" w:eastAsia="Times New Roman" w:hAnsi="Times New Roman" w:cs="Times New Roman"/>
          <w:color w:val="000000" w:themeColor="text1"/>
          <w:sz w:val="24"/>
          <w:szCs w:val="24"/>
          <w:lang w:eastAsia="en-IN"/>
        </w:rPr>
        <w:t>Eduviere</w:t>
      </w:r>
      <w:proofErr w:type="spellEnd"/>
      <w:r w:rsidRPr="00A50139">
        <w:rPr>
          <w:rFonts w:ascii="Times New Roman" w:eastAsia="Times New Roman" w:hAnsi="Times New Roman" w:cs="Times New Roman"/>
          <w:color w:val="000000" w:themeColor="text1"/>
          <w:sz w:val="24"/>
          <w:szCs w:val="24"/>
          <w:lang w:eastAsia="en-IN"/>
        </w:rPr>
        <w:t>, A.T.; Ben-</w:t>
      </w:r>
      <w:proofErr w:type="spellStart"/>
      <w:r w:rsidRPr="00A50139">
        <w:rPr>
          <w:rFonts w:ascii="Times New Roman" w:eastAsia="Times New Roman" w:hAnsi="Times New Roman" w:cs="Times New Roman"/>
          <w:color w:val="000000" w:themeColor="text1"/>
          <w:sz w:val="24"/>
          <w:szCs w:val="24"/>
          <w:lang w:eastAsia="en-IN"/>
        </w:rPr>
        <w:t>Azu</w:t>
      </w:r>
      <w:proofErr w:type="spellEnd"/>
      <w:r w:rsidRPr="00A50139">
        <w:rPr>
          <w:rFonts w:ascii="Times New Roman" w:eastAsia="Times New Roman" w:hAnsi="Times New Roman" w:cs="Times New Roman"/>
          <w:color w:val="000000" w:themeColor="text1"/>
          <w:sz w:val="24"/>
          <w:szCs w:val="24"/>
          <w:lang w:eastAsia="en-IN"/>
        </w:rPr>
        <w:t xml:space="preserve">, B. Morin Hydrate Mitigates Rapid Eye Movement Sleep Deprivation-Induced </w:t>
      </w:r>
      <w:proofErr w:type="spellStart"/>
      <w:r w:rsidRPr="00A50139">
        <w:rPr>
          <w:rFonts w:ascii="Times New Roman" w:eastAsia="Times New Roman" w:hAnsi="Times New Roman" w:cs="Times New Roman"/>
          <w:color w:val="000000" w:themeColor="text1"/>
          <w:sz w:val="24"/>
          <w:szCs w:val="24"/>
          <w:lang w:eastAsia="en-IN"/>
        </w:rPr>
        <w:t>Neurobehavioural</w:t>
      </w:r>
      <w:proofErr w:type="spellEnd"/>
      <w:r w:rsidRPr="00A50139">
        <w:rPr>
          <w:rFonts w:ascii="Times New Roman" w:eastAsia="Times New Roman" w:hAnsi="Times New Roman" w:cs="Times New Roman"/>
          <w:color w:val="000000" w:themeColor="text1"/>
          <w:sz w:val="24"/>
          <w:szCs w:val="24"/>
          <w:lang w:eastAsia="en-IN"/>
        </w:rPr>
        <w:t xml:space="preserve"> Impairments and Loss of Viable Neurons in the Hippocampus of Mice. </w:t>
      </w:r>
      <w:proofErr w:type="spellStart"/>
      <w:r w:rsidRPr="00A50139">
        <w:rPr>
          <w:rFonts w:ascii="Times New Roman" w:eastAsia="Times New Roman" w:hAnsi="Times New Roman" w:cs="Times New Roman"/>
          <w:color w:val="000000" w:themeColor="text1"/>
          <w:sz w:val="24"/>
          <w:szCs w:val="24"/>
          <w:lang w:eastAsia="en-IN"/>
        </w:rPr>
        <w:t>Behav</w:t>
      </w:r>
      <w:proofErr w:type="spellEnd"/>
      <w:r w:rsidRPr="00A50139">
        <w:rPr>
          <w:rFonts w:ascii="Times New Roman" w:eastAsia="Times New Roman" w:hAnsi="Times New Roman" w:cs="Times New Roman"/>
          <w:color w:val="000000" w:themeColor="text1"/>
          <w:sz w:val="24"/>
          <w:szCs w:val="24"/>
          <w:lang w:eastAsia="en-IN"/>
        </w:rPr>
        <w:t>. Brain Res. 2019, 356, 518–525.</w:t>
      </w:r>
      <w:r w:rsidR="00356906" w:rsidRPr="00A50139">
        <w:rPr>
          <w:rFonts w:ascii="Times New Roman" w:eastAsia="Times New Roman" w:hAnsi="Times New Roman" w:cs="Times New Roman"/>
          <w:color w:val="000000" w:themeColor="text1"/>
          <w:sz w:val="24"/>
          <w:szCs w:val="24"/>
          <w:lang w:eastAsia="en-IN"/>
        </w:rPr>
        <w:t xml:space="preserve"> </w:t>
      </w:r>
      <w:hyperlink r:id="rId37"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https://doi.org/10.1016/j.bbr.2017.12.024</w:t>
        </w:r>
      </w:hyperlink>
    </w:p>
    <w:p w14:paraId="00552BC9"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Lee, K.M.; Lee, Y.; Chun, H.J.; Kim, A.H.; Kim, J.Y.; Lee, J.Y.; Ishigami, A.; Lee, J. Neuroprotective and Anti-inflammatory Effects of Morin in a Murine Model of Parkinson’s Disease. J.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Res. 2016, 94, 865–878.</w:t>
      </w:r>
      <w:r w:rsidR="00356906" w:rsidRPr="00A50139">
        <w:rPr>
          <w:rFonts w:ascii="Times New Roman" w:eastAsia="Times New Roman" w:hAnsi="Times New Roman" w:cs="Times New Roman"/>
          <w:color w:val="000000" w:themeColor="text1"/>
          <w:sz w:val="24"/>
          <w:szCs w:val="24"/>
          <w:lang w:eastAsia="en-IN"/>
        </w:rPr>
        <w:t xml:space="preserve"> </w:t>
      </w:r>
      <w:hyperlink r:id="rId38" w:history="1">
        <w:r w:rsidR="00356906" w:rsidRPr="00A50139">
          <w:rPr>
            <w:rStyle w:val="Hyperlink"/>
            <w:rFonts w:ascii="Times New Roman" w:hAnsi="Times New Roman" w:cs="Times New Roman"/>
            <w:b/>
            <w:bCs/>
            <w:color w:val="123D80"/>
            <w:sz w:val="24"/>
            <w:szCs w:val="24"/>
            <w:shd w:val="clear" w:color="auto" w:fill="FFFFFF"/>
          </w:rPr>
          <w:t>https://doi.org/10.1002/jnr.23764</w:t>
        </w:r>
      </w:hyperlink>
    </w:p>
    <w:p w14:paraId="5E7D7025"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Wang, Z.; Cui, J.; Li, D.; Ran, S.; Huang, J.; Chen, G. Morin Exhibits a Neuroprotective Effect in MPTP-Induced Parkinson’s Disease Model via TFEB/AMPK-Mediated Mitophagy. Phytomedicine 2023, 116, 154866.</w:t>
      </w:r>
      <w:r w:rsidR="00356906" w:rsidRPr="00A50139">
        <w:rPr>
          <w:rFonts w:ascii="Times New Roman" w:eastAsia="Times New Roman" w:hAnsi="Times New Roman" w:cs="Times New Roman"/>
          <w:color w:val="000000" w:themeColor="text1"/>
          <w:sz w:val="24"/>
          <w:szCs w:val="24"/>
          <w:lang w:eastAsia="en-IN"/>
        </w:rPr>
        <w:t xml:space="preserve"> </w:t>
      </w:r>
      <w:hyperlink r:id="rId39"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https://doi.org/10.1016/j.phymed.2023.154866</w:t>
        </w:r>
      </w:hyperlink>
    </w:p>
    <w:p w14:paraId="0D442924"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Zhu, J.-Y.; Weng, H.-Z.; Tang, D.-K.; Long, J.-C.; Tang, Z.-Y.; Chen, Y.; Yin, S.; Tang, G.-H. Prenylated </w:t>
      </w:r>
      <w:proofErr w:type="spellStart"/>
      <w:r w:rsidRPr="00A50139">
        <w:rPr>
          <w:rFonts w:ascii="Times New Roman" w:eastAsia="Times New Roman" w:hAnsi="Times New Roman" w:cs="Times New Roman"/>
          <w:color w:val="000000" w:themeColor="text1"/>
          <w:sz w:val="24"/>
          <w:szCs w:val="24"/>
          <w:lang w:eastAsia="en-IN"/>
        </w:rPr>
        <w:t>Dihydroflavones</w:t>
      </w:r>
      <w:proofErr w:type="spellEnd"/>
      <w:r w:rsidRPr="00A50139">
        <w:rPr>
          <w:rFonts w:ascii="Times New Roman" w:eastAsia="Times New Roman" w:hAnsi="Times New Roman" w:cs="Times New Roman"/>
          <w:color w:val="000000" w:themeColor="text1"/>
          <w:sz w:val="24"/>
          <w:szCs w:val="24"/>
          <w:lang w:eastAsia="en-IN"/>
        </w:rPr>
        <w:t xml:space="preserve"> from the Root Barks of </w:t>
      </w:r>
      <w:r w:rsidRPr="00A50139">
        <w:rPr>
          <w:rFonts w:ascii="Times New Roman" w:eastAsia="Times New Roman" w:hAnsi="Times New Roman" w:cs="Times New Roman"/>
          <w:i/>
          <w:color w:val="000000" w:themeColor="text1"/>
          <w:sz w:val="24"/>
          <w:szCs w:val="24"/>
          <w:lang w:eastAsia="en-IN"/>
        </w:rPr>
        <w:t>Morus alba</w:t>
      </w:r>
      <w:r w:rsidRPr="00A50139">
        <w:rPr>
          <w:rFonts w:ascii="Times New Roman" w:eastAsia="Times New Roman" w:hAnsi="Times New Roman" w:cs="Times New Roman"/>
          <w:color w:val="000000" w:themeColor="text1"/>
          <w:sz w:val="24"/>
          <w:szCs w:val="24"/>
          <w:lang w:eastAsia="en-IN"/>
        </w:rPr>
        <w:t>. Nat. Prod. Res. 2024, 38, 2569–2576.</w:t>
      </w:r>
      <w:r w:rsidR="000D11BE" w:rsidRPr="00A50139">
        <w:rPr>
          <w:rFonts w:ascii="Times New Roman" w:eastAsia="Times New Roman" w:hAnsi="Times New Roman" w:cs="Times New Roman"/>
          <w:color w:val="000000" w:themeColor="text1"/>
          <w:sz w:val="24"/>
          <w:szCs w:val="24"/>
          <w:lang w:eastAsia="en-IN"/>
        </w:rPr>
        <w:t xml:space="preserve"> </w:t>
      </w:r>
      <w:hyperlink r:id="rId40" w:history="1">
        <w:r w:rsidR="000D11BE" w:rsidRPr="00A50139">
          <w:rPr>
            <w:rStyle w:val="Hyperlink"/>
            <w:rFonts w:ascii="Times New Roman" w:hAnsi="Times New Roman" w:cs="Times New Roman"/>
            <w:color w:val="006DB4"/>
            <w:sz w:val="24"/>
            <w:szCs w:val="24"/>
          </w:rPr>
          <w:t>https://doi.org/10.1080/14786419.2023.2189710</w:t>
        </w:r>
      </w:hyperlink>
    </w:p>
    <w:p w14:paraId="0AEB08F2"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Zhao, N.; Wu, M.; Velu, P.; Annamalai, V.; Zhang, J. </w:t>
      </w:r>
      <w:proofErr w:type="spellStart"/>
      <w:r w:rsidRPr="00A50139">
        <w:rPr>
          <w:rFonts w:ascii="Times New Roman" w:eastAsia="Times New Roman" w:hAnsi="Times New Roman" w:cs="Times New Roman"/>
          <w:color w:val="000000" w:themeColor="text1"/>
          <w:sz w:val="24"/>
          <w:szCs w:val="24"/>
          <w:lang w:eastAsia="en-IN"/>
        </w:rPr>
        <w:t>Sanggenol</w:t>
      </w:r>
      <w:proofErr w:type="spellEnd"/>
      <w:r w:rsidRPr="00A50139">
        <w:rPr>
          <w:rFonts w:ascii="Times New Roman" w:eastAsia="Times New Roman" w:hAnsi="Times New Roman" w:cs="Times New Roman"/>
          <w:color w:val="000000" w:themeColor="text1"/>
          <w:sz w:val="24"/>
          <w:szCs w:val="24"/>
          <w:lang w:eastAsia="en-IN"/>
        </w:rPr>
        <w:t xml:space="preserve"> L Alleviates Rotenone-Induced Parkinson’s Disease and Inhibits Mitochondrial Complex I by Apoptosis Via P13K/AKT/mTOR Signalling. Comb. Chem. High Throughput Screen. 2024.</w:t>
      </w:r>
      <w:r w:rsidR="000D11BE" w:rsidRPr="00A50139">
        <w:rPr>
          <w:rFonts w:ascii="Times New Roman" w:eastAsia="Times New Roman" w:hAnsi="Times New Roman" w:cs="Times New Roman"/>
          <w:color w:val="000000" w:themeColor="text1"/>
          <w:sz w:val="24"/>
          <w:szCs w:val="24"/>
          <w:lang w:eastAsia="en-IN"/>
        </w:rPr>
        <w:t xml:space="preserve"> </w:t>
      </w:r>
      <w:hyperlink r:id="rId41" w:history="1">
        <w:r w:rsidR="000D11BE" w:rsidRPr="00A50139">
          <w:rPr>
            <w:rStyle w:val="Hyperlink"/>
            <w:rFonts w:ascii="Times New Roman" w:hAnsi="Times New Roman" w:cs="Times New Roman"/>
            <w:color w:val="00192D"/>
            <w:sz w:val="24"/>
            <w:szCs w:val="24"/>
            <w:shd w:val="clear" w:color="auto" w:fill="FFFFFF"/>
          </w:rPr>
          <w:t>https://doi.org/10.2174/0113862073358649241128053921</w:t>
        </w:r>
      </w:hyperlink>
      <w:r w:rsidR="000D11BE" w:rsidRPr="00A50139">
        <w:rPr>
          <w:rFonts w:ascii="Times New Roman" w:hAnsi="Times New Roman" w:cs="Times New Roman"/>
          <w:sz w:val="24"/>
          <w:szCs w:val="24"/>
        </w:rPr>
        <w:t xml:space="preserve"> </w:t>
      </w:r>
    </w:p>
    <w:p w14:paraId="75C2EE99"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 xml:space="preserve">Subash, S.; Essa, M.M.; Al-Adawi, S.; Memon, M.A.; Manivasagam, T.; Akbar, M. Neuroprotective Effects of Berry Fruits on Neurodegenerative Diseases. Neural Regen. Res. 2014, 9, 1557–1566. </w:t>
      </w:r>
      <w:r w:rsidR="000D11BE" w:rsidRPr="00A50139">
        <w:rPr>
          <w:rStyle w:val="ej-journal-doi"/>
          <w:rFonts w:ascii="Times New Roman" w:hAnsi="Times New Roman" w:cs="Times New Roman"/>
          <w:i/>
          <w:iCs/>
          <w:color w:val="3B3030"/>
          <w:sz w:val="24"/>
          <w:szCs w:val="24"/>
          <w:shd w:val="clear" w:color="auto" w:fill="FFFFFF"/>
        </w:rPr>
        <w:t>DOI: </w:t>
      </w:r>
      <w:r w:rsidR="000D11BE" w:rsidRPr="00A50139">
        <w:rPr>
          <w:rFonts w:ascii="Times New Roman" w:hAnsi="Times New Roman" w:cs="Times New Roman"/>
          <w:color w:val="3B3030"/>
          <w:sz w:val="24"/>
          <w:szCs w:val="24"/>
          <w:shd w:val="clear" w:color="auto" w:fill="FFFFFF"/>
        </w:rPr>
        <w:t>10.4103/1673-5374.139483</w:t>
      </w:r>
    </w:p>
    <w:p w14:paraId="524856BF"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 xml:space="preserve">Butt, M.S.; Nazir, A.; Sultan, M.T.; Schroen, K. </w:t>
      </w:r>
      <w:r w:rsidRPr="00A50139">
        <w:rPr>
          <w:rFonts w:ascii="Times New Roman" w:eastAsia="Times New Roman" w:hAnsi="Times New Roman" w:cs="Times New Roman"/>
          <w:i/>
          <w:color w:val="000000" w:themeColor="text1"/>
          <w:sz w:val="24"/>
          <w:szCs w:val="24"/>
          <w:lang w:eastAsia="en-IN"/>
        </w:rPr>
        <w:t>Morus alba</w:t>
      </w:r>
      <w:r w:rsidRPr="00A50139">
        <w:rPr>
          <w:rFonts w:ascii="Times New Roman" w:eastAsia="Times New Roman" w:hAnsi="Times New Roman" w:cs="Times New Roman"/>
          <w:color w:val="000000" w:themeColor="text1"/>
          <w:sz w:val="24"/>
          <w:szCs w:val="24"/>
          <w:lang w:eastAsia="en-IN"/>
        </w:rPr>
        <w:t xml:space="preserve"> L. Nature’s Functional Tonic. Trends Food Sci. Technol. 2008, 19, 505–512.</w:t>
      </w:r>
      <w:r w:rsidR="000D11BE" w:rsidRPr="00A50139">
        <w:rPr>
          <w:rFonts w:ascii="Times New Roman" w:eastAsia="Times New Roman" w:hAnsi="Times New Roman" w:cs="Times New Roman"/>
          <w:color w:val="000000" w:themeColor="text1"/>
          <w:sz w:val="24"/>
          <w:szCs w:val="24"/>
          <w:lang w:eastAsia="en-IN"/>
        </w:rPr>
        <w:t xml:space="preserve"> </w:t>
      </w:r>
      <w:hyperlink r:id="rId42"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https://doi.org/10.1016/j.tifs.2008.06.002</w:t>
        </w:r>
      </w:hyperlink>
    </w:p>
    <w:p w14:paraId="3C34BE45"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Kang, T.H.; Hur, J.Y.; Kim, H.B.; Ryu, J.H.; Kim, S.Y. Neuroprotective Effects of the Cyanidin-3-O-β-D-Glucopyranoside Isolated from Mulberry Fruit against Cerebral Ischemia.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Lett. 2006, 391, 122–126.</w:t>
      </w:r>
      <w:r w:rsidR="000D11BE" w:rsidRPr="00A50139">
        <w:rPr>
          <w:rFonts w:ascii="Times New Roman" w:eastAsia="Times New Roman" w:hAnsi="Times New Roman" w:cs="Times New Roman"/>
          <w:color w:val="000000" w:themeColor="text1"/>
          <w:sz w:val="24"/>
          <w:szCs w:val="24"/>
          <w:lang w:eastAsia="en-IN"/>
        </w:rPr>
        <w:t xml:space="preserve"> </w:t>
      </w:r>
      <w:hyperlink r:id="rId43"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https://doi.org/10.1016/j.neulet.2005.08.053</w:t>
        </w:r>
      </w:hyperlink>
    </w:p>
    <w:p w14:paraId="4E743196"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Bhuiyan, M.I.H.; Kim, H.-B.; Kim, S.Y.; Cho, K.-O. The Neuroprotective Potential of Cyanidin-3-Glucoside Fraction Extracted from Mulberry Following Oxygen-Glucose Deprivation. Korean J. Physiol. </w:t>
      </w:r>
      <w:proofErr w:type="spellStart"/>
      <w:r w:rsidRPr="00A50139">
        <w:rPr>
          <w:rFonts w:ascii="Times New Roman" w:eastAsia="Times New Roman" w:hAnsi="Times New Roman" w:cs="Times New Roman"/>
          <w:color w:val="000000" w:themeColor="text1"/>
          <w:sz w:val="24"/>
          <w:szCs w:val="24"/>
          <w:lang w:eastAsia="en-IN"/>
        </w:rPr>
        <w:t>Pharmacol</w:t>
      </w:r>
      <w:proofErr w:type="spellEnd"/>
      <w:r w:rsidRPr="00A50139">
        <w:rPr>
          <w:rFonts w:ascii="Times New Roman" w:eastAsia="Times New Roman" w:hAnsi="Times New Roman" w:cs="Times New Roman"/>
          <w:color w:val="000000" w:themeColor="text1"/>
          <w:sz w:val="24"/>
          <w:szCs w:val="24"/>
          <w:lang w:eastAsia="en-IN"/>
        </w:rPr>
        <w:t>. 2011, 15, 353–361</w:t>
      </w:r>
      <w:r w:rsidR="000D11BE" w:rsidRPr="00A50139">
        <w:rPr>
          <w:rFonts w:ascii="Times New Roman" w:eastAsia="Times New Roman" w:hAnsi="Times New Roman" w:cs="Times New Roman"/>
          <w:color w:val="000000" w:themeColor="text1"/>
          <w:sz w:val="24"/>
          <w:szCs w:val="24"/>
          <w:lang w:eastAsia="en-IN"/>
        </w:rPr>
        <w:t xml:space="preserve">. </w:t>
      </w:r>
      <w:r w:rsidR="000D11BE" w:rsidRPr="00A50139">
        <w:rPr>
          <w:rStyle w:val="generated"/>
          <w:rFonts w:ascii="Times New Roman" w:hAnsi="Times New Roman" w:cs="Times New Roman"/>
          <w:color w:val="000000"/>
          <w:sz w:val="24"/>
          <w:szCs w:val="24"/>
        </w:rPr>
        <w:t>DOI: </w:t>
      </w:r>
      <w:hyperlink r:id="rId44" w:tgtFrame="_blank" w:history="1">
        <w:r w:rsidR="000D11BE" w:rsidRPr="00A50139">
          <w:rPr>
            <w:rStyle w:val="Hyperlink"/>
            <w:rFonts w:ascii="Times New Roman" w:hAnsi="Times New Roman" w:cs="Times New Roman"/>
            <w:sz w:val="24"/>
            <w:szCs w:val="24"/>
          </w:rPr>
          <w:t>https://doi.org/10.4196/kjpp.2011.15.6.353</w:t>
        </w:r>
      </w:hyperlink>
    </w:p>
    <w:p w14:paraId="5A9F1D22"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Samota</w:t>
      </w:r>
      <w:proofErr w:type="spellEnd"/>
      <w:r w:rsidRPr="00A50139">
        <w:rPr>
          <w:rFonts w:ascii="Times New Roman" w:eastAsia="Times New Roman" w:hAnsi="Times New Roman" w:cs="Times New Roman"/>
          <w:color w:val="000000" w:themeColor="text1"/>
          <w:sz w:val="24"/>
          <w:szCs w:val="24"/>
          <w:lang w:eastAsia="en-IN"/>
        </w:rPr>
        <w:t xml:space="preserve">, M.K.; Yadav, D.K.; Koli, P.; Kaur, M.; Kaur, M.; Rani, H.; Selvan, S.S.; Mahala, P.; Tripathi, K.; Kumar, S. </w:t>
      </w:r>
      <w:r w:rsidR="000D11BE" w:rsidRPr="00A50139">
        <w:rPr>
          <w:rFonts w:ascii="Times New Roman" w:hAnsi="Times New Roman" w:cs="Times New Roman"/>
          <w:color w:val="222222"/>
          <w:sz w:val="24"/>
          <w:szCs w:val="24"/>
          <w:shd w:val="clear" w:color="auto" w:fill="FFFFFF"/>
        </w:rPr>
        <w:t>Exploring natural chalcones: innovative extraction techniques, bioactivities, and health potential</w:t>
      </w:r>
      <w:r w:rsidRPr="00A50139">
        <w:rPr>
          <w:rFonts w:ascii="Times New Roman" w:eastAsia="Times New Roman" w:hAnsi="Times New Roman" w:cs="Times New Roman"/>
          <w:color w:val="000000" w:themeColor="text1"/>
          <w:sz w:val="24"/>
          <w:szCs w:val="24"/>
          <w:lang w:eastAsia="en-IN"/>
        </w:rPr>
        <w:t>. Sustain. Food</w:t>
      </w:r>
      <w:r w:rsidR="000D11BE"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Technol. 2024,</w:t>
      </w:r>
      <w:r w:rsidR="000D11BE"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2,</w:t>
      </w:r>
      <w:r w:rsidR="000D11BE"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1456–1468.</w:t>
      </w:r>
      <w:r w:rsidR="000D11BE" w:rsidRPr="00A50139">
        <w:rPr>
          <w:rFonts w:ascii="Times New Roman" w:eastAsia="Times New Roman" w:hAnsi="Times New Roman" w:cs="Times New Roman"/>
          <w:color w:val="000000" w:themeColor="text1"/>
          <w:sz w:val="24"/>
          <w:szCs w:val="24"/>
          <w:lang w:eastAsia="en-IN"/>
        </w:rPr>
        <w:t xml:space="preserve"> </w:t>
      </w:r>
      <w:r w:rsidR="000D11BE" w:rsidRPr="00A50139">
        <w:rPr>
          <w:rFonts w:ascii="Times New Roman" w:hAnsi="Times New Roman" w:cs="Times New Roman"/>
          <w:sz w:val="24"/>
          <w:szCs w:val="24"/>
          <w:shd w:val="clear" w:color="auto" w:fill="FFFFFF"/>
        </w:rPr>
        <w:t>DOI: </w:t>
      </w:r>
      <w:hyperlink r:id="rId45" w:tgtFrame="_blank" w:tooltip="Link to landing page via DOI" w:history="1">
        <w:r w:rsidR="000D11BE" w:rsidRPr="00A50139">
          <w:rPr>
            <w:rStyle w:val="Hyperlink"/>
            <w:rFonts w:ascii="Times New Roman" w:hAnsi="Times New Roman" w:cs="Times New Roman"/>
            <w:color w:val="1D749A"/>
            <w:sz w:val="24"/>
            <w:szCs w:val="24"/>
            <w:shd w:val="clear" w:color="auto" w:fill="FFFFFF"/>
          </w:rPr>
          <w:t>10.1039/D4FB00126E</w:t>
        </w:r>
      </w:hyperlink>
    </w:p>
    <w:p w14:paraId="252D92CC"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Hofmann, E.; Webster, J.; Do, T.; Kline, R.; Snider, L.; Hauser, Q.; Higginbottom, G.; Campbell, A.; Ma, L.; Paula, S. Hydroxylated Chalcones with Dual Properties: Xanthine Oxidase Inhibitors and Radical Scavengers. </w:t>
      </w:r>
      <w:proofErr w:type="spellStart"/>
      <w:r w:rsidRPr="00A50139">
        <w:rPr>
          <w:rFonts w:ascii="Times New Roman" w:eastAsia="Times New Roman" w:hAnsi="Times New Roman" w:cs="Times New Roman"/>
          <w:color w:val="000000" w:themeColor="text1"/>
          <w:sz w:val="24"/>
          <w:szCs w:val="24"/>
          <w:lang w:eastAsia="en-IN"/>
        </w:rPr>
        <w:t>Bioorg</w:t>
      </w:r>
      <w:proofErr w:type="spellEnd"/>
      <w:r w:rsidRPr="00A50139">
        <w:rPr>
          <w:rFonts w:ascii="Times New Roman" w:eastAsia="Times New Roman" w:hAnsi="Times New Roman" w:cs="Times New Roman"/>
          <w:color w:val="000000" w:themeColor="text1"/>
          <w:sz w:val="24"/>
          <w:szCs w:val="24"/>
          <w:lang w:eastAsia="en-IN"/>
        </w:rPr>
        <w:t>. Med. Chem. 2016, 24, 578–587.</w:t>
      </w:r>
      <w:r w:rsidR="000D11BE" w:rsidRPr="00A50139">
        <w:rPr>
          <w:rFonts w:ascii="Times New Roman" w:eastAsia="Times New Roman" w:hAnsi="Times New Roman" w:cs="Times New Roman"/>
          <w:color w:val="000000" w:themeColor="text1"/>
          <w:sz w:val="24"/>
          <w:szCs w:val="24"/>
          <w:lang w:eastAsia="en-IN"/>
        </w:rPr>
        <w:t xml:space="preserve"> </w:t>
      </w:r>
      <w:hyperlink r:id="rId46"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https://doi.org/10.1016/j.bmc.2015.12.024</w:t>
        </w:r>
      </w:hyperlink>
    </w:p>
    <w:p w14:paraId="60654FBC"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Nowakowska, Z. A Review of Anti-Infective and Anti-Inflammatory Chalcones. Eur. J. Med. Chem. 2007, 42, 125–137.</w:t>
      </w:r>
      <w:r w:rsidR="000D11BE" w:rsidRPr="00A50139">
        <w:rPr>
          <w:rFonts w:ascii="Times New Roman" w:eastAsia="Times New Roman" w:hAnsi="Times New Roman" w:cs="Times New Roman"/>
          <w:color w:val="000000" w:themeColor="text1"/>
          <w:sz w:val="24"/>
          <w:szCs w:val="24"/>
          <w:lang w:eastAsia="en-IN"/>
        </w:rPr>
        <w:t xml:space="preserve"> </w:t>
      </w:r>
      <w:hyperlink r:id="rId47"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https://doi.org/10.1016/j.ejmech.2006.09.019</w:t>
        </w:r>
      </w:hyperlink>
    </w:p>
    <w:p w14:paraId="29B0BEE8"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lastRenderedPageBreak/>
        <w:t>Wen, L.; Shi, D.; Zhou, T.; Tu, J.; He, M.; Jiang, Y.; Yang, B. Identification of Two Novel Prenylated Flavonoids in Mulberry Leaf and Their Bioactivities. Food Chem. 2020, 315, 126236.</w:t>
      </w:r>
      <w:r w:rsidR="000D11BE" w:rsidRPr="00A50139">
        <w:rPr>
          <w:rFonts w:ascii="Times New Roman" w:eastAsia="Times New Roman" w:hAnsi="Times New Roman" w:cs="Times New Roman"/>
          <w:color w:val="000000" w:themeColor="text1"/>
          <w:sz w:val="24"/>
          <w:szCs w:val="24"/>
          <w:lang w:eastAsia="en-IN"/>
        </w:rPr>
        <w:t xml:space="preserve"> </w:t>
      </w:r>
      <w:hyperlink r:id="rId48"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https://doi.org/10.1016/j.foodchem.2020.126236</w:t>
        </w:r>
      </w:hyperlink>
    </w:p>
    <w:p w14:paraId="7C989B6D"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Nomura, T.; Hano, Y. Isoprenoid-Substituted Phenolic-Compounds of Moraceous Plants. Nat. Prod. Rep. 1994, 11, 205–218.</w:t>
      </w:r>
      <w:r w:rsidR="000D11BE" w:rsidRPr="00A50139">
        <w:rPr>
          <w:rFonts w:ascii="Times New Roman" w:eastAsia="Times New Roman" w:hAnsi="Times New Roman" w:cs="Times New Roman"/>
          <w:color w:val="000000" w:themeColor="text1"/>
          <w:sz w:val="24"/>
          <w:szCs w:val="24"/>
          <w:lang w:eastAsia="en-IN"/>
        </w:rPr>
        <w:t xml:space="preserve"> </w:t>
      </w:r>
      <w:hyperlink r:id="rId49" w:tooltip="Link to landing page via DOI" w:history="1">
        <w:r w:rsidR="000D11BE" w:rsidRPr="00A50139">
          <w:rPr>
            <w:rStyle w:val="Hyperlink"/>
            <w:rFonts w:ascii="Times New Roman" w:hAnsi="Times New Roman" w:cs="Times New Roman"/>
            <w:b/>
            <w:bCs/>
            <w:color w:val="1D749A"/>
            <w:sz w:val="24"/>
            <w:szCs w:val="24"/>
            <w:shd w:val="clear" w:color="auto" w:fill="FFFFFF"/>
          </w:rPr>
          <w:t>https://doi.org/10.1039/NP9941100205</w:t>
        </w:r>
      </w:hyperlink>
    </w:p>
    <w:p w14:paraId="058F99F0"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Yang, Y.; Tan, Y.-X.; Chen, R.-Y.; Kang, J. The Latest Review on the Polyphenols and Their Bioactivities of Chinese </w:t>
      </w:r>
      <w:r w:rsidRPr="00A50139">
        <w:rPr>
          <w:rFonts w:ascii="Times New Roman" w:eastAsia="Times New Roman" w:hAnsi="Times New Roman" w:cs="Times New Roman"/>
          <w:i/>
          <w:color w:val="000000" w:themeColor="text1"/>
          <w:sz w:val="24"/>
          <w:szCs w:val="24"/>
          <w:lang w:eastAsia="en-IN"/>
        </w:rPr>
        <w:t>Morus</w:t>
      </w:r>
      <w:r w:rsidRPr="00A50139">
        <w:rPr>
          <w:rFonts w:ascii="Times New Roman" w:eastAsia="Times New Roman" w:hAnsi="Times New Roman" w:cs="Times New Roman"/>
          <w:color w:val="000000" w:themeColor="text1"/>
          <w:sz w:val="24"/>
          <w:szCs w:val="24"/>
          <w:lang w:eastAsia="en-IN"/>
        </w:rPr>
        <w:t xml:space="preserve"> Plants. J. Asian Nat. Prod. Res. 2014, 16, 690–702</w:t>
      </w:r>
      <w:r w:rsidR="000D11BE" w:rsidRPr="00A50139">
        <w:rPr>
          <w:rFonts w:ascii="Times New Roman" w:eastAsia="Times New Roman" w:hAnsi="Times New Roman" w:cs="Times New Roman"/>
          <w:color w:val="000000" w:themeColor="text1"/>
          <w:sz w:val="24"/>
          <w:szCs w:val="24"/>
          <w:lang w:eastAsia="en-IN"/>
        </w:rPr>
        <w:t xml:space="preserve">. </w:t>
      </w:r>
      <w:hyperlink r:id="rId50" w:history="1">
        <w:r w:rsidR="000D11BE" w:rsidRPr="00A50139">
          <w:rPr>
            <w:rStyle w:val="Hyperlink"/>
            <w:rFonts w:ascii="Times New Roman" w:hAnsi="Times New Roman" w:cs="Times New Roman"/>
            <w:color w:val="006DB4"/>
            <w:sz w:val="24"/>
            <w:szCs w:val="24"/>
          </w:rPr>
          <w:t>https://doi.org/10.1080/10286020.2014.923405</w:t>
        </w:r>
      </w:hyperlink>
    </w:p>
    <w:p w14:paraId="7111510B"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Xia, C.-L.; Tang, G.-H.; Guo, Y.-Q.; Xu, Y.-K.; Huang, Z.-S.; Yin, S. Mulberry Diels-Alder-Type Adducts from Morus alba as Multi-Targeted Agents for Alzheimer’s Disease. Phytochemistry 2019, 157, 82–91.</w:t>
      </w:r>
      <w:r w:rsidR="00A72CAC" w:rsidRPr="00A50139">
        <w:rPr>
          <w:rFonts w:ascii="Times New Roman" w:eastAsia="Times New Roman" w:hAnsi="Times New Roman" w:cs="Times New Roman"/>
          <w:color w:val="000000" w:themeColor="text1"/>
          <w:sz w:val="24"/>
          <w:szCs w:val="24"/>
          <w:lang w:eastAsia="en-IN"/>
        </w:rPr>
        <w:t xml:space="preserve"> </w:t>
      </w:r>
      <w:hyperlink r:id="rId51"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https://doi.org/10.1016/j.phytochem.2018.10.028</w:t>
        </w:r>
      </w:hyperlink>
    </w:p>
    <w:p w14:paraId="405F106D"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Qiao, A.; Wang, Y.; Zhang, W.; He, X. Neuroprotection of Brain-Targeted Bioactive Dietary Artoindonesianin O (AIO) from Mulberry on Rat Neurons as a Novel Intervention for Alzheimer’s Disease. J. Agric. Food Chem. 2015, 63, 3687–3693.</w:t>
      </w:r>
      <w:r w:rsidR="00A72CAC" w:rsidRPr="00A50139">
        <w:rPr>
          <w:rFonts w:ascii="Times New Roman" w:eastAsia="Times New Roman" w:hAnsi="Times New Roman" w:cs="Times New Roman"/>
          <w:color w:val="000000" w:themeColor="text1"/>
          <w:sz w:val="24"/>
          <w:szCs w:val="24"/>
          <w:lang w:eastAsia="en-IN"/>
        </w:rPr>
        <w:t xml:space="preserve"> </w:t>
      </w:r>
      <w:hyperlink r:id="rId52" w:tooltip="DOI URL" w:history="1">
        <w:r w:rsidR="00A72CAC" w:rsidRPr="00A50139">
          <w:rPr>
            <w:rStyle w:val="Hyperlink"/>
            <w:rFonts w:ascii="Times New Roman" w:hAnsi="Times New Roman" w:cs="Times New Roman"/>
            <w:color w:val="3361B8"/>
            <w:sz w:val="24"/>
            <w:szCs w:val="24"/>
            <w:shd w:val="clear" w:color="auto" w:fill="FFFFFF"/>
          </w:rPr>
          <w:t>https://doi.org/10.1021/acs.jafc.5b00396</w:t>
        </w:r>
      </w:hyperlink>
    </w:p>
    <w:p w14:paraId="1A060223"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Wen, L.; Zhou, T.; Jiang, Y.; Gong, L.; Yang, B. Identification of Prenylated Phenolics in Mulberry Leaf and Their Neuroprotective Activity. Phytomedicine 2021, 90, 153641</w:t>
      </w:r>
      <w:r w:rsidR="00A72CAC" w:rsidRPr="00A50139">
        <w:rPr>
          <w:rFonts w:ascii="Times New Roman" w:eastAsia="Times New Roman" w:hAnsi="Times New Roman" w:cs="Times New Roman"/>
          <w:color w:val="000000" w:themeColor="text1"/>
          <w:sz w:val="24"/>
          <w:szCs w:val="24"/>
          <w:lang w:eastAsia="en-IN"/>
        </w:rPr>
        <w:t xml:space="preserve">. </w:t>
      </w:r>
      <w:hyperlink r:id="rId53"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https://doi.org/10.1016/j.phymed.2021.153641</w:t>
        </w:r>
      </w:hyperlink>
    </w:p>
    <w:p w14:paraId="738CB8B3"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Song, J.H.; Lee, C.; Lee, D.; Kim, S.; Bang, S.; Shin, M.-S.; Lee, J.; Kang, K.S.; Shim, S.H. Neuroprotective Compound from an Endophytic Fungus, Colletotrichum Sp. JS-0367. J. Nat. Prod. 2018, 81, 1411–1416.</w:t>
      </w:r>
      <w:r w:rsidR="00A72CAC" w:rsidRPr="00A50139">
        <w:rPr>
          <w:rFonts w:ascii="Times New Roman" w:eastAsia="Times New Roman" w:hAnsi="Times New Roman" w:cs="Times New Roman"/>
          <w:color w:val="000000" w:themeColor="text1"/>
          <w:sz w:val="24"/>
          <w:szCs w:val="24"/>
          <w:lang w:eastAsia="en-IN"/>
        </w:rPr>
        <w:t xml:space="preserve"> </w:t>
      </w:r>
      <w:hyperlink r:id="rId54" w:tooltip="DOI URL" w:history="1">
        <w:r w:rsidR="00A72CAC" w:rsidRPr="00A50139">
          <w:rPr>
            <w:rStyle w:val="Hyperlink"/>
            <w:rFonts w:ascii="Times New Roman" w:hAnsi="Times New Roman" w:cs="Times New Roman"/>
            <w:color w:val="3361B8"/>
            <w:sz w:val="24"/>
            <w:szCs w:val="24"/>
            <w:shd w:val="clear" w:color="auto" w:fill="FFFFFF"/>
          </w:rPr>
          <w:t>https://doi.org/10.1021/acs.jnatprod.8b00033</w:t>
        </w:r>
      </w:hyperlink>
    </w:p>
    <w:p w14:paraId="7896AFDF"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Wang, C.-P.; Zhang, L.-Z.; Li, G.-C.; Shi, Y.; Li, J.-L.; Zhang, X.-C.; Wang, Z.-W.; Ding, F.; Liang, X.-M. </w:t>
      </w:r>
      <w:proofErr w:type="spellStart"/>
      <w:r w:rsidRPr="00A50139">
        <w:rPr>
          <w:rFonts w:ascii="Times New Roman" w:eastAsia="Times New Roman" w:hAnsi="Times New Roman" w:cs="Times New Roman"/>
          <w:color w:val="000000" w:themeColor="text1"/>
          <w:sz w:val="24"/>
          <w:szCs w:val="24"/>
          <w:lang w:eastAsia="en-IN"/>
        </w:rPr>
        <w:t>Mulberroside</w:t>
      </w:r>
      <w:proofErr w:type="spellEnd"/>
      <w:r w:rsidRPr="00A50139">
        <w:rPr>
          <w:rFonts w:ascii="Times New Roman" w:eastAsia="Times New Roman" w:hAnsi="Times New Roman" w:cs="Times New Roman"/>
          <w:color w:val="000000" w:themeColor="text1"/>
          <w:sz w:val="24"/>
          <w:szCs w:val="24"/>
          <w:lang w:eastAsia="en-IN"/>
        </w:rPr>
        <w:t xml:space="preserve"> a Protects against Ischemic Impairment in Primary Culture of Rat Cortical Neurons after Oxygen-Glucose Deprivation Followed by Reperfusion: Neuroprotective Effects of </w:t>
      </w:r>
      <w:proofErr w:type="spellStart"/>
      <w:r w:rsidRPr="00A50139">
        <w:rPr>
          <w:rFonts w:ascii="Times New Roman" w:eastAsia="Times New Roman" w:hAnsi="Times New Roman" w:cs="Times New Roman"/>
          <w:color w:val="000000" w:themeColor="text1"/>
          <w:sz w:val="24"/>
          <w:szCs w:val="24"/>
          <w:lang w:eastAsia="en-IN"/>
        </w:rPr>
        <w:t>Mulberroside</w:t>
      </w:r>
      <w:proofErr w:type="spellEnd"/>
      <w:r w:rsidRPr="00A50139">
        <w:rPr>
          <w:rFonts w:ascii="Times New Roman" w:eastAsia="Times New Roman" w:hAnsi="Times New Roman" w:cs="Times New Roman"/>
          <w:color w:val="000000" w:themeColor="text1"/>
          <w:sz w:val="24"/>
          <w:szCs w:val="24"/>
          <w:lang w:eastAsia="en-IN"/>
        </w:rPr>
        <w:t xml:space="preserve"> </w:t>
      </w:r>
      <w:proofErr w:type="gramStart"/>
      <w:r w:rsidRPr="00A50139">
        <w:rPr>
          <w:rFonts w:ascii="Times New Roman" w:eastAsia="Times New Roman" w:hAnsi="Times New Roman" w:cs="Times New Roman"/>
          <w:color w:val="000000" w:themeColor="text1"/>
          <w:sz w:val="24"/>
          <w:szCs w:val="24"/>
          <w:lang w:eastAsia="en-IN"/>
        </w:rPr>
        <w:t>A</w:t>
      </w:r>
      <w:proofErr w:type="gramEnd"/>
      <w:r w:rsidRPr="00A50139">
        <w:rPr>
          <w:rFonts w:ascii="Times New Roman" w:eastAsia="Times New Roman" w:hAnsi="Times New Roman" w:cs="Times New Roman"/>
          <w:color w:val="000000" w:themeColor="text1"/>
          <w:sz w:val="24"/>
          <w:szCs w:val="24"/>
          <w:lang w:eastAsia="en-IN"/>
        </w:rPr>
        <w:t xml:space="preserve"> Against Ischemic Injury. J.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Res. 2014, 92, 944–954.</w:t>
      </w:r>
      <w:r w:rsidR="00A72CAC" w:rsidRPr="00A50139">
        <w:rPr>
          <w:rFonts w:ascii="Times New Roman" w:eastAsia="Times New Roman" w:hAnsi="Times New Roman" w:cs="Times New Roman"/>
          <w:color w:val="000000" w:themeColor="text1"/>
          <w:sz w:val="24"/>
          <w:szCs w:val="24"/>
          <w:lang w:eastAsia="en-IN"/>
        </w:rPr>
        <w:t xml:space="preserve"> </w:t>
      </w:r>
      <w:hyperlink r:id="rId55" w:history="1">
        <w:r w:rsidR="00A72CAC" w:rsidRPr="00A50139">
          <w:rPr>
            <w:rStyle w:val="Hyperlink"/>
            <w:rFonts w:ascii="Times New Roman" w:hAnsi="Times New Roman" w:cs="Times New Roman"/>
            <w:b/>
            <w:bCs/>
            <w:color w:val="123D80"/>
            <w:sz w:val="24"/>
            <w:szCs w:val="24"/>
            <w:shd w:val="clear" w:color="auto" w:fill="FFFFFF"/>
          </w:rPr>
          <w:t>https://doi.org/10.1002/jnr.23374</w:t>
        </w:r>
      </w:hyperlink>
    </w:p>
    <w:p w14:paraId="47E60029"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Yu, R.; Wen, S.; Wang, Q.; Wang, C.; Zhang, L.; Wu, X.; Li, J.; Kong, L. </w:t>
      </w:r>
      <w:proofErr w:type="spellStart"/>
      <w:r w:rsidRPr="00A50139">
        <w:rPr>
          <w:rFonts w:ascii="Times New Roman" w:eastAsia="Times New Roman" w:hAnsi="Times New Roman" w:cs="Times New Roman"/>
          <w:color w:val="000000" w:themeColor="text1"/>
          <w:sz w:val="24"/>
          <w:szCs w:val="24"/>
          <w:lang w:eastAsia="en-IN"/>
        </w:rPr>
        <w:t>Mulberroside</w:t>
      </w:r>
      <w:proofErr w:type="spellEnd"/>
      <w:r w:rsidRPr="00A50139">
        <w:rPr>
          <w:rFonts w:ascii="Times New Roman" w:eastAsia="Times New Roman" w:hAnsi="Times New Roman" w:cs="Times New Roman"/>
          <w:color w:val="000000" w:themeColor="text1"/>
          <w:sz w:val="24"/>
          <w:szCs w:val="24"/>
          <w:lang w:eastAsia="en-IN"/>
        </w:rPr>
        <w:t xml:space="preserve"> A Repairs High Fructose Diet-induced Damage of Intestinal Epithelial and Blood–Brain Barriers in Mice: A Potential for Preventing Hippocampal Neuroinflammatory Injury. J. </w:t>
      </w:r>
      <w:proofErr w:type="spellStart"/>
      <w:r w:rsidRPr="00A50139">
        <w:rPr>
          <w:rFonts w:ascii="Times New Roman" w:eastAsia="Times New Roman" w:hAnsi="Times New Roman" w:cs="Times New Roman"/>
          <w:color w:val="000000" w:themeColor="text1"/>
          <w:sz w:val="24"/>
          <w:szCs w:val="24"/>
          <w:lang w:eastAsia="en-IN"/>
        </w:rPr>
        <w:t>Neurochem</w:t>
      </w:r>
      <w:proofErr w:type="spellEnd"/>
      <w:r w:rsidRPr="00A50139">
        <w:rPr>
          <w:rFonts w:ascii="Times New Roman" w:eastAsia="Times New Roman" w:hAnsi="Times New Roman" w:cs="Times New Roman"/>
          <w:color w:val="000000" w:themeColor="text1"/>
          <w:sz w:val="24"/>
          <w:szCs w:val="24"/>
          <w:lang w:eastAsia="en-IN"/>
        </w:rPr>
        <w:t>. 2021, 157, 1979–1991</w:t>
      </w:r>
      <w:r w:rsidR="00A72CAC" w:rsidRPr="00A50139">
        <w:rPr>
          <w:rFonts w:ascii="Times New Roman" w:eastAsia="Times New Roman" w:hAnsi="Times New Roman" w:cs="Times New Roman"/>
          <w:color w:val="000000" w:themeColor="text1"/>
          <w:sz w:val="24"/>
          <w:szCs w:val="24"/>
          <w:lang w:eastAsia="en-IN"/>
        </w:rPr>
        <w:t xml:space="preserve">. </w:t>
      </w:r>
      <w:hyperlink r:id="rId56" w:history="1">
        <w:r w:rsidR="00A72CAC" w:rsidRPr="00A50139">
          <w:rPr>
            <w:rStyle w:val="Hyperlink"/>
            <w:rFonts w:ascii="Times New Roman" w:hAnsi="Times New Roman" w:cs="Times New Roman"/>
            <w:b/>
            <w:bCs/>
            <w:color w:val="123D80"/>
            <w:sz w:val="24"/>
            <w:szCs w:val="24"/>
            <w:shd w:val="clear" w:color="auto" w:fill="FFFFFF"/>
          </w:rPr>
          <w:t>https://doi.org/10.1111/jnc.15242</w:t>
        </w:r>
      </w:hyperlink>
    </w:p>
    <w:p w14:paraId="5DA1125D"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Chuang, Y.-C.; Chen, S.-D.; Hsu, C.-Y.; Chen, S.-F.; Chen, N.-C.; Jou, S.-B. Resveratrol Promotes Mitochondrial Biogenesis and Protects against Seizure-Induced Neuronal Cell Damage in the Hippocampus Following Status Epilepticus by Activation of the PGC-1 </w:t>
      </w:r>
      <w:proofErr w:type="spellStart"/>
      <w:r w:rsidRPr="00A50139">
        <w:rPr>
          <w:rFonts w:ascii="Times New Roman" w:eastAsia="Times New Roman" w:hAnsi="Times New Roman" w:cs="Times New Roman"/>
          <w:color w:val="000000" w:themeColor="text1"/>
          <w:sz w:val="24"/>
          <w:szCs w:val="24"/>
          <w:lang w:eastAsia="en-IN"/>
        </w:rPr>
        <w:t>Signaling</w:t>
      </w:r>
      <w:proofErr w:type="spellEnd"/>
      <w:r w:rsidRPr="00A50139">
        <w:rPr>
          <w:rFonts w:ascii="Times New Roman" w:eastAsia="Times New Roman" w:hAnsi="Times New Roman" w:cs="Times New Roman"/>
          <w:color w:val="000000" w:themeColor="text1"/>
          <w:sz w:val="24"/>
          <w:szCs w:val="24"/>
          <w:lang w:eastAsia="en-IN"/>
        </w:rPr>
        <w:t xml:space="preserve"> Pathway. Int. J. Mol. Sci. 2019, 20, 998</w:t>
      </w:r>
      <w:r w:rsidR="00A72CAC" w:rsidRPr="00A50139">
        <w:rPr>
          <w:rFonts w:ascii="Times New Roman" w:eastAsia="Times New Roman" w:hAnsi="Times New Roman" w:cs="Times New Roman"/>
          <w:color w:val="000000" w:themeColor="text1"/>
          <w:sz w:val="24"/>
          <w:szCs w:val="24"/>
          <w:lang w:eastAsia="en-IN"/>
        </w:rPr>
        <w:t xml:space="preserve">. </w:t>
      </w:r>
      <w:hyperlink r:id="rId57" w:history="1">
        <w:r w:rsidR="00A72CAC" w:rsidRPr="00A50139">
          <w:rPr>
            <w:rStyle w:val="Hyperlink"/>
            <w:rFonts w:ascii="Times New Roman" w:hAnsi="Times New Roman" w:cs="Times New Roman"/>
            <w:b/>
            <w:bCs/>
            <w:color w:val="4F5671"/>
            <w:sz w:val="24"/>
            <w:szCs w:val="24"/>
            <w:shd w:val="clear" w:color="auto" w:fill="FFFFFF"/>
          </w:rPr>
          <w:t>https://doi.org/10.3390/ijms20040998</w:t>
        </w:r>
      </w:hyperlink>
    </w:p>
    <w:p w14:paraId="074A6217"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Chao, J.; Yu, M.-S.; Ho, Y.-S.; Wang, M.; Chang, R.C.-C. Dietary </w:t>
      </w:r>
      <w:proofErr w:type="spellStart"/>
      <w:r w:rsidRPr="00A50139">
        <w:rPr>
          <w:rFonts w:ascii="Times New Roman" w:eastAsia="Times New Roman" w:hAnsi="Times New Roman" w:cs="Times New Roman"/>
          <w:color w:val="000000" w:themeColor="text1"/>
          <w:sz w:val="24"/>
          <w:szCs w:val="24"/>
          <w:lang w:eastAsia="en-IN"/>
        </w:rPr>
        <w:t>Oxyresveratrol</w:t>
      </w:r>
      <w:proofErr w:type="spellEnd"/>
      <w:r w:rsidRPr="00A50139">
        <w:rPr>
          <w:rFonts w:ascii="Times New Roman" w:eastAsia="Times New Roman" w:hAnsi="Times New Roman" w:cs="Times New Roman"/>
          <w:color w:val="000000" w:themeColor="text1"/>
          <w:sz w:val="24"/>
          <w:szCs w:val="24"/>
          <w:lang w:eastAsia="en-IN"/>
        </w:rPr>
        <w:t xml:space="preserve"> Prevents Parkinsonian Mimetic 6Hydroxydopamine Neurotoxicity. Free Radic. Biol. Med. 2008, 45, 1019–1026.</w:t>
      </w:r>
      <w:r w:rsidR="00A72CAC" w:rsidRPr="00A50139">
        <w:rPr>
          <w:rFonts w:ascii="Times New Roman" w:eastAsia="Times New Roman" w:hAnsi="Times New Roman" w:cs="Times New Roman"/>
          <w:color w:val="000000" w:themeColor="text1"/>
          <w:sz w:val="24"/>
          <w:szCs w:val="24"/>
          <w:lang w:eastAsia="en-IN"/>
        </w:rPr>
        <w:t xml:space="preserve"> </w:t>
      </w:r>
      <w:hyperlink r:id="rId58"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https://doi.org/10.1016/j.freeradbiomed.2008.07.002</w:t>
        </w:r>
      </w:hyperlink>
    </w:p>
    <w:p w14:paraId="4BA1B9D6"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proofErr w:type="gramStart"/>
      <w:r w:rsidRPr="00A50139">
        <w:rPr>
          <w:rFonts w:ascii="Times New Roman" w:eastAsia="Times New Roman" w:hAnsi="Times New Roman" w:cs="Times New Roman"/>
          <w:color w:val="000000" w:themeColor="text1"/>
          <w:sz w:val="24"/>
          <w:szCs w:val="24"/>
          <w:lang w:eastAsia="en-IN"/>
        </w:rPr>
        <w:t>Weber,J.T</w:t>
      </w:r>
      <w:proofErr w:type="spellEnd"/>
      <w:r w:rsidRPr="00A50139">
        <w:rPr>
          <w:rFonts w:ascii="Times New Roman" w:eastAsia="Times New Roman" w:hAnsi="Times New Roman" w:cs="Times New Roman"/>
          <w:color w:val="000000" w:themeColor="text1"/>
          <w:sz w:val="24"/>
          <w:szCs w:val="24"/>
          <w:lang w:eastAsia="en-IN"/>
        </w:rPr>
        <w:t>.</w:t>
      </w:r>
      <w:proofErr w:type="gram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Lamont,M</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Chibrikova,L</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Fekkes,D</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Vlug,A.S</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Lorenz,P</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Kreutzmann,P</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Slemmer,J.E</w:t>
      </w:r>
      <w:proofErr w:type="spellEnd"/>
      <w:r w:rsidRPr="00A50139">
        <w:rPr>
          <w:rFonts w:ascii="Times New Roman" w:eastAsia="Times New Roman" w:hAnsi="Times New Roman" w:cs="Times New Roman"/>
          <w:color w:val="000000" w:themeColor="text1"/>
          <w:sz w:val="24"/>
          <w:szCs w:val="24"/>
          <w:lang w:eastAsia="en-IN"/>
        </w:rPr>
        <w:t>.</w:t>
      </w:r>
      <w:r w:rsidR="00A72CAC"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Potential</w:t>
      </w:r>
      <w:r w:rsidR="00A72CAC" w:rsidRPr="00A50139">
        <w:rPr>
          <w:rFonts w:ascii="Times New Roman" w:eastAsia="Times New Roman" w:hAnsi="Times New Roman" w:cs="Times New Roman"/>
          <w:color w:val="000000" w:themeColor="text1"/>
          <w:sz w:val="24"/>
          <w:szCs w:val="24"/>
          <w:lang w:eastAsia="en-IN"/>
        </w:rPr>
        <w:t xml:space="preserve"> </w:t>
      </w:r>
      <w:r w:rsidRPr="00A50139">
        <w:rPr>
          <w:rFonts w:ascii="Times New Roman" w:eastAsia="Times New Roman" w:hAnsi="Times New Roman" w:cs="Times New Roman"/>
          <w:color w:val="000000" w:themeColor="text1"/>
          <w:sz w:val="24"/>
          <w:szCs w:val="24"/>
          <w:lang w:eastAsia="en-IN"/>
        </w:rPr>
        <w:t xml:space="preserve">Neuroprotective Effects of </w:t>
      </w:r>
      <w:proofErr w:type="spellStart"/>
      <w:r w:rsidRPr="00A50139">
        <w:rPr>
          <w:rFonts w:ascii="Times New Roman" w:eastAsia="Times New Roman" w:hAnsi="Times New Roman" w:cs="Times New Roman"/>
          <w:color w:val="000000" w:themeColor="text1"/>
          <w:sz w:val="24"/>
          <w:szCs w:val="24"/>
          <w:lang w:eastAsia="en-IN"/>
        </w:rPr>
        <w:t>Oxyresveratrol</w:t>
      </w:r>
      <w:proofErr w:type="spellEnd"/>
      <w:r w:rsidRPr="00A50139">
        <w:rPr>
          <w:rFonts w:ascii="Times New Roman" w:eastAsia="Times New Roman" w:hAnsi="Times New Roman" w:cs="Times New Roman"/>
          <w:color w:val="000000" w:themeColor="text1"/>
          <w:sz w:val="24"/>
          <w:szCs w:val="24"/>
          <w:lang w:eastAsia="en-IN"/>
        </w:rPr>
        <w:t xml:space="preserve"> against Traumatic Injury. Eur. J. </w:t>
      </w:r>
      <w:proofErr w:type="spellStart"/>
      <w:r w:rsidRPr="00A50139">
        <w:rPr>
          <w:rFonts w:ascii="Times New Roman" w:eastAsia="Times New Roman" w:hAnsi="Times New Roman" w:cs="Times New Roman"/>
          <w:color w:val="000000" w:themeColor="text1"/>
          <w:sz w:val="24"/>
          <w:szCs w:val="24"/>
          <w:lang w:eastAsia="en-IN"/>
        </w:rPr>
        <w:t>Pharmacol</w:t>
      </w:r>
      <w:proofErr w:type="spellEnd"/>
      <w:r w:rsidR="00A72CAC" w:rsidRPr="00A50139">
        <w:rPr>
          <w:rFonts w:ascii="Times New Roman" w:eastAsia="Times New Roman" w:hAnsi="Times New Roman" w:cs="Times New Roman"/>
          <w:color w:val="000000" w:themeColor="text1"/>
          <w:sz w:val="24"/>
          <w:szCs w:val="24"/>
          <w:lang w:eastAsia="en-IN"/>
        </w:rPr>
        <w:t xml:space="preserve">. </w:t>
      </w:r>
      <w:r w:rsidR="00A72CAC" w:rsidRPr="00A50139">
        <w:rPr>
          <w:rFonts w:ascii="Times New Roman" w:hAnsi="Times New Roman" w:cs="Times New Roman"/>
          <w:i/>
          <w:iCs/>
          <w:color w:val="222222"/>
          <w:sz w:val="24"/>
          <w:szCs w:val="24"/>
          <w:shd w:val="clear" w:color="auto" w:fill="FFFFFF"/>
        </w:rPr>
        <w:t>680</w:t>
      </w:r>
      <w:r w:rsidR="00A72CAC" w:rsidRPr="00A50139">
        <w:rPr>
          <w:rFonts w:ascii="Times New Roman" w:hAnsi="Times New Roman" w:cs="Times New Roman"/>
          <w:color w:val="222222"/>
          <w:sz w:val="24"/>
          <w:szCs w:val="24"/>
          <w:shd w:val="clear" w:color="auto" w:fill="FFFFFF"/>
        </w:rPr>
        <w:t>(1-3), 55-62.</w:t>
      </w:r>
      <w:r w:rsidR="00A72CAC" w:rsidRPr="00A50139">
        <w:rPr>
          <w:rFonts w:ascii="Times New Roman" w:hAnsi="Times New Roman" w:cs="Times New Roman"/>
          <w:sz w:val="24"/>
          <w:szCs w:val="24"/>
        </w:rPr>
        <w:t xml:space="preserve"> </w:t>
      </w:r>
      <w:hyperlink r:id="rId59"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https://doi.org/10.1016/j.ejphar.2012.01.036</w:t>
        </w:r>
      </w:hyperlink>
    </w:p>
    <w:p w14:paraId="16632A66"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Chen, W.; Liang, T.; Zuo, W.; Wu, X.; Shen, Z.; Wang, F.; Li, C.; Zheng, Y.; Peng, G. Neuroprotective Effect of 1-Deoxynojirimycin on Cognitive Impairment, β-Amyloid Deposition, and Neuroinflammation in the SAMP8 Mice. Biomed. </w:t>
      </w:r>
      <w:proofErr w:type="spellStart"/>
      <w:r w:rsidRPr="00A50139">
        <w:rPr>
          <w:rFonts w:ascii="Times New Roman" w:eastAsia="Times New Roman" w:hAnsi="Times New Roman" w:cs="Times New Roman"/>
          <w:color w:val="000000" w:themeColor="text1"/>
          <w:sz w:val="24"/>
          <w:szCs w:val="24"/>
          <w:lang w:eastAsia="en-IN"/>
        </w:rPr>
        <w:t>Pharmacother</w:t>
      </w:r>
      <w:proofErr w:type="spellEnd"/>
      <w:r w:rsidRPr="00A50139">
        <w:rPr>
          <w:rFonts w:ascii="Times New Roman" w:eastAsia="Times New Roman" w:hAnsi="Times New Roman" w:cs="Times New Roman"/>
          <w:color w:val="000000" w:themeColor="text1"/>
          <w:sz w:val="24"/>
          <w:szCs w:val="24"/>
          <w:lang w:eastAsia="en-IN"/>
        </w:rPr>
        <w:t>. 2018, 106, 92–97.</w:t>
      </w:r>
      <w:r w:rsidR="00A72CAC" w:rsidRPr="00A50139">
        <w:rPr>
          <w:rFonts w:ascii="Times New Roman" w:eastAsia="Times New Roman" w:hAnsi="Times New Roman" w:cs="Times New Roman"/>
          <w:color w:val="000000" w:themeColor="text1"/>
          <w:sz w:val="24"/>
          <w:szCs w:val="24"/>
          <w:lang w:eastAsia="en-IN"/>
        </w:rPr>
        <w:t xml:space="preserve"> </w:t>
      </w:r>
      <w:hyperlink r:id="rId60"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https://doi.org/10.1016/j.biopha.2018.06.106</w:t>
        </w:r>
      </w:hyperlink>
    </w:p>
    <w:p w14:paraId="755E54DB"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lastRenderedPageBreak/>
        <w:t>Parida, I.S.; Takasu, S.; Ito, J.; Eitsuka, T.; Nakagawa, K. 1-Deoxynojirimycin Attenuates Pathological Markers of Alzheimer’s Disease in the in Vitro Model of Neuronal Insuli</w:t>
      </w:r>
      <w:r w:rsidR="00A72CAC" w:rsidRPr="00A50139">
        <w:rPr>
          <w:rFonts w:ascii="Times New Roman" w:eastAsia="Times New Roman" w:hAnsi="Times New Roman" w:cs="Times New Roman"/>
          <w:color w:val="000000" w:themeColor="text1"/>
          <w:sz w:val="24"/>
          <w:szCs w:val="24"/>
          <w:lang w:eastAsia="en-IN"/>
        </w:rPr>
        <w:t>n Resistance. FASEB J. 2024, 38(13),</w:t>
      </w:r>
      <w:r w:rsidRPr="00A50139">
        <w:rPr>
          <w:rFonts w:ascii="Times New Roman" w:eastAsia="Times New Roman" w:hAnsi="Times New Roman" w:cs="Times New Roman"/>
          <w:color w:val="000000" w:themeColor="text1"/>
          <w:sz w:val="24"/>
          <w:szCs w:val="24"/>
          <w:lang w:eastAsia="en-IN"/>
        </w:rPr>
        <w:t xml:space="preserve"> e23800.</w:t>
      </w:r>
      <w:r w:rsidR="00A72CAC" w:rsidRPr="00A50139">
        <w:rPr>
          <w:rFonts w:ascii="Times New Roman" w:eastAsia="Times New Roman" w:hAnsi="Times New Roman" w:cs="Times New Roman"/>
          <w:color w:val="000000" w:themeColor="text1"/>
          <w:sz w:val="24"/>
          <w:szCs w:val="24"/>
          <w:lang w:eastAsia="en-IN"/>
        </w:rPr>
        <w:t xml:space="preserve"> </w:t>
      </w:r>
      <w:hyperlink r:id="rId61" w:history="1">
        <w:r w:rsidR="00A72CAC" w:rsidRPr="00A50139">
          <w:rPr>
            <w:rStyle w:val="Hyperlink"/>
            <w:rFonts w:ascii="Times New Roman" w:hAnsi="Times New Roman" w:cs="Times New Roman"/>
            <w:b/>
            <w:bCs/>
            <w:color w:val="123D80"/>
            <w:sz w:val="24"/>
            <w:szCs w:val="24"/>
            <w:shd w:val="clear" w:color="auto" w:fill="FFFFFF"/>
          </w:rPr>
          <w:t>https://doi.org/10.1096/fj.202302600R</w:t>
        </w:r>
      </w:hyperlink>
    </w:p>
    <w:p w14:paraId="3EEA528A"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Arvanitakis, Z.; Wang, H.; Capuano, A.W.; Khan, A.; </w:t>
      </w:r>
      <w:proofErr w:type="spellStart"/>
      <w:r w:rsidRPr="00A50139">
        <w:rPr>
          <w:rFonts w:ascii="Times New Roman" w:eastAsia="Times New Roman" w:hAnsi="Times New Roman" w:cs="Times New Roman"/>
          <w:color w:val="000000" w:themeColor="text1"/>
          <w:sz w:val="24"/>
          <w:szCs w:val="24"/>
          <w:lang w:eastAsia="en-IN"/>
        </w:rPr>
        <w:t>Taïb</w:t>
      </w:r>
      <w:proofErr w:type="spellEnd"/>
      <w:r w:rsidRPr="00A50139">
        <w:rPr>
          <w:rFonts w:ascii="Times New Roman" w:eastAsia="Times New Roman" w:hAnsi="Times New Roman" w:cs="Times New Roman"/>
          <w:color w:val="000000" w:themeColor="text1"/>
          <w:sz w:val="24"/>
          <w:szCs w:val="24"/>
          <w:lang w:eastAsia="en-IN"/>
        </w:rPr>
        <w:t xml:space="preserve">, B.; Anokye-Danso, F.; Schneider, J.A.; Bennett, D.A.; Ahima, R.S.; Arnold, S.E. Brain Insulin </w:t>
      </w:r>
      <w:proofErr w:type="spellStart"/>
      <w:r w:rsidRPr="00A50139">
        <w:rPr>
          <w:rFonts w:ascii="Times New Roman" w:eastAsia="Times New Roman" w:hAnsi="Times New Roman" w:cs="Times New Roman"/>
          <w:color w:val="000000" w:themeColor="text1"/>
          <w:sz w:val="24"/>
          <w:szCs w:val="24"/>
          <w:lang w:eastAsia="en-IN"/>
        </w:rPr>
        <w:t>Signaling</w:t>
      </w:r>
      <w:proofErr w:type="spellEnd"/>
      <w:r w:rsidRPr="00A50139">
        <w:rPr>
          <w:rFonts w:ascii="Times New Roman" w:eastAsia="Times New Roman" w:hAnsi="Times New Roman" w:cs="Times New Roman"/>
          <w:color w:val="000000" w:themeColor="text1"/>
          <w:sz w:val="24"/>
          <w:szCs w:val="24"/>
          <w:lang w:eastAsia="en-IN"/>
        </w:rPr>
        <w:t>, Alzheimer Disease Pathology, and Cognitive Function. Ann. Neurol. 2020, 88, 513–525.</w:t>
      </w:r>
      <w:r w:rsidR="00A72CAC" w:rsidRPr="00A50139">
        <w:rPr>
          <w:rFonts w:ascii="Times New Roman" w:eastAsia="Times New Roman" w:hAnsi="Times New Roman" w:cs="Times New Roman"/>
          <w:color w:val="000000" w:themeColor="text1"/>
          <w:sz w:val="24"/>
          <w:szCs w:val="24"/>
          <w:lang w:eastAsia="en-IN"/>
        </w:rPr>
        <w:t xml:space="preserve"> </w:t>
      </w:r>
      <w:hyperlink r:id="rId62" w:history="1">
        <w:r w:rsidR="00A72CAC" w:rsidRPr="00A50139">
          <w:rPr>
            <w:rStyle w:val="Hyperlink"/>
            <w:rFonts w:ascii="Times New Roman" w:hAnsi="Times New Roman" w:cs="Times New Roman"/>
            <w:b/>
            <w:bCs/>
            <w:color w:val="123D80"/>
            <w:sz w:val="24"/>
            <w:szCs w:val="24"/>
            <w:shd w:val="clear" w:color="auto" w:fill="FFFFFF"/>
          </w:rPr>
          <w:t>https://doi.org/10.1002/ana.25826</w:t>
        </w:r>
      </w:hyperlink>
    </w:p>
    <w:p w14:paraId="3E6D5113"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Radojkovic</w:t>
      </w:r>
      <w:proofErr w:type="spellEnd"/>
      <w:r w:rsidRPr="00A50139">
        <w:rPr>
          <w:rFonts w:ascii="Times New Roman" w:eastAsia="Times New Roman" w:hAnsi="Times New Roman" w:cs="Times New Roman"/>
          <w:color w:val="000000" w:themeColor="text1"/>
          <w:sz w:val="24"/>
          <w:szCs w:val="24"/>
          <w:lang w:eastAsia="en-IN"/>
        </w:rPr>
        <w:t xml:space="preserve">, M., </w:t>
      </w:r>
      <w:proofErr w:type="spellStart"/>
      <w:r w:rsidRPr="00A50139">
        <w:rPr>
          <w:rFonts w:ascii="Times New Roman" w:eastAsia="Times New Roman" w:hAnsi="Times New Roman" w:cs="Times New Roman"/>
          <w:color w:val="000000" w:themeColor="text1"/>
          <w:sz w:val="24"/>
          <w:szCs w:val="24"/>
          <w:lang w:eastAsia="en-IN"/>
        </w:rPr>
        <w:t>Zekovic</w:t>
      </w:r>
      <w:proofErr w:type="spellEnd"/>
      <w:r w:rsidRPr="00A50139">
        <w:rPr>
          <w:rFonts w:ascii="Times New Roman" w:eastAsia="Times New Roman" w:hAnsi="Times New Roman" w:cs="Times New Roman"/>
          <w:color w:val="000000" w:themeColor="text1"/>
          <w:sz w:val="24"/>
          <w:szCs w:val="24"/>
          <w:lang w:eastAsia="en-IN"/>
        </w:rPr>
        <w:t xml:space="preserve">, Z., </w:t>
      </w:r>
      <w:proofErr w:type="spellStart"/>
      <w:r w:rsidRPr="00A50139">
        <w:rPr>
          <w:rFonts w:ascii="Times New Roman" w:eastAsia="Times New Roman" w:hAnsi="Times New Roman" w:cs="Times New Roman"/>
          <w:color w:val="000000" w:themeColor="text1"/>
          <w:sz w:val="24"/>
          <w:szCs w:val="24"/>
          <w:lang w:eastAsia="en-IN"/>
        </w:rPr>
        <w:t>Maskovic</w:t>
      </w:r>
      <w:proofErr w:type="spellEnd"/>
      <w:r w:rsidRPr="00A50139">
        <w:rPr>
          <w:rFonts w:ascii="Times New Roman" w:eastAsia="Times New Roman" w:hAnsi="Times New Roman" w:cs="Times New Roman"/>
          <w:color w:val="000000" w:themeColor="text1"/>
          <w:sz w:val="24"/>
          <w:szCs w:val="24"/>
          <w:lang w:eastAsia="en-IN"/>
        </w:rPr>
        <w:t xml:space="preserve">, P., Vidovic, S., Mandic, A., </w:t>
      </w:r>
      <w:proofErr w:type="spellStart"/>
      <w:r w:rsidRPr="00A50139">
        <w:rPr>
          <w:rFonts w:ascii="Times New Roman" w:eastAsia="Times New Roman" w:hAnsi="Times New Roman" w:cs="Times New Roman"/>
          <w:color w:val="000000" w:themeColor="text1"/>
          <w:sz w:val="24"/>
          <w:szCs w:val="24"/>
          <w:lang w:eastAsia="en-IN"/>
        </w:rPr>
        <w:t>Misan</w:t>
      </w:r>
      <w:proofErr w:type="spellEnd"/>
      <w:r w:rsidRPr="00A50139">
        <w:rPr>
          <w:rFonts w:ascii="Times New Roman" w:eastAsia="Times New Roman" w:hAnsi="Times New Roman" w:cs="Times New Roman"/>
          <w:color w:val="000000" w:themeColor="text1"/>
          <w:sz w:val="24"/>
          <w:szCs w:val="24"/>
          <w:lang w:eastAsia="en-IN"/>
        </w:rPr>
        <w:t xml:space="preserve">, A., </w:t>
      </w:r>
      <w:r w:rsidR="00A72CAC" w:rsidRPr="00A50139">
        <w:rPr>
          <w:rFonts w:ascii="Times New Roman" w:hAnsi="Times New Roman" w:cs="Times New Roman"/>
          <w:color w:val="222222"/>
          <w:sz w:val="24"/>
          <w:szCs w:val="24"/>
          <w:shd w:val="clear" w:color="auto" w:fill="FFFFFF"/>
        </w:rPr>
        <w:t>Đurović, S</w:t>
      </w:r>
      <w:r w:rsidRPr="00A50139">
        <w:rPr>
          <w:rFonts w:ascii="Times New Roman" w:eastAsia="Times New Roman" w:hAnsi="Times New Roman" w:cs="Times New Roman"/>
          <w:color w:val="000000" w:themeColor="text1"/>
          <w:sz w:val="24"/>
          <w:szCs w:val="24"/>
          <w:lang w:eastAsia="en-IN"/>
        </w:rPr>
        <w:t xml:space="preserve">. Biological activities and chemical composition of Morus leaves extracts obtained by maceration and supercritical fluid extraction. </w:t>
      </w:r>
      <w:r w:rsidR="00761341" w:rsidRPr="00A50139">
        <w:rPr>
          <w:rFonts w:ascii="Times New Roman" w:hAnsi="Times New Roman" w:cs="Times New Roman"/>
          <w:color w:val="001D35"/>
          <w:sz w:val="24"/>
          <w:szCs w:val="24"/>
          <w:shd w:val="clear" w:color="auto" w:fill="FFFFFF"/>
        </w:rPr>
        <w:t xml:space="preserve">J. </w:t>
      </w:r>
      <w:proofErr w:type="spellStart"/>
      <w:r w:rsidR="00761341" w:rsidRPr="00A50139">
        <w:rPr>
          <w:rFonts w:ascii="Times New Roman" w:hAnsi="Times New Roman" w:cs="Times New Roman"/>
          <w:color w:val="001D35"/>
          <w:sz w:val="24"/>
          <w:szCs w:val="24"/>
          <w:shd w:val="clear" w:color="auto" w:fill="FFFFFF"/>
        </w:rPr>
        <w:t>Supercrit</w:t>
      </w:r>
      <w:proofErr w:type="spellEnd"/>
      <w:r w:rsidR="00761341" w:rsidRPr="00A50139">
        <w:rPr>
          <w:rFonts w:ascii="Times New Roman" w:hAnsi="Times New Roman" w:cs="Times New Roman"/>
          <w:color w:val="001D35"/>
          <w:sz w:val="24"/>
          <w:szCs w:val="24"/>
          <w:shd w:val="clear" w:color="auto" w:fill="FFFFFF"/>
        </w:rPr>
        <w:t>. Fluids.</w:t>
      </w:r>
      <w:r w:rsidRPr="00A50139">
        <w:rPr>
          <w:rFonts w:ascii="Times New Roman" w:eastAsia="Times New Roman" w:hAnsi="Times New Roman" w:cs="Times New Roman"/>
          <w:color w:val="000000" w:themeColor="text1"/>
          <w:sz w:val="24"/>
          <w:szCs w:val="24"/>
          <w:lang w:eastAsia="en-IN"/>
        </w:rPr>
        <w:t xml:space="preserve"> </w:t>
      </w:r>
      <w:r w:rsidR="00A72CAC" w:rsidRPr="00A50139">
        <w:rPr>
          <w:rFonts w:ascii="Times New Roman" w:eastAsia="Times New Roman" w:hAnsi="Times New Roman" w:cs="Times New Roman"/>
          <w:color w:val="000000" w:themeColor="text1"/>
          <w:sz w:val="24"/>
          <w:szCs w:val="24"/>
          <w:lang w:eastAsia="en-IN"/>
        </w:rPr>
        <w:t xml:space="preserve">(2016). </w:t>
      </w:r>
      <w:r w:rsidRPr="00A50139">
        <w:rPr>
          <w:rFonts w:ascii="Times New Roman" w:eastAsia="Times New Roman" w:hAnsi="Times New Roman" w:cs="Times New Roman"/>
          <w:color w:val="000000" w:themeColor="text1"/>
          <w:sz w:val="24"/>
          <w:szCs w:val="24"/>
          <w:lang w:eastAsia="en-IN"/>
        </w:rPr>
        <w:t>117, 50-58.</w:t>
      </w:r>
      <w:r w:rsidR="00761341" w:rsidRPr="00A50139">
        <w:rPr>
          <w:rFonts w:ascii="Times New Roman" w:eastAsia="Times New Roman" w:hAnsi="Times New Roman" w:cs="Times New Roman"/>
          <w:color w:val="000000" w:themeColor="text1"/>
          <w:sz w:val="24"/>
          <w:szCs w:val="24"/>
          <w:lang w:eastAsia="en-IN"/>
        </w:rPr>
        <w:t xml:space="preserve"> </w:t>
      </w:r>
      <w:hyperlink r:id="rId63" w:tgtFrame="_blank" w:tooltip="Persistent link using digital object identifier" w:history="1">
        <w:r w:rsidR="00761341" w:rsidRPr="00A50139">
          <w:rPr>
            <w:rStyle w:val="anchor-text"/>
            <w:rFonts w:ascii="Times New Roman" w:hAnsi="Times New Roman" w:cs="Times New Roman"/>
            <w:color w:val="0272B1"/>
            <w:sz w:val="24"/>
            <w:szCs w:val="24"/>
          </w:rPr>
          <w:t>https://doi.org/10.1016/j.supflu.2016.05.004</w:t>
        </w:r>
      </w:hyperlink>
    </w:p>
    <w:p w14:paraId="02CC10AF"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Choi, Y. H., Kim, J. W., Noh, M. J., Choi, F. S., &amp; Yoo, K. P. Comparison of supercritical carbon dioxide extraction with solvent extraction of nonacosan-10-ol, alpha-amyrin acetate, squalene and stigmasterol from medicinal plants. </w:t>
      </w:r>
      <w:r w:rsidR="00761341" w:rsidRPr="00A50139">
        <w:rPr>
          <w:rFonts w:ascii="Times New Roman" w:eastAsia="Times New Roman" w:hAnsi="Times New Roman" w:cs="Times New Roman"/>
          <w:color w:val="000000" w:themeColor="text1"/>
          <w:sz w:val="24"/>
          <w:szCs w:val="24"/>
          <w:lang w:eastAsia="en-IN"/>
        </w:rPr>
        <w:t>PCA</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(1997). </w:t>
      </w:r>
      <w:r w:rsidRPr="00A50139">
        <w:rPr>
          <w:rFonts w:ascii="Times New Roman" w:eastAsia="Times New Roman" w:hAnsi="Times New Roman" w:cs="Times New Roman"/>
          <w:color w:val="000000" w:themeColor="text1"/>
          <w:sz w:val="24"/>
          <w:szCs w:val="24"/>
          <w:lang w:eastAsia="en-IN"/>
        </w:rPr>
        <w:t>8, 233-237</w:t>
      </w:r>
      <w:r w:rsidR="00761341" w:rsidRPr="00A50139">
        <w:rPr>
          <w:rFonts w:ascii="Times New Roman" w:eastAsia="Times New Roman" w:hAnsi="Times New Roman" w:cs="Times New Roman"/>
          <w:color w:val="000000" w:themeColor="text1"/>
          <w:sz w:val="24"/>
          <w:szCs w:val="24"/>
          <w:lang w:eastAsia="en-IN"/>
        </w:rPr>
        <w:t xml:space="preserve">. </w:t>
      </w:r>
      <w:hyperlink r:id="rId64" w:history="1">
        <w:r w:rsidR="00761341" w:rsidRPr="00A50139">
          <w:rPr>
            <w:rStyle w:val="Hyperlink"/>
            <w:rFonts w:ascii="Times New Roman" w:hAnsi="Times New Roman" w:cs="Times New Roman"/>
            <w:b/>
            <w:bCs/>
            <w:color w:val="123D80"/>
            <w:sz w:val="24"/>
            <w:szCs w:val="24"/>
            <w:shd w:val="clear" w:color="auto" w:fill="FFFFFF"/>
          </w:rPr>
          <w:t>https://doi.org/10.1002/(SICI)1099-1565(199709/10)8:5&lt;233::AID-PCA369&gt;3.0.CO;2-K</w:t>
        </w:r>
      </w:hyperlink>
    </w:p>
    <w:p w14:paraId="69A8C7B0"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Boeszoermenyi</w:t>
      </w:r>
      <w:proofErr w:type="spellEnd"/>
      <w:r w:rsidRPr="00A50139">
        <w:rPr>
          <w:rFonts w:ascii="Times New Roman" w:eastAsia="Times New Roman" w:hAnsi="Times New Roman" w:cs="Times New Roman"/>
          <w:color w:val="000000" w:themeColor="text1"/>
          <w:sz w:val="24"/>
          <w:szCs w:val="24"/>
          <w:lang w:eastAsia="en-IN"/>
        </w:rPr>
        <w:t xml:space="preserve">, A., Szarka, S., </w:t>
      </w:r>
      <w:proofErr w:type="spellStart"/>
      <w:r w:rsidRPr="00A50139">
        <w:rPr>
          <w:rFonts w:ascii="Times New Roman" w:eastAsia="Times New Roman" w:hAnsi="Times New Roman" w:cs="Times New Roman"/>
          <w:color w:val="000000" w:themeColor="text1"/>
          <w:sz w:val="24"/>
          <w:szCs w:val="24"/>
          <w:lang w:eastAsia="en-IN"/>
        </w:rPr>
        <w:t>Hethelyi</w:t>
      </w:r>
      <w:proofErr w:type="spellEnd"/>
      <w:r w:rsidRPr="00A50139">
        <w:rPr>
          <w:rFonts w:ascii="Times New Roman" w:eastAsia="Times New Roman" w:hAnsi="Times New Roman" w:cs="Times New Roman"/>
          <w:color w:val="000000" w:themeColor="text1"/>
          <w:sz w:val="24"/>
          <w:szCs w:val="24"/>
          <w:lang w:eastAsia="en-IN"/>
        </w:rPr>
        <w:t xml:space="preserve">, E., </w:t>
      </w:r>
      <w:proofErr w:type="spellStart"/>
      <w:r w:rsidRPr="00A50139">
        <w:rPr>
          <w:rFonts w:ascii="Times New Roman" w:eastAsia="Times New Roman" w:hAnsi="Times New Roman" w:cs="Times New Roman"/>
          <w:color w:val="000000" w:themeColor="text1"/>
          <w:sz w:val="24"/>
          <w:szCs w:val="24"/>
          <w:lang w:eastAsia="en-IN"/>
        </w:rPr>
        <w:t>Gyurjan</w:t>
      </w:r>
      <w:proofErr w:type="spellEnd"/>
      <w:r w:rsidRPr="00A50139">
        <w:rPr>
          <w:rFonts w:ascii="Times New Roman" w:eastAsia="Times New Roman" w:hAnsi="Times New Roman" w:cs="Times New Roman"/>
          <w:color w:val="000000" w:themeColor="text1"/>
          <w:sz w:val="24"/>
          <w:szCs w:val="24"/>
          <w:lang w:eastAsia="en-IN"/>
        </w:rPr>
        <w:t xml:space="preserve">, I., Laszlo, M., </w:t>
      </w:r>
      <w:proofErr w:type="spellStart"/>
      <w:r w:rsidRPr="00A50139">
        <w:rPr>
          <w:rFonts w:ascii="Times New Roman" w:eastAsia="Times New Roman" w:hAnsi="Times New Roman" w:cs="Times New Roman"/>
          <w:color w:val="000000" w:themeColor="text1"/>
          <w:sz w:val="24"/>
          <w:szCs w:val="24"/>
          <w:lang w:eastAsia="en-IN"/>
        </w:rPr>
        <w:t>Simandi</w:t>
      </w:r>
      <w:proofErr w:type="spellEnd"/>
      <w:r w:rsidRPr="00A50139">
        <w:rPr>
          <w:rFonts w:ascii="Times New Roman" w:eastAsia="Times New Roman" w:hAnsi="Times New Roman" w:cs="Times New Roman"/>
          <w:color w:val="000000" w:themeColor="text1"/>
          <w:sz w:val="24"/>
          <w:szCs w:val="24"/>
          <w:lang w:eastAsia="en-IN"/>
        </w:rPr>
        <w:t xml:space="preserve">, B., </w:t>
      </w:r>
      <w:r w:rsidR="00761341" w:rsidRPr="00A50139">
        <w:rPr>
          <w:rFonts w:ascii="Times New Roman" w:eastAsia="Times New Roman" w:hAnsi="Times New Roman" w:cs="Times New Roman"/>
          <w:color w:val="000000" w:themeColor="text1"/>
          <w:sz w:val="24"/>
          <w:szCs w:val="24"/>
          <w:lang w:eastAsia="en-IN"/>
        </w:rPr>
        <w:t xml:space="preserve">Szoke. E., </w:t>
      </w:r>
      <w:proofErr w:type="spellStart"/>
      <w:r w:rsidR="00761341" w:rsidRPr="00A50139">
        <w:rPr>
          <w:rFonts w:ascii="Times New Roman" w:hAnsi="Times New Roman" w:cs="Times New Roman"/>
          <w:color w:val="222222"/>
          <w:sz w:val="24"/>
          <w:szCs w:val="24"/>
          <w:shd w:val="clear" w:color="auto" w:fill="FFFFFF"/>
        </w:rPr>
        <w:t>Lemberkovics</w:t>
      </w:r>
      <w:proofErr w:type="spellEnd"/>
      <w:r w:rsidR="00761341" w:rsidRPr="00A50139">
        <w:rPr>
          <w:rFonts w:ascii="Times New Roman" w:hAnsi="Times New Roman" w:cs="Times New Roman"/>
          <w:color w:val="222222"/>
          <w:sz w:val="24"/>
          <w:szCs w:val="24"/>
          <w:shd w:val="clear" w:color="auto" w:fill="FFFFFF"/>
        </w:rPr>
        <w:t>. E.,</w:t>
      </w:r>
      <w:r w:rsidRPr="00A50139">
        <w:rPr>
          <w:rFonts w:ascii="Times New Roman" w:eastAsia="Times New Roman" w:hAnsi="Times New Roman" w:cs="Times New Roman"/>
          <w:color w:val="000000" w:themeColor="text1"/>
          <w:sz w:val="24"/>
          <w:szCs w:val="24"/>
          <w:lang w:eastAsia="en-IN"/>
        </w:rPr>
        <w:t xml:space="preserve"> Triterpenes in traditional and supercritical-fluid extracts of Morus alba leaf and stem bark. </w:t>
      </w:r>
      <w:r w:rsidR="00761341" w:rsidRPr="00A50139">
        <w:rPr>
          <w:rFonts w:ascii="Times New Roman" w:hAnsi="Times New Roman" w:cs="Times New Roman"/>
          <w:sz w:val="24"/>
          <w:szCs w:val="24"/>
        </w:rPr>
        <w:t xml:space="preserve">Acta </w:t>
      </w:r>
      <w:proofErr w:type="spellStart"/>
      <w:r w:rsidR="00761341" w:rsidRPr="00A50139">
        <w:rPr>
          <w:rFonts w:ascii="Times New Roman" w:hAnsi="Times New Roman" w:cs="Times New Roman"/>
          <w:sz w:val="24"/>
          <w:szCs w:val="24"/>
        </w:rPr>
        <w:t>Chromatogr</w:t>
      </w:r>
      <w:proofErr w:type="spellEnd"/>
      <w:r w:rsidR="00761341" w:rsidRPr="00A50139">
        <w:rPr>
          <w:rFonts w:ascii="Times New Roman" w:hAnsi="Times New Roman" w:cs="Times New Roman"/>
          <w:color w:val="001D35"/>
          <w:sz w:val="24"/>
          <w:szCs w:val="24"/>
          <w:shd w:val="clear" w:color="auto" w:fill="FFFFFF"/>
        </w:rPr>
        <w:t>.</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(2009). </w:t>
      </w:r>
      <w:r w:rsidRPr="00A50139">
        <w:rPr>
          <w:rFonts w:ascii="Times New Roman" w:eastAsia="Times New Roman" w:hAnsi="Times New Roman" w:cs="Times New Roman"/>
          <w:color w:val="000000" w:themeColor="text1"/>
          <w:sz w:val="24"/>
          <w:szCs w:val="24"/>
          <w:lang w:eastAsia="en-IN"/>
        </w:rPr>
        <w:t>21, 659-669</w:t>
      </w:r>
      <w:r w:rsidR="00761341" w:rsidRPr="00A50139">
        <w:rPr>
          <w:rFonts w:ascii="Times New Roman" w:eastAsia="Times New Roman" w:hAnsi="Times New Roman" w:cs="Times New Roman"/>
          <w:color w:val="000000" w:themeColor="text1"/>
          <w:sz w:val="24"/>
          <w:szCs w:val="24"/>
          <w:lang w:eastAsia="en-IN"/>
        </w:rPr>
        <w:t xml:space="preserve">. </w:t>
      </w:r>
      <w:hyperlink r:id="rId65" w:history="1">
        <w:r w:rsidR="00761341" w:rsidRPr="00A50139">
          <w:rPr>
            <w:rStyle w:val="Hyperlink"/>
            <w:rFonts w:ascii="Times New Roman" w:hAnsi="Times New Roman" w:cs="Times New Roman"/>
            <w:sz w:val="24"/>
            <w:szCs w:val="24"/>
          </w:rPr>
          <w:t>https://doi.org/10.1556/achrom.21.2009.4.11</w:t>
        </w:r>
      </w:hyperlink>
    </w:p>
    <w:p w14:paraId="0B019B09" w14:textId="77777777" w:rsidR="00761341"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Hassimotto</w:t>
      </w:r>
      <w:proofErr w:type="spellEnd"/>
      <w:r w:rsidRPr="00A50139">
        <w:rPr>
          <w:rFonts w:ascii="Times New Roman" w:eastAsia="Times New Roman" w:hAnsi="Times New Roman" w:cs="Times New Roman"/>
          <w:color w:val="000000" w:themeColor="text1"/>
          <w:sz w:val="24"/>
          <w:szCs w:val="24"/>
          <w:lang w:eastAsia="en-IN"/>
        </w:rPr>
        <w:t xml:space="preserve">, N. M. A., Genovese, M. I., &amp; </w:t>
      </w:r>
      <w:proofErr w:type="spellStart"/>
      <w:r w:rsidRPr="00A50139">
        <w:rPr>
          <w:rFonts w:ascii="Times New Roman" w:eastAsia="Times New Roman" w:hAnsi="Times New Roman" w:cs="Times New Roman"/>
          <w:color w:val="000000" w:themeColor="text1"/>
          <w:sz w:val="24"/>
          <w:szCs w:val="24"/>
          <w:lang w:eastAsia="en-IN"/>
        </w:rPr>
        <w:t>Lajolo</w:t>
      </w:r>
      <w:proofErr w:type="spellEnd"/>
      <w:r w:rsidRPr="00A50139">
        <w:rPr>
          <w:rFonts w:ascii="Times New Roman" w:eastAsia="Times New Roman" w:hAnsi="Times New Roman" w:cs="Times New Roman"/>
          <w:color w:val="000000" w:themeColor="text1"/>
          <w:sz w:val="24"/>
          <w:szCs w:val="24"/>
          <w:lang w:eastAsia="en-IN"/>
        </w:rPr>
        <w:t xml:space="preserve">, F. M. Identification and characterisation of anthocyanins from wild mulberry (Morus nigra L.) growing in Brazil. </w:t>
      </w:r>
      <w:r w:rsidR="00761341" w:rsidRPr="00A50139">
        <w:rPr>
          <w:rFonts w:ascii="Times New Roman" w:hAnsi="Times New Roman" w:cs="Times New Roman"/>
          <w:color w:val="001D35"/>
          <w:sz w:val="24"/>
          <w:szCs w:val="24"/>
          <w:shd w:val="clear" w:color="auto" w:fill="FFFFFF"/>
        </w:rPr>
        <w:t>Food Sci. Technol. Int.</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(2007).</w:t>
      </w:r>
      <w:r w:rsidRPr="00A50139">
        <w:rPr>
          <w:rFonts w:ascii="Times New Roman" w:eastAsia="Times New Roman" w:hAnsi="Times New Roman" w:cs="Times New Roman"/>
          <w:color w:val="000000" w:themeColor="text1"/>
          <w:sz w:val="24"/>
          <w:szCs w:val="24"/>
          <w:lang w:eastAsia="en-IN"/>
        </w:rPr>
        <w:t>13, 17-25.</w:t>
      </w:r>
      <w:r w:rsidR="00761341" w:rsidRPr="00A50139">
        <w:rPr>
          <w:rFonts w:ascii="Times New Roman" w:eastAsia="Times New Roman" w:hAnsi="Times New Roman" w:cs="Times New Roman"/>
          <w:color w:val="000000" w:themeColor="text1"/>
          <w:sz w:val="24"/>
          <w:szCs w:val="24"/>
          <w:lang w:eastAsia="en-IN"/>
        </w:rPr>
        <w:t xml:space="preserve"> </w:t>
      </w:r>
    </w:p>
    <w:p w14:paraId="57A5688F" w14:textId="77777777" w:rsidR="00EB48E9" w:rsidRPr="00A50139" w:rsidRDefault="0006091B" w:rsidP="00D259D6">
      <w:pPr>
        <w:pStyle w:val="ListParagraph"/>
        <w:spacing w:line="240" w:lineRule="auto"/>
        <w:ind w:firstLine="0"/>
        <w:rPr>
          <w:rFonts w:ascii="Times New Roman" w:eastAsia="Times New Roman" w:hAnsi="Times New Roman" w:cs="Times New Roman"/>
          <w:color w:val="000000" w:themeColor="text1"/>
          <w:sz w:val="24"/>
          <w:szCs w:val="24"/>
          <w:lang w:eastAsia="en-IN"/>
        </w:rPr>
      </w:pPr>
      <w:hyperlink r:id="rId66" w:history="1">
        <w:r w:rsidR="00761341" w:rsidRPr="00A50139">
          <w:rPr>
            <w:rStyle w:val="Hyperlink"/>
            <w:rFonts w:ascii="Times New Roman" w:hAnsi="Times New Roman" w:cs="Times New Roman"/>
            <w:sz w:val="24"/>
            <w:szCs w:val="24"/>
            <w:shd w:val="clear" w:color="auto" w:fill="FFFFFF"/>
          </w:rPr>
          <w:t>https://doi.org/10.1177/1082013207075602</w:t>
        </w:r>
      </w:hyperlink>
    </w:p>
    <w:p w14:paraId="7FA909F1"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Khalifa, I., Zhu, W., Li, K. K., &amp; Li, C. M. Polyphenols of mulberry fruits as multifaceted compounds: Compositions, metabolism, health benefits, and stability-A structural review. </w:t>
      </w:r>
      <w:r w:rsidR="00761341" w:rsidRPr="00A50139">
        <w:rPr>
          <w:rFonts w:ascii="Times New Roman" w:hAnsi="Times New Roman" w:cs="Times New Roman"/>
          <w:color w:val="001D35"/>
          <w:sz w:val="24"/>
          <w:szCs w:val="24"/>
          <w:shd w:val="clear" w:color="auto" w:fill="FFFFFF"/>
        </w:rPr>
        <w:t xml:space="preserve">J </w:t>
      </w:r>
      <w:proofErr w:type="spellStart"/>
      <w:r w:rsidR="00761341" w:rsidRPr="00A50139">
        <w:rPr>
          <w:rFonts w:ascii="Times New Roman" w:hAnsi="Times New Roman" w:cs="Times New Roman"/>
          <w:color w:val="001D35"/>
          <w:sz w:val="24"/>
          <w:szCs w:val="24"/>
          <w:shd w:val="clear" w:color="auto" w:fill="FFFFFF"/>
        </w:rPr>
        <w:t>Funct</w:t>
      </w:r>
      <w:proofErr w:type="spellEnd"/>
      <w:r w:rsidR="00761341" w:rsidRPr="00A50139">
        <w:rPr>
          <w:rFonts w:ascii="Times New Roman" w:hAnsi="Times New Roman" w:cs="Times New Roman"/>
          <w:color w:val="001D35"/>
          <w:sz w:val="24"/>
          <w:szCs w:val="24"/>
          <w:shd w:val="clear" w:color="auto" w:fill="FFFFFF"/>
        </w:rPr>
        <w:t xml:space="preserve"> Foods</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(2018). </w:t>
      </w:r>
      <w:r w:rsidRPr="00A50139">
        <w:rPr>
          <w:rFonts w:ascii="Times New Roman" w:eastAsia="Times New Roman" w:hAnsi="Times New Roman" w:cs="Times New Roman"/>
          <w:color w:val="000000" w:themeColor="text1"/>
          <w:sz w:val="24"/>
          <w:szCs w:val="24"/>
          <w:lang w:eastAsia="en-IN"/>
        </w:rPr>
        <w:t>40, 28-43.</w:t>
      </w:r>
      <w:r w:rsidR="00761341" w:rsidRPr="00A50139">
        <w:rPr>
          <w:rFonts w:ascii="Times New Roman" w:eastAsia="Times New Roman" w:hAnsi="Times New Roman" w:cs="Times New Roman"/>
          <w:color w:val="000000" w:themeColor="text1"/>
          <w:sz w:val="24"/>
          <w:szCs w:val="24"/>
          <w:lang w:eastAsia="en-IN"/>
        </w:rPr>
        <w:t xml:space="preserve"> </w:t>
      </w:r>
      <w:hyperlink r:id="rId67" w:tgtFrame="_blank" w:tooltip="Persistent link using digital object identifier" w:history="1">
        <w:r w:rsidR="00761341" w:rsidRPr="00A50139">
          <w:rPr>
            <w:rStyle w:val="anchor-text"/>
            <w:rFonts w:ascii="Times New Roman" w:hAnsi="Times New Roman" w:cs="Times New Roman"/>
            <w:color w:val="0272B1"/>
            <w:sz w:val="24"/>
            <w:szCs w:val="24"/>
          </w:rPr>
          <w:t>https://doi.org/10.1016/j.jff.2017.10.041</w:t>
        </w:r>
      </w:hyperlink>
    </w:p>
    <w:p w14:paraId="12EF5425"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Tchabo</w:t>
      </w:r>
      <w:proofErr w:type="spellEnd"/>
      <w:r w:rsidRPr="00A50139">
        <w:rPr>
          <w:rFonts w:ascii="Times New Roman" w:eastAsia="Times New Roman" w:hAnsi="Times New Roman" w:cs="Times New Roman"/>
          <w:color w:val="000000" w:themeColor="text1"/>
          <w:sz w:val="24"/>
          <w:szCs w:val="24"/>
          <w:lang w:eastAsia="en-IN"/>
        </w:rPr>
        <w:t xml:space="preserve">, W., Ma, Y., Engmann, F. N., &amp; Zhang, H. Ultrasound-assisted enzymatic extraction (UAEE) of phytochemical compounds from mulberry (Morus nigra) must and optimization study using response surface methodology. </w:t>
      </w:r>
      <w:r w:rsidR="001E66AF" w:rsidRPr="00A50139">
        <w:rPr>
          <w:rFonts w:ascii="Times New Roman" w:hAnsi="Times New Roman" w:cs="Times New Roman"/>
          <w:color w:val="001D35"/>
          <w:sz w:val="24"/>
          <w:szCs w:val="24"/>
          <w:shd w:val="clear" w:color="auto" w:fill="FFFFFF"/>
        </w:rPr>
        <w:t>Ind. Crops Prod.</w:t>
      </w:r>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eastAsia="Times New Roman" w:hAnsi="Times New Roman" w:cs="Times New Roman"/>
          <w:color w:val="000000" w:themeColor="text1"/>
          <w:sz w:val="24"/>
          <w:szCs w:val="24"/>
          <w:lang w:eastAsia="en-IN"/>
        </w:rPr>
        <w:t xml:space="preserve">(2015). </w:t>
      </w:r>
      <w:r w:rsidRPr="00A50139">
        <w:rPr>
          <w:rFonts w:ascii="Times New Roman" w:eastAsia="Times New Roman" w:hAnsi="Times New Roman" w:cs="Times New Roman"/>
          <w:color w:val="000000" w:themeColor="text1"/>
          <w:sz w:val="24"/>
          <w:szCs w:val="24"/>
          <w:lang w:eastAsia="en-IN"/>
        </w:rPr>
        <w:t>63, 214-225.</w:t>
      </w:r>
      <w:r w:rsidR="001E66AF" w:rsidRPr="00A50139">
        <w:rPr>
          <w:rFonts w:ascii="Times New Roman" w:eastAsia="Times New Roman" w:hAnsi="Times New Roman" w:cs="Times New Roman"/>
          <w:color w:val="000000" w:themeColor="text1"/>
          <w:sz w:val="24"/>
          <w:szCs w:val="24"/>
          <w:lang w:eastAsia="en-IN"/>
        </w:rPr>
        <w:t xml:space="preserve"> </w:t>
      </w:r>
      <w:hyperlink r:id="rId68"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https://doi.org/10.1016/j.indcrop.2014.09.053</w:t>
        </w:r>
      </w:hyperlink>
    </w:p>
    <w:p w14:paraId="027BD102"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Hu, X., Yu, M. H., Yan, G. R., Wang, H. Y., Hou, A. J., &amp; Lei, C. </w:t>
      </w:r>
      <w:proofErr w:type="spellStart"/>
      <w:r w:rsidRPr="00A50139">
        <w:rPr>
          <w:rFonts w:ascii="Times New Roman" w:eastAsia="Times New Roman" w:hAnsi="Times New Roman" w:cs="Times New Roman"/>
          <w:color w:val="000000" w:themeColor="text1"/>
          <w:sz w:val="24"/>
          <w:szCs w:val="24"/>
          <w:lang w:eastAsia="en-IN"/>
        </w:rPr>
        <w:t>Isoprenylated</w:t>
      </w:r>
      <w:proofErr w:type="spellEnd"/>
      <w:r w:rsidRPr="00A50139">
        <w:rPr>
          <w:rFonts w:ascii="Times New Roman" w:eastAsia="Times New Roman" w:hAnsi="Times New Roman" w:cs="Times New Roman"/>
          <w:color w:val="000000" w:themeColor="text1"/>
          <w:sz w:val="24"/>
          <w:szCs w:val="24"/>
          <w:lang w:eastAsia="en-IN"/>
        </w:rPr>
        <w:t xml:space="preserve"> phenolic compounds with tyrosinase inhibition from </w:t>
      </w:r>
      <w:r w:rsidRPr="00A50139">
        <w:rPr>
          <w:rFonts w:ascii="Times New Roman" w:eastAsia="Times New Roman" w:hAnsi="Times New Roman" w:cs="Times New Roman"/>
          <w:i/>
          <w:color w:val="000000" w:themeColor="text1"/>
          <w:sz w:val="24"/>
          <w:szCs w:val="24"/>
          <w:lang w:eastAsia="en-IN"/>
        </w:rPr>
        <w:t>Morus nigra</w:t>
      </w:r>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hAnsi="Times New Roman" w:cs="Times New Roman"/>
          <w:color w:val="040C28"/>
          <w:sz w:val="24"/>
          <w:szCs w:val="24"/>
        </w:rPr>
        <w:t>JANPR</w:t>
      </w:r>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eastAsia="Times New Roman" w:hAnsi="Times New Roman" w:cs="Times New Roman"/>
          <w:color w:val="000000" w:themeColor="text1"/>
          <w:sz w:val="24"/>
          <w:szCs w:val="24"/>
          <w:lang w:eastAsia="en-IN"/>
        </w:rPr>
        <w:t xml:space="preserve">(2018). </w:t>
      </w:r>
      <w:r w:rsidRPr="00A50139">
        <w:rPr>
          <w:rFonts w:ascii="Times New Roman" w:eastAsia="Times New Roman" w:hAnsi="Times New Roman" w:cs="Times New Roman"/>
          <w:color w:val="000000" w:themeColor="text1"/>
          <w:sz w:val="24"/>
          <w:szCs w:val="24"/>
          <w:lang w:eastAsia="en-IN"/>
        </w:rPr>
        <w:t>20, 488-493.</w:t>
      </w:r>
      <w:r w:rsidR="001E66AF" w:rsidRPr="00A50139">
        <w:rPr>
          <w:rFonts w:ascii="Times New Roman" w:eastAsia="Times New Roman" w:hAnsi="Times New Roman" w:cs="Times New Roman"/>
          <w:color w:val="000000" w:themeColor="text1"/>
          <w:sz w:val="24"/>
          <w:szCs w:val="24"/>
          <w:lang w:eastAsia="en-IN"/>
        </w:rPr>
        <w:t xml:space="preserve"> </w:t>
      </w:r>
      <w:hyperlink r:id="rId69" w:history="1">
        <w:r w:rsidR="001E66AF" w:rsidRPr="00A50139">
          <w:rPr>
            <w:rStyle w:val="Hyperlink"/>
            <w:rFonts w:ascii="Times New Roman" w:hAnsi="Times New Roman" w:cs="Times New Roman"/>
            <w:color w:val="006DB4"/>
            <w:sz w:val="24"/>
            <w:szCs w:val="24"/>
          </w:rPr>
          <w:t>https://doi.org/10.1080/10286020.2017.1350653</w:t>
        </w:r>
      </w:hyperlink>
    </w:p>
    <w:p w14:paraId="630DEABA" w14:textId="77777777" w:rsidR="00EB48E9" w:rsidRPr="00A50139" w:rsidRDefault="00EB48E9" w:rsidP="00D259D6">
      <w:pPr>
        <w:pStyle w:val="ListParagraph"/>
        <w:numPr>
          <w:ilvl w:val="0"/>
          <w:numId w:val="18"/>
        </w:numPr>
        <w:spacing w:line="240" w:lineRule="auto"/>
        <w:rPr>
          <w:rFonts w:ascii="Times New Roman" w:eastAsia="MS Mincho" w:hAnsi="Times New Roman" w:cs="Times New Roman"/>
          <w:color w:val="000000" w:themeColor="text1"/>
          <w:sz w:val="24"/>
          <w:szCs w:val="24"/>
          <w:lang w:eastAsia="en-IN"/>
        </w:rPr>
      </w:pPr>
      <w:r w:rsidRPr="00A50139">
        <w:rPr>
          <w:rFonts w:ascii="Times New Roman" w:eastAsia="MS Mincho" w:hAnsi="Times New Roman" w:cs="Times New Roman"/>
          <w:color w:val="000000" w:themeColor="text1"/>
          <w:sz w:val="24"/>
          <w:szCs w:val="24"/>
          <w:lang w:eastAsia="en-IN"/>
        </w:rPr>
        <w:t xml:space="preserve">F. Wang, J. Li and Y. Jiang, Polysaccharides from mulberry leaf in relation to their antioxidant activity and antibacterial ability, </w:t>
      </w:r>
      <w:r w:rsidR="001E66AF" w:rsidRPr="00A50139">
        <w:rPr>
          <w:rFonts w:ascii="Times New Roman" w:hAnsi="Times New Roman" w:cs="Times New Roman"/>
          <w:sz w:val="24"/>
          <w:szCs w:val="24"/>
        </w:rPr>
        <w:t>J. Food Process Eng</w:t>
      </w:r>
      <w:r w:rsidR="001E66AF" w:rsidRPr="00A50139">
        <w:rPr>
          <w:rFonts w:ascii="Times New Roman" w:hAnsi="Times New Roman" w:cs="Times New Roman"/>
          <w:color w:val="001D35"/>
          <w:sz w:val="24"/>
          <w:szCs w:val="24"/>
          <w:shd w:val="clear" w:color="auto" w:fill="FFFFFF"/>
        </w:rPr>
        <w:t>.</w:t>
      </w:r>
      <w:r w:rsidRPr="00A50139">
        <w:rPr>
          <w:rFonts w:ascii="Times New Roman" w:eastAsia="MS Mincho" w:hAnsi="Times New Roman" w:cs="Times New Roman"/>
          <w:color w:val="000000" w:themeColor="text1"/>
          <w:sz w:val="24"/>
          <w:szCs w:val="24"/>
          <w:lang w:eastAsia="en-IN"/>
        </w:rPr>
        <w:t>, 2010, 33, 39-50.</w:t>
      </w:r>
      <w:r w:rsidR="001E66AF" w:rsidRPr="00A50139">
        <w:rPr>
          <w:rFonts w:ascii="Times New Roman" w:eastAsia="MS Mincho" w:hAnsi="Times New Roman" w:cs="Times New Roman"/>
          <w:color w:val="000000" w:themeColor="text1"/>
          <w:sz w:val="24"/>
          <w:szCs w:val="24"/>
          <w:lang w:eastAsia="en-IN"/>
        </w:rPr>
        <w:t xml:space="preserve"> </w:t>
      </w:r>
      <w:hyperlink r:id="rId70" w:history="1">
        <w:r w:rsidR="001E66AF" w:rsidRPr="00A50139">
          <w:rPr>
            <w:rStyle w:val="Hyperlink"/>
            <w:rFonts w:ascii="Times New Roman" w:hAnsi="Times New Roman" w:cs="Times New Roman"/>
            <w:b/>
            <w:bCs/>
            <w:color w:val="123D80"/>
            <w:sz w:val="24"/>
            <w:szCs w:val="24"/>
            <w:shd w:val="clear" w:color="auto" w:fill="FFFFFF"/>
          </w:rPr>
          <w:t>https://doi.org/10.1111/j.1745-4530.2008.00258.x</w:t>
        </w:r>
      </w:hyperlink>
    </w:p>
    <w:p w14:paraId="27F2D9D6" w14:textId="77777777" w:rsidR="001E66AF" w:rsidRPr="00A50139" w:rsidRDefault="00EB48E9" w:rsidP="00D259D6">
      <w:pPr>
        <w:pStyle w:val="ListParagraph"/>
        <w:numPr>
          <w:ilvl w:val="0"/>
          <w:numId w:val="18"/>
        </w:numPr>
        <w:spacing w:line="240" w:lineRule="auto"/>
        <w:rPr>
          <w:rFonts w:ascii="Times New Roman" w:eastAsia="MS Mincho" w:hAnsi="Times New Roman" w:cs="Times New Roman"/>
          <w:color w:val="000000" w:themeColor="text1"/>
          <w:sz w:val="24"/>
          <w:szCs w:val="24"/>
          <w:lang w:eastAsia="en-IN"/>
        </w:rPr>
      </w:pPr>
      <w:r w:rsidRPr="00A50139">
        <w:rPr>
          <w:rFonts w:ascii="Times New Roman" w:eastAsia="MS Mincho" w:hAnsi="Times New Roman" w:cs="Times New Roman"/>
          <w:color w:val="000000" w:themeColor="text1"/>
          <w:sz w:val="24"/>
          <w:szCs w:val="24"/>
          <w:lang w:eastAsia="en-IN"/>
        </w:rPr>
        <w:t xml:space="preserve">Y. Xu, Y. J. Wu, P. L. Sun, F. M. Zhang, R. J. Linhardt and A. Q. Zhang, Chemically modified polysaccharides: synthesis, characterization, structure activity relationships of action, </w:t>
      </w:r>
      <w:r w:rsidR="001E66AF" w:rsidRPr="00A50139">
        <w:rPr>
          <w:rFonts w:ascii="Times New Roman" w:hAnsi="Times New Roman" w:cs="Times New Roman"/>
          <w:color w:val="040C28"/>
          <w:sz w:val="24"/>
          <w:szCs w:val="24"/>
        </w:rPr>
        <w:t>Int.</w:t>
      </w:r>
      <w:r w:rsidR="001E66AF" w:rsidRPr="00A50139">
        <w:rPr>
          <w:rFonts w:ascii="Times New Roman" w:hAnsi="Times New Roman" w:cs="Times New Roman"/>
          <w:color w:val="1F1F1F"/>
          <w:sz w:val="24"/>
          <w:szCs w:val="24"/>
          <w:shd w:val="clear" w:color="auto" w:fill="FFFFFF"/>
        </w:rPr>
        <w:t> </w:t>
      </w:r>
      <w:r w:rsidR="001E66AF" w:rsidRPr="00A50139">
        <w:rPr>
          <w:rFonts w:ascii="Times New Roman" w:hAnsi="Times New Roman" w:cs="Times New Roman"/>
          <w:color w:val="040C28"/>
          <w:sz w:val="24"/>
          <w:szCs w:val="24"/>
        </w:rPr>
        <w:t>J.</w:t>
      </w:r>
      <w:r w:rsidR="001E66AF" w:rsidRPr="00A50139">
        <w:rPr>
          <w:rFonts w:ascii="Times New Roman" w:hAnsi="Times New Roman" w:cs="Times New Roman"/>
          <w:color w:val="1F1F1F"/>
          <w:sz w:val="24"/>
          <w:szCs w:val="24"/>
          <w:shd w:val="clear" w:color="auto" w:fill="FFFFFF"/>
        </w:rPr>
        <w:t> </w:t>
      </w:r>
      <w:r w:rsidR="001E66AF" w:rsidRPr="00A50139">
        <w:rPr>
          <w:rFonts w:ascii="Times New Roman" w:hAnsi="Times New Roman" w:cs="Times New Roman"/>
          <w:color w:val="040C28"/>
          <w:sz w:val="24"/>
          <w:szCs w:val="24"/>
        </w:rPr>
        <w:t>Biol.</w:t>
      </w:r>
      <w:r w:rsidR="001E66AF" w:rsidRPr="00A50139">
        <w:rPr>
          <w:rFonts w:ascii="Times New Roman" w:hAnsi="Times New Roman" w:cs="Times New Roman"/>
          <w:color w:val="1F1F1F"/>
          <w:sz w:val="24"/>
          <w:szCs w:val="24"/>
          <w:shd w:val="clear" w:color="auto" w:fill="FFFFFF"/>
        </w:rPr>
        <w:t> </w:t>
      </w:r>
      <w:proofErr w:type="spellStart"/>
      <w:r w:rsidR="001E66AF" w:rsidRPr="00A50139">
        <w:rPr>
          <w:rFonts w:ascii="Times New Roman" w:hAnsi="Times New Roman" w:cs="Times New Roman"/>
          <w:color w:val="040C28"/>
          <w:sz w:val="24"/>
          <w:szCs w:val="24"/>
        </w:rPr>
        <w:t>Macromol</w:t>
      </w:r>
      <w:proofErr w:type="spellEnd"/>
      <w:r w:rsidR="001E66AF" w:rsidRPr="00A50139">
        <w:rPr>
          <w:rFonts w:ascii="Times New Roman" w:hAnsi="Times New Roman" w:cs="Times New Roman"/>
          <w:color w:val="040C28"/>
          <w:sz w:val="24"/>
          <w:szCs w:val="24"/>
        </w:rPr>
        <w:t>.</w:t>
      </w:r>
      <w:r w:rsidRPr="00A50139">
        <w:rPr>
          <w:rFonts w:ascii="Times New Roman" w:eastAsia="MS Mincho" w:hAnsi="Times New Roman" w:cs="Times New Roman"/>
          <w:color w:val="000000" w:themeColor="text1"/>
          <w:sz w:val="24"/>
          <w:szCs w:val="24"/>
          <w:lang w:eastAsia="en-IN"/>
        </w:rPr>
        <w:t>, 2019, 132, 970-977.</w:t>
      </w:r>
      <w:r w:rsidR="001E66AF" w:rsidRPr="00A50139">
        <w:rPr>
          <w:rFonts w:ascii="Times New Roman" w:eastAsia="MS Mincho" w:hAnsi="Times New Roman" w:cs="Times New Roman"/>
          <w:color w:val="000000" w:themeColor="text1"/>
          <w:sz w:val="24"/>
          <w:szCs w:val="24"/>
          <w:lang w:eastAsia="en-IN"/>
        </w:rPr>
        <w:t xml:space="preserve"> </w:t>
      </w:r>
    </w:p>
    <w:p w14:paraId="2A9B9F51" w14:textId="77777777" w:rsidR="00EB48E9" w:rsidRPr="00A50139" w:rsidRDefault="0006091B" w:rsidP="00D259D6">
      <w:pPr>
        <w:pStyle w:val="ListParagraph"/>
        <w:spacing w:line="240" w:lineRule="auto"/>
        <w:ind w:firstLine="0"/>
        <w:rPr>
          <w:rFonts w:ascii="Times New Roman" w:eastAsia="MS Mincho" w:hAnsi="Times New Roman" w:cs="Times New Roman"/>
          <w:color w:val="000000" w:themeColor="text1"/>
          <w:sz w:val="24"/>
          <w:szCs w:val="24"/>
          <w:lang w:eastAsia="en-IN"/>
        </w:rPr>
      </w:pPr>
      <w:hyperlink r:id="rId71"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https://doi.org/10.1016/j.ijbiomac.2019.03.213</w:t>
        </w:r>
      </w:hyperlink>
    </w:p>
    <w:p w14:paraId="2F3B9F39"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Tang, C.C.; Huang, H.P.; Lee, Y.J.; Tang, Y.H.; Wang, C.J. Hepatoprotective effect of mulberry water extracts on ethanol-induced liver injury via anti-inﬂammation and inhibition of lipogenesis in C57BL/6J mice. Food Chem. </w:t>
      </w:r>
      <w:proofErr w:type="spellStart"/>
      <w:r w:rsidRPr="00A50139">
        <w:rPr>
          <w:rFonts w:ascii="Times New Roman" w:hAnsi="Times New Roman" w:cs="Times New Roman"/>
          <w:color w:val="000000" w:themeColor="text1"/>
          <w:sz w:val="24"/>
          <w:szCs w:val="24"/>
        </w:rPr>
        <w:t>Toxicol</w:t>
      </w:r>
      <w:proofErr w:type="spellEnd"/>
      <w:r w:rsidRPr="00A50139">
        <w:rPr>
          <w:rFonts w:ascii="Times New Roman" w:hAnsi="Times New Roman" w:cs="Times New Roman"/>
          <w:color w:val="000000" w:themeColor="text1"/>
          <w:sz w:val="24"/>
          <w:szCs w:val="24"/>
        </w:rPr>
        <w:t>. 2013,</w:t>
      </w:r>
      <w:r w:rsidR="001E66AF"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62,786–796.</w:t>
      </w:r>
      <w:r w:rsidR="001E66AF" w:rsidRPr="00A50139">
        <w:rPr>
          <w:rFonts w:ascii="Times New Roman" w:hAnsi="Times New Roman" w:cs="Times New Roman"/>
          <w:color w:val="000000" w:themeColor="text1"/>
          <w:sz w:val="24"/>
          <w:szCs w:val="24"/>
        </w:rPr>
        <w:t xml:space="preserve"> </w:t>
      </w:r>
      <w:hyperlink r:id="rId72"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https://doi.org/10.1016/j.fct.2013.10.011</w:t>
        </w:r>
      </w:hyperlink>
    </w:p>
    <w:p w14:paraId="1D581B69" w14:textId="77777777" w:rsidR="001E66AF"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Cascao</w:t>
      </w:r>
      <w:proofErr w:type="spellEnd"/>
      <w:r w:rsidRPr="00A50139">
        <w:rPr>
          <w:rFonts w:ascii="Times New Roman" w:hAnsi="Times New Roman" w:cs="Times New Roman"/>
          <w:color w:val="000000" w:themeColor="text1"/>
          <w:sz w:val="24"/>
          <w:szCs w:val="24"/>
        </w:rPr>
        <w:t xml:space="preserve">, R.; Fonseca, J.E.; </w:t>
      </w:r>
      <w:proofErr w:type="spellStart"/>
      <w:r w:rsidRPr="00A50139">
        <w:rPr>
          <w:rFonts w:ascii="Times New Roman" w:hAnsi="Times New Roman" w:cs="Times New Roman"/>
          <w:color w:val="000000" w:themeColor="text1"/>
          <w:sz w:val="24"/>
          <w:szCs w:val="24"/>
        </w:rPr>
        <w:t>Moita</w:t>
      </w:r>
      <w:proofErr w:type="spellEnd"/>
      <w:r w:rsidRPr="00A50139">
        <w:rPr>
          <w:rFonts w:ascii="Times New Roman" w:hAnsi="Times New Roman" w:cs="Times New Roman"/>
          <w:color w:val="000000" w:themeColor="text1"/>
          <w:sz w:val="24"/>
          <w:szCs w:val="24"/>
        </w:rPr>
        <w:t xml:space="preserve">, L.F. </w:t>
      </w:r>
      <w:proofErr w:type="spellStart"/>
      <w:r w:rsidRPr="00A50139">
        <w:rPr>
          <w:rFonts w:ascii="Times New Roman" w:hAnsi="Times New Roman" w:cs="Times New Roman"/>
          <w:color w:val="000000" w:themeColor="text1"/>
          <w:sz w:val="24"/>
          <w:szCs w:val="24"/>
        </w:rPr>
        <w:t>Celastrol</w:t>
      </w:r>
      <w:proofErr w:type="spellEnd"/>
      <w:r w:rsidRPr="00A50139">
        <w:rPr>
          <w:rFonts w:ascii="Times New Roman" w:hAnsi="Times New Roman" w:cs="Times New Roman"/>
          <w:color w:val="000000" w:themeColor="text1"/>
          <w:sz w:val="24"/>
          <w:szCs w:val="24"/>
        </w:rPr>
        <w:t>: A Spectrum of Treatment Opportunities in Chronic Diseases. Front. Med. 2017, 4, 69.</w:t>
      </w:r>
      <w:r w:rsidR="001E66AF" w:rsidRPr="00A50139">
        <w:rPr>
          <w:rFonts w:ascii="Times New Roman" w:hAnsi="Times New Roman" w:cs="Times New Roman"/>
          <w:color w:val="000000" w:themeColor="text1"/>
          <w:sz w:val="24"/>
          <w:szCs w:val="24"/>
        </w:rPr>
        <w:t xml:space="preserve"> </w:t>
      </w:r>
    </w:p>
    <w:p w14:paraId="58204C7B" w14:textId="77777777" w:rsidR="00EB48E9" w:rsidRPr="00A50139" w:rsidRDefault="0006091B" w:rsidP="00D259D6">
      <w:pPr>
        <w:pStyle w:val="ListParagraph"/>
        <w:spacing w:line="240" w:lineRule="auto"/>
        <w:ind w:firstLine="0"/>
        <w:rPr>
          <w:rFonts w:ascii="Times New Roman" w:hAnsi="Times New Roman" w:cs="Times New Roman"/>
          <w:color w:val="000000" w:themeColor="text1"/>
          <w:sz w:val="24"/>
          <w:szCs w:val="24"/>
        </w:rPr>
      </w:pPr>
      <w:hyperlink r:id="rId73" w:history="1">
        <w:r w:rsidR="001E66AF" w:rsidRPr="00A50139">
          <w:rPr>
            <w:rStyle w:val="Hyperlink"/>
            <w:rFonts w:ascii="Times New Roman" w:hAnsi="Times New Roman" w:cs="Times New Roman"/>
            <w:sz w:val="24"/>
            <w:szCs w:val="24"/>
          </w:rPr>
          <w:t>https://doi.org/10.3389/fmed.2017.00069</w:t>
        </w:r>
      </w:hyperlink>
    </w:p>
    <w:p w14:paraId="6A22F382"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lastRenderedPageBreak/>
        <w:t xml:space="preserve">Huang HP, Ou TT, Wang CJ. Mulberry (sang </w:t>
      </w:r>
      <w:proofErr w:type="spellStart"/>
      <w:r w:rsidRPr="00A50139">
        <w:rPr>
          <w:rFonts w:ascii="Times New Roman" w:hAnsi="Times New Roman" w:cs="Times New Roman"/>
          <w:color w:val="000000" w:themeColor="text1"/>
          <w:sz w:val="24"/>
          <w:szCs w:val="24"/>
        </w:rPr>
        <w:t>shèn</w:t>
      </w:r>
      <w:proofErr w:type="spellEnd"/>
      <w:r w:rsidRPr="00A50139">
        <w:rPr>
          <w:rFonts w:ascii="Times New Roman" w:hAnsi="Times New Roman" w:cs="Times New Roman"/>
          <w:color w:val="000000" w:themeColor="text1"/>
          <w:sz w:val="24"/>
          <w:szCs w:val="24"/>
        </w:rPr>
        <w:t xml:space="preserve"> </w:t>
      </w:r>
      <w:proofErr w:type="spellStart"/>
      <w:r w:rsidRPr="00A50139">
        <w:rPr>
          <w:rFonts w:ascii="Times New Roman" w:hAnsi="Times New Roman" w:cs="Times New Roman"/>
          <w:color w:val="000000" w:themeColor="text1"/>
          <w:sz w:val="24"/>
          <w:szCs w:val="24"/>
        </w:rPr>
        <w:t>zı</w:t>
      </w:r>
      <w:proofErr w:type="spellEnd"/>
      <w:r w:rsidRPr="00A50139">
        <w:rPr>
          <w:rFonts w:ascii="Times New Roman" w:hAnsi="Times New Roman" w:cs="Times New Roman"/>
          <w:color w:val="000000" w:themeColor="text1"/>
          <w:sz w:val="24"/>
          <w:szCs w:val="24"/>
        </w:rPr>
        <w:t xml:space="preserve">̌) and its bioactive compounds, the chemoprevention effects and molecular mechanisms in vitro and in vivo. J </w:t>
      </w:r>
      <w:proofErr w:type="spellStart"/>
      <w:r w:rsidRPr="00A50139">
        <w:rPr>
          <w:rFonts w:ascii="Times New Roman" w:hAnsi="Times New Roman" w:cs="Times New Roman"/>
          <w:color w:val="000000" w:themeColor="text1"/>
          <w:sz w:val="24"/>
          <w:szCs w:val="24"/>
        </w:rPr>
        <w:t>Tradit</w:t>
      </w:r>
      <w:proofErr w:type="spellEnd"/>
      <w:r w:rsidRPr="00A50139">
        <w:rPr>
          <w:rFonts w:ascii="Times New Roman" w:hAnsi="Times New Roman" w:cs="Times New Roman"/>
          <w:color w:val="000000" w:themeColor="text1"/>
          <w:sz w:val="24"/>
          <w:szCs w:val="24"/>
        </w:rPr>
        <w:t xml:space="preserve"> Complement Med. 2013;3(1):7-15. </w:t>
      </w:r>
      <w:hyperlink r:id="rId74" w:tgtFrame="_blank" w:tooltip="Persistent link using digital object identifier" w:history="1">
        <w:r w:rsidR="001E66AF" w:rsidRPr="00A50139">
          <w:rPr>
            <w:rStyle w:val="anchor-text"/>
            <w:rFonts w:ascii="Times New Roman" w:hAnsi="Times New Roman" w:cs="Times New Roman"/>
            <w:color w:val="0272B1"/>
            <w:sz w:val="24"/>
            <w:szCs w:val="24"/>
          </w:rPr>
          <w:t>https://doi.org/10.4103/2225-4110.106535</w:t>
        </w:r>
      </w:hyperlink>
    </w:p>
    <w:p w14:paraId="59E4A07C" w14:textId="77777777" w:rsidR="001E66AF" w:rsidRPr="00A50139" w:rsidRDefault="001E66AF"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Huang, H. P., Chang, Y. C., Wu, C. H., Hung, C. N., &amp; Wang, C. J. </w:t>
      </w:r>
      <w:r w:rsidR="00EB48E9" w:rsidRPr="00A50139">
        <w:rPr>
          <w:rFonts w:ascii="Times New Roman" w:hAnsi="Times New Roman" w:cs="Times New Roman"/>
          <w:color w:val="000000" w:themeColor="text1"/>
          <w:sz w:val="24"/>
          <w:szCs w:val="24"/>
        </w:rPr>
        <w:t xml:space="preserve">Anthocyanin-rich mulberry extract </w:t>
      </w:r>
      <w:proofErr w:type="gramStart"/>
      <w:r w:rsidR="00EB48E9" w:rsidRPr="00A50139">
        <w:rPr>
          <w:rFonts w:ascii="Times New Roman" w:hAnsi="Times New Roman" w:cs="Times New Roman"/>
          <w:color w:val="000000" w:themeColor="text1"/>
          <w:sz w:val="24"/>
          <w:szCs w:val="24"/>
        </w:rPr>
        <w:t>inhibit</w:t>
      </w:r>
      <w:proofErr w:type="gramEnd"/>
      <w:r w:rsidR="00EB48E9" w:rsidRPr="00A50139">
        <w:rPr>
          <w:rFonts w:ascii="Times New Roman" w:hAnsi="Times New Roman" w:cs="Times New Roman"/>
          <w:color w:val="000000" w:themeColor="text1"/>
          <w:sz w:val="24"/>
          <w:szCs w:val="24"/>
        </w:rPr>
        <w:t xml:space="preserve"> the gastric cancer cell growth in vitro and xenograft mice by inducing signals of p38/p53 and c-jun. Food Chem. 2011;129(4):1703-1709.</w:t>
      </w:r>
    </w:p>
    <w:p w14:paraId="32EDA238" w14:textId="77777777" w:rsidR="00EB48E9" w:rsidRPr="00A50139" w:rsidRDefault="0006091B" w:rsidP="00D259D6">
      <w:pPr>
        <w:pStyle w:val="ListParagraph"/>
        <w:spacing w:line="240" w:lineRule="auto"/>
        <w:ind w:firstLine="0"/>
        <w:rPr>
          <w:rFonts w:ascii="Times New Roman" w:hAnsi="Times New Roman" w:cs="Times New Roman"/>
          <w:color w:val="000000" w:themeColor="text1"/>
          <w:sz w:val="24"/>
          <w:szCs w:val="24"/>
        </w:rPr>
      </w:pPr>
      <w:hyperlink r:id="rId75"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https://doi.org/10.1016/j.foodchem.2011.06.035</w:t>
        </w:r>
      </w:hyperlink>
    </w:p>
    <w:p w14:paraId="61750AC5"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Yuan, Q.; Zhao, L. The Mulberry (</w:t>
      </w:r>
      <w:r w:rsidRPr="00A50139">
        <w:rPr>
          <w:rFonts w:ascii="Times New Roman" w:hAnsi="Times New Roman" w:cs="Times New Roman"/>
          <w:i/>
          <w:color w:val="000000" w:themeColor="text1"/>
          <w:sz w:val="24"/>
          <w:szCs w:val="24"/>
        </w:rPr>
        <w:t>Morus alba</w:t>
      </w:r>
      <w:r w:rsidRPr="00A50139">
        <w:rPr>
          <w:rFonts w:ascii="Times New Roman" w:hAnsi="Times New Roman" w:cs="Times New Roman"/>
          <w:color w:val="000000" w:themeColor="text1"/>
          <w:sz w:val="24"/>
          <w:szCs w:val="24"/>
        </w:rPr>
        <w:t xml:space="preserve"> L.) Fruit—A Review of Characteristic Components and Health Benefits. J. Agric. Food Chem. 2017, 65, 10383–10394.</w:t>
      </w:r>
      <w:r w:rsidR="001E66AF" w:rsidRPr="00A50139">
        <w:rPr>
          <w:rFonts w:ascii="Times New Roman" w:hAnsi="Times New Roman" w:cs="Times New Roman"/>
          <w:color w:val="000000" w:themeColor="text1"/>
          <w:sz w:val="24"/>
          <w:szCs w:val="24"/>
        </w:rPr>
        <w:t xml:space="preserve"> </w:t>
      </w:r>
      <w:hyperlink r:id="rId76" w:tooltip="DOI URL" w:history="1">
        <w:r w:rsidR="001E66AF" w:rsidRPr="00A50139">
          <w:rPr>
            <w:rStyle w:val="Hyperlink"/>
            <w:rFonts w:ascii="Times New Roman" w:hAnsi="Times New Roman" w:cs="Times New Roman"/>
            <w:color w:val="3361B8"/>
            <w:sz w:val="24"/>
            <w:szCs w:val="24"/>
            <w:shd w:val="clear" w:color="auto" w:fill="FFFFFF"/>
          </w:rPr>
          <w:t>https://doi.org/10.1021/acs.jafc.7b03614</w:t>
        </w:r>
      </w:hyperlink>
    </w:p>
    <w:p w14:paraId="622B0BE5" w14:textId="77777777" w:rsidR="00EB48E9" w:rsidRPr="00A50139" w:rsidRDefault="00EB48E9" w:rsidP="00D259D6">
      <w:pPr>
        <w:pStyle w:val="ListParagraph"/>
        <w:numPr>
          <w:ilvl w:val="0"/>
          <w:numId w:val="18"/>
        </w:numPr>
        <w:spacing w:line="240" w:lineRule="auto"/>
        <w:rPr>
          <w:rFonts w:ascii="Times New Roman" w:hAnsi="Times New Roman" w:cs="Times New Roman"/>
          <w:sz w:val="24"/>
          <w:szCs w:val="24"/>
        </w:rPr>
      </w:pPr>
      <w:r w:rsidRPr="00A50139">
        <w:rPr>
          <w:rFonts w:ascii="Times New Roman" w:hAnsi="Times New Roman" w:cs="Times New Roman"/>
          <w:color w:val="000000" w:themeColor="text1"/>
          <w:sz w:val="24"/>
          <w:szCs w:val="24"/>
        </w:rPr>
        <w:t>Lee, J.S.; Kim, Y.R.; Song, I.G.; Ha, S.J.; Kim, Y.E.; Baek, N.I.; Hong, E.K. Cyanidin-3-glucoside isolated from mulberry fruit protects pancreatic β-cells against oxidative stress-induced apoptosis. Int. J. Mol. Med. 2015, 35, 405–412.</w:t>
      </w:r>
      <w:r w:rsidR="00207D1C" w:rsidRPr="00A50139">
        <w:rPr>
          <w:rFonts w:ascii="Times New Roman" w:hAnsi="Times New Roman" w:cs="Times New Roman"/>
          <w:color w:val="000000" w:themeColor="text1"/>
          <w:sz w:val="24"/>
          <w:szCs w:val="24"/>
        </w:rPr>
        <w:t xml:space="preserve"> </w:t>
      </w:r>
      <w:hyperlink r:id="rId77" w:history="1">
        <w:r w:rsidR="00207D1C" w:rsidRPr="00A50139">
          <w:rPr>
            <w:rStyle w:val="Hyperlink"/>
            <w:rFonts w:ascii="Times New Roman" w:hAnsi="Times New Roman" w:cs="Times New Roman"/>
            <w:sz w:val="24"/>
            <w:szCs w:val="24"/>
          </w:rPr>
          <w:t>https://doi.org/10.3892/ijmm.2014.2013</w:t>
        </w:r>
      </w:hyperlink>
      <w:r w:rsidR="00207D1C" w:rsidRPr="00A50139">
        <w:rPr>
          <w:rFonts w:ascii="Times New Roman" w:hAnsi="Times New Roman" w:cs="Times New Roman"/>
          <w:sz w:val="24"/>
          <w:szCs w:val="24"/>
        </w:rPr>
        <w:t xml:space="preserve"> </w:t>
      </w:r>
    </w:p>
    <w:p w14:paraId="28743259" w14:textId="77777777" w:rsidR="00207D1C"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S. Wu, Mulberry leaf polysaccharides suppress renal fibrosis, International Journal of Biological Macromolecules, 2019, 124, 1090-1093.</w:t>
      </w:r>
    </w:p>
    <w:p w14:paraId="0CBC583A" w14:textId="77777777" w:rsidR="00EB48E9" w:rsidRPr="00A50139" w:rsidRDefault="0006091B" w:rsidP="00D259D6">
      <w:pPr>
        <w:pStyle w:val="ListParagraph"/>
        <w:spacing w:line="240" w:lineRule="auto"/>
        <w:ind w:firstLine="0"/>
        <w:rPr>
          <w:rFonts w:ascii="Times New Roman" w:hAnsi="Times New Roman" w:cs="Times New Roman"/>
          <w:color w:val="000000" w:themeColor="text1"/>
          <w:sz w:val="24"/>
          <w:szCs w:val="24"/>
        </w:rPr>
      </w:pPr>
      <w:hyperlink r:id="rId78"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https://doi.org/10.1016/j.ijbiomac.2018.12.029</w:t>
        </w:r>
      </w:hyperlink>
    </w:p>
    <w:p w14:paraId="30915F05" w14:textId="77777777" w:rsidR="00207D1C"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Zhang L, Zhou X, Chen H, </w:t>
      </w:r>
      <w:r w:rsidR="00207D1C" w:rsidRPr="00A50139">
        <w:rPr>
          <w:rFonts w:ascii="Times New Roman" w:hAnsi="Times New Roman" w:cs="Times New Roman"/>
          <w:color w:val="222222"/>
          <w:sz w:val="24"/>
          <w:szCs w:val="24"/>
          <w:shd w:val="clear" w:color="auto" w:fill="FFFFFF"/>
        </w:rPr>
        <w:t xml:space="preserve">You, L., Zhang, T., Cheng, M., Yao, Y., Pan, X., &amp; Yang, </w:t>
      </w:r>
      <w:proofErr w:type="gramStart"/>
      <w:r w:rsidR="00207D1C" w:rsidRPr="00A50139">
        <w:rPr>
          <w:rFonts w:ascii="Times New Roman" w:hAnsi="Times New Roman" w:cs="Times New Roman"/>
          <w:color w:val="222222"/>
          <w:sz w:val="24"/>
          <w:szCs w:val="24"/>
          <w:shd w:val="clear" w:color="auto" w:fill="FFFFFF"/>
        </w:rPr>
        <w:t>X. </w:t>
      </w:r>
      <w:r w:rsidRPr="00A50139">
        <w:rPr>
          <w:rFonts w:ascii="Times New Roman" w:hAnsi="Times New Roman" w:cs="Times New Roman"/>
          <w:color w:val="000000" w:themeColor="text1"/>
          <w:sz w:val="24"/>
          <w:szCs w:val="24"/>
        </w:rPr>
        <w:t>.</w:t>
      </w:r>
      <w:proofErr w:type="gramEnd"/>
      <w:r w:rsidRPr="00A50139">
        <w:rPr>
          <w:rFonts w:ascii="Times New Roman" w:hAnsi="Times New Roman" w:cs="Times New Roman"/>
          <w:color w:val="000000" w:themeColor="text1"/>
          <w:sz w:val="24"/>
          <w:szCs w:val="24"/>
        </w:rPr>
        <w:t xml:space="preserve"> Mulberry extract ameliorates T2DM-related symptoms via AMPK pathway in STZHFD-induced C57BL/6J mice. J </w:t>
      </w:r>
      <w:proofErr w:type="spellStart"/>
      <w:r w:rsidRPr="00A50139">
        <w:rPr>
          <w:rFonts w:ascii="Times New Roman" w:hAnsi="Times New Roman" w:cs="Times New Roman"/>
          <w:color w:val="000000" w:themeColor="text1"/>
          <w:sz w:val="24"/>
          <w:szCs w:val="24"/>
        </w:rPr>
        <w:t>Ethnopharmacol</w:t>
      </w:r>
      <w:proofErr w:type="spellEnd"/>
      <w:r w:rsidRPr="00A50139">
        <w:rPr>
          <w:rFonts w:ascii="Times New Roman" w:hAnsi="Times New Roman" w:cs="Times New Roman"/>
          <w:color w:val="000000" w:themeColor="text1"/>
          <w:sz w:val="24"/>
          <w:szCs w:val="24"/>
        </w:rPr>
        <w:t>. 2023;</w:t>
      </w:r>
      <w:r w:rsidR="00207D1C"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 xml:space="preserve">313: 116475. </w:t>
      </w:r>
      <w:hyperlink r:id="rId79"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https://doi.org/10.1016/j.jep.2023.116475</w:t>
        </w:r>
      </w:hyperlink>
    </w:p>
    <w:p w14:paraId="53F71443" w14:textId="77777777" w:rsidR="00EB48E9" w:rsidRPr="00A50139" w:rsidRDefault="00207D1C"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Suriyaprom, S., </w:t>
      </w:r>
      <w:proofErr w:type="spellStart"/>
      <w:r w:rsidRPr="00A50139">
        <w:rPr>
          <w:rFonts w:ascii="Times New Roman" w:hAnsi="Times New Roman" w:cs="Times New Roman"/>
          <w:color w:val="222222"/>
          <w:sz w:val="24"/>
          <w:szCs w:val="24"/>
          <w:shd w:val="clear" w:color="auto" w:fill="FFFFFF"/>
        </w:rPr>
        <w:t>Kaewkod</w:t>
      </w:r>
      <w:proofErr w:type="spellEnd"/>
      <w:r w:rsidRPr="00A50139">
        <w:rPr>
          <w:rFonts w:ascii="Times New Roman" w:hAnsi="Times New Roman" w:cs="Times New Roman"/>
          <w:color w:val="222222"/>
          <w:sz w:val="24"/>
          <w:szCs w:val="24"/>
          <w:shd w:val="clear" w:color="auto" w:fill="FFFFFF"/>
        </w:rPr>
        <w:t xml:space="preserve">, T., </w:t>
      </w:r>
      <w:proofErr w:type="spellStart"/>
      <w:r w:rsidRPr="00A50139">
        <w:rPr>
          <w:rFonts w:ascii="Times New Roman" w:hAnsi="Times New Roman" w:cs="Times New Roman"/>
          <w:color w:val="222222"/>
          <w:sz w:val="24"/>
          <w:szCs w:val="24"/>
          <w:shd w:val="clear" w:color="auto" w:fill="FFFFFF"/>
        </w:rPr>
        <w:t>Promputtha</w:t>
      </w:r>
      <w:proofErr w:type="spellEnd"/>
      <w:r w:rsidRPr="00A50139">
        <w:rPr>
          <w:rFonts w:ascii="Times New Roman" w:hAnsi="Times New Roman" w:cs="Times New Roman"/>
          <w:color w:val="222222"/>
          <w:sz w:val="24"/>
          <w:szCs w:val="24"/>
          <w:shd w:val="clear" w:color="auto" w:fill="FFFFFF"/>
        </w:rPr>
        <w:t xml:space="preserve">, I., Desvaux, M., &amp; </w:t>
      </w:r>
      <w:proofErr w:type="spellStart"/>
      <w:r w:rsidRPr="00A50139">
        <w:rPr>
          <w:rFonts w:ascii="Times New Roman" w:hAnsi="Times New Roman" w:cs="Times New Roman"/>
          <w:color w:val="222222"/>
          <w:sz w:val="24"/>
          <w:szCs w:val="24"/>
          <w:shd w:val="clear" w:color="auto" w:fill="FFFFFF"/>
        </w:rPr>
        <w:t>Tragoolpua</w:t>
      </w:r>
      <w:proofErr w:type="spellEnd"/>
      <w:r w:rsidRPr="00A50139">
        <w:rPr>
          <w:rFonts w:ascii="Times New Roman" w:hAnsi="Times New Roman" w:cs="Times New Roman"/>
          <w:color w:val="222222"/>
          <w:sz w:val="24"/>
          <w:szCs w:val="24"/>
          <w:shd w:val="clear" w:color="auto" w:fill="FFFFFF"/>
        </w:rPr>
        <w:t>, Y. </w:t>
      </w:r>
      <w:r w:rsidR="00EB48E9" w:rsidRPr="00A50139">
        <w:rPr>
          <w:rFonts w:ascii="Times New Roman" w:hAnsi="Times New Roman" w:cs="Times New Roman"/>
          <w:color w:val="000000" w:themeColor="text1"/>
          <w:sz w:val="24"/>
          <w:szCs w:val="24"/>
        </w:rPr>
        <w:t xml:space="preserve"> Evaluation of antioxidant and antibacterial activities of white mulberry (Morus alba L.) fruit extracts. Plants (Basel). 2021;10(12):2736. </w:t>
      </w:r>
      <w:hyperlink r:id="rId80" w:history="1">
        <w:r w:rsidRPr="00A50139">
          <w:rPr>
            <w:rFonts w:ascii="Times New Roman" w:eastAsia="Times New Roman" w:hAnsi="Times New Roman" w:cs="Times New Roman"/>
            <w:b/>
            <w:bCs/>
            <w:color w:val="4F5671"/>
            <w:sz w:val="24"/>
            <w:szCs w:val="24"/>
            <w:lang w:eastAsia="en-IN"/>
          </w:rPr>
          <w:t>https://doi.org/10.3390/plants10122736</w:t>
        </w:r>
      </w:hyperlink>
    </w:p>
    <w:p w14:paraId="48D13930"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D. Z. Hong, Z. F. Zhang, X. Jiang and L. G. Shi, Effects of polysaccharide from </w:t>
      </w:r>
      <w:proofErr w:type="spellStart"/>
      <w:r w:rsidRPr="00A50139">
        <w:rPr>
          <w:rFonts w:ascii="Times New Roman" w:hAnsi="Times New Roman" w:cs="Times New Roman"/>
          <w:color w:val="000000" w:themeColor="text1"/>
          <w:sz w:val="24"/>
          <w:szCs w:val="24"/>
        </w:rPr>
        <w:t>ramulus</w:t>
      </w:r>
      <w:proofErr w:type="spellEnd"/>
      <w:r w:rsidRPr="00A50139">
        <w:rPr>
          <w:rFonts w:ascii="Times New Roman" w:hAnsi="Times New Roman" w:cs="Times New Roman"/>
          <w:color w:val="000000" w:themeColor="text1"/>
          <w:sz w:val="24"/>
          <w:szCs w:val="24"/>
        </w:rPr>
        <w:t xml:space="preserve"> mori on immunologic functions of normal mouse, Sci</w:t>
      </w:r>
      <w:r w:rsidR="00207D1C" w:rsidRPr="00A50139">
        <w:rPr>
          <w:rFonts w:ascii="Times New Roman" w:hAnsi="Times New Roman" w:cs="Times New Roman"/>
          <w:color w:val="000000" w:themeColor="text1"/>
          <w:sz w:val="24"/>
          <w:szCs w:val="24"/>
        </w:rPr>
        <w:t>.</w:t>
      </w:r>
      <w:r w:rsidRPr="00A50139">
        <w:rPr>
          <w:rFonts w:ascii="Times New Roman" w:hAnsi="Times New Roman" w:cs="Times New Roman"/>
          <w:color w:val="000000" w:themeColor="text1"/>
          <w:sz w:val="24"/>
          <w:szCs w:val="24"/>
        </w:rPr>
        <w:t xml:space="preserve"> Seric, 2011, 37, 481-485.</w:t>
      </w:r>
    </w:p>
    <w:p w14:paraId="1D8BC107" w14:textId="77777777" w:rsidR="00207D1C" w:rsidRPr="00A50139" w:rsidRDefault="00207D1C"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Bang, S. I., Kim, H. Y., Seo, W. T., Lee, A. Y., &amp; Cho, E. J</w:t>
      </w:r>
      <w:r w:rsidRPr="00A50139">
        <w:rPr>
          <w:rFonts w:ascii="Times New Roman" w:hAnsi="Times New Roman" w:cs="Times New Roman"/>
          <w:color w:val="000000" w:themeColor="text1"/>
          <w:sz w:val="24"/>
          <w:szCs w:val="24"/>
        </w:rPr>
        <w:t xml:space="preserve">. Mulberry </w:t>
      </w:r>
      <w:r w:rsidR="00EB48E9" w:rsidRPr="00A50139">
        <w:rPr>
          <w:rFonts w:ascii="Times New Roman" w:hAnsi="Times New Roman" w:cs="Times New Roman"/>
          <w:color w:val="000000" w:themeColor="text1"/>
          <w:sz w:val="24"/>
          <w:szCs w:val="24"/>
        </w:rPr>
        <w:t xml:space="preserve">vinegar attenuates lipo-polysaccharide and interferon gamma-induced inﬂammatory responses in C6 glial cells. J Food </w:t>
      </w:r>
      <w:proofErr w:type="spellStart"/>
      <w:r w:rsidR="00EB48E9" w:rsidRPr="00A50139">
        <w:rPr>
          <w:rFonts w:ascii="Times New Roman" w:hAnsi="Times New Roman" w:cs="Times New Roman"/>
          <w:color w:val="000000" w:themeColor="text1"/>
          <w:sz w:val="24"/>
          <w:szCs w:val="24"/>
        </w:rPr>
        <w:t>Biochem</w:t>
      </w:r>
      <w:proofErr w:type="spellEnd"/>
      <w:r w:rsidR="00EB48E9" w:rsidRPr="00A50139">
        <w:rPr>
          <w:rFonts w:ascii="Times New Roman" w:hAnsi="Times New Roman" w:cs="Times New Roman"/>
          <w:color w:val="000000" w:themeColor="text1"/>
          <w:sz w:val="24"/>
          <w:szCs w:val="24"/>
        </w:rPr>
        <w:t>. 2022;</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46(8):</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 xml:space="preserve">e14197. </w:t>
      </w:r>
      <w:hyperlink r:id="rId81" w:history="1">
        <w:r w:rsidRPr="00A50139">
          <w:rPr>
            <w:rStyle w:val="Hyperlink"/>
            <w:rFonts w:ascii="Times New Roman" w:hAnsi="Times New Roman" w:cs="Times New Roman"/>
            <w:b/>
            <w:bCs/>
            <w:color w:val="123D80"/>
            <w:sz w:val="24"/>
            <w:szCs w:val="24"/>
            <w:shd w:val="clear" w:color="auto" w:fill="FFFFFF"/>
          </w:rPr>
          <w:t>https://doi.org/10.1111/jfbc.14197</w:t>
        </w:r>
      </w:hyperlink>
    </w:p>
    <w:p w14:paraId="1578F42D"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Long, H.L.; Zhang, F.F.; Wang, H.L.; Yang, W.-S.; Hou, H.T.; Yu, J.K.; Liu, B. Mulberry anthocyanins improves thyroid cancer progression mainly by inducing apoptosis and autophagy cell death. Kaohsiung J. Med. Sci. 2018, 34, 255–262.and colorectal tumorigenesis in mice. Sci. Rep. 2015, 5, 17348.</w:t>
      </w:r>
      <w:r w:rsidR="00207D1C" w:rsidRPr="00A50139">
        <w:rPr>
          <w:rFonts w:ascii="Times New Roman" w:eastAsia="Times New Roman" w:hAnsi="Times New Roman" w:cs="Times New Roman"/>
          <w:color w:val="000000" w:themeColor="text1"/>
          <w:sz w:val="24"/>
          <w:szCs w:val="24"/>
          <w:lang w:eastAsia="en-IN"/>
        </w:rPr>
        <w:t xml:space="preserve"> </w:t>
      </w:r>
      <w:hyperlink r:id="rId82"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https://doi.org/10.1016/j.kjms.2017.11.004</w:t>
        </w:r>
      </w:hyperlink>
    </w:p>
    <w:p w14:paraId="5C3C1286"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Shivkumar GR, Raman K.A, </w:t>
      </w:r>
      <w:proofErr w:type="spellStart"/>
      <w:r w:rsidRPr="00A50139">
        <w:rPr>
          <w:rFonts w:ascii="Times New Roman" w:eastAsia="Times New Roman" w:hAnsi="Times New Roman" w:cs="Times New Roman"/>
          <w:color w:val="000000" w:themeColor="text1"/>
          <w:sz w:val="24"/>
          <w:szCs w:val="24"/>
          <w:lang w:eastAsia="en-IN"/>
        </w:rPr>
        <w:t>Magadum</w:t>
      </w:r>
      <w:proofErr w:type="spellEnd"/>
      <w:r w:rsidRPr="00A50139">
        <w:rPr>
          <w:rFonts w:ascii="Times New Roman" w:eastAsia="Times New Roman" w:hAnsi="Times New Roman" w:cs="Times New Roman"/>
          <w:color w:val="000000" w:themeColor="text1"/>
          <w:sz w:val="24"/>
          <w:szCs w:val="24"/>
          <w:lang w:eastAsia="en-IN"/>
        </w:rPr>
        <w:t xml:space="preserve"> SB, Datta RK. Indian silk.</w:t>
      </w:r>
      <w:r w:rsidR="00BF2206" w:rsidRPr="00A50139">
        <w:rPr>
          <w:rFonts w:ascii="Times New Roman" w:eastAsia="Times New Roman" w:hAnsi="Times New Roman" w:cs="Times New Roman"/>
          <w:color w:val="000000" w:themeColor="text1"/>
          <w:sz w:val="24"/>
          <w:szCs w:val="24"/>
          <w:lang w:eastAsia="en-IN"/>
        </w:rPr>
        <w:t xml:space="preserve"> (1995) </w:t>
      </w:r>
      <w:r w:rsidRPr="00A50139">
        <w:rPr>
          <w:rFonts w:ascii="Times New Roman" w:eastAsia="Times New Roman" w:hAnsi="Times New Roman" w:cs="Times New Roman"/>
          <w:color w:val="000000" w:themeColor="text1"/>
          <w:sz w:val="24"/>
          <w:szCs w:val="24"/>
          <w:lang w:eastAsia="en-IN"/>
        </w:rPr>
        <w:t>34:5</w:t>
      </w:r>
    </w:p>
    <w:p w14:paraId="079F9705"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Venkatesh Kumar, R., &amp; Chauhan, S. (2008). Mulberry: life enhancer. </w:t>
      </w:r>
      <w:r w:rsidRPr="00A50139">
        <w:rPr>
          <w:rFonts w:ascii="Times New Roman" w:hAnsi="Times New Roman" w:cs="Times New Roman"/>
          <w:i/>
          <w:iCs/>
          <w:color w:val="000000" w:themeColor="text1"/>
          <w:sz w:val="24"/>
          <w:szCs w:val="24"/>
          <w:shd w:val="clear" w:color="auto" w:fill="FFFFFF"/>
        </w:rPr>
        <w:t>Journal of Medicinal Plants Research</w:t>
      </w:r>
      <w:r w:rsidRPr="00A50139">
        <w:rPr>
          <w:rFonts w:ascii="Times New Roman" w:hAnsi="Times New Roman" w:cs="Times New Roman"/>
          <w:color w:val="000000" w:themeColor="text1"/>
          <w:sz w:val="24"/>
          <w:szCs w:val="24"/>
          <w:shd w:val="clear" w:color="auto" w:fill="FFFFFF"/>
        </w:rPr>
        <w:t>, </w:t>
      </w:r>
      <w:r w:rsidRPr="00A50139">
        <w:rPr>
          <w:rFonts w:ascii="Times New Roman" w:hAnsi="Times New Roman" w:cs="Times New Roman"/>
          <w:i/>
          <w:iCs/>
          <w:color w:val="000000" w:themeColor="text1"/>
          <w:sz w:val="24"/>
          <w:szCs w:val="24"/>
          <w:shd w:val="clear" w:color="auto" w:fill="FFFFFF"/>
        </w:rPr>
        <w:t>2</w:t>
      </w:r>
      <w:r w:rsidRPr="00A50139">
        <w:rPr>
          <w:rFonts w:ascii="Times New Roman" w:hAnsi="Times New Roman" w:cs="Times New Roman"/>
          <w:color w:val="000000" w:themeColor="text1"/>
          <w:sz w:val="24"/>
          <w:szCs w:val="24"/>
          <w:shd w:val="clear" w:color="auto" w:fill="FFFFFF"/>
        </w:rPr>
        <w:t>(10), 271-278</w:t>
      </w:r>
    </w:p>
    <w:p w14:paraId="1071435B"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Khalid, N., Fawad, S. A., &amp; Ahmed, I. Antimicrobial activity, phytochemical profile and trace minerals of black mulberry (</w:t>
      </w:r>
      <w:r w:rsidRPr="00A50139">
        <w:rPr>
          <w:rFonts w:ascii="Times New Roman" w:hAnsi="Times New Roman" w:cs="Times New Roman"/>
          <w:i/>
          <w:color w:val="000000" w:themeColor="text1"/>
          <w:sz w:val="24"/>
          <w:szCs w:val="24"/>
          <w:shd w:val="clear" w:color="auto" w:fill="FFFFFF"/>
        </w:rPr>
        <w:t>Morus nigra</w:t>
      </w:r>
      <w:r w:rsidRPr="00A50139">
        <w:rPr>
          <w:rFonts w:ascii="Times New Roman" w:hAnsi="Times New Roman" w:cs="Times New Roman"/>
          <w:color w:val="000000" w:themeColor="text1"/>
          <w:sz w:val="24"/>
          <w:szCs w:val="24"/>
          <w:shd w:val="clear" w:color="auto" w:fill="FFFFFF"/>
        </w:rPr>
        <w:t xml:space="preserve"> L.) fresh juice. </w:t>
      </w:r>
      <w:r w:rsidRPr="00A50139">
        <w:rPr>
          <w:rFonts w:ascii="Times New Roman" w:hAnsi="Times New Roman" w:cs="Times New Roman"/>
          <w:i/>
          <w:iCs/>
          <w:color w:val="000000" w:themeColor="text1"/>
          <w:sz w:val="24"/>
          <w:szCs w:val="24"/>
          <w:shd w:val="clear" w:color="auto" w:fill="FFFFFF"/>
        </w:rPr>
        <w:t>Pak. J. Bot</w:t>
      </w:r>
      <w:r w:rsidRPr="00A50139">
        <w:rPr>
          <w:rFonts w:ascii="Times New Roman" w:hAnsi="Times New Roman" w:cs="Times New Roman"/>
          <w:color w:val="000000" w:themeColor="text1"/>
          <w:sz w:val="24"/>
          <w:szCs w:val="24"/>
          <w:shd w:val="clear" w:color="auto" w:fill="FFFFFF"/>
        </w:rPr>
        <w:t>, </w:t>
      </w:r>
      <w:r w:rsidR="00BF2206" w:rsidRPr="00A50139">
        <w:rPr>
          <w:rFonts w:ascii="Times New Roman" w:hAnsi="Times New Roman" w:cs="Times New Roman"/>
          <w:color w:val="000000" w:themeColor="text1"/>
          <w:sz w:val="24"/>
          <w:szCs w:val="24"/>
          <w:shd w:val="clear" w:color="auto" w:fill="FFFFFF"/>
        </w:rPr>
        <w:t xml:space="preserve">(2011). </w:t>
      </w:r>
      <w:r w:rsidRPr="00A50139">
        <w:rPr>
          <w:rFonts w:ascii="Times New Roman" w:hAnsi="Times New Roman" w:cs="Times New Roman"/>
          <w:i/>
          <w:iCs/>
          <w:color w:val="000000" w:themeColor="text1"/>
          <w:sz w:val="24"/>
          <w:szCs w:val="24"/>
          <w:shd w:val="clear" w:color="auto" w:fill="FFFFFF"/>
        </w:rPr>
        <w:t>43</w:t>
      </w:r>
      <w:r w:rsidRPr="00A50139">
        <w:rPr>
          <w:rFonts w:ascii="Times New Roman" w:hAnsi="Times New Roman" w:cs="Times New Roman"/>
          <w:color w:val="000000" w:themeColor="text1"/>
          <w:sz w:val="24"/>
          <w:szCs w:val="24"/>
          <w:shd w:val="clear" w:color="auto" w:fill="FFFFFF"/>
        </w:rPr>
        <w:t>(6), 91-96.</w:t>
      </w:r>
    </w:p>
    <w:p w14:paraId="6431B7CC" w14:textId="77777777"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Mas</w:t>
      </w:r>
      <w:r w:rsidR="00BF2206" w:rsidRPr="00A50139">
        <w:rPr>
          <w:rFonts w:ascii="Times New Roman" w:eastAsia="Times New Roman" w:hAnsi="Times New Roman" w:cs="Times New Roman"/>
          <w:color w:val="000000" w:themeColor="text1"/>
          <w:sz w:val="24"/>
          <w:szCs w:val="24"/>
          <w:lang w:eastAsia="en-IN"/>
        </w:rPr>
        <w:t>ilamani S, Qadri SMH, Dandin SB.</w:t>
      </w:r>
      <w:r w:rsidRPr="00A50139">
        <w:rPr>
          <w:rFonts w:ascii="Times New Roman" w:eastAsia="Times New Roman" w:hAnsi="Times New Roman" w:cs="Times New Roman"/>
          <w:color w:val="000000" w:themeColor="text1"/>
          <w:sz w:val="24"/>
          <w:szCs w:val="24"/>
          <w:lang w:eastAsia="en-IN"/>
        </w:rPr>
        <w:t xml:space="preserve"> Mulberry fruits: A potential value - addition enterprise. Indian silk. </w:t>
      </w:r>
      <w:r w:rsidR="00BF2206" w:rsidRPr="00A50139">
        <w:rPr>
          <w:rFonts w:ascii="Times New Roman" w:eastAsia="Times New Roman" w:hAnsi="Times New Roman" w:cs="Times New Roman"/>
          <w:color w:val="000000" w:themeColor="text1"/>
          <w:sz w:val="24"/>
          <w:szCs w:val="24"/>
          <w:lang w:eastAsia="en-IN"/>
        </w:rPr>
        <w:t xml:space="preserve">(2008). </w:t>
      </w:r>
      <w:r w:rsidRPr="00A50139">
        <w:rPr>
          <w:rFonts w:ascii="Times New Roman" w:eastAsia="Times New Roman" w:hAnsi="Times New Roman" w:cs="Times New Roman"/>
          <w:color w:val="000000" w:themeColor="text1"/>
          <w:sz w:val="24"/>
          <w:szCs w:val="24"/>
          <w:lang w:eastAsia="en-IN"/>
        </w:rPr>
        <w:t>46(11):12.</w:t>
      </w:r>
    </w:p>
    <w:p w14:paraId="626500B9"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Ansari, M.A.; Scheff, S.W. Oxidative Stress in the Progression of Alzheimer Disease in the Frontal Cortex. J. </w:t>
      </w:r>
      <w:proofErr w:type="spellStart"/>
      <w:r w:rsidRPr="00A50139">
        <w:rPr>
          <w:rFonts w:ascii="Times New Roman" w:hAnsi="Times New Roman" w:cs="Times New Roman"/>
          <w:color w:val="000000" w:themeColor="text1"/>
          <w:sz w:val="24"/>
          <w:szCs w:val="24"/>
        </w:rPr>
        <w:t>Neuropathol</w:t>
      </w:r>
      <w:proofErr w:type="spellEnd"/>
      <w:r w:rsidRPr="00A50139">
        <w:rPr>
          <w:rFonts w:ascii="Times New Roman" w:hAnsi="Times New Roman" w:cs="Times New Roman"/>
          <w:color w:val="000000" w:themeColor="text1"/>
          <w:sz w:val="24"/>
          <w:szCs w:val="24"/>
        </w:rPr>
        <w:t>. Exp. Neurol. 2010, 69, 155–167</w:t>
      </w:r>
      <w:r w:rsidR="007A5129" w:rsidRPr="00A50139">
        <w:rPr>
          <w:rFonts w:ascii="Times New Roman" w:hAnsi="Times New Roman" w:cs="Times New Roman"/>
          <w:color w:val="000000" w:themeColor="text1"/>
          <w:sz w:val="24"/>
          <w:szCs w:val="24"/>
        </w:rPr>
        <w:t xml:space="preserve">. </w:t>
      </w:r>
      <w:hyperlink r:id="rId83" w:history="1">
        <w:r w:rsidR="007A5129" w:rsidRPr="00A50139">
          <w:rPr>
            <w:rStyle w:val="Hyperlink"/>
            <w:rFonts w:ascii="Times New Roman" w:hAnsi="Times New Roman" w:cs="Times New Roman"/>
            <w:color w:val="006FB7"/>
            <w:sz w:val="24"/>
            <w:szCs w:val="24"/>
            <w:bdr w:val="none" w:sz="0" w:space="0" w:color="auto" w:frame="1"/>
            <w:shd w:val="clear" w:color="auto" w:fill="FFFFFF"/>
          </w:rPr>
          <w:t>https://doi.org/10.1097/NEN.0b013e3181cb5af4</w:t>
        </w:r>
      </w:hyperlink>
    </w:p>
    <w:p w14:paraId="57D99D76"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Niidome, T.; Takahashi, K.; Goto, Y.; Goh, S.; Tanaka, N.; Kamei, K.; Ichida, M.; Hara, S.; Akaike, A.; Kihara, T.; et al. Mulberry Leaf Extract Prevents Amyloid Beta-</w:t>
      </w:r>
      <w:r w:rsidRPr="00A50139">
        <w:rPr>
          <w:rFonts w:ascii="Times New Roman" w:hAnsi="Times New Roman" w:cs="Times New Roman"/>
          <w:color w:val="000000" w:themeColor="text1"/>
          <w:sz w:val="24"/>
          <w:szCs w:val="24"/>
        </w:rPr>
        <w:lastRenderedPageBreak/>
        <w:t xml:space="preserve">Peptide Fibril Formation and Neurotoxicity. </w:t>
      </w:r>
      <w:proofErr w:type="spellStart"/>
      <w:r w:rsidRPr="00A50139">
        <w:rPr>
          <w:rFonts w:ascii="Times New Roman" w:hAnsi="Times New Roman" w:cs="Times New Roman"/>
          <w:color w:val="000000" w:themeColor="text1"/>
          <w:sz w:val="24"/>
          <w:szCs w:val="24"/>
        </w:rPr>
        <w:t>Ne</w:t>
      </w:r>
      <w:r w:rsidR="007A5129" w:rsidRPr="00A50139">
        <w:rPr>
          <w:rFonts w:ascii="Times New Roman" w:hAnsi="Times New Roman" w:cs="Times New Roman"/>
          <w:color w:val="000000" w:themeColor="text1"/>
          <w:sz w:val="24"/>
          <w:szCs w:val="24"/>
        </w:rPr>
        <w:t>uroreport</w:t>
      </w:r>
      <w:proofErr w:type="spellEnd"/>
      <w:r w:rsidR="007A5129" w:rsidRPr="00A50139">
        <w:rPr>
          <w:rFonts w:ascii="Times New Roman" w:hAnsi="Times New Roman" w:cs="Times New Roman"/>
          <w:color w:val="000000" w:themeColor="text1"/>
          <w:sz w:val="24"/>
          <w:szCs w:val="24"/>
        </w:rPr>
        <w:t>. (</w:t>
      </w:r>
      <w:r w:rsidRPr="00A50139">
        <w:rPr>
          <w:rFonts w:ascii="Times New Roman" w:hAnsi="Times New Roman" w:cs="Times New Roman"/>
          <w:color w:val="000000" w:themeColor="text1"/>
          <w:sz w:val="24"/>
          <w:szCs w:val="24"/>
        </w:rPr>
        <w:t>2007</w:t>
      </w:r>
      <w:r w:rsidR="007A5129" w:rsidRPr="00A50139">
        <w:rPr>
          <w:rFonts w:ascii="Times New Roman" w:hAnsi="Times New Roman" w:cs="Times New Roman"/>
          <w:color w:val="000000" w:themeColor="text1"/>
          <w:sz w:val="24"/>
          <w:szCs w:val="24"/>
        </w:rPr>
        <w:t>)</w:t>
      </w:r>
      <w:r w:rsidRPr="00A50139">
        <w:rPr>
          <w:rFonts w:ascii="Times New Roman" w:hAnsi="Times New Roman" w:cs="Times New Roman"/>
          <w:color w:val="000000" w:themeColor="text1"/>
          <w:sz w:val="24"/>
          <w:szCs w:val="24"/>
        </w:rPr>
        <w:t>, 18, 813–816.</w:t>
      </w:r>
      <w:r w:rsidR="007A5129" w:rsidRPr="00A50139">
        <w:rPr>
          <w:rFonts w:ascii="Times New Roman" w:hAnsi="Times New Roman" w:cs="Times New Roman"/>
          <w:color w:val="000000" w:themeColor="text1"/>
          <w:sz w:val="24"/>
          <w:szCs w:val="24"/>
        </w:rPr>
        <w:t xml:space="preserve"> </w:t>
      </w:r>
      <w:r w:rsidR="007A5129" w:rsidRPr="00A50139">
        <w:rPr>
          <w:rFonts w:ascii="Times New Roman" w:hAnsi="Times New Roman" w:cs="Times New Roman"/>
          <w:sz w:val="24"/>
          <w:szCs w:val="24"/>
        </w:rPr>
        <w:t xml:space="preserve">DOI: 10.1097/WNR.0b013e3280dce5af  </w:t>
      </w:r>
    </w:p>
    <w:p w14:paraId="527A930E" w14:textId="77777777" w:rsidR="007A512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shd w:val="clear" w:color="auto" w:fill="FFFFFF"/>
        </w:rPr>
        <w:t xml:space="preserve">Hu, Z., Su, Y., Jia, J., Bian, X., Gu, Y., </w:t>
      </w:r>
      <w:proofErr w:type="spellStart"/>
      <w:r w:rsidRPr="00A50139">
        <w:rPr>
          <w:rFonts w:ascii="Times New Roman" w:hAnsi="Times New Roman" w:cs="Times New Roman"/>
          <w:color w:val="000000" w:themeColor="text1"/>
          <w:sz w:val="24"/>
          <w:szCs w:val="24"/>
          <w:shd w:val="clear" w:color="auto" w:fill="FFFFFF"/>
        </w:rPr>
        <w:t>Lv</w:t>
      </w:r>
      <w:proofErr w:type="spellEnd"/>
      <w:r w:rsidRPr="00A50139">
        <w:rPr>
          <w:rFonts w:ascii="Times New Roman" w:hAnsi="Times New Roman" w:cs="Times New Roman"/>
          <w:color w:val="000000" w:themeColor="text1"/>
          <w:sz w:val="24"/>
          <w:szCs w:val="24"/>
          <w:shd w:val="clear" w:color="auto" w:fill="FFFFFF"/>
        </w:rPr>
        <w:t xml:space="preserve">, G., </w:t>
      </w:r>
      <w:r w:rsidR="007A5129" w:rsidRPr="00A50139">
        <w:rPr>
          <w:rFonts w:ascii="Times New Roman" w:hAnsi="Times New Roman" w:cs="Times New Roman"/>
          <w:color w:val="000000" w:themeColor="text1"/>
          <w:sz w:val="24"/>
          <w:szCs w:val="24"/>
          <w:shd w:val="clear" w:color="auto" w:fill="FFFFFF"/>
        </w:rPr>
        <w:t xml:space="preserve">Chen. S., </w:t>
      </w:r>
      <w:r w:rsidRPr="00A50139">
        <w:rPr>
          <w:rFonts w:ascii="Times New Roman" w:hAnsi="Times New Roman" w:cs="Times New Roman"/>
          <w:color w:val="000000" w:themeColor="text1"/>
          <w:sz w:val="24"/>
          <w:szCs w:val="24"/>
          <w:shd w:val="clear" w:color="auto" w:fill="FFFFFF"/>
        </w:rPr>
        <w:t>&amp; Jiang, N. Mulberry–Nutritional Value, Health Benefits, and its Applications in Food, Biomaterials, and Medicine: A Systematic Review with Bibliometric Analysis. </w:t>
      </w:r>
      <w:r w:rsidR="007A5129" w:rsidRPr="00A50139">
        <w:rPr>
          <w:rFonts w:ascii="Times New Roman" w:hAnsi="Times New Roman" w:cs="Times New Roman"/>
          <w:color w:val="001D35"/>
          <w:sz w:val="24"/>
          <w:szCs w:val="24"/>
          <w:shd w:val="clear" w:color="auto" w:fill="FFFFFF"/>
        </w:rPr>
        <w:t>Nat. Prod. Commun.</w:t>
      </w:r>
      <w:r w:rsidRPr="00A50139">
        <w:rPr>
          <w:rFonts w:ascii="Times New Roman" w:hAnsi="Times New Roman" w:cs="Times New Roman"/>
          <w:color w:val="000000" w:themeColor="text1"/>
          <w:sz w:val="24"/>
          <w:szCs w:val="24"/>
          <w:shd w:val="clear" w:color="auto" w:fill="FFFFFF"/>
        </w:rPr>
        <w:t>, </w:t>
      </w:r>
      <w:r w:rsidR="007A5129" w:rsidRPr="00A50139">
        <w:rPr>
          <w:rFonts w:ascii="Times New Roman" w:hAnsi="Times New Roman" w:cs="Times New Roman"/>
          <w:color w:val="000000" w:themeColor="text1"/>
          <w:sz w:val="24"/>
          <w:szCs w:val="24"/>
          <w:shd w:val="clear" w:color="auto" w:fill="FFFFFF"/>
        </w:rPr>
        <w:t xml:space="preserve">(2025). </w:t>
      </w:r>
      <w:r w:rsidRPr="00A50139">
        <w:rPr>
          <w:rFonts w:ascii="Times New Roman" w:hAnsi="Times New Roman" w:cs="Times New Roman"/>
          <w:i/>
          <w:iCs/>
          <w:color w:val="000000" w:themeColor="text1"/>
          <w:sz w:val="24"/>
          <w:szCs w:val="24"/>
          <w:shd w:val="clear" w:color="auto" w:fill="FFFFFF"/>
        </w:rPr>
        <w:t>20</w:t>
      </w:r>
      <w:r w:rsidRPr="00A50139">
        <w:rPr>
          <w:rFonts w:ascii="Times New Roman" w:hAnsi="Times New Roman" w:cs="Times New Roman"/>
          <w:color w:val="000000" w:themeColor="text1"/>
          <w:sz w:val="24"/>
          <w:szCs w:val="24"/>
          <w:shd w:val="clear" w:color="auto" w:fill="FFFFFF"/>
        </w:rPr>
        <w:t>(1),</w:t>
      </w:r>
      <w:r w:rsidR="007A5129" w:rsidRPr="00A50139">
        <w:rPr>
          <w:rFonts w:ascii="Times New Roman" w:hAnsi="Times New Roman" w:cs="Times New Roman"/>
          <w:color w:val="000000" w:themeColor="text1"/>
          <w:sz w:val="24"/>
          <w:szCs w:val="24"/>
          <w:shd w:val="clear" w:color="auto" w:fill="FFFFFF"/>
        </w:rPr>
        <w:t xml:space="preserve"> </w:t>
      </w:r>
    </w:p>
    <w:p w14:paraId="43685C19" w14:textId="77777777" w:rsidR="00EB48E9" w:rsidRPr="00A50139" w:rsidRDefault="0006091B" w:rsidP="00D259D6">
      <w:pPr>
        <w:pStyle w:val="ListParagraph"/>
        <w:spacing w:line="240" w:lineRule="auto"/>
        <w:ind w:firstLine="0"/>
        <w:rPr>
          <w:rFonts w:ascii="Times New Roman" w:hAnsi="Times New Roman" w:cs="Times New Roman"/>
          <w:color w:val="000000" w:themeColor="text1"/>
          <w:sz w:val="24"/>
          <w:szCs w:val="24"/>
        </w:rPr>
      </w:pPr>
      <w:hyperlink r:id="rId84" w:history="1">
        <w:r w:rsidR="007A5129" w:rsidRPr="00A50139">
          <w:rPr>
            <w:rStyle w:val="Hyperlink"/>
            <w:rFonts w:ascii="Times New Roman" w:hAnsi="Times New Roman" w:cs="Times New Roman"/>
            <w:sz w:val="24"/>
            <w:szCs w:val="24"/>
            <w:shd w:val="clear" w:color="auto" w:fill="FFFFFF"/>
          </w:rPr>
          <w:t>https://doi.org/10.1177/1934578X251314698</w:t>
        </w:r>
      </w:hyperlink>
      <w:r w:rsidR="00EB48E9" w:rsidRPr="00A50139">
        <w:rPr>
          <w:rFonts w:ascii="Times New Roman" w:hAnsi="Times New Roman" w:cs="Times New Roman"/>
          <w:color w:val="000000" w:themeColor="text1"/>
          <w:sz w:val="24"/>
          <w:szCs w:val="24"/>
          <w:shd w:val="clear" w:color="auto" w:fill="FFFFFF"/>
        </w:rPr>
        <w:t>.</w:t>
      </w:r>
    </w:p>
    <w:p w14:paraId="15A20706" w14:textId="77777777" w:rsidR="00EB48E9" w:rsidRPr="00A50139" w:rsidRDefault="007A512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Hu, J., </w:t>
      </w:r>
      <w:proofErr w:type="spellStart"/>
      <w:r w:rsidRPr="00A50139">
        <w:rPr>
          <w:rFonts w:ascii="Times New Roman" w:hAnsi="Times New Roman" w:cs="Times New Roman"/>
          <w:color w:val="222222"/>
          <w:sz w:val="24"/>
          <w:szCs w:val="24"/>
          <w:shd w:val="clear" w:color="auto" w:fill="FFFFFF"/>
        </w:rPr>
        <w:t>Vinothkanna</w:t>
      </w:r>
      <w:proofErr w:type="spellEnd"/>
      <w:r w:rsidRPr="00A50139">
        <w:rPr>
          <w:rFonts w:ascii="Times New Roman" w:hAnsi="Times New Roman" w:cs="Times New Roman"/>
          <w:color w:val="222222"/>
          <w:sz w:val="24"/>
          <w:szCs w:val="24"/>
          <w:shd w:val="clear" w:color="auto" w:fill="FFFFFF"/>
        </w:rPr>
        <w:t xml:space="preserve">, A., Wu, M., </w:t>
      </w:r>
      <w:proofErr w:type="spellStart"/>
      <w:r w:rsidRPr="00A50139">
        <w:rPr>
          <w:rFonts w:ascii="Times New Roman" w:hAnsi="Times New Roman" w:cs="Times New Roman"/>
          <w:color w:val="222222"/>
          <w:sz w:val="24"/>
          <w:szCs w:val="24"/>
          <w:shd w:val="clear" w:color="auto" w:fill="FFFFFF"/>
        </w:rPr>
        <w:t>Ekumah</w:t>
      </w:r>
      <w:proofErr w:type="spellEnd"/>
      <w:r w:rsidRPr="00A50139">
        <w:rPr>
          <w:rFonts w:ascii="Times New Roman" w:hAnsi="Times New Roman" w:cs="Times New Roman"/>
          <w:color w:val="222222"/>
          <w:sz w:val="24"/>
          <w:szCs w:val="24"/>
          <w:shd w:val="clear" w:color="auto" w:fill="FFFFFF"/>
        </w:rPr>
        <w:t xml:space="preserve">, J. N., </w:t>
      </w:r>
      <w:proofErr w:type="spellStart"/>
      <w:r w:rsidRPr="00A50139">
        <w:rPr>
          <w:rFonts w:ascii="Times New Roman" w:hAnsi="Times New Roman" w:cs="Times New Roman"/>
          <w:color w:val="222222"/>
          <w:sz w:val="24"/>
          <w:szCs w:val="24"/>
          <w:shd w:val="clear" w:color="auto" w:fill="FFFFFF"/>
        </w:rPr>
        <w:t>Akpabli‐Tsigbe</w:t>
      </w:r>
      <w:proofErr w:type="spellEnd"/>
      <w:r w:rsidRPr="00A50139">
        <w:rPr>
          <w:rFonts w:ascii="Times New Roman" w:hAnsi="Times New Roman" w:cs="Times New Roman"/>
          <w:color w:val="222222"/>
          <w:sz w:val="24"/>
          <w:szCs w:val="24"/>
          <w:shd w:val="clear" w:color="auto" w:fill="FFFFFF"/>
        </w:rPr>
        <w:t>, N. D. K., &amp; Ma, Y</w:t>
      </w:r>
      <w:r w:rsidR="00EB48E9" w:rsidRPr="00A50139">
        <w:rPr>
          <w:rFonts w:ascii="Times New Roman" w:hAnsi="Times New Roman" w:cs="Times New Roman"/>
          <w:color w:val="000000" w:themeColor="text1"/>
          <w:sz w:val="24"/>
          <w:szCs w:val="24"/>
        </w:rPr>
        <w:t xml:space="preserve">. Tracking the dynamic changes of a </w:t>
      </w:r>
      <w:proofErr w:type="spellStart"/>
      <w:r w:rsidR="00EB48E9" w:rsidRPr="00A50139">
        <w:rPr>
          <w:rFonts w:ascii="Times New Roman" w:hAnsi="Times New Roman" w:cs="Times New Roman"/>
          <w:color w:val="000000" w:themeColor="text1"/>
          <w:sz w:val="24"/>
          <w:szCs w:val="24"/>
        </w:rPr>
        <w:t>ﬂavor</w:t>
      </w:r>
      <w:proofErr w:type="spellEnd"/>
      <w:r w:rsidR="00EB48E9" w:rsidRPr="00A50139">
        <w:rPr>
          <w:rFonts w:ascii="Times New Roman" w:hAnsi="Times New Roman" w:cs="Times New Roman"/>
          <w:color w:val="000000" w:themeColor="text1"/>
          <w:sz w:val="24"/>
          <w:szCs w:val="24"/>
        </w:rPr>
        <w:t xml:space="preserve">, phenolic proﬁle, and antioxidant properties of Lactiplantibacillus plantarum- and Saccharomyces </w:t>
      </w:r>
      <w:proofErr w:type="spellStart"/>
      <w:r w:rsidR="00EB48E9" w:rsidRPr="00A50139">
        <w:rPr>
          <w:rFonts w:ascii="Times New Roman" w:hAnsi="Times New Roman" w:cs="Times New Roman"/>
          <w:color w:val="000000" w:themeColor="text1"/>
          <w:sz w:val="24"/>
          <w:szCs w:val="24"/>
        </w:rPr>
        <w:t>cerevisiaefermented</w:t>
      </w:r>
      <w:proofErr w:type="spellEnd"/>
      <w:r w:rsidR="00EB48E9" w:rsidRPr="00A50139">
        <w:rPr>
          <w:rFonts w:ascii="Times New Roman" w:hAnsi="Times New Roman" w:cs="Times New Roman"/>
          <w:color w:val="000000" w:themeColor="text1"/>
          <w:sz w:val="24"/>
          <w:szCs w:val="24"/>
        </w:rPr>
        <w:t xml:space="preserve"> mulberry wine. Food Sci </w:t>
      </w:r>
      <w:proofErr w:type="spellStart"/>
      <w:r w:rsidR="00EB48E9" w:rsidRPr="00A50139">
        <w:rPr>
          <w:rFonts w:ascii="Times New Roman" w:hAnsi="Times New Roman" w:cs="Times New Roman"/>
          <w:color w:val="000000" w:themeColor="text1"/>
          <w:sz w:val="24"/>
          <w:szCs w:val="24"/>
        </w:rPr>
        <w:t>Nutr</w:t>
      </w:r>
      <w:proofErr w:type="spellEnd"/>
      <w:r w:rsidR="00EB48E9" w:rsidRPr="00A50139">
        <w:rPr>
          <w:rFonts w:ascii="Times New Roman" w:hAnsi="Times New Roman" w:cs="Times New Roman"/>
          <w:color w:val="000000" w:themeColor="text1"/>
          <w:sz w:val="24"/>
          <w:szCs w:val="24"/>
        </w:rPr>
        <w:t>. 2021;</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 xml:space="preserve">9(11):6294-6306. </w:t>
      </w:r>
      <w:hyperlink r:id="rId85" w:history="1">
        <w:r w:rsidRPr="00A50139">
          <w:rPr>
            <w:rStyle w:val="Hyperlink"/>
            <w:rFonts w:ascii="Times New Roman" w:hAnsi="Times New Roman" w:cs="Times New Roman"/>
            <w:b/>
            <w:bCs/>
            <w:color w:val="123D80"/>
            <w:sz w:val="24"/>
            <w:szCs w:val="24"/>
            <w:shd w:val="clear" w:color="auto" w:fill="FFFFFF"/>
          </w:rPr>
          <w:t>https://doi.org/10.1002/fsn3.2590</w:t>
        </w:r>
      </w:hyperlink>
    </w:p>
    <w:p w14:paraId="03F41FCA" w14:textId="77777777" w:rsidR="00972CF3"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He Y, Liu G, Xia C, </w:t>
      </w:r>
      <w:r w:rsidR="00972CF3" w:rsidRPr="00A50139">
        <w:rPr>
          <w:rFonts w:ascii="Times New Roman" w:hAnsi="Times New Roman" w:cs="Times New Roman"/>
          <w:color w:val="222222"/>
          <w:sz w:val="24"/>
          <w:szCs w:val="24"/>
          <w:shd w:val="clear" w:color="auto" w:fill="FFFFFF"/>
        </w:rPr>
        <w:t>Chen, J., Zhao, J., Li, X., Deng, J., Wang, X., Xiang, Z., and Peng Zeng.</w:t>
      </w:r>
      <w:r w:rsidR="00972CF3"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 xml:space="preserve">Laxative effect of mulberry ferment on two models of constipated mice. J </w:t>
      </w:r>
      <w:proofErr w:type="spellStart"/>
      <w:r w:rsidRPr="00A50139">
        <w:rPr>
          <w:rFonts w:ascii="Times New Roman" w:hAnsi="Times New Roman" w:cs="Times New Roman"/>
          <w:color w:val="000000" w:themeColor="text1"/>
          <w:sz w:val="24"/>
          <w:szCs w:val="24"/>
        </w:rPr>
        <w:t>Funct</w:t>
      </w:r>
      <w:proofErr w:type="spellEnd"/>
      <w:r w:rsidRPr="00A50139">
        <w:rPr>
          <w:rFonts w:ascii="Times New Roman" w:hAnsi="Times New Roman" w:cs="Times New Roman"/>
          <w:color w:val="000000" w:themeColor="text1"/>
          <w:sz w:val="24"/>
          <w:szCs w:val="24"/>
        </w:rPr>
        <w:t xml:space="preserve"> Foods. 2022;</w:t>
      </w:r>
      <w:r w:rsidR="00972CF3"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 xml:space="preserve">90:104971. </w:t>
      </w:r>
      <w:hyperlink r:id="rId86" w:tgtFrame="_blank" w:tooltip="Persistent link using digital object identifier" w:history="1">
        <w:r w:rsidR="00972CF3" w:rsidRPr="00A50139">
          <w:rPr>
            <w:rStyle w:val="anchor-text"/>
            <w:rFonts w:ascii="Times New Roman" w:hAnsi="Times New Roman" w:cs="Times New Roman"/>
            <w:color w:val="0272B1"/>
            <w:sz w:val="24"/>
            <w:szCs w:val="24"/>
          </w:rPr>
          <w:t>https://doi.org/10.1016/j.jff.2022.104971</w:t>
        </w:r>
      </w:hyperlink>
      <w:r w:rsidR="00972CF3" w:rsidRPr="00A50139">
        <w:rPr>
          <w:rFonts w:ascii="Times New Roman" w:hAnsi="Times New Roman" w:cs="Times New Roman"/>
          <w:color w:val="000000" w:themeColor="text1"/>
          <w:sz w:val="24"/>
          <w:szCs w:val="24"/>
        </w:rPr>
        <w:t xml:space="preserve"> </w:t>
      </w:r>
    </w:p>
    <w:p w14:paraId="47743B1C" w14:textId="77777777" w:rsidR="00EB48E9" w:rsidRPr="00A50139" w:rsidRDefault="00972CF3"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222222"/>
          <w:sz w:val="24"/>
          <w:szCs w:val="24"/>
          <w:shd w:val="clear" w:color="auto" w:fill="FFFFFF"/>
        </w:rPr>
        <w:t>Szydłowska</w:t>
      </w:r>
      <w:proofErr w:type="spellEnd"/>
      <w:r w:rsidRPr="00A50139">
        <w:rPr>
          <w:rFonts w:ascii="Times New Roman" w:hAnsi="Times New Roman" w:cs="Times New Roman"/>
          <w:color w:val="222222"/>
          <w:sz w:val="24"/>
          <w:szCs w:val="24"/>
          <w:shd w:val="clear" w:color="auto" w:fill="FFFFFF"/>
        </w:rPr>
        <w:t xml:space="preserve">, A., Zielińska, D., </w:t>
      </w:r>
      <w:proofErr w:type="spellStart"/>
      <w:r w:rsidRPr="00A50139">
        <w:rPr>
          <w:rFonts w:ascii="Times New Roman" w:hAnsi="Times New Roman" w:cs="Times New Roman"/>
          <w:color w:val="222222"/>
          <w:sz w:val="24"/>
          <w:szCs w:val="24"/>
          <w:shd w:val="clear" w:color="auto" w:fill="FFFFFF"/>
        </w:rPr>
        <w:t>Sionek</w:t>
      </w:r>
      <w:proofErr w:type="spellEnd"/>
      <w:r w:rsidRPr="00A50139">
        <w:rPr>
          <w:rFonts w:ascii="Times New Roman" w:hAnsi="Times New Roman" w:cs="Times New Roman"/>
          <w:color w:val="222222"/>
          <w:sz w:val="24"/>
          <w:szCs w:val="24"/>
          <w:shd w:val="clear" w:color="auto" w:fill="FFFFFF"/>
        </w:rPr>
        <w:t xml:space="preserve">, B., &amp; </w:t>
      </w:r>
      <w:proofErr w:type="spellStart"/>
      <w:r w:rsidRPr="00A50139">
        <w:rPr>
          <w:rFonts w:ascii="Times New Roman" w:hAnsi="Times New Roman" w:cs="Times New Roman"/>
          <w:color w:val="222222"/>
          <w:sz w:val="24"/>
          <w:szCs w:val="24"/>
          <w:shd w:val="clear" w:color="auto" w:fill="FFFFFF"/>
        </w:rPr>
        <w:t>Kołożyn-Krajewska</w:t>
      </w:r>
      <w:proofErr w:type="spellEnd"/>
      <w:r w:rsidRPr="00A50139">
        <w:rPr>
          <w:rFonts w:ascii="Times New Roman" w:hAnsi="Times New Roman" w:cs="Times New Roman"/>
          <w:color w:val="222222"/>
          <w:sz w:val="24"/>
          <w:szCs w:val="24"/>
          <w:shd w:val="clear" w:color="auto" w:fill="FFFFFF"/>
        </w:rPr>
        <w:t>, D.</w:t>
      </w:r>
      <w:r w:rsidR="00EB48E9" w:rsidRPr="00A50139">
        <w:rPr>
          <w:rFonts w:ascii="Times New Roman" w:hAnsi="Times New Roman" w:cs="Times New Roman"/>
          <w:color w:val="000000" w:themeColor="text1"/>
          <w:sz w:val="24"/>
          <w:szCs w:val="24"/>
        </w:rPr>
        <w:t xml:space="preserve"> The mulberry juice fermented by </w:t>
      </w:r>
      <w:proofErr w:type="spellStart"/>
      <w:r w:rsidR="00EB48E9" w:rsidRPr="00A50139">
        <w:rPr>
          <w:rFonts w:ascii="Times New Roman" w:hAnsi="Times New Roman" w:cs="Times New Roman"/>
          <w:color w:val="000000" w:themeColor="text1"/>
          <w:sz w:val="24"/>
          <w:szCs w:val="24"/>
        </w:rPr>
        <w:t>lactiplantibacillus</w:t>
      </w:r>
      <w:proofErr w:type="spellEnd"/>
      <w:r w:rsidR="00EB48E9" w:rsidRPr="00A50139">
        <w:rPr>
          <w:rFonts w:ascii="Times New Roman" w:hAnsi="Times New Roman" w:cs="Times New Roman"/>
          <w:color w:val="000000" w:themeColor="text1"/>
          <w:sz w:val="24"/>
          <w:szCs w:val="24"/>
        </w:rPr>
        <w:t xml:space="preserve"> plantarum O21: the functional ingredient in the formulations of fruity jellies based on</w:t>
      </w:r>
      <w:r w:rsidRPr="00A50139">
        <w:rPr>
          <w:rFonts w:ascii="Times New Roman" w:hAnsi="Times New Roman" w:cs="Times New Roman"/>
          <w:color w:val="000000" w:themeColor="text1"/>
          <w:sz w:val="24"/>
          <w:szCs w:val="24"/>
        </w:rPr>
        <w:t xml:space="preserve"> different gelling agents</w:t>
      </w:r>
      <w:r w:rsidR="00EB48E9" w:rsidRPr="00A50139">
        <w:rPr>
          <w:rFonts w:ascii="Times New Roman" w:hAnsi="Times New Roman" w:cs="Times New Roman"/>
          <w:color w:val="000000" w:themeColor="text1"/>
          <w:sz w:val="24"/>
          <w:szCs w:val="24"/>
        </w:rPr>
        <w:t>. Appl. Sci. 2023;</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 xml:space="preserve">13(23):12780. </w:t>
      </w:r>
      <w:hyperlink r:id="rId87" w:history="1">
        <w:r w:rsidRPr="00A50139">
          <w:rPr>
            <w:rStyle w:val="Hyperlink"/>
            <w:rFonts w:ascii="Times New Roman" w:hAnsi="Times New Roman" w:cs="Times New Roman"/>
            <w:b/>
            <w:bCs/>
            <w:color w:val="4F5671"/>
            <w:sz w:val="24"/>
            <w:szCs w:val="24"/>
            <w:shd w:val="clear" w:color="auto" w:fill="FFFFFF"/>
          </w:rPr>
          <w:t>https://doi.org/10.3390/app132312780</w:t>
        </w:r>
      </w:hyperlink>
    </w:p>
    <w:p w14:paraId="510C79E3" w14:textId="77777777" w:rsidR="007D093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Dey, P., Dey, P., Hoque, M. B., Baria, B., Rahma</w:t>
      </w:r>
      <w:r w:rsidR="007D0939" w:rsidRPr="00A50139">
        <w:rPr>
          <w:rFonts w:ascii="Times New Roman" w:hAnsi="Times New Roman" w:cs="Times New Roman"/>
          <w:color w:val="000000" w:themeColor="text1"/>
          <w:sz w:val="24"/>
          <w:szCs w:val="24"/>
          <w:shd w:val="clear" w:color="auto" w:fill="FFFFFF"/>
        </w:rPr>
        <w:t xml:space="preserve">n, M. M., Shovon, S., &amp; Das, D. </w:t>
      </w:r>
      <w:r w:rsidRPr="00A50139">
        <w:rPr>
          <w:rFonts w:ascii="Times New Roman" w:hAnsi="Times New Roman" w:cs="Times New Roman"/>
          <w:color w:val="000000" w:themeColor="text1"/>
          <w:sz w:val="24"/>
          <w:szCs w:val="24"/>
          <w:shd w:val="clear" w:color="auto" w:fill="FFFFFF"/>
        </w:rPr>
        <w:t>Sustainable and eco-friendly natural dyes: a holistic review on sources, extraction, and application prospects. </w:t>
      </w:r>
      <w:r w:rsidR="007D0939" w:rsidRPr="00A50139">
        <w:rPr>
          <w:rFonts w:ascii="Times New Roman" w:hAnsi="Times New Roman" w:cs="Times New Roman"/>
          <w:color w:val="001D35"/>
          <w:sz w:val="24"/>
          <w:szCs w:val="24"/>
          <w:shd w:val="clear" w:color="auto" w:fill="FFFFFF"/>
        </w:rPr>
        <w:t>Text. Res. J.</w:t>
      </w:r>
      <w:r w:rsidRPr="00A50139">
        <w:rPr>
          <w:rFonts w:ascii="Times New Roman" w:hAnsi="Times New Roman" w:cs="Times New Roman"/>
          <w:color w:val="000000" w:themeColor="text1"/>
          <w:sz w:val="24"/>
          <w:szCs w:val="24"/>
          <w:shd w:val="clear" w:color="auto" w:fill="FFFFFF"/>
        </w:rPr>
        <w:t>,</w:t>
      </w:r>
      <w:r w:rsidR="007D0939" w:rsidRPr="00A50139">
        <w:rPr>
          <w:rFonts w:ascii="Times New Roman" w:hAnsi="Times New Roman" w:cs="Times New Roman"/>
          <w:color w:val="000000" w:themeColor="text1"/>
          <w:sz w:val="24"/>
          <w:szCs w:val="24"/>
          <w:shd w:val="clear" w:color="auto" w:fill="FFFFFF"/>
        </w:rPr>
        <w:t xml:space="preserve"> (2025). </w:t>
      </w:r>
      <w:r w:rsidR="007D0939" w:rsidRPr="00A50139">
        <w:rPr>
          <w:rFonts w:ascii="Times New Roman" w:hAnsi="Times New Roman" w:cs="Times New Roman"/>
          <w:color w:val="222222"/>
          <w:sz w:val="24"/>
          <w:szCs w:val="24"/>
          <w:shd w:val="clear" w:color="auto" w:fill="FFFFFF"/>
        </w:rPr>
        <w:t>00405175251321139.</w:t>
      </w:r>
      <w:r w:rsidRPr="00A50139">
        <w:rPr>
          <w:rFonts w:ascii="Times New Roman" w:hAnsi="Times New Roman" w:cs="Times New Roman"/>
          <w:color w:val="000000" w:themeColor="text1"/>
          <w:sz w:val="24"/>
          <w:szCs w:val="24"/>
          <w:shd w:val="clear" w:color="auto" w:fill="FFFFFF"/>
        </w:rPr>
        <w:t xml:space="preserve"> </w:t>
      </w:r>
      <w:hyperlink r:id="rId88" w:history="1">
        <w:r w:rsidR="007D0939" w:rsidRPr="00A50139">
          <w:rPr>
            <w:rStyle w:val="Hyperlink"/>
            <w:rFonts w:ascii="Times New Roman" w:hAnsi="Times New Roman" w:cs="Times New Roman"/>
            <w:color w:val="1554B2"/>
            <w:sz w:val="24"/>
            <w:szCs w:val="24"/>
            <w:shd w:val="clear" w:color="auto" w:fill="FFFFFF"/>
          </w:rPr>
          <w:t>https://doi.org/10.1177/00405175251321139</w:t>
        </w:r>
      </w:hyperlink>
    </w:p>
    <w:p w14:paraId="66ACD5B3" w14:textId="77777777" w:rsidR="00EB48E9" w:rsidRPr="00A50139" w:rsidRDefault="007D093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Li, N., Zhou, Z., Wu, F., Lu, Y., Jiang, D., Zhong, L., &amp; Xie, F.</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 xml:space="preserve">Development of pH-indicative and antimicrobial ﬁlms based on polyvinyl alcohol/starch incorporated with ethyl </w:t>
      </w:r>
      <w:proofErr w:type="spellStart"/>
      <w:r w:rsidR="00EB48E9" w:rsidRPr="00A50139">
        <w:rPr>
          <w:rFonts w:ascii="Times New Roman" w:hAnsi="Times New Roman" w:cs="Times New Roman"/>
          <w:color w:val="000000" w:themeColor="text1"/>
          <w:sz w:val="24"/>
          <w:szCs w:val="24"/>
        </w:rPr>
        <w:t>lauroyl</w:t>
      </w:r>
      <w:proofErr w:type="spellEnd"/>
      <w:r w:rsidR="00EB48E9" w:rsidRPr="00A50139">
        <w:rPr>
          <w:rFonts w:ascii="Times New Roman" w:hAnsi="Times New Roman" w:cs="Times New Roman"/>
          <w:color w:val="000000" w:themeColor="text1"/>
          <w:sz w:val="24"/>
          <w:szCs w:val="24"/>
        </w:rPr>
        <w:t xml:space="preserve"> </w:t>
      </w:r>
      <w:proofErr w:type="spellStart"/>
      <w:r w:rsidR="00EB48E9" w:rsidRPr="00A50139">
        <w:rPr>
          <w:rFonts w:ascii="Times New Roman" w:hAnsi="Times New Roman" w:cs="Times New Roman"/>
          <w:color w:val="000000" w:themeColor="text1"/>
          <w:sz w:val="24"/>
          <w:szCs w:val="24"/>
        </w:rPr>
        <w:t>arginate</w:t>
      </w:r>
      <w:proofErr w:type="spellEnd"/>
      <w:r w:rsidR="00EB48E9" w:rsidRPr="00A50139">
        <w:rPr>
          <w:rFonts w:ascii="Times New Roman" w:hAnsi="Times New Roman" w:cs="Times New Roman"/>
          <w:color w:val="000000" w:themeColor="text1"/>
          <w:sz w:val="24"/>
          <w:szCs w:val="24"/>
        </w:rPr>
        <w:t xml:space="preserve"> and mulberry anthocy</w:t>
      </w:r>
      <w:r w:rsidRPr="00A50139">
        <w:rPr>
          <w:rFonts w:ascii="Times New Roman" w:hAnsi="Times New Roman" w:cs="Times New Roman"/>
          <w:color w:val="000000" w:themeColor="text1"/>
          <w:sz w:val="24"/>
          <w:szCs w:val="24"/>
        </w:rPr>
        <w:t>anin for active packaging</w:t>
      </w:r>
      <w:r w:rsidR="00EB48E9" w:rsidRPr="00A50139">
        <w:rPr>
          <w:rFonts w:ascii="Times New Roman" w:hAnsi="Times New Roman" w:cs="Times New Roman"/>
          <w:color w:val="000000" w:themeColor="text1"/>
          <w:sz w:val="24"/>
          <w:szCs w:val="24"/>
        </w:rPr>
        <w:t>. Coatings. 2022;</w:t>
      </w:r>
      <w:r w:rsidRPr="00A50139">
        <w:rPr>
          <w:rFonts w:ascii="Times New Roman" w:hAnsi="Times New Roman" w:cs="Times New Roman"/>
          <w:color w:val="000000" w:themeColor="text1"/>
          <w:sz w:val="24"/>
          <w:szCs w:val="24"/>
        </w:rPr>
        <w:t xml:space="preserve"> </w:t>
      </w:r>
      <w:r w:rsidR="00EB48E9" w:rsidRPr="00A50139">
        <w:rPr>
          <w:rFonts w:ascii="Times New Roman" w:hAnsi="Times New Roman" w:cs="Times New Roman"/>
          <w:color w:val="000000" w:themeColor="text1"/>
          <w:sz w:val="24"/>
          <w:szCs w:val="24"/>
        </w:rPr>
        <w:t xml:space="preserve">12(10):1392. </w:t>
      </w:r>
      <w:r w:rsidRPr="00A50139">
        <w:rPr>
          <w:rFonts w:ascii="Times New Roman" w:hAnsi="Times New Roman" w:cs="Times New Roman"/>
          <w:color w:val="222222"/>
          <w:sz w:val="24"/>
          <w:szCs w:val="24"/>
          <w:shd w:val="clear" w:color="auto" w:fill="FFFFFF"/>
        </w:rPr>
        <w:t> </w:t>
      </w:r>
      <w:hyperlink r:id="rId89" w:history="1">
        <w:r w:rsidRPr="00A50139">
          <w:rPr>
            <w:rStyle w:val="Hyperlink"/>
            <w:rFonts w:ascii="Times New Roman" w:hAnsi="Times New Roman" w:cs="Times New Roman"/>
            <w:b/>
            <w:bCs/>
            <w:color w:val="4F5671"/>
            <w:sz w:val="24"/>
            <w:szCs w:val="24"/>
            <w:shd w:val="clear" w:color="auto" w:fill="FFFFFF"/>
          </w:rPr>
          <w:t>https://doi.org/10.3390/coatings12101392</w:t>
        </w:r>
      </w:hyperlink>
    </w:p>
    <w:p w14:paraId="0F8F24DF" w14:textId="77777777" w:rsidR="00EB48E9" w:rsidRPr="00A50139" w:rsidRDefault="007D093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proofErr w:type="spellStart"/>
      <w:r w:rsidRPr="00A50139">
        <w:rPr>
          <w:rFonts w:ascii="Times New Roman" w:hAnsi="Times New Roman" w:cs="Times New Roman"/>
          <w:color w:val="222222"/>
          <w:sz w:val="24"/>
          <w:szCs w:val="24"/>
          <w:shd w:val="clear" w:color="auto" w:fill="FFFFFF"/>
        </w:rPr>
        <w:t>Thukham-Mee</w:t>
      </w:r>
      <w:proofErr w:type="spellEnd"/>
      <w:r w:rsidRPr="00A50139">
        <w:rPr>
          <w:rFonts w:ascii="Times New Roman" w:hAnsi="Times New Roman" w:cs="Times New Roman"/>
          <w:color w:val="222222"/>
          <w:sz w:val="24"/>
          <w:szCs w:val="24"/>
          <w:shd w:val="clear" w:color="auto" w:fill="FFFFFF"/>
        </w:rPr>
        <w:t xml:space="preserve">, W., </w:t>
      </w:r>
      <w:proofErr w:type="spellStart"/>
      <w:r w:rsidRPr="00A50139">
        <w:rPr>
          <w:rFonts w:ascii="Times New Roman" w:hAnsi="Times New Roman" w:cs="Times New Roman"/>
          <w:color w:val="222222"/>
          <w:sz w:val="24"/>
          <w:szCs w:val="24"/>
          <w:shd w:val="clear" w:color="auto" w:fill="FFFFFF"/>
        </w:rPr>
        <w:t>Wattanathorn</w:t>
      </w:r>
      <w:proofErr w:type="spellEnd"/>
      <w:r w:rsidRPr="00A50139">
        <w:rPr>
          <w:rFonts w:ascii="Times New Roman" w:hAnsi="Times New Roman" w:cs="Times New Roman"/>
          <w:color w:val="222222"/>
          <w:sz w:val="24"/>
          <w:szCs w:val="24"/>
          <w:shd w:val="clear" w:color="auto" w:fill="FFFFFF"/>
        </w:rPr>
        <w:t xml:space="preserve">, J., </w:t>
      </w:r>
      <w:proofErr w:type="spellStart"/>
      <w:r w:rsidRPr="00A50139">
        <w:rPr>
          <w:rFonts w:ascii="Times New Roman" w:hAnsi="Times New Roman" w:cs="Times New Roman"/>
          <w:color w:val="222222"/>
          <w:sz w:val="24"/>
          <w:szCs w:val="24"/>
          <w:shd w:val="clear" w:color="auto" w:fill="FFFFFF"/>
        </w:rPr>
        <w:t>Paholpak</w:t>
      </w:r>
      <w:proofErr w:type="spellEnd"/>
      <w:r w:rsidRPr="00A50139">
        <w:rPr>
          <w:rFonts w:ascii="Times New Roman" w:hAnsi="Times New Roman" w:cs="Times New Roman"/>
          <w:color w:val="222222"/>
          <w:sz w:val="24"/>
          <w:szCs w:val="24"/>
          <w:shd w:val="clear" w:color="auto" w:fill="FFFFFF"/>
        </w:rPr>
        <w:t xml:space="preserve">, P., </w:t>
      </w:r>
      <w:proofErr w:type="spellStart"/>
      <w:r w:rsidRPr="00A50139">
        <w:rPr>
          <w:rFonts w:ascii="Times New Roman" w:hAnsi="Times New Roman" w:cs="Times New Roman"/>
          <w:color w:val="222222"/>
          <w:sz w:val="24"/>
          <w:szCs w:val="24"/>
          <w:shd w:val="clear" w:color="auto" w:fill="FFFFFF"/>
        </w:rPr>
        <w:t>Ransikachi</w:t>
      </w:r>
      <w:proofErr w:type="spellEnd"/>
      <w:r w:rsidRPr="00A50139">
        <w:rPr>
          <w:rFonts w:ascii="Times New Roman" w:hAnsi="Times New Roman" w:cs="Times New Roman"/>
          <w:color w:val="222222"/>
          <w:sz w:val="24"/>
          <w:szCs w:val="24"/>
          <w:shd w:val="clear" w:color="auto" w:fill="FFFFFF"/>
        </w:rPr>
        <w:t xml:space="preserve">, P., &amp; </w:t>
      </w:r>
      <w:proofErr w:type="spellStart"/>
      <w:r w:rsidRPr="00A50139">
        <w:rPr>
          <w:rFonts w:ascii="Times New Roman" w:hAnsi="Times New Roman" w:cs="Times New Roman"/>
          <w:color w:val="222222"/>
          <w:sz w:val="24"/>
          <w:szCs w:val="24"/>
          <w:shd w:val="clear" w:color="auto" w:fill="FFFFFF"/>
        </w:rPr>
        <w:t>Piyavhatkul</w:t>
      </w:r>
      <w:proofErr w:type="spellEnd"/>
      <w:r w:rsidRPr="00A50139">
        <w:rPr>
          <w:rFonts w:ascii="Times New Roman" w:hAnsi="Times New Roman" w:cs="Times New Roman"/>
          <w:color w:val="222222"/>
          <w:sz w:val="24"/>
          <w:szCs w:val="24"/>
          <w:shd w:val="clear" w:color="auto" w:fill="FFFFFF"/>
        </w:rPr>
        <w:t>, N.</w:t>
      </w:r>
      <w:r w:rsidR="00EB48E9" w:rsidRPr="00A50139">
        <w:rPr>
          <w:rFonts w:ascii="Times New Roman" w:hAnsi="Times New Roman" w:cs="Times New Roman"/>
          <w:color w:val="000000" w:themeColor="text1"/>
          <w:sz w:val="24"/>
          <w:szCs w:val="24"/>
        </w:rPr>
        <w:t xml:space="preserve"> The positive modulation effect of a 6-week consumption of an </w:t>
      </w:r>
      <w:proofErr w:type="spellStart"/>
      <w:r w:rsidR="00EB48E9" w:rsidRPr="00A50139">
        <w:rPr>
          <w:rFonts w:ascii="Times New Roman" w:hAnsi="Times New Roman" w:cs="Times New Roman"/>
          <w:color w:val="000000" w:themeColor="text1"/>
          <w:sz w:val="24"/>
          <w:szCs w:val="24"/>
        </w:rPr>
        <w:t>anthocyaninrich</w:t>
      </w:r>
      <w:proofErr w:type="spellEnd"/>
      <w:r w:rsidR="00EB48E9" w:rsidRPr="00A50139">
        <w:rPr>
          <w:rFonts w:ascii="Times New Roman" w:hAnsi="Times New Roman" w:cs="Times New Roman"/>
          <w:color w:val="000000" w:themeColor="text1"/>
          <w:sz w:val="24"/>
          <w:szCs w:val="24"/>
        </w:rPr>
        <w:t xml:space="preserve"> mulberry milk on working memory, cholinergic, and monoaminergic functions in healthy working-age adults. Oxid Med Cell Longevity. 2021;</w:t>
      </w:r>
      <w:r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222222"/>
          <w:sz w:val="24"/>
          <w:szCs w:val="24"/>
          <w:shd w:val="clear" w:color="auto" w:fill="FFFFFF"/>
        </w:rPr>
        <w:t>no. 1 (2021): 5520059.</w:t>
      </w:r>
      <w:r w:rsidR="006572F9" w:rsidRPr="00A50139">
        <w:rPr>
          <w:rFonts w:ascii="Times New Roman" w:hAnsi="Times New Roman" w:cs="Times New Roman"/>
          <w:color w:val="222222"/>
          <w:sz w:val="24"/>
          <w:szCs w:val="24"/>
          <w:shd w:val="clear" w:color="auto" w:fill="FFFFFF"/>
        </w:rPr>
        <w:t xml:space="preserve"> </w:t>
      </w:r>
      <w:hyperlink r:id="rId90" w:history="1">
        <w:r w:rsidRPr="00A50139">
          <w:rPr>
            <w:rStyle w:val="Hyperlink"/>
            <w:rFonts w:ascii="Times New Roman" w:hAnsi="Times New Roman" w:cs="Times New Roman"/>
            <w:b/>
            <w:bCs/>
            <w:color w:val="123D80"/>
            <w:sz w:val="24"/>
            <w:szCs w:val="24"/>
            <w:shd w:val="clear" w:color="auto" w:fill="FFFFFF"/>
          </w:rPr>
          <w:t>https://doi.org/10.1155/2021/5520059</w:t>
        </w:r>
      </w:hyperlink>
    </w:p>
    <w:p w14:paraId="0186479F" w14:textId="77777777"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Sheikh S, Siddique F, Ameer K, </w:t>
      </w:r>
      <w:r w:rsidR="006572F9" w:rsidRPr="00A50139">
        <w:rPr>
          <w:rFonts w:ascii="Times New Roman" w:hAnsi="Times New Roman" w:cs="Times New Roman"/>
          <w:color w:val="222222"/>
          <w:sz w:val="24"/>
          <w:szCs w:val="24"/>
          <w:shd w:val="clear" w:color="auto" w:fill="FFFFFF"/>
        </w:rPr>
        <w:t xml:space="preserve">Ahmad, R. S., Hameed, A., </w:t>
      </w:r>
      <w:proofErr w:type="spellStart"/>
      <w:r w:rsidR="006572F9" w:rsidRPr="00A50139">
        <w:rPr>
          <w:rFonts w:ascii="Times New Roman" w:hAnsi="Times New Roman" w:cs="Times New Roman"/>
          <w:color w:val="222222"/>
          <w:sz w:val="24"/>
          <w:szCs w:val="24"/>
          <w:shd w:val="clear" w:color="auto" w:fill="FFFFFF"/>
        </w:rPr>
        <w:t>Ebad</w:t>
      </w:r>
      <w:proofErr w:type="spellEnd"/>
      <w:r w:rsidR="006572F9" w:rsidRPr="00A50139">
        <w:rPr>
          <w:rFonts w:ascii="Times New Roman" w:hAnsi="Times New Roman" w:cs="Times New Roman"/>
          <w:color w:val="222222"/>
          <w:sz w:val="24"/>
          <w:szCs w:val="24"/>
          <w:shd w:val="clear" w:color="auto" w:fill="FFFFFF"/>
        </w:rPr>
        <w:t>, A., Ahmed I. A, M., and Shibli. S.,</w:t>
      </w:r>
      <w:r w:rsidRPr="00A50139">
        <w:rPr>
          <w:rFonts w:ascii="Times New Roman" w:hAnsi="Times New Roman" w:cs="Times New Roman"/>
          <w:color w:val="000000" w:themeColor="text1"/>
          <w:sz w:val="24"/>
          <w:szCs w:val="24"/>
        </w:rPr>
        <w:t xml:space="preserve"> Effects of white mulberry powder fortiﬁcation on antioxidant activity, physicochemical, microbial and sensorial properties of yogurt produced from b</w:t>
      </w:r>
      <w:r w:rsidR="006572F9" w:rsidRPr="00A50139">
        <w:rPr>
          <w:rFonts w:ascii="Times New Roman" w:hAnsi="Times New Roman" w:cs="Times New Roman"/>
          <w:color w:val="000000" w:themeColor="text1"/>
          <w:sz w:val="24"/>
          <w:szCs w:val="24"/>
        </w:rPr>
        <w:t xml:space="preserve">uffalo milk. Food Sci </w:t>
      </w:r>
      <w:proofErr w:type="spellStart"/>
      <w:r w:rsidR="006572F9" w:rsidRPr="00A50139">
        <w:rPr>
          <w:rFonts w:ascii="Times New Roman" w:hAnsi="Times New Roman" w:cs="Times New Roman"/>
          <w:color w:val="000000" w:themeColor="text1"/>
          <w:sz w:val="24"/>
          <w:szCs w:val="24"/>
        </w:rPr>
        <w:t>Nutr</w:t>
      </w:r>
      <w:proofErr w:type="spellEnd"/>
      <w:r w:rsidR="006572F9" w:rsidRPr="00A50139">
        <w:rPr>
          <w:rFonts w:ascii="Times New Roman" w:hAnsi="Times New Roman" w:cs="Times New Roman"/>
          <w:color w:val="000000" w:themeColor="text1"/>
          <w:sz w:val="24"/>
          <w:szCs w:val="24"/>
        </w:rPr>
        <w:t>. 2022</w:t>
      </w:r>
      <w:r w:rsidRPr="00A50139">
        <w:rPr>
          <w:rFonts w:ascii="Times New Roman" w:hAnsi="Times New Roman" w:cs="Times New Roman"/>
          <w:color w:val="000000" w:themeColor="text1"/>
          <w:sz w:val="24"/>
          <w:szCs w:val="24"/>
        </w:rPr>
        <w:t>;</w:t>
      </w:r>
      <w:r w:rsidR="006572F9"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11(1):</w:t>
      </w:r>
      <w:r w:rsidR="006572F9" w:rsidRPr="00A50139">
        <w:rPr>
          <w:rFonts w:ascii="Times New Roman" w:hAnsi="Times New Roman" w:cs="Times New Roman"/>
          <w:color w:val="000000" w:themeColor="text1"/>
          <w:sz w:val="24"/>
          <w:szCs w:val="24"/>
        </w:rPr>
        <w:t xml:space="preserve"> </w:t>
      </w:r>
      <w:r w:rsidRPr="00A50139">
        <w:rPr>
          <w:rFonts w:ascii="Times New Roman" w:hAnsi="Times New Roman" w:cs="Times New Roman"/>
          <w:color w:val="000000" w:themeColor="text1"/>
          <w:sz w:val="24"/>
          <w:szCs w:val="24"/>
        </w:rPr>
        <w:t xml:space="preserve">204-215. </w:t>
      </w:r>
      <w:hyperlink r:id="rId91" w:history="1">
        <w:r w:rsidR="006572F9" w:rsidRPr="00A50139">
          <w:rPr>
            <w:rStyle w:val="Hyperlink"/>
            <w:rFonts w:ascii="Times New Roman" w:hAnsi="Times New Roman" w:cs="Times New Roman"/>
            <w:b/>
            <w:bCs/>
            <w:color w:val="123D80"/>
            <w:sz w:val="24"/>
            <w:szCs w:val="24"/>
            <w:shd w:val="clear" w:color="auto" w:fill="FFFFFF"/>
          </w:rPr>
          <w:t>https://doi.org/10.1002/fsn3.3053</w:t>
        </w:r>
      </w:hyperlink>
    </w:p>
    <w:p w14:paraId="1776529D" w14:textId="77777777" w:rsidR="00A50139" w:rsidRDefault="00A50139" w:rsidP="00D259D6">
      <w:pPr>
        <w:spacing w:line="240" w:lineRule="auto"/>
        <w:ind w:firstLine="0"/>
        <w:rPr>
          <w:rFonts w:ascii="Times New Roman" w:hAnsi="Times New Roman" w:cs="Times New Roman"/>
          <w:b/>
          <w:color w:val="000000" w:themeColor="text1"/>
          <w:sz w:val="24"/>
          <w:szCs w:val="24"/>
        </w:rPr>
      </w:pPr>
    </w:p>
    <w:p w14:paraId="314C1F30" w14:textId="77777777" w:rsidR="00A50139" w:rsidRDefault="00A50139" w:rsidP="00D259D6">
      <w:pPr>
        <w:spacing w:line="240" w:lineRule="auto"/>
        <w:ind w:firstLine="0"/>
        <w:rPr>
          <w:rFonts w:ascii="Times New Roman" w:hAnsi="Times New Roman" w:cs="Times New Roman"/>
          <w:b/>
          <w:color w:val="000000" w:themeColor="text1"/>
          <w:sz w:val="24"/>
          <w:szCs w:val="24"/>
        </w:rPr>
      </w:pPr>
    </w:p>
    <w:p w14:paraId="505544B9" w14:textId="77777777" w:rsidR="00A50139" w:rsidRDefault="00A50139" w:rsidP="00D259D6">
      <w:pPr>
        <w:spacing w:line="240" w:lineRule="auto"/>
        <w:ind w:firstLine="0"/>
        <w:rPr>
          <w:rFonts w:ascii="Times New Roman" w:hAnsi="Times New Roman" w:cs="Times New Roman"/>
          <w:b/>
          <w:color w:val="000000" w:themeColor="text1"/>
          <w:sz w:val="24"/>
          <w:szCs w:val="24"/>
        </w:rPr>
      </w:pPr>
    </w:p>
    <w:p w14:paraId="723A4BF3" w14:textId="77777777" w:rsidR="00A50139" w:rsidRDefault="00A50139" w:rsidP="00D259D6">
      <w:pPr>
        <w:spacing w:line="240" w:lineRule="auto"/>
        <w:ind w:firstLine="0"/>
        <w:rPr>
          <w:rFonts w:ascii="Times New Roman" w:hAnsi="Times New Roman" w:cs="Times New Roman"/>
          <w:b/>
          <w:color w:val="000000" w:themeColor="text1"/>
          <w:sz w:val="24"/>
          <w:szCs w:val="24"/>
        </w:rPr>
      </w:pPr>
    </w:p>
    <w:p w14:paraId="4180B099" w14:textId="77777777" w:rsidR="00A50139" w:rsidRDefault="00A50139" w:rsidP="00D259D6">
      <w:pPr>
        <w:spacing w:line="240" w:lineRule="auto"/>
        <w:ind w:firstLine="0"/>
        <w:rPr>
          <w:rFonts w:ascii="Times New Roman" w:hAnsi="Times New Roman" w:cs="Times New Roman"/>
          <w:b/>
          <w:color w:val="000000" w:themeColor="text1"/>
          <w:sz w:val="24"/>
          <w:szCs w:val="24"/>
        </w:rPr>
      </w:pPr>
    </w:p>
    <w:p w14:paraId="0103B939" w14:textId="77777777" w:rsidR="00E96F1F" w:rsidRDefault="00E96F1F" w:rsidP="00D259D6">
      <w:pPr>
        <w:spacing w:line="240" w:lineRule="auto"/>
        <w:ind w:firstLine="0"/>
        <w:rPr>
          <w:rFonts w:ascii="Times New Roman" w:hAnsi="Times New Roman" w:cs="Times New Roman"/>
          <w:b/>
          <w:color w:val="000000" w:themeColor="text1"/>
          <w:sz w:val="24"/>
          <w:szCs w:val="24"/>
        </w:rPr>
      </w:pPr>
    </w:p>
    <w:p w14:paraId="06E578CE" w14:textId="77777777" w:rsidR="00E96F1F" w:rsidRDefault="00E96F1F" w:rsidP="00D259D6">
      <w:pPr>
        <w:spacing w:line="240" w:lineRule="auto"/>
        <w:ind w:firstLine="0"/>
        <w:rPr>
          <w:rFonts w:ascii="Times New Roman" w:hAnsi="Times New Roman" w:cs="Times New Roman"/>
          <w:b/>
          <w:color w:val="000000" w:themeColor="text1"/>
          <w:sz w:val="24"/>
          <w:szCs w:val="24"/>
        </w:rPr>
      </w:pPr>
    </w:p>
    <w:p w14:paraId="2C583A0D" w14:textId="77777777" w:rsidR="00E96F1F" w:rsidRDefault="00E96F1F" w:rsidP="00D259D6">
      <w:pPr>
        <w:spacing w:line="240" w:lineRule="auto"/>
        <w:ind w:firstLine="0"/>
        <w:rPr>
          <w:rFonts w:ascii="Times New Roman" w:hAnsi="Times New Roman" w:cs="Times New Roman"/>
          <w:b/>
          <w:color w:val="000000" w:themeColor="text1"/>
          <w:sz w:val="24"/>
          <w:szCs w:val="24"/>
        </w:rPr>
      </w:pPr>
    </w:p>
    <w:p w14:paraId="4FB7C114" w14:textId="77777777" w:rsidR="00E96F1F" w:rsidRDefault="00E96F1F" w:rsidP="00D259D6">
      <w:pPr>
        <w:spacing w:line="240" w:lineRule="auto"/>
        <w:ind w:firstLine="0"/>
        <w:rPr>
          <w:rFonts w:ascii="Times New Roman" w:hAnsi="Times New Roman" w:cs="Times New Roman"/>
          <w:b/>
          <w:color w:val="000000" w:themeColor="text1"/>
          <w:sz w:val="24"/>
          <w:szCs w:val="24"/>
        </w:rPr>
      </w:pPr>
    </w:p>
    <w:p w14:paraId="5776EEDF" w14:textId="77777777" w:rsidR="00E96F1F" w:rsidRDefault="00E96F1F" w:rsidP="00D259D6">
      <w:pPr>
        <w:spacing w:line="240" w:lineRule="auto"/>
        <w:ind w:firstLine="0"/>
        <w:rPr>
          <w:rFonts w:ascii="Times New Roman" w:hAnsi="Times New Roman" w:cs="Times New Roman"/>
          <w:b/>
          <w:color w:val="000000" w:themeColor="text1"/>
          <w:sz w:val="24"/>
          <w:szCs w:val="24"/>
        </w:rPr>
      </w:pPr>
    </w:p>
    <w:p w14:paraId="08B6D800" w14:textId="77777777" w:rsidR="006F629E" w:rsidRPr="00A50139" w:rsidRDefault="006F629E" w:rsidP="00D259D6">
      <w:pPr>
        <w:spacing w:line="240" w:lineRule="auto"/>
        <w:ind w:firstLine="0"/>
        <w:rPr>
          <w:rFonts w:ascii="Times New Roman" w:hAnsi="Times New Roman" w:cs="Times New Roman"/>
          <w:sz w:val="24"/>
          <w:szCs w:val="24"/>
        </w:rPr>
      </w:pPr>
      <w:r w:rsidRPr="00A50139">
        <w:rPr>
          <w:rFonts w:ascii="Times New Roman" w:hAnsi="Times New Roman" w:cs="Times New Roman"/>
          <w:b/>
          <w:color w:val="000000" w:themeColor="text1"/>
          <w:sz w:val="24"/>
          <w:szCs w:val="24"/>
        </w:rPr>
        <w:t xml:space="preserve">Table 1: </w:t>
      </w:r>
      <w:r w:rsidRPr="00A50139">
        <w:rPr>
          <w:rFonts w:ascii="Times New Roman" w:hAnsi="Times New Roman" w:cs="Times New Roman"/>
          <w:sz w:val="24"/>
          <w:szCs w:val="24"/>
        </w:rPr>
        <w:t>Pharmacological Activities, Bioactive Compounds, Mechanisms, and Therapeutic Effects of Mulberry (Morus spp.)</w:t>
      </w:r>
    </w:p>
    <w:tbl>
      <w:tblPr>
        <w:tblStyle w:val="TableGrid"/>
        <w:tblW w:w="9606" w:type="dxa"/>
        <w:tblLook w:val="04A0" w:firstRow="1" w:lastRow="0" w:firstColumn="1" w:lastColumn="0" w:noHBand="0" w:noVBand="1"/>
      </w:tblPr>
      <w:tblGrid>
        <w:gridCol w:w="2297"/>
        <w:gridCol w:w="1976"/>
        <w:gridCol w:w="1776"/>
        <w:gridCol w:w="2056"/>
        <w:gridCol w:w="1501"/>
      </w:tblGrid>
      <w:tr w:rsidR="00FA579F" w:rsidRPr="00A50139" w14:paraId="4F4671FF" w14:textId="77777777" w:rsidTr="00356906">
        <w:tc>
          <w:tcPr>
            <w:tcW w:w="0" w:type="auto"/>
            <w:hideMark/>
          </w:tcPr>
          <w:p w14:paraId="69893C8F" w14:textId="77777777"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Activity</w:t>
            </w:r>
          </w:p>
        </w:tc>
        <w:tc>
          <w:tcPr>
            <w:tcW w:w="0" w:type="auto"/>
            <w:hideMark/>
          </w:tcPr>
          <w:p w14:paraId="50E51B81" w14:textId="77777777"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Major Bioactive Compounds</w:t>
            </w:r>
          </w:p>
        </w:tc>
        <w:tc>
          <w:tcPr>
            <w:tcW w:w="0" w:type="auto"/>
            <w:hideMark/>
          </w:tcPr>
          <w:p w14:paraId="005D10BD" w14:textId="77777777"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Mechanism of Action</w:t>
            </w:r>
          </w:p>
        </w:tc>
        <w:tc>
          <w:tcPr>
            <w:tcW w:w="0" w:type="auto"/>
            <w:hideMark/>
          </w:tcPr>
          <w:p w14:paraId="0D57D338" w14:textId="77777777"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Therapeutic Effect</w:t>
            </w:r>
          </w:p>
        </w:tc>
        <w:tc>
          <w:tcPr>
            <w:tcW w:w="1673" w:type="dxa"/>
            <w:hideMark/>
          </w:tcPr>
          <w:p w14:paraId="7D4EB36E" w14:textId="77777777"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References</w:t>
            </w:r>
          </w:p>
        </w:tc>
      </w:tr>
      <w:tr w:rsidR="00FA579F" w:rsidRPr="00A50139" w14:paraId="7DCDA8AD" w14:textId="77777777" w:rsidTr="00356906">
        <w:tc>
          <w:tcPr>
            <w:tcW w:w="0" w:type="auto"/>
            <w:hideMark/>
          </w:tcPr>
          <w:p w14:paraId="5C9015AF"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Antioxidant</w:t>
            </w:r>
          </w:p>
        </w:tc>
        <w:tc>
          <w:tcPr>
            <w:tcW w:w="0" w:type="auto"/>
            <w:hideMark/>
          </w:tcPr>
          <w:p w14:paraId="1E9CB072"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Polyphenols, Flavonoids, Anthocyanins, Polysaccharides, C3G, Resveratrol</w:t>
            </w:r>
          </w:p>
        </w:tc>
        <w:tc>
          <w:tcPr>
            <w:tcW w:w="0" w:type="auto"/>
            <w:hideMark/>
          </w:tcPr>
          <w:p w14:paraId="7C29BF08"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Scavenging ROS, upregulating GSH and SOD, redox homeostasis</w:t>
            </w:r>
          </w:p>
        </w:tc>
        <w:tc>
          <w:tcPr>
            <w:tcW w:w="0" w:type="auto"/>
            <w:hideMark/>
          </w:tcPr>
          <w:p w14:paraId="689289E5"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Protection from oxidative stress and cellular damage</w:t>
            </w:r>
          </w:p>
        </w:tc>
        <w:tc>
          <w:tcPr>
            <w:tcW w:w="1673" w:type="dxa"/>
            <w:hideMark/>
          </w:tcPr>
          <w:p w14:paraId="58C0F6E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[68, 69]</w:t>
            </w:r>
          </w:p>
        </w:tc>
      </w:tr>
      <w:tr w:rsidR="00FA579F" w:rsidRPr="00A50139" w14:paraId="7819525A" w14:textId="77777777" w:rsidTr="00356906">
        <w:tc>
          <w:tcPr>
            <w:tcW w:w="0" w:type="auto"/>
            <w:hideMark/>
          </w:tcPr>
          <w:p w14:paraId="55CCF918"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Anti-inflammatory</w:t>
            </w:r>
          </w:p>
        </w:tc>
        <w:tc>
          <w:tcPr>
            <w:tcW w:w="0" w:type="auto"/>
            <w:hideMark/>
          </w:tcPr>
          <w:p w14:paraId="337CFE7D"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Quercetin, Rutin, Anthocyanins</w:t>
            </w:r>
          </w:p>
        </w:tc>
        <w:tc>
          <w:tcPr>
            <w:tcW w:w="0" w:type="auto"/>
            <w:hideMark/>
          </w:tcPr>
          <w:p w14:paraId="5D3BC30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Downregulation of TNF-α, IL-6, NO; inhibition of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MAPK pathways</w:t>
            </w:r>
          </w:p>
        </w:tc>
        <w:tc>
          <w:tcPr>
            <w:tcW w:w="0" w:type="auto"/>
            <w:hideMark/>
          </w:tcPr>
          <w:p w14:paraId="58B681B1"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Suppression of chronic inflammation</w:t>
            </w:r>
          </w:p>
        </w:tc>
        <w:tc>
          <w:tcPr>
            <w:tcW w:w="1673" w:type="dxa"/>
            <w:hideMark/>
          </w:tcPr>
          <w:p w14:paraId="6C9A577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[19, 70, 71]</w:t>
            </w:r>
          </w:p>
        </w:tc>
      </w:tr>
      <w:tr w:rsidR="00FA579F" w:rsidRPr="00A50139" w14:paraId="6E46CFD8" w14:textId="77777777" w:rsidTr="00356906">
        <w:tc>
          <w:tcPr>
            <w:tcW w:w="0" w:type="auto"/>
            <w:hideMark/>
          </w:tcPr>
          <w:p w14:paraId="7E7951D5"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Anticancer</w:t>
            </w:r>
          </w:p>
        </w:tc>
        <w:tc>
          <w:tcPr>
            <w:tcW w:w="0" w:type="auto"/>
            <w:hideMark/>
          </w:tcPr>
          <w:p w14:paraId="0F45646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Polyphenols, Polysaccharides</w:t>
            </w:r>
          </w:p>
        </w:tc>
        <w:tc>
          <w:tcPr>
            <w:tcW w:w="0" w:type="auto"/>
            <w:hideMark/>
          </w:tcPr>
          <w:p w14:paraId="742A497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Activation of caspases, p53 upregulation, modulation of Bax/Bcl-2</w:t>
            </w:r>
          </w:p>
        </w:tc>
        <w:tc>
          <w:tcPr>
            <w:tcW w:w="0" w:type="auto"/>
            <w:hideMark/>
          </w:tcPr>
          <w:p w14:paraId="15505576"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Induction of apoptosis and cell cycle arrest in cancer cells</w:t>
            </w:r>
          </w:p>
        </w:tc>
        <w:tc>
          <w:tcPr>
            <w:tcW w:w="1673" w:type="dxa"/>
            <w:hideMark/>
          </w:tcPr>
          <w:p w14:paraId="45EB487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[72, 73]</w:t>
            </w:r>
          </w:p>
        </w:tc>
      </w:tr>
      <w:tr w:rsidR="00FA579F" w:rsidRPr="00A50139" w14:paraId="6E421A0F" w14:textId="77777777" w:rsidTr="00356906">
        <w:tc>
          <w:tcPr>
            <w:tcW w:w="0" w:type="auto"/>
            <w:hideMark/>
          </w:tcPr>
          <w:p w14:paraId="2DA08589"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Antidiabetic</w:t>
            </w:r>
          </w:p>
        </w:tc>
        <w:tc>
          <w:tcPr>
            <w:tcW w:w="0" w:type="auto"/>
            <w:hideMark/>
          </w:tcPr>
          <w:p w14:paraId="022F9A3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1-Deoxynojirimycin (DNJ), Flavonoids, Polysaccharides</w:t>
            </w:r>
          </w:p>
        </w:tc>
        <w:tc>
          <w:tcPr>
            <w:tcW w:w="0" w:type="auto"/>
            <w:hideMark/>
          </w:tcPr>
          <w:p w14:paraId="773AC68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Inhibition of α-glucosidase, improved insulin sensitivity, β-cell protection</w:t>
            </w:r>
          </w:p>
        </w:tc>
        <w:tc>
          <w:tcPr>
            <w:tcW w:w="0" w:type="auto"/>
            <w:hideMark/>
          </w:tcPr>
          <w:p w14:paraId="24DE1D02"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Glycemic control, adjunct to diabetes management</w:t>
            </w:r>
          </w:p>
        </w:tc>
        <w:tc>
          <w:tcPr>
            <w:tcW w:w="1673" w:type="dxa"/>
            <w:hideMark/>
          </w:tcPr>
          <w:p w14:paraId="780B8D8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[74, 75]</w:t>
            </w:r>
          </w:p>
        </w:tc>
      </w:tr>
      <w:tr w:rsidR="00FA579F" w:rsidRPr="00A50139" w14:paraId="29FA39AD" w14:textId="77777777" w:rsidTr="00356906">
        <w:tc>
          <w:tcPr>
            <w:tcW w:w="0" w:type="auto"/>
            <w:hideMark/>
          </w:tcPr>
          <w:p w14:paraId="78EEA85B"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Hepatoprotective</w:t>
            </w:r>
          </w:p>
        </w:tc>
        <w:tc>
          <w:tcPr>
            <w:tcW w:w="0" w:type="auto"/>
            <w:hideMark/>
          </w:tcPr>
          <w:p w14:paraId="76BDB573"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MFPs, MLPs</w:t>
            </w:r>
          </w:p>
        </w:tc>
        <w:tc>
          <w:tcPr>
            <w:tcW w:w="0" w:type="auto"/>
            <w:hideMark/>
          </w:tcPr>
          <w:p w14:paraId="66E6E97F"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Reduction of liver enzymes, inhibition of lipid peroxidation, enhancement of antioxidants</w:t>
            </w:r>
          </w:p>
        </w:tc>
        <w:tc>
          <w:tcPr>
            <w:tcW w:w="0" w:type="auto"/>
            <w:hideMark/>
          </w:tcPr>
          <w:p w14:paraId="43989C8E"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Protection against liver injury</w:t>
            </w:r>
          </w:p>
        </w:tc>
        <w:tc>
          <w:tcPr>
            <w:tcW w:w="1673" w:type="dxa"/>
            <w:hideMark/>
          </w:tcPr>
          <w:p w14:paraId="50BAD13F"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[70, 76]</w:t>
            </w:r>
          </w:p>
        </w:tc>
      </w:tr>
      <w:tr w:rsidR="00FA579F" w:rsidRPr="00A50139" w14:paraId="2FD9D786" w14:textId="77777777" w:rsidTr="00356906">
        <w:tc>
          <w:tcPr>
            <w:tcW w:w="0" w:type="auto"/>
            <w:hideMark/>
          </w:tcPr>
          <w:p w14:paraId="7F8368E0"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Hypolipidemic</w:t>
            </w:r>
          </w:p>
        </w:tc>
        <w:tc>
          <w:tcPr>
            <w:tcW w:w="0" w:type="auto"/>
            <w:hideMark/>
          </w:tcPr>
          <w:p w14:paraId="6F5B6111"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Flavonoids, Polysaccharides</w:t>
            </w:r>
          </w:p>
        </w:tc>
        <w:tc>
          <w:tcPr>
            <w:tcW w:w="0" w:type="auto"/>
            <w:hideMark/>
          </w:tcPr>
          <w:p w14:paraId="1FA7C795"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Modulation of lipid metabolism, increased HDL, decreased LDL and triglycerides</w:t>
            </w:r>
          </w:p>
        </w:tc>
        <w:tc>
          <w:tcPr>
            <w:tcW w:w="0" w:type="auto"/>
            <w:hideMark/>
          </w:tcPr>
          <w:p w14:paraId="02A06318"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Management of dyslipidemia and prevention of cardiovascular disease</w:t>
            </w:r>
          </w:p>
        </w:tc>
        <w:tc>
          <w:tcPr>
            <w:tcW w:w="1673" w:type="dxa"/>
            <w:hideMark/>
          </w:tcPr>
          <w:p w14:paraId="5E063987"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[74, 77]</w:t>
            </w:r>
          </w:p>
        </w:tc>
      </w:tr>
      <w:tr w:rsidR="00FA579F" w:rsidRPr="00A50139" w14:paraId="19EC37B5" w14:textId="77777777" w:rsidTr="00356906">
        <w:tc>
          <w:tcPr>
            <w:tcW w:w="0" w:type="auto"/>
            <w:hideMark/>
          </w:tcPr>
          <w:p w14:paraId="532DF43D"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Neuroprotective</w:t>
            </w:r>
          </w:p>
        </w:tc>
        <w:tc>
          <w:tcPr>
            <w:tcW w:w="0" w:type="auto"/>
            <w:hideMark/>
          </w:tcPr>
          <w:p w14:paraId="24FFA9B8"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Morin, C3G, Chalcones</w:t>
            </w:r>
          </w:p>
        </w:tc>
        <w:tc>
          <w:tcPr>
            <w:tcW w:w="0" w:type="auto"/>
            <w:hideMark/>
          </w:tcPr>
          <w:p w14:paraId="7F1EBE59"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Antioxidant, anti-</w:t>
            </w:r>
            <w:r w:rsidRPr="00A50139">
              <w:rPr>
                <w:rFonts w:ascii="Times New Roman" w:eastAsia="Times New Roman" w:hAnsi="Times New Roman" w:cs="Times New Roman"/>
                <w:sz w:val="24"/>
                <w:szCs w:val="24"/>
                <w:lang w:eastAsia="en-IN"/>
              </w:rPr>
              <w:lastRenderedPageBreak/>
              <w:t>inflammatory, anti-apoptotic effects; regulation of AMPK, Nrf2</w:t>
            </w:r>
          </w:p>
        </w:tc>
        <w:tc>
          <w:tcPr>
            <w:tcW w:w="0" w:type="auto"/>
            <w:hideMark/>
          </w:tcPr>
          <w:p w14:paraId="5979599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 xml:space="preserve">Neurodegeneration prevention and </w:t>
            </w:r>
            <w:r w:rsidRPr="00A50139">
              <w:rPr>
                <w:rFonts w:ascii="Times New Roman" w:eastAsia="Times New Roman" w:hAnsi="Times New Roman" w:cs="Times New Roman"/>
                <w:sz w:val="24"/>
                <w:szCs w:val="24"/>
                <w:lang w:eastAsia="en-IN"/>
              </w:rPr>
              <w:lastRenderedPageBreak/>
              <w:t>cognitive enhancement</w:t>
            </w:r>
          </w:p>
        </w:tc>
        <w:tc>
          <w:tcPr>
            <w:tcW w:w="1673" w:type="dxa"/>
            <w:hideMark/>
          </w:tcPr>
          <w:p w14:paraId="1F6FAA7D"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[36, 42]</w:t>
            </w:r>
          </w:p>
        </w:tc>
      </w:tr>
      <w:tr w:rsidR="00FA579F" w:rsidRPr="00A50139" w14:paraId="25F14C37" w14:textId="77777777" w:rsidTr="00356906">
        <w:tc>
          <w:tcPr>
            <w:tcW w:w="0" w:type="auto"/>
            <w:hideMark/>
          </w:tcPr>
          <w:p w14:paraId="1621DA5F"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Antibacterial</w:t>
            </w:r>
          </w:p>
        </w:tc>
        <w:tc>
          <w:tcPr>
            <w:tcW w:w="0" w:type="auto"/>
            <w:hideMark/>
          </w:tcPr>
          <w:p w14:paraId="2BC32A28"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Flavonoids, Alkaloids, Phenolic acids</w:t>
            </w:r>
          </w:p>
        </w:tc>
        <w:tc>
          <w:tcPr>
            <w:tcW w:w="0" w:type="auto"/>
            <w:hideMark/>
          </w:tcPr>
          <w:p w14:paraId="79350A7B"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Disruption of bacterial membranes, enzyme inhibition</w:t>
            </w:r>
          </w:p>
        </w:tc>
        <w:tc>
          <w:tcPr>
            <w:tcW w:w="0" w:type="auto"/>
            <w:hideMark/>
          </w:tcPr>
          <w:p w14:paraId="02E01B9B"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Inhibition of pathogens like </w:t>
            </w:r>
            <w:r w:rsidRPr="00A50139">
              <w:rPr>
                <w:rFonts w:ascii="Times New Roman" w:eastAsia="Times New Roman" w:hAnsi="Times New Roman" w:cs="Times New Roman"/>
                <w:i/>
                <w:iCs/>
                <w:sz w:val="24"/>
                <w:szCs w:val="24"/>
                <w:lang w:eastAsia="en-IN"/>
              </w:rPr>
              <w:t>S. aureus</w:t>
            </w:r>
            <w:r w:rsidRPr="00A50139">
              <w:rPr>
                <w:rFonts w:ascii="Times New Roman" w:eastAsia="Times New Roman" w:hAnsi="Times New Roman" w:cs="Times New Roman"/>
                <w:sz w:val="24"/>
                <w:szCs w:val="24"/>
                <w:lang w:eastAsia="en-IN"/>
              </w:rPr>
              <w:t xml:space="preserve"> and </w:t>
            </w:r>
            <w:r w:rsidRPr="00A50139">
              <w:rPr>
                <w:rFonts w:ascii="Times New Roman" w:eastAsia="Times New Roman" w:hAnsi="Times New Roman" w:cs="Times New Roman"/>
                <w:i/>
                <w:iCs/>
                <w:sz w:val="24"/>
                <w:szCs w:val="24"/>
                <w:lang w:eastAsia="en-IN"/>
              </w:rPr>
              <w:t>E. coli</w:t>
            </w:r>
          </w:p>
        </w:tc>
        <w:tc>
          <w:tcPr>
            <w:tcW w:w="1673" w:type="dxa"/>
            <w:hideMark/>
          </w:tcPr>
          <w:p w14:paraId="6A8FB3CA"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[78]</w:t>
            </w:r>
          </w:p>
        </w:tc>
      </w:tr>
      <w:tr w:rsidR="00FA579F" w:rsidRPr="00A50139" w14:paraId="2BC8BE59" w14:textId="77777777" w:rsidTr="00356906">
        <w:tc>
          <w:tcPr>
            <w:tcW w:w="0" w:type="auto"/>
            <w:hideMark/>
          </w:tcPr>
          <w:p w14:paraId="35059FD1"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Immunomodulatory</w:t>
            </w:r>
          </w:p>
        </w:tc>
        <w:tc>
          <w:tcPr>
            <w:tcW w:w="0" w:type="auto"/>
            <w:hideMark/>
          </w:tcPr>
          <w:p w14:paraId="33D0D37E"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Polysaccharides</w:t>
            </w:r>
          </w:p>
        </w:tc>
        <w:tc>
          <w:tcPr>
            <w:tcW w:w="0" w:type="auto"/>
            <w:hideMark/>
          </w:tcPr>
          <w:p w14:paraId="6D4E55F2"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Stimulation of macrophages, IL-2 and IFN-γ secretion</w:t>
            </w:r>
          </w:p>
        </w:tc>
        <w:tc>
          <w:tcPr>
            <w:tcW w:w="0" w:type="auto"/>
            <w:hideMark/>
          </w:tcPr>
          <w:p w14:paraId="7144288F"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Enhanced immune function and resistance to infection</w:t>
            </w:r>
          </w:p>
        </w:tc>
        <w:tc>
          <w:tcPr>
            <w:tcW w:w="1673" w:type="dxa"/>
            <w:hideMark/>
          </w:tcPr>
          <w:p w14:paraId="5ED4FBB2"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[79, 80]</w:t>
            </w:r>
          </w:p>
        </w:tc>
      </w:tr>
      <w:tr w:rsidR="00FA579F" w:rsidRPr="00A50139" w14:paraId="597B2411" w14:textId="77777777" w:rsidTr="00356906">
        <w:tc>
          <w:tcPr>
            <w:tcW w:w="0" w:type="auto"/>
            <w:hideMark/>
          </w:tcPr>
          <w:p w14:paraId="4F3B1846"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Mechanistic Summary</w:t>
            </w:r>
          </w:p>
        </w:tc>
        <w:tc>
          <w:tcPr>
            <w:tcW w:w="0" w:type="auto"/>
            <w:hideMark/>
          </w:tcPr>
          <w:p w14:paraId="291F1B42"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w:t>
            </w:r>
          </w:p>
        </w:tc>
        <w:tc>
          <w:tcPr>
            <w:tcW w:w="0" w:type="auto"/>
            <w:hideMark/>
          </w:tcPr>
          <w:p w14:paraId="2965870C"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Suppression of oxidative stress,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/COX-2 inhibition, autophagy and apoptosis regulation</w:t>
            </w:r>
          </w:p>
        </w:tc>
        <w:tc>
          <w:tcPr>
            <w:tcW w:w="0" w:type="auto"/>
            <w:hideMark/>
          </w:tcPr>
          <w:p w14:paraId="36FAA98E"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Broad-spectrum therapeutic effects in chronic and degenerative diseases</w:t>
            </w:r>
          </w:p>
        </w:tc>
        <w:tc>
          <w:tcPr>
            <w:tcW w:w="1673" w:type="dxa"/>
            <w:hideMark/>
          </w:tcPr>
          <w:p w14:paraId="49479064" w14:textId="77777777"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[81]</w:t>
            </w:r>
          </w:p>
        </w:tc>
      </w:tr>
    </w:tbl>
    <w:p w14:paraId="642394EA" w14:textId="77777777" w:rsidR="006F629E" w:rsidRPr="00A50139" w:rsidRDefault="006F629E" w:rsidP="00D259D6">
      <w:pPr>
        <w:spacing w:line="240" w:lineRule="auto"/>
        <w:rPr>
          <w:rFonts w:ascii="Times New Roman" w:hAnsi="Times New Roman" w:cs="Times New Roman"/>
          <w:b/>
          <w:color w:val="000000" w:themeColor="text1"/>
          <w:sz w:val="24"/>
          <w:szCs w:val="24"/>
        </w:rPr>
      </w:pPr>
    </w:p>
    <w:p w14:paraId="4414AEB2" w14:textId="77777777" w:rsidR="00A50139" w:rsidRDefault="00A50139" w:rsidP="00D259D6">
      <w:pPr>
        <w:spacing w:line="240" w:lineRule="auto"/>
        <w:rPr>
          <w:rFonts w:ascii="Times New Roman" w:hAnsi="Times New Roman" w:cs="Times New Roman"/>
          <w:b/>
          <w:color w:val="000000" w:themeColor="text1"/>
          <w:sz w:val="24"/>
          <w:szCs w:val="24"/>
        </w:rPr>
      </w:pPr>
    </w:p>
    <w:p w14:paraId="687ECCC3" w14:textId="77777777" w:rsidR="00A50139" w:rsidRDefault="00A50139" w:rsidP="00D259D6">
      <w:pPr>
        <w:spacing w:line="240" w:lineRule="auto"/>
        <w:rPr>
          <w:rFonts w:ascii="Times New Roman" w:hAnsi="Times New Roman" w:cs="Times New Roman"/>
          <w:b/>
          <w:color w:val="000000" w:themeColor="text1"/>
          <w:sz w:val="24"/>
          <w:szCs w:val="24"/>
        </w:rPr>
      </w:pPr>
    </w:p>
    <w:p w14:paraId="63823678" w14:textId="77777777" w:rsidR="00A50139" w:rsidRDefault="00A50139" w:rsidP="00D259D6">
      <w:pPr>
        <w:spacing w:line="240" w:lineRule="auto"/>
        <w:rPr>
          <w:rFonts w:ascii="Times New Roman" w:hAnsi="Times New Roman" w:cs="Times New Roman"/>
          <w:b/>
          <w:color w:val="000000" w:themeColor="text1"/>
          <w:sz w:val="24"/>
          <w:szCs w:val="24"/>
        </w:rPr>
      </w:pPr>
    </w:p>
    <w:p w14:paraId="15708D70" w14:textId="77777777" w:rsidR="00A50139" w:rsidRDefault="00A50139" w:rsidP="00D259D6">
      <w:pPr>
        <w:spacing w:line="240" w:lineRule="auto"/>
        <w:rPr>
          <w:rFonts w:ascii="Times New Roman" w:hAnsi="Times New Roman" w:cs="Times New Roman"/>
          <w:b/>
          <w:color w:val="000000" w:themeColor="text1"/>
          <w:sz w:val="24"/>
          <w:szCs w:val="24"/>
        </w:rPr>
      </w:pPr>
    </w:p>
    <w:p w14:paraId="19EEAE1F" w14:textId="77777777" w:rsidR="00A50139" w:rsidRDefault="00A50139" w:rsidP="00D259D6">
      <w:pPr>
        <w:spacing w:line="240" w:lineRule="auto"/>
        <w:rPr>
          <w:rFonts w:ascii="Times New Roman" w:hAnsi="Times New Roman" w:cs="Times New Roman"/>
          <w:b/>
          <w:color w:val="000000" w:themeColor="text1"/>
          <w:sz w:val="24"/>
          <w:szCs w:val="24"/>
        </w:rPr>
      </w:pPr>
    </w:p>
    <w:p w14:paraId="749AAA15" w14:textId="77777777" w:rsidR="00A50139" w:rsidRDefault="00A50139" w:rsidP="00D259D6">
      <w:pPr>
        <w:spacing w:line="240" w:lineRule="auto"/>
        <w:rPr>
          <w:rFonts w:ascii="Times New Roman" w:hAnsi="Times New Roman" w:cs="Times New Roman"/>
          <w:b/>
          <w:color w:val="000000" w:themeColor="text1"/>
          <w:sz w:val="24"/>
          <w:szCs w:val="24"/>
        </w:rPr>
      </w:pPr>
    </w:p>
    <w:p w14:paraId="6C7BEB20" w14:textId="77777777" w:rsidR="00DA00C4" w:rsidRPr="00A50139" w:rsidRDefault="00DA00C4" w:rsidP="00D259D6">
      <w:pPr>
        <w:spacing w:line="240" w:lineRule="auto"/>
        <w:ind w:firstLine="0"/>
        <w:jc w:val="center"/>
        <w:rPr>
          <w:rFonts w:ascii="Times New Roman" w:hAnsi="Times New Roman" w:cs="Times New Roman"/>
          <w:color w:val="000000" w:themeColor="text1"/>
          <w:sz w:val="24"/>
          <w:szCs w:val="24"/>
        </w:rPr>
      </w:pPr>
    </w:p>
    <w:p w14:paraId="68F8226F" w14:textId="77777777" w:rsidR="002E509A" w:rsidRPr="00A50139" w:rsidRDefault="002E509A" w:rsidP="00D259D6">
      <w:pPr>
        <w:spacing w:line="240" w:lineRule="auto"/>
        <w:ind w:firstLine="0"/>
        <w:jc w:val="center"/>
        <w:rPr>
          <w:rFonts w:ascii="Times New Roman" w:hAnsi="Times New Roman" w:cs="Times New Roman"/>
          <w:color w:val="000000" w:themeColor="text1"/>
          <w:sz w:val="24"/>
          <w:szCs w:val="24"/>
        </w:rPr>
      </w:pPr>
    </w:p>
    <w:p w14:paraId="124DE740" w14:textId="77777777" w:rsidR="00FF4D00" w:rsidRPr="00A50139" w:rsidRDefault="00FF4D00" w:rsidP="00D259D6">
      <w:pPr>
        <w:spacing w:line="240" w:lineRule="auto"/>
        <w:ind w:left="720" w:firstLine="0"/>
        <w:jc w:val="center"/>
        <w:rPr>
          <w:rFonts w:ascii="Times New Roman" w:hAnsi="Times New Roman" w:cs="Times New Roman"/>
          <w:color w:val="000000" w:themeColor="text1"/>
          <w:sz w:val="24"/>
          <w:szCs w:val="24"/>
        </w:rPr>
      </w:pPr>
    </w:p>
    <w:sectPr w:rsidR="00FF4D00" w:rsidRPr="00A50139" w:rsidSect="00E96F1F">
      <w:headerReference w:type="even" r:id="rId92"/>
      <w:headerReference w:type="default" r:id="rId93"/>
      <w:footerReference w:type="even" r:id="rId94"/>
      <w:footerReference w:type="default" r:id="rId95"/>
      <w:headerReference w:type="first" r:id="rId96"/>
      <w:footerReference w:type="firs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51651" w14:textId="77777777" w:rsidR="0006091B" w:rsidRDefault="0006091B" w:rsidP="00BE5C69">
      <w:pPr>
        <w:spacing w:before="0" w:after="0" w:line="240" w:lineRule="auto"/>
      </w:pPr>
      <w:r>
        <w:separator/>
      </w:r>
    </w:p>
  </w:endnote>
  <w:endnote w:type="continuationSeparator" w:id="0">
    <w:p w14:paraId="3AAC7B22" w14:textId="77777777" w:rsidR="0006091B" w:rsidRDefault="0006091B" w:rsidP="00BE5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BA6E" w14:textId="77777777" w:rsidR="00BE5C69" w:rsidRDefault="00BE5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C052F" w14:textId="77777777" w:rsidR="00BE5C69" w:rsidRDefault="00BE5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1B164" w14:textId="77777777" w:rsidR="00BE5C69" w:rsidRDefault="00BE5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02180" w14:textId="77777777" w:rsidR="0006091B" w:rsidRDefault="0006091B" w:rsidP="00BE5C69">
      <w:pPr>
        <w:spacing w:before="0" w:after="0" w:line="240" w:lineRule="auto"/>
      </w:pPr>
      <w:r>
        <w:separator/>
      </w:r>
    </w:p>
  </w:footnote>
  <w:footnote w:type="continuationSeparator" w:id="0">
    <w:p w14:paraId="02573A31" w14:textId="77777777" w:rsidR="0006091B" w:rsidRDefault="0006091B" w:rsidP="00BE5C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AEF8" w14:textId="4798350E" w:rsidR="00BE5C69" w:rsidRDefault="00BE5C69">
    <w:pPr>
      <w:pStyle w:val="Header"/>
    </w:pPr>
    <w:r>
      <w:rPr>
        <w:noProof/>
      </w:rPr>
      <w:pict w14:anchorId="126F0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3"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916F" w14:textId="2D9A8F29" w:rsidR="00BE5C69" w:rsidRDefault="00BE5C69">
    <w:pPr>
      <w:pStyle w:val="Header"/>
    </w:pPr>
    <w:r>
      <w:rPr>
        <w:noProof/>
      </w:rPr>
      <w:pict w14:anchorId="72A13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4"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1176" w14:textId="5EE953BF" w:rsidR="00BE5C69" w:rsidRDefault="00BE5C69">
    <w:pPr>
      <w:pStyle w:val="Header"/>
    </w:pPr>
    <w:r>
      <w:rPr>
        <w:noProof/>
      </w:rPr>
      <w:pict w14:anchorId="20E3D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2"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3B5"/>
    <w:multiLevelType w:val="multilevel"/>
    <w:tmpl w:val="C042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21455"/>
    <w:multiLevelType w:val="multilevel"/>
    <w:tmpl w:val="4DD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D179F"/>
    <w:multiLevelType w:val="multilevel"/>
    <w:tmpl w:val="AC18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924E1"/>
    <w:multiLevelType w:val="multilevel"/>
    <w:tmpl w:val="2442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16177"/>
    <w:multiLevelType w:val="multilevel"/>
    <w:tmpl w:val="AEE8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B1DA8"/>
    <w:multiLevelType w:val="multilevel"/>
    <w:tmpl w:val="F21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005A3"/>
    <w:multiLevelType w:val="multilevel"/>
    <w:tmpl w:val="E7BE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936A24"/>
    <w:multiLevelType w:val="multilevel"/>
    <w:tmpl w:val="462E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3F0CD1"/>
    <w:multiLevelType w:val="multilevel"/>
    <w:tmpl w:val="9CA6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F5FA4"/>
    <w:multiLevelType w:val="multilevel"/>
    <w:tmpl w:val="C642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E60A99"/>
    <w:multiLevelType w:val="multilevel"/>
    <w:tmpl w:val="602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46CF8"/>
    <w:multiLevelType w:val="multilevel"/>
    <w:tmpl w:val="45B2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651198"/>
    <w:multiLevelType w:val="hybridMultilevel"/>
    <w:tmpl w:val="3F0C0CA8"/>
    <w:lvl w:ilvl="0" w:tplc="F7DE83D8">
      <w:start w:val="2"/>
      <w:numFmt w:val="upperLetter"/>
      <w:lvlText w:val="%1."/>
      <w:lvlJc w:val="left"/>
      <w:pPr>
        <w:tabs>
          <w:tab w:val="num" w:pos="720"/>
        </w:tabs>
        <w:ind w:left="720" w:hanging="360"/>
      </w:pPr>
    </w:lvl>
    <w:lvl w:ilvl="1" w:tplc="8F88DC3A" w:tentative="1">
      <w:start w:val="1"/>
      <w:numFmt w:val="decimal"/>
      <w:lvlText w:val="%2."/>
      <w:lvlJc w:val="left"/>
      <w:pPr>
        <w:tabs>
          <w:tab w:val="num" w:pos="1440"/>
        </w:tabs>
        <w:ind w:left="1440" w:hanging="360"/>
      </w:pPr>
    </w:lvl>
    <w:lvl w:ilvl="2" w:tplc="1952E182" w:tentative="1">
      <w:start w:val="1"/>
      <w:numFmt w:val="decimal"/>
      <w:lvlText w:val="%3."/>
      <w:lvlJc w:val="left"/>
      <w:pPr>
        <w:tabs>
          <w:tab w:val="num" w:pos="2160"/>
        </w:tabs>
        <w:ind w:left="2160" w:hanging="360"/>
      </w:pPr>
    </w:lvl>
    <w:lvl w:ilvl="3" w:tplc="C8AAB756" w:tentative="1">
      <w:start w:val="1"/>
      <w:numFmt w:val="decimal"/>
      <w:lvlText w:val="%4."/>
      <w:lvlJc w:val="left"/>
      <w:pPr>
        <w:tabs>
          <w:tab w:val="num" w:pos="2880"/>
        </w:tabs>
        <w:ind w:left="2880" w:hanging="360"/>
      </w:pPr>
    </w:lvl>
    <w:lvl w:ilvl="4" w:tplc="D9E601F4" w:tentative="1">
      <w:start w:val="1"/>
      <w:numFmt w:val="decimal"/>
      <w:lvlText w:val="%5."/>
      <w:lvlJc w:val="left"/>
      <w:pPr>
        <w:tabs>
          <w:tab w:val="num" w:pos="3600"/>
        </w:tabs>
        <w:ind w:left="3600" w:hanging="360"/>
      </w:pPr>
    </w:lvl>
    <w:lvl w:ilvl="5" w:tplc="64069A6C" w:tentative="1">
      <w:start w:val="1"/>
      <w:numFmt w:val="decimal"/>
      <w:lvlText w:val="%6."/>
      <w:lvlJc w:val="left"/>
      <w:pPr>
        <w:tabs>
          <w:tab w:val="num" w:pos="4320"/>
        </w:tabs>
        <w:ind w:left="4320" w:hanging="360"/>
      </w:pPr>
    </w:lvl>
    <w:lvl w:ilvl="6" w:tplc="C4AECE30" w:tentative="1">
      <w:start w:val="1"/>
      <w:numFmt w:val="decimal"/>
      <w:lvlText w:val="%7."/>
      <w:lvlJc w:val="left"/>
      <w:pPr>
        <w:tabs>
          <w:tab w:val="num" w:pos="5040"/>
        </w:tabs>
        <w:ind w:left="5040" w:hanging="360"/>
      </w:pPr>
    </w:lvl>
    <w:lvl w:ilvl="7" w:tplc="900E08E8" w:tentative="1">
      <w:start w:val="1"/>
      <w:numFmt w:val="decimal"/>
      <w:lvlText w:val="%8."/>
      <w:lvlJc w:val="left"/>
      <w:pPr>
        <w:tabs>
          <w:tab w:val="num" w:pos="5760"/>
        </w:tabs>
        <w:ind w:left="5760" w:hanging="360"/>
      </w:pPr>
    </w:lvl>
    <w:lvl w:ilvl="8" w:tplc="0A70C0DC" w:tentative="1">
      <w:start w:val="1"/>
      <w:numFmt w:val="decimal"/>
      <w:lvlText w:val="%9."/>
      <w:lvlJc w:val="left"/>
      <w:pPr>
        <w:tabs>
          <w:tab w:val="num" w:pos="6480"/>
        </w:tabs>
        <w:ind w:left="6480" w:hanging="360"/>
      </w:pPr>
    </w:lvl>
  </w:abstractNum>
  <w:abstractNum w:abstractNumId="13" w15:restartNumberingAfterBreak="0">
    <w:nsid w:val="507A28AC"/>
    <w:multiLevelType w:val="hybridMultilevel"/>
    <w:tmpl w:val="BE6E23FA"/>
    <w:lvl w:ilvl="0" w:tplc="81FE582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427D10"/>
    <w:multiLevelType w:val="multilevel"/>
    <w:tmpl w:val="4E80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A3828"/>
    <w:multiLevelType w:val="multilevel"/>
    <w:tmpl w:val="10FA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67214"/>
    <w:multiLevelType w:val="multilevel"/>
    <w:tmpl w:val="7878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062296"/>
    <w:multiLevelType w:val="hybridMultilevel"/>
    <w:tmpl w:val="ED8A5634"/>
    <w:lvl w:ilvl="0" w:tplc="81FE582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98160D"/>
    <w:multiLevelType w:val="multilevel"/>
    <w:tmpl w:val="3B8A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321AA"/>
    <w:multiLevelType w:val="multilevel"/>
    <w:tmpl w:val="790E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E732C0"/>
    <w:multiLevelType w:val="multilevel"/>
    <w:tmpl w:val="78F0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D6EAB"/>
    <w:multiLevelType w:val="hybridMultilevel"/>
    <w:tmpl w:val="DF684C5E"/>
    <w:lvl w:ilvl="0" w:tplc="838C39FC">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AF14E6"/>
    <w:multiLevelType w:val="hybridMultilevel"/>
    <w:tmpl w:val="75305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38B06AC"/>
    <w:multiLevelType w:val="multilevel"/>
    <w:tmpl w:val="4DB2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360D9"/>
    <w:multiLevelType w:val="hybridMultilevel"/>
    <w:tmpl w:val="5CFA3BBE"/>
    <w:lvl w:ilvl="0" w:tplc="72D85A50">
      <w:start w:val="3"/>
      <w:numFmt w:val="upperLetter"/>
      <w:lvlText w:val="%1."/>
      <w:lvlJc w:val="left"/>
      <w:pPr>
        <w:tabs>
          <w:tab w:val="num" w:pos="720"/>
        </w:tabs>
        <w:ind w:left="720" w:hanging="360"/>
      </w:pPr>
    </w:lvl>
    <w:lvl w:ilvl="1" w:tplc="1D3ABC04" w:tentative="1">
      <w:start w:val="1"/>
      <w:numFmt w:val="decimal"/>
      <w:lvlText w:val="%2."/>
      <w:lvlJc w:val="left"/>
      <w:pPr>
        <w:tabs>
          <w:tab w:val="num" w:pos="1440"/>
        </w:tabs>
        <w:ind w:left="1440" w:hanging="360"/>
      </w:pPr>
    </w:lvl>
    <w:lvl w:ilvl="2" w:tplc="581A6332" w:tentative="1">
      <w:start w:val="1"/>
      <w:numFmt w:val="decimal"/>
      <w:lvlText w:val="%3."/>
      <w:lvlJc w:val="left"/>
      <w:pPr>
        <w:tabs>
          <w:tab w:val="num" w:pos="2160"/>
        </w:tabs>
        <w:ind w:left="2160" w:hanging="360"/>
      </w:pPr>
    </w:lvl>
    <w:lvl w:ilvl="3" w:tplc="E372284C" w:tentative="1">
      <w:start w:val="1"/>
      <w:numFmt w:val="decimal"/>
      <w:lvlText w:val="%4."/>
      <w:lvlJc w:val="left"/>
      <w:pPr>
        <w:tabs>
          <w:tab w:val="num" w:pos="2880"/>
        </w:tabs>
        <w:ind w:left="2880" w:hanging="360"/>
      </w:pPr>
    </w:lvl>
    <w:lvl w:ilvl="4" w:tplc="604CD4DC" w:tentative="1">
      <w:start w:val="1"/>
      <w:numFmt w:val="decimal"/>
      <w:lvlText w:val="%5."/>
      <w:lvlJc w:val="left"/>
      <w:pPr>
        <w:tabs>
          <w:tab w:val="num" w:pos="3600"/>
        </w:tabs>
        <w:ind w:left="3600" w:hanging="360"/>
      </w:pPr>
    </w:lvl>
    <w:lvl w:ilvl="5" w:tplc="9AA67766" w:tentative="1">
      <w:start w:val="1"/>
      <w:numFmt w:val="decimal"/>
      <w:lvlText w:val="%6."/>
      <w:lvlJc w:val="left"/>
      <w:pPr>
        <w:tabs>
          <w:tab w:val="num" w:pos="4320"/>
        </w:tabs>
        <w:ind w:left="4320" w:hanging="360"/>
      </w:pPr>
    </w:lvl>
    <w:lvl w:ilvl="6" w:tplc="0D86356A" w:tentative="1">
      <w:start w:val="1"/>
      <w:numFmt w:val="decimal"/>
      <w:lvlText w:val="%7."/>
      <w:lvlJc w:val="left"/>
      <w:pPr>
        <w:tabs>
          <w:tab w:val="num" w:pos="5040"/>
        </w:tabs>
        <w:ind w:left="5040" w:hanging="360"/>
      </w:pPr>
    </w:lvl>
    <w:lvl w:ilvl="7" w:tplc="8B7EEC98" w:tentative="1">
      <w:start w:val="1"/>
      <w:numFmt w:val="decimal"/>
      <w:lvlText w:val="%8."/>
      <w:lvlJc w:val="left"/>
      <w:pPr>
        <w:tabs>
          <w:tab w:val="num" w:pos="5760"/>
        </w:tabs>
        <w:ind w:left="5760" w:hanging="360"/>
      </w:pPr>
    </w:lvl>
    <w:lvl w:ilvl="8" w:tplc="15B89344" w:tentative="1">
      <w:start w:val="1"/>
      <w:numFmt w:val="decimal"/>
      <w:lvlText w:val="%9."/>
      <w:lvlJc w:val="left"/>
      <w:pPr>
        <w:tabs>
          <w:tab w:val="num" w:pos="6480"/>
        </w:tabs>
        <w:ind w:left="6480" w:hanging="360"/>
      </w:pPr>
    </w:lvl>
  </w:abstractNum>
  <w:abstractNum w:abstractNumId="25" w15:restartNumberingAfterBreak="0">
    <w:nsid w:val="6BA97958"/>
    <w:multiLevelType w:val="multilevel"/>
    <w:tmpl w:val="D08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15067"/>
    <w:multiLevelType w:val="hybridMultilevel"/>
    <w:tmpl w:val="7EA299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36A0267"/>
    <w:multiLevelType w:val="multilevel"/>
    <w:tmpl w:val="9B4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2B05BE"/>
    <w:multiLevelType w:val="multilevel"/>
    <w:tmpl w:val="E682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8"/>
  </w:num>
  <w:num w:numId="4">
    <w:abstractNumId w:val="9"/>
  </w:num>
  <w:num w:numId="5">
    <w:abstractNumId w:val="15"/>
  </w:num>
  <w:num w:numId="6">
    <w:abstractNumId w:val="5"/>
  </w:num>
  <w:num w:numId="7">
    <w:abstractNumId w:val="0"/>
  </w:num>
  <w:num w:numId="8">
    <w:abstractNumId w:val="11"/>
  </w:num>
  <w:num w:numId="9">
    <w:abstractNumId w:val="27"/>
  </w:num>
  <w:num w:numId="10">
    <w:abstractNumId w:val="28"/>
  </w:num>
  <w:num w:numId="11">
    <w:abstractNumId w:val="23"/>
  </w:num>
  <w:num w:numId="12">
    <w:abstractNumId w:val="4"/>
  </w:num>
  <w:num w:numId="13">
    <w:abstractNumId w:val="20"/>
  </w:num>
  <w:num w:numId="14">
    <w:abstractNumId w:val="22"/>
  </w:num>
  <w:num w:numId="15">
    <w:abstractNumId w:val="21"/>
  </w:num>
  <w:num w:numId="16">
    <w:abstractNumId w:val="17"/>
  </w:num>
  <w:num w:numId="17">
    <w:abstractNumId w:val="13"/>
  </w:num>
  <w:num w:numId="18">
    <w:abstractNumId w:val="26"/>
  </w:num>
  <w:num w:numId="19">
    <w:abstractNumId w:val="18"/>
  </w:num>
  <w:num w:numId="20">
    <w:abstractNumId w:val="25"/>
  </w:num>
  <w:num w:numId="21">
    <w:abstractNumId w:val="7"/>
  </w:num>
  <w:num w:numId="22">
    <w:abstractNumId w:val="10"/>
  </w:num>
  <w:num w:numId="23">
    <w:abstractNumId w:val="6"/>
  </w:num>
  <w:num w:numId="24">
    <w:abstractNumId w:val="1"/>
  </w:num>
  <w:num w:numId="25">
    <w:abstractNumId w:val="2"/>
  </w:num>
  <w:num w:numId="26">
    <w:abstractNumId w:val="14"/>
  </w:num>
  <w:num w:numId="27">
    <w:abstractNumId w:val="16"/>
    <w:lvlOverride w:ilvl="0">
      <w:lvl w:ilvl="0">
        <w:numFmt w:val="upperLetter"/>
        <w:lvlText w:val="%1."/>
        <w:lvlJc w:val="left"/>
      </w:lvl>
    </w:lvlOverride>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571"/>
    <w:rsid w:val="00043630"/>
    <w:rsid w:val="00046A5B"/>
    <w:rsid w:val="0006091B"/>
    <w:rsid w:val="00095B0E"/>
    <w:rsid w:val="000A38E9"/>
    <w:rsid w:val="000B0B9D"/>
    <w:rsid w:val="000B4C6A"/>
    <w:rsid w:val="000C34FF"/>
    <w:rsid w:val="000C5E5A"/>
    <w:rsid w:val="000D11BE"/>
    <w:rsid w:val="000E712D"/>
    <w:rsid w:val="00106D18"/>
    <w:rsid w:val="001166FE"/>
    <w:rsid w:val="0014740A"/>
    <w:rsid w:val="00194465"/>
    <w:rsid w:val="001A734F"/>
    <w:rsid w:val="001E362C"/>
    <w:rsid w:val="001E66AF"/>
    <w:rsid w:val="001F0953"/>
    <w:rsid w:val="001F7456"/>
    <w:rsid w:val="00207D1C"/>
    <w:rsid w:val="00233964"/>
    <w:rsid w:val="00260101"/>
    <w:rsid w:val="002930D5"/>
    <w:rsid w:val="002A3FC2"/>
    <w:rsid w:val="002E4B7E"/>
    <w:rsid w:val="002E509A"/>
    <w:rsid w:val="002F63E9"/>
    <w:rsid w:val="003028E7"/>
    <w:rsid w:val="003528C9"/>
    <w:rsid w:val="00356906"/>
    <w:rsid w:val="00370627"/>
    <w:rsid w:val="003716B8"/>
    <w:rsid w:val="004130AD"/>
    <w:rsid w:val="004243E7"/>
    <w:rsid w:val="00440394"/>
    <w:rsid w:val="00460A8D"/>
    <w:rsid w:val="00473A68"/>
    <w:rsid w:val="0047671C"/>
    <w:rsid w:val="00492F6E"/>
    <w:rsid w:val="004A45AA"/>
    <w:rsid w:val="004A4607"/>
    <w:rsid w:val="004A6244"/>
    <w:rsid w:val="004D08A2"/>
    <w:rsid w:val="004E472B"/>
    <w:rsid w:val="004E632B"/>
    <w:rsid w:val="004F43DC"/>
    <w:rsid w:val="00507175"/>
    <w:rsid w:val="00513E7B"/>
    <w:rsid w:val="005212B3"/>
    <w:rsid w:val="00561672"/>
    <w:rsid w:val="0058517C"/>
    <w:rsid w:val="0059150A"/>
    <w:rsid w:val="00596FE3"/>
    <w:rsid w:val="005A2F06"/>
    <w:rsid w:val="005A4645"/>
    <w:rsid w:val="005D3611"/>
    <w:rsid w:val="005D4A1B"/>
    <w:rsid w:val="00600B42"/>
    <w:rsid w:val="00614D79"/>
    <w:rsid w:val="00630873"/>
    <w:rsid w:val="00645F5A"/>
    <w:rsid w:val="00654636"/>
    <w:rsid w:val="006572F9"/>
    <w:rsid w:val="00665EC3"/>
    <w:rsid w:val="00686217"/>
    <w:rsid w:val="00697D12"/>
    <w:rsid w:val="006A1EA1"/>
    <w:rsid w:val="006D4221"/>
    <w:rsid w:val="006F629E"/>
    <w:rsid w:val="007025D7"/>
    <w:rsid w:val="007351BC"/>
    <w:rsid w:val="0075162A"/>
    <w:rsid w:val="00756F9F"/>
    <w:rsid w:val="00761341"/>
    <w:rsid w:val="007970F6"/>
    <w:rsid w:val="007A5129"/>
    <w:rsid w:val="007C0571"/>
    <w:rsid w:val="007C6371"/>
    <w:rsid w:val="007D0939"/>
    <w:rsid w:val="00800713"/>
    <w:rsid w:val="00815EDD"/>
    <w:rsid w:val="00830B14"/>
    <w:rsid w:val="008B5326"/>
    <w:rsid w:val="008C0725"/>
    <w:rsid w:val="008D7A03"/>
    <w:rsid w:val="008F0C09"/>
    <w:rsid w:val="0090678E"/>
    <w:rsid w:val="00945650"/>
    <w:rsid w:val="009540BA"/>
    <w:rsid w:val="00972CF3"/>
    <w:rsid w:val="009C6E17"/>
    <w:rsid w:val="00A43B81"/>
    <w:rsid w:val="00A50139"/>
    <w:rsid w:val="00A659FD"/>
    <w:rsid w:val="00A72CAC"/>
    <w:rsid w:val="00A907F7"/>
    <w:rsid w:val="00A967EE"/>
    <w:rsid w:val="00AB26EB"/>
    <w:rsid w:val="00AC45AD"/>
    <w:rsid w:val="00AD2C5A"/>
    <w:rsid w:val="00AF2FA2"/>
    <w:rsid w:val="00AF45DA"/>
    <w:rsid w:val="00B04441"/>
    <w:rsid w:val="00B057F1"/>
    <w:rsid w:val="00B069F7"/>
    <w:rsid w:val="00B16543"/>
    <w:rsid w:val="00B62B0C"/>
    <w:rsid w:val="00B67790"/>
    <w:rsid w:val="00B716D6"/>
    <w:rsid w:val="00B87D97"/>
    <w:rsid w:val="00B907DA"/>
    <w:rsid w:val="00BB668B"/>
    <w:rsid w:val="00BE5C69"/>
    <w:rsid w:val="00BF2206"/>
    <w:rsid w:val="00BF6105"/>
    <w:rsid w:val="00C522EC"/>
    <w:rsid w:val="00C643E4"/>
    <w:rsid w:val="00C65D3D"/>
    <w:rsid w:val="00CA3068"/>
    <w:rsid w:val="00CE320A"/>
    <w:rsid w:val="00CF55C2"/>
    <w:rsid w:val="00D00056"/>
    <w:rsid w:val="00D00F13"/>
    <w:rsid w:val="00D07815"/>
    <w:rsid w:val="00D259D6"/>
    <w:rsid w:val="00D310DB"/>
    <w:rsid w:val="00D35523"/>
    <w:rsid w:val="00D50468"/>
    <w:rsid w:val="00D860AE"/>
    <w:rsid w:val="00D953C2"/>
    <w:rsid w:val="00DA00C4"/>
    <w:rsid w:val="00DA17D5"/>
    <w:rsid w:val="00DB512B"/>
    <w:rsid w:val="00DD3760"/>
    <w:rsid w:val="00E269C0"/>
    <w:rsid w:val="00E32EA0"/>
    <w:rsid w:val="00E3315E"/>
    <w:rsid w:val="00E36D13"/>
    <w:rsid w:val="00E5467E"/>
    <w:rsid w:val="00E765DF"/>
    <w:rsid w:val="00E96F1F"/>
    <w:rsid w:val="00EB1A78"/>
    <w:rsid w:val="00EB28CB"/>
    <w:rsid w:val="00EB48E9"/>
    <w:rsid w:val="00EB5162"/>
    <w:rsid w:val="00EF7376"/>
    <w:rsid w:val="00F55B0A"/>
    <w:rsid w:val="00F73A1B"/>
    <w:rsid w:val="00F743D0"/>
    <w:rsid w:val="00F96F2F"/>
    <w:rsid w:val="00FA579F"/>
    <w:rsid w:val="00FF4D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A62135"/>
  <w15:docId w15:val="{7C8DF40C-4BB8-4BED-972E-C5F5414C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964"/>
  </w:style>
  <w:style w:type="paragraph" w:styleId="Heading1">
    <w:name w:val="heading 1"/>
    <w:basedOn w:val="Normal"/>
    <w:next w:val="Normal"/>
    <w:link w:val="Heading1Char"/>
    <w:uiPriority w:val="9"/>
    <w:qFormat/>
    <w:rsid w:val="005A4645"/>
    <w:pPr>
      <w:keepNext/>
      <w:keepLines/>
      <w:spacing w:before="480" w:beforeAutospacing="0" w:after="0" w:afterAutospacing="0" w:line="276" w:lineRule="auto"/>
      <w:ind w:firstLine="0"/>
      <w:jc w:val="left"/>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link w:val="Heading2Char"/>
    <w:uiPriority w:val="9"/>
    <w:qFormat/>
    <w:rsid w:val="00AF45DA"/>
    <w:pPr>
      <w:spacing w:line="240" w:lineRule="auto"/>
      <w:ind w:firstLine="0"/>
      <w:jc w:val="left"/>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AF45DA"/>
    <w:pPr>
      <w:spacing w:line="240" w:lineRule="auto"/>
      <w:ind w:firstLine="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55B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6371"/>
    <w:rPr>
      <w:b/>
      <w:bCs/>
    </w:rPr>
  </w:style>
  <w:style w:type="character" w:customStyle="1" w:styleId="Heading2Char">
    <w:name w:val="Heading 2 Char"/>
    <w:basedOn w:val="DefaultParagraphFont"/>
    <w:link w:val="Heading2"/>
    <w:uiPriority w:val="9"/>
    <w:rsid w:val="00AF45D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AF45DA"/>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5A4645"/>
    <w:rPr>
      <w:rFonts w:asciiTheme="majorHAnsi" w:eastAsiaTheme="majorEastAsia" w:hAnsiTheme="majorHAnsi" w:cstheme="majorBidi"/>
      <w:b/>
      <w:bCs/>
      <w:color w:val="365F91" w:themeColor="accent1" w:themeShade="BF"/>
      <w:sz w:val="28"/>
      <w:szCs w:val="28"/>
      <w:lang w:val="en-US"/>
    </w:rPr>
  </w:style>
  <w:style w:type="table" w:styleId="TableGrid">
    <w:name w:val="Table Grid"/>
    <w:basedOn w:val="TableNormal"/>
    <w:uiPriority w:val="59"/>
    <w:rsid w:val="005A4645"/>
    <w:pPr>
      <w:spacing w:before="0" w:beforeAutospacing="0" w:after="0" w:afterAutospacing="0" w:line="240" w:lineRule="auto"/>
      <w:ind w:firstLine="0"/>
      <w:jc w:val="left"/>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0725"/>
    <w:rPr>
      <w:i/>
      <w:iCs/>
    </w:rPr>
  </w:style>
  <w:style w:type="character" w:customStyle="1" w:styleId="Heading4Char">
    <w:name w:val="Heading 4 Char"/>
    <w:basedOn w:val="DefaultParagraphFont"/>
    <w:link w:val="Heading4"/>
    <w:uiPriority w:val="9"/>
    <w:rsid w:val="00F55B0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95B0E"/>
    <w:pPr>
      <w:ind w:left="720"/>
      <w:contextualSpacing/>
    </w:pPr>
  </w:style>
  <w:style w:type="paragraph" w:styleId="NormalWeb">
    <w:name w:val="Normal (Web)"/>
    <w:basedOn w:val="Normal"/>
    <w:uiPriority w:val="99"/>
    <w:unhideWhenUsed/>
    <w:rsid w:val="00830B14"/>
    <w:pPr>
      <w:spacing w:line="240" w:lineRule="auto"/>
      <w:ind w:firstLine="0"/>
      <w:jc w:val="left"/>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D7A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A03"/>
    <w:rPr>
      <w:rFonts w:ascii="Tahoma" w:hAnsi="Tahoma" w:cs="Tahoma"/>
      <w:sz w:val="16"/>
      <w:szCs w:val="16"/>
    </w:rPr>
  </w:style>
  <w:style w:type="character" w:styleId="Hyperlink">
    <w:name w:val="Hyperlink"/>
    <w:basedOn w:val="DefaultParagraphFont"/>
    <w:uiPriority w:val="99"/>
    <w:unhideWhenUsed/>
    <w:rsid w:val="009540BA"/>
    <w:rPr>
      <w:color w:val="0000FF"/>
      <w:u w:val="single"/>
    </w:rPr>
  </w:style>
  <w:style w:type="character" w:customStyle="1" w:styleId="ej-journal-doi">
    <w:name w:val="ej-journal-doi"/>
    <w:basedOn w:val="DefaultParagraphFont"/>
    <w:rsid w:val="009540BA"/>
  </w:style>
  <w:style w:type="character" w:customStyle="1" w:styleId="anchor-text">
    <w:name w:val="anchor-text"/>
    <w:basedOn w:val="DefaultParagraphFont"/>
    <w:rsid w:val="005D4A1B"/>
  </w:style>
  <w:style w:type="character" w:customStyle="1" w:styleId="generated">
    <w:name w:val="generated"/>
    <w:basedOn w:val="DefaultParagraphFont"/>
    <w:rsid w:val="000D11BE"/>
  </w:style>
  <w:style w:type="character" w:styleId="LineNumber">
    <w:name w:val="line number"/>
    <w:basedOn w:val="DefaultParagraphFont"/>
    <w:uiPriority w:val="99"/>
    <w:semiHidden/>
    <w:unhideWhenUsed/>
    <w:rsid w:val="00E269C0"/>
  </w:style>
  <w:style w:type="character" w:styleId="UnresolvedMention">
    <w:name w:val="Unresolved Mention"/>
    <w:basedOn w:val="DefaultParagraphFont"/>
    <w:uiPriority w:val="99"/>
    <w:semiHidden/>
    <w:unhideWhenUsed/>
    <w:rsid w:val="00260101"/>
    <w:rPr>
      <w:color w:val="605E5C"/>
      <w:shd w:val="clear" w:color="auto" w:fill="E1DFDD"/>
    </w:rPr>
  </w:style>
  <w:style w:type="paragraph" w:styleId="Header">
    <w:name w:val="header"/>
    <w:basedOn w:val="Normal"/>
    <w:link w:val="HeaderChar"/>
    <w:uiPriority w:val="99"/>
    <w:unhideWhenUsed/>
    <w:rsid w:val="00BE5C6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E5C69"/>
  </w:style>
  <w:style w:type="paragraph" w:styleId="Footer">
    <w:name w:val="footer"/>
    <w:basedOn w:val="Normal"/>
    <w:link w:val="FooterChar"/>
    <w:uiPriority w:val="99"/>
    <w:unhideWhenUsed/>
    <w:rsid w:val="00BE5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E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3720">
      <w:bodyDiv w:val="1"/>
      <w:marLeft w:val="0"/>
      <w:marRight w:val="0"/>
      <w:marTop w:val="0"/>
      <w:marBottom w:val="0"/>
      <w:divBdr>
        <w:top w:val="none" w:sz="0" w:space="0" w:color="auto"/>
        <w:left w:val="none" w:sz="0" w:space="0" w:color="auto"/>
        <w:bottom w:val="none" w:sz="0" w:space="0" w:color="auto"/>
        <w:right w:val="none" w:sz="0" w:space="0" w:color="auto"/>
      </w:divBdr>
    </w:div>
    <w:div w:id="117341667">
      <w:bodyDiv w:val="1"/>
      <w:marLeft w:val="0"/>
      <w:marRight w:val="0"/>
      <w:marTop w:val="0"/>
      <w:marBottom w:val="0"/>
      <w:divBdr>
        <w:top w:val="none" w:sz="0" w:space="0" w:color="auto"/>
        <w:left w:val="none" w:sz="0" w:space="0" w:color="auto"/>
        <w:bottom w:val="none" w:sz="0" w:space="0" w:color="auto"/>
        <w:right w:val="none" w:sz="0" w:space="0" w:color="auto"/>
      </w:divBdr>
    </w:div>
    <w:div w:id="135879981">
      <w:bodyDiv w:val="1"/>
      <w:marLeft w:val="0"/>
      <w:marRight w:val="0"/>
      <w:marTop w:val="0"/>
      <w:marBottom w:val="0"/>
      <w:divBdr>
        <w:top w:val="none" w:sz="0" w:space="0" w:color="auto"/>
        <w:left w:val="none" w:sz="0" w:space="0" w:color="auto"/>
        <w:bottom w:val="none" w:sz="0" w:space="0" w:color="auto"/>
        <w:right w:val="none" w:sz="0" w:space="0" w:color="auto"/>
      </w:divBdr>
    </w:div>
    <w:div w:id="141624897">
      <w:bodyDiv w:val="1"/>
      <w:marLeft w:val="0"/>
      <w:marRight w:val="0"/>
      <w:marTop w:val="0"/>
      <w:marBottom w:val="0"/>
      <w:divBdr>
        <w:top w:val="none" w:sz="0" w:space="0" w:color="auto"/>
        <w:left w:val="none" w:sz="0" w:space="0" w:color="auto"/>
        <w:bottom w:val="none" w:sz="0" w:space="0" w:color="auto"/>
        <w:right w:val="none" w:sz="0" w:space="0" w:color="auto"/>
      </w:divBdr>
    </w:div>
    <w:div w:id="145822170">
      <w:bodyDiv w:val="1"/>
      <w:marLeft w:val="0"/>
      <w:marRight w:val="0"/>
      <w:marTop w:val="0"/>
      <w:marBottom w:val="0"/>
      <w:divBdr>
        <w:top w:val="none" w:sz="0" w:space="0" w:color="auto"/>
        <w:left w:val="none" w:sz="0" w:space="0" w:color="auto"/>
        <w:bottom w:val="none" w:sz="0" w:space="0" w:color="auto"/>
        <w:right w:val="none" w:sz="0" w:space="0" w:color="auto"/>
      </w:divBdr>
      <w:divsChild>
        <w:div w:id="950745319">
          <w:marLeft w:val="0"/>
          <w:marRight w:val="0"/>
          <w:marTop w:val="0"/>
          <w:marBottom w:val="150"/>
          <w:divBdr>
            <w:top w:val="none" w:sz="0" w:space="0" w:color="auto"/>
            <w:left w:val="none" w:sz="0" w:space="0" w:color="auto"/>
            <w:bottom w:val="none" w:sz="0" w:space="0" w:color="auto"/>
            <w:right w:val="none" w:sz="0" w:space="0" w:color="auto"/>
          </w:divBdr>
        </w:div>
      </w:divsChild>
    </w:div>
    <w:div w:id="147091971">
      <w:bodyDiv w:val="1"/>
      <w:marLeft w:val="0"/>
      <w:marRight w:val="0"/>
      <w:marTop w:val="0"/>
      <w:marBottom w:val="0"/>
      <w:divBdr>
        <w:top w:val="none" w:sz="0" w:space="0" w:color="auto"/>
        <w:left w:val="none" w:sz="0" w:space="0" w:color="auto"/>
        <w:bottom w:val="none" w:sz="0" w:space="0" w:color="auto"/>
        <w:right w:val="none" w:sz="0" w:space="0" w:color="auto"/>
      </w:divBdr>
    </w:div>
    <w:div w:id="211158221">
      <w:bodyDiv w:val="1"/>
      <w:marLeft w:val="0"/>
      <w:marRight w:val="0"/>
      <w:marTop w:val="0"/>
      <w:marBottom w:val="0"/>
      <w:divBdr>
        <w:top w:val="none" w:sz="0" w:space="0" w:color="auto"/>
        <w:left w:val="none" w:sz="0" w:space="0" w:color="auto"/>
        <w:bottom w:val="none" w:sz="0" w:space="0" w:color="auto"/>
        <w:right w:val="none" w:sz="0" w:space="0" w:color="auto"/>
      </w:divBdr>
    </w:div>
    <w:div w:id="230509266">
      <w:bodyDiv w:val="1"/>
      <w:marLeft w:val="0"/>
      <w:marRight w:val="0"/>
      <w:marTop w:val="0"/>
      <w:marBottom w:val="0"/>
      <w:divBdr>
        <w:top w:val="none" w:sz="0" w:space="0" w:color="auto"/>
        <w:left w:val="none" w:sz="0" w:space="0" w:color="auto"/>
        <w:bottom w:val="none" w:sz="0" w:space="0" w:color="auto"/>
        <w:right w:val="none" w:sz="0" w:space="0" w:color="auto"/>
      </w:divBdr>
    </w:div>
    <w:div w:id="269361381">
      <w:bodyDiv w:val="1"/>
      <w:marLeft w:val="0"/>
      <w:marRight w:val="0"/>
      <w:marTop w:val="0"/>
      <w:marBottom w:val="0"/>
      <w:divBdr>
        <w:top w:val="none" w:sz="0" w:space="0" w:color="auto"/>
        <w:left w:val="none" w:sz="0" w:space="0" w:color="auto"/>
        <w:bottom w:val="none" w:sz="0" w:space="0" w:color="auto"/>
        <w:right w:val="none" w:sz="0" w:space="0" w:color="auto"/>
      </w:divBdr>
    </w:div>
    <w:div w:id="296111502">
      <w:bodyDiv w:val="1"/>
      <w:marLeft w:val="0"/>
      <w:marRight w:val="0"/>
      <w:marTop w:val="0"/>
      <w:marBottom w:val="0"/>
      <w:divBdr>
        <w:top w:val="none" w:sz="0" w:space="0" w:color="auto"/>
        <w:left w:val="none" w:sz="0" w:space="0" w:color="auto"/>
        <w:bottom w:val="none" w:sz="0" w:space="0" w:color="auto"/>
        <w:right w:val="none" w:sz="0" w:space="0" w:color="auto"/>
      </w:divBdr>
    </w:div>
    <w:div w:id="303974518">
      <w:bodyDiv w:val="1"/>
      <w:marLeft w:val="0"/>
      <w:marRight w:val="0"/>
      <w:marTop w:val="0"/>
      <w:marBottom w:val="0"/>
      <w:divBdr>
        <w:top w:val="none" w:sz="0" w:space="0" w:color="auto"/>
        <w:left w:val="none" w:sz="0" w:space="0" w:color="auto"/>
        <w:bottom w:val="none" w:sz="0" w:space="0" w:color="auto"/>
        <w:right w:val="none" w:sz="0" w:space="0" w:color="auto"/>
      </w:divBdr>
    </w:div>
    <w:div w:id="310794240">
      <w:bodyDiv w:val="1"/>
      <w:marLeft w:val="0"/>
      <w:marRight w:val="0"/>
      <w:marTop w:val="0"/>
      <w:marBottom w:val="0"/>
      <w:divBdr>
        <w:top w:val="none" w:sz="0" w:space="0" w:color="auto"/>
        <w:left w:val="none" w:sz="0" w:space="0" w:color="auto"/>
        <w:bottom w:val="none" w:sz="0" w:space="0" w:color="auto"/>
        <w:right w:val="none" w:sz="0" w:space="0" w:color="auto"/>
      </w:divBdr>
    </w:div>
    <w:div w:id="324744989">
      <w:bodyDiv w:val="1"/>
      <w:marLeft w:val="0"/>
      <w:marRight w:val="0"/>
      <w:marTop w:val="0"/>
      <w:marBottom w:val="0"/>
      <w:divBdr>
        <w:top w:val="none" w:sz="0" w:space="0" w:color="auto"/>
        <w:left w:val="none" w:sz="0" w:space="0" w:color="auto"/>
        <w:bottom w:val="none" w:sz="0" w:space="0" w:color="auto"/>
        <w:right w:val="none" w:sz="0" w:space="0" w:color="auto"/>
      </w:divBdr>
    </w:div>
    <w:div w:id="368921283">
      <w:bodyDiv w:val="1"/>
      <w:marLeft w:val="0"/>
      <w:marRight w:val="0"/>
      <w:marTop w:val="0"/>
      <w:marBottom w:val="0"/>
      <w:divBdr>
        <w:top w:val="none" w:sz="0" w:space="0" w:color="auto"/>
        <w:left w:val="none" w:sz="0" w:space="0" w:color="auto"/>
        <w:bottom w:val="none" w:sz="0" w:space="0" w:color="auto"/>
        <w:right w:val="none" w:sz="0" w:space="0" w:color="auto"/>
      </w:divBdr>
    </w:div>
    <w:div w:id="382946109">
      <w:bodyDiv w:val="1"/>
      <w:marLeft w:val="0"/>
      <w:marRight w:val="0"/>
      <w:marTop w:val="0"/>
      <w:marBottom w:val="0"/>
      <w:divBdr>
        <w:top w:val="none" w:sz="0" w:space="0" w:color="auto"/>
        <w:left w:val="none" w:sz="0" w:space="0" w:color="auto"/>
        <w:bottom w:val="none" w:sz="0" w:space="0" w:color="auto"/>
        <w:right w:val="none" w:sz="0" w:space="0" w:color="auto"/>
      </w:divBdr>
    </w:div>
    <w:div w:id="401173188">
      <w:bodyDiv w:val="1"/>
      <w:marLeft w:val="0"/>
      <w:marRight w:val="0"/>
      <w:marTop w:val="0"/>
      <w:marBottom w:val="0"/>
      <w:divBdr>
        <w:top w:val="none" w:sz="0" w:space="0" w:color="auto"/>
        <w:left w:val="none" w:sz="0" w:space="0" w:color="auto"/>
        <w:bottom w:val="none" w:sz="0" w:space="0" w:color="auto"/>
        <w:right w:val="none" w:sz="0" w:space="0" w:color="auto"/>
      </w:divBdr>
    </w:div>
    <w:div w:id="452793919">
      <w:bodyDiv w:val="1"/>
      <w:marLeft w:val="0"/>
      <w:marRight w:val="0"/>
      <w:marTop w:val="0"/>
      <w:marBottom w:val="0"/>
      <w:divBdr>
        <w:top w:val="none" w:sz="0" w:space="0" w:color="auto"/>
        <w:left w:val="none" w:sz="0" w:space="0" w:color="auto"/>
        <w:bottom w:val="none" w:sz="0" w:space="0" w:color="auto"/>
        <w:right w:val="none" w:sz="0" w:space="0" w:color="auto"/>
      </w:divBdr>
      <w:divsChild>
        <w:div w:id="157111086">
          <w:marLeft w:val="0"/>
          <w:marRight w:val="0"/>
          <w:marTop w:val="0"/>
          <w:marBottom w:val="150"/>
          <w:divBdr>
            <w:top w:val="none" w:sz="0" w:space="0" w:color="auto"/>
            <w:left w:val="none" w:sz="0" w:space="0" w:color="auto"/>
            <w:bottom w:val="none" w:sz="0" w:space="0" w:color="auto"/>
            <w:right w:val="none" w:sz="0" w:space="0" w:color="auto"/>
          </w:divBdr>
        </w:div>
      </w:divsChild>
    </w:div>
    <w:div w:id="463278989">
      <w:bodyDiv w:val="1"/>
      <w:marLeft w:val="0"/>
      <w:marRight w:val="0"/>
      <w:marTop w:val="0"/>
      <w:marBottom w:val="0"/>
      <w:divBdr>
        <w:top w:val="none" w:sz="0" w:space="0" w:color="auto"/>
        <w:left w:val="none" w:sz="0" w:space="0" w:color="auto"/>
        <w:bottom w:val="none" w:sz="0" w:space="0" w:color="auto"/>
        <w:right w:val="none" w:sz="0" w:space="0" w:color="auto"/>
      </w:divBdr>
    </w:div>
    <w:div w:id="485587277">
      <w:bodyDiv w:val="1"/>
      <w:marLeft w:val="0"/>
      <w:marRight w:val="0"/>
      <w:marTop w:val="0"/>
      <w:marBottom w:val="0"/>
      <w:divBdr>
        <w:top w:val="none" w:sz="0" w:space="0" w:color="auto"/>
        <w:left w:val="none" w:sz="0" w:space="0" w:color="auto"/>
        <w:bottom w:val="none" w:sz="0" w:space="0" w:color="auto"/>
        <w:right w:val="none" w:sz="0" w:space="0" w:color="auto"/>
      </w:divBdr>
    </w:div>
    <w:div w:id="558253365">
      <w:bodyDiv w:val="1"/>
      <w:marLeft w:val="0"/>
      <w:marRight w:val="0"/>
      <w:marTop w:val="0"/>
      <w:marBottom w:val="0"/>
      <w:divBdr>
        <w:top w:val="none" w:sz="0" w:space="0" w:color="auto"/>
        <w:left w:val="none" w:sz="0" w:space="0" w:color="auto"/>
        <w:bottom w:val="none" w:sz="0" w:space="0" w:color="auto"/>
        <w:right w:val="none" w:sz="0" w:space="0" w:color="auto"/>
      </w:divBdr>
    </w:div>
    <w:div w:id="633415116">
      <w:bodyDiv w:val="1"/>
      <w:marLeft w:val="0"/>
      <w:marRight w:val="0"/>
      <w:marTop w:val="0"/>
      <w:marBottom w:val="0"/>
      <w:divBdr>
        <w:top w:val="none" w:sz="0" w:space="0" w:color="auto"/>
        <w:left w:val="none" w:sz="0" w:space="0" w:color="auto"/>
        <w:bottom w:val="none" w:sz="0" w:space="0" w:color="auto"/>
        <w:right w:val="none" w:sz="0" w:space="0" w:color="auto"/>
      </w:divBdr>
    </w:div>
    <w:div w:id="648444009">
      <w:bodyDiv w:val="1"/>
      <w:marLeft w:val="0"/>
      <w:marRight w:val="0"/>
      <w:marTop w:val="0"/>
      <w:marBottom w:val="0"/>
      <w:divBdr>
        <w:top w:val="none" w:sz="0" w:space="0" w:color="auto"/>
        <w:left w:val="none" w:sz="0" w:space="0" w:color="auto"/>
        <w:bottom w:val="none" w:sz="0" w:space="0" w:color="auto"/>
        <w:right w:val="none" w:sz="0" w:space="0" w:color="auto"/>
      </w:divBdr>
    </w:div>
    <w:div w:id="682780480">
      <w:bodyDiv w:val="1"/>
      <w:marLeft w:val="0"/>
      <w:marRight w:val="0"/>
      <w:marTop w:val="0"/>
      <w:marBottom w:val="0"/>
      <w:divBdr>
        <w:top w:val="none" w:sz="0" w:space="0" w:color="auto"/>
        <w:left w:val="none" w:sz="0" w:space="0" w:color="auto"/>
        <w:bottom w:val="none" w:sz="0" w:space="0" w:color="auto"/>
        <w:right w:val="none" w:sz="0" w:space="0" w:color="auto"/>
      </w:divBdr>
    </w:div>
    <w:div w:id="698626524">
      <w:bodyDiv w:val="1"/>
      <w:marLeft w:val="0"/>
      <w:marRight w:val="0"/>
      <w:marTop w:val="0"/>
      <w:marBottom w:val="0"/>
      <w:divBdr>
        <w:top w:val="none" w:sz="0" w:space="0" w:color="auto"/>
        <w:left w:val="none" w:sz="0" w:space="0" w:color="auto"/>
        <w:bottom w:val="none" w:sz="0" w:space="0" w:color="auto"/>
        <w:right w:val="none" w:sz="0" w:space="0" w:color="auto"/>
      </w:divBdr>
    </w:div>
    <w:div w:id="724373366">
      <w:bodyDiv w:val="1"/>
      <w:marLeft w:val="0"/>
      <w:marRight w:val="0"/>
      <w:marTop w:val="0"/>
      <w:marBottom w:val="0"/>
      <w:divBdr>
        <w:top w:val="none" w:sz="0" w:space="0" w:color="auto"/>
        <w:left w:val="none" w:sz="0" w:space="0" w:color="auto"/>
        <w:bottom w:val="none" w:sz="0" w:space="0" w:color="auto"/>
        <w:right w:val="none" w:sz="0" w:space="0" w:color="auto"/>
      </w:divBdr>
    </w:div>
    <w:div w:id="773132320">
      <w:bodyDiv w:val="1"/>
      <w:marLeft w:val="0"/>
      <w:marRight w:val="0"/>
      <w:marTop w:val="0"/>
      <w:marBottom w:val="0"/>
      <w:divBdr>
        <w:top w:val="none" w:sz="0" w:space="0" w:color="auto"/>
        <w:left w:val="none" w:sz="0" w:space="0" w:color="auto"/>
        <w:bottom w:val="none" w:sz="0" w:space="0" w:color="auto"/>
        <w:right w:val="none" w:sz="0" w:space="0" w:color="auto"/>
      </w:divBdr>
    </w:div>
    <w:div w:id="846138490">
      <w:bodyDiv w:val="1"/>
      <w:marLeft w:val="0"/>
      <w:marRight w:val="0"/>
      <w:marTop w:val="0"/>
      <w:marBottom w:val="0"/>
      <w:divBdr>
        <w:top w:val="none" w:sz="0" w:space="0" w:color="auto"/>
        <w:left w:val="none" w:sz="0" w:space="0" w:color="auto"/>
        <w:bottom w:val="none" w:sz="0" w:space="0" w:color="auto"/>
        <w:right w:val="none" w:sz="0" w:space="0" w:color="auto"/>
      </w:divBdr>
    </w:div>
    <w:div w:id="893466090">
      <w:bodyDiv w:val="1"/>
      <w:marLeft w:val="0"/>
      <w:marRight w:val="0"/>
      <w:marTop w:val="0"/>
      <w:marBottom w:val="0"/>
      <w:divBdr>
        <w:top w:val="none" w:sz="0" w:space="0" w:color="auto"/>
        <w:left w:val="none" w:sz="0" w:space="0" w:color="auto"/>
        <w:bottom w:val="none" w:sz="0" w:space="0" w:color="auto"/>
        <w:right w:val="none" w:sz="0" w:space="0" w:color="auto"/>
      </w:divBdr>
    </w:div>
    <w:div w:id="946305544">
      <w:bodyDiv w:val="1"/>
      <w:marLeft w:val="0"/>
      <w:marRight w:val="0"/>
      <w:marTop w:val="0"/>
      <w:marBottom w:val="0"/>
      <w:divBdr>
        <w:top w:val="none" w:sz="0" w:space="0" w:color="auto"/>
        <w:left w:val="none" w:sz="0" w:space="0" w:color="auto"/>
        <w:bottom w:val="none" w:sz="0" w:space="0" w:color="auto"/>
        <w:right w:val="none" w:sz="0" w:space="0" w:color="auto"/>
      </w:divBdr>
    </w:div>
    <w:div w:id="1019699663">
      <w:bodyDiv w:val="1"/>
      <w:marLeft w:val="0"/>
      <w:marRight w:val="0"/>
      <w:marTop w:val="0"/>
      <w:marBottom w:val="0"/>
      <w:divBdr>
        <w:top w:val="none" w:sz="0" w:space="0" w:color="auto"/>
        <w:left w:val="none" w:sz="0" w:space="0" w:color="auto"/>
        <w:bottom w:val="none" w:sz="0" w:space="0" w:color="auto"/>
        <w:right w:val="none" w:sz="0" w:space="0" w:color="auto"/>
      </w:divBdr>
    </w:div>
    <w:div w:id="1066757489">
      <w:bodyDiv w:val="1"/>
      <w:marLeft w:val="0"/>
      <w:marRight w:val="0"/>
      <w:marTop w:val="0"/>
      <w:marBottom w:val="0"/>
      <w:divBdr>
        <w:top w:val="none" w:sz="0" w:space="0" w:color="auto"/>
        <w:left w:val="none" w:sz="0" w:space="0" w:color="auto"/>
        <w:bottom w:val="none" w:sz="0" w:space="0" w:color="auto"/>
        <w:right w:val="none" w:sz="0" w:space="0" w:color="auto"/>
      </w:divBdr>
    </w:div>
    <w:div w:id="1085951624">
      <w:bodyDiv w:val="1"/>
      <w:marLeft w:val="0"/>
      <w:marRight w:val="0"/>
      <w:marTop w:val="0"/>
      <w:marBottom w:val="0"/>
      <w:divBdr>
        <w:top w:val="none" w:sz="0" w:space="0" w:color="auto"/>
        <w:left w:val="none" w:sz="0" w:space="0" w:color="auto"/>
        <w:bottom w:val="none" w:sz="0" w:space="0" w:color="auto"/>
        <w:right w:val="none" w:sz="0" w:space="0" w:color="auto"/>
      </w:divBdr>
    </w:div>
    <w:div w:id="1117021049">
      <w:bodyDiv w:val="1"/>
      <w:marLeft w:val="0"/>
      <w:marRight w:val="0"/>
      <w:marTop w:val="0"/>
      <w:marBottom w:val="0"/>
      <w:divBdr>
        <w:top w:val="none" w:sz="0" w:space="0" w:color="auto"/>
        <w:left w:val="none" w:sz="0" w:space="0" w:color="auto"/>
        <w:bottom w:val="none" w:sz="0" w:space="0" w:color="auto"/>
        <w:right w:val="none" w:sz="0" w:space="0" w:color="auto"/>
      </w:divBdr>
    </w:div>
    <w:div w:id="1181628966">
      <w:bodyDiv w:val="1"/>
      <w:marLeft w:val="0"/>
      <w:marRight w:val="0"/>
      <w:marTop w:val="0"/>
      <w:marBottom w:val="0"/>
      <w:divBdr>
        <w:top w:val="none" w:sz="0" w:space="0" w:color="auto"/>
        <w:left w:val="none" w:sz="0" w:space="0" w:color="auto"/>
        <w:bottom w:val="none" w:sz="0" w:space="0" w:color="auto"/>
        <w:right w:val="none" w:sz="0" w:space="0" w:color="auto"/>
      </w:divBdr>
      <w:divsChild>
        <w:div w:id="409891361">
          <w:marLeft w:val="0"/>
          <w:marRight w:val="0"/>
          <w:marTop w:val="0"/>
          <w:marBottom w:val="0"/>
          <w:divBdr>
            <w:top w:val="none" w:sz="0" w:space="0" w:color="auto"/>
            <w:left w:val="none" w:sz="0" w:space="0" w:color="auto"/>
            <w:bottom w:val="none" w:sz="0" w:space="0" w:color="auto"/>
            <w:right w:val="none" w:sz="0" w:space="0" w:color="auto"/>
          </w:divBdr>
          <w:divsChild>
            <w:div w:id="1747923241">
              <w:marLeft w:val="0"/>
              <w:marRight w:val="0"/>
              <w:marTop w:val="0"/>
              <w:marBottom w:val="0"/>
              <w:divBdr>
                <w:top w:val="none" w:sz="0" w:space="0" w:color="auto"/>
                <w:left w:val="none" w:sz="0" w:space="0" w:color="auto"/>
                <w:bottom w:val="none" w:sz="0" w:space="0" w:color="auto"/>
                <w:right w:val="none" w:sz="0" w:space="0" w:color="auto"/>
              </w:divBdr>
              <w:divsChild>
                <w:div w:id="2042389871">
                  <w:marLeft w:val="0"/>
                  <w:marRight w:val="0"/>
                  <w:marTop w:val="0"/>
                  <w:marBottom w:val="0"/>
                  <w:divBdr>
                    <w:top w:val="none" w:sz="0" w:space="0" w:color="auto"/>
                    <w:left w:val="none" w:sz="0" w:space="0" w:color="auto"/>
                    <w:bottom w:val="none" w:sz="0" w:space="0" w:color="auto"/>
                    <w:right w:val="none" w:sz="0" w:space="0" w:color="auto"/>
                  </w:divBdr>
                  <w:divsChild>
                    <w:div w:id="2229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5684">
          <w:marLeft w:val="0"/>
          <w:marRight w:val="0"/>
          <w:marTop w:val="0"/>
          <w:marBottom w:val="0"/>
          <w:divBdr>
            <w:top w:val="none" w:sz="0" w:space="0" w:color="auto"/>
            <w:left w:val="none" w:sz="0" w:space="0" w:color="auto"/>
            <w:bottom w:val="none" w:sz="0" w:space="0" w:color="auto"/>
            <w:right w:val="none" w:sz="0" w:space="0" w:color="auto"/>
          </w:divBdr>
          <w:divsChild>
            <w:div w:id="79182789">
              <w:marLeft w:val="0"/>
              <w:marRight w:val="0"/>
              <w:marTop w:val="0"/>
              <w:marBottom w:val="0"/>
              <w:divBdr>
                <w:top w:val="none" w:sz="0" w:space="0" w:color="auto"/>
                <w:left w:val="none" w:sz="0" w:space="0" w:color="auto"/>
                <w:bottom w:val="none" w:sz="0" w:space="0" w:color="auto"/>
                <w:right w:val="none" w:sz="0" w:space="0" w:color="auto"/>
              </w:divBdr>
            </w:div>
            <w:div w:id="20963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0382">
      <w:bodyDiv w:val="1"/>
      <w:marLeft w:val="0"/>
      <w:marRight w:val="0"/>
      <w:marTop w:val="0"/>
      <w:marBottom w:val="0"/>
      <w:divBdr>
        <w:top w:val="none" w:sz="0" w:space="0" w:color="auto"/>
        <w:left w:val="none" w:sz="0" w:space="0" w:color="auto"/>
        <w:bottom w:val="none" w:sz="0" w:space="0" w:color="auto"/>
        <w:right w:val="none" w:sz="0" w:space="0" w:color="auto"/>
      </w:divBdr>
    </w:div>
    <w:div w:id="1192963404">
      <w:bodyDiv w:val="1"/>
      <w:marLeft w:val="0"/>
      <w:marRight w:val="0"/>
      <w:marTop w:val="0"/>
      <w:marBottom w:val="0"/>
      <w:divBdr>
        <w:top w:val="none" w:sz="0" w:space="0" w:color="auto"/>
        <w:left w:val="none" w:sz="0" w:space="0" w:color="auto"/>
        <w:bottom w:val="none" w:sz="0" w:space="0" w:color="auto"/>
        <w:right w:val="none" w:sz="0" w:space="0" w:color="auto"/>
      </w:divBdr>
    </w:div>
    <w:div w:id="1337223497">
      <w:bodyDiv w:val="1"/>
      <w:marLeft w:val="0"/>
      <w:marRight w:val="0"/>
      <w:marTop w:val="0"/>
      <w:marBottom w:val="0"/>
      <w:divBdr>
        <w:top w:val="none" w:sz="0" w:space="0" w:color="auto"/>
        <w:left w:val="none" w:sz="0" w:space="0" w:color="auto"/>
        <w:bottom w:val="none" w:sz="0" w:space="0" w:color="auto"/>
        <w:right w:val="none" w:sz="0" w:space="0" w:color="auto"/>
      </w:divBdr>
    </w:div>
    <w:div w:id="1351178769">
      <w:bodyDiv w:val="1"/>
      <w:marLeft w:val="0"/>
      <w:marRight w:val="0"/>
      <w:marTop w:val="0"/>
      <w:marBottom w:val="0"/>
      <w:divBdr>
        <w:top w:val="none" w:sz="0" w:space="0" w:color="auto"/>
        <w:left w:val="none" w:sz="0" w:space="0" w:color="auto"/>
        <w:bottom w:val="none" w:sz="0" w:space="0" w:color="auto"/>
        <w:right w:val="none" w:sz="0" w:space="0" w:color="auto"/>
      </w:divBdr>
    </w:div>
    <w:div w:id="1353720623">
      <w:bodyDiv w:val="1"/>
      <w:marLeft w:val="0"/>
      <w:marRight w:val="0"/>
      <w:marTop w:val="0"/>
      <w:marBottom w:val="0"/>
      <w:divBdr>
        <w:top w:val="none" w:sz="0" w:space="0" w:color="auto"/>
        <w:left w:val="none" w:sz="0" w:space="0" w:color="auto"/>
        <w:bottom w:val="none" w:sz="0" w:space="0" w:color="auto"/>
        <w:right w:val="none" w:sz="0" w:space="0" w:color="auto"/>
      </w:divBdr>
    </w:div>
    <w:div w:id="1485971390">
      <w:bodyDiv w:val="1"/>
      <w:marLeft w:val="0"/>
      <w:marRight w:val="0"/>
      <w:marTop w:val="0"/>
      <w:marBottom w:val="0"/>
      <w:divBdr>
        <w:top w:val="none" w:sz="0" w:space="0" w:color="auto"/>
        <w:left w:val="none" w:sz="0" w:space="0" w:color="auto"/>
        <w:bottom w:val="none" w:sz="0" w:space="0" w:color="auto"/>
        <w:right w:val="none" w:sz="0" w:space="0" w:color="auto"/>
      </w:divBdr>
    </w:div>
    <w:div w:id="1515916461">
      <w:bodyDiv w:val="1"/>
      <w:marLeft w:val="0"/>
      <w:marRight w:val="0"/>
      <w:marTop w:val="0"/>
      <w:marBottom w:val="0"/>
      <w:divBdr>
        <w:top w:val="none" w:sz="0" w:space="0" w:color="auto"/>
        <w:left w:val="none" w:sz="0" w:space="0" w:color="auto"/>
        <w:bottom w:val="none" w:sz="0" w:space="0" w:color="auto"/>
        <w:right w:val="none" w:sz="0" w:space="0" w:color="auto"/>
      </w:divBdr>
    </w:div>
    <w:div w:id="1538542092">
      <w:bodyDiv w:val="1"/>
      <w:marLeft w:val="0"/>
      <w:marRight w:val="0"/>
      <w:marTop w:val="0"/>
      <w:marBottom w:val="0"/>
      <w:divBdr>
        <w:top w:val="none" w:sz="0" w:space="0" w:color="auto"/>
        <w:left w:val="none" w:sz="0" w:space="0" w:color="auto"/>
        <w:bottom w:val="none" w:sz="0" w:space="0" w:color="auto"/>
        <w:right w:val="none" w:sz="0" w:space="0" w:color="auto"/>
      </w:divBdr>
    </w:div>
    <w:div w:id="1577983069">
      <w:bodyDiv w:val="1"/>
      <w:marLeft w:val="0"/>
      <w:marRight w:val="0"/>
      <w:marTop w:val="0"/>
      <w:marBottom w:val="0"/>
      <w:divBdr>
        <w:top w:val="none" w:sz="0" w:space="0" w:color="auto"/>
        <w:left w:val="none" w:sz="0" w:space="0" w:color="auto"/>
        <w:bottom w:val="none" w:sz="0" w:space="0" w:color="auto"/>
        <w:right w:val="none" w:sz="0" w:space="0" w:color="auto"/>
      </w:divBdr>
    </w:div>
    <w:div w:id="1608270584">
      <w:bodyDiv w:val="1"/>
      <w:marLeft w:val="0"/>
      <w:marRight w:val="0"/>
      <w:marTop w:val="0"/>
      <w:marBottom w:val="0"/>
      <w:divBdr>
        <w:top w:val="none" w:sz="0" w:space="0" w:color="auto"/>
        <w:left w:val="none" w:sz="0" w:space="0" w:color="auto"/>
        <w:bottom w:val="none" w:sz="0" w:space="0" w:color="auto"/>
        <w:right w:val="none" w:sz="0" w:space="0" w:color="auto"/>
      </w:divBdr>
    </w:div>
    <w:div w:id="1625844438">
      <w:bodyDiv w:val="1"/>
      <w:marLeft w:val="0"/>
      <w:marRight w:val="0"/>
      <w:marTop w:val="0"/>
      <w:marBottom w:val="0"/>
      <w:divBdr>
        <w:top w:val="none" w:sz="0" w:space="0" w:color="auto"/>
        <w:left w:val="none" w:sz="0" w:space="0" w:color="auto"/>
        <w:bottom w:val="none" w:sz="0" w:space="0" w:color="auto"/>
        <w:right w:val="none" w:sz="0" w:space="0" w:color="auto"/>
      </w:divBdr>
    </w:div>
    <w:div w:id="1680543368">
      <w:bodyDiv w:val="1"/>
      <w:marLeft w:val="0"/>
      <w:marRight w:val="0"/>
      <w:marTop w:val="0"/>
      <w:marBottom w:val="0"/>
      <w:divBdr>
        <w:top w:val="none" w:sz="0" w:space="0" w:color="auto"/>
        <w:left w:val="none" w:sz="0" w:space="0" w:color="auto"/>
        <w:bottom w:val="none" w:sz="0" w:space="0" w:color="auto"/>
        <w:right w:val="none" w:sz="0" w:space="0" w:color="auto"/>
      </w:divBdr>
    </w:div>
    <w:div w:id="1693796105">
      <w:bodyDiv w:val="1"/>
      <w:marLeft w:val="0"/>
      <w:marRight w:val="0"/>
      <w:marTop w:val="0"/>
      <w:marBottom w:val="0"/>
      <w:divBdr>
        <w:top w:val="none" w:sz="0" w:space="0" w:color="auto"/>
        <w:left w:val="none" w:sz="0" w:space="0" w:color="auto"/>
        <w:bottom w:val="none" w:sz="0" w:space="0" w:color="auto"/>
        <w:right w:val="none" w:sz="0" w:space="0" w:color="auto"/>
      </w:divBdr>
    </w:div>
    <w:div w:id="1724135870">
      <w:bodyDiv w:val="1"/>
      <w:marLeft w:val="0"/>
      <w:marRight w:val="0"/>
      <w:marTop w:val="0"/>
      <w:marBottom w:val="0"/>
      <w:divBdr>
        <w:top w:val="none" w:sz="0" w:space="0" w:color="auto"/>
        <w:left w:val="none" w:sz="0" w:space="0" w:color="auto"/>
        <w:bottom w:val="none" w:sz="0" w:space="0" w:color="auto"/>
        <w:right w:val="none" w:sz="0" w:space="0" w:color="auto"/>
      </w:divBdr>
    </w:div>
    <w:div w:id="1841038963">
      <w:bodyDiv w:val="1"/>
      <w:marLeft w:val="0"/>
      <w:marRight w:val="0"/>
      <w:marTop w:val="0"/>
      <w:marBottom w:val="0"/>
      <w:divBdr>
        <w:top w:val="none" w:sz="0" w:space="0" w:color="auto"/>
        <w:left w:val="none" w:sz="0" w:space="0" w:color="auto"/>
        <w:bottom w:val="none" w:sz="0" w:space="0" w:color="auto"/>
        <w:right w:val="none" w:sz="0" w:space="0" w:color="auto"/>
      </w:divBdr>
    </w:div>
    <w:div w:id="1871910766">
      <w:bodyDiv w:val="1"/>
      <w:marLeft w:val="0"/>
      <w:marRight w:val="0"/>
      <w:marTop w:val="0"/>
      <w:marBottom w:val="0"/>
      <w:divBdr>
        <w:top w:val="none" w:sz="0" w:space="0" w:color="auto"/>
        <w:left w:val="none" w:sz="0" w:space="0" w:color="auto"/>
        <w:bottom w:val="none" w:sz="0" w:space="0" w:color="auto"/>
        <w:right w:val="none" w:sz="0" w:space="0" w:color="auto"/>
      </w:divBdr>
    </w:div>
    <w:div w:id="1887328266">
      <w:bodyDiv w:val="1"/>
      <w:marLeft w:val="0"/>
      <w:marRight w:val="0"/>
      <w:marTop w:val="0"/>
      <w:marBottom w:val="0"/>
      <w:divBdr>
        <w:top w:val="none" w:sz="0" w:space="0" w:color="auto"/>
        <w:left w:val="none" w:sz="0" w:space="0" w:color="auto"/>
        <w:bottom w:val="none" w:sz="0" w:space="0" w:color="auto"/>
        <w:right w:val="none" w:sz="0" w:space="0" w:color="auto"/>
      </w:divBdr>
      <w:divsChild>
        <w:div w:id="506679034">
          <w:marLeft w:val="0"/>
          <w:marRight w:val="0"/>
          <w:marTop w:val="0"/>
          <w:marBottom w:val="150"/>
          <w:divBdr>
            <w:top w:val="none" w:sz="0" w:space="0" w:color="auto"/>
            <w:left w:val="none" w:sz="0" w:space="0" w:color="auto"/>
            <w:bottom w:val="none" w:sz="0" w:space="0" w:color="auto"/>
            <w:right w:val="none" w:sz="0" w:space="0" w:color="auto"/>
          </w:divBdr>
        </w:div>
      </w:divsChild>
    </w:div>
    <w:div w:id="1891182549">
      <w:bodyDiv w:val="1"/>
      <w:marLeft w:val="0"/>
      <w:marRight w:val="0"/>
      <w:marTop w:val="0"/>
      <w:marBottom w:val="0"/>
      <w:divBdr>
        <w:top w:val="none" w:sz="0" w:space="0" w:color="auto"/>
        <w:left w:val="none" w:sz="0" w:space="0" w:color="auto"/>
        <w:bottom w:val="none" w:sz="0" w:space="0" w:color="auto"/>
        <w:right w:val="none" w:sz="0" w:space="0" w:color="auto"/>
      </w:divBdr>
    </w:div>
    <w:div w:id="1991671093">
      <w:bodyDiv w:val="1"/>
      <w:marLeft w:val="0"/>
      <w:marRight w:val="0"/>
      <w:marTop w:val="0"/>
      <w:marBottom w:val="0"/>
      <w:divBdr>
        <w:top w:val="none" w:sz="0" w:space="0" w:color="auto"/>
        <w:left w:val="none" w:sz="0" w:space="0" w:color="auto"/>
        <w:bottom w:val="none" w:sz="0" w:space="0" w:color="auto"/>
        <w:right w:val="none" w:sz="0" w:space="0" w:color="auto"/>
      </w:divBdr>
    </w:div>
    <w:div w:id="2033678473">
      <w:bodyDiv w:val="1"/>
      <w:marLeft w:val="0"/>
      <w:marRight w:val="0"/>
      <w:marTop w:val="0"/>
      <w:marBottom w:val="0"/>
      <w:divBdr>
        <w:top w:val="none" w:sz="0" w:space="0" w:color="auto"/>
        <w:left w:val="none" w:sz="0" w:space="0" w:color="auto"/>
        <w:bottom w:val="none" w:sz="0" w:space="0" w:color="auto"/>
        <w:right w:val="none" w:sz="0" w:space="0" w:color="auto"/>
      </w:divBdr>
    </w:div>
    <w:div w:id="2090887957">
      <w:bodyDiv w:val="1"/>
      <w:marLeft w:val="0"/>
      <w:marRight w:val="0"/>
      <w:marTop w:val="0"/>
      <w:marBottom w:val="0"/>
      <w:divBdr>
        <w:top w:val="none" w:sz="0" w:space="0" w:color="auto"/>
        <w:left w:val="none" w:sz="0" w:space="0" w:color="auto"/>
        <w:bottom w:val="none" w:sz="0" w:space="0" w:color="auto"/>
        <w:right w:val="none" w:sz="0" w:space="0" w:color="auto"/>
      </w:divBdr>
    </w:div>
    <w:div w:id="214245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oodchem.2006.10.054" TargetMode="External"/><Relationship Id="rId21" Type="http://schemas.openxmlformats.org/officeDocument/2006/relationships/hyperlink" Target="https://doi.org/10.1016/j.foodhyd.2016.02.033" TargetMode="External"/><Relationship Id="rId42" Type="http://schemas.openxmlformats.org/officeDocument/2006/relationships/hyperlink" Target="https://doi.org/10.1016/j.tifs.2008.06.002" TargetMode="External"/><Relationship Id="rId47" Type="http://schemas.openxmlformats.org/officeDocument/2006/relationships/hyperlink" Target="https://doi.org/10.1016/j.ejmech.2006.09.019" TargetMode="External"/><Relationship Id="rId63" Type="http://schemas.openxmlformats.org/officeDocument/2006/relationships/hyperlink" Target="https://doi.org/10.1016/j.supflu.2016.05.004" TargetMode="External"/><Relationship Id="rId68" Type="http://schemas.openxmlformats.org/officeDocument/2006/relationships/hyperlink" Target="https://doi.org/10.1016/j.indcrop.2014.09.053" TargetMode="External"/><Relationship Id="rId84" Type="http://schemas.openxmlformats.org/officeDocument/2006/relationships/hyperlink" Target="https://doi.org/10.1177/1934578X251314698" TargetMode="External"/><Relationship Id="rId89" Type="http://schemas.openxmlformats.org/officeDocument/2006/relationships/hyperlink" Target="https://doi.org/10.3390/coatings12101392" TargetMode="External"/><Relationship Id="rId16" Type="http://schemas.openxmlformats.org/officeDocument/2006/relationships/hyperlink" Target="https://doi.org/10.1002/ptr.7270" TargetMode="External"/><Relationship Id="rId11" Type="http://schemas.openxmlformats.org/officeDocument/2006/relationships/hyperlink" Target="https://doi.org/10.3390/molecules26133904" TargetMode="External"/><Relationship Id="rId32" Type="http://schemas.openxmlformats.org/officeDocument/2006/relationships/hyperlink" Target="https://doi.org/10.1016/j.foodchem.2017.09.106" TargetMode="External"/><Relationship Id="rId37" Type="http://schemas.openxmlformats.org/officeDocument/2006/relationships/hyperlink" Target="https://doi.org/10.1016/j.bbr.2017.12.024" TargetMode="External"/><Relationship Id="rId53" Type="http://schemas.openxmlformats.org/officeDocument/2006/relationships/hyperlink" Target="https://doi.org/10.1016/j.phymed.2021.153641" TargetMode="External"/><Relationship Id="rId58" Type="http://schemas.openxmlformats.org/officeDocument/2006/relationships/hyperlink" Target="https://doi.org/10.1016/j.freeradbiomed.2008.07.002" TargetMode="External"/><Relationship Id="rId74" Type="http://schemas.openxmlformats.org/officeDocument/2006/relationships/hyperlink" Target="https://doi.org/10.4103/2225-4110.106535" TargetMode="External"/><Relationship Id="rId79" Type="http://schemas.openxmlformats.org/officeDocument/2006/relationships/hyperlink" Target="https://doi.org/10.1016/j.jep.2023.116475" TargetMode="External"/><Relationship Id="rId5" Type="http://schemas.openxmlformats.org/officeDocument/2006/relationships/webSettings" Target="webSettings.xml"/><Relationship Id="rId90" Type="http://schemas.openxmlformats.org/officeDocument/2006/relationships/hyperlink" Target="https://doi.org/10.1155/2021/5520059" TargetMode="External"/><Relationship Id="rId95" Type="http://schemas.openxmlformats.org/officeDocument/2006/relationships/footer" Target="footer2.xml"/><Relationship Id="rId22" Type="http://schemas.openxmlformats.org/officeDocument/2006/relationships/hyperlink" Target="https://doi.org/10.1016/j.carbpol.2016.03.043" TargetMode="External"/><Relationship Id="rId27" Type="http://schemas.openxmlformats.org/officeDocument/2006/relationships/hyperlink" Target="https://doi.org/10.1007/s10341-020-00509-7" TargetMode="External"/><Relationship Id="rId43" Type="http://schemas.openxmlformats.org/officeDocument/2006/relationships/hyperlink" Target="https://doi.org/10.1016/j.neulet.2005.08.053" TargetMode="External"/><Relationship Id="rId48" Type="http://schemas.openxmlformats.org/officeDocument/2006/relationships/hyperlink" Target="https://doi.org/10.1016/j.foodchem.2020.126236" TargetMode="External"/><Relationship Id="rId64" Type="http://schemas.openxmlformats.org/officeDocument/2006/relationships/hyperlink" Target="https://doi.org/10.1002/(SICI)1099-1565(199709/10)8:5%3C233::AID-PCA369%3E3.0.CO;2-K" TargetMode="External"/><Relationship Id="rId69" Type="http://schemas.openxmlformats.org/officeDocument/2006/relationships/hyperlink" Target="https://doi.org/10.1080/10286020.2017.1350653" TargetMode="External"/><Relationship Id="rId80" Type="http://schemas.openxmlformats.org/officeDocument/2006/relationships/hyperlink" Target="https://doi.org/10.3390/plants10122736" TargetMode="External"/><Relationship Id="rId85" Type="http://schemas.openxmlformats.org/officeDocument/2006/relationships/hyperlink" Target="https://doi.org/10.1002/fsn3.2590" TargetMode="External"/><Relationship Id="rId3" Type="http://schemas.openxmlformats.org/officeDocument/2006/relationships/styles" Target="styles.xml"/><Relationship Id="rId12" Type="http://schemas.openxmlformats.org/officeDocument/2006/relationships/hyperlink" Target="https://doi.org/10.1016/j.fbio.2024.103606" TargetMode="External"/><Relationship Id="rId17" Type="http://schemas.openxmlformats.org/officeDocument/2006/relationships/hyperlink" Target="https://doi.org/10.3390/molecules26247574" TargetMode="External"/><Relationship Id="rId25" Type="http://schemas.openxmlformats.org/officeDocument/2006/relationships/hyperlink" Target="https://doi.org/10.1016/j.scienta.2011.09.035" TargetMode="External"/><Relationship Id="rId33" Type="http://schemas.openxmlformats.org/officeDocument/2006/relationships/hyperlink" Target="https://doi.org/10.1016/j.fsi.2020.10.016" TargetMode="External"/><Relationship Id="rId38" Type="http://schemas.openxmlformats.org/officeDocument/2006/relationships/hyperlink" Target="https://doi.org/10.1002/jnr.23764" TargetMode="External"/><Relationship Id="rId46" Type="http://schemas.openxmlformats.org/officeDocument/2006/relationships/hyperlink" Target="https://doi.org/10.1016/j.bmc.2015.12.024" TargetMode="External"/><Relationship Id="rId59" Type="http://schemas.openxmlformats.org/officeDocument/2006/relationships/hyperlink" Target="https://doi.org/10.1016/j.ejphar.2012.01.036" TargetMode="External"/><Relationship Id="rId67" Type="http://schemas.openxmlformats.org/officeDocument/2006/relationships/hyperlink" Target="https://doi.org/10.1016/j.jff.2017.10.041" TargetMode="External"/><Relationship Id="rId20" Type="http://schemas.openxmlformats.org/officeDocument/2006/relationships/hyperlink" Target="https://doi.org/10.1016/j.foodchem.2014.11.083" TargetMode="External"/><Relationship Id="rId41" Type="http://schemas.openxmlformats.org/officeDocument/2006/relationships/hyperlink" Target="https://doi.org/10.2174/0113862073358649241128053921" TargetMode="External"/><Relationship Id="rId54" Type="http://schemas.openxmlformats.org/officeDocument/2006/relationships/hyperlink" Target="https://doi.org/10.1021/acs.jnatprod.8b00033" TargetMode="External"/><Relationship Id="rId62" Type="http://schemas.openxmlformats.org/officeDocument/2006/relationships/hyperlink" Target="https://doi.org/10.1002/ana.25826" TargetMode="External"/><Relationship Id="rId70" Type="http://schemas.openxmlformats.org/officeDocument/2006/relationships/hyperlink" Target="https://doi.org/10.1111/j.1745-4530.2008.00258.x" TargetMode="External"/><Relationship Id="rId75" Type="http://schemas.openxmlformats.org/officeDocument/2006/relationships/hyperlink" Target="https://doi.org/10.1016/j.foodchem.2011.06.035" TargetMode="External"/><Relationship Id="rId83" Type="http://schemas.openxmlformats.org/officeDocument/2006/relationships/hyperlink" Target="https://doi.org/10.1097/NEN.0b013e3181cb5af4" TargetMode="External"/><Relationship Id="rId88" Type="http://schemas.openxmlformats.org/officeDocument/2006/relationships/hyperlink" Target="https://doi.org/10.1177/00405175251321139" TargetMode="External"/><Relationship Id="rId91" Type="http://schemas.openxmlformats.org/officeDocument/2006/relationships/hyperlink" Target="https://doi.org/10.1002/fsn3.3053"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ff.2021.104836" TargetMode="External"/><Relationship Id="rId23" Type="http://schemas.openxmlformats.org/officeDocument/2006/relationships/hyperlink" Target="https://doi.org/10.1016/j.intimp.2013.09.019" TargetMode="External"/><Relationship Id="rId28" Type="http://schemas.openxmlformats.org/officeDocument/2006/relationships/hyperlink" Target="https://doi.org/10.1016/j.jff.2014.12.010" TargetMode="External"/><Relationship Id="rId36" Type="http://schemas.openxmlformats.org/officeDocument/2006/relationships/hyperlink" Target="https://doi.org/10.1080/10408398.2022.2067121" TargetMode="External"/><Relationship Id="rId49" Type="http://schemas.openxmlformats.org/officeDocument/2006/relationships/hyperlink" Target="https://doi.org/10.1039/NP9941100205" TargetMode="External"/><Relationship Id="rId57" Type="http://schemas.openxmlformats.org/officeDocument/2006/relationships/hyperlink" Target="https://doi.org/10.3390/ijms20040998" TargetMode="External"/><Relationship Id="rId10" Type="http://schemas.openxmlformats.org/officeDocument/2006/relationships/hyperlink" Target="https://doi.org/10.3390/ijerph19148536" TargetMode="External"/><Relationship Id="rId31" Type="http://schemas.openxmlformats.org/officeDocument/2006/relationships/hyperlink" Target="https://doi.org/10.3390/molecules27020555" TargetMode="External"/><Relationship Id="rId44" Type="http://schemas.openxmlformats.org/officeDocument/2006/relationships/hyperlink" Target="https://doi.org/10.4196/kjpp.2011.15.6.353" TargetMode="External"/><Relationship Id="rId52" Type="http://schemas.openxmlformats.org/officeDocument/2006/relationships/hyperlink" Target="https://doi.org/10.1021/acs.jafc.5b00396" TargetMode="External"/><Relationship Id="rId60" Type="http://schemas.openxmlformats.org/officeDocument/2006/relationships/hyperlink" Target="https://doi.org/10.1016/j.biopha.2018.06.106" TargetMode="External"/><Relationship Id="rId65" Type="http://schemas.openxmlformats.org/officeDocument/2006/relationships/hyperlink" Target="https://doi.org/10.1556/achrom.21.2009.4.11" TargetMode="External"/><Relationship Id="rId73" Type="http://schemas.openxmlformats.org/officeDocument/2006/relationships/hyperlink" Target="https://doi.org/10.3389/fmed.2017.00069" TargetMode="External"/><Relationship Id="rId78" Type="http://schemas.openxmlformats.org/officeDocument/2006/relationships/hyperlink" Target="https://doi.org/10.1016/j.ijbiomac.2018.12.029" TargetMode="External"/><Relationship Id="rId81" Type="http://schemas.openxmlformats.org/officeDocument/2006/relationships/hyperlink" Target="https://doi.org/10.1111/jfbc.14197" TargetMode="External"/><Relationship Id="rId86" Type="http://schemas.openxmlformats.org/officeDocument/2006/relationships/hyperlink" Target="https://doi.org/10.1016/j.jff.2022.104971"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16/j.fbio.2022.101782" TargetMode="External"/><Relationship Id="rId18" Type="http://schemas.openxmlformats.org/officeDocument/2006/relationships/hyperlink" Target="https://doi.org/10.1016/j.foodchem.2015.06.008" TargetMode="External"/><Relationship Id="rId39" Type="http://schemas.openxmlformats.org/officeDocument/2006/relationships/hyperlink" Target="https://doi.org/10.1016/j.phymed.2023.154866" TargetMode="External"/><Relationship Id="rId34" Type="http://schemas.openxmlformats.org/officeDocument/2006/relationships/hyperlink" Target="https://doi.org/10.1016/j.fct.2010.05.074" TargetMode="External"/><Relationship Id="rId50" Type="http://schemas.openxmlformats.org/officeDocument/2006/relationships/hyperlink" Target="https://doi.org/10.1080/10286020.2014.923405" TargetMode="External"/><Relationship Id="rId55" Type="http://schemas.openxmlformats.org/officeDocument/2006/relationships/hyperlink" Target="https://doi.org/10.1002/jnr.23374" TargetMode="External"/><Relationship Id="rId76" Type="http://schemas.openxmlformats.org/officeDocument/2006/relationships/hyperlink" Target="https://doi.org/10.1021/acs.jafc.7b03614"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016/j.ijbiomac.2019.03.213"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oi.org/10.1016/j.scienta.2016.10.036" TargetMode="External"/><Relationship Id="rId24" Type="http://schemas.openxmlformats.org/officeDocument/2006/relationships/hyperlink" Target="https://doi.org/10.1016/j.jff.2021.104836" TargetMode="External"/><Relationship Id="rId40" Type="http://schemas.openxmlformats.org/officeDocument/2006/relationships/hyperlink" Target="https://doi.org/10.1080/14786419.2023.2189710" TargetMode="External"/><Relationship Id="rId45" Type="http://schemas.openxmlformats.org/officeDocument/2006/relationships/hyperlink" Target="https://doi.org/10.1039/D4FB00126E" TargetMode="External"/><Relationship Id="rId66" Type="http://schemas.openxmlformats.org/officeDocument/2006/relationships/hyperlink" Target="https://doi.org/10.1177/1082013207075602" TargetMode="External"/><Relationship Id="rId87" Type="http://schemas.openxmlformats.org/officeDocument/2006/relationships/hyperlink" Target="https://doi.org/10.3390/app132312780" TargetMode="External"/><Relationship Id="rId61" Type="http://schemas.openxmlformats.org/officeDocument/2006/relationships/hyperlink" Target="https://doi.org/10.1096/fj.202302600R" TargetMode="External"/><Relationship Id="rId82" Type="http://schemas.openxmlformats.org/officeDocument/2006/relationships/hyperlink" Target="https://doi.org/10.1016/j.kjms.2017.11.004" TargetMode="External"/><Relationship Id="rId19" Type="http://schemas.openxmlformats.org/officeDocument/2006/relationships/hyperlink" Target="https://doi.org/10.1016/j.scienta.2017.01.042" TargetMode="External"/><Relationship Id="rId14" Type="http://schemas.openxmlformats.org/officeDocument/2006/relationships/hyperlink" Target="https://doi.org/10.3390/ijms241512024" TargetMode="External"/><Relationship Id="rId30" Type="http://schemas.openxmlformats.org/officeDocument/2006/relationships/hyperlink" Target="https://doi.org/10.3389/fendo.2021.625701" TargetMode="External"/><Relationship Id="rId35" Type="http://schemas.openxmlformats.org/officeDocument/2006/relationships/hyperlink" Target="https://doi.org/10.1016/j.jff.2017.01.027" TargetMode="External"/><Relationship Id="rId56" Type="http://schemas.openxmlformats.org/officeDocument/2006/relationships/hyperlink" Target="https://doi.org/10.1111/jnc.15242" TargetMode="External"/><Relationship Id="rId77" Type="http://schemas.openxmlformats.org/officeDocument/2006/relationships/hyperlink" Target="https://doi.org/10.3892/ijmm.2014.2013" TargetMode="External"/><Relationship Id="rId8" Type="http://schemas.openxmlformats.org/officeDocument/2006/relationships/image" Target="media/image1.png"/><Relationship Id="rId51" Type="http://schemas.openxmlformats.org/officeDocument/2006/relationships/hyperlink" Target="https://doi.org/10.1016/j.phytochem.2018.10.028" TargetMode="External"/><Relationship Id="rId72" Type="http://schemas.openxmlformats.org/officeDocument/2006/relationships/hyperlink" Target="https://doi.org/10.1016/j.fct.2013.10.011"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A28C-0ADF-49F3-89C4-9143CCCFC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20</Pages>
  <Words>9148</Words>
  <Characters>52150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46</cp:revision>
  <dcterms:created xsi:type="dcterms:W3CDTF">2025-05-14T17:51:00Z</dcterms:created>
  <dcterms:modified xsi:type="dcterms:W3CDTF">2025-05-29T08:43:00Z</dcterms:modified>
</cp:coreProperties>
</file>