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60AC10" w14:textId="77777777" w:rsidR="00EF01F0" w:rsidRPr="00EF01F0" w:rsidRDefault="00EF01F0" w:rsidP="00EF01F0">
      <w:pPr>
        <w:spacing w:line="240" w:lineRule="auto"/>
        <w:jc w:val="both"/>
        <w:rPr>
          <w:rFonts w:ascii="Times New Roman" w:eastAsia="Times New Roman" w:hAnsi="Times New Roman" w:cs="Times New Roman"/>
          <w:b/>
          <w:bCs/>
          <w:i/>
          <w:iCs/>
          <w:sz w:val="28"/>
          <w:szCs w:val="28"/>
          <w:u w:val="single"/>
          <w:lang w:val="en-US"/>
        </w:rPr>
      </w:pPr>
      <w:bookmarkStart w:id="0" w:name="_GoBack"/>
      <w:bookmarkEnd w:id="0"/>
      <w:r w:rsidRPr="00EF01F0">
        <w:rPr>
          <w:rFonts w:ascii="Times New Roman" w:eastAsia="Times New Roman" w:hAnsi="Times New Roman" w:cs="Times New Roman"/>
          <w:b/>
          <w:bCs/>
          <w:i/>
          <w:iCs/>
          <w:sz w:val="28"/>
          <w:szCs w:val="28"/>
          <w:u w:val="single"/>
          <w:lang w:val="en-US"/>
        </w:rPr>
        <w:t>Short Research Article</w:t>
      </w:r>
    </w:p>
    <w:p w14:paraId="6BDED416" w14:textId="77777777" w:rsidR="00EF01F0" w:rsidRDefault="00EF01F0">
      <w:pPr>
        <w:spacing w:line="240" w:lineRule="auto"/>
        <w:jc w:val="both"/>
        <w:rPr>
          <w:rFonts w:ascii="Times New Roman" w:eastAsia="Times New Roman" w:hAnsi="Times New Roman" w:cs="Times New Roman"/>
          <w:bCs/>
          <w:sz w:val="28"/>
          <w:szCs w:val="28"/>
        </w:rPr>
      </w:pPr>
    </w:p>
    <w:p w14:paraId="65D84B61" w14:textId="77777777" w:rsidR="00EF01F0" w:rsidRDefault="00EF01F0">
      <w:pPr>
        <w:spacing w:line="240" w:lineRule="auto"/>
        <w:jc w:val="both"/>
        <w:rPr>
          <w:rFonts w:ascii="Times New Roman" w:eastAsia="Times New Roman" w:hAnsi="Times New Roman" w:cs="Times New Roman"/>
          <w:bCs/>
          <w:sz w:val="28"/>
          <w:szCs w:val="28"/>
        </w:rPr>
      </w:pPr>
    </w:p>
    <w:p w14:paraId="0B595764" w14:textId="4BFE0A52" w:rsidR="002902A0" w:rsidRDefault="002902A0">
      <w:pPr>
        <w:spacing w:line="240" w:lineRule="auto"/>
        <w:jc w:val="both"/>
        <w:rPr>
          <w:rFonts w:ascii="Times New Roman" w:eastAsia="Times New Roman" w:hAnsi="Times New Roman" w:cs="Times New Roman"/>
          <w:bCs/>
          <w:sz w:val="28"/>
          <w:szCs w:val="28"/>
        </w:rPr>
      </w:pPr>
      <w:r w:rsidRPr="002902A0">
        <w:rPr>
          <w:rFonts w:ascii="Times New Roman" w:eastAsia="Times New Roman" w:hAnsi="Times New Roman" w:cs="Times New Roman"/>
          <w:bCs/>
          <w:sz w:val="28"/>
          <w:szCs w:val="28"/>
        </w:rPr>
        <w:t>Folate Deficiency and Depression Risk in Celiac Disease: A Retrospective Cohort Analysis</w:t>
      </w:r>
    </w:p>
    <w:p w14:paraId="39E4D24F" w14:textId="77777777" w:rsidR="002902A0" w:rsidRDefault="002902A0">
      <w:pPr>
        <w:spacing w:line="240" w:lineRule="auto"/>
        <w:jc w:val="both"/>
        <w:rPr>
          <w:rFonts w:ascii="Times New Roman" w:eastAsia="Times New Roman" w:hAnsi="Times New Roman" w:cs="Times New Roman"/>
          <w:bCs/>
          <w:sz w:val="24"/>
          <w:szCs w:val="24"/>
        </w:rPr>
      </w:pPr>
    </w:p>
    <w:p w14:paraId="22F62632" w14:textId="77777777" w:rsidR="00F93D45" w:rsidRDefault="00F93D45">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7AADEA3E" w14:textId="77777777" w:rsidR="00F93D45" w:rsidRDefault="00F93D45">
      <w:pPr>
        <w:spacing w:line="240" w:lineRule="auto"/>
        <w:jc w:val="both"/>
        <w:rPr>
          <w:rFonts w:ascii="Times New Roman" w:eastAsia="Times New Roman" w:hAnsi="Times New Roman" w:cs="Times New Roman"/>
          <w:b/>
          <w:sz w:val="28"/>
          <w:szCs w:val="28"/>
        </w:rPr>
      </w:pPr>
    </w:p>
    <w:p w14:paraId="2B0B01D6" w14:textId="70D0B1DF" w:rsidR="00EF01F0" w:rsidRDefault="00F93D45">
      <w:pPr>
        <w:spacing w:line="240" w:lineRule="auto"/>
        <w:jc w:val="both"/>
        <w:rPr>
          <w:rFonts w:ascii="Times New Roman" w:eastAsia="Times New Roman" w:hAnsi="Times New Roman" w:cs="Times New Roman"/>
          <w:sz w:val="28"/>
          <w:szCs w:val="28"/>
        </w:rPr>
      </w:pPr>
      <w:r w:rsidRPr="00AC3A31">
        <w:rPr>
          <w:rFonts w:ascii="Times New Roman" w:eastAsia="Times New Roman" w:hAnsi="Times New Roman" w:cs="Times New Roman"/>
          <w:sz w:val="28"/>
          <w:szCs w:val="28"/>
        </w:rPr>
        <w:t xml:space="preserve"> </w:t>
      </w:r>
      <w:r w:rsidR="00AC3A31" w:rsidRPr="00AC3A31">
        <w:rPr>
          <w:rFonts w:ascii="Times New Roman" w:eastAsia="Times New Roman" w:hAnsi="Times New Roman" w:cs="Times New Roman"/>
          <w:sz w:val="28"/>
          <w:szCs w:val="28"/>
        </w:rPr>
        <w:t>The goal of this study was to determine the significance of folate deficiency in individuals diagnosed with celiac disease and their subsequent risk of developing depressive episodes.</w:t>
      </w:r>
      <w:r w:rsidR="00AC3A31">
        <w:rPr>
          <w:rFonts w:ascii="Times New Roman" w:eastAsia="Times New Roman" w:hAnsi="Times New Roman" w:cs="Times New Roman"/>
          <w:sz w:val="28"/>
          <w:szCs w:val="28"/>
        </w:rPr>
        <w:t xml:space="preserve"> </w:t>
      </w:r>
      <w:r w:rsidR="00AC3A31" w:rsidRPr="00AC3A31">
        <w:rPr>
          <w:rFonts w:ascii="Times New Roman" w:eastAsia="Times New Roman" w:hAnsi="Times New Roman" w:cs="Times New Roman"/>
          <w:sz w:val="28"/>
          <w:szCs w:val="28"/>
        </w:rPr>
        <w:t>Antibody production against deamidated gluten and autoantibodies against the enzyme transglutaminase 2 (TG2) results. T cell epitopes are created in the gut, and thus both T cells and B cell antigens allow for the characterization of disease-specific immune cells to be identified in samples of CD patients.</w:t>
      </w:r>
      <w:r w:rsidR="00AC3A31" w:rsidRPr="00AC3A31">
        <w:t xml:space="preserve"> </w:t>
      </w:r>
      <w:r w:rsidR="00AC3A31" w:rsidRPr="00AC3A31">
        <w:rPr>
          <w:rFonts w:ascii="Times New Roman" w:eastAsia="Times New Roman" w:hAnsi="Times New Roman" w:cs="Times New Roman"/>
          <w:sz w:val="28"/>
          <w:szCs w:val="28"/>
        </w:rPr>
        <w:t xml:space="preserve">Data for this retrospective study was acquired through </w:t>
      </w:r>
      <w:proofErr w:type="spellStart"/>
      <w:r w:rsidR="00AC3A31" w:rsidRPr="00AC3A31">
        <w:rPr>
          <w:rFonts w:ascii="Times New Roman" w:eastAsia="Times New Roman" w:hAnsi="Times New Roman" w:cs="Times New Roman"/>
          <w:sz w:val="28"/>
          <w:szCs w:val="28"/>
        </w:rPr>
        <w:t>TriNetX</w:t>
      </w:r>
      <w:proofErr w:type="spellEnd"/>
      <w:r w:rsidR="00AC3A31" w:rsidRPr="00AC3A31">
        <w:rPr>
          <w:rFonts w:ascii="Times New Roman" w:eastAsia="Times New Roman" w:hAnsi="Times New Roman" w:cs="Times New Roman"/>
          <w:sz w:val="28"/>
          <w:szCs w:val="28"/>
        </w:rPr>
        <w:t>, a global, health online platform that uses real world patient electronic health records (EHR) with over 100 million patients from 95 healthcare organizations (HCOs).</w:t>
      </w:r>
      <w:r w:rsidR="00AC3A31">
        <w:rPr>
          <w:rFonts w:ascii="Times New Roman" w:eastAsia="Times New Roman" w:hAnsi="Times New Roman" w:cs="Times New Roman"/>
          <w:sz w:val="28"/>
          <w:szCs w:val="28"/>
        </w:rPr>
        <w:t xml:space="preserve"> </w:t>
      </w:r>
      <w:r w:rsidR="00AC3A31" w:rsidRPr="00AC3A31">
        <w:rPr>
          <w:rFonts w:ascii="Times New Roman" w:eastAsia="Times New Roman" w:hAnsi="Times New Roman" w:cs="Times New Roman"/>
          <w:sz w:val="28"/>
          <w:szCs w:val="28"/>
        </w:rPr>
        <w:t xml:space="preserve">Data analysis was conducted via </w:t>
      </w:r>
      <w:proofErr w:type="spellStart"/>
      <w:r w:rsidR="00AC3A31" w:rsidRPr="00AC3A31">
        <w:rPr>
          <w:rFonts w:ascii="Times New Roman" w:eastAsia="Times New Roman" w:hAnsi="Times New Roman" w:cs="Times New Roman"/>
          <w:sz w:val="28"/>
          <w:szCs w:val="28"/>
        </w:rPr>
        <w:t>TriNet’s</w:t>
      </w:r>
      <w:proofErr w:type="spellEnd"/>
      <w:r w:rsidR="00AC3A31" w:rsidRPr="00AC3A31">
        <w:rPr>
          <w:rFonts w:ascii="Times New Roman" w:eastAsia="Times New Roman" w:hAnsi="Times New Roman" w:cs="Times New Roman"/>
          <w:sz w:val="28"/>
          <w:szCs w:val="28"/>
        </w:rPr>
        <w:t xml:space="preserve"> built-in analysis software. Descriptive statistics were used to compare patient demographics with continuous variables measured with standard deviation and categorical variables measured with frequencies</w:t>
      </w:r>
      <w:r w:rsidR="00AC3A31">
        <w:rPr>
          <w:rFonts w:ascii="Times New Roman" w:eastAsia="Times New Roman" w:hAnsi="Times New Roman" w:cs="Times New Roman"/>
          <w:sz w:val="28"/>
          <w:szCs w:val="28"/>
        </w:rPr>
        <w:t>.</w:t>
      </w:r>
      <w:r w:rsidR="00AC3A31" w:rsidRPr="00AC3A31">
        <w:t xml:space="preserve"> </w:t>
      </w:r>
      <w:r w:rsidR="00AC3A31" w:rsidRPr="00AC3A31">
        <w:rPr>
          <w:rFonts w:ascii="Times New Roman" w:eastAsia="Times New Roman" w:hAnsi="Times New Roman" w:cs="Times New Roman"/>
          <w:sz w:val="28"/>
          <w:szCs w:val="28"/>
        </w:rPr>
        <w:t>The established role of folate in monoamine neurotransmitter biosynthesis and the reduction of homocysteine levels may explain the results of our study. Our odds ratio reflects the decreased incidence of depressive episodes in celiac patients who are folate replete. Our hazard ratio of 0.22 was not statistically significant, as the calculated p-value was 0.7705. This could be attributed to a variety of factors, including the presence of other vitamin deficiencies, other possible causes of depressive episodes unrelated to folate deficiency, and limited follow-up duration.</w:t>
      </w:r>
      <w:r w:rsidR="00AC3A31" w:rsidRPr="00AC3A31">
        <w:t xml:space="preserve"> </w:t>
      </w:r>
      <w:r w:rsidR="00AC3A31" w:rsidRPr="00AC3A31">
        <w:rPr>
          <w:rFonts w:ascii="Times New Roman" w:eastAsia="Times New Roman" w:hAnsi="Times New Roman" w:cs="Times New Roman"/>
          <w:sz w:val="28"/>
          <w:szCs w:val="28"/>
        </w:rPr>
        <w:t>Randomized control studies should be conducted to determine if folate supplementation mitigates depressive symptoms in Celiac patients. These future directions could provide valuable insight into folate’s role in psychiatric comorbidities in Celiac disease and support more informed tailored nutritional therapies.</w:t>
      </w:r>
    </w:p>
    <w:p w14:paraId="1144A4A9" w14:textId="116DA98F" w:rsidR="00AC3A31" w:rsidRDefault="00AC3A31">
      <w:pPr>
        <w:spacing w:line="240" w:lineRule="auto"/>
        <w:jc w:val="both"/>
        <w:rPr>
          <w:rFonts w:ascii="Times New Roman" w:eastAsia="Times New Roman" w:hAnsi="Times New Roman" w:cs="Times New Roman"/>
          <w:sz w:val="28"/>
          <w:szCs w:val="28"/>
        </w:rPr>
      </w:pPr>
    </w:p>
    <w:p w14:paraId="370E9556" w14:textId="416D1B39" w:rsidR="00AC3A31" w:rsidRPr="00AC3A31" w:rsidRDefault="00AC3A3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Keywords: </w:t>
      </w:r>
      <w:r w:rsidRPr="00AC3A31">
        <w:rPr>
          <w:rFonts w:ascii="Times New Roman" w:eastAsia="Times New Roman" w:hAnsi="Times New Roman" w:cs="Times New Roman"/>
          <w:sz w:val="28"/>
          <w:szCs w:val="28"/>
        </w:rPr>
        <w:t>Celiac disease</w:t>
      </w:r>
      <w:r>
        <w:rPr>
          <w:rFonts w:ascii="Times New Roman" w:eastAsia="Times New Roman" w:hAnsi="Times New Roman" w:cs="Times New Roman"/>
          <w:sz w:val="28"/>
          <w:szCs w:val="28"/>
        </w:rPr>
        <w:t xml:space="preserve">, </w:t>
      </w:r>
      <w:r w:rsidRPr="00AC3A31">
        <w:rPr>
          <w:rFonts w:ascii="Times New Roman" w:eastAsia="Times New Roman" w:hAnsi="Times New Roman" w:cs="Times New Roman"/>
          <w:sz w:val="28"/>
          <w:szCs w:val="28"/>
        </w:rPr>
        <w:t>neurotransmitter</w:t>
      </w:r>
      <w:r>
        <w:rPr>
          <w:rFonts w:ascii="Times New Roman" w:eastAsia="Times New Roman" w:hAnsi="Times New Roman" w:cs="Times New Roman"/>
          <w:sz w:val="28"/>
          <w:szCs w:val="28"/>
        </w:rPr>
        <w:t xml:space="preserve">, </w:t>
      </w:r>
      <w:r w:rsidRPr="00AC3A31">
        <w:rPr>
          <w:rFonts w:ascii="Times New Roman" w:eastAsia="Times New Roman" w:hAnsi="Times New Roman" w:cs="Times New Roman"/>
          <w:sz w:val="28"/>
          <w:szCs w:val="28"/>
        </w:rPr>
        <w:t>nutritional therapies</w:t>
      </w:r>
      <w:r>
        <w:rPr>
          <w:rFonts w:ascii="Times New Roman" w:eastAsia="Times New Roman" w:hAnsi="Times New Roman" w:cs="Times New Roman"/>
          <w:sz w:val="28"/>
          <w:szCs w:val="28"/>
        </w:rPr>
        <w:t xml:space="preserve">, </w:t>
      </w:r>
      <w:r w:rsidRPr="00AC3A31">
        <w:rPr>
          <w:rFonts w:ascii="Times New Roman" w:eastAsia="Times New Roman" w:hAnsi="Times New Roman" w:cs="Times New Roman"/>
          <w:sz w:val="28"/>
          <w:szCs w:val="28"/>
        </w:rPr>
        <w:t>disease-specific immune cells</w:t>
      </w:r>
    </w:p>
    <w:p w14:paraId="150E4151" w14:textId="77777777" w:rsidR="00F93D45" w:rsidRDefault="00F93D45">
      <w:pPr>
        <w:spacing w:line="240" w:lineRule="auto"/>
        <w:jc w:val="both"/>
        <w:rPr>
          <w:rFonts w:ascii="Times New Roman" w:eastAsia="Times New Roman" w:hAnsi="Times New Roman" w:cs="Times New Roman"/>
          <w:b/>
          <w:sz w:val="28"/>
          <w:szCs w:val="28"/>
        </w:rPr>
      </w:pPr>
    </w:p>
    <w:p w14:paraId="321B6017" w14:textId="77777777" w:rsidR="00F93D45" w:rsidRDefault="00F93D45">
      <w:pPr>
        <w:spacing w:line="240" w:lineRule="auto"/>
        <w:jc w:val="both"/>
        <w:rPr>
          <w:rFonts w:ascii="Times New Roman" w:eastAsia="Times New Roman" w:hAnsi="Times New Roman" w:cs="Times New Roman"/>
          <w:b/>
          <w:sz w:val="28"/>
          <w:szCs w:val="28"/>
        </w:rPr>
      </w:pPr>
    </w:p>
    <w:p w14:paraId="049B7A66" w14:textId="77777777" w:rsidR="00F93D45" w:rsidRDefault="00F93D45">
      <w:pPr>
        <w:spacing w:line="240" w:lineRule="auto"/>
        <w:jc w:val="both"/>
        <w:rPr>
          <w:rFonts w:ascii="Times New Roman" w:eastAsia="Times New Roman" w:hAnsi="Times New Roman" w:cs="Times New Roman"/>
          <w:b/>
          <w:sz w:val="28"/>
          <w:szCs w:val="28"/>
        </w:rPr>
      </w:pPr>
    </w:p>
    <w:p w14:paraId="06E45F96" w14:textId="77777777" w:rsidR="00F93D45" w:rsidRDefault="00F93D45">
      <w:pPr>
        <w:spacing w:line="240" w:lineRule="auto"/>
        <w:jc w:val="both"/>
        <w:rPr>
          <w:rFonts w:ascii="Times New Roman" w:eastAsia="Times New Roman" w:hAnsi="Times New Roman" w:cs="Times New Roman"/>
          <w:b/>
          <w:sz w:val="28"/>
          <w:szCs w:val="28"/>
        </w:rPr>
      </w:pPr>
    </w:p>
    <w:p w14:paraId="22E58566" w14:textId="36822FF8" w:rsidR="002902A0" w:rsidRPr="002902A0" w:rsidRDefault="002902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43A07BC" w14:textId="77777777" w:rsidR="002902A0" w:rsidRPr="002902A0" w:rsidRDefault="002902A0">
      <w:pPr>
        <w:spacing w:line="240" w:lineRule="auto"/>
        <w:jc w:val="both"/>
        <w:rPr>
          <w:rFonts w:ascii="Times New Roman" w:eastAsia="Times New Roman" w:hAnsi="Times New Roman" w:cs="Times New Roman"/>
          <w:b/>
          <w:sz w:val="24"/>
          <w:szCs w:val="24"/>
        </w:rPr>
      </w:pPr>
    </w:p>
    <w:p w14:paraId="1AEF4711" w14:textId="77777777" w:rsidR="0014670D" w:rsidRDefault="00AC3A3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Celiac disease (CD) is a common chronic autoimmune disorder triggered by the ingestion of gluten in genetically predisposed individuals. More specifically, the gluten proteins present in wheat, barley, rye, and cross-contaminated oats. (</w:t>
      </w:r>
      <w:r>
        <w:rPr>
          <w:rFonts w:ascii="Times New Roman" w:eastAsia="Times New Roman" w:hAnsi="Times New Roman" w:cs="Times New Roman"/>
          <w:sz w:val="24"/>
          <w:szCs w:val="24"/>
          <w:highlight w:val="white"/>
        </w:rPr>
        <w:t xml:space="preserve">Rewers M 2005). </w:t>
      </w:r>
      <w:r>
        <w:rPr>
          <w:rFonts w:ascii="Times New Roman" w:eastAsia="Times New Roman" w:hAnsi="Times New Roman" w:cs="Times New Roman"/>
          <w:sz w:val="24"/>
          <w:szCs w:val="24"/>
        </w:rPr>
        <w:t>While traditionally regarded as a gastrointestinal condition, CD is increasingly recognized as a systemic disorder with a wide range of clinical manifestations beyond the small intestine. (</w:t>
      </w:r>
      <w:r>
        <w:rPr>
          <w:rFonts w:ascii="Times New Roman" w:eastAsia="Times New Roman" w:hAnsi="Times New Roman" w:cs="Times New Roman"/>
          <w:sz w:val="24"/>
          <w:szCs w:val="24"/>
          <w:highlight w:val="white"/>
        </w:rPr>
        <w:t xml:space="preserve">Holtmeier W &amp; Caspary WF 2006). </w:t>
      </w:r>
      <w:r>
        <w:rPr>
          <w:rFonts w:ascii="Times New Roman" w:eastAsia="Times New Roman" w:hAnsi="Times New Roman" w:cs="Times New Roman"/>
          <w:sz w:val="24"/>
          <w:szCs w:val="24"/>
        </w:rPr>
        <w:t>Notably, emerging evidence suggests a significant association between CD and mood disorders, including depression and anxiety.</w:t>
      </w:r>
    </w:p>
    <w:p w14:paraId="6886221A" w14:textId="77777777" w:rsidR="0014670D" w:rsidRDefault="0014670D">
      <w:pPr>
        <w:spacing w:line="240" w:lineRule="auto"/>
        <w:ind w:firstLine="720"/>
        <w:jc w:val="both"/>
        <w:rPr>
          <w:rFonts w:ascii="Times New Roman" w:eastAsia="Times New Roman" w:hAnsi="Times New Roman" w:cs="Times New Roman"/>
          <w:sz w:val="24"/>
          <w:szCs w:val="24"/>
        </w:rPr>
      </w:pPr>
    </w:p>
    <w:p w14:paraId="7CD731DC" w14:textId="77777777" w:rsidR="0014670D" w:rsidRDefault="00AC3A31">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immunopathogenesis of CD is particularly well understood among other human leukocyte antigen (HLA) associated disorders. (</w:t>
      </w:r>
      <w:r>
        <w:rPr>
          <w:rFonts w:ascii="Times New Roman" w:eastAsia="Times New Roman" w:hAnsi="Times New Roman" w:cs="Times New Roman"/>
          <w:sz w:val="24"/>
          <w:szCs w:val="24"/>
          <w:highlight w:val="white"/>
        </w:rPr>
        <w:t xml:space="preserve">Brown NK et al. 2019). </w:t>
      </w:r>
      <w:r>
        <w:rPr>
          <w:rFonts w:ascii="Times New Roman" w:eastAsia="Times New Roman" w:hAnsi="Times New Roman" w:cs="Times New Roman"/>
          <w:sz w:val="24"/>
          <w:szCs w:val="24"/>
        </w:rPr>
        <w:t>It has been established that individuals carrying the DQ2 or DQ8 human leukocyte antigen haplotypes will develop the disease when ingesting gluten. (</w:t>
      </w:r>
      <w:r>
        <w:rPr>
          <w:rFonts w:ascii="Times New Roman" w:eastAsia="Times New Roman" w:hAnsi="Times New Roman" w:cs="Times New Roman"/>
          <w:sz w:val="24"/>
          <w:szCs w:val="24"/>
          <w:highlight w:val="white"/>
        </w:rPr>
        <w:t xml:space="preserve">De Re V, </w:t>
      </w:r>
      <w:proofErr w:type="spellStart"/>
      <w:r>
        <w:rPr>
          <w:rFonts w:ascii="Times New Roman" w:eastAsia="Times New Roman" w:hAnsi="Times New Roman" w:cs="Times New Roman"/>
          <w:sz w:val="24"/>
          <w:szCs w:val="24"/>
          <w:highlight w:val="white"/>
        </w:rPr>
        <w:t>Magris</w:t>
      </w:r>
      <w:proofErr w:type="spellEnd"/>
      <w:r>
        <w:rPr>
          <w:rFonts w:ascii="Times New Roman" w:eastAsia="Times New Roman" w:hAnsi="Times New Roman" w:cs="Times New Roman"/>
          <w:sz w:val="24"/>
          <w:szCs w:val="24"/>
          <w:highlight w:val="white"/>
        </w:rPr>
        <w:t xml:space="preserve"> R, &amp; Cannizzaro R 2017)</w:t>
      </w:r>
      <w:r>
        <w:rPr>
          <w:rFonts w:ascii="Times New Roman" w:eastAsia="Times New Roman" w:hAnsi="Times New Roman" w:cs="Times New Roman"/>
          <w:sz w:val="24"/>
          <w:szCs w:val="24"/>
        </w:rPr>
        <w:t>. That is, T cell reactivity against gluten peptides undergoes a modification, deamidation, whereby certain glutamine residues are converted into glutamic acid. (</w:t>
      </w:r>
      <w:r>
        <w:rPr>
          <w:rFonts w:ascii="Times New Roman" w:eastAsia="Times New Roman" w:hAnsi="Times New Roman" w:cs="Times New Roman"/>
          <w:sz w:val="24"/>
          <w:szCs w:val="24"/>
          <w:highlight w:val="white"/>
        </w:rPr>
        <w:t xml:space="preserve">du Pré MF &amp; Sollid LM 2015). </w:t>
      </w:r>
      <w:r>
        <w:rPr>
          <w:rFonts w:ascii="Times New Roman" w:eastAsia="Times New Roman" w:hAnsi="Times New Roman" w:cs="Times New Roman"/>
          <w:sz w:val="24"/>
          <w:szCs w:val="24"/>
        </w:rPr>
        <w:t>Antibody production against deamidated gluten and autoantibodies against the enzyme transglutaminase 2 (TG2) results. T cell epitopes are created in the gut, and thus both T cells and B cell antigens allow for the characterization of disease-specific immune cells to be identified in samples of CD patients. (</w:t>
      </w:r>
      <w:r>
        <w:rPr>
          <w:rFonts w:ascii="Times New Roman" w:eastAsia="Times New Roman" w:hAnsi="Times New Roman" w:cs="Times New Roman"/>
          <w:sz w:val="24"/>
          <w:szCs w:val="24"/>
          <w:highlight w:val="white"/>
        </w:rPr>
        <w:t xml:space="preserve">Iversen R &amp; Sollid LM 2023). </w:t>
      </w:r>
      <w:r>
        <w:rPr>
          <w:rFonts w:ascii="Times New Roman" w:eastAsia="Times New Roman" w:hAnsi="Times New Roman" w:cs="Times New Roman"/>
          <w:sz w:val="24"/>
          <w:szCs w:val="24"/>
        </w:rPr>
        <w:t xml:space="preserve">This process leads to intestinal inflammation and villous atrophy, which in turn impairs nutrient absorption. </w:t>
      </w:r>
      <w:r>
        <w:rPr>
          <w:rFonts w:ascii="Times New Roman" w:eastAsia="Times New Roman" w:hAnsi="Times New Roman" w:cs="Times New Roman"/>
          <w:sz w:val="24"/>
          <w:szCs w:val="24"/>
          <w:highlight w:val="white"/>
        </w:rPr>
        <w:t>The classical presentation of the disease ranges from an asymptomatic patient to one with severe malnutrition. (Schuppan D &amp; Zimmer KP 2013).</w:t>
      </w:r>
    </w:p>
    <w:p w14:paraId="66A0ACC5" w14:textId="77777777" w:rsidR="0014670D" w:rsidRDefault="0014670D">
      <w:pPr>
        <w:spacing w:line="240" w:lineRule="auto"/>
        <w:ind w:firstLine="720"/>
        <w:jc w:val="both"/>
        <w:rPr>
          <w:rFonts w:ascii="Times New Roman" w:eastAsia="Times New Roman" w:hAnsi="Times New Roman" w:cs="Times New Roman"/>
          <w:sz w:val="24"/>
          <w:szCs w:val="24"/>
          <w:highlight w:val="white"/>
        </w:rPr>
      </w:pPr>
    </w:p>
    <w:p w14:paraId="3D10F87A" w14:textId="77777777" w:rsidR="0014670D" w:rsidRDefault="00AC3A31">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Until recently, it was thought that the disease was limited to individuals of European descent. However, there has been a substantial increase in the prevalence and incidence of CD over the last two decades, which has a global extent not limited to those of European origin. (Ludvigsson JF &amp; Murray JA 2019). With the surge in cases and individuals diagnosed with CD, it is important to be aware of the significant risks that may come as a result related to depression, anxiety, and panic disorder. (King JA et al. 2020). With the certainty of the disorder being linked to a decreased quality of life (QoL) and certain mood disorders, this is not to be overlooked. Although the disease primarily affects the small intestine, previous studies have confirmed higher rates of neuropsychiatric diseases among CD patients compared to non-CD controls. (Sharma N, Singh K, &amp; Senapati S 2021). </w:t>
      </w:r>
    </w:p>
    <w:p w14:paraId="4F194446" w14:textId="77777777" w:rsidR="0014670D" w:rsidRDefault="0014670D">
      <w:pPr>
        <w:spacing w:line="240" w:lineRule="auto"/>
        <w:ind w:firstLine="720"/>
        <w:jc w:val="both"/>
        <w:rPr>
          <w:rFonts w:ascii="Times New Roman" w:eastAsia="Times New Roman" w:hAnsi="Times New Roman" w:cs="Times New Roman"/>
          <w:sz w:val="24"/>
          <w:szCs w:val="24"/>
          <w:highlight w:val="white"/>
        </w:rPr>
      </w:pPr>
    </w:p>
    <w:p w14:paraId="175D171C" w14:textId="7DBC4F8E" w:rsidR="0014670D" w:rsidRDefault="00AC3A3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Common complications of CD related to malabsorption may indicate this link. Folate (vitamin B-9) is a group of water-soluble compounds that play various roles in central nervous system functions such as the synthesis of neurotransmitters such as serotonin, dopamine, and </w:t>
      </w:r>
      <w:r w:rsidR="002902A0">
        <w:rPr>
          <w:rFonts w:ascii="Times New Roman" w:eastAsia="Times New Roman" w:hAnsi="Times New Roman" w:cs="Times New Roman"/>
          <w:sz w:val="24"/>
          <w:szCs w:val="24"/>
          <w:highlight w:val="white"/>
        </w:rPr>
        <w:t>norepinephrine,</w:t>
      </w:r>
      <w:r>
        <w:rPr>
          <w:rFonts w:ascii="Times New Roman" w:eastAsia="Times New Roman" w:hAnsi="Times New Roman" w:cs="Times New Roman"/>
          <w:sz w:val="24"/>
          <w:szCs w:val="24"/>
          <w:highlight w:val="white"/>
        </w:rPr>
        <w:t xml:space="preserve"> all of which are involved in mood regulation. (</w:t>
      </w:r>
      <w:proofErr w:type="spellStart"/>
      <w:r>
        <w:rPr>
          <w:rFonts w:ascii="Times New Roman" w:eastAsia="Times New Roman" w:hAnsi="Times New Roman" w:cs="Times New Roman"/>
          <w:sz w:val="24"/>
          <w:szCs w:val="24"/>
          <w:highlight w:val="white"/>
        </w:rPr>
        <w:t>Liwinski</w:t>
      </w:r>
      <w:proofErr w:type="spellEnd"/>
      <w:r>
        <w:rPr>
          <w:rFonts w:ascii="Times New Roman" w:eastAsia="Times New Roman" w:hAnsi="Times New Roman" w:cs="Times New Roman"/>
          <w:sz w:val="24"/>
          <w:szCs w:val="24"/>
          <w:highlight w:val="white"/>
        </w:rPr>
        <w:t xml:space="preserve"> T &amp; Lang UE 2023). Folate is of particular interest as low serum levels are a common hematological manifestation of the disease. (</w:t>
      </w:r>
      <w:proofErr w:type="spellStart"/>
      <w:r>
        <w:rPr>
          <w:rFonts w:ascii="Times New Roman" w:eastAsia="Times New Roman" w:hAnsi="Times New Roman" w:cs="Times New Roman"/>
          <w:sz w:val="24"/>
          <w:szCs w:val="24"/>
          <w:highlight w:val="white"/>
        </w:rPr>
        <w:t>Halfdanarson</w:t>
      </w:r>
      <w:proofErr w:type="spellEnd"/>
      <w:r>
        <w:rPr>
          <w:rFonts w:ascii="Times New Roman" w:eastAsia="Times New Roman" w:hAnsi="Times New Roman" w:cs="Times New Roman"/>
          <w:sz w:val="24"/>
          <w:szCs w:val="24"/>
          <w:highlight w:val="white"/>
        </w:rPr>
        <w:t xml:space="preserve"> TR, Litzow MR, &amp; Murray JA 2007). The link between inadequate diet and the risk of depression is well-established, (Berk M &amp; Jacka FN 2019). </w:t>
      </w:r>
      <w:r w:rsidR="002902A0">
        <w:rPr>
          <w:rFonts w:ascii="Times New Roman" w:eastAsia="Times New Roman" w:hAnsi="Times New Roman" w:cs="Times New Roman"/>
          <w:sz w:val="24"/>
          <w:szCs w:val="24"/>
          <w:highlight w:val="white"/>
        </w:rPr>
        <w:t>However,</w:t>
      </w:r>
      <w:r>
        <w:rPr>
          <w:rFonts w:ascii="Times New Roman" w:eastAsia="Times New Roman" w:hAnsi="Times New Roman" w:cs="Times New Roman"/>
          <w:sz w:val="24"/>
          <w:szCs w:val="24"/>
          <w:highlight w:val="white"/>
        </w:rPr>
        <w:t xml:space="preserve"> malabsorption due to CD can also lead to the same low levels of serum and red blood cell folate often seen in depressed individuals. Thus, it is crucial to take into consideration the role of folate deficiency in such patients. Additionally, folate is associated with an increased risk of depression, severity of symptoms, prolonged duration of depressive episodes, likelihood of relapse, and poor response to antidepressant treatment. (</w:t>
      </w:r>
      <w:proofErr w:type="spellStart"/>
      <w:r>
        <w:rPr>
          <w:rFonts w:ascii="Times New Roman" w:eastAsia="Times New Roman" w:hAnsi="Times New Roman" w:cs="Times New Roman"/>
          <w:sz w:val="24"/>
          <w:szCs w:val="24"/>
          <w:highlight w:val="white"/>
        </w:rPr>
        <w:t>Liwinski</w:t>
      </w:r>
      <w:proofErr w:type="spellEnd"/>
      <w:r>
        <w:rPr>
          <w:rFonts w:ascii="Times New Roman" w:eastAsia="Times New Roman" w:hAnsi="Times New Roman" w:cs="Times New Roman"/>
          <w:sz w:val="24"/>
          <w:szCs w:val="24"/>
          <w:highlight w:val="white"/>
        </w:rPr>
        <w:t xml:space="preserve"> T, &amp; Lang UE 2023).</w:t>
      </w:r>
    </w:p>
    <w:p w14:paraId="694C534D" w14:textId="77777777" w:rsidR="0014670D" w:rsidRDefault="0014670D">
      <w:pPr>
        <w:rPr>
          <w:rFonts w:ascii="Times New Roman" w:eastAsia="Times New Roman" w:hAnsi="Times New Roman" w:cs="Times New Roman"/>
          <w:sz w:val="24"/>
          <w:szCs w:val="24"/>
        </w:rPr>
      </w:pPr>
    </w:p>
    <w:p w14:paraId="3024B1C7" w14:textId="5AD0237A" w:rsidR="0014670D" w:rsidRDefault="002902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METHODS:</w:t>
      </w:r>
    </w:p>
    <w:p w14:paraId="0AC4DBFD" w14:textId="77777777" w:rsidR="0014670D" w:rsidRDefault="0014670D">
      <w:pPr>
        <w:rPr>
          <w:rFonts w:ascii="Times New Roman" w:eastAsia="Times New Roman" w:hAnsi="Times New Roman" w:cs="Times New Roman"/>
          <w:sz w:val="24"/>
          <w:szCs w:val="24"/>
        </w:rPr>
      </w:pPr>
    </w:p>
    <w:p w14:paraId="3D383155" w14:textId="49A79DEB"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for this retrospective study was acquired through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a global, health online platform that uses real world patient electronic health records (EHR) with over 100 </w:t>
      </w:r>
      <w:r w:rsidR="002902A0">
        <w:rPr>
          <w:rFonts w:ascii="Times New Roman" w:eastAsia="Times New Roman" w:hAnsi="Times New Roman" w:cs="Times New Roman"/>
          <w:sz w:val="24"/>
          <w:szCs w:val="24"/>
        </w:rPr>
        <w:t>million</w:t>
      </w:r>
      <w:r>
        <w:rPr>
          <w:rFonts w:ascii="Times New Roman" w:eastAsia="Times New Roman" w:hAnsi="Times New Roman" w:cs="Times New Roman"/>
          <w:sz w:val="24"/>
          <w:szCs w:val="24"/>
        </w:rPr>
        <w:t xml:space="preserve"> patients from 95 healthcare organizations (HCOs). All patient information is de-identified and </w:t>
      </w:r>
      <w:r w:rsidR="002902A0">
        <w:rPr>
          <w:rFonts w:ascii="Times New Roman" w:eastAsia="Times New Roman" w:hAnsi="Times New Roman" w:cs="Times New Roman"/>
          <w:sz w:val="24"/>
          <w:szCs w:val="24"/>
        </w:rPr>
        <w:t>follows</w:t>
      </w:r>
      <w:r>
        <w:rPr>
          <w:rFonts w:ascii="Times New Roman" w:eastAsia="Times New Roman" w:hAnsi="Times New Roman" w:cs="Times New Roman"/>
          <w:sz w:val="24"/>
          <w:szCs w:val="24"/>
        </w:rPr>
        <w:t xml:space="preserve"> the Health Insurance Portability Act (HIPAA) Privacy Rule.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utilizes standardized coding systems such as the International Classification of Diseases (ICD-10), Anatomical Therapeutic Chemical (ATC), Current Procedural Terminology (CPT) to identify specific diagnoses, procedures, medications and demographics. In addition, Institutional Review Board (IRB) approval was not required to gain access to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network. </w:t>
      </w:r>
    </w:p>
    <w:p w14:paraId="2FC95B1A" w14:textId="77777777" w:rsidR="0014670D" w:rsidRDefault="0014670D">
      <w:pPr>
        <w:rPr>
          <w:rFonts w:ascii="Times New Roman" w:eastAsia="Times New Roman" w:hAnsi="Times New Roman" w:cs="Times New Roman"/>
          <w:sz w:val="24"/>
          <w:szCs w:val="24"/>
        </w:rPr>
      </w:pPr>
    </w:p>
    <w:p w14:paraId="5AB8CA63" w14:textId="77777777" w:rsidR="0014670D" w:rsidRDefault="0014670D">
      <w:pPr>
        <w:rPr>
          <w:rFonts w:ascii="Times New Roman" w:eastAsia="Times New Roman" w:hAnsi="Times New Roman" w:cs="Times New Roman"/>
          <w:sz w:val="24"/>
          <w:szCs w:val="24"/>
        </w:rPr>
      </w:pPr>
    </w:p>
    <w:p w14:paraId="7E391EEA" w14:textId="42C38F83"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02A0">
        <w:rPr>
          <w:rFonts w:ascii="Times New Roman" w:eastAsia="Times New Roman" w:hAnsi="Times New Roman" w:cs="Times New Roman"/>
          <w:b/>
          <w:sz w:val="24"/>
          <w:szCs w:val="24"/>
        </w:rPr>
        <w:t>COHORTS</w:t>
      </w:r>
      <w:r>
        <w:rPr>
          <w:rFonts w:ascii="Times New Roman" w:eastAsia="Times New Roman" w:hAnsi="Times New Roman" w:cs="Times New Roman"/>
          <w:b/>
          <w:sz w:val="24"/>
          <w:szCs w:val="24"/>
        </w:rPr>
        <w:t>:</w:t>
      </w:r>
    </w:p>
    <w:p w14:paraId="7063E6E0" w14:textId="77777777" w:rsidR="0014670D" w:rsidRDefault="0014670D">
      <w:pPr>
        <w:rPr>
          <w:rFonts w:ascii="Times New Roman" w:eastAsia="Times New Roman" w:hAnsi="Times New Roman" w:cs="Times New Roman"/>
          <w:sz w:val="24"/>
          <w:szCs w:val="24"/>
        </w:rPr>
      </w:pPr>
    </w:p>
    <w:p w14:paraId="439D008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cohorts were utilized using the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platform. All patients were female and between the ages of 18-80 years old due to celiac disease is more prevalent in women and is common in older adults. Any individuals with a history of depressive episodes prior to celiac diagnoses were excluded. To reduce potential confounding variables, </w:t>
      </w:r>
      <w:proofErr w:type="spellStart"/>
      <w:r>
        <w:rPr>
          <w:rFonts w:ascii="Times New Roman" w:eastAsia="Times New Roman" w:hAnsi="Times New Roman" w:cs="Times New Roman"/>
          <w:sz w:val="24"/>
          <w:szCs w:val="24"/>
        </w:rPr>
        <w:t>Trinet’s</w:t>
      </w:r>
      <w:proofErr w:type="spellEnd"/>
      <w:r>
        <w:rPr>
          <w:rFonts w:ascii="Times New Roman" w:eastAsia="Times New Roman" w:hAnsi="Times New Roman" w:cs="Times New Roman"/>
          <w:sz w:val="24"/>
          <w:szCs w:val="24"/>
        </w:rPr>
        <w:t xml:space="preserve"> 1:1 propensity matching was used to balance comorbid conditions of intestinal malabsorption including ulcerative colitis, Crohn’s disease (ICD K50-K52), and pernicious anemia (ICD D51.0) as well as demographics. We did not analyze pediatric associations between folate deficiency and depression. </w:t>
      </w:r>
    </w:p>
    <w:p w14:paraId="792B380D" w14:textId="77777777" w:rsidR="0014670D" w:rsidRDefault="0014670D">
      <w:pPr>
        <w:rPr>
          <w:rFonts w:ascii="Times New Roman" w:eastAsia="Times New Roman" w:hAnsi="Times New Roman" w:cs="Times New Roman"/>
          <w:sz w:val="24"/>
          <w:szCs w:val="24"/>
        </w:rPr>
      </w:pPr>
    </w:p>
    <w:p w14:paraId="0A123D37" w14:textId="17BE6FAF"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1 consisted of Celiac patients (ICD K90.0) without a diagnosis of folate </w:t>
      </w:r>
      <w:r w:rsidR="002902A0">
        <w:rPr>
          <w:rFonts w:ascii="Times New Roman" w:eastAsia="Times New Roman" w:hAnsi="Times New Roman" w:cs="Times New Roman"/>
          <w:sz w:val="24"/>
          <w:szCs w:val="24"/>
        </w:rPr>
        <w:t>deficiency (</w:t>
      </w:r>
      <w:r>
        <w:rPr>
          <w:rFonts w:ascii="Times New Roman" w:eastAsia="Times New Roman" w:hAnsi="Times New Roman" w:cs="Times New Roman"/>
          <w:sz w:val="24"/>
          <w:szCs w:val="24"/>
        </w:rPr>
        <w:t xml:space="preserve">ICD D52.9) and could not have a depressive episode (ICD 10 F31.0). Cohort 2 consisted of individuals with celiac disease (ICD K90.0) and folate deficiency (ICD D52.9) and could not have a depressive episode (ICD F31.0) before the diagnosis of celiac disease. Primary outcomes were the prevalence of a depressive episode (F32.2) within a </w:t>
      </w:r>
      <w:r w:rsidR="002902A0">
        <w:rPr>
          <w:rFonts w:ascii="Times New Roman" w:eastAsia="Times New Roman" w:hAnsi="Times New Roman" w:cs="Times New Roman"/>
          <w:sz w:val="24"/>
          <w:szCs w:val="24"/>
        </w:rPr>
        <w:t>five-year</w:t>
      </w:r>
      <w:r>
        <w:rPr>
          <w:rFonts w:ascii="Times New Roman" w:eastAsia="Times New Roman" w:hAnsi="Times New Roman" w:cs="Times New Roman"/>
          <w:sz w:val="24"/>
          <w:szCs w:val="24"/>
        </w:rPr>
        <w:t xml:space="preserve"> follow-up period. </w:t>
      </w:r>
    </w:p>
    <w:p w14:paraId="78C32F6F" w14:textId="77777777" w:rsidR="0014670D" w:rsidRDefault="0014670D">
      <w:pPr>
        <w:rPr>
          <w:rFonts w:ascii="Times New Roman" w:eastAsia="Times New Roman" w:hAnsi="Times New Roman" w:cs="Times New Roman"/>
          <w:sz w:val="24"/>
          <w:szCs w:val="24"/>
        </w:rPr>
      </w:pPr>
    </w:p>
    <w:p w14:paraId="72FFA7F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was conducted via </w:t>
      </w:r>
      <w:proofErr w:type="spellStart"/>
      <w:r>
        <w:rPr>
          <w:rFonts w:ascii="Times New Roman" w:eastAsia="Times New Roman" w:hAnsi="Times New Roman" w:cs="Times New Roman"/>
          <w:sz w:val="24"/>
          <w:szCs w:val="24"/>
        </w:rPr>
        <w:t>TriNet’s</w:t>
      </w:r>
      <w:proofErr w:type="spellEnd"/>
      <w:r>
        <w:rPr>
          <w:rFonts w:ascii="Times New Roman" w:eastAsia="Times New Roman" w:hAnsi="Times New Roman" w:cs="Times New Roman"/>
          <w:sz w:val="24"/>
          <w:szCs w:val="24"/>
        </w:rPr>
        <w:t xml:space="preserve"> built-in analysis software. Descriptive statistics were used to compare patient demographics with continuous variables measured with standard deviation and categorical variables measured with frequencies. Cohort 1 (Celiac patients without folate deficiency) and Cohort 2 (Celiac patients with folate deficiency) were compared using chi-squared tests and paired t-tests. </w:t>
      </w:r>
    </w:p>
    <w:p w14:paraId="54DB8546" w14:textId="77777777" w:rsidR="0014670D" w:rsidRDefault="0014670D">
      <w:pPr>
        <w:rPr>
          <w:rFonts w:ascii="Times New Roman" w:eastAsia="Times New Roman" w:hAnsi="Times New Roman" w:cs="Times New Roman"/>
          <w:sz w:val="24"/>
          <w:szCs w:val="24"/>
        </w:rPr>
      </w:pPr>
    </w:p>
    <w:p w14:paraId="0494A07B" w14:textId="674F3D1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outcomes of interest were the prevalence of a depressive episode (ICD F32.2) within a </w:t>
      </w:r>
      <w:r w:rsidR="002902A0">
        <w:rPr>
          <w:rFonts w:ascii="Times New Roman" w:eastAsia="Times New Roman" w:hAnsi="Times New Roman" w:cs="Times New Roman"/>
          <w:sz w:val="24"/>
          <w:szCs w:val="24"/>
        </w:rPr>
        <w:t>five-year</w:t>
      </w:r>
      <w:r>
        <w:rPr>
          <w:rFonts w:ascii="Times New Roman" w:eastAsia="Times New Roman" w:hAnsi="Times New Roman" w:cs="Times New Roman"/>
          <w:sz w:val="24"/>
          <w:szCs w:val="24"/>
        </w:rPr>
        <w:t xml:space="preserve"> follow-up period. To measure the correlation between folate deficiency and depressive episodes, odd ratios with 95% confidence intervals were calculated by </w:t>
      </w:r>
      <w:proofErr w:type="spellStart"/>
      <w:r>
        <w:rPr>
          <w:rFonts w:ascii="Times New Roman" w:eastAsia="Times New Roman" w:hAnsi="Times New Roman" w:cs="Times New Roman"/>
          <w:sz w:val="24"/>
          <w:szCs w:val="24"/>
        </w:rPr>
        <w:t>TriNet’s</w:t>
      </w:r>
      <w:proofErr w:type="spellEnd"/>
      <w:r>
        <w:rPr>
          <w:rFonts w:ascii="Times New Roman" w:eastAsia="Times New Roman" w:hAnsi="Times New Roman" w:cs="Times New Roman"/>
          <w:sz w:val="24"/>
          <w:szCs w:val="24"/>
        </w:rPr>
        <w:t xml:space="preserve"> logistic regression models. Time-to-event analysis was performed using Cox proportional hazard models to estimate hazard ratios (HR) for the development of a depressive episode in patients with folate deficiency. Statistically significance was defined as a p value &lt;0.05. </w:t>
      </w:r>
    </w:p>
    <w:p w14:paraId="54DD3E30" w14:textId="77777777" w:rsidR="0014670D" w:rsidRDefault="0014670D">
      <w:pPr>
        <w:rPr>
          <w:rFonts w:ascii="Times New Roman" w:eastAsia="Times New Roman" w:hAnsi="Times New Roman" w:cs="Times New Roman"/>
          <w:sz w:val="24"/>
          <w:szCs w:val="24"/>
        </w:rPr>
      </w:pPr>
    </w:p>
    <w:p w14:paraId="46A7976C" w14:textId="579A3CEF" w:rsidR="0014670D" w:rsidRDefault="002902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p>
    <w:p w14:paraId="2668D7DD" w14:textId="77777777" w:rsidR="0014670D" w:rsidRDefault="0014670D">
      <w:pPr>
        <w:rPr>
          <w:rFonts w:ascii="Times New Roman" w:eastAsia="Times New Roman" w:hAnsi="Times New Roman" w:cs="Times New Roman"/>
          <w:sz w:val="24"/>
          <w:szCs w:val="24"/>
        </w:rPr>
      </w:pPr>
    </w:p>
    <w:tbl>
      <w:tblPr>
        <w:tblStyle w:val="a"/>
        <w:tblW w:w="9135" w:type="dxa"/>
        <w:tblInd w:w="345" w:type="dxa"/>
        <w:tblBorders>
          <w:top w:val="nil"/>
          <w:left w:val="nil"/>
          <w:bottom w:val="nil"/>
          <w:right w:val="nil"/>
          <w:insideH w:val="nil"/>
          <w:insideV w:val="nil"/>
        </w:tblBorders>
        <w:tblLayout w:type="fixed"/>
        <w:tblLook w:val="0600" w:firstRow="0" w:lastRow="0" w:firstColumn="0" w:lastColumn="0" w:noHBand="1" w:noVBand="1"/>
      </w:tblPr>
      <w:tblGrid>
        <w:gridCol w:w="1005"/>
        <w:gridCol w:w="1785"/>
        <w:gridCol w:w="1395"/>
        <w:gridCol w:w="1170"/>
        <w:gridCol w:w="1125"/>
        <w:gridCol w:w="1365"/>
        <w:gridCol w:w="1290"/>
      </w:tblGrid>
      <w:tr w:rsidR="0014670D" w14:paraId="2AE6EB54" w14:textId="77777777">
        <w:trPr>
          <w:trHeight w:val="664"/>
        </w:trPr>
        <w:tc>
          <w:tcPr>
            <w:tcW w:w="1005" w:type="dxa"/>
            <w:tcBorders>
              <w:top w:val="single" w:sz="7" w:space="0" w:color="808080"/>
              <w:left w:val="single" w:sz="7" w:space="0" w:color="44B3E1"/>
              <w:bottom w:val="single" w:sz="7" w:space="0" w:color="808080"/>
              <w:right w:val="nil"/>
            </w:tcBorders>
            <w:shd w:val="clear" w:color="auto" w:fill="C0E6F5"/>
            <w:tcMar>
              <w:top w:w="100" w:type="dxa"/>
              <w:left w:w="100" w:type="dxa"/>
              <w:bottom w:w="100" w:type="dxa"/>
              <w:right w:w="100" w:type="dxa"/>
            </w:tcMar>
          </w:tcPr>
          <w:p w14:paraId="1F2DF3A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8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40E93A9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Demographics</w:t>
            </w:r>
          </w:p>
        </w:tc>
        <w:tc>
          <w:tcPr>
            <w:tcW w:w="139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4E7A76E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Mean ± SD</w:t>
            </w:r>
          </w:p>
        </w:tc>
        <w:tc>
          <w:tcPr>
            <w:tcW w:w="1170"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4B31061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Patients</w:t>
            </w:r>
          </w:p>
        </w:tc>
        <w:tc>
          <w:tcPr>
            <w:tcW w:w="112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32C274D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of Cohort</w:t>
            </w:r>
          </w:p>
        </w:tc>
        <w:tc>
          <w:tcPr>
            <w:tcW w:w="1365" w:type="dxa"/>
            <w:tcBorders>
              <w:top w:val="single" w:sz="7" w:space="0" w:color="808080"/>
              <w:left w:val="nil"/>
              <w:bottom w:val="single" w:sz="7" w:space="0" w:color="808080"/>
              <w:right w:val="nil"/>
            </w:tcBorders>
            <w:shd w:val="clear" w:color="auto" w:fill="C0E6F5"/>
            <w:tcMar>
              <w:top w:w="100" w:type="dxa"/>
              <w:left w:w="100" w:type="dxa"/>
              <w:bottom w:w="100" w:type="dxa"/>
              <w:right w:w="100" w:type="dxa"/>
            </w:tcMar>
          </w:tcPr>
          <w:p w14:paraId="690964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P-Value </w:t>
            </w:r>
          </w:p>
        </w:tc>
        <w:tc>
          <w:tcPr>
            <w:tcW w:w="1290" w:type="dxa"/>
            <w:tcBorders>
              <w:top w:val="single" w:sz="7" w:space="0" w:color="808080"/>
              <w:left w:val="nil"/>
              <w:bottom w:val="single" w:sz="7" w:space="0" w:color="808080"/>
              <w:right w:val="single" w:sz="7" w:space="0" w:color="44B3E1"/>
            </w:tcBorders>
            <w:shd w:val="clear" w:color="auto" w:fill="C0E6F5"/>
            <w:tcMar>
              <w:top w:w="100" w:type="dxa"/>
              <w:left w:w="100" w:type="dxa"/>
              <w:bottom w:w="100" w:type="dxa"/>
              <w:right w:w="100" w:type="dxa"/>
            </w:tcMar>
          </w:tcPr>
          <w:p w14:paraId="2871A58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Std diff. </w:t>
            </w:r>
          </w:p>
        </w:tc>
      </w:tr>
      <w:tr w:rsidR="0014670D" w14:paraId="040D837A" w14:textId="77777777">
        <w:trPr>
          <w:trHeight w:val="874"/>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77DEC875" w14:textId="77777777" w:rsidR="0014670D" w:rsidRDefault="0014670D">
            <w:pPr>
              <w:rPr>
                <w:rFonts w:ascii="Times New Roman" w:eastAsia="Times New Roman" w:hAnsi="Times New Roman" w:cs="Times New Roman"/>
                <w:sz w:val="24"/>
                <w:szCs w:val="24"/>
              </w:rPr>
            </w:pPr>
          </w:p>
          <w:p w14:paraId="38BD33A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D727C8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C204D77" w14:textId="77777777" w:rsidR="0014670D" w:rsidRDefault="0014670D">
            <w:pPr>
              <w:rPr>
                <w:rFonts w:ascii="Times New Roman" w:eastAsia="Times New Roman" w:hAnsi="Times New Roman" w:cs="Times New Roman"/>
                <w:sz w:val="24"/>
                <w:szCs w:val="24"/>
              </w:rPr>
            </w:pPr>
          </w:p>
          <w:p w14:paraId="3E48A2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 Age</w:t>
            </w:r>
          </w:p>
          <w:p w14:paraId="039B5545"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922D8A8" w14:textId="77777777" w:rsidR="0014670D" w:rsidRDefault="0014670D">
            <w:pPr>
              <w:rPr>
                <w:rFonts w:ascii="Times New Roman" w:eastAsia="Times New Roman" w:hAnsi="Times New Roman" w:cs="Times New Roman"/>
                <w:sz w:val="24"/>
                <w:szCs w:val="24"/>
              </w:rPr>
            </w:pPr>
          </w:p>
          <w:p w14:paraId="48DEA5C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58.4 ± 17.6</w:t>
            </w:r>
          </w:p>
          <w:p w14:paraId="2089DFB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58.8 ± 17.7</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45839F5" w14:textId="77777777" w:rsidR="0014670D" w:rsidRDefault="0014670D">
            <w:pPr>
              <w:rPr>
                <w:rFonts w:ascii="Times New Roman" w:eastAsia="Times New Roman" w:hAnsi="Times New Roman" w:cs="Times New Roman"/>
                <w:sz w:val="24"/>
                <w:szCs w:val="24"/>
              </w:rPr>
            </w:pPr>
          </w:p>
          <w:p w14:paraId="27B45A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p w14:paraId="4D12DCA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7A880A2" w14:textId="77777777" w:rsidR="0014670D" w:rsidRDefault="0014670D">
            <w:pPr>
              <w:rPr>
                <w:rFonts w:ascii="Times New Roman" w:eastAsia="Times New Roman" w:hAnsi="Times New Roman" w:cs="Times New Roman"/>
                <w:sz w:val="24"/>
                <w:szCs w:val="24"/>
              </w:rPr>
            </w:pPr>
          </w:p>
          <w:p w14:paraId="465BB20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6C87A1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400F198" w14:textId="77777777" w:rsidR="0014670D" w:rsidRDefault="0014670D">
            <w:pPr>
              <w:rPr>
                <w:rFonts w:ascii="Times New Roman" w:eastAsia="Times New Roman" w:hAnsi="Times New Roman" w:cs="Times New Roman"/>
                <w:sz w:val="24"/>
                <w:szCs w:val="24"/>
              </w:rPr>
            </w:pPr>
          </w:p>
          <w:p w14:paraId="034105E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0.8147</w:t>
            </w:r>
          </w:p>
          <w:p w14:paraId="708C0C7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47C61442" w14:textId="77777777" w:rsidR="0014670D" w:rsidRDefault="0014670D">
            <w:pPr>
              <w:rPr>
                <w:rFonts w:ascii="Times New Roman" w:eastAsia="Times New Roman" w:hAnsi="Times New Roman" w:cs="Times New Roman"/>
                <w:sz w:val="24"/>
                <w:szCs w:val="24"/>
              </w:rPr>
            </w:pPr>
          </w:p>
          <w:p w14:paraId="1504043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0.0231</w:t>
            </w:r>
          </w:p>
          <w:p w14:paraId="56227C7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37C63B7F" w14:textId="77777777">
        <w:trPr>
          <w:trHeight w:val="874"/>
        </w:trPr>
        <w:tc>
          <w:tcPr>
            <w:tcW w:w="1005" w:type="dxa"/>
            <w:vMerge/>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1579932C" w14:textId="77777777" w:rsidR="0014670D" w:rsidRDefault="0014670D">
            <w:pPr>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740FCD22" w14:textId="77777777" w:rsidR="0014670D" w:rsidRDefault="0014670D">
            <w:pPr>
              <w:rPr>
                <w:rFonts w:ascii="Times New Roman" w:eastAsia="Times New Roman" w:hAnsi="Times New Roman" w:cs="Times New Roman"/>
                <w:sz w:val="24"/>
                <w:szCs w:val="24"/>
              </w:rPr>
            </w:pPr>
          </w:p>
        </w:tc>
        <w:tc>
          <w:tcPr>
            <w:tcW w:w="1395" w:type="dxa"/>
            <w:vMerge/>
            <w:tcBorders>
              <w:top w:val="single" w:sz="7" w:space="0" w:color="808080"/>
              <w:left w:val="nil"/>
              <w:bottom w:val="single" w:sz="7" w:space="0" w:color="44B3E1"/>
              <w:right w:val="nil"/>
            </w:tcBorders>
            <w:tcMar>
              <w:top w:w="100" w:type="dxa"/>
              <w:left w:w="100" w:type="dxa"/>
              <w:bottom w:w="100" w:type="dxa"/>
              <w:right w:w="100" w:type="dxa"/>
            </w:tcMar>
          </w:tcPr>
          <w:p w14:paraId="1D3D7C80" w14:textId="77777777" w:rsidR="0014670D" w:rsidRDefault="0014670D">
            <w:pPr>
              <w:rPr>
                <w:rFonts w:ascii="Times New Roman" w:eastAsia="Times New Roman" w:hAnsi="Times New Roman" w:cs="Times New Roman"/>
                <w:sz w:val="24"/>
                <w:szCs w:val="24"/>
              </w:rPr>
            </w:pPr>
          </w:p>
        </w:tc>
        <w:tc>
          <w:tcPr>
            <w:tcW w:w="1170" w:type="dxa"/>
            <w:vMerge/>
            <w:tcBorders>
              <w:top w:val="single" w:sz="7" w:space="0" w:color="808080"/>
              <w:left w:val="nil"/>
              <w:bottom w:val="single" w:sz="7" w:space="0" w:color="44B3E1"/>
              <w:right w:val="nil"/>
            </w:tcBorders>
            <w:tcMar>
              <w:top w:w="100" w:type="dxa"/>
              <w:left w:w="100" w:type="dxa"/>
              <w:bottom w:w="100" w:type="dxa"/>
              <w:right w:w="100" w:type="dxa"/>
            </w:tcMar>
          </w:tcPr>
          <w:p w14:paraId="5ADE0ABF" w14:textId="77777777" w:rsidR="0014670D" w:rsidRDefault="0014670D">
            <w:pPr>
              <w:rPr>
                <w:rFonts w:ascii="Times New Roman" w:eastAsia="Times New Roman" w:hAnsi="Times New Roman" w:cs="Times New Roman"/>
                <w:sz w:val="24"/>
                <w:szCs w:val="24"/>
              </w:rPr>
            </w:pPr>
          </w:p>
        </w:tc>
        <w:tc>
          <w:tcPr>
            <w:tcW w:w="1125" w:type="dxa"/>
            <w:vMerge/>
            <w:tcBorders>
              <w:top w:val="single" w:sz="7" w:space="0" w:color="808080"/>
              <w:left w:val="nil"/>
              <w:bottom w:val="single" w:sz="7" w:space="0" w:color="44B3E1"/>
              <w:right w:val="nil"/>
            </w:tcBorders>
            <w:tcMar>
              <w:top w:w="100" w:type="dxa"/>
              <w:left w:w="100" w:type="dxa"/>
              <w:bottom w:w="100" w:type="dxa"/>
              <w:right w:w="100" w:type="dxa"/>
            </w:tcMar>
          </w:tcPr>
          <w:p w14:paraId="134F2FD6" w14:textId="77777777" w:rsidR="0014670D" w:rsidRDefault="0014670D">
            <w:pPr>
              <w:rPr>
                <w:rFonts w:ascii="Times New Roman" w:eastAsia="Times New Roman" w:hAnsi="Times New Roman" w:cs="Times New Roman"/>
                <w:sz w:val="24"/>
                <w:szCs w:val="24"/>
              </w:rPr>
            </w:pPr>
          </w:p>
        </w:tc>
        <w:tc>
          <w:tcPr>
            <w:tcW w:w="1365" w:type="dxa"/>
            <w:vMerge/>
            <w:tcBorders>
              <w:top w:val="single" w:sz="7" w:space="0" w:color="808080"/>
              <w:left w:val="nil"/>
              <w:bottom w:val="single" w:sz="7" w:space="0" w:color="44B3E1"/>
              <w:right w:val="nil"/>
            </w:tcBorders>
            <w:tcMar>
              <w:top w:w="100" w:type="dxa"/>
              <w:left w:w="100" w:type="dxa"/>
              <w:bottom w:w="100" w:type="dxa"/>
              <w:right w:w="100" w:type="dxa"/>
            </w:tcMar>
          </w:tcPr>
          <w:p w14:paraId="5FEACE2D" w14:textId="77777777" w:rsidR="0014670D" w:rsidRDefault="0014670D">
            <w:pPr>
              <w:rPr>
                <w:rFonts w:ascii="Times New Roman" w:eastAsia="Times New Roman" w:hAnsi="Times New Roman" w:cs="Times New Roman"/>
                <w:sz w:val="24"/>
                <w:szCs w:val="24"/>
              </w:rPr>
            </w:pPr>
          </w:p>
        </w:tc>
        <w:tc>
          <w:tcPr>
            <w:tcW w:w="1290" w:type="dxa"/>
            <w:vMerge/>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4DF47F58" w14:textId="77777777" w:rsidR="0014670D" w:rsidRDefault="0014670D">
            <w:pPr>
              <w:rPr>
                <w:rFonts w:ascii="Times New Roman" w:eastAsia="Times New Roman" w:hAnsi="Times New Roman" w:cs="Times New Roman"/>
                <w:sz w:val="24"/>
                <w:szCs w:val="24"/>
              </w:rPr>
            </w:pPr>
          </w:p>
        </w:tc>
      </w:tr>
      <w:tr w:rsidR="0014670D" w14:paraId="03956ADB"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4AE53986"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6DCA0F8"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9183B62"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1AB1104"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AB8AE4D"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A03B6BD"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1B862064" w14:textId="77777777" w:rsidR="0014670D" w:rsidRDefault="0014670D">
            <w:pPr>
              <w:spacing w:line="240" w:lineRule="auto"/>
              <w:rPr>
                <w:rFonts w:ascii="Times New Roman" w:eastAsia="Times New Roman" w:hAnsi="Times New Roman" w:cs="Times New Roman"/>
                <w:sz w:val="24"/>
                <w:szCs w:val="24"/>
              </w:rPr>
            </w:pPr>
          </w:p>
        </w:tc>
      </w:tr>
      <w:tr w:rsidR="0014670D" w14:paraId="20EF9988" w14:textId="77777777">
        <w:trPr>
          <w:trHeight w:val="78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163114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3F89E2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3D7D3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of Index </w:t>
            </w:r>
          </w:p>
          <w:p w14:paraId="29E60C29"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96D57C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53.8 ± 17</w:t>
            </w:r>
          </w:p>
          <w:p w14:paraId="72CE950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54.1 ± 17</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A3774D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p w14:paraId="3C89894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36580A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68046DA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CEFF00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D8B54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73B04CF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85CBF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3A9BB57F"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22E1AA1C"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647B463"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7E006FE"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8790D9F"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70C7450"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3D6FC1A"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39923F85" w14:textId="77777777" w:rsidR="0014670D" w:rsidRDefault="0014670D">
            <w:pPr>
              <w:spacing w:line="240" w:lineRule="auto"/>
              <w:rPr>
                <w:rFonts w:ascii="Times New Roman" w:eastAsia="Times New Roman" w:hAnsi="Times New Roman" w:cs="Times New Roman"/>
                <w:sz w:val="24"/>
                <w:szCs w:val="24"/>
              </w:rPr>
            </w:pPr>
          </w:p>
        </w:tc>
      </w:tr>
      <w:tr w:rsidR="0014670D" w14:paraId="0B1FD670" w14:textId="77777777">
        <w:trPr>
          <w:trHeight w:val="53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028E9D5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4378C3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20A0F5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6FC524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ED526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37FD0E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p w14:paraId="197DF57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03F0EB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5E23F0D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3DC80E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5D4A6C0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33B5203E"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5F724480"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DBADD15"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4C04EC3"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09A6A68"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EF0C9E8"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67EB6FA"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563E6BA9" w14:textId="77777777" w:rsidR="0014670D" w:rsidRDefault="0014670D">
            <w:pPr>
              <w:spacing w:line="240" w:lineRule="auto"/>
              <w:rPr>
                <w:rFonts w:ascii="Times New Roman" w:eastAsia="Times New Roman" w:hAnsi="Times New Roman" w:cs="Times New Roman"/>
                <w:sz w:val="24"/>
                <w:szCs w:val="24"/>
              </w:rPr>
            </w:pPr>
          </w:p>
        </w:tc>
      </w:tr>
      <w:tr w:rsidR="0014670D" w14:paraId="17605EC6" w14:textId="77777777">
        <w:trPr>
          <w:trHeight w:val="53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6A2A8F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937E4C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050FEE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p>
          <w:p w14:paraId="5E500F34"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064209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42635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9EA0CC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p w14:paraId="22F9C22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29B310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76.699%</w:t>
            </w:r>
          </w:p>
          <w:p w14:paraId="76B5D7D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77.184%</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925AF8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0.0.9069</w:t>
            </w:r>
          </w:p>
          <w:p w14:paraId="75CB2A2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0E1CF3C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0.0115</w:t>
            </w:r>
          </w:p>
          <w:p w14:paraId="07C122C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69FDA487" w14:textId="77777777">
        <w:trPr>
          <w:trHeight w:val="420"/>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67209F07"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981CC39"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3848A23"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EB43BF9"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36DC8CC"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5BD385E"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47282419" w14:textId="77777777" w:rsidR="0014670D" w:rsidRDefault="0014670D">
            <w:pPr>
              <w:spacing w:line="240" w:lineRule="auto"/>
              <w:rPr>
                <w:rFonts w:ascii="Times New Roman" w:eastAsia="Times New Roman" w:hAnsi="Times New Roman" w:cs="Times New Roman"/>
                <w:sz w:val="24"/>
                <w:szCs w:val="24"/>
              </w:rPr>
            </w:pPr>
          </w:p>
        </w:tc>
      </w:tr>
      <w:tr w:rsidR="0014670D" w14:paraId="4ADABD09" w14:textId="77777777">
        <w:trPr>
          <w:trHeight w:val="116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29DB9E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7F13A6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C5AE58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Hispanic or Latino</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623360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DD15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FA099F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p w14:paraId="3F40896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9E31B7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61.65%</w:t>
            </w:r>
          </w:p>
          <w:p w14:paraId="08A26EA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63.107%</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A7C4AF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0.7603</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6D5401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0.0301</w:t>
            </w:r>
          </w:p>
        </w:tc>
      </w:tr>
      <w:tr w:rsidR="0014670D" w14:paraId="11FDA4A1"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4492D750"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05AF81F"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CED91DB"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1015B2B"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C136DF1"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06D90EA"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165D3D19" w14:textId="77777777" w:rsidR="0014670D" w:rsidRDefault="0014670D">
            <w:pPr>
              <w:spacing w:line="240" w:lineRule="auto"/>
              <w:rPr>
                <w:rFonts w:ascii="Times New Roman" w:eastAsia="Times New Roman" w:hAnsi="Times New Roman" w:cs="Times New Roman"/>
                <w:sz w:val="24"/>
                <w:szCs w:val="24"/>
              </w:rPr>
            </w:pPr>
          </w:p>
        </w:tc>
      </w:tr>
      <w:tr w:rsidR="0014670D" w14:paraId="5DD10214" w14:textId="77777777">
        <w:trPr>
          <w:trHeight w:val="84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AA15E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BC54F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B97E5E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Unknown Ethnicity</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D5CA31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E99C1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E153BE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3FA7CC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369DE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29.126%</w:t>
            </w:r>
          </w:p>
          <w:p w14:paraId="2F9BB6E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27.67%</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3C4512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0.7431</w:t>
            </w:r>
          </w:p>
          <w:p w14:paraId="1D68FB9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5F89785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0.0323</w:t>
            </w:r>
          </w:p>
          <w:p w14:paraId="37DABEA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17A5C1C9"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3649AB4F"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33DBAB5"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23096C2"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D1464A0"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26500ED"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7E163C8"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7CBDC7C5" w14:textId="77777777" w:rsidR="0014670D" w:rsidRDefault="0014670D">
            <w:pPr>
              <w:spacing w:line="240" w:lineRule="auto"/>
              <w:rPr>
                <w:rFonts w:ascii="Times New Roman" w:eastAsia="Times New Roman" w:hAnsi="Times New Roman" w:cs="Times New Roman"/>
                <w:sz w:val="24"/>
                <w:szCs w:val="24"/>
              </w:rPr>
            </w:pPr>
          </w:p>
        </w:tc>
      </w:tr>
      <w:tr w:rsidR="0014670D" w14:paraId="4111AFBB" w14:textId="77777777">
        <w:trPr>
          <w:trHeight w:val="84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D08012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14:paraId="47220E4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08AF8C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or Latino</w:t>
            </w:r>
          </w:p>
          <w:p w14:paraId="6E7710EE" w14:textId="77777777" w:rsidR="0014670D" w:rsidRDefault="0014670D">
            <w:pPr>
              <w:rPr>
                <w:rFonts w:ascii="Times New Roman" w:eastAsia="Times New Roman" w:hAnsi="Times New Roman" w:cs="Times New Roman"/>
                <w:sz w:val="24"/>
                <w:szCs w:val="24"/>
              </w:rPr>
            </w:pP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8D1797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2DAB1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E0A4C0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2C148AB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B1AF30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9.223%</w:t>
            </w:r>
          </w:p>
          <w:p w14:paraId="43E9941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9.233%</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2E2A2D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7B8F3C8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tc>
      </w:tr>
      <w:tr w:rsidR="0014670D" w14:paraId="0E71DEDB"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5E8F64AF"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E167FEA"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03614E5"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5CC4359"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84082F9"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DED8A49"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7CDEE7DC" w14:textId="77777777" w:rsidR="0014670D" w:rsidRDefault="0014670D">
            <w:pPr>
              <w:spacing w:line="240" w:lineRule="auto"/>
              <w:rPr>
                <w:rFonts w:ascii="Times New Roman" w:eastAsia="Times New Roman" w:hAnsi="Times New Roman" w:cs="Times New Roman"/>
                <w:sz w:val="24"/>
                <w:szCs w:val="24"/>
              </w:rPr>
            </w:pPr>
          </w:p>
        </w:tc>
      </w:tr>
      <w:tr w:rsidR="0014670D" w14:paraId="387E4DB8" w14:textId="77777777">
        <w:trPr>
          <w:trHeight w:val="53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17F3BD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926ACF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BC6A37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Race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E79483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D382B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649F36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1E0AAEB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ADDCAE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8.252%</w:t>
            </w:r>
          </w:p>
          <w:p w14:paraId="49BE7FC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6.311%</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C399A9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0.4482</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38EB5DE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0.0748</w:t>
            </w:r>
          </w:p>
        </w:tc>
      </w:tr>
      <w:tr w:rsidR="0014670D" w14:paraId="744E7974" w14:textId="77777777">
        <w:trPr>
          <w:trHeight w:val="530"/>
        </w:trPr>
        <w:tc>
          <w:tcPr>
            <w:tcW w:w="1005" w:type="dxa"/>
            <w:vMerge/>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60786DC6" w14:textId="77777777" w:rsidR="0014670D" w:rsidRDefault="0014670D">
            <w:pPr>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07182E48" w14:textId="77777777" w:rsidR="0014670D" w:rsidRDefault="0014670D">
            <w:pPr>
              <w:rPr>
                <w:rFonts w:ascii="Times New Roman" w:eastAsia="Times New Roman" w:hAnsi="Times New Roman" w:cs="Times New Roman"/>
                <w:sz w:val="24"/>
                <w:szCs w:val="24"/>
              </w:rPr>
            </w:pPr>
          </w:p>
        </w:tc>
        <w:tc>
          <w:tcPr>
            <w:tcW w:w="1395" w:type="dxa"/>
            <w:vMerge/>
            <w:tcBorders>
              <w:top w:val="single" w:sz="7" w:space="0" w:color="808080"/>
              <w:left w:val="nil"/>
              <w:bottom w:val="single" w:sz="7" w:space="0" w:color="44B3E1"/>
              <w:right w:val="nil"/>
            </w:tcBorders>
            <w:tcMar>
              <w:top w:w="100" w:type="dxa"/>
              <w:left w:w="100" w:type="dxa"/>
              <w:bottom w:w="100" w:type="dxa"/>
              <w:right w:w="100" w:type="dxa"/>
            </w:tcMar>
          </w:tcPr>
          <w:p w14:paraId="45B44278" w14:textId="77777777" w:rsidR="0014670D" w:rsidRDefault="0014670D">
            <w:pPr>
              <w:rPr>
                <w:rFonts w:ascii="Times New Roman" w:eastAsia="Times New Roman" w:hAnsi="Times New Roman" w:cs="Times New Roman"/>
                <w:sz w:val="24"/>
                <w:szCs w:val="24"/>
              </w:rPr>
            </w:pPr>
          </w:p>
        </w:tc>
        <w:tc>
          <w:tcPr>
            <w:tcW w:w="1170" w:type="dxa"/>
            <w:vMerge/>
            <w:tcBorders>
              <w:top w:val="single" w:sz="7" w:space="0" w:color="808080"/>
              <w:left w:val="nil"/>
              <w:bottom w:val="single" w:sz="7" w:space="0" w:color="44B3E1"/>
              <w:right w:val="nil"/>
            </w:tcBorders>
            <w:tcMar>
              <w:top w:w="100" w:type="dxa"/>
              <w:left w:w="100" w:type="dxa"/>
              <w:bottom w:w="100" w:type="dxa"/>
              <w:right w:w="100" w:type="dxa"/>
            </w:tcMar>
          </w:tcPr>
          <w:p w14:paraId="2F66C5EB" w14:textId="77777777" w:rsidR="0014670D" w:rsidRDefault="0014670D">
            <w:pPr>
              <w:rPr>
                <w:rFonts w:ascii="Times New Roman" w:eastAsia="Times New Roman" w:hAnsi="Times New Roman" w:cs="Times New Roman"/>
                <w:sz w:val="24"/>
                <w:szCs w:val="24"/>
              </w:rPr>
            </w:pPr>
          </w:p>
        </w:tc>
        <w:tc>
          <w:tcPr>
            <w:tcW w:w="1125" w:type="dxa"/>
            <w:vMerge/>
            <w:tcBorders>
              <w:top w:val="single" w:sz="7" w:space="0" w:color="808080"/>
              <w:left w:val="nil"/>
              <w:bottom w:val="single" w:sz="7" w:space="0" w:color="44B3E1"/>
              <w:right w:val="nil"/>
            </w:tcBorders>
            <w:tcMar>
              <w:top w:w="100" w:type="dxa"/>
              <w:left w:w="100" w:type="dxa"/>
              <w:bottom w:w="100" w:type="dxa"/>
              <w:right w:w="100" w:type="dxa"/>
            </w:tcMar>
          </w:tcPr>
          <w:p w14:paraId="14C3976C" w14:textId="77777777" w:rsidR="0014670D" w:rsidRDefault="0014670D">
            <w:pPr>
              <w:rPr>
                <w:rFonts w:ascii="Times New Roman" w:eastAsia="Times New Roman" w:hAnsi="Times New Roman" w:cs="Times New Roman"/>
                <w:sz w:val="24"/>
                <w:szCs w:val="24"/>
              </w:rPr>
            </w:pPr>
          </w:p>
        </w:tc>
        <w:tc>
          <w:tcPr>
            <w:tcW w:w="1365" w:type="dxa"/>
            <w:vMerge/>
            <w:tcBorders>
              <w:top w:val="single" w:sz="7" w:space="0" w:color="808080"/>
              <w:left w:val="nil"/>
              <w:bottom w:val="single" w:sz="7" w:space="0" w:color="44B3E1"/>
              <w:right w:val="nil"/>
            </w:tcBorders>
            <w:tcMar>
              <w:top w:w="100" w:type="dxa"/>
              <w:left w:w="100" w:type="dxa"/>
              <w:bottom w:w="100" w:type="dxa"/>
              <w:right w:w="100" w:type="dxa"/>
            </w:tcMar>
          </w:tcPr>
          <w:p w14:paraId="2E94D5EA" w14:textId="77777777" w:rsidR="0014670D" w:rsidRDefault="0014670D">
            <w:pPr>
              <w:rPr>
                <w:rFonts w:ascii="Times New Roman" w:eastAsia="Times New Roman" w:hAnsi="Times New Roman" w:cs="Times New Roman"/>
                <w:sz w:val="24"/>
                <w:szCs w:val="24"/>
              </w:rPr>
            </w:pPr>
          </w:p>
        </w:tc>
        <w:tc>
          <w:tcPr>
            <w:tcW w:w="1290" w:type="dxa"/>
            <w:vMerge/>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1EDF3705" w14:textId="77777777" w:rsidR="0014670D" w:rsidRDefault="0014670D">
            <w:pPr>
              <w:rPr>
                <w:rFonts w:ascii="Times New Roman" w:eastAsia="Times New Roman" w:hAnsi="Times New Roman" w:cs="Times New Roman"/>
                <w:sz w:val="24"/>
                <w:szCs w:val="24"/>
              </w:rPr>
            </w:pPr>
          </w:p>
        </w:tc>
      </w:tr>
      <w:tr w:rsidR="0014670D" w14:paraId="53687873"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019651A7"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7EC7268A"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91E8926"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3805656"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D7D11C9"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2201F1D"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3556863C" w14:textId="77777777" w:rsidR="0014670D" w:rsidRDefault="0014670D">
            <w:pPr>
              <w:spacing w:line="240" w:lineRule="auto"/>
              <w:rPr>
                <w:rFonts w:ascii="Times New Roman" w:eastAsia="Times New Roman" w:hAnsi="Times New Roman" w:cs="Times New Roman"/>
                <w:sz w:val="24"/>
                <w:szCs w:val="24"/>
              </w:rPr>
            </w:pPr>
          </w:p>
        </w:tc>
      </w:tr>
      <w:tr w:rsidR="0014670D" w14:paraId="617FFAAE" w14:textId="77777777">
        <w:trPr>
          <w:trHeight w:val="84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69E1A6A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0C3041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4810C1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Unknown Race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5B9EC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BF616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10769F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44798E5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6555B8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8.738%</w:t>
            </w:r>
          </w:p>
          <w:p w14:paraId="13A4C99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8.738%</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3D6A29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4C29251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tc>
      </w:tr>
      <w:tr w:rsidR="0014670D" w14:paraId="25FBA5B5"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05C0C892"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4FDB36F8"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7D8AF32"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EC5E89B"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9795B2C"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FAB9128"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03EC9423" w14:textId="77777777" w:rsidR="0014670D" w:rsidRDefault="0014670D">
            <w:pPr>
              <w:spacing w:line="240" w:lineRule="auto"/>
              <w:rPr>
                <w:rFonts w:ascii="Times New Roman" w:eastAsia="Times New Roman" w:hAnsi="Times New Roman" w:cs="Times New Roman"/>
                <w:sz w:val="24"/>
                <w:szCs w:val="24"/>
              </w:rPr>
            </w:pPr>
          </w:p>
        </w:tc>
      </w:tr>
      <w:tr w:rsidR="0014670D" w14:paraId="1ADA229A" w14:textId="77777777">
        <w:trPr>
          <w:trHeight w:val="71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4210E3E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D04C66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B3C25F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Asian</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2D88AE8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9C1CF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30F810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14D6A36C"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948159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p w14:paraId="2D7113E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6155AC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p w14:paraId="5C48B10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6BBB40F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p w14:paraId="09B90AA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7C498AF5"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3D6E2C70"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6AB8AE5"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DFC5499"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4465085"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88BB71C"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2FCA13C"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40C2627F" w14:textId="77777777" w:rsidR="0014670D" w:rsidRDefault="0014670D">
            <w:pPr>
              <w:spacing w:line="240" w:lineRule="auto"/>
              <w:rPr>
                <w:rFonts w:ascii="Times New Roman" w:eastAsia="Times New Roman" w:hAnsi="Times New Roman" w:cs="Times New Roman"/>
                <w:sz w:val="24"/>
                <w:szCs w:val="24"/>
              </w:rPr>
            </w:pPr>
          </w:p>
        </w:tc>
      </w:tr>
      <w:tr w:rsidR="0014670D" w14:paraId="66AE0E85" w14:textId="77777777">
        <w:trPr>
          <w:trHeight w:val="1070"/>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2C64DDA1" w14:textId="77777777" w:rsidR="0014670D" w:rsidRDefault="0014670D">
            <w:pPr>
              <w:rPr>
                <w:rFonts w:ascii="Times New Roman" w:eastAsia="Times New Roman" w:hAnsi="Times New Roman" w:cs="Times New Roman"/>
                <w:sz w:val="24"/>
                <w:szCs w:val="24"/>
              </w:rPr>
            </w:pPr>
          </w:p>
          <w:p w14:paraId="3497307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72A5FC8"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FA9316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Black or African American</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8D8392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15114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5451D58" w14:textId="77777777" w:rsidR="0014670D" w:rsidRDefault="0014670D">
            <w:pPr>
              <w:rPr>
                <w:rFonts w:ascii="Times New Roman" w:eastAsia="Times New Roman" w:hAnsi="Times New Roman" w:cs="Times New Roman"/>
                <w:sz w:val="24"/>
                <w:szCs w:val="24"/>
              </w:rPr>
            </w:pPr>
          </w:p>
          <w:p w14:paraId="7783B48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12B166C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3ABFA725" w14:textId="77777777" w:rsidR="0014670D" w:rsidRDefault="0014670D">
            <w:pPr>
              <w:rPr>
                <w:rFonts w:ascii="Times New Roman" w:eastAsia="Times New Roman" w:hAnsi="Times New Roman" w:cs="Times New Roman"/>
                <w:sz w:val="24"/>
                <w:szCs w:val="24"/>
              </w:rPr>
            </w:pPr>
          </w:p>
          <w:p w14:paraId="657C16A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p w14:paraId="647DC0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6.311%</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75BA61C" w14:textId="77777777" w:rsidR="0014670D" w:rsidRDefault="0014670D">
            <w:pPr>
              <w:rPr>
                <w:rFonts w:ascii="Times New Roman" w:eastAsia="Times New Roman" w:hAnsi="Times New Roman" w:cs="Times New Roman"/>
                <w:sz w:val="24"/>
                <w:szCs w:val="24"/>
              </w:rPr>
            </w:pPr>
          </w:p>
          <w:p w14:paraId="22006E3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0.6740</w:t>
            </w:r>
          </w:p>
          <w:p w14:paraId="059213D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50101EB5" w14:textId="77777777" w:rsidR="0014670D" w:rsidRDefault="0014670D">
            <w:pPr>
              <w:rPr>
                <w:rFonts w:ascii="Times New Roman" w:eastAsia="Times New Roman" w:hAnsi="Times New Roman" w:cs="Times New Roman"/>
                <w:sz w:val="24"/>
                <w:szCs w:val="24"/>
              </w:rPr>
            </w:pPr>
          </w:p>
          <w:p w14:paraId="1576EC6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0.0415</w:t>
            </w:r>
          </w:p>
          <w:p w14:paraId="0E5825C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1A2EBC3C"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3E6FEC3E"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6C6DDE3"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63B45B9"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5AEEB880"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1328EEBA"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45B2273"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57455730" w14:textId="77777777" w:rsidR="0014670D" w:rsidRDefault="0014670D">
            <w:pPr>
              <w:spacing w:line="240" w:lineRule="auto"/>
              <w:rPr>
                <w:rFonts w:ascii="Times New Roman" w:eastAsia="Times New Roman" w:hAnsi="Times New Roman" w:cs="Times New Roman"/>
                <w:sz w:val="24"/>
                <w:szCs w:val="24"/>
              </w:rPr>
            </w:pPr>
          </w:p>
        </w:tc>
      </w:tr>
      <w:tr w:rsidR="0014670D" w14:paraId="0185228F" w14:textId="77777777">
        <w:trPr>
          <w:trHeight w:val="147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0DF7FD93" w14:textId="77777777" w:rsidR="0014670D" w:rsidRDefault="0014670D">
            <w:pPr>
              <w:rPr>
                <w:rFonts w:ascii="Times New Roman" w:eastAsia="Times New Roman" w:hAnsi="Times New Roman" w:cs="Times New Roman"/>
                <w:sz w:val="24"/>
                <w:szCs w:val="24"/>
              </w:rPr>
            </w:pPr>
          </w:p>
          <w:p w14:paraId="7DC7B79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1DABE6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6FC71ED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Native Hawaiian or Other Pacific Islander</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4F77C4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672C4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21A3EAA" w14:textId="77777777" w:rsidR="0014670D" w:rsidRDefault="0014670D">
            <w:pPr>
              <w:rPr>
                <w:rFonts w:ascii="Times New Roman" w:eastAsia="Times New Roman" w:hAnsi="Times New Roman" w:cs="Times New Roman"/>
                <w:sz w:val="24"/>
                <w:szCs w:val="24"/>
              </w:rPr>
            </w:pPr>
          </w:p>
          <w:p w14:paraId="03E2D34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FD11F1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4A39C31" w14:textId="77777777" w:rsidR="0014670D" w:rsidRDefault="0014670D">
            <w:pPr>
              <w:rPr>
                <w:rFonts w:ascii="Times New Roman" w:eastAsia="Times New Roman" w:hAnsi="Times New Roman" w:cs="Times New Roman"/>
                <w:sz w:val="24"/>
                <w:szCs w:val="24"/>
              </w:rPr>
            </w:pPr>
          </w:p>
          <w:p w14:paraId="13ABB28F"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p w14:paraId="3CEDD89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4.854%</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0B9BCF83" w14:textId="77777777" w:rsidR="0014670D" w:rsidRDefault="0014670D">
            <w:pPr>
              <w:rPr>
                <w:rFonts w:ascii="Times New Roman" w:eastAsia="Times New Roman" w:hAnsi="Times New Roman" w:cs="Times New Roman"/>
                <w:sz w:val="24"/>
                <w:szCs w:val="24"/>
              </w:rPr>
            </w:pPr>
          </w:p>
          <w:p w14:paraId="73748B3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p w14:paraId="590D806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76044EA0" w14:textId="77777777" w:rsidR="0014670D" w:rsidRDefault="0014670D">
            <w:pPr>
              <w:rPr>
                <w:rFonts w:ascii="Times New Roman" w:eastAsia="Times New Roman" w:hAnsi="Times New Roman" w:cs="Times New Roman"/>
                <w:sz w:val="24"/>
                <w:szCs w:val="24"/>
              </w:rPr>
            </w:pPr>
          </w:p>
          <w:p w14:paraId="1E49547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&lt;0.0001</w:t>
            </w:r>
          </w:p>
          <w:p w14:paraId="7E399139"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4670D" w14:paraId="75384B03"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6B8B7C52"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612D54B8"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2317F0AF"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8793B3E"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0DE2B948"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DEAA705"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3E163692" w14:textId="77777777" w:rsidR="0014670D" w:rsidRDefault="0014670D">
            <w:pPr>
              <w:spacing w:line="240" w:lineRule="auto"/>
              <w:rPr>
                <w:rFonts w:ascii="Times New Roman" w:eastAsia="Times New Roman" w:hAnsi="Times New Roman" w:cs="Times New Roman"/>
                <w:sz w:val="24"/>
                <w:szCs w:val="24"/>
              </w:rPr>
            </w:pPr>
          </w:p>
        </w:tc>
      </w:tr>
      <w:tr w:rsidR="0014670D" w14:paraId="1ACF563E" w14:textId="77777777">
        <w:trPr>
          <w:trHeight w:val="1475"/>
        </w:trPr>
        <w:tc>
          <w:tcPr>
            <w:tcW w:w="1005" w:type="dxa"/>
            <w:vMerge w:val="restart"/>
            <w:tcBorders>
              <w:top w:val="single" w:sz="7" w:space="0" w:color="44B3E1"/>
              <w:left w:val="single" w:sz="7" w:space="0" w:color="44B3E1"/>
              <w:bottom w:val="single" w:sz="7" w:space="0" w:color="44B3E1"/>
              <w:right w:val="nil"/>
            </w:tcBorders>
            <w:tcMar>
              <w:top w:w="100" w:type="dxa"/>
              <w:left w:w="100" w:type="dxa"/>
              <w:bottom w:w="100" w:type="dxa"/>
              <w:right w:w="100" w:type="dxa"/>
            </w:tcMar>
          </w:tcPr>
          <w:p w14:paraId="0BA2B95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CACECD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1106AA5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Indian or Alaska Native</w:t>
            </w:r>
          </w:p>
        </w:tc>
        <w:tc>
          <w:tcPr>
            <w:tcW w:w="139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7C22C0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7F1F6FD0"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74118103"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2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5E8F331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p w14:paraId="36A7116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65" w:type="dxa"/>
            <w:vMerge w:val="restart"/>
            <w:tcBorders>
              <w:top w:val="single" w:sz="7" w:space="0" w:color="808080"/>
              <w:left w:val="nil"/>
              <w:bottom w:val="single" w:sz="7" w:space="0" w:color="44B3E1"/>
              <w:right w:val="nil"/>
            </w:tcBorders>
            <w:tcMar>
              <w:top w:w="100" w:type="dxa"/>
              <w:left w:w="100" w:type="dxa"/>
              <w:bottom w:w="100" w:type="dxa"/>
              <w:right w:w="100" w:type="dxa"/>
            </w:tcMar>
          </w:tcPr>
          <w:p w14:paraId="4254854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F899FE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vMerge w:val="restart"/>
            <w:tcBorders>
              <w:top w:val="single" w:sz="7" w:space="0" w:color="808080"/>
              <w:left w:val="nil"/>
              <w:bottom w:val="single" w:sz="7" w:space="0" w:color="44B3E1"/>
              <w:right w:val="single" w:sz="7" w:space="0" w:color="44B3E1"/>
            </w:tcBorders>
            <w:tcMar>
              <w:top w:w="100" w:type="dxa"/>
              <w:left w:w="100" w:type="dxa"/>
              <w:bottom w:w="100" w:type="dxa"/>
              <w:right w:w="100" w:type="dxa"/>
            </w:tcMar>
          </w:tcPr>
          <w:p w14:paraId="1DC73F3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FD1484B"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4670D" w14:paraId="2F04384F" w14:textId="77777777">
        <w:trPr>
          <w:trHeight w:val="276"/>
        </w:trPr>
        <w:tc>
          <w:tcPr>
            <w:tcW w:w="1005" w:type="dxa"/>
            <w:vMerge/>
            <w:tcBorders>
              <w:top w:val="single" w:sz="7" w:space="0" w:color="44B3E1"/>
              <w:left w:val="single" w:sz="7" w:space="0" w:color="44B3E1"/>
              <w:bottom w:val="single" w:sz="7" w:space="0" w:color="808080"/>
              <w:right w:val="nil"/>
            </w:tcBorders>
            <w:shd w:val="clear" w:color="auto" w:fill="C0E6F5"/>
            <w:tcMar>
              <w:top w:w="100" w:type="dxa"/>
              <w:left w:w="100" w:type="dxa"/>
              <w:bottom w:w="100" w:type="dxa"/>
              <w:right w:w="100" w:type="dxa"/>
            </w:tcMar>
          </w:tcPr>
          <w:p w14:paraId="1F2C38B4" w14:textId="77777777" w:rsidR="0014670D" w:rsidRDefault="0014670D">
            <w:pPr>
              <w:spacing w:line="240" w:lineRule="auto"/>
              <w:rPr>
                <w:rFonts w:ascii="Times New Roman" w:eastAsia="Times New Roman" w:hAnsi="Times New Roman" w:cs="Times New Roman"/>
                <w:sz w:val="24"/>
                <w:szCs w:val="24"/>
              </w:rPr>
            </w:pPr>
          </w:p>
        </w:tc>
        <w:tc>
          <w:tcPr>
            <w:tcW w:w="1785" w:type="dxa"/>
            <w:vMerge/>
            <w:tcBorders>
              <w:top w:val="single" w:sz="7" w:space="0" w:color="808080"/>
              <w:left w:val="nil"/>
              <w:bottom w:val="single" w:sz="7" w:space="0" w:color="44B3E1"/>
              <w:right w:val="nil"/>
            </w:tcBorders>
            <w:tcMar>
              <w:top w:w="100" w:type="dxa"/>
              <w:left w:w="100" w:type="dxa"/>
              <w:bottom w:w="100" w:type="dxa"/>
              <w:right w:w="100" w:type="dxa"/>
            </w:tcMar>
          </w:tcPr>
          <w:p w14:paraId="7E88235C" w14:textId="77777777" w:rsidR="0014670D" w:rsidRDefault="0014670D">
            <w:pPr>
              <w:spacing w:line="240" w:lineRule="auto"/>
              <w:rPr>
                <w:rFonts w:ascii="Times New Roman" w:eastAsia="Times New Roman" w:hAnsi="Times New Roman" w:cs="Times New Roman"/>
                <w:sz w:val="24"/>
                <w:szCs w:val="24"/>
              </w:rPr>
            </w:pPr>
          </w:p>
        </w:tc>
        <w:tc>
          <w:tcPr>
            <w:tcW w:w="139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47C175AF" w14:textId="77777777" w:rsidR="0014670D" w:rsidRDefault="0014670D">
            <w:pPr>
              <w:spacing w:line="240" w:lineRule="auto"/>
              <w:rPr>
                <w:rFonts w:ascii="Times New Roman" w:eastAsia="Times New Roman" w:hAnsi="Times New Roman" w:cs="Times New Roman"/>
                <w:sz w:val="24"/>
                <w:szCs w:val="24"/>
              </w:rPr>
            </w:pPr>
          </w:p>
        </w:tc>
        <w:tc>
          <w:tcPr>
            <w:tcW w:w="1170"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63CC9EC0" w14:textId="77777777" w:rsidR="0014670D" w:rsidRDefault="0014670D">
            <w:pPr>
              <w:spacing w:line="240" w:lineRule="auto"/>
              <w:rPr>
                <w:rFonts w:ascii="Times New Roman" w:eastAsia="Times New Roman" w:hAnsi="Times New Roman" w:cs="Times New Roman"/>
                <w:sz w:val="24"/>
                <w:szCs w:val="24"/>
              </w:rPr>
            </w:pPr>
          </w:p>
        </w:tc>
        <w:tc>
          <w:tcPr>
            <w:tcW w:w="112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3BF32655" w14:textId="77777777" w:rsidR="0014670D" w:rsidRDefault="0014670D">
            <w:pPr>
              <w:spacing w:line="240" w:lineRule="auto"/>
              <w:rPr>
                <w:rFonts w:ascii="Times New Roman" w:eastAsia="Times New Roman" w:hAnsi="Times New Roman" w:cs="Times New Roman"/>
                <w:sz w:val="24"/>
                <w:szCs w:val="24"/>
              </w:rPr>
            </w:pPr>
          </w:p>
        </w:tc>
        <w:tc>
          <w:tcPr>
            <w:tcW w:w="1365" w:type="dxa"/>
            <w:vMerge/>
            <w:tcBorders>
              <w:top w:val="single" w:sz="7" w:space="0" w:color="44B3E1"/>
              <w:left w:val="nil"/>
              <w:bottom w:val="single" w:sz="7" w:space="0" w:color="808080"/>
              <w:right w:val="nil"/>
            </w:tcBorders>
            <w:shd w:val="clear" w:color="auto" w:fill="C0E6F5"/>
            <w:tcMar>
              <w:top w:w="100" w:type="dxa"/>
              <w:left w:w="100" w:type="dxa"/>
              <w:bottom w:w="100" w:type="dxa"/>
              <w:right w:w="100" w:type="dxa"/>
            </w:tcMar>
          </w:tcPr>
          <w:p w14:paraId="7A126B02" w14:textId="77777777" w:rsidR="0014670D" w:rsidRDefault="0014670D">
            <w:pPr>
              <w:spacing w:line="240" w:lineRule="auto"/>
              <w:rPr>
                <w:rFonts w:ascii="Times New Roman" w:eastAsia="Times New Roman" w:hAnsi="Times New Roman" w:cs="Times New Roman"/>
                <w:sz w:val="24"/>
                <w:szCs w:val="24"/>
              </w:rPr>
            </w:pPr>
          </w:p>
        </w:tc>
        <w:tc>
          <w:tcPr>
            <w:tcW w:w="1290" w:type="dxa"/>
            <w:vMerge/>
            <w:tcBorders>
              <w:top w:val="single" w:sz="7" w:space="0" w:color="44B3E1"/>
              <w:left w:val="nil"/>
              <w:bottom w:val="single" w:sz="7" w:space="0" w:color="808080"/>
              <w:right w:val="single" w:sz="7" w:space="0" w:color="44B3E1"/>
            </w:tcBorders>
            <w:shd w:val="clear" w:color="auto" w:fill="C0E6F5"/>
            <w:tcMar>
              <w:top w:w="100" w:type="dxa"/>
              <w:left w:w="100" w:type="dxa"/>
              <w:bottom w:w="100" w:type="dxa"/>
              <w:right w:w="100" w:type="dxa"/>
            </w:tcMar>
          </w:tcPr>
          <w:p w14:paraId="2FA02DA7" w14:textId="77777777" w:rsidR="0014670D" w:rsidRDefault="0014670D">
            <w:pPr>
              <w:spacing w:line="240" w:lineRule="auto"/>
              <w:rPr>
                <w:rFonts w:ascii="Times New Roman" w:eastAsia="Times New Roman" w:hAnsi="Times New Roman" w:cs="Times New Roman"/>
                <w:sz w:val="24"/>
                <w:szCs w:val="24"/>
              </w:rPr>
            </w:pPr>
          </w:p>
        </w:tc>
      </w:tr>
    </w:tbl>
    <w:p w14:paraId="4FF103F8" w14:textId="77777777" w:rsidR="0014670D" w:rsidRDefault="0014670D">
      <w:pPr>
        <w:rPr>
          <w:rFonts w:ascii="Times New Roman" w:eastAsia="Times New Roman" w:hAnsi="Times New Roman" w:cs="Times New Roman"/>
          <w:sz w:val="24"/>
          <w:szCs w:val="24"/>
        </w:rPr>
      </w:pPr>
    </w:p>
    <w:p w14:paraId="6C320FB1"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1: Demographic comparison between Celiac patients and folate deficiency</w:t>
      </w:r>
    </w:p>
    <w:p w14:paraId="5790E7E5"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1: Celiac disease without folate deficiency </w:t>
      </w:r>
    </w:p>
    <w:p w14:paraId="6D1D19ED"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Cohort 2: Celiac disease with folate deficiency</w:t>
      </w:r>
    </w:p>
    <w:p w14:paraId="10787BDB" w14:textId="77777777" w:rsidR="0014670D" w:rsidRDefault="0014670D">
      <w:pPr>
        <w:rPr>
          <w:rFonts w:ascii="Times New Roman" w:eastAsia="Times New Roman" w:hAnsi="Times New Roman" w:cs="Times New Roman"/>
          <w:sz w:val="24"/>
          <w:szCs w:val="24"/>
        </w:rPr>
      </w:pPr>
    </w:p>
    <w:p w14:paraId="7934439E"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Demographic analysis showed no statistical significance between cohorts.</w:t>
      </w:r>
    </w:p>
    <w:p w14:paraId="6512F40A" w14:textId="77777777" w:rsidR="0014670D" w:rsidRDefault="0014670D">
      <w:pPr>
        <w:rPr>
          <w:rFonts w:ascii="Times New Roman" w:eastAsia="Times New Roman" w:hAnsi="Times New Roman" w:cs="Times New Roman"/>
          <w:sz w:val="24"/>
          <w:szCs w:val="24"/>
        </w:rPr>
      </w:pPr>
    </w:p>
    <w:p w14:paraId="2329165A" w14:textId="77777777" w:rsidR="0014670D" w:rsidRDefault="0014670D">
      <w:pPr>
        <w:rPr>
          <w:rFonts w:ascii="Times New Roman" w:eastAsia="Times New Roman" w:hAnsi="Times New Roman" w:cs="Times New Roman"/>
          <w:sz w:val="24"/>
          <w:szCs w:val="24"/>
        </w:rPr>
      </w:pPr>
    </w:p>
    <w:p w14:paraId="7A4B31B0" w14:textId="77777777" w:rsidR="0014670D" w:rsidRDefault="0014670D">
      <w:pPr>
        <w:rPr>
          <w:rFonts w:ascii="Times New Roman" w:eastAsia="Times New Roman" w:hAnsi="Times New Roman" w:cs="Times New Roman"/>
          <w:sz w:val="24"/>
          <w:szCs w:val="24"/>
        </w:rPr>
      </w:pPr>
    </w:p>
    <w:tbl>
      <w:tblPr>
        <w:tblStyle w:val="a0"/>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60"/>
        <w:gridCol w:w="1860"/>
        <w:gridCol w:w="1860"/>
        <w:gridCol w:w="1860"/>
        <w:gridCol w:w="3030"/>
      </w:tblGrid>
      <w:tr w:rsidR="0014670D" w14:paraId="5EFA692B" w14:textId="77777777">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31BE3994"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Outcome</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9B3BA5B"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2F011BDD"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in cohort</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5896A8DA"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Patients with outcome</w:t>
            </w:r>
          </w:p>
        </w:tc>
        <w:tc>
          <w:tcPr>
            <w:tcW w:w="303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26D89C8C"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Odds ratio (95% CI)</w:t>
            </w:r>
          </w:p>
        </w:tc>
      </w:tr>
      <w:tr w:rsidR="0014670D" w14:paraId="0466593B" w14:textId="77777777">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47A18D4F"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Depression</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1BB6DEC0"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518C376D"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0B373BF9"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3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1047E18"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0.464(0.236,0.909)</w:t>
            </w:r>
          </w:p>
        </w:tc>
      </w:tr>
      <w:tr w:rsidR="0014670D" w14:paraId="1D65018E" w14:textId="77777777">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579DF3C"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0F75E07C"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3831A6CD"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86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63D8D153"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030" w:type="dxa"/>
            <w:tcBorders>
              <w:top w:val="single" w:sz="4" w:space="0" w:color="000000"/>
              <w:left w:val="single" w:sz="4" w:space="0" w:color="000000"/>
              <w:bottom w:val="single" w:sz="4" w:space="0" w:color="000000"/>
              <w:right w:val="single" w:sz="4" w:space="0" w:color="000000"/>
            </w:tcBorders>
            <w:shd w:val="clear" w:color="auto" w:fill="C0E6F5"/>
            <w:tcMar>
              <w:top w:w="100" w:type="dxa"/>
              <w:left w:w="100" w:type="dxa"/>
              <w:bottom w:w="100" w:type="dxa"/>
              <w:right w:w="100" w:type="dxa"/>
            </w:tcMar>
          </w:tcPr>
          <w:p w14:paraId="0FE3489A" w14:textId="77777777" w:rsidR="0014670D" w:rsidRDefault="00AC3A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6F9749C" w14:textId="77777777" w:rsidR="0014670D" w:rsidRDefault="0014670D">
      <w:pPr>
        <w:rPr>
          <w:rFonts w:ascii="Times New Roman" w:eastAsia="Times New Roman" w:hAnsi="Times New Roman" w:cs="Times New Roman"/>
          <w:sz w:val="24"/>
          <w:szCs w:val="24"/>
        </w:rPr>
      </w:pPr>
    </w:p>
    <w:p w14:paraId="6AFB5E35" w14:textId="77777777" w:rsidR="0014670D" w:rsidRDefault="0014670D">
      <w:pPr>
        <w:rPr>
          <w:rFonts w:ascii="Times New Roman" w:eastAsia="Times New Roman" w:hAnsi="Times New Roman" w:cs="Times New Roman"/>
          <w:sz w:val="24"/>
          <w:szCs w:val="24"/>
        </w:rPr>
      </w:pPr>
    </w:p>
    <w:p w14:paraId="485A19C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2: Cross-sectional analysis of folate deficiency on depressive episodes in Celiac patients</w:t>
      </w:r>
    </w:p>
    <w:p w14:paraId="439BD151" w14:textId="77777777" w:rsidR="0014670D" w:rsidRDefault="0014670D">
      <w:pPr>
        <w:rPr>
          <w:rFonts w:ascii="Times New Roman" w:eastAsia="Times New Roman" w:hAnsi="Times New Roman" w:cs="Times New Roman"/>
          <w:sz w:val="24"/>
          <w:szCs w:val="24"/>
        </w:rPr>
      </w:pPr>
    </w:p>
    <w:p w14:paraId="4BB9EB17" w14:textId="08AEE993"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1 (Celiac patients with no folate deficiency) was compared to Cohort 2 (Celiac patients with folate deficiency) </w:t>
      </w:r>
      <w:r w:rsidR="002902A0">
        <w:rPr>
          <w:rFonts w:ascii="Times New Roman" w:eastAsia="Times New Roman" w:hAnsi="Times New Roman" w:cs="Times New Roman"/>
          <w:sz w:val="24"/>
          <w:szCs w:val="24"/>
        </w:rPr>
        <w:t>to estimate</w:t>
      </w:r>
      <w:r>
        <w:rPr>
          <w:rFonts w:ascii="Times New Roman" w:eastAsia="Times New Roman" w:hAnsi="Times New Roman" w:cs="Times New Roman"/>
          <w:sz w:val="24"/>
          <w:szCs w:val="24"/>
        </w:rPr>
        <w:t xml:space="preserve"> the incidence of depressive episodes at a single point in time. The odds ratio (OR) with 95% confidence intervals (CI) was calculated showing patients without folate deficiency were 46.4% less likely to have depression compared to those with folate deficiency (Table 2).</w:t>
      </w:r>
    </w:p>
    <w:p w14:paraId="367CA2F4" w14:textId="77777777" w:rsidR="0014670D" w:rsidRDefault="0014670D">
      <w:pPr>
        <w:rPr>
          <w:rFonts w:ascii="Times New Roman" w:eastAsia="Times New Roman" w:hAnsi="Times New Roman" w:cs="Times New Roman"/>
          <w:sz w:val="24"/>
          <w:szCs w:val="24"/>
        </w:rPr>
      </w:pPr>
    </w:p>
    <w:p w14:paraId="66843D0F" w14:textId="77777777" w:rsidR="0014670D" w:rsidRDefault="0014670D">
      <w:pPr>
        <w:rPr>
          <w:rFonts w:ascii="Times New Roman" w:eastAsia="Times New Roman" w:hAnsi="Times New Roman" w:cs="Times New Roman"/>
          <w:sz w:val="24"/>
          <w:szCs w:val="24"/>
        </w:rPr>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1872"/>
        <w:gridCol w:w="1872"/>
        <w:gridCol w:w="1872"/>
        <w:gridCol w:w="1872"/>
      </w:tblGrid>
      <w:tr w:rsidR="0014670D" w14:paraId="2BDAF960" w14:textId="77777777">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7A276128"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Hazard Ratio</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53C72D46"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 Confidence Interval </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1B20A615"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χ2</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4E902A53"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df</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0BB4A2EC"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r>
      <w:tr w:rsidR="0014670D" w14:paraId="6CAFBDC9" w14:textId="77777777">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0A9D8FDA"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59A4459B"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(0.245,0.885)</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0E0F39FB"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2.221</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79301085"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C0E6F5"/>
            <w:tcMar>
              <w:top w:w="120" w:type="dxa"/>
              <w:left w:w="120" w:type="dxa"/>
              <w:bottom w:w="120" w:type="dxa"/>
              <w:right w:w="120" w:type="dxa"/>
            </w:tcMar>
          </w:tcPr>
          <w:p w14:paraId="43F6C350" w14:textId="77777777" w:rsidR="0014670D" w:rsidRDefault="00AC3A31">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0.1362</w:t>
            </w:r>
          </w:p>
        </w:tc>
      </w:tr>
    </w:tbl>
    <w:p w14:paraId="2D10AD2D" w14:textId="77777777" w:rsidR="0014670D" w:rsidRDefault="0014670D">
      <w:pPr>
        <w:rPr>
          <w:rFonts w:ascii="Times New Roman" w:eastAsia="Times New Roman" w:hAnsi="Times New Roman" w:cs="Times New Roman"/>
          <w:sz w:val="24"/>
          <w:szCs w:val="24"/>
        </w:rPr>
      </w:pPr>
    </w:p>
    <w:p w14:paraId="73D05336"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3: Cox-proportional hazard ratio on development of depressive episode in Celiac patients with folate deficiency.</w:t>
      </w:r>
    </w:p>
    <w:p w14:paraId="1A1543D8" w14:textId="77777777" w:rsidR="0014670D" w:rsidRDefault="0014670D">
      <w:pPr>
        <w:rPr>
          <w:rFonts w:ascii="Times New Roman" w:eastAsia="Times New Roman" w:hAnsi="Times New Roman" w:cs="Times New Roman"/>
          <w:sz w:val="24"/>
          <w:szCs w:val="24"/>
        </w:rPr>
      </w:pPr>
    </w:p>
    <w:p w14:paraId="3CD86772"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table shows the Cox proportional hazards model used to compare the time to event outcome of depression in between Celiac patients with and without folate deficiency. The hazard ratio of 0.465 suggests a reduced risk of developing depression in celiac patients with folate deficiency but these findings were not statistically significant p&gt;0.05 (Table3). </w:t>
      </w:r>
    </w:p>
    <w:p w14:paraId="5505602C" w14:textId="77777777" w:rsidR="0014670D" w:rsidRDefault="0014670D">
      <w:pPr>
        <w:rPr>
          <w:rFonts w:ascii="Times New Roman" w:eastAsia="Times New Roman" w:hAnsi="Times New Roman" w:cs="Times New Roman"/>
          <w:b/>
          <w:sz w:val="24"/>
          <w:szCs w:val="24"/>
        </w:rPr>
      </w:pPr>
    </w:p>
    <w:p w14:paraId="4A475711" w14:textId="5C99C15E" w:rsidR="0014670D" w:rsidRDefault="002902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DISCUSSION: </w:t>
      </w:r>
    </w:p>
    <w:p w14:paraId="2DE41446" w14:textId="77777777" w:rsidR="0014670D" w:rsidRDefault="0014670D">
      <w:pPr>
        <w:rPr>
          <w:rFonts w:ascii="Times New Roman" w:eastAsia="Times New Roman" w:hAnsi="Times New Roman" w:cs="Times New Roman"/>
          <w:b/>
          <w:sz w:val="24"/>
          <w:szCs w:val="24"/>
        </w:rPr>
      </w:pPr>
    </w:p>
    <w:p w14:paraId="21EA86E4"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study was to determine the significance of folate deficiency in individuals diagnosed with celiac disease and their subsequent risk of developing depressive episodes. Overall, the data shows statistically significant higher odds of developing depressive episodes in patients with celiac disease who are deficient in folate. Folate’s role in the synthesis of neurotransmitters responsible for mood regulation, the maintenance of hemostasis, and reducing levels of homocysteine may be clinically relevant in preventing the occurrence of depressive episodes in those with celiac disease (Morris M 2003).</w:t>
      </w:r>
    </w:p>
    <w:p w14:paraId="3D459AEA" w14:textId="77777777" w:rsidR="0014670D" w:rsidRDefault="0014670D">
      <w:pPr>
        <w:rPr>
          <w:rFonts w:ascii="Times New Roman" w:eastAsia="Times New Roman" w:hAnsi="Times New Roman" w:cs="Times New Roman"/>
          <w:sz w:val="24"/>
          <w:szCs w:val="24"/>
        </w:rPr>
      </w:pPr>
    </w:p>
    <w:p w14:paraId="3254E4CA" w14:textId="18DA4625"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Folate has been proven to be a necessary component in the biosynthesis of monoamine neurotransmitters (dopamine, norepinephrine, serotonin) (Alpert M 1997). 5-Methyltetrahydrofolate (5-MTHF), the biologically active metabolite of folate, serves as a methyl group donor to homocysteine, creating methionine and S-adenosylmethionine (SAMe) (Bender A 2017). Folate and SAMe have been shown to increase the biosynthesis of tetrahydrobiopterin (BH4), a vital cofactor in the synthesis of monoamine neurotransmitters (</w:t>
      </w:r>
      <w:proofErr w:type="spellStart"/>
      <w:r>
        <w:rPr>
          <w:rFonts w:ascii="Times New Roman" w:eastAsia="Times New Roman" w:hAnsi="Times New Roman" w:cs="Times New Roman"/>
          <w:sz w:val="24"/>
          <w:szCs w:val="24"/>
        </w:rPr>
        <w:t>Coppen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Fanet</w:t>
      </w:r>
      <w:proofErr w:type="spellEnd"/>
      <w:r>
        <w:rPr>
          <w:rFonts w:ascii="Times New Roman" w:eastAsia="Times New Roman" w:hAnsi="Times New Roman" w:cs="Times New Roman"/>
          <w:sz w:val="24"/>
          <w:szCs w:val="24"/>
        </w:rPr>
        <w:t xml:space="preserve"> H 1989). </w:t>
      </w:r>
      <w:r w:rsidR="002902A0">
        <w:rPr>
          <w:rFonts w:ascii="Times New Roman" w:eastAsia="Times New Roman" w:hAnsi="Times New Roman" w:cs="Times New Roman"/>
          <w:sz w:val="24"/>
          <w:szCs w:val="24"/>
        </w:rPr>
        <w:t>The l</w:t>
      </w:r>
      <w:r>
        <w:rPr>
          <w:rFonts w:ascii="Times New Roman" w:eastAsia="Times New Roman" w:hAnsi="Times New Roman" w:cs="Times New Roman"/>
          <w:sz w:val="24"/>
          <w:szCs w:val="24"/>
        </w:rPr>
        <w:t xml:space="preserve">ack of </w:t>
      </w:r>
      <w:proofErr w:type="gramStart"/>
      <w:r>
        <w:rPr>
          <w:rFonts w:ascii="Times New Roman" w:eastAsia="Times New Roman" w:hAnsi="Times New Roman" w:cs="Times New Roman"/>
          <w:sz w:val="24"/>
          <w:szCs w:val="24"/>
        </w:rPr>
        <w:t xml:space="preserve">the </w:t>
      </w:r>
      <w:r w:rsidR="002902A0">
        <w:rPr>
          <w:rFonts w:ascii="Times New Roman" w:eastAsia="Times New Roman" w:hAnsi="Times New Roman" w:cs="Times New Roman"/>
          <w:sz w:val="24"/>
          <w:szCs w:val="24"/>
        </w:rPr>
        <w:t>these</w:t>
      </w:r>
      <w:proofErr w:type="gramEnd"/>
      <w:r>
        <w:rPr>
          <w:rFonts w:ascii="Times New Roman" w:eastAsia="Times New Roman" w:hAnsi="Times New Roman" w:cs="Times New Roman"/>
          <w:sz w:val="24"/>
          <w:szCs w:val="24"/>
        </w:rPr>
        <w:t xml:space="preserve"> neurotransmitters (dopamine, serotonin, norepinephrine) has been hypothesized to be the pathophysiological basis for the development of depression and other mood disorders. (Delgado PL 2000). Thus, the supplementation of folate may decrease the risk of depressive episodes in individuals who have folate deficiency due to celiac disease.</w:t>
      </w:r>
    </w:p>
    <w:p w14:paraId="7DD9F4CB" w14:textId="77777777" w:rsidR="0014670D" w:rsidRDefault="0014670D">
      <w:pPr>
        <w:rPr>
          <w:rFonts w:ascii="Times New Roman" w:eastAsia="Times New Roman" w:hAnsi="Times New Roman" w:cs="Times New Roman"/>
          <w:sz w:val="24"/>
          <w:szCs w:val="24"/>
        </w:rPr>
      </w:pPr>
    </w:p>
    <w:p w14:paraId="2D9100AA"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its function in monoamine synthesis, 5-MTHF serves as a methyl group donor to reduce homocysteine levels in the body via conversion of homocysteine to methionine. Increased homocysteine levels have been documented to be positively associated with an increased incidence of depression (</w:t>
      </w:r>
      <w:proofErr w:type="spellStart"/>
      <w:r>
        <w:rPr>
          <w:rFonts w:ascii="Times New Roman" w:eastAsia="Times New Roman" w:hAnsi="Times New Roman" w:cs="Times New Roman"/>
          <w:sz w:val="24"/>
          <w:szCs w:val="24"/>
        </w:rPr>
        <w:t>Tolmunen</w:t>
      </w:r>
      <w:proofErr w:type="spellEnd"/>
      <w:r>
        <w:rPr>
          <w:rFonts w:ascii="Times New Roman" w:eastAsia="Times New Roman" w:hAnsi="Times New Roman" w:cs="Times New Roman"/>
          <w:sz w:val="24"/>
          <w:szCs w:val="24"/>
        </w:rPr>
        <w:t xml:space="preserve"> T 2004). Of interest is the enzyme methylenetetrahydrofolate reductase (MTHFR), which functions in folate and homocysteine metabolism (Leclerc D 2013). One meta-analysis of 3478 women found that those with decreased MTHFR activity due to being homozygous for the MTHFR C677T polymorphism possessed higher homocysteine levels and were 1.37 times more likely to have been diagnosed with depression when compared to those without (Lewis SL 2006). Homocysteine is a cytotoxic compound that can cause increased oxidative stress in the central nervous system (CNS) (Mattson M 2003). The increased oxidative stress on the CNS leads to the generation of reactive oxygen species (ROS), which cause inflammation, apoptosis, and neurodegeneration (Correia A 2023). These factors combined provide a compelling explanation for the increased incidence of depression among patients with increased homocysteine levels. Consequently, folate supplementation provides the cofactors to prevent elevated homocysteine levels in patients with celiac disease.</w:t>
      </w:r>
    </w:p>
    <w:p w14:paraId="2ED34968" w14:textId="77777777" w:rsidR="0014670D" w:rsidRDefault="0014670D">
      <w:pPr>
        <w:rPr>
          <w:rFonts w:ascii="Times New Roman" w:eastAsia="Times New Roman" w:hAnsi="Times New Roman" w:cs="Times New Roman"/>
          <w:sz w:val="24"/>
          <w:szCs w:val="24"/>
        </w:rPr>
      </w:pPr>
    </w:p>
    <w:p w14:paraId="7AB3F7D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established role of folate in monoamine neurotransmitter biosynthesis and the reduction of homocysteine levels may explain the results of our study. Our odds ratio reflects the decreased </w:t>
      </w:r>
      <w:r>
        <w:rPr>
          <w:rFonts w:ascii="Times New Roman" w:eastAsia="Times New Roman" w:hAnsi="Times New Roman" w:cs="Times New Roman"/>
          <w:sz w:val="24"/>
          <w:szCs w:val="24"/>
        </w:rPr>
        <w:lastRenderedPageBreak/>
        <w:t>incidence of depressive episodes in celiac patients who are folate replete. Our hazard ratio of 0.22 was not statistically significant, as the calculated p-value was 0.7705. This could be attributed to a variety of factors, including the presence of other vitamin deficiencies, other possible causes of depressive episodes unrelated to folate deficiency, and limited follow-up duration. Overall, this study has provided evidence of the association between folate deficiency and increased risk of the development of depressive episodes in celiac patients, which 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concurrent with prior research. However, the use of folate deficiency as a predictive element in the development of depressive episodes in celiac patients warrants further study. </w:t>
      </w:r>
    </w:p>
    <w:p w14:paraId="6537E3DF" w14:textId="77777777" w:rsidR="0014670D" w:rsidRDefault="0014670D">
      <w:pPr>
        <w:rPr>
          <w:rFonts w:ascii="Times New Roman" w:eastAsia="Times New Roman" w:hAnsi="Times New Roman" w:cs="Times New Roman"/>
          <w:sz w:val="24"/>
          <w:szCs w:val="24"/>
        </w:rPr>
      </w:pPr>
    </w:p>
    <w:p w14:paraId="2C2DCA1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w:t>
      </w:r>
      <w:proofErr w:type="spellStart"/>
      <w:r>
        <w:rPr>
          <w:rFonts w:ascii="Times New Roman" w:eastAsia="Times New Roman" w:hAnsi="Times New Roman" w:cs="Times New Roman"/>
          <w:sz w:val="24"/>
          <w:szCs w:val="24"/>
        </w:rPr>
        <w:t>TriNetX</w:t>
      </w:r>
      <w:proofErr w:type="spellEnd"/>
      <w:r>
        <w:rPr>
          <w:rFonts w:ascii="Times New Roman" w:eastAsia="Times New Roman" w:hAnsi="Times New Roman" w:cs="Times New Roman"/>
          <w:sz w:val="24"/>
          <w:szCs w:val="24"/>
        </w:rPr>
        <w:t xml:space="preserve"> inherently comes with certain limitations. First, the platform mainly utilizes electronic health records data. These records may be incomplete and may be missing relevant clinical information. Additionally, the ICD-10 code for folate deficiency used to create this study’s dataset does not include specific folate level measurements, thus limiting detailed comparisons of deficiency severity. Due to the observational study design, there is an inability to infer causality from the results. Furthermore, though the results of our study were statistically significant, the relatively small sample size may limit external validity. </w:t>
      </w:r>
    </w:p>
    <w:p w14:paraId="73AE934B" w14:textId="77777777" w:rsidR="0014670D" w:rsidRDefault="0014670D">
      <w:pPr>
        <w:rPr>
          <w:rFonts w:ascii="Times New Roman" w:eastAsia="Times New Roman" w:hAnsi="Times New Roman" w:cs="Times New Roman"/>
          <w:sz w:val="24"/>
          <w:szCs w:val="24"/>
        </w:rPr>
      </w:pPr>
    </w:p>
    <w:p w14:paraId="0B559444" w14:textId="086AFD40" w:rsidR="0014670D" w:rsidRDefault="002902A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6D25BD75" w14:textId="77777777" w:rsidR="0014670D" w:rsidRDefault="0014670D">
      <w:pPr>
        <w:rPr>
          <w:rFonts w:ascii="Times New Roman" w:eastAsia="Times New Roman" w:hAnsi="Times New Roman" w:cs="Times New Roman"/>
          <w:sz w:val="24"/>
          <w:szCs w:val="24"/>
        </w:rPr>
      </w:pPr>
    </w:p>
    <w:p w14:paraId="5BE219A7" w14:textId="77777777" w:rsidR="0014670D" w:rsidRDefault="00AC3A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findings support an association with folate deficiency and depression in patients with Celiac disease. Given folate’s immunological role in monoamine neurotransmitter synthesis, folate deficiency may contribute to neuroinflammation due to interruption of serotonin, dopamine, and norepinephrine synthesis. Future studies should incorporate laboratory measured folate levels to quantify deficiency levels in Celiac patients. Longitudinal studies can clarify the temporal relationship between folate deficiency and onset of depressive symptoms. Randomized control studies should be conducted to determine if folate supplementation mitigates depressive symptoms in Celiac patients. These future directions could provide valuable insight into folate’s role in psychiatric comorbidities in Celiac disease and support more informed tailored nutritional therapies. </w:t>
      </w:r>
    </w:p>
    <w:p w14:paraId="19AED5DB" w14:textId="77777777" w:rsidR="002902A0" w:rsidRDefault="002902A0">
      <w:pPr>
        <w:rPr>
          <w:rFonts w:ascii="Times New Roman" w:eastAsia="Times New Roman" w:hAnsi="Times New Roman" w:cs="Times New Roman"/>
          <w:sz w:val="24"/>
          <w:szCs w:val="24"/>
        </w:rPr>
      </w:pPr>
    </w:p>
    <w:p w14:paraId="6942863E" w14:textId="77777777" w:rsidR="002902A0" w:rsidRDefault="002902A0">
      <w:pPr>
        <w:rPr>
          <w:rFonts w:ascii="Times New Roman" w:eastAsia="Times New Roman" w:hAnsi="Times New Roman" w:cs="Times New Roman"/>
          <w:sz w:val="24"/>
          <w:szCs w:val="24"/>
        </w:rPr>
      </w:pPr>
    </w:p>
    <w:p w14:paraId="7CB49142" w14:textId="77777777" w:rsidR="002902A0" w:rsidRDefault="002902A0">
      <w:pPr>
        <w:rPr>
          <w:rFonts w:ascii="Times New Roman" w:eastAsia="Times New Roman" w:hAnsi="Times New Roman" w:cs="Times New Roman"/>
          <w:sz w:val="24"/>
          <w:szCs w:val="24"/>
        </w:rPr>
      </w:pPr>
    </w:p>
    <w:p w14:paraId="51E62DD3" w14:textId="298E39CD" w:rsidR="0014670D" w:rsidRDefault="002902A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REFERENCES: </w:t>
      </w:r>
    </w:p>
    <w:p w14:paraId="0678DED5" w14:textId="77777777" w:rsidR="0014670D" w:rsidRDefault="0014670D">
      <w:pPr>
        <w:rPr>
          <w:rFonts w:ascii="Times New Roman" w:eastAsia="Times New Roman" w:hAnsi="Times New Roman" w:cs="Times New Roman"/>
          <w:b/>
          <w:sz w:val="24"/>
          <w:szCs w:val="24"/>
          <w:highlight w:val="white"/>
        </w:rPr>
      </w:pPr>
    </w:p>
    <w:p w14:paraId="6609496C"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Alpert, Jonathan E., and Maurizio Fava. “Nutrition and Depression: The Role of Folate.” </w:t>
      </w:r>
      <w:r>
        <w:rPr>
          <w:rFonts w:ascii="Times New Roman" w:eastAsia="Times New Roman" w:hAnsi="Times New Roman" w:cs="Times New Roman"/>
          <w:i/>
          <w:sz w:val="24"/>
          <w:szCs w:val="24"/>
          <w:highlight w:val="white"/>
        </w:rPr>
        <w:t>Nutrition Reviews</w:t>
      </w:r>
      <w:r>
        <w:rPr>
          <w:rFonts w:ascii="Times New Roman" w:eastAsia="Times New Roman" w:hAnsi="Times New Roman" w:cs="Times New Roman"/>
          <w:sz w:val="24"/>
          <w:szCs w:val="24"/>
          <w:highlight w:val="white"/>
        </w:rPr>
        <w:t xml:space="preserve"> 55, no. 5 (May 1, 1997): 145–49.</w:t>
      </w:r>
      <w:hyperlink r:id="rId7">
        <w:r w:rsidR="0014670D">
          <w:rPr>
            <w:rFonts w:ascii="Times New Roman" w:eastAsia="Times New Roman" w:hAnsi="Times New Roman" w:cs="Times New Roman"/>
            <w:sz w:val="24"/>
            <w:szCs w:val="24"/>
            <w:highlight w:val="white"/>
          </w:rPr>
          <w:t xml:space="preserve"> </w:t>
        </w:r>
      </w:hyperlink>
      <w:hyperlink r:id="rId8">
        <w:r w:rsidR="0014670D">
          <w:rPr>
            <w:rFonts w:ascii="Times New Roman" w:eastAsia="Times New Roman" w:hAnsi="Times New Roman" w:cs="Times New Roman"/>
            <w:color w:val="1155CC"/>
            <w:sz w:val="24"/>
            <w:szCs w:val="24"/>
            <w:highlight w:val="white"/>
            <w:u w:val="single"/>
          </w:rPr>
          <w:t>https://doi.org/10.1111/j.1753-4887.1997.tb06468.x</w:t>
        </w:r>
      </w:hyperlink>
      <w:r>
        <w:rPr>
          <w:rFonts w:ascii="Times New Roman" w:eastAsia="Times New Roman" w:hAnsi="Times New Roman" w:cs="Times New Roman"/>
          <w:sz w:val="24"/>
          <w:szCs w:val="24"/>
          <w:highlight w:val="white"/>
        </w:rPr>
        <w:t>.</w:t>
      </w:r>
    </w:p>
    <w:p w14:paraId="0D52AF58"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Bender, Ansley, Kelsey E. Hagan, and Neal Kingston. “The Association of Folate and Depression: A Meta-Analysis.” </w:t>
      </w:r>
      <w:r>
        <w:rPr>
          <w:rFonts w:ascii="Times New Roman" w:eastAsia="Times New Roman" w:hAnsi="Times New Roman" w:cs="Times New Roman"/>
          <w:i/>
          <w:sz w:val="24"/>
          <w:szCs w:val="24"/>
          <w:highlight w:val="white"/>
        </w:rPr>
        <w:t>Journal of Psychiatric Research</w:t>
      </w:r>
      <w:r>
        <w:rPr>
          <w:rFonts w:ascii="Times New Roman" w:eastAsia="Times New Roman" w:hAnsi="Times New Roman" w:cs="Times New Roman"/>
          <w:sz w:val="24"/>
          <w:szCs w:val="24"/>
          <w:highlight w:val="white"/>
        </w:rPr>
        <w:t xml:space="preserve"> 95 (December 1, 2017): 9–18.</w:t>
      </w:r>
      <w:hyperlink r:id="rId9">
        <w:r w:rsidR="0014670D">
          <w:rPr>
            <w:rFonts w:ascii="Times New Roman" w:eastAsia="Times New Roman" w:hAnsi="Times New Roman" w:cs="Times New Roman"/>
            <w:sz w:val="24"/>
            <w:szCs w:val="24"/>
            <w:highlight w:val="white"/>
          </w:rPr>
          <w:t xml:space="preserve"> </w:t>
        </w:r>
      </w:hyperlink>
      <w:hyperlink r:id="rId10">
        <w:r w:rsidR="0014670D">
          <w:rPr>
            <w:rFonts w:ascii="Times New Roman" w:eastAsia="Times New Roman" w:hAnsi="Times New Roman" w:cs="Times New Roman"/>
            <w:color w:val="1155CC"/>
            <w:sz w:val="24"/>
            <w:szCs w:val="24"/>
            <w:highlight w:val="white"/>
            <w:u w:val="single"/>
          </w:rPr>
          <w:t>https://doi.org/10.1016/j.jpsychires.2017.07.019</w:t>
        </w:r>
      </w:hyperlink>
      <w:r>
        <w:rPr>
          <w:rFonts w:ascii="Times New Roman" w:eastAsia="Times New Roman" w:hAnsi="Times New Roman" w:cs="Times New Roman"/>
          <w:sz w:val="24"/>
          <w:szCs w:val="24"/>
          <w:highlight w:val="white"/>
        </w:rPr>
        <w:t>.</w:t>
      </w:r>
    </w:p>
    <w:p w14:paraId="381D8728"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Berk M, Jacka FN. Diet and Depression-From Confirmation to Implementation. JAMA. 2019;321(9):842-843. doi:10.1001/jama.2019.0273</w:t>
      </w:r>
    </w:p>
    <w:p w14:paraId="5FD6C83F"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Brown NK, </w:t>
      </w:r>
      <w:proofErr w:type="spellStart"/>
      <w:r>
        <w:rPr>
          <w:rFonts w:ascii="Times New Roman" w:eastAsia="Times New Roman" w:hAnsi="Times New Roman" w:cs="Times New Roman"/>
          <w:sz w:val="24"/>
          <w:szCs w:val="24"/>
          <w:highlight w:val="white"/>
        </w:rPr>
        <w:t>Guandalini</w:t>
      </w:r>
      <w:proofErr w:type="spellEnd"/>
      <w:r>
        <w:rPr>
          <w:rFonts w:ascii="Times New Roman" w:eastAsia="Times New Roman" w:hAnsi="Times New Roman" w:cs="Times New Roman"/>
          <w:sz w:val="24"/>
          <w:szCs w:val="24"/>
          <w:highlight w:val="white"/>
        </w:rPr>
        <w:t xml:space="preserve"> S, Semrad C, Kupfer SS. A Clinician's Guide to Celiac Disease HLA Genetics. Am J Gastroenterol. 2019;114(10):1587-1592. doi:10.14309/ajg.0000000000000310</w:t>
      </w:r>
    </w:p>
    <w:p w14:paraId="4DCCF400"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Coppen</w:t>
      </w:r>
      <w:proofErr w:type="spellEnd"/>
      <w:r>
        <w:rPr>
          <w:rFonts w:ascii="Times New Roman" w:eastAsia="Times New Roman" w:hAnsi="Times New Roman" w:cs="Times New Roman"/>
          <w:sz w:val="24"/>
          <w:szCs w:val="24"/>
          <w:highlight w:val="white"/>
        </w:rPr>
        <w:t xml:space="preserve">, A., C. Swade, S. A. Jones, R. A. Armstrong, J. A. Blair, and R. J. Leeming. “Depression and Tetrahydrobiopterin: The Folate Connection.” </w:t>
      </w:r>
      <w:r>
        <w:rPr>
          <w:rFonts w:ascii="Times New Roman" w:eastAsia="Times New Roman" w:hAnsi="Times New Roman" w:cs="Times New Roman"/>
          <w:i/>
          <w:sz w:val="24"/>
          <w:szCs w:val="24"/>
          <w:highlight w:val="white"/>
        </w:rPr>
        <w:t>Journal of Affective Disorders</w:t>
      </w:r>
      <w:r>
        <w:rPr>
          <w:rFonts w:ascii="Times New Roman" w:eastAsia="Times New Roman" w:hAnsi="Times New Roman" w:cs="Times New Roman"/>
          <w:sz w:val="24"/>
          <w:szCs w:val="24"/>
          <w:highlight w:val="white"/>
        </w:rPr>
        <w:t xml:space="preserve"> 16, no. 2 (March 1, 1989): 103–7.</w:t>
      </w:r>
      <w:hyperlink r:id="rId11">
        <w:r w:rsidR="0014670D">
          <w:rPr>
            <w:rFonts w:ascii="Times New Roman" w:eastAsia="Times New Roman" w:hAnsi="Times New Roman" w:cs="Times New Roman"/>
            <w:sz w:val="24"/>
            <w:szCs w:val="24"/>
            <w:highlight w:val="white"/>
          </w:rPr>
          <w:t xml:space="preserve"> </w:t>
        </w:r>
      </w:hyperlink>
      <w:hyperlink r:id="rId12">
        <w:r w:rsidR="0014670D">
          <w:rPr>
            <w:rFonts w:ascii="Times New Roman" w:eastAsia="Times New Roman" w:hAnsi="Times New Roman" w:cs="Times New Roman"/>
            <w:color w:val="1155CC"/>
            <w:sz w:val="24"/>
            <w:szCs w:val="24"/>
            <w:highlight w:val="white"/>
            <w:u w:val="single"/>
          </w:rPr>
          <w:t>https://doi.org/10.1016/0165-0327(89)90062-1</w:t>
        </w:r>
      </w:hyperlink>
      <w:r>
        <w:rPr>
          <w:rFonts w:ascii="Times New Roman" w:eastAsia="Times New Roman" w:hAnsi="Times New Roman" w:cs="Times New Roman"/>
          <w:sz w:val="24"/>
          <w:szCs w:val="24"/>
          <w:highlight w:val="white"/>
        </w:rPr>
        <w:t>.</w:t>
      </w:r>
    </w:p>
    <w:p w14:paraId="4AB9790B"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Correia, Ana Salomé, Armando Cardoso, and Nuno Vale. “Oxidative Stress in Depression: The Link with the Stress Response, Neuroinflammation, Serotonin, Neurogenesis and Synaptic Plasticity.” </w:t>
      </w:r>
      <w:r>
        <w:rPr>
          <w:rFonts w:ascii="Times New Roman" w:eastAsia="Times New Roman" w:hAnsi="Times New Roman" w:cs="Times New Roman"/>
          <w:i/>
          <w:sz w:val="24"/>
          <w:szCs w:val="24"/>
          <w:highlight w:val="white"/>
        </w:rPr>
        <w:t>Antioxidants</w:t>
      </w:r>
      <w:r>
        <w:rPr>
          <w:rFonts w:ascii="Times New Roman" w:eastAsia="Times New Roman" w:hAnsi="Times New Roman" w:cs="Times New Roman"/>
          <w:sz w:val="24"/>
          <w:szCs w:val="24"/>
          <w:highlight w:val="white"/>
        </w:rPr>
        <w:t xml:space="preserve"> 12, no. 2 (February 13, 2023): 470.</w:t>
      </w:r>
      <w:hyperlink r:id="rId13">
        <w:r w:rsidR="0014670D">
          <w:rPr>
            <w:rFonts w:ascii="Times New Roman" w:eastAsia="Times New Roman" w:hAnsi="Times New Roman" w:cs="Times New Roman"/>
            <w:sz w:val="24"/>
            <w:szCs w:val="24"/>
            <w:highlight w:val="white"/>
          </w:rPr>
          <w:t xml:space="preserve"> </w:t>
        </w:r>
      </w:hyperlink>
      <w:hyperlink r:id="rId14">
        <w:r w:rsidR="0014670D">
          <w:rPr>
            <w:rFonts w:ascii="Times New Roman" w:eastAsia="Times New Roman" w:hAnsi="Times New Roman" w:cs="Times New Roman"/>
            <w:color w:val="1155CC"/>
            <w:sz w:val="24"/>
            <w:szCs w:val="24"/>
            <w:highlight w:val="white"/>
            <w:u w:val="single"/>
          </w:rPr>
          <w:t>https://doi.org/10.3390/antiox12020470</w:t>
        </w:r>
      </w:hyperlink>
      <w:r>
        <w:rPr>
          <w:rFonts w:ascii="Times New Roman" w:eastAsia="Times New Roman" w:hAnsi="Times New Roman" w:cs="Times New Roman"/>
          <w:sz w:val="24"/>
          <w:szCs w:val="24"/>
          <w:highlight w:val="white"/>
        </w:rPr>
        <w:t>.</w:t>
      </w:r>
    </w:p>
    <w:p w14:paraId="48657B0E"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Delgado, P. L. “Depression: The Case for a Monoamine Deficiency.” </w:t>
      </w:r>
      <w:r>
        <w:rPr>
          <w:rFonts w:ascii="Times New Roman" w:eastAsia="Times New Roman" w:hAnsi="Times New Roman" w:cs="Times New Roman"/>
          <w:i/>
          <w:sz w:val="24"/>
          <w:szCs w:val="24"/>
          <w:highlight w:val="white"/>
        </w:rPr>
        <w:t>The Journal of Clinical Psychiatry</w:t>
      </w:r>
      <w:r>
        <w:rPr>
          <w:rFonts w:ascii="Times New Roman" w:eastAsia="Times New Roman" w:hAnsi="Times New Roman" w:cs="Times New Roman"/>
          <w:sz w:val="24"/>
          <w:szCs w:val="24"/>
          <w:highlight w:val="white"/>
        </w:rPr>
        <w:t xml:space="preserve"> 61 Suppl 6 (2000): 7–11.</w:t>
      </w:r>
    </w:p>
    <w:p w14:paraId="782E9CAD"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Re V, </w:t>
      </w:r>
      <w:proofErr w:type="spellStart"/>
      <w:r>
        <w:rPr>
          <w:rFonts w:ascii="Times New Roman" w:eastAsia="Times New Roman" w:hAnsi="Times New Roman" w:cs="Times New Roman"/>
          <w:sz w:val="24"/>
          <w:szCs w:val="24"/>
          <w:highlight w:val="white"/>
        </w:rPr>
        <w:t>Magris</w:t>
      </w:r>
      <w:proofErr w:type="spellEnd"/>
      <w:r>
        <w:rPr>
          <w:rFonts w:ascii="Times New Roman" w:eastAsia="Times New Roman" w:hAnsi="Times New Roman" w:cs="Times New Roman"/>
          <w:sz w:val="24"/>
          <w:szCs w:val="24"/>
          <w:highlight w:val="white"/>
        </w:rPr>
        <w:t xml:space="preserve"> R, Cannizzaro R. New Insights into the Pathogenesis of Celiac Disease. Front Med (Lausanne). </w:t>
      </w:r>
      <w:proofErr w:type="gramStart"/>
      <w:r>
        <w:rPr>
          <w:rFonts w:ascii="Times New Roman" w:eastAsia="Times New Roman" w:hAnsi="Times New Roman" w:cs="Times New Roman"/>
          <w:sz w:val="24"/>
          <w:szCs w:val="24"/>
          <w:highlight w:val="white"/>
        </w:rPr>
        <w:t>2017;4:137</w:t>
      </w:r>
      <w:proofErr w:type="gramEnd"/>
      <w:r>
        <w:rPr>
          <w:rFonts w:ascii="Times New Roman" w:eastAsia="Times New Roman" w:hAnsi="Times New Roman" w:cs="Times New Roman"/>
          <w:sz w:val="24"/>
          <w:szCs w:val="24"/>
          <w:highlight w:val="white"/>
        </w:rPr>
        <w:t>. Published 2017 Aug 31. doi:10.3389/fmed.2017.00137</w:t>
      </w:r>
    </w:p>
    <w:p w14:paraId="2F3D9BD3"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 Pré MF, Sollid LM. T-cell and B-cell immunity in celiac disease. Best </w:t>
      </w:r>
      <w:proofErr w:type="spellStart"/>
      <w:r>
        <w:rPr>
          <w:rFonts w:ascii="Times New Roman" w:eastAsia="Times New Roman" w:hAnsi="Times New Roman" w:cs="Times New Roman"/>
          <w:sz w:val="24"/>
          <w:szCs w:val="24"/>
          <w:highlight w:val="white"/>
        </w:rPr>
        <w:t>Pract</w:t>
      </w:r>
      <w:proofErr w:type="spellEnd"/>
      <w:r>
        <w:rPr>
          <w:rFonts w:ascii="Times New Roman" w:eastAsia="Times New Roman" w:hAnsi="Times New Roman" w:cs="Times New Roman"/>
          <w:sz w:val="24"/>
          <w:szCs w:val="24"/>
          <w:highlight w:val="white"/>
        </w:rPr>
        <w:t xml:space="preserve"> Res Clin Gastroenterol. 2015;29(3):413-423. </w:t>
      </w:r>
      <w:proofErr w:type="gramStart"/>
      <w:r>
        <w:rPr>
          <w:rFonts w:ascii="Times New Roman" w:eastAsia="Times New Roman" w:hAnsi="Times New Roman" w:cs="Times New Roman"/>
          <w:sz w:val="24"/>
          <w:szCs w:val="24"/>
          <w:highlight w:val="white"/>
        </w:rPr>
        <w:t>doi:10.1016/j.bpg</w:t>
      </w:r>
      <w:proofErr w:type="gramEnd"/>
      <w:r>
        <w:rPr>
          <w:rFonts w:ascii="Times New Roman" w:eastAsia="Times New Roman" w:hAnsi="Times New Roman" w:cs="Times New Roman"/>
          <w:sz w:val="24"/>
          <w:szCs w:val="24"/>
          <w:highlight w:val="white"/>
        </w:rPr>
        <w:t>.2015.04.001</w:t>
      </w:r>
    </w:p>
    <w:p w14:paraId="698FB49B"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Fanet</w:t>
      </w:r>
      <w:proofErr w:type="spellEnd"/>
      <w:r>
        <w:rPr>
          <w:rFonts w:ascii="Times New Roman" w:eastAsia="Times New Roman" w:hAnsi="Times New Roman" w:cs="Times New Roman"/>
          <w:sz w:val="24"/>
          <w:szCs w:val="24"/>
          <w:highlight w:val="white"/>
        </w:rPr>
        <w:t xml:space="preserve">, H., L. </w:t>
      </w:r>
      <w:proofErr w:type="spellStart"/>
      <w:r>
        <w:rPr>
          <w:rFonts w:ascii="Times New Roman" w:eastAsia="Times New Roman" w:hAnsi="Times New Roman" w:cs="Times New Roman"/>
          <w:sz w:val="24"/>
          <w:szCs w:val="24"/>
          <w:highlight w:val="white"/>
        </w:rPr>
        <w:t>Capuron</w:t>
      </w:r>
      <w:proofErr w:type="spellEnd"/>
      <w:r>
        <w:rPr>
          <w:rFonts w:ascii="Times New Roman" w:eastAsia="Times New Roman" w:hAnsi="Times New Roman" w:cs="Times New Roman"/>
          <w:sz w:val="24"/>
          <w:szCs w:val="24"/>
          <w:highlight w:val="white"/>
        </w:rPr>
        <w:t xml:space="preserve">, N. Castanon, F. Calon, and S. </w:t>
      </w:r>
      <w:proofErr w:type="spellStart"/>
      <w:r>
        <w:rPr>
          <w:rFonts w:ascii="Times New Roman" w:eastAsia="Times New Roman" w:hAnsi="Times New Roman" w:cs="Times New Roman"/>
          <w:sz w:val="24"/>
          <w:szCs w:val="24"/>
          <w:highlight w:val="white"/>
        </w:rPr>
        <w:t>Vancassel</w:t>
      </w:r>
      <w:proofErr w:type="spell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Tetrahydrobioterin</w:t>
      </w:r>
      <w:proofErr w:type="spellEnd"/>
      <w:r>
        <w:rPr>
          <w:rFonts w:ascii="Times New Roman" w:eastAsia="Times New Roman" w:hAnsi="Times New Roman" w:cs="Times New Roman"/>
          <w:sz w:val="24"/>
          <w:szCs w:val="24"/>
          <w:highlight w:val="white"/>
        </w:rPr>
        <w:t xml:space="preserve"> (BH4) Pathway: From Metabolism to Neuropsychiatry.” </w:t>
      </w:r>
      <w:r>
        <w:rPr>
          <w:rFonts w:ascii="Times New Roman" w:eastAsia="Times New Roman" w:hAnsi="Times New Roman" w:cs="Times New Roman"/>
          <w:i/>
          <w:sz w:val="24"/>
          <w:szCs w:val="24"/>
          <w:highlight w:val="white"/>
        </w:rPr>
        <w:t>Current Neuropharmacology</w:t>
      </w:r>
      <w:r>
        <w:rPr>
          <w:rFonts w:ascii="Times New Roman" w:eastAsia="Times New Roman" w:hAnsi="Times New Roman" w:cs="Times New Roman"/>
          <w:sz w:val="24"/>
          <w:szCs w:val="24"/>
          <w:highlight w:val="white"/>
        </w:rPr>
        <w:t xml:space="preserve"> 19, no. 5 (April 29, 2021): 591–609.</w:t>
      </w:r>
      <w:hyperlink r:id="rId15">
        <w:r w:rsidR="0014670D">
          <w:rPr>
            <w:rFonts w:ascii="Times New Roman" w:eastAsia="Times New Roman" w:hAnsi="Times New Roman" w:cs="Times New Roman"/>
            <w:sz w:val="24"/>
            <w:szCs w:val="24"/>
            <w:highlight w:val="white"/>
          </w:rPr>
          <w:t xml:space="preserve"> </w:t>
        </w:r>
      </w:hyperlink>
      <w:hyperlink r:id="rId16">
        <w:r w:rsidR="0014670D">
          <w:rPr>
            <w:rFonts w:ascii="Times New Roman" w:eastAsia="Times New Roman" w:hAnsi="Times New Roman" w:cs="Times New Roman"/>
            <w:color w:val="1155CC"/>
            <w:sz w:val="24"/>
            <w:szCs w:val="24"/>
            <w:highlight w:val="white"/>
            <w:u w:val="single"/>
          </w:rPr>
          <w:t>https://doi.org/10.2174/1570159X18666200729103529</w:t>
        </w:r>
      </w:hyperlink>
      <w:r>
        <w:rPr>
          <w:rFonts w:ascii="Times New Roman" w:eastAsia="Times New Roman" w:hAnsi="Times New Roman" w:cs="Times New Roman"/>
          <w:sz w:val="24"/>
          <w:szCs w:val="24"/>
          <w:highlight w:val="white"/>
        </w:rPr>
        <w:t>.</w:t>
      </w:r>
    </w:p>
    <w:p w14:paraId="49109F09"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Halfdanarson</w:t>
      </w:r>
      <w:proofErr w:type="spellEnd"/>
      <w:r>
        <w:rPr>
          <w:rFonts w:ascii="Times New Roman" w:eastAsia="Times New Roman" w:hAnsi="Times New Roman" w:cs="Times New Roman"/>
          <w:sz w:val="24"/>
          <w:szCs w:val="24"/>
          <w:highlight w:val="white"/>
        </w:rPr>
        <w:t xml:space="preserve"> TR, Litzow MR, Murray JA. Hematologic manifestations of celiac disease. Blood. 2007;109(2):412-421. doi:10.1182/blood-2006-07-031104</w:t>
      </w:r>
    </w:p>
    <w:p w14:paraId="1DB1F85C"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Holtmeier W, Caspary WF. Celiac disease. </w:t>
      </w:r>
      <w:proofErr w:type="spellStart"/>
      <w:r>
        <w:rPr>
          <w:rFonts w:ascii="Times New Roman" w:eastAsia="Times New Roman" w:hAnsi="Times New Roman" w:cs="Times New Roman"/>
          <w:sz w:val="24"/>
          <w:szCs w:val="24"/>
          <w:highlight w:val="white"/>
        </w:rPr>
        <w:t>Orphanet</w:t>
      </w:r>
      <w:proofErr w:type="spellEnd"/>
      <w:r>
        <w:rPr>
          <w:rFonts w:ascii="Times New Roman" w:eastAsia="Times New Roman" w:hAnsi="Times New Roman" w:cs="Times New Roman"/>
          <w:sz w:val="24"/>
          <w:szCs w:val="24"/>
          <w:highlight w:val="white"/>
        </w:rPr>
        <w:t xml:space="preserve"> J Rare Dis. </w:t>
      </w:r>
      <w:proofErr w:type="gramStart"/>
      <w:r>
        <w:rPr>
          <w:rFonts w:ascii="Times New Roman" w:eastAsia="Times New Roman" w:hAnsi="Times New Roman" w:cs="Times New Roman"/>
          <w:sz w:val="24"/>
          <w:szCs w:val="24"/>
          <w:highlight w:val="white"/>
        </w:rPr>
        <w:t>2006;1:3</w:t>
      </w:r>
      <w:proofErr w:type="gramEnd"/>
      <w:r>
        <w:rPr>
          <w:rFonts w:ascii="Times New Roman" w:eastAsia="Times New Roman" w:hAnsi="Times New Roman" w:cs="Times New Roman"/>
          <w:sz w:val="24"/>
          <w:szCs w:val="24"/>
          <w:highlight w:val="white"/>
        </w:rPr>
        <w:t>. Published 2006 Mar 1. doi:10.1186/1750-1172-1-3</w:t>
      </w:r>
    </w:p>
    <w:p w14:paraId="4F919DF7"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Iversen R, Sollid LM. The Immunobiology and Pathogenesis of Celiac Disease. </w:t>
      </w:r>
      <w:proofErr w:type="spellStart"/>
      <w:r>
        <w:rPr>
          <w:rFonts w:ascii="Times New Roman" w:eastAsia="Times New Roman" w:hAnsi="Times New Roman" w:cs="Times New Roman"/>
          <w:sz w:val="24"/>
          <w:szCs w:val="24"/>
          <w:highlight w:val="white"/>
        </w:rPr>
        <w:t>Annu</w:t>
      </w:r>
      <w:proofErr w:type="spellEnd"/>
      <w:r>
        <w:rPr>
          <w:rFonts w:ascii="Times New Roman" w:eastAsia="Times New Roman" w:hAnsi="Times New Roman" w:cs="Times New Roman"/>
          <w:sz w:val="24"/>
          <w:szCs w:val="24"/>
          <w:highlight w:val="white"/>
        </w:rPr>
        <w:t xml:space="preserve"> Rev </w:t>
      </w:r>
      <w:proofErr w:type="spellStart"/>
      <w:r>
        <w:rPr>
          <w:rFonts w:ascii="Times New Roman" w:eastAsia="Times New Roman" w:hAnsi="Times New Roman" w:cs="Times New Roman"/>
          <w:sz w:val="24"/>
          <w:szCs w:val="24"/>
          <w:highlight w:val="white"/>
        </w:rPr>
        <w:t>Pathol</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2023;18:47</w:t>
      </w:r>
      <w:proofErr w:type="gramEnd"/>
      <w:r>
        <w:rPr>
          <w:rFonts w:ascii="Times New Roman" w:eastAsia="Times New Roman" w:hAnsi="Times New Roman" w:cs="Times New Roman"/>
          <w:sz w:val="24"/>
          <w:szCs w:val="24"/>
          <w:highlight w:val="white"/>
        </w:rPr>
        <w:t>-70. doi:10.1146/annurev-pathmechdis-031521-032634</w:t>
      </w:r>
    </w:p>
    <w:p w14:paraId="2065DD95"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King JA, Jeong J, Underwood FE, et al. Incidence of Celiac Disease Is Increasing Over Time: A Systematic Review and Meta-analysis. Am J Gastroenterol. 2020;115(4):507-525. doi:10.14309/ajg.0000000000000523</w:t>
      </w:r>
    </w:p>
    <w:p w14:paraId="7EF2503A"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Leclerc, Daniel, Sahar Sibani, and Rima Rozen. “Molecular Biology of Methylenetetrahydrofolate Reductase (MTHFR) and Overview of Mutations/Polymorphisms.” In </w:t>
      </w:r>
      <w:r>
        <w:rPr>
          <w:rFonts w:ascii="Times New Roman" w:eastAsia="Times New Roman" w:hAnsi="Times New Roman" w:cs="Times New Roman"/>
          <w:i/>
          <w:sz w:val="24"/>
          <w:szCs w:val="24"/>
          <w:highlight w:val="white"/>
        </w:rPr>
        <w:t>Madame Curie Bioscience Database [Internet]</w:t>
      </w:r>
      <w:r>
        <w:rPr>
          <w:rFonts w:ascii="Times New Roman" w:eastAsia="Times New Roman" w:hAnsi="Times New Roman" w:cs="Times New Roman"/>
          <w:sz w:val="24"/>
          <w:szCs w:val="24"/>
          <w:highlight w:val="white"/>
        </w:rPr>
        <w:t>. Landes Bioscience, 2013.</w:t>
      </w:r>
      <w:hyperlink r:id="rId17">
        <w:r w:rsidR="0014670D">
          <w:rPr>
            <w:rFonts w:ascii="Times New Roman" w:eastAsia="Times New Roman" w:hAnsi="Times New Roman" w:cs="Times New Roman"/>
            <w:sz w:val="24"/>
            <w:szCs w:val="24"/>
            <w:highlight w:val="white"/>
          </w:rPr>
          <w:t xml:space="preserve"> </w:t>
        </w:r>
      </w:hyperlink>
      <w:hyperlink r:id="rId18">
        <w:r w:rsidR="0014670D">
          <w:rPr>
            <w:rFonts w:ascii="Times New Roman" w:eastAsia="Times New Roman" w:hAnsi="Times New Roman" w:cs="Times New Roman"/>
            <w:color w:val="1155CC"/>
            <w:sz w:val="24"/>
            <w:szCs w:val="24"/>
            <w:highlight w:val="white"/>
            <w:u w:val="single"/>
          </w:rPr>
          <w:t>https://www.ncbi.nlm.nih.gov/books/NBK6561/</w:t>
        </w:r>
      </w:hyperlink>
      <w:r>
        <w:rPr>
          <w:rFonts w:ascii="Times New Roman" w:eastAsia="Times New Roman" w:hAnsi="Times New Roman" w:cs="Times New Roman"/>
          <w:sz w:val="24"/>
          <w:szCs w:val="24"/>
          <w:highlight w:val="white"/>
        </w:rPr>
        <w:t>.</w:t>
      </w:r>
    </w:p>
    <w:p w14:paraId="30FCBCA1"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Lewis, S. J., D. A. Lawlor, G. Davey Smith, R. Araya, N. Timpson, I. N. M. Day, and S. Ebrahim. “The Thermolabile Variant of MTHFR Is Associated with Depression in the British Women’s Heart and Health Study and a Meta-Analysis.” </w:t>
      </w:r>
      <w:r>
        <w:rPr>
          <w:rFonts w:ascii="Times New Roman" w:eastAsia="Times New Roman" w:hAnsi="Times New Roman" w:cs="Times New Roman"/>
          <w:i/>
          <w:sz w:val="24"/>
          <w:szCs w:val="24"/>
          <w:highlight w:val="white"/>
        </w:rPr>
        <w:t>Molecular Psychiatry</w:t>
      </w:r>
      <w:r>
        <w:rPr>
          <w:rFonts w:ascii="Times New Roman" w:eastAsia="Times New Roman" w:hAnsi="Times New Roman" w:cs="Times New Roman"/>
          <w:sz w:val="24"/>
          <w:szCs w:val="24"/>
          <w:highlight w:val="white"/>
        </w:rPr>
        <w:t xml:space="preserve"> 11, no. 4 (April 2006): 352–60.</w:t>
      </w:r>
      <w:hyperlink r:id="rId19">
        <w:r w:rsidR="0014670D">
          <w:rPr>
            <w:rFonts w:ascii="Times New Roman" w:eastAsia="Times New Roman" w:hAnsi="Times New Roman" w:cs="Times New Roman"/>
            <w:sz w:val="24"/>
            <w:szCs w:val="24"/>
            <w:highlight w:val="white"/>
          </w:rPr>
          <w:t xml:space="preserve"> </w:t>
        </w:r>
      </w:hyperlink>
      <w:hyperlink r:id="rId20">
        <w:r w:rsidR="0014670D">
          <w:rPr>
            <w:rFonts w:ascii="Times New Roman" w:eastAsia="Times New Roman" w:hAnsi="Times New Roman" w:cs="Times New Roman"/>
            <w:color w:val="1155CC"/>
            <w:sz w:val="24"/>
            <w:szCs w:val="24"/>
            <w:highlight w:val="white"/>
            <w:u w:val="single"/>
          </w:rPr>
          <w:t>https://doi.org/10.1038/sj.mp.4001790</w:t>
        </w:r>
      </w:hyperlink>
      <w:r>
        <w:rPr>
          <w:rFonts w:ascii="Times New Roman" w:eastAsia="Times New Roman" w:hAnsi="Times New Roman" w:cs="Times New Roman"/>
          <w:sz w:val="24"/>
          <w:szCs w:val="24"/>
          <w:highlight w:val="white"/>
        </w:rPr>
        <w:t>.</w:t>
      </w:r>
    </w:p>
    <w:p w14:paraId="6ADD3431"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Liwinski</w:t>
      </w:r>
      <w:proofErr w:type="spellEnd"/>
      <w:r>
        <w:rPr>
          <w:rFonts w:ascii="Times New Roman" w:eastAsia="Times New Roman" w:hAnsi="Times New Roman" w:cs="Times New Roman"/>
          <w:sz w:val="24"/>
          <w:szCs w:val="24"/>
          <w:highlight w:val="white"/>
        </w:rPr>
        <w:t xml:space="preserve"> T, Lang UE. Folate and Its Significance in Depressive Disorders and Suicidality: A Comprehensive Narrative Review. Nutrients. 2023;15(17):3859. Published 2023 Sep 4. doi:10.3390/nu15173859</w:t>
      </w:r>
    </w:p>
    <w:p w14:paraId="4328357C"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Ludvigsson JF, Murray JA. Epidemiology of Celiac Disease. Gastroenterol Clin North Am. 2019;48(1):1-18. </w:t>
      </w:r>
      <w:proofErr w:type="gramStart"/>
      <w:r>
        <w:rPr>
          <w:rFonts w:ascii="Times New Roman" w:eastAsia="Times New Roman" w:hAnsi="Times New Roman" w:cs="Times New Roman"/>
          <w:sz w:val="24"/>
          <w:szCs w:val="24"/>
          <w:highlight w:val="white"/>
        </w:rPr>
        <w:t>doi:10.1016/j.gtc</w:t>
      </w:r>
      <w:proofErr w:type="gramEnd"/>
      <w:r>
        <w:rPr>
          <w:rFonts w:ascii="Times New Roman" w:eastAsia="Times New Roman" w:hAnsi="Times New Roman" w:cs="Times New Roman"/>
          <w:sz w:val="24"/>
          <w:szCs w:val="24"/>
          <w:highlight w:val="white"/>
        </w:rPr>
        <w:t>.2018.09.004</w:t>
      </w:r>
    </w:p>
    <w:p w14:paraId="7898AF49"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Mattson, Mark P., and Thomas B. Shea. “Folate and Homocysteine Metabolism in Neural Plasticity and Neurodegenerative Disorders.” </w:t>
      </w:r>
      <w:r>
        <w:rPr>
          <w:rFonts w:ascii="Times New Roman" w:eastAsia="Times New Roman" w:hAnsi="Times New Roman" w:cs="Times New Roman"/>
          <w:i/>
          <w:sz w:val="24"/>
          <w:szCs w:val="24"/>
          <w:highlight w:val="white"/>
        </w:rPr>
        <w:t>Trends in Neurosciences</w:t>
      </w:r>
      <w:r>
        <w:rPr>
          <w:rFonts w:ascii="Times New Roman" w:eastAsia="Times New Roman" w:hAnsi="Times New Roman" w:cs="Times New Roman"/>
          <w:sz w:val="24"/>
          <w:szCs w:val="24"/>
          <w:highlight w:val="white"/>
        </w:rPr>
        <w:t xml:space="preserve"> 26, no. 3 (March 1, 2003): 137–46.</w:t>
      </w:r>
      <w:hyperlink r:id="rId21">
        <w:r w:rsidR="0014670D">
          <w:rPr>
            <w:rFonts w:ascii="Times New Roman" w:eastAsia="Times New Roman" w:hAnsi="Times New Roman" w:cs="Times New Roman"/>
            <w:sz w:val="24"/>
            <w:szCs w:val="24"/>
            <w:highlight w:val="white"/>
          </w:rPr>
          <w:t xml:space="preserve"> </w:t>
        </w:r>
      </w:hyperlink>
      <w:hyperlink r:id="rId22">
        <w:r w:rsidR="0014670D">
          <w:rPr>
            <w:rFonts w:ascii="Times New Roman" w:eastAsia="Times New Roman" w:hAnsi="Times New Roman" w:cs="Times New Roman"/>
            <w:color w:val="1155CC"/>
            <w:sz w:val="24"/>
            <w:szCs w:val="24"/>
            <w:highlight w:val="white"/>
            <w:u w:val="single"/>
          </w:rPr>
          <w:t>https://doi.org/10.1016/S0166-2236(03)00032-8</w:t>
        </w:r>
      </w:hyperlink>
      <w:r>
        <w:rPr>
          <w:rFonts w:ascii="Times New Roman" w:eastAsia="Times New Roman" w:hAnsi="Times New Roman" w:cs="Times New Roman"/>
          <w:sz w:val="24"/>
          <w:szCs w:val="24"/>
          <w:highlight w:val="white"/>
        </w:rPr>
        <w:t>.</w:t>
      </w:r>
    </w:p>
    <w:p w14:paraId="14896A2D"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Morris, M.S., M. Fava, P.F. Jacques, J. </w:t>
      </w:r>
      <w:proofErr w:type="spellStart"/>
      <w:r>
        <w:rPr>
          <w:rFonts w:ascii="Times New Roman" w:eastAsia="Times New Roman" w:hAnsi="Times New Roman" w:cs="Times New Roman"/>
          <w:sz w:val="24"/>
          <w:szCs w:val="24"/>
          <w:highlight w:val="white"/>
        </w:rPr>
        <w:t>Selhub</w:t>
      </w:r>
      <w:proofErr w:type="spellEnd"/>
      <w:r>
        <w:rPr>
          <w:rFonts w:ascii="Times New Roman" w:eastAsia="Times New Roman" w:hAnsi="Times New Roman" w:cs="Times New Roman"/>
          <w:sz w:val="24"/>
          <w:szCs w:val="24"/>
          <w:highlight w:val="white"/>
        </w:rPr>
        <w:t xml:space="preserve">, and I.H. Rosenberg. “Depression and Folate Status in the US Population.” </w:t>
      </w:r>
      <w:r>
        <w:rPr>
          <w:rFonts w:ascii="Times New Roman" w:eastAsia="Times New Roman" w:hAnsi="Times New Roman" w:cs="Times New Roman"/>
          <w:i/>
          <w:sz w:val="24"/>
          <w:szCs w:val="24"/>
          <w:highlight w:val="white"/>
        </w:rPr>
        <w:t>Psychotherapy and Psychosomatics</w:t>
      </w:r>
      <w:r>
        <w:rPr>
          <w:rFonts w:ascii="Times New Roman" w:eastAsia="Times New Roman" w:hAnsi="Times New Roman" w:cs="Times New Roman"/>
          <w:sz w:val="24"/>
          <w:szCs w:val="24"/>
          <w:highlight w:val="white"/>
        </w:rPr>
        <w:t xml:space="preserve"> 72, no. 2 (2003): 80–87.</w:t>
      </w:r>
      <w:hyperlink r:id="rId23">
        <w:r w:rsidR="0014670D">
          <w:rPr>
            <w:rFonts w:ascii="Times New Roman" w:eastAsia="Times New Roman" w:hAnsi="Times New Roman" w:cs="Times New Roman"/>
            <w:sz w:val="24"/>
            <w:szCs w:val="24"/>
            <w:highlight w:val="white"/>
          </w:rPr>
          <w:t xml:space="preserve"> </w:t>
        </w:r>
      </w:hyperlink>
      <w:hyperlink r:id="rId24">
        <w:r w:rsidR="0014670D">
          <w:rPr>
            <w:rFonts w:ascii="Times New Roman" w:eastAsia="Times New Roman" w:hAnsi="Times New Roman" w:cs="Times New Roman"/>
            <w:color w:val="1155CC"/>
            <w:sz w:val="24"/>
            <w:szCs w:val="24"/>
            <w:highlight w:val="white"/>
            <w:u w:val="single"/>
          </w:rPr>
          <w:t>https://doi.org/10.1159/000068692</w:t>
        </w:r>
      </w:hyperlink>
      <w:r>
        <w:rPr>
          <w:rFonts w:ascii="Times New Roman" w:eastAsia="Times New Roman" w:hAnsi="Times New Roman" w:cs="Times New Roman"/>
          <w:sz w:val="24"/>
          <w:szCs w:val="24"/>
          <w:highlight w:val="white"/>
        </w:rPr>
        <w:t>.</w:t>
      </w:r>
    </w:p>
    <w:p w14:paraId="76BAEE20"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Rewers, M. (2005). Epidemiology of celiac disease: what are the prevalence, incidence, and progression of celiac </w:t>
      </w:r>
      <w:proofErr w:type="gramStart"/>
      <w:r>
        <w:rPr>
          <w:rFonts w:ascii="Times New Roman" w:eastAsia="Times New Roman" w:hAnsi="Times New Roman" w:cs="Times New Roman"/>
          <w:sz w:val="24"/>
          <w:szCs w:val="24"/>
          <w:highlight w:val="white"/>
        </w:rPr>
        <w:t>disease?.</w:t>
      </w:r>
      <w:proofErr w:type="gramEnd"/>
      <w:r>
        <w:rPr>
          <w:rFonts w:ascii="Times New Roman" w:eastAsia="Times New Roman" w:hAnsi="Times New Roman" w:cs="Times New Roman"/>
          <w:sz w:val="24"/>
          <w:szCs w:val="24"/>
          <w:highlight w:val="white"/>
        </w:rPr>
        <w:t xml:space="preserve"> Gastroenterology, 128(4), S47-S51</w:t>
      </w:r>
    </w:p>
    <w:p w14:paraId="7C4E4126"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Schuppan D, Zimmer KP. The diagnosis and treatment of celiac disease. </w:t>
      </w:r>
      <w:proofErr w:type="spellStart"/>
      <w:r>
        <w:rPr>
          <w:rFonts w:ascii="Times New Roman" w:eastAsia="Times New Roman" w:hAnsi="Times New Roman" w:cs="Times New Roman"/>
          <w:sz w:val="24"/>
          <w:szCs w:val="24"/>
          <w:highlight w:val="white"/>
        </w:rPr>
        <w:t>Dtsch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Arztebl</w:t>
      </w:r>
      <w:proofErr w:type="spellEnd"/>
      <w:r>
        <w:rPr>
          <w:rFonts w:ascii="Times New Roman" w:eastAsia="Times New Roman" w:hAnsi="Times New Roman" w:cs="Times New Roman"/>
          <w:sz w:val="24"/>
          <w:szCs w:val="24"/>
          <w:highlight w:val="white"/>
        </w:rPr>
        <w:t xml:space="preserve"> Int. 2013;110(49):835-846. doi:10.3238/arztebl.2013.0835</w:t>
      </w:r>
    </w:p>
    <w:p w14:paraId="61265500"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Sharma N, Singh K, Senapati S. Celiac disease poses significant risk in developing depression, anxiety, headache, epilepsy, panic disorder, dysthymia: A meta-analysis. Indian J Gastroenterol. 2021;40(5):453-462. doi:10.1007/s12664-021-01215-2 [Original source: https://studycrumb.com/alphabetizer]</w:t>
      </w:r>
    </w:p>
    <w:p w14:paraId="1697C721" w14:textId="77777777" w:rsidR="0014670D" w:rsidRDefault="00AC3A31">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Tolmunen, T., J. Hintikka, S. Voutilainen, A. Ruusunen, G. </w:t>
      </w:r>
      <w:proofErr w:type="spellStart"/>
      <w:r>
        <w:rPr>
          <w:rFonts w:ascii="Times New Roman" w:eastAsia="Times New Roman" w:hAnsi="Times New Roman" w:cs="Times New Roman"/>
          <w:sz w:val="24"/>
          <w:szCs w:val="24"/>
          <w:highlight w:val="white"/>
        </w:rPr>
        <w:t>Alfthan</w:t>
      </w:r>
      <w:proofErr w:type="spellEnd"/>
      <w:r>
        <w:rPr>
          <w:rFonts w:ascii="Times New Roman" w:eastAsia="Times New Roman" w:hAnsi="Times New Roman" w:cs="Times New Roman"/>
          <w:sz w:val="24"/>
          <w:szCs w:val="24"/>
          <w:highlight w:val="white"/>
        </w:rPr>
        <w:t xml:space="preserve">, K. Nyyssönen, H. </w:t>
      </w:r>
      <w:proofErr w:type="spellStart"/>
      <w:r>
        <w:rPr>
          <w:rFonts w:ascii="Times New Roman" w:eastAsia="Times New Roman" w:hAnsi="Times New Roman" w:cs="Times New Roman"/>
          <w:sz w:val="24"/>
          <w:szCs w:val="24"/>
          <w:highlight w:val="white"/>
        </w:rPr>
        <w:t>Viinamäki</w:t>
      </w:r>
      <w:proofErr w:type="spellEnd"/>
      <w:r>
        <w:rPr>
          <w:rFonts w:ascii="Times New Roman" w:eastAsia="Times New Roman" w:hAnsi="Times New Roman" w:cs="Times New Roman"/>
          <w:sz w:val="24"/>
          <w:szCs w:val="24"/>
          <w:highlight w:val="white"/>
        </w:rPr>
        <w:t xml:space="preserve">, G.A. Kaplan, and J.T. Salonen. “Association between Depressive Symptoms and Serum Concentrations of Homocysteine in Men: A Population Study.” </w:t>
      </w:r>
      <w:r>
        <w:rPr>
          <w:rFonts w:ascii="Times New Roman" w:eastAsia="Times New Roman" w:hAnsi="Times New Roman" w:cs="Times New Roman"/>
          <w:i/>
          <w:sz w:val="24"/>
          <w:szCs w:val="24"/>
          <w:highlight w:val="white"/>
        </w:rPr>
        <w:t>American Journal of Clinical Nutrition</w:t>
      </w:r>
      <w:r>
        <w:rPr>
          <w:rFonts w:ascii="Times New Roman" w:eastAsia="Times New Roman" w:hAnsi="Times New Roman" w:cs="Times New Roman"/>
          <w:sz w:val="24"/>
          <w:szCs w:val="24"/>
          <w:highlight w:val="white"/>
        </w:rPr>
        <w:t xml:space="preserve"> 80, no. 6 (2004): 1574–78.</w:t>
      </w:r>
      <w:hyperlink r:id="rId25">
        <w:r w:rsidR="0014670D">
          <w:rPr>
            <w:rFonts w:ascii="Times New Roman" w:eastAsia="Times New Roman" w:hAnsi="Times New Roman" w:cs="Times New Roman"/>
            <w:sz w:val="24"/>
            <w:szCs w:val="24"/>
            <w:highlight w:val="white"/>
          </w:rPr>
          <w:t xml:space="preserve"> </w:t>
        </w:r>
      </w:hyperlink>
      <w:hyperlink r:id="rId26">
        <w:r w:rsidR="0014670D">
          <w:rPr>
            <w:rFonts w:ascii="Times New Roman" w:eastAsia="Times New Roman" w:hAnsi="Times New Roman" w:cs="Times New Roman"/>
            <w:color w:val="1155CC"/>
            <w:sz w:val="24"/>
            <w:szCs w:val="24"/>
            <w:highlight w:val="white"/>
            <w:u w:val="single"/>
          </w:rPr>
          <w:t>https://doi.org/10.1093/ajcn/80.6.1574</w:t>
        </w:r>
      </w:hyperlink>
      <w:r>
        <w:rPr>
          <w:rFonts w:ascii="Times New Roman" w:eastAsia="Times New Roman" w:hAnsi="Times New Roman" w:cs="Times New Roman"/>
          <w:sz w:val="24"/>
          <w:szCs w:val="24"/>
          <w:highlight w:val="white"/>
        </w:rPr>
        <w:t>.</w:t>
      </w:r>
    </w:p>
    <w:p w14:paraId="57BF0691" w14:textId="77777777" w:rsidR="0014670D" w:rsidRDefault="0014670D">
      <w:pPr>
        <w:spacing w:line="324" w:lineRule="auto"/>
        <w:ind w:left="880" w:hanging="440"/>
        <w:jc w:val="both"/>
        <w:rPr>
          <w:rFonts w:ascii="Times New Roman" w:eastAsia="Times New Roman" w:hAnsi="Times New Roman" w:cs="Times New Roman"/>
          <w:sz w:val="24"/>
          <w:szCs w:val="24"/>
          <w:highlight w:val="white"/>
        </w:rPr>
      </w:pPr>
    </w:p>
    <w:p w14:paraId="566BD0C0" w14:textId="77777777" w:rsidR="0014670D" w:rsidRDefault="0014670D">
      <w:pPr>
        <w:spacing w:line="240" w:lineRule="auto"/>
        <w:jc w:val="both"/>
        <w:rPr>
          <w:rFonts w:ascii="Times New Roman" w:eastAsia="Times New Roman" w:hAnsi="Times New Roman" w:cs="Times New Roman"/>
          <w:sz w:val="24"/>
          <w:szCs w:val="24"/>
          <w:highlight w:val="white"/>
        </w:rPr>
      </w:pPr>
    </w:p>
    <w:sectPr w:rsidR="0014670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D65CC" w14:textId="77777777" w:rsidR="00CA6E09" w:rsidRDefault="00CA6E09" w:rsidP="004D1EE3">
      <w:pPr>
        <w:spacing w:line="240" w:lineRule="auto"/>
      </w:pPr>
      <w:r>
        <w:separator/>
      </w:r>
    </w:p>
  </w:endnote>
  <w:endnote w:type="continuationSeparator" w:id="0">
    <w:p w14:paraId="27ED7F0F" w14:textId="77777777" w:rsidR="00CA6E09" w:rsidRDefault="00CA6E09" w:rsidP="004D1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53E7" w14:textId="77777777" w:rsidR="004D1EE3" w:rsidRDefault="004D1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6B42" w14:textId="77777777" w:rsidR="004D1EE3" w:rsidRDefault="004D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1F09" w14:textId="77777777" w:rsidR="004D1EE3" w:rsidRDefault="004D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2A901" w14:textId="77777777" w:rsidR="00CA6E09" w:rsidRDefault="00CA6E09" w:rsidP="004D1EE3">
      <w:pPr>
        <w:spacing w:line="240" w:lineRule="auto"/>
      </w:pPr>
      <w:r>
        <w:separator/>
      </w:r>
    </w:p>
  </w:footnote>
  <w:footnote w:type="continuationSeparator" w:id="0">
    <w:p w14:paraId="5E6917A6" w14:textId="77777777" w:rsidR="00CA6E09" w:rsidRDefault="00CA6E09" w:rsidP="004D1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7D32" w14:textId="5BCD32AC" w:rsidR="004D1EE3" w:rsidRDefault="004D1EE3">
    <w:pPr>
      <w:pStyle w:val="Header"/>
    </w:pPr>
    <w:r>
      <w:rPr>
        <w:noProof/>
      </w:rPr>
      <w:pict w14:anchorId="7E068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373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B6A9" w14:textId="75384F6D" w:rsidR="004D1EE3" w:rsidRDefault="004D1EE3">
    <w:pPr>
      <w:pStyle w:val="Header"/>
    </w:pPr>
    <w:r>
      <w:rPr>
        <w:noProof/>
      </w:rPr>
      <w:pict w14:anchorId="7E754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373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7138" w14:textId="7A021FBC" w:rsidR="004D1EE3" w:rsidRDefault="004D1EE3">
    <w:pPr>
      <w:pStyle w:val="Header"/>
    </w:pPr>
    <w:r>
      <w:rPr>
        <w:noProof/>
      </w:rPr>
      <w:pict w14:anchorId="5A6F4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4373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B2830"/>
    <w:multiLevelType w:val="multilevel"/>
    <w:tmpl w:val="CD20C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0D"/>
    <w:rsid w:val="000D0710"/>
    <w:rsid w:val="0014670D"/>
    <w:rsid w:val="001B1A86"/>
    <w:rsid w:val="002902A0"/>
    <w:rsid w:val="004D1EE3"/>
    <w:rsid w:val="006C0604"/>
    <w:rsid w:val="007F263D"/>
    <w:rsid w:val="008B2CC6"/>
    <w:rsid w:val="00AC3A31"/>
    <w:rsid w:val="00BE0E7E"/>
    <w:rsid w:val="00CA6E09"/>
    <w:rsid w:val="00EF01F0"/>
    <w:rsid w:val="00F9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711C09"/>
  <w15:docId w15:val="{C115D799-44A4-4648-9F7D-168897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Comic Sans MS" w:eastAsia="Comic Sans MS" w:hAnsi="Comic Sans MS" w:cs="Comic Sans MS"/>
      <w:b/>
      <w:i/>
      <w:sz w:val="20"/>
      <w:szCs w:val="20"/>
      <w:u w:val="single"/>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D0710"/>
    <w:rPr>
      <w:color w:val="0000FF" w:themeColor="hyperlink"/>
      <w:u w:val="single"/>
    </w:rPr>
  </w:style>
  <w:style w:type="character" w:styleId="UnresolvedMention">
    <w:name w:val="Unresolved Mention"/>
    <w:basedOn w:val="DefaultParagraphFont"/>
    <w:uiPriority w:val="99"/>
    <w:semiHidden/>
    <w:unhideWhenUsed/>
    <w:rsid w:val="000D0710"/>
    <w:rPr>
      <w:color w:val="605E5C"/>
      <w:shd w:val="clear" w:color="auto" w:fill="E1DFDD"/>
    </w:rPr>
  </w:style>
  <w:style w:type="paragraph" w:styleId="Header">
    <w:name w:val="header"/>
    <w:basedOn w:val="Normal"/>
    <w:link w:val="HeaderChar"/>
    <w:uiPriority w:val="99"/>
    <w:unhideWhenUsed/>
    <w:rsid w:val="004D1EE3"/>
    <w:pPr>
      <w:tabs>
        <w:tab w:val="center" w:pos="4680"/>
        <w:tab w:val="right" w:pos="9360"/>
      </w:tabs>
      <w:spacing w:line="240" w:lineRule="auto"/>
    </w:pPr>
  </w:style>
  <w:style w:type="character" w:customStyle="1" w:styleId="HeaderChar">
    <w:name w:val="Header Char"/>
    <w:basedOn w:val="DefaultParagraphFont"/>
    <w:link w:val="Header"/>
    <w:uiPriority w:val="99"/>
    <w:rsid w:val="004D1EE3"/>
  </w:style>
  <w:style w:type="paragraph" w:styleId="Footer">
    <w:name w:val="footer"/>
    <w:basedOn w:val="Normal"/>
    <w:link w:val="FooterChar"/>
    <w:uiPriority w:val="99"/>
    <w:unhideWhenUsed/>
    <w:rsid w:val="004D1EE3"/>
    <w:pPr>
      <w:tabs>
        <w:tab w:val="center" w:pos="4680"/>
        <w:tab w:val="right" w:pos="9360"/>
      </w:tabs>
      <w:spacing w:line="240" w:lineRule="auto"/>
    </w:pPr>
  </w:style>
  <w:style w:type="character" w:customStyle="1" w:styleId="FooterChar">
    <w:name w:val="Footer Char"/>
    <w:basedOn w:val="DefaultParagraphFont"/>
    <w:link w:val="Footer"/>
    <w:uiPriority w:val="99"/>
    <w:rsid w:val="004D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antiox12020470" TargetMode="External"/><Relationship Id="rId18" Type="http://schemas.openxmlformats.org/officeDocument/2006/relationships/hyperlink" Target="https://www.ncbi.nlm.nih.gov/books/NBK6561/" TargetMode="External"/><Relationship Id="rId26" Type="http://schemas.openxmlformats.org/officeDocument/2006/relationships/hyperlink" Target="https://doi.org/10.1093/ajcn/80.6.1574" TargetMode="External"/><Relationship Id="rId3" Type="http://schemas.openxmlformats.org/officeDocument/2006/relationships/settings" Target="settings.xml"/><Relationship Id="rId21" Type="http://schemas.openxmlformats.org/officeDocument/2006/relationships/hyperlink" Target="https://doi.org/10.1016/S0166-2236(03)00032-8" TargetMode="External"/><Relationship Id="rId34" Type="http://schemas.openxmlformats.org/officeDocument/2006/relationships/theme" Target="theme/theme1.xml"/><Relationship Id="rId7" Type="http://schemas.openxmlformats.org/officeDocument/2006/relationships/hyperlink" Target="https://doi.org/10.1111/j.1753-4887.1997.tb06468.x" TargetMode="External"/><Relationship Id="rId12" Type="http://schemas.openxmlformats.org/officeDocument/2006/relationships/hyperlink" Target="https://doi.org/10.1016/0165-0327(89)90062-1" TargetMode="External"/><Relationship Id="rId17" Type="http://schemas.openxmlformats.org/officeDocument/2006/relationships/hyperlink" Target="https://www.ncbi.nlm.nih.gov/books/NBK6561/" TargetMode="External"/><Relationship Id="rId25" Type="http://schemas.openxmlformats.org/officeDocument/2006/relationships/hyperlink" Target="https://doi.org/10.1093/ajcn/80.6.157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74/1570159X18666200729103529" TargetMode="External"/><Relationship Id="rId20" Type="http://schemas.openxmlformats.org/officeDocument/2006/relationships/hyperlink" Target="https://doi.org/10.1038/sj.mp.400179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0165-0327(89)90062-1" TargetMode="External"/><Relationship Id="rId24" Type="http://schemas.openxmlformats.org/officeDocument/2006/relationships/hyperlink" Target="https://doi.org/10.1159/000068692"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174/1570159X18666200729103529" TargetMode="External"/><Relationship Id="rId23" Type="http://schemas.openxmlformats.org/officeDocument/2006/relationships/hyperlink" Target="https://doi.org/10.1159/000068692" TargetMode="External"/><Relationship Id="rId28" Type="http://schemas.openxmlformats.org/officeDocument/2006/relationships/header" Target="header2.xml"/><Relationship Id="rId10" Type="http://schemas.openxmlformats.org/officeDocument/2006/relationships/hyperlink" Target="https://doi.org/10.1016/j.jpsychires.2017.07.019" TargetMode="External"/><Relationship Id="rId19" Type="http://schemas.openxmlformats.org/officeDocument/2006/relationships/hyperlink" Target="https://doi.org/10.1038/sj.mp.400179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16/j.jpsychires.2017.07.019" TargetMode="External"/><Relationship Id="rId14" Type="http://schemas.openxmlformats.org/officeDocument/2006/relationships/hyperlink" Target="https://doi.org/10.3390/antiox12020470" TargetMode="External"/><Relationship Id="rId22" Type="http://schemas.openxmlformats.org/officeDocument/2006/relationships/hyperlink" Target="https://doi.org/10.1016/S0166-2236(03)00032-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111/j.1753-4887.1997.tb0646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11</cp:revision>
  <dcterms:created xsi:type="dcterms:W3CDTF">2025-05-15T02:03:00Z</dcterms:created>
  <dcterms:modified xsi:type="dcterms:W3CDTF">2025-05-16T13:22:00Z</dcterms:modified>
</cp:coreProperties>
</file>