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C83DEF" w14:textId="5CE27DF7" w:rsidR="0014575E" w:rsidRPr="0014575E" w:rsidRDefault="0014575E">
      <w:pPr>
        <w:jc w:val="both"/>
        <w:rPr>
          <w:rFonts w:ascii="Times New Roman" w:hAnsi="Times New Roman" w:cs="Times New Roman"/>
          <w:b/>
          <w:sz w:val="24"/>
          <w:szCs w:val="24"/>
          <w:u w:val="single"/>
        </w:rPr>
      </w:pPr>
      <w:r w:rsidRPr="0014575E">
        <w:rPr>
          <w:rFonts w:ascii="Times New Roman" w:hAnsi="Times New Roman" w:cs="Times New Roman"/>
          <w:b/>
          <w:sz w:val="24"/>
          <w:szCs w:val="24"/>
          <w:u w:val="single"/>
        </w:rPr>
        <w:t>Original Research Article</w:t>
      </w:r>
    </w:p>
    <w:p w14:paraId="207A5664" w14:textId="79943528" w:rsidR="004375F6" w:rsidRDefault="00FF35D3">
      <w:pPr>
        <w:jc w:val="both"/>
        <w:rPr>
          <w:rFonts w:ascii="Times New Roman" w:hAnsi="Times New Roman" w:cs="Times New Roman"/>
          <w:b/>
          <w:sz w:val="24"/>
          <w:szCs w:val="24"/>
        </w:rPr>
      </w:pPr>
      <w:r>
        <w:rPr>
          <w:rFonts w:ascii="Times New Roman" w:hAnsi="Times New Roman" w:cs="Times New Roman"/>
          <w:b/>
          <w:sz w:val="24"/>
          <w:szCs w:val="24"/>
        </w:rPr>
        <w:t>IMPACT OF THE COVID-19 PANDEMIC ON IMMUNIZATION SERVICE DELIVERY AND INCIDENCE OF VACCINE-PREVENTABLE DISEASES IN DELTA STATE, NIGERIA</w:t>
      </w:r>
    </w:p>
    <w:p w14:paraId="4FA4F330" w14:textId="77777777" w:rsidR="0042653A" w:rsidRDefault="0042653A">
      <w:pPr>
        <w:spacing w:after="200" w:line="240" w:lineRule="auto"/>
        <w:jc w:val="both"/>
        <w:rPr>
          <w:rStyle w:val="Strong"/>
          <w:rFonts w:ascii="Times New Roman" w:hAnsi="Times New Roman" w:cs="Times New Roman"/>
          <w:sz w:val="24"/>
          <w:szCs w:val="24"/>
        </w:rPr>
      </w:pPr>
    </w:p>
    <w:p w14:paraId="17A60E44" w14:textId="77777777" w:rsidR="004375F6" w:rsidRDefault="004375F6">
      <w:pPr>
        <w:jc w:val="both"/>
        <w:rPr>
          <w:rStyle w:val="Strong"/>
          <w:rFonts w:ascii="Times New Roman" w:hAnsi="Times New Roman" w:cs="Times New Roman"/>
          <w:sz w:val="24"/>
          <w:szCs w:val="24"/>
        </w:rPr>
      </w:pPr>
    </w:p>
    <w:p w14:paraId="587E045E" w14:textId="77777777" w:rsidR="004375F6" w:rsidRDefault="00FF35D3">
      <w:pPr>
        <w:jc w:val="both"/>
        <w:rPr>
          <w:rStyle w:val="Strong"/>
          <w:rFonts w:ascii="Times New Roman" w:hAnsi="Times New Roman" w:cs="Times New Roman"/>
          <w:b w:val="0"/>
          <w:bCs w:val="0"/>
          <w:sz w:val="24"/>
          <w:szCs w:val="24"/>
        </w:rPr>
      </w:pPr>
      <w:r>
        <w:rPr>
          <w:rStyle w:val="Strong"/>
          <w:rFonts w:ascii="Times New Roman" w:hAnsi="Times New Roman" w:cs="Times New Roman"/>
          <w:sz w:val="24"/>
          <w:szCs w:val="24"/>
        </w:rPr>
        <w:t xml:space="preserve">ABSTRACT </w:t>
      </w:r>
    </w:p>
    <w:p w14:paraId="757A76CB" w14:textId="77777777" w:rsidR="004375F6" w:rsidRDefault="00FF35D3">
      <w:pPr>
        <w:jc w:val="both"/>
        <w:rPr>
          <w:rStyle w:val="Strong"/>
          <w:rFonts w:ascii="Times New Roman" w:hAnsi="Times New Roman" w:cs="Times New Roman"/>
          <w:b w:val="0"/>
          <w:bCs w:val="0"/>
          <w:sz w:val="24"/>
          <w:szCs w:val="24"/>
        </w:rPr>
      </w:pPr>
      <w:r>
        <w:rPr>
          <w:rStyle w:val="Strong"/>
          <w:rFonts w:ascii="Times New Roman" w:hAnsi="Times New Roman" w:cs="Times New Roman"/>
          <w:sz w:val="24"/>
          <w:szCs w:val="24"/>
        </w:rPr>
        <w:t xml:space="preserve">Background: </w:t>
      </w:r>
      <w:r>
        <w:rPr>
          <w:rStyle w:val="Strong"/>
          <w:rFonts w:ascii="Times New Roman" w:hAnsi="Times New Roman" w:cs="Times New Roman"/>
          <w:b w:val="0"/>
          <w:bCs w:val="0"/>
          <w:sz w:val="24"/>
          <w:szCs w:val="24"/>
        </w:rPr>
        <w:t xml:space="preserve">The COVID-19 pandemic disrupted healthcare systems globally, severely impacting routine </w:t>
      </w:r>
      <w:proofErr w:type="spellStart"/>
      <w:r>
        <w:rPr>
          <w:rStyle w:val="Strong"/>
          <w:rFonts w:ascii="Times New Roman" w:hAnsi="Times New Roman" w:cs="Times New Roman"/>
          <w:b w:val="0"/>
          <w:bCs w:val="0"/>
          <w:sz w:val="24"/>
          <w:szCs w:val="24"/>
        </w:rPr>
        <w:t>immunisation</w:t>
      </w:r>
      <w:proofErr w:type="spellEnd"/>
      <w:r>
        <w:rPr>
          <w:rStyle w:val="Strong"/>
          <w:rFonts w:ascii="Times New Roman" w:hAnsi="Times New Roman" w:cs="Times New Roman"/>
          <w:b w:val="0"/>
          <w:bCs w:val="0"/>
          <w:sz w:val="24"/>
          <w:szCs w:val="24"/>
        </w:rPr>
        <w:t xml:space="preserve"> services. In Nigeria, pre-existing systemic vulnerabilities amplified these disruptions, contributing to reduced vaccine coverage and increased susceptibil</w:t>
      </w:r>
      <w:r>
        <w:rPr>
          <w:rStyle w:val="Strong"/>
          <w:rFonts w:ascii="Times New Roman" w:hAnsi="Times New Roman" w:cs="Times New Roman"/>
          <w:b w:val="0"/>
          <w:bCs w:val="0"/>
          <w:sz w:val="24"/>
          <w:szCs w:val="24"/>
        </w:rPr>
        <w:t>ity to vaccine-preventable diseases (VPDs).</w:t>
      </w:r>
    </w:p>
    <w:p w14:paraId="762C321E" w14:textId="77777777" w:rsidR="004375F6" w:rsidRDefault="00FF35D3">
      <w:pPr>
        <w:jc w:val="both"/>
        <w:rPr>
          <w:rStyle w:val="Strong"/>
          <w:rFonts w:ascii="Times New Roman" w:hAnsi="Times New Roman" w:cs="Times New Roman"/>
          <w:b w:val="0"/>
          <w:bCs w:val="0"/>
          <w:sz w:val="24"/>
          <w:szCs w:val="24"/>
        </w:rPr>
      </w:pPr>
      <w:r>
        <w:rPr>
          <w:rStyle w:val="Strong"/>
          <w:rFonts w:ascii="Times New Roman" w:hAnsi="Times New Roman" w:cs="Times New Roman"/>
          <w:sz w:val="24"/>
          <w:szCs w:val="24"/>
        </w:rPr>
        <w:t xml:space="preserve">Objectives: </w:t>
      </w:r>
      <w:r>
        <w:rPr>
          <w:rStyle w:val="Strong"/>
          <w:rFonts w:ascii="Times New Roman" w:hAnsi="Times New Roman" w:cs="Times New Roman"/>
          <w:b w:val="0"/>
          <w:bCs w:val="0"/>
          <w:sz w:val="24"/>
          <w:szCs w:val="24"/>
        </w:rPr>
        <w:t xml:space="preserve">To assess trends in </w:t>
      </w:r>
      <w:proofErr w:type="spellStart"/>
      <w:r>
        <w:rPr>
          <w:rStyle w:val="Strong"/>
          <w:rFonts w:ascii="Times New Roman" w:hAnsi="Times New Roman" w:cs="Times New Roman"/>
          <w:b w:val="0"/>
          <w:bCs w:val="0"/>
          <w:sz w:val="24"/>
          <w:szCs w:val="24"/>
        </w:rPr>
        <w:t>immunisation</w:t>
      </w:r>
      <w:proofErr w:type="spellEnd"/>
      <w:r>
        <w:rPr>
          <w:rStyle w:val="Strong"/>
          <w:rFonts w:ascii="Times New Roman" w:hAnsi="Times New Roman" w:cs="Times New Roman"/>
          <w:b w:val="0"/>
          <w:bCs w:val="0"/>
          <w:sz w:val="24"/>
          <w:szCs w:val="24"/>
        </w:rPr>
        <w:t xml:space="preserve"> coverage, service disruptions, facility ownership patterns, and VPD incidence in Delta St</w:t>
      </w:r>
      <w:bookmarkStart w:id="0" w:name="_GoBack"/>
      <w:bookmarkEnd w:id="0"/>
      <w:r>
        <w:rPr>
          <w:rStyle w:val="Strong"/>
          <w:rFonts w:ascii="Times New Roman" w:hAnsi="Times New Roman" w:cs="Times New Roman"/>
          <w:b w:val="0"/>
          <w:bCs w:val="0"/>
          <w:sz w:val="24"/>
          <w:szCs w:val="24"/>
        </w:rPr>
        <w:t>ate, Nigeria, from 2018 to 2022.</w:t>
      </w:r>
    </w:p>
    <w:p w14:paraId="188BAA27" w14:textId="77777777" w:rsidR="004375F6" w:rsidRDefault="00FF35D3">
      <w:pPr>
        <w:jc w:val="both"/>
        <w:rPr>
          <w:rStyle w:val="Strong"/>
          <w:rFonts w:ascii="Times New Roman" w:hAnsi="Times New Roman" w:cs="Times New Roman"/>
          <w:b w:val="0"/>
          <w:bCs w:val="0"/>
          <w:sz w:val="24"/>
          <w:szCs w:val="24"/>
        </w:rPr>
      </w:pPr>
      <w:r>
        <w:rPr>
          <w:rStyle w:val="Strong"/>
          <w:rFonts w:ascii="Times New Roman" w:hAnsi="Times New Roman" w:cs="Times New Roman"/>
          <w:sz w:val="24"/>
          <w:szCs w:val="24"/>
        </w:rPr>
        <w:t>Methods:</w:t>
      </w:r>
      <w:r>
        <w:rPr>
          <w:rStyle w:val="Strong"/>
          <w:rFonts w:ascii="Times New Roman" w:hAnsi="Times New Roman" w:cs="Times New Roman"/>
          <w:b w:val="0"/>
          <w:bCs w:val="0"/>
          <w:sz w:val="24"/>
          <w:szCs w:val="24"/>
        </w:rPr>
        <w:t xml:space="preserve"> A retrospective mixed-methods design</w:t>
      </w:r>
      <w:r>
        <w:rPr>
          <w:rStyle w:val="Strong"/>
          <w:rFonts w:ascii="Times New Roman" w:hAnsi="Times New Roman" w:cs="Times New Roman"/>
          <w:b w:val="0"/>
          <w:bCs w:val="0"/>
          <w:sz w:val="24"/>
          <w:szCs w:val="24"/>
        </w:rPr>
        <w:t xml:space="preserve"> was employed, drawing on routine </w:t>
      </w:r>
      <w:proofErr w:type="spellStart"/>
      <w:r>
        <w:rPr>
          <w:rStyle w:val="Strong"/>
          <w:rFonts w:ascii="Times New Roman" w:hAnsi="Times New Roman" w:cs="Times New Roman"/>
          <w:b w:val="0"/>
          <w:bCs w:val="0"/>
          <w:sz w:val="24"/>
          <w:szCs w:val="24"/>
        </w:rPr>
        <w:t>immunisation</w:t>
      </w:r>
      <w:proofErr w:type="spellEnd"/>
      <w:r>
        <w:rPr>
          <w:rStyle w:val="Strong"/>
          <w:rFonts w:ascii="Times New Roman" w:hAnsi="Times New Roman" w:cs="Times New Roman"/>
          <w:b w:val="0"/>
          <w:bCs w:val="0"/>
          <w:sz w:val="24"/>
          <w:szCs w:val="24"/>
        </w:rPr>
        <w:t xml:space="preserve"> data, disease surveillance reports, facility records, and key stakeholder interviews. Quantitative data were </w:t>
      </w:r>
      <w:proofErr w:type="spellStart"/>
      <w:r>
        <w:rPr>
          <w:rStyle w:val="Strong"/>
          <w:rFonts w:ascii="Times New Roman" w:hAnsi="Times New Roman" w:cs="Times New Roman"/>
          <w:b w:val="0"/>
          <w:bCs w:val="0"/>
          <w:sz w:val="24"/>
          <w:szCs w:val="24"/>
        </w:rPr>
        <w:t>analysed</w:t>
      </w:r>
      <w:proofErr w:type="spellEnd"/>
      <w:r>
        <w:rPr>
          <w:rStyle w:val="Strong"/>
          <w:rFonts w:ascii="Times New Roman" w:hAnsi="Times New Roman" w:cs="Times New Roman"/>
          <w:b w:val="0"/>
          <w:bCs w:val="0"/>
          <w:sz w:val="24"/>
          <w:szCs w:val="24"/>
        </w:rPr>
        <w:t xml:space="preserve"> descriptively, while thematic analysis explored operational challenges and contextual facto</w:t>
      </w:r>
      <w:r>
        <w:rPr>
          <w:rStyle w:val="Strong"/>
          <w:rFonts w:ascii="Times New Roman" w:hAnsi="Times New Roman" w:cs="Times New Roman"/>
          <w:b w:val="0"/>
          <w:bCs w:val="0"/>
          <w:sz w:val="24"/>
          <w:szCs w:val="24"/>
        </w:rPr>
        <w:t>rs.</w:t>
      </w:r>
    </w:p>
    <w:p w14:paraId="410B5A62" w14:textId="77777777" w:rsidR="004375F6" w:rsidRDefault="00FF35D3">
      <w:pPr>
        <w:jc w:val="both"/>
        <w:rPr>
          <w:rStyle w:val="Strong"/>
          <w:rFonts w:ascii="Times New Roman" w:hAnsi="Times New Roman" w:cs="Times New Roman"/>
          <w:b w:val="0"/>
          <w:bCs w:val="0"/>
          <w:sz w:val="24"/>
          <w:szCs w:val="24"/>
        </w:rPr>
      </w:pPr>
      <w:r>
        <w:rPr>
          <w:rStyle w:val="Strong"/>
          <w:rFonts w:ascii="Times New Roman" w:hAnsi="Times New Roman" w:cs="Times New Roman"/>
          <w:sz w:val="24"/>
          <w:szCs w:val="24"/>
        </w:rPr>
        <w:t>Results:</w:t>
      </w:r>
      <w:r>
        <w:rPr>
          <w:rStyle w:val="Strong"/>
          <w:rFonts w:ascii="Times New Roman" w:hAnsi="Times New Roman" w:cs="Times New Roman"/>
          <w:b w:val="0"/>
          <w:bCs w:val="0"/>
          <w:sz w:val="24"/>
          <w:szCs w:val="24"/>
        </w:rPr>
        <w:t xml:space="preserve"> Routine </w:t>
      </w:r>
      <w:proofErr w:type="spellStart"/>
      <w:r>
        <w:rPr>
          <w:rStyle w:val="Strong"/>
          <w:rFonts w:ascii="Times New Roman" w:hAnsi="Times New Roman" w:cs="Times New Roman"/>
          <w:b w:val="0"/>
          <w:bCs w:val="0"/>
          <w:sz w:val="24"/>
          <w:szCs w:val="24"/>
        </w:rPr>
        <w:t>immunisation</w:t>
      </w:r>
      <w:proofErr w:type="spellEnd"/>
      <w:r>
        <w:rPr>
          <w:rStyle w:val="Strong"/>
          <w:rFonts w:ascii="Times New Roman" w:hAnsi="Times New Roman" w:cs="Times New Roman"/>
          <w:b w:val="0"/>
          <w:bCs w:val="0"/>
          <w:sz w:val="24"/>
          <w:szCs w:val="24"/>
        </w:rPr>
        <w:t xml:space="preserve"> coverage declined from 78% in 2019 to 66% in 2022, reflecting incomplete recovery from pandemic-related disruptions. Outreach sessions experienced the most significant interruption in 2020, with limited rebound thereafter. Notable peaks in measles (31 cas</w:t>
      </w:r>
      <w:r>
        <w:rPr>
          <w:rStyle w:val="Strong"/>
          <w:rFonts w:ascii="Times New Roman" w:hAnsi="Times New Roman" w:cs="Times New Roman"/>
          <w:b w:val="0"/>
          <w:bCs w:val="0"/>
          <w:sz w:val="24"/>
          <w:szCs w:val="24"/>
        </w:rPr>
        <w:t xml:space="preserve">es) and hepatitis B (52 cases) were recorded in 2020. Urban LGAs with greater private-sector participation showed faster service restoration, whereas rural LGAs reliant on public primary health-care </w:t>
      </w:r>
      <w:proofErr w:type="spellStart"/>
      <w:r>
        <w:rPr>
          <w:rStyle w:val="Strong"/>
          <w:rFonts w:ascii="Times New Roman" w:hAnsi="Times New Roman" w:cs="Times New Roman"/>
          <w:b w:val="0"/>
          <w:bCs w:val="0"/>
          <w:sz w:val="24"/>
          <w:szCs w:val="24"/>
        </w:rPr>
        <w:t>centres</w:t>
      </w:r>
      <w:proofErr w:type="spellEnd"/>
      <w:r>
        <w:rPr>
          <w:rStyle w:val="Strong"/>
          <w:rFonts w:ascii="Times New Roman" w:hAnsi="Times New Roman" w:cs="Times New Roman"/>
          <w:b w:val="0"/>
          <w:bCs w:val="0"/>
          <w:sz w:val="24"/>
          <w:szCs w:val="24"/>
        </w:rPr>
        <w:t xml:space="preserve"> faced sustained deficits. Though statistical anal</w:t>
      </w:r>
      <w:r>
        <w:rPr>
          <w:rStyle w:val="Strong"/>
          <w:rFonts w:ascii="Times New Roman" w:hAnsi="Times New Roman" w:cs="Times New Roman"/>
          <w:b w:val="0"/>
          <w:bCs w:val="0"/>
          <w:sz w:val="24"/>
          <w:szCs w:val="24"/>
        </w:rPr>
        <w:t xml:space="preserve">ysis revealed no significant year-on-year variation in VPD incidence, observed patterns point to disrupted </w:t>
      </w:r>
      <w:proofErr w:type="spellStart"/>
      <w:r>
        <w:rPr>
          <w:rStyle w:val="Strong"/>
          <w:rFonts w:ascii="Times New Roman" w:hAnsi="Times New Roman" w:cs="Times New Roman"/>
          <w:b w:val="0"/>
          <w:bCs w:val="0"/>
          <w:sz w:val="24"/>
          <w:szCs w:val="24"/>
        </w:rPr>
        <w:t>immunisation</w:t>
      </w:r>
      <w:proofErr w:type="spellEnd"/>
      <w:r>
        <w:rPr>
          <w:rStyle w:val="Strong"/>
          <w:rFonts w:ascii="Times New Roman" w:hAnsi="Times New Roman" w:cs="Times New Roman"/>
          <w:b w:val="0"/>
          <w:bCs w:val="0"/>
          <w:sz w:val="24"/>
          <w:szCs w:val="24"/>
        </w:rPr>
        <w:t xml:space="preserve"> efforts.</w:t>
      </w:r>
    </w:p>
    <w:p w14:paraId="6B972EA0" w14:textId="77777777" w:rsidR="004375F6" w:rsidRDefault="00FF35D3">
      <w:pPr>
        <w:jc w:val="both"/>
        <w:rPr>
          <w:rStyle w:val="Strong"/>
          <w:rFonts w:ascii="Times New Roman" w:hAnsi="Times New Roman" w:cs="Times New Roman"/>
          <w:b w:val="0"/>
          <w:bCs w:val="0"/>
          <w:sz w:val="24"/>
          <w:szCs w:val="24"/>
        </w:rPr>
      </w:pPr>
      <w:r>
        <w:rPr>
          <w:rStyle w:val="Strong"/>
          <w:rFonts w:ascii="Times New Roman" w:hAnsi="Times New Roman" w:cs="Times New Roman"/>
          <w:sz w:val="24"/>
          <w:szCs w:val="24"/>
        </w:rPr>
        <w:t xml:space="preserve">Conclusion: </w:t>
      </w:r>
      <w:r>
        <w:rPr>
          <w:rStyle w:val="Strong"/>
          <w:rFonts w:ascii="Times New Roman" w:hAnsi="Times New Roman" w:cs="Times New Roman"/>
          <w:b w:val="0"/>
          <w:bCs w:val="0"/>
          <w:sz w:val="24"/>
          <w:szCs w:val="24"/>
        </w:rPr>
        <w:t xml:space="preserve">The findings underscore ongoing </w:t>
      </w:r>
      <w:proofErr w:type="spellStart"/>
      <w:r>
        <w:rPr>
          <w:rStyle w:val="Strong"/>
          <w:rFonts w:ascii="Times New Roman" w:hAnsi="Times New Roman" w:cs="Times New Roman"/>
          <w:b w:val="0"/>
          <w:bCs w:val="0"/>
          <w:sz w:val="24"/>
          <w:szCs w:val="24"/>
        </w:rPr>
        <w:t>immunisation</w:t>
      </w:r>
      <w:proofErr w:type="spellEnd"/>
      <w:r>
        <w:rPr>
          <w:rStyle w:val="Strong"/>
          <w:rFonts w:ascii="Times New Roman" w:hAnsi="Times New Roman" w:cs="Times New Roman"/>
          <w:b w:val="0"/>
          <w:bCs w:val="0"/>
          <w:sz w:val="24"/>
          <w:szCs w:val="24"/>
        </w:rPr>
        <w:t xml:space="preserve"> challenges in Delta State, especially in rural and underserved areas. </w:t>
      </w:r>
      <w:r>
        <w:rPr>
          <w:rStyle w:val="Strong"/>
          <w:rFonts w:ascii="Times New Roman" w:hAnsi="Times New Roman" w:cs="Times New Roman"/>
          <w:b w:val="0"/>
          <w:bCs w:val="0"/>
          <w:sz w:val="24"/>
          <w:szCs w:val="24"/>
        </w:rPr>
        <w:t xml:space="preserve">Strengthening outreach capacity, fostering public-private collaboration, and investing in resilient health infrastructure are essential for closing coverage gaps and enhancing </w:t>
      </w:r>
      <w:proofErr w:type="spellStart"/>
      <w:r>
        <w:rPr>
          <w:rStyle w:val="Strong"/>
          <w:rFonts w:ascii="Times New Roman" w:hAnsi="Times New Roman" w:cs="Times New Roman"/>
          <w:b w:val="0"/>
          <w:bCs w:val="0"/>
          <w:sz w:val="24"/>
          <w:szCs w:val="24"/>
        </w:rPr>
        <w:t>immunisation</w:t>
      </w:r>
      <w:proofErr w:type="spellEnd"/>
      <w:r>
        <w:rPr>
          <w:rStyle w:val="Strong"/>
          <w:rFonts w:ascii="Times New Roman" w:hAnsi="Times New Roman" w:cs="Times New Roman"/>
          <w:b w:val="0"/>
          <w:bCs w:val="0"/>
          <w:sz w:val="24"/>
          <w:szCs w:val="24"/>
        </w:rPr>
        <w:t xml:space="preserve"> system preparedness.</w:t>
      </w:r>
    </w:p>
    <w:p w14:paraId="21E4A5D7" w14:textId="77777777" w:rsidR="004375F6" w:rsidRDefault="004375F6">
      <w:pPr>
        <w:jc w:val="both"/>
        <w:rPr>
          <w:rStyle w:val="Strong"/>
          <w:rFonts w:ascii="Times New Roman" w:hAnsi="Times New Roman" w:cs="Times New Roman"/>
          <w:b w:val="0"/>
          <w:bCs w:val="0"/>
          <w:sz w:val="24"/>
          <w:szCs w:val="24"/>
        </w:rPr>
      </w:pPr>
    </w:p>
    <w:p w14:paraId="5BBAEA5E" w14:textId="77777777" w:rsidR="004375F6" w:rsidRDefault="00FF35D3">
      <w:pPr>
        <w:jc w:val="both"/>
        <w:rPr>
          <w:rStyle w:val="Strong"/>
          <w:rFonts w:ascii="Times New Roman" w:hAnsi="Times New Roman" w:cs="Times New Roman"/>
          <w:b w:val="0"/>
          <w:bCs w:val="0"/>
          <w:sz w:val="24"/>
          <w:szCs w:val="24"/>
        </w:rPr>
      </w:pPr>
      <w:r>
        <w:rPr>
          <w:rStyle w:val="Strong"/>
          <w:rFonts w:ascii="Times New Roman" w:hAnsi="Times New Roman" w:cs="Times New Roman"/>
          <w:sz w:val="24"/>
          <w:szCs w:val="24"/>
        </w:rPr>
        <w:t>Keywords:</w:t>
      </w:r>
      <w:r>
        <w:rPr>
          <w:rStyle w:val="Strong"/>
          <w:rFonts w:ascii="Times New Roman" w:hAnsi="Times New Roman" w:cs="Times New Roman"/>
          <w:b w:val="0"/>
          <w:bCs w:val="0"/>
          <w:sz w:val="24"/>
          <w:szCs w:val="24"/>
        </w:rPr>
        <w:t xml:space="preserve"> COVID-19, Delta State, </w:t>
      </w:r>
      <w:proofErr w:type="spellStart"/>
      <w:r>
        <w:rPr>
          <w:rStyle w:val="Strong"/>
          <w:rFonts w:ascii="Times New Roman" w:hAnsi="Times New Roman" w:cs="Times New Roman"/>
          <w:b w:val="0"/>
          <w:bCs w:val="0"/>
          <w:sz w:val="24"/>
          <w:szCs w:val="24"/>
        </w:rPr>
        <w:t>Immunisation</w:t>
      </w:r>
      <w:proofErr w:type="spellEnd"/>
      <w:r>
        <w:rPr>
          <w:rStyle w:val="Strong"/>
          <w:rFonts w:ascii="Times New Roman" w:hAnsi="Times New Roman" w:cs="Times New Roman"/>
          <w:b w:val="0"/>
          <w:bCs w:val="0"/>
          <w:sz w:val="24"/>
          <w:szCs w:val="24"/>
        </w:rPr>
        <w:t>, Outreach services, Public-private partnership, Vaccine-preventable diseases</w:t>
      </w:r>
    </w:p>
    <w:p w14:paraId="2CBDFA02" w14:textId="77777777" w:rsidR="004375F6" w:rsidRDefault="004375F6">
      <w:pPr>
        <w:jc w:val="both"/>
        <w:rPr>
          <w:rStyle w:val="Strong"/>
          <w:rFonts w:ascii="Times New Roman" w:hAnsi="Times New Roman" w:cs="Times New Roman"/>
          <w:b w:val="0"/>
          <w:bCs w:val="0"/>
          <w:sz w:val="24"/>
          <w:szCs w:val="24"/>
        </w:rPr>
      </w:pPr>
    </w:p>
    <w:p w14:paraId="0F2CDABF" w14:textId="77777777" w:rsidR="004375F6" w:rsidRDefault="00FF35D3">
      <w:pPr>
        <w:pStyle w:val="Heading3"/>
        <w:keepNext w:val="0"/>
        <w:keepLines w:val="0"/>
        <w:jc w:val="both"/>
        <w:rPr>
          <w:rFonts w:ascii="Times New Roman" w:hAnsi="Times New Roman" w:cs="Times New Roman"/>
          <w:color w:val="auto"/>
        </w:rPr>
      </w:pPr>
      <w:r>
        <w:rPr>
          <w:rStyle w:val="Strong"/>
          <w:rFonts w:ascii="Times New Roman" w:hAnsi="Times New Roman" w:cs="Times New Roman"/>
          <w:color w:val="auto"/>
        </w:rPr>
        <w:t>INTRODUCTION</w:t>
      </w:r>
    </w:p>
    <w:p w14:paraId="46D097D2" w14:textId="77777777" w:rsidR="004375F6" w:rsidRDefault="00FF35D3">
      <w:pPr>
        <w:pStyle w:val="NormalWeb"/>
        <w:jc w:val="both"/>
      </w:pPr>
      <w:r>
        <w:t>The emergence of the COVID-19 pandemic in late 2019 and its subsequent global spread by early 2020 presented an unprecedented public health emergency, profoundly di</w:t>
      </w:r>
      <w:r>
        <w:t xml:space="preserve">srupting health systems worldwide. Among the many affected services, routine immunization programs experienced </w:t>
      </w:r>
      <w:r>
        <w:lastRenderedPageBreak/>
        <w:t>significant setbacks, particularly in low- and middle-income countries (LMICs) such as Nigeria. Immunization services, which form the backbone of</w:t>
      </w:r>
      <w:r>
        <w:t xml:space="preserve"> preventive public health efforts, were either scaled down or suspended due to restrictions on movement, the reallocation of healthcare resources to emergency COVID-19 responses, and widespread public fear of healthcare facilities. As a result, millions of</w:t>
      </w:r>
      <w:r>
        <w:t xml:space="preserve"> children across the globe missed vital vaccines, placing communities at increased risk of outbreaks of vaccine-preventable diseases (VPDs) such as measles, polio, diphtheria, and hepatitis B (1–4).</w:t>
      </w:r>
    </w:p>
    <w:p w14:paraId="4B5D233D" w14:textId="77777777" w:rsidR="004375F6" w:rsidRDefault="00FF35D3">
      <w:pPr>
        <w:pStyle w:val="NormalWeb"/>
        <w:jc w:val="both"/>
      </w:pPr>
      <w:r>
        <w:t>Nigeria, with its already fragile healthcare infrastructu</w:t>
      </w:r>
      <w:r>
        <w:t>re, was particularly vulnerable to these disruptions. The country has historically faced challenges with immunization coverage due to factors such as weak health system governance, inequitable service delivery, vaccine stock-outs, and socio-cultural resist</w:t>
      </w:r>
      <w:r>
        <w:t>ance in certain communities (5,6). The COVID-19 crisis further compounded these issues. In states like Delta, located in the oil-rich Niger Delta region, the pandemic exposed critical gaps in health service preparedness and resilience. Lockdowns, transport</w:t>
      </w:r>
      <w:r>
        <w:t>ation restrictions, healthcare worker shortages, and public health messaging focused solely on COVID-19 led to the interruption of scheduled immunization sessions and outreach campaigns (7).</w:t>
      </w:r>
    </w:p>
    <w:p w14:paraId="4F1DADBB" w14:textId="77777777" w:rsidR="004375F6" w:rsidRDefault="00FF35D3">
      <w:pPr>
        <w:pStyle w:val="NormalWeb"/>
        <w:jc w:val="both"/>
      </w:pPr>
      <w:r>
        <w:t>Delta State comprises both urban and rural populations with varyi</w:t>
      </w:r>
      <w:r>
        <w:t>ng levels of access to healthcare. Prior to the pandemic, immunization coverage was already uneven across the state, with rural areas lagging behind due to poor infrastructure and workforce shortages. The pandemic intensified these disparities. Notably, av</w:t>
      </w:r>
      <w:r>
        <w:t>ailable surveillance data indicate that between 2020 and 2021, there was a decline in the administration of key antigens such as BCG, pentavalent vaccines, and measles-containing vaccines across several local government areas (LGAs) in Delta State (3,</w:t>
      </w:r>
      <w:r>
        <w:rPr>
          <w:lang w:val="en-US"/>
        </w:rPr>
        <w:t>8</w:t>
      </w:r>
      <w:r>
        <w:t>). I</w:t>
      </w:r>
      <w:r>
        <w:t>n the same period, a resurgence of VPDs was observed, particularly measles and diphtheria, raising alarm about the secondary consequences of the pandemic beyond direct COVID-19 morbidity and mortality (</w:t>
      </w:r>
      <w:r>
        <w:rPr>
          <w:lang w:val="en-US"/>
        </w:rPr>
        <w:t>7</w:t>
      </w:r>
      <w:r>
        <w:t>,</w:t>
      </w:r>
      <w:r>
        <w:rPr>
          <w:lang w:val="en-US"/>
        </w:rPr>
        <w:t>9</w:t>
      </w:r>
      <w:r>
        <w:t>).</w:t>
      </w:r>
    </w:p>
    <w:p w14:paraId="409EBF37" w14:textId="77777777" w:rsidR="004375F6" w:rsidRDefault="00FF35D3">
      <w:pPr>
        <w:pStyle w:val="NormalWeb"/>
        <w:jc w:val="both"/>
      </w:pPr>
      <w:r>
        <w:t>The implications of this decline are far-reachin</w:t>
      </w:r>
      <w:r>
        <w:t>g. Reduced immunization coverage compromises herd immunity, increases the risk of disease outbreaks, and threatens the health of vulnerable populations, especially children under five years of age. Moreover, the breakdown in immunization delivery during th</w:t>
      </w:r>
      <w:r>
        <w:t>e pandemic calls into question the resilience and adaptability of the state’s public health system in the face of external shocks (1</w:t>
      </w:r>
      <w:r>
        <w:rPr>
          <w:lang w:val="en-US"/>
        </w:rPr>
        <w:t>0</w:t>
      </w:r>
      <w:r>
        <w:t>). Without urgent corrective measures, including policy reforms, investment in health infrastructure, and re-engagement wit</w:t>
      </w:r>
      <w:r>
        <w:t>h communities, the gains made in immunization over the last decade could be reversed (5,1</w:t>
      </w:r>
      <w:r>
        <w:rPr>
          <w:lang w:val="en-US"/>
        </w:rPr>
        <w:t>1</w:t>
      </w:r>
      <w:r>
        <w:t>).</w:t>
      </w:r>
    </w:p>
    <w:p w14:paraId="251A8A7B" w14:textId="77777777" w:rsidR="004375F6" w:rsidRDefault="00FF35D3">
      <w:pPr>
        <w:pStyle w:val="NormalWeb"/>
        <w:jc w:val="both"/>
      </w:pPr>
      <w:r>
        <w:t xml:space="preserve">This </w:t>
      </w:r>
      <w:r>
        <w:rPr>
          <w:lang w:val="en-US"/>
        </w:rPr>
        <w:t>study</w:t>
      </w:r>
      <w:r>
        <w:t xml:space="preserve">, seeks to explore the extent to which the pandemic affected immunization services in the state. It </w:t>
      </w:r>
      <w:proofErr w:type="spellStart"/>
      <w:r>
        <w:t>analyzes</w:t>
      </w:r>
      <w:proofErr w:type="spellEnd"/>
      <w:r>
        <w:t xml:space="preserve"> immunization trends between 2018 and 2022 to</w:t>
      </w:r>
      <w:r>
        <w:t xml:space="preserve"> provide a comparative view of service coverage before, during, and after the pandemic. It also examines the ownership patterns of service delivery points (public vs. private), identifies urban-rural disparities, and evaluates the epidemiological trends of</w:t>
      </w:r>
      <w:r>
        <w:t xml:space="preserve"> selected VPDs. By doing so, this study not only documents the collateral damage of COVID-19 on essential health services but also contributes to the broader discourse on building resilient immunization systems in Nigeria and other LMICs.</w:t>
      </w:r>
    </w:p>
    <w:p w14:paraId="063F60F0" w14:textId="77777777" w:rsidR="004375F6" w:rsidRDefault="00FF35D3">
      <w:pPr>
        <w:pStyle w:val="NormalWeb"/>
        <w:jc w:val="both"/>
        <w:rPr>
          <w:b/>
          <w:bCs/>
          <w:lang w:val="en-US"/>
        </w:rPr>
      </w:pPr>
      <w:r>
        <w:rPr>
          <w:b/>
          <w:bCs/>
          <w:lang w:val="en-US"/>
        </w:rPr>
        <w:t xml:space="preserve">METHODOLOGY </w:t>
      </w:r>
    </w:p>
    <w:p w14:paraId="487678E8" w14:textId="77777777" w:rsidR="004375F6" w:rsidRDefault="00FF35D3">
      <w:pPr>
        <w:pStyle w:val="NormalWeb"/>
        <w:jc w:val="both"/>
        <w:rPr>
          <w:b/>
          <w:bCs/>
        </w:rPr>
      </w:pPr>
      <w:r>
        <w:rPr>
          <w:b/>
          <w:bCs/>
          <w:lang w:val="en-US"/>
        </w:rPr>
        <w:t>Stud</w:t>
      </w:r>
      <w:r>
        <w:rPr>
          <w:b/>
          <w:bCs/>
          <w:lang w:val="en-US"/>
        </w:rPr>
        <w:t>y Design</w:t>
      </w:r>
    </w:p>
    <w:p w14:paraId="04092C15" w14:textId="77777777" w:rsidR="004375F6" w:rsidRDefault="00FF35D3">
      <w:pPr>
        <w:pStyle w:val="NormalWeb"/>
        <w:jc w:val="both"/>
      </w:pPr>
      <w:r>
        <w:rPr>
          <w:lang w:val="en-US"/>
        </w:rPr>
        <w:lastRenderedPageBreak/>
        <w:t xml:space="preserve">A retrospective, mixed-methods observational study was carried out to quantify and </w:t>
      </w:r>
      <w:proofErr w:type="spellStart"/>
      <w:r>
        <w:rPr>
          <w:lang w:val="en-US"/>
        </w:rPr>
        <w:t>contextualise</w:t>
      </w:r>
      <w:proofErr w:type="spellEnd"/>
      <w:r>
        <w:rPr>
          <w:lang w:val="en-US"/>
        </w:rPr>
        <w:t xml:space="preserve"> the effect of the COVID-19 pandemic on routine </w:t>
      </w:r>
      <w:proofErr w:type="spellStart"/>
      <w:r>
        <w:rPr>
          <w:lang w:val="en-US"/>
        </w:rPr>
        <w:t>immunisation</w:t>
      </w:r>
      <w:proofErr w:type="spellEnd"/>
      <w:r>
        <w:rPr>
          <w:lang w:val="en-US"/>
        </w:rPr>
        <w:t xml:space="preserve"> services and vaccine-preventable-disease (VPD) incidence in Delta State, Nigeria. Quantita</w:t>
      </w:r>
      <w:r>
        <w:rPr>
          <w:lang w:val="en-US"/>
        </w:rPr>
        <w:t xml:space="preserve">tive analyses used routinely collected </w:t>
      </w:r>
      <w:proofErr w:type="spellStart"/>
      <w:r>
        <w:rPr>
          <w:lang w:val="en-US"/>
        </w:rPr>
        <w:t>programme</w:t>
      </w:r>
      <w:proofErr w:type="spellEnd"/>
      <w:r>
        <w:rPr>
          <w:lang w:val="en-US"/>
        </w:rPr>
        <w:t xml:space="preserve"> data and surveillance records; qualitative insights were gathered through key-informant interviews (KIIs) and review of relevant policy documents. Integrating numerical trends with stakeholder perspectives e</w:t>
      </w:r>
      <w:r>
        <w:rPr>
          <w:lang w:val="en-US"/>
        </w:rPr>
        <w:t>nsured a comprehensive appraisal of service disruption, adaptive responses and residual gaps.</w:t>
      </w:r>
    </w:p>
    <w:p w14:paraId="6EECE643" w14:textId="77777777" w:rsidR="004375F6" w:rsidRDefault="00FF35D3">
      <w:pPr>
        <w:pStyle w:val="NormalWeb"/>
        <w:jc w:val="both"/>
        <w:rPr>
          <w:b/>
          <w:bCs/>
        </w:rPr>
      </w:pPr>
      <w:r>
        <w:rPr>
          <w:b/>
          <w:bCs/>
          <w:lang w:val="en-US"/>
        </w:rPr>
        <w:t>Study Setting</w:t>
      </w:r>
    </w:p>
    <w:p w14:paraId="114A80DE" w14:textId="77777777" w:rsidR="004375F6" w:rsidRDefault="00FF35D3">
      <w:pPr>
        <w:pStyle w:val="NormalWeb"/>
        <w:jc w:val="both"/>
      </w:pPr>
      <w:r>
        <w:rPr>
          <w:lang w:val="en-US"/>
        </w:rPr>
        <w:t>Delta State, situated in Nigeria’s South-South geo-political zone, comprises 25 Local Government Areas (LGAs) that range from densely populated urba</w:t>
      </w:r>
      <w:r>
        <w:rPr>
          <w:lang w:val="en-US"/>
        </w:rPr>
        <w:t xml:space="preserve">n </w:t>
      </w:r>
      <w:proofErr w:type="spellStart"/>
      <w:r>
        <w:rPr>
          <w:lang w:val="en-US"/>
        </w:rPr>
        <w:t>centres</w:t>
      </w:r>
      <w:proofErr w:type="spellEnd"/>
      <w:r>
        <w:rPr>
          <w:lang w:val="en-US"/>
        </w:rPr>
        <w:t xml:space="preserve"> to remote riverine communities. The evaluation period (2018 – 2022) encompassed two pre-pandemic years, the year of maximal disruption, and the initial two years of recovery, permitting a before-and-after comparison of </w:t>
      </w:r>
      <w:proofErr w:type="spellStart"/>
      <w:r>
        <w:rPr>
          <w:lang w:val="en-US"/>
        </w:rPr>
        <w:t>programme</w:t>
      </w:r>
      <w:proofErr w:type="spellEnd"/>
      <w:r>
        <w:rPr>
          <w:lang w:val="en-US"/>
        </w:rPr>
        <w:t xml:space="preserve"> performance.</w:t>
      </w:r>
    </w:p>
    <w:p w14:paraId="723E871B" w14:textId="77777777" w:rsidR="004375F6" w:rsidRDefault="00FF35D3">
      <w:pPr>
        <w:pStyle w:val="NormalWeb"/>
        <w:jc w:val="both"/>
        <w:rPr>
          <w:b/>
          <w:bCs/>
        </w:rPr>
      </w:pPr>
      <w:r>
        <w:rPr>
          <w:b/>
          <w:bCs/>
          <w:lang w:val="en-US"/>
        </w:rPr>
        <w:t>Data</w:t>
      </w:r>
      <w:r>
        <w:rPr>
          <w:b/>
          <w:bCs/>
          <w:lang w:val="en-US"/>
        </w:rPr>
        <w:t xml:space="preserve"> Sources</w:t>
      </w:r>
    </w:p>
    <w:p w14:paraId="63D21B6E" w14:textId="77777777" w:rsidR="004375F6" w:rsidRDefault="00FF35D3">
      <w:pPr>
        <w:pStyle w:val="NormalWeb"/>
        <w:jc w:val="both"/>
      </w:pPr>
      <w:r>
        <w:rPr>
          <w:lang w:val="en-US"/>
        </w:rPr>
        <w:t>Six complementary evidence streams underpinned the analysis.</w:t>
      </w:r>
    </w:p>
    <w:p w14:paraId="0E733849" w14:textId="77777777" w:rsidR="004375F6" w:rsidRDefault="00FF35D3">
      <w:pPr>
        <w:pStyle w:val="NormalWeb"/>
        <w:jc w:val="both"/>
      </w:pPr>
      <w:r>
        <w:rPr>
          <w:lang w:val="en-US"/>
        </w:rPr>
        <w:t xml:space="preserve">1. Routine </w:t>
      </w:r>
      <w:proofErr w:type="spellStart"/>
      <w:r>
        <w:rPr>
          <w:lang w:val="en-US"/>
        </w:rPr>
        <w:t>immunisation</w:t>
      </w:r>
      <w:proofErr w:type="spellEnd"/>
      <w:r>
        <w:rPr>
          <w:lang w:val="en-US"/>
        </w:rPr>
        <w:t xml:space="preserve"> coverage records extracted from the Delta State Primary Health-Care Development Agency (DSPHCDA) Health-Management-Information System (HMIS).</w:t>
      </w:r>
    </w:p>
    <w:p w14:paraId="7542FC84" w14:textId="77777777" w:rsidR="004375F6" w:rsidRDefault="00FF35D3">
      <w:pPr>
        <w:pStyle w:val="NormalWeb"/>
        <w:jc w:val="both"/>
      </w:pPr>
      <w:r>
        <w:rPr>
          <w:lang w:val="en-US"/>
        </w:rPr>
        <w:t>2. Integrated Diseas</w:t>
      </w:r>
      <w:r>
        <w:rPr>
          <w:lang w:val="en-US"/>
        </w:rPr>
        <w:t>e Surveillance and Response (IDSR) bulletins compiled by the State Ministry of Health, providing annual, laboratory-confirmed counts of VPDs.</w:t>
      </w:r>
    </w:p>
    <w:p w14:paraId="25DE5668" w14:textId="77777777" w:rsidR="004375F6" w:rsidRDefault="00FF35D3">
      <w:pPr>
        <w:pStyle w:val="NormalWeb"/>
        <w:jc w:val="both"/>
      </w:pPr>
      <w:r>
        <w:rPr>
          <w:lang w:val="en-US"/>
        </w:rPr>
        <w:t xml:space="preserve">3. Facility service registers detailing the number, type and ownership of fixed and outreach </w:t>
      </w:r>
      <w:proofErr w:type="spellStart"/>
      <w:r>
        <w:rPr>
          <w:lang w:val="en-US"/>
        </w:rPr>
        <w:t>immunisation</w:t>
      </w:r>
      <w:proofErr w:type="spellEnd"/>
      <w:r>
        <w:rPr>
          <w:lang w:val="en-US"/>
        </w:rPr>
        <w:t xml:space="preserve"> sessions</w:t>
      </w:r>
      <w:r>
        <w:rPr>
          <w:lang w:val="en-US"/>
        </w:rPr>
        <w:t xml:space="preserve"> at public, state and private facilities.</w:t>
      </w:r>
    </w:p>
    <w:p w14:paraId="5DA59066" w14:textId="77777777" w:rsidR="004375F6" w:rsidRDefault="00FF35D3">
      <w:pPr>
        <w:pStyle w:val="NormalWeb"/>
        <w:jc w:val="both"/>
      </w:pPr>
      <w:r>
        <w:rPr>
          <w:lang w:val="en-US"/>
        </w:rPr>
        <w:t xml:space="preserve">4. Peer-reviewed literature and agency reports (WHO, UNICEF, National Primary Health-Care Development Agency) describing national and global COVID-19 impacts on </w:t>
      </w:r>
      <w:proofErr w:type="spellStart"/>
      <w:r>
        <w:rPr>
          <w:lang w:val="en-US"/>
        </w:rPr>
        <w:t>immunisation</w:t>
      </w:r>
      <w:proofErr w:type="spellEnd"/>
      <w:r>
        <w:rPr>
          <w:lang w:val="en-US"/>
        </w:rPr>
        <w:t>.</w:t>
      </w:r>
    </w:p>
    <w:p w14:paraId="33A170DF" w14:textId="77777777" w:rsidR="004375F6" w:rsidRDefault="00FF35D3">
      <w:pPr>
        <w:pStyle w:val="NormalWeb"/>
        <w:jc w:val="both"/>
      </w:pPr>
      <w:r>
        <w:rPr>
          <w:lang w:val="en-US"/>
        </w:rPr>
        <w:t xml:space="preserve">5. Key-informant interviews with </w:t>
      </w:r>
      <w:proofErr w:type="spellStart"/>
      <w:r>
        <w:rPr>
          <w:lang w:val="en-US"/>
        </w:rPr>
        <w:t>immuni</w:t>
      </w:r>
      <w:r>
        <w:rPr>
          <w:lang w:val="en-US"/>
        </w:rPr>
        <w:t>sation</w:t>
      </w:r>
      <w:proofErr w:type="spellEnd"/>
      <w:r>
        <w:rPr>
          <w:lang w:val="en-US"/>
        </w:rPr>
        <w:t xml:space="preserve"> </w:t>
      </w:r>
      <w:proofErr w:type="spellStart"/>
      <w:r>
        <w:rPr>
          <w:lang w:val="en-US"/>
        </w:rPr>
        <w:t>programme</w:t>
      </w:r>
      <w:proofErr w:type="spellEnd"/>
      <w:r>
        <w:rPr>
          <w:lang w:val="en-US"/>
        </w:rPr>
        <w:t xml:space="preserve"> managers, cold-chain technicians, frontline vaccinators and community health workers.</w:t>
      </w:r>
    </w:p>
    <w:p w14:paraId="5373F05B" w14:textId="77777777" w:rsidR="004375F6" w:rsidRDefault="00FF35D3">
      <w:pPr>
        <w:pStyle w:val="NormalWeb"/>
        <w:jc w:val="both"/>
      </w:pPr>
      <w:r>
        <w:rPr>
          <w:lang w:val="en-US"/>
        </w:rPr>
        <w:t>6. State and federal policy documents outlining COVID-19 response measures, vaccine-supply adaptations and catch-up campaign strategies.</w:t>
      </w:r>
    </w:p>
    <w:p w14:paraId="21D8A8A1" w14:textId="77777777" w:rsidR="004375F6" w:rsidRDefault="00FF35D3">
      <w:pPr>
        <w:pStyle w:val="NormalWeb"/>
        <w:jc w:val="both"/>
        <w:rPr>
          <w:b/>
          <w:bCs/>
        </w:rPr>
      </w:pPr>
      <w:r>
        <w:rPr>
          <w:b/>
          <w:bCs/>
          <w:lang w:val="en-US"/>
        </w:rPr>
        <w:t xml:space="preserve">Data-Collection </w:t>
      </w:r>
      <w:r>
        <w:rPr>
          <w:b/>
          <w:bCs/>
          <w:lang w:val="en-US"/>
        </w:rPr>
        <w:t>Procedures</w:t>
      </w:r>
    </w:p>
    <w:p w14:paraId="0FC9EC9A" w14:textId="77777777" w:rsidR="004375F6" w:rsidRDefault="00FF35D3">
      <w:pPr>
        <w:pStyle w:val="NormalWeb"/>
        <w:jc w:val="both"/>
      </w:pPr>
      <w:r>
        <w:rPr>
          <w:lang w:val="en-US"/>
        </w:rPr>
        <w:t xml:space="preserve">Record review: Monthly coverage figures, session counts and VPD notifications were abstracted into </w:t>
      </w:r>
      <w:proofErr w:type="spellStart"/>
      <w:r>
        <w:rPr>
          <w:lang w:val="en-US"/>
        </w:rPr>
        <w:t>standardised</w:t>
      </w:r>
      <w:proofErr w:type="spellEnd"/>
      <w:r>
        <w:rPr>
          <w:lang w:val="en-US"/>
        </w:rPr>
        <w:t xml:space="preserve"> extraction sheets.</w:t>
      </w:r>
    </w:p>
    <w:p w14:paraId="508687B1" w14:textId="77777777" w:rsidR="004375F6" w:rsidRDefault="00FF35D3">
      <w:pPr>
        <w:pStyle w:val="NormalWeb"/>
        <w:jc w:val="both"/>
      </w:pPr>
      <w:r>
        <w:rPr>
          <w:lang w:val="en-US"/>
        </w:rPr>
        <w:t>Key-informant interviews: Semi-structured guides explored supply-chain bottlenecks, workforce challenges and commu</w:t>
      </w:r>
      <w:r>
        <w:rPr>
          <w:lang w:val="en-US"/>
        </w:rPr>
        <w:t>nity perceptions. Interviews were audio-recorded (with consent) and transcribed verbatim.</w:t>
      </w:r>
    </w:p>
    <w:p w14:paraId="54107089" w14:textId="77777777" w:rsidR="004375F6" w:rsidRDefault="00FF35D3">
      <w:pPr>
        <w:pStyle w:val="NormalWeb"/>
        <w:jc w:val="both"/>
      </w:pPr>
      <w:r>
        <w:rPr>
          <w:lang w:val="en-US"/>
        </w:rPr>
        <w:lastRenderedPageBreak/>
        <w:t>Structured questionnaires: Frontline workers in a purposive sample of facilities quantified perceived disruptions and the adequacy of mitigation strategies.</w:t>
      </w:r>
    </w:p>
    <w:p w14:paraId="15BA0C71" w14:textId="77777777" w:rsidR="004375F6" w:rsidRDefault="00FF35D3">
      <w:pPr>
        <w:pStyle w:val="NormalWeb"/>
        <w:jc w:val="both"/>
      </w:pPr>
      <w:r>
        <w:rPr>
          <w:lang w:val="en-US"/>
        </w:rPr>
        <w:t>Field obs</w:t>
      </w:r>
      <w:r>
        <w:rPr>
          <w:lang w:val="en-US"/>
        </w:rPr>
        <w:t>ervations: Selected facilities were visited to document cold-chain functionality, client flow and infection-prevention measures.</w:t>
      </w:r>
    </w:p>
    <w:p w14:paraId="1D7C0845" w14:textId="77777777" w:rsidR="004375F6" w:rsidRDefault="00FF35D3">
      <w:pPr>
        <w:pStyle w:val="NormalWeb"/>
        <w:jc w:val="both"/>
        <w:rPr>
          <w:b/>
          <w:bCs/>
        </w:rPr>
      </w:pPr>
      <w:r>
        <w:rPr>
          <w:b/>
          <w:bCs/>
          <w:lang w:val="en-US"/>
        </w:rPr>
        <w:t>Sampling</w:t>
      </w:r>
    </w:p>
    <w:p w14:paraId="3A5601E7" w14:textId="77777777" w:rsidR="004375F6" w:rsidRDefault="00FF35D3">
      <w:pPr>
        <w:pStyle w:val="NormalWeb"/>
        <w:jc w:val="both"/>
      </w:pPr>
      <w:r>
        <w:rPr>
          <w:lang w:val="en-US"/>
        </w:rPr>
        <w:t xml:space="preserve">A census approach captured all 25 LGAs and every facility that submitted </w:t>
      </w:r>
      <w:proofErr w:type="spellStart"/>
      <w:r>
        <w:rPr>
          <w:lang w:val="en-US"/>
        </w:rPr>
        <w:t>immunisation</w:t>
      </w:r>
      <w:proofErr w:type="spellEnd"/>
      <w:r>
        <w:rPr>
          <w:lang w:val="en-US"/>
        </w:rPr>
        <w:t xml:space="preserve"> data during 2018-2022. For the q</w:t>
      </w:r>
      <w:r>
        <w:rPr>
          <w:lang w:val="en-US"/>
        </w:rPr>
        <w:t>ualitative strand, purposive sampling ensured geographic and functional diversity. Fifteen KIIs (five per senatorial district) were conducted until thematic saturation was achieved.</w:t>
      </w:r>
    </w:p>
    <w:p w14:paraId="1093D5A9" w14:textId="77777777" w:rsidR="004375F6" w:rsidRDefault="00FF35D3">
      <w:pPr>
        <w:pStyle w:val="NormalWeb"/>
        <w:jc w:val="both"/>
        <w:rPr>
          <w:b/>
          <w:bCs/>
        </w:rPr>
      </w:pPr>
      <w:r>
        <w:rPr>
          <w:b/>
          <w:bCs/>
          <w:lang w:val="en-US"/>
        </w:rPr>
        <w:t>Data Analysis</w:t>
      </w:r>
    </w:p>
    <w:p w14:paraId="12786699" w14:textId="77777777" w:rsidR="004375F6" w:rsidRDefault="00FF35D3">
      <w:pPr>
        <w:pStyle w:val="NormalWeb"/>
        <w:jc w:val="both"/>
      </w:pPr>
      <w:r>
        <w:rPr>
          <w:lang w:val="en-US"/>
        </w:rPr>
        <w:t xml:space="preserve">Descriptive statistics </w:t>
      </w:r>
      <w:proofErr w:type="spellStart"/>
      <w:r>
        <w:rPr>
          <w:lang w:val="en-US"/>
        </w:rPr>
        <w:t>summarised</w:t>
      </w:r>
      <w:proofErr w:type="spellEnd"/>
      <w:r>
        <w:rPr>
          <w:lang w:val="en-US"/>
        </w:rPr>
        <w:t xml:space="preserve"> annual coverage levels, me</w:t>
      </w:r>
      <w:r>
        <w:rPr>
          <w:lang w:val="en-US"/>
        </w:rPr>
        <w:t>an session counts and crude VPD incidence per 100 000 population.</w:t>
      </w:r>
    </w:p>
    <w:p w14:paraId="3004C9E2" w14:textId="77777777" w:rsidR="004375F6" w:rsidRDefault="00FF35D3">
      <w:pPr>
        <w:pStyle w:val="NormalWeb"/>
        <w:jc w:val="both"/>
      </w:pPr>
      <w:r>
        <w:rPr>
          <w:lang w:val="en-US"/>
        </w:rPr>
        <w:t>Pre-/post-comparisons contrasted pooled 2018-2019 indicators with pooled 2020-2022 indicators to quantify absolute and relative change.</w:t>
      </w:r>
    </w:p>
    <w:p w14:paraId="42C1B5D3" w14:textId="77777777" w:rsidR="004375F6" w:rsidRDefault="00FF35D3">
      <w:pPr>
        <w:pStyle w:val="NormalWeb"/>
        <w:jc w:val="both"/>
      </w:pPr>
      <w:r>
        <w:rPr>
          <w:lang w:val="en-US"/>
        </w:rPr>
        <w:t>One-way analysis of variance (ANOVA) tested for signif</w:t>
      </w:r>
      <w:r>
        <w:rPr>
          <w:lang w:val="en-US"/>
        </w:rPr>
        <w:t>icant year-to-year differences in session volume and VPD incidence.</w:t>
      </w:r>
    </w:p>
    <w:p w14:paraId="1C692783" w14:textId="77777777" w:rsidR="004375F6" w:rsidRDefault="00FF35D3">
      <w:pPr>
        <w:pStyle w:val="NormalWeb"/>
        <w:jc w:val="both"/>
      </w:pPr>
      <w:r>
        <w:rPr>
          <w:lang w:val="en-US"/>
        </w:rPr>
        <w:t>Thematic analysis of interview transcripts (NVivo v12) identified recurrent codes relating to service disruption, adaptive innovation and equity impacts; findings were triangulated with qu</w:t>
      </w:r>
      <w:r>
        <w:rPr>
          <w:lang w:val="en-US"/>
        </w:rPr>
        <w:t>antitative results.</w:t>
      </w:r>
    </w:p>
    <w:p w14:paraId="091D877D" w14:textId="77777777" w:rsidR="004375F6" w:rsidRDefault="00FF35D3">
      <w:pPr>
        <w:pStyle w:val="NormalWeb"/>
        <w:jc w:val="both"/>
      </w:pPr>
      <w:r>
        <w:rPr>
          <w:lang w:val="en-US"/>
        </w:rPr>
        <w:t xml:space="preserve">Geospatial mapping (QGIS v3.26) </w:t>
      </w:r>
      <w:proofErr w:type="spellStart"/>
      <w:r>
        <w:rPr>
          <w:lang w:val="en-US"/>
        </w:rPr>
        <w:t>visualised</w:t>
      </w:r>
      <w:proofErr w:type="spellEnd"/>
      <w:r>
        <w:rPr>
          <w:lang w:val="en-US"/>
        </w:rPr>
        <w:t xml:space="preserve"> LGA-level coverage and clusters of low performance.</w:t>
      </w:r>
    </w:p>
    <w:p w14:paraId="4CE3710B" w14:textId="77777777" w:rsidR="004375F6" w:rsidRDefault="00FF35D3">
      <w:pPr>
        <w:pStyle w:val="NormalWeb"/>
        <w:jc w:val="both"/>
        <w:rPr>
          <w:b/>
          <w:bCs/>
        </w:rPr>
      </w:pPr>
      <w:r>
        <w:rPr>
          <w:b/>
          <w:bCs/>
          <w:lang w:val="en-US"/>
        </w:rPr>
        <w:t>Ethical Considerations</w:t>
      </w:r>
    </w:p>
    <w:p w14:paraId="4C749A66" w14:textId="77777777" w:rsidR="004375F6" w:rsidRDefault="00FF35D3">
      <w:pPr>
        <w:pStyle w:val="NormalWeb"/>
        <w:jc w:val="both"/>
      </w:pPr>
      <w:r>
        <w:rPr>
          <w:lang w:val="en-US"/>
        </w:rPr>
        <w:t xml:space="preserve">Ethical approval was obtained from the Delta State Ministry of Health Research </w:t>
      </w:r>
      <w:proofErr w:type="gramStart"/>
      <w:r>
        <w:rPr>
          <w:lang w:val="en-US"/>
        </w:rPr>
        <w:t>Ethics  Committee</w:t>
      </w:r>
      <w:proofErr w:type="gramEnd"/>
      <w:r>
        <w:rPr>
          <w:lang w:val="en-US"/>
        </w:rPr>
        <w:t xml:space="preserve"> (HM/596/T</w:t>
      </w:r>
      <w:r>
        <w:rPr>
          <w:vertAlign w:val="superscript"/>
          <w:lang w:val="en-US"/>
        </w:rPr>
        <w:t>2</w:t>
      </w:r>
      <w:r>
        <w:rPr>
          <w:lang w:val="en-US"/>
        </w:rPr>
        <w:t>/133). Writ</w:t>
      </w:r>
      <w:r>
        <w:rPr>
          <w:lang w:val="en-US"/>
        </w:rPr>
        <w:t>ten or verbal informed consent was secured from all interviewees. All quantitative datasets were de-identified, encrypted and stored on password-protected servers in compliance with national data-protection regulations.</w:t>
      </w:r>
    </w:p>
    <w:p w14:paraId="30540802" w14:textId="77777777" w:rsidR="004375F6" w:rsidRDefault="00FF35D3">
      <w:pPr>
        <w:jc w:val="both"/>
        <w:rPr>
          <w:rFonts w:ascii="Times New Roman" w:hAnsi="Times New Roman" w:cs="Times New Roman"/>
          <w:b/>
          <w:bCs/>
          <w:sz w:val="24"/>
          <w:szCs w:val="24"/>
        </w:rPr>
      </w:pPr>
      <w:r>
        <w:rPr>
          <w:rFonts w:ascii="Times New Roman" w:hAnsi="Times New Roman" w:cs="Times New Roman"/>
          <w:b/>
          <w:bCs/>
          <w:sz w:val="24"/>
          <w:szCs w:val="24"/>
        </w:rPr>
        <w:t>RESULTS</w:t>
      </w:r>
    </w:p>
    <w:p w14:paraId="22C3FD1C" w14:textId="77777777" w:rsidR="004375F6" w:rsidRDefault="00FF35D3">
      <w:pPr>
        <w:pStyle w:val="Heading2"/>
        <w:keepNext w:val="0"/>
        <w:keepLines w:val="0"/>
        <w:numPr>
          <w:ilvl w:val="0"/>
          <w:numId w:val="1"/>
        </w:numPr>
        <w:jc w:val="both"/>
        <w:rPr>
          <w:rFonts w:ascii="Times New Roman" w:hAnsi="Times New Roman" w:cs="Times New Roman"/>
          <w:color w:val="auto"/>
          <w:sz w:val="24"/>
          <w:szCs w:val="24"/>
        </w:rPr>
      </w:pPr>
      <w:r>
        <w:rPr>
          <w:rStyle w:val="Strong"/>
          <w:rFonts w:ascii="Times New Roman" w:hAnsi="Times New Roman" w:cs="Times New Roman"/>
          <w:color w:val="auto"/>
          <w:sz w:val="24"/>
          <w:szCs w:val="24"/>
        </w:rPr>
        <w:t xml:space="preserve">Facilities Offering Routine </w:t>
      </w:r>
      <w:r>
        <w:rPr>
          <w:rStyle w:val="Strong"/>
          <w:rFonts w:ascii="Times New Roman" w:hAnsi="Times New Roman" w:cs="Times New Roman"/>
          <w:color w:val="auto"/>
          <w:sz w:val="24"/>
          <w:szCs w:val="24"/>
        </w:rPr>
        <w:t>Immunization Services and Ownership Structure in Delta State, Nigeria</w:t>
      </w:r>
    </w:p>
    <w:p w14:paraId="53D1E07B" w14:textId="77777777" w:rsidR="004375F6" w:rsidRDefault="00FF35D3">
      <w:pPr>
        <w:pStyle w:val="NormalWeb"/>
        <w:jc w:val="both"/>
      </w:pPr>
      <w:r>
        <w:t>This table presents the distribution of immunization service delivery points across the 25 Local Government Areas (LGAs) of Delta State by facility type and ownership. The total number o</w:t>
      </w:r>
      <w:r>
        <w:t xml:space="preserve">f facilities is 614, with the majority (78.8%) being Primary Health Care (PHC) centres. Private health facilities account for 15.8%, while state government facilities make up only 5.9%. The </w:t>
      </w:r>
      <w:r>
        <w:lastRenderedPageBreak/>
        <w:t>dominance of PHCs underscores the central role of public-sector se</w:t>
      </w:r>
      <w:r>
        <w:t>rvices in routine immunization, particularly in rural and hard-to-reach areas.</w:t>
      </w:r>
    </w:p>
    <w:p w14:paraId="359DA933" w14:textId="77777777" w:rsidR="004375F6" w:rsidRDefault="00FF35D3">
      <w:pPr>
        <w:pStyle w:val="NormalWeb"/>
        <w:jc w:val="both"/>
      </w:pPr>
      <w:r>
        <w:t xml:space="preserve">Several LGAs such as </w:t>
      </w:r>
      <w:proofErr w:type="spellStart"/>
      <w:r>
        <w:t>Burutu</w:t>
      </w:r>
      <w:proofErr w:type="spellEnd"/>
      <w:r>
        <w:t xml:space="preserve">, </w:t>
      </w:r>
      <w:proofErr w:type="spellStart"/>
      <w:r>
        <w:t>Patani</w:t>
      </w:r>
      <w:proofErr w:type="spellEnd"/>
      <w:r>
        <w:t xml:space="preserve">, </w:t>
      </w:r>
      <w:proofErr w:type="spellStart"/>
      <w:r>
        <w:t>Ndokwa</w:t>
      </w:r>
      <w:proofErr w:type="spellEnd"/>
      <w:r>
        <w:t xml:space="preserve"> East, Warri North, and Warri South West lack any private or state-owned immunization facilities, relying entirely on PHCs. In contras</w:t>
      </w:r>
      <w:r>
        <w:t xml:space="preserve">t, urban LGAs like Warri South, </w:t>
      </w:r>
      <w:proofErr w:type="spellStart"/>
      <w:r>
        <w:t>Udu</w:t>
      </w:r>
      <w:proofErr w:type="spellEnd"/>
      <w:r>
        <w:t xml:space="preserve">, and </w:t>
      </w:r>
      <w:proofErr w:type="spellStart"/>
      <w:r>
        <w:t>Uvwie</w:t>
      </w:r>
      <w:proofErr w:type="spellEnd"/>
      <w:r>
        <w:t xml:space="preserve"> show higher private sector involvement, reflecting urban-rural disparities in health service delivery. This reliance on PHCs may have posed significant challenges during the COVID-19 pandemic when public healt</w:t>
      </w:r>
      <w:r>
        <w:t>h resources were stretched, potentially disrupting immunization services, especially in rural LGAs.</w:t>
      </w:r>
    </w:p>
    <w:p w14:paraId="7C70CD2F" w14:textId="77777777" w:rsidR="004375F6" w:rsidRDefault="00FF35D3">
      <w:pPr>
        <w:spacing w:line="360" w:lineRule="auto"/>
        <w:jc w:val="both"/>
        <w:rPr>
          <w:rFonts w:ascii="Times New Roman" w:hAnsi="Times New Roman" w:cs="Times New Roman"/>
          <w:b/>
          <w:sz w:val="24"/>
          <w:szCs w:val="24"/>
        </w:rPr>
      </w:pPr>
      <w:r>
        <w:rPr>
          <w:rFonts w:ascii="Times New Roman" w:hAnsi="Times New Roman" w:cs="Times New Roman"/>
          <w:b/>
          <w:bCs/>
          <w:sz w:val="24"/>
          <w:szCs w:val="24"/>
        </w:rPr>
        <w:t>Table 1:</w:t>
      </w:r>
      <w:r>
        <w:rPr>
          <w:rFonts w:ascii="Times New Roman" w:hAnsi="Times New Roman" w:cs="Times New Roman"/>
          <w:bCs/>
          <w:sz w:val="24"/>
          <w:szCs w:val="24"/>
        </w:rPr>
        <w:t xml:space="preserve"> </w:t>
      </w:r>
      <w:r>
        <w:rPr>
          <w:rFonts w:ascii="Times New Roman" w:hAnsi="Times New Roman" w:cs="Times New Roman"/>
          <w:b/>
          <w:sz w:val="24"/>
          <w:szCs w:val="24"/>
        </w:rPr>
        <w:t xml:space="preserve">Facilities Offering Routine Immunization Services </w:t>
      </w:r>
      <w:proofErr w:type="gramStart"/>
      <w:r>
        <w:rPr>
          <w:rFonts w:ascii="Times New Roman" w:hAnsi="Times New Roman" w:cs="Times New Roman"/>
          <w:b/>
          <w:sz w:val="24"/>
          <w:szCs w:val="24"/>
        </w:rPr>
        <w:t>And</w:t>
      </w:r>
      <w:proofErr w:type="gramEnd"/>
      <w:r>
        <w:rPr>
          <w:rFonts w:ascii="Times New Roman" w:hAnsi="Times New Roman" w:cs="Times New Roman"/>
          <w:b/>
          <w:sz w:val="24"/>
          <w:szCs w:val="24"/>
        </w:rPr>
        <w:t xml:space="preserve"> Ownership Structure In Delta State, Nigeria</w:t>
      </w:r>
    </w:p>
    <w:tbl>
      <w:tblPr>
        <w:tblStyle w:val="TableGrid"/>
        <w:tblW w:w="0" w:type="auto"/>
        <w:tblLook w:val="04A0" w:firstRow="1" w:lastRow="0" w:firstColumn="1" w:lastColumn="0" w:noHBand="0" w:noVBand="1"/>
      </w:tblPr>
      <w:tblGrid>
        <w:gridCol w:w="571"/>
        <w:gridCol w:w="4385"/>
        <w:gridCol w:w="847"/>
        <w:gridCol w:w="1016"/>
        <w:gridCol w:w="1127"/>
        <w:gridCol w:w="1079"/>
      </w:tblGrid>
      <w:tr w:rsidR="004375F6" w14:paraId="574FD495" w14:textId="77777777">
        <w:tc>
          <w:tcPr>
            <w:tcW w:w="571" w:type="dxa"/>
          </w:tcPr>
          <w:p w14:paraId="0E7C851B"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s/n</w:t>
            </w:r>
          </w:p>
        </w:tc>
        <w:tc>
          <w:tcPr>
            <w:tcW w:w="4385" w:type="dxa"/>
          </w:tcPr>
          <w:p w14:paraId="5A0B0831"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Name Of Local Government</w:t>
            </w:r>
          </w:p>
        </w:tc>
        <w:tc>
          <w:tcPr>
            <w:tcW w:w="847" w:type="dxa"/>
          </w:tcPr>
          <w:p w14:paraId="74462028"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Total</w:t>
            </w:r>
          </w:p>
        </w:tc>
        <w:tc>
          <w:tcPr>
            <w:tcW w:w="1007" w:type="dxa"/>
          </w:tcPr>
          <w:p w14:paraId="414C8F00"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PHC </w:t>
            </w:r>
            <w:proofErr w:type="spellStart"/>
            <w:r>
              <w:rPr>
                <w:rFonts w:ascii="Times New Roman" w:hAnsi="Times New Roman" w:cs="Times New Roman"/>
                <w:b/>
                <w:sz w:val="24"/>
                <w:szCs w:val="24"/>
              </w:rPr>
              <w:t>Centres</w:t>
            </w:r>
            <w:proofErr w:type="spellEnd"/>
          </w:p>
        </w:tc>
        <w:tc>
          <w:tcPr>
            <w:tcW w:w="1127" w:type="dxa"/>
          </w:tcPr>
          <w:p w14:paraId="3116BF34"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Private Facility</w:t>
            </w:r>
          </w:p>
        </w:tc>
        <w:tc>
          <w:tcPr>
            <w:tcW w:w="1079" w:type="dxa"/>
          </w:tcPr>
          <w:p w14:paraId="50B1FD50"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State Govt Facility</w:t>
            </w:r>
          </w:p>
        </w:tc>
      </w:tr>
      <w:tr w:rsidR="004375F6" w14:paraId="7F19A321" w14:textId="77777777">
        <w:tc>
          <w:tcPr>
            <w:tcW w:w="571" w:type="dxa"/>
          </w:tcPr>
          <w:p w14:paraId="2C9B2EE6"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w:t>
            </w:r>
          </w:p>
        </w:tc>
        <w:tc>
          <w:tcPr>
            <w:tcW w:w="4385" w:type="dxa"/>
          </w:tcPr>
          <w:p w14:paraId="5862EE11" w14:textId="77777777" w:rsidR="004375F6" w:rsidRDefault="00FF35D3">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Aniocha</w:t>
            </w:r>
            <w:proofErr w:type="spellEnd"/>
            <w:r>
              <w:rPr>
                <w:rFonts w:ascii="Times New Roman" w:hAnsi="Times New Roman" w:cs="Times New Roman"/>
                <w:b/>
                <w:sz w:val="24"/>
                <w:szCs w:val="24"/>
              </w:rPr>
              <w:t xml:space="preserve"> North</w:t>
            </w:r>
          </w:p>
        </w:tc>
        <w:tc>
          <w:tcPr>
            <w:tcW w:w="847" w:type="dxa"/>
          </w:tcPr>
          <w:p w14:paraId="6653EB13"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27</w:t>
            </w:r>
          </w:p>
        </w:tc>
        <w:tc>
          <w:tcPr>
            <w:tcW w:w="1007" w:type="dxa"/>
          </w:tcPr>
          <w:p w14:paraId="3C6E1D22"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19</w:t>
            </w:r>
          </w:p>
        </w:tc>
        <w:tc>
          <w:tcPr>
            <w:tcW w:w="1127" w:type="dxa"/>
          </w:tcPr>
          <w:p w14:paraId="67606409"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5</w:t>
            </w:r>
          </w:p>
        </w:tc>
        <w:tc>
          <w:tcPr>
            <w:tcW w:w="1079" w:type="dxa"/>
          </w:tcPr>
          <w:p w14:paraId="77EAA06E"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w:t>
            </w:r>
          </w:p>
        </w:tc>
      </w:tr>
      <w:tr w:rsidR="004375F6" w14:paraId="10EBA817" w14:textId="77777777">
        <w:tc>
          <w:tcPr>
            <w:tcW w:w="571" w:type="dxa"/>
          </w:tcPr>
          <w:p w14:paraId="15941CE8"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w:t>
            </w:r>
          </w:p>
        </w:tc>
        <w:tc>
          <w:tcPr>
            <w:tcW w:w="4385" w:type="dxa"/>
          </w:tcPr>
          <w:p w14:paraId="6E25A3C1" w14:textId="77777777" w:rsidR="004375F6" w:rsidRDefault="00FF35D3">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Aniocha</w:t>
            </w:r>
            <w:proofErr w:type="spellEnd"/>
            <w:r>
              <w:rPr>
                <w:rFonts w:ascii="Times New Roman" w:hAnsi="Times New Roman" w:cs="Times New Roman"/>
                <w:b/>
                <w:sz w:val="24"/>
                <w:szCs w:val="24"/>
              </w:rPr>
              <w:t xml:space="preserve"> South</w:t>
            </w:r>
          </w:p>
        </w:tc>
        <w:tc>
          <w:tcPr>
            <w:tcW w:w="847" w:type="dxa"/>
          </w:tcPr>
          <w:p w14:paraId="35081B26"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23</w:t>
            </w:r>
          </w:p>
        </w:tc>
        <w:tc>
          <w:tcPr>
            <w:tcW w:w="1007" w:type="dxa"/>
          </w:tcPr>
          <w:p w14:paraId="13065A59"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19</w:t>
            </w:r>
          </w:p>
        </w:tc>
        <w:tc>
          <w:tcPr>
            <w:tcW w:w="1127" w:type="dxa"/>
          </w:tcPr>
          <w:p w14:paraId="75C4BE21"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w:t>
            </w:r>
          </w:p>
        </w:tc>
        <w:tc>
          <w:tcPr>
            <w:tcW w:w="1079" w:type="dxa"/>
          </w:tcPr>
          <w:p w14:paraId="17BEE1DD"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w:t>
            </w:r>
          </w:p>
        </w:tc>
      </w:tr>
      <w:tr w:rsidR="004375F6" w14:paraId="2C21C08F" w14:textId="77777777">
        <w:tc>
          <w:tcPr>
            <w:tcW w:w="571" w:type="dxa"/>
          </w:tcPr>
          <w:p w14:paraId="3B9C34CD"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p>
        </w:tc>
        <w:tc>
          <w:tcPr>
            <w:tcW w:w="4385" w:type="dxa"/>
          </w:tcPr>
          <w:p w14:paraId="72A26A05" w14:textId="77777777" w:rsidR="004375F6" w:rsidRDefault="00FF35D3">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Bomadi</w:t>
            </w:r>
            <w:proofErr w:type="spellEnd"/>
          </w:p>
        </w:tc>
        <w:tc>
          <w:tcPr>
            <w:tcW w:w="847" w:type="dxa"/>
          </w:tcPr>
          <w:p w14:paraId="5BCA41F1"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12</w:t>
            </w:r>
          </w:p>
        </w:tc>
        <w:tc>
          <w:tcPr>
            <w:tcW w:w="1007" w:type="dxa"/>
          </w:tcPr>
          <w:p w14:paraId="7950ABC4"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11</w:t>
            </w:r>
          </w:p>
        </w:tc>
        <w:tc>
          <w:tcPr>
            <w:tcW w:w="1127" w:type="dxa"/>
          </w:tcPr>
          <w:p w14:paraId="26DA69A7"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w:t>
            </w:r>
          </w:p>
        </w:tc>
        <w:tc>
          <w:tcPr>
            <w:tcW w:w="1079" w:type="dxa"/>
          </w:tcPr>
          <w:p w14:paraId="2413F16E"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r>
      <w:tr w:rsidR="004375F6" w14:paraId="2A3C393D" w14:textId="77777777">
        <w:tc>
          <w:tcPr>
            <w:tcW w:w="571" w:type="dxa"/>
          </w:tcPr>
          <w:p w14:paraId="25E4FF40"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w:t>
            </w:r>
          </w:p>
        </w:tc>
        <w:tc>
          <w:tcPr>
            <w:tcW w:w="4385" w:type="dxa"/>
          </w:tcPr>
          <w:p w14:paraId="5D20F0CC" w14:textId="77777777" w:rsidR="004375F6" w:rsidRDefault="00FF35D3">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Burutu</w:t>
            </w:r>
            <w:proofErr w:type="spellEnd"/>
          </w:p>
        </w:tc>
        <w:tc>
          <w:tcPr>
            <w:tcW w:w="847" w:type="dxa"/>
          </w:tcPr>
          <w:p w14:paraId="53C2A4F0"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22</w:t>
            </w:r>
          </w:p>
        </w:tc>
        <w:tc>
          <w:tcPr>
            <w:tcW w:w="1007" w:type="dxa"/>
          </w:tcPr>
          <w:p w14:paraId="6D3E7B6D"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22</w:t>
            </w:r>
          </w:p>
        </w:tc>
        <w:tc>
          <w:tcPr>
            <w:tcW w:w="1127" w:type="dxa"/>
          </w:tcPr>
          <w:p w14:paraId="1112088D"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079" w:type="dxa"/>
          </w:tcPr>
          <w:p w14:paraId="7BDEB7C0"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r>
      <w:tr w:rsidR="004375F6" w14:paraId="439E3A58" w14:textId="77777777">
        <w:tc>
          <w:tcPr>
            <w:tcW w:w="571" w:type="dxa"/>
          </w:tcPr>
          <w:p w14:paraId="636C8FA2"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5</w:t>
            </w:r>
          </w:p>
        </w:tc>
        <w:tc>
          <w:tcPr>
            <w:tcW w:w="4385" w:type="dxa"/>
          </w:tcPr>
          <w:p w14:paraId="56CF15B6" w14:textId="77777777" w:rsidR="004375F6" w:rsidRDefault="00FF35D3">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Ethiope</w:t>
            </w:r>
            <w:proofErr w:type="spellEnd"/>
            <w:r>
              <w:rPr>
                <w:rFonts w:ascii="Times New Roman" w:hAnsi="Times New Roman" w:cs="Times New Roman"/>
                <w:b/>
                <w:sz w:val="24"/>
                <w:szCs w:val="24"/>
              </w:rPr>
              <w:t xml:space="preserve"> East</w:t>
            </w:r>
          </w:p>
        </w:tc>
        <w:tc>
          <w:tcPr>
            <w:tcW w:w="847" w:type="dxa"/>
          </w:tcPr>
          <w:p w14:paraId="6180DB7B"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23</w:t>
            </w:r>
          </w:p>
        </w:tc>
        <w:tc>
          <w:tcPr>
            <w:tcW w:w="1007" w:type="dxa"/>
          </w:tcPr>
          <w:p w14:paraId="2770DAE5"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20</w:t>
            </w:r>
          </w:p>
        </w:tc>
        <w:tc>
          <w:tcPr>
            <w:tcW w:w="1127" w:type="dxa"/>
          </w:tcPr>
          <w:p w14:paraId="2F8A5B88"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079" w:type="dxa"/>
          </w:tcPr>
          <w:p w14:paraId="69E6502A"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w:t>
            </w:r>
          </w:p>
        </w:tc>
      </w:tr>
      <w:tr w:rsidR="004375F6" w14:paraId="52AF287B" w14:textId="77777777">
        <w:tc>
          <w:tcPr>
            <w:tcW w:w="571" w:type="dxa"/>
          </w:tcPr>
          <w:p w14:paraId="283108B4"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w:t>
            </w:r>
          </w:p>
        </w:tc>
        <w:tc>
          <w:tcPr>
            <w:tcW w:w="4385" w:type="dxa"/>
          </w:tcPr>
          <w:p w14:paraId="7C27A6D9" w14:textId="77777777" w:rsidR="004375F6" w:rsidRDefault="00FF35D3">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Ethiope</w:t>
            </w:r>
            <w:proofErr w:type="spellEnd"/>
            <w:r>
              <w:rPr>
                <w:rFonts w:ascii="Times New Roman" w:hAnsi="Times New Roman" w:cs="Times New Roman"/>
                <w:b/>
                <w:sz w:val="24"/>
                <w:szCs w:val="24"/>
              </w:rPr>
              <w:t xml:space="preserve"> West</w:t>
            </w:r>
          </w:p>
        </w:tc>
        <w:tc>
          <w:tcPr>
            <w:tcW w:w="847" w:type="dxa"/>
          </w:tcPr>
          <w:p w14:paraId="1838BB49"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28</w:t>
            </w:r>
          </w:p>
        </w:tc>
        <w:tc>
          <w:tcPr>
            <w:tcW w:w="1007" w:type="dxa"/>
          </w:tcPr>
          <w:p w14:paraId="53759B16"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22</w:t>
            </w:r>
          </w:p>
        </w:tc>
        <w:tc>
          <w:tcPr>
            <w:tcW w:w="1127" w:type="dxa"/>
          </w:tcPr>
          <w:p w14:paraId="61CB8457"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w:t>
            </w:r>
          </w:p>
        </w:tc>
        <w:tc>
          <w:tcPr>
            <w:tcW w:w="1079" w:type="dxa"/>
          </w:tcPr>
          <w:p w14:paraId="57A0E647"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4</w:t>
            </w:r>
          </w:p>
        </w:tc>
      </w:tr>
      <w:tr w:rsidR="004375F6" w14:paraId="4C790EF6" w14:textId="77777777">
        <w:tc>
          <w:tcPr>
            <w:tcW w:w="571" w:type="dxa"/>
          </w:tcPr>
          <w:p w14:paraId="24B0C5BC"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7</w:t>
            </w:r>
          </w:p>
        </w:tc>
        <w:tc>
          <w:tcPr>
            <w:tcW w:w="4385" w:type="dxa"/>
          </w:tcPr>
          <w:p w14:paraId="2C9E88FA"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Ika North East</w:t>
            </w:r>
          </w:p>
        </w:tc>
        <w:tc>
          <w:tcPr>
            <w:tcW w:w="847" w:type="dxa"/>
          </w:tcPr>
          <w:p w14:paraId="58F9A3D4"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24</w:t>
            </w:r>
          </w:p>
        </w:tc>
        <w:tc>
          <w:tcPr>
            <w:tcW w:w="1007" w:type="dxa"/>
          </w:tcPr>
          <w:p w14:paraId="7C0EE104"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17</w:t>
            </w:r>
          </w:p>
        </w:tc>
        <w:tc>
          <w:tcPr>
            <w:tcW w:w="1127" w:type="dxa"/>
          </w:tcPr>
          <w:p w14:paraId="61DB50F6"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7</w:t>
            </w:r>
          </w:p>
        </w:tc>
        <w:tc>
          <w:tcPr>
            <w:tcW w:w="1079" w:type="dxa"/>
          </w:tcPr>
          <w:p w14:paraId="35BDC69C"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r>
      <w:tr w:rsidR="004375F6" w14:paraId="43FF9660" w14:textId="77777777">
        <w:tc>
          <w:tcPr>
            <w:tcW w:w="571" w:type="dxa"/>
          </w:tcPr>
          <w:p w14:paraId="5B3FC75C"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8</w:t>
            </w:r>
          </w:p>
        </w:tc>
        <w:tc>
          <w:tcPr>
            <w:tcW w:w="4385" w:type="dxa"/>
          </w:tcPr>
          <w:p w14:paraId="38D00604"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Ika South</w:t>
            </w:r>
          </w:p>
        </w:tc>
        <w:tc>
          <w:tcPr>
            <w:tcW w:w="847" w:type="dxa"/>
          </w:tcPr>
          <w:p w14:paraId="1F838905"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33</w:t>
            </w:r>
          </w:p>
        </w:tc>
        <w:tc>
          <w:tcPr>
            <w:tcW w:w="1007" w:type="dxa"/>
          </w:tcPr>
          <w:p w14:paraId="142C35D3"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22</w:t>
            </w:r>
          </w:p>
        </w:tc>
        <w:tc>
          <w:tcPr>
            <w:tcW w:w="1127" w:type="dxa"/>
          </w:tcPr>
          <w:p w14:paraId="7F198B2F"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8</w:t>
            </w:r>
          </w:p>
        </w:tc>
        <w:tc>
          <w:tcPr>
            <w:tcW w:w="1079" w:type="dxa"/>
          </w:tcPr>
          <w:p w14:paraId="11FD785F"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w:t>
            </w:r>
          </w:p>
        </w:tc>
      </w:tr>
      <w:tr w:rsidR="004375F6" w14:paraId="181F1979" w14:textId="77777777">
        <w:tc>
          <w:tcPr>
            <w:tcW w:w="571" w:type="dxa"/>
          </w:tcPr>
          <w:p w14:paraId="3F38ADC0"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9</w:t>
            </w:r>
          </w:p>
        </w:tc>
        <w:tc>
          <w:tcPr>
            <w:tcW w:w="4385" w:type="dxa"/>
          </w:tcPr>
          <w:p w14:paraId="7C6E8686"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Isoko North</w:t>
            </w:r>
          </w:p>
        </w:tc>
        <w:tc>
          <w:tcPr>
            <w:tcW w:w="847" w:type="dxa"/>
          </w:tcPr>
          <w:p w14:paraId="372BB279"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25</w:t>
            </w:r>
          </w:p>
        </w:tc>
        <w:tc>
          <w:tcPr>
            <w:tcW w:w="1007" w:type="dxa"/>
          </w:tcPr>
          <w:p w14:paraId="226AA619"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21</w:t>
            </w:r>
          </w:p>
        </w:tc>
        <w:tc>
          <w:tcPr>
            <w:tcW w:w="1127" w:type="dxa"/>
          </w:tcPr>
          <w:p w14:paraId="7072D443"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w:t>
            </w:r>
          </w:p>
        </w:tc>
        <w:tc>
          <w:tcPr>
            <w:tcW w:w="1079" w:type="dxa"/>
          </w:tcPr>
          <w:p w14:paraId="0045FD9D"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w:t>
            </w:r>
          </w:p>
        </w:tc>
      </w:tr>
      <w:tr w:rsidR="004375F6" w14:paraId="1F02B37B" w14:textId="77777777">
        <w:tc>
          <w:tcPr>
            <w:tcW w:w="571" w:type="dxa"/>
          </w:tcPr>
          <w:p w14:paraId="7C20FB97"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10</w:t>
            </w:r>
          </w:p>
        </w:tc>
        <w:tc>
          <w:tcPr>
            <w:tcW w:w="4385" w:type="dxa"/>
          </w:tcPr>
          <w:p w14:paraId="1860C6C0"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Isoko South</w:t>
            </w:r>
          </w:p>
        </w:tc>
        <w:tc>
          <w:tcPr>
            <w:tcW w:w="847" w:type="dxa"/>
          </w:tcPr>
          <w:p w14:paraId="53B57935"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19</w:t>
            </w:r>
          </w:p>
        </w:tc>
        <w:tc>
          <w:tcPr>
            <w:tcW w:w="1007" w:type="dxa"/>
          </w:tcPr>
          <w:p w14:paraId="73F7CEB3"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17</w:t>
            </w:r>
          </w:p>
        </w:tc>
        <w:tc>
          <w:tcPr>
            <w:tcW w:w="1127" w:type="dxa"/>
          </w:tcPr>
          <w:p w14:paraId="04C1B12D"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079" w:type="dxa"/>
          </w:tcPr>
          <w:p w14:paraId="15B6C07A"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w:t>
            </w:r>
          </w:p>
        </w:tc>
      </w:tr>
      <w:tr w:rsidR="004375F6" w14:paraId="34E448C5" w14:textId="77777777">
        <w:tc>
          <w:tcPr>
            <w:tcW w:w="571" w:type="dxa"/>
          </w:tcPr>
          <w:p w14:paraId="45AC4123"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11</w:t>
            </w:r>
          </w:p>
        </w:tc>
        <w:tc>
          <w:tcPr>
            <w:tcW w:w="4385" w:type="dxa"/>
          </w:tcPr>
          <w:p w14:paraId="7C4BB22E" w14:textId="77777777" w:rsidR="004375F6" w:rsidRDefault="00FF35D3">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Ndokwa</w:t>
            </w:r>
            <w:proofErr w:type="spellEnd"/>
            <w:r>
              <w:rPr>
                <w:rFonts w:ascii="Times New Roman" w:hAnsi="Times New Roman" w:cs="Times New Roman"/>
                <w:b/>
                <w:sz w:val="24"/>
                <w:szCs w:val="24"/>
              </w:rPr>
              <w:t xml:space="preserve"> East</w:t>
            </w:r>
          </w:p>
        </w:tc>
        <w:tc>
          <w:tcPr>
            <w:tcW w:w="847" w:type="dxa"/>
          </w:tcPr>
          <w:p w14:paraId="7EFF8013"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26</w:t>
            </w:r>
          </w:p>
        </w:tc>
        <w:tc>
          <w:tcPr>
            <w:tcW w:w="1007" w:type="dxa"/>
          </w:tcPr>
          <w:p w14:paraId="2AE1525D"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26</w:t>
            </w:r>
          </w:p>
        </w:tc>
        <w:tc>
          <w:tcPr>
            <w:tcW w:w="1127" w:type="dxa"/>
          </w:tcPr>
          <w:p w14:paraId="21217E32"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079" w:type="dxa"/>
          </w:tcPr>
          <w:p w14:paraId="1CF317C9"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r>
      <w:tr w:rsidR="004375F6" w14:paraId="6B7BF9D5" w14:textId="77777777">
        <w:tc>
          <w:tcPr>
            <w:tcW w:w="571" w:type="dxa"/>
          </w:tcPr>
          <w:p w14:paraId="34C883BC"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12</w:t>
            </w:r>
          </w:p>
        </w:tc>
        <w:tc>
          <w:tcPr>
            <w:tcW w:w="4385" w:type="dxa"/>
          </w:tcPr>
          <w:p w14:paraId="0B7298CB" w14:textId="77777777" w:rsidR="004375F6" w:rsidRDefault="00FF35D3">
            <w:pPr>
              <w:spacing w:after="0"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Ndokwa</w:t>
            </w:r>
            <w:proofErr w:type="spellEnd"/>
            <w:r>
              <w:rPr>
                <w:rFonts w:ascii="Times New Roman" w:hAnsi="Times New Roman" w:cs="Times New Roman"/>
                <w:b/>
                <w:sz w:val="24"/>
                <w:szCs w:val="24"/>
              </w:rPr>
              <w:t xml:space="preserve"> West</w:t>
            </w:r>
          </w:p>
        </w:tc>
        <w:tc>
          <w:tcPr>
            <w:tcW w:w="847" w:type="dxa"/>
          </w:tcPr>
          <w:p w14:paraId="465C60E3"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26</w:t>
            </w:r>
          </w:p>
        </w:tc>
        <w:tc>
          <w:tcPr>
            <w:tcW w:w="1007" w:type="dxa"/>
          </w:tcPr>
          <w:p w14:paraId="60FDC6B2"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22</w:t>
            </w:r>
          </w:p>
        </w:tc>
        <w:tc>
          <w:tcPr>
            <w:tcW w:w="1127" w:type="dxa"/>
          </w:tcPr>
          <w:p w14:paraId="02BC7987"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4</w:t>
            </w:r>
          </w:p>
        </w:tc>
        <w:tc>
          <w:tcPr>
            <w:tcW w:w="1079" w:type="dxa"/>
          </w:tcPr>
          <w:p w14:paraId="138EE1E0"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r>
      <w:tr w:rsidR="004375F6" w14:paraId="0016B2A5" w14:textId="77777777">
        <w:tc>
          <w:tcPr>
            <w:tcW w:w="571" w:type="dxa"/>
          </w:tcPr>
          <w:p w14:paraId="0E2C5EB6"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13</w:t>
            </w:r>
          </w:p>
        </w:tc>
        <w:tc>
          <w:tcPr>
            <w:tcW w:w="4385" w:type="dxa"/>
          </w:tcPr>
          <w:p w14:paraId="573A292F"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Okpe</w:t>
            </w:r>
          </w:p>
        </w:tc>
        <w:tc>
          <w:tcPr>
            <w:tcW w:w="847" w:type="dxa"/>
          </w:tcPr>
          <w:p w14:paraId="6D4ACB56"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20</w:t>
            </w:r>
          </w:p>
        </w:tc>
        <w:tc>
          <w:tcPr>
            <w:tcW w:w="1007" w:type="dxa"/>
          </w:tcPr>
          <w:p w14:paraId="69678538"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18</w:t>
            </w:r>
          </w:p>
        </w:tc>
        <w:tc>
          <w:tcPr>
            <w:tcW w:w="1127" w:type="dxa"/>
          </w:tcPr>
          <w:p w14:paraId="436EB399"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w:t>
            </w:r>
          </w:p>
        </w:tc>
        <w:tc>
          <w:tcPr>
            <w:tcW w:w="1079" w:type="dxa"/>
          </w:tcPr>
          <w:p w14:paraId="08ECD0E6"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r>
      <w:tr w:rsidR="004375F6" w14:paraId="2BD794A0" w14:textId="77777777">
        <w:tc>
          <w:tcPr>
            <w:tcW w:w="571" w:type="dxa"/>
          </w:tcPr>
          <w:p w14:paraId="01D00211"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14</w:t>
            </w:r>
          </w:p>
        </w:tc>
        <w:tc>
          <w:tcPr>
            <w:tcW w:w="4385" w:type="dxa"/>
          </w:tcPr>
          <w:p w14:paraId="23EBFA67" w14:textId="77777777" w:rsidR="004375F6" w:rsidRDefault="00FF35D3">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Oshimili</w:t>
            </w:r>
            <w:proofErr w:type="spellEnd"/>
            <w:r>
              <w:rPr>
                <w:rFonts w:ascii="Times New Roman" w:hAnsi="Times New Roman" w:cs="Times New Roman"/>
                <w:b/>
                <w:sz w:val="24"/>
                <w:szCs w:val="24"/>
              </w:rPr>
              <w:t xml:space="preserve"> North</w:t>
            </w:r>
          </w:p>
        </w:tc>
        <w:tc>
          <w:tcPr>
            <w:tcW w:w="847" w:type="dxa"/>
          </w:tcPr>
          <w:p w14:paraId="2EF219B4"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14</w:t>
            </w:r>
          </w:p>
        </w:tc>
        <w:tc>
          <w:tcPr>
            <w:tcW w:w="1007" w:type="dxa"/>
          </w:tcPr>
          <w:p w14:paraId="18D0DF51"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10</w:t>
            </w:r>
          </w:p>
        </w:tc>
        <w:tc>
          <w:tcPr>
            <w:tcW w:w="1127" w:type="dxa"/>
          </w:tcPr>
          <w:p w14:paraId="2013E07F"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w:t>
            </w:r>
          </w:p>
        </w:tc>
        <w:tc>
          <w:tcPr>
            <w:tcW w:w="1079" w:type="dxa"/>
          </w:tcPr>
          <w:p w14:paraId="35983936"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w:t>
            </w:r>
          </w:p>
        </w:tc>
      </w:tr>
      <w:tr w:rsidR="004375F6" w14:paraId="3484CCB6" w14:textId="77777777">
        <w:tc>
          <w:tcPr>
            <w:tcW w:w="571" w:type="dxa"/>
          </w:tcPr>
          <w:p w14:paraId="086D86F6"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15</w:t>
            </w:r>
          </w:p>
        </w:tc>
        <w:tc>
          <w:tcPr>
            <w:tcW w:w="4385" w:type="dxa"/>
          </w:tcPr>
          <w:p w14:paraId="6CDF2DC2" w14:textId="77777777" w:rsidR="004375F6" w:rsidRDefault="00FF35D3">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Oshimili</w:t>
            </w:r>
            <w:proofErr w:type="spellEnd"/>
            <w:r>
              <w:rPr>
                <w:rFonts w:ascii="Times New Roman" w:hAnsi="Times New Roman" w:cs="Times New Roman"/>
                <w:b/>
                <w:sz w:val="24"/>
                <w:szCs w:val="24"/>
              </w:rPr>
              <w:t xml:space="preserve"> South</w:t>
            </w:r>
          </w:p>
        </w:tc>
        <w:tc>
          <w:tcPr>
            <w:tcW w:w="847" w:type="dxa"/>
          </w:tcPr>
          <w:p w14:paraId="48EB53A0"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26</w:t>
            </w:r>
          </w:p>
        </w:tc>
        <w:tc>
          <w:tcPr>
            <w:tcW w:w="1007" w:type="dxa"/>
          </w:tcPr>
          <w:p w14:paraId="06F40D8D"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14</w:t>
            </w:r>
          </w:p>
        </w:tc>
        <w:tc>
          <w:tcPr>
            <w:tcW w:w="1127" w:type="dxa"/>
          </w:tcPr>
          <w:p w14:paraId="5BB88754"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9</w:t>
            </w:r>
          </w:p>
        </w:tc>
        <w:tc>
          <w:tcPr>
            <w:tcW w:w="1079" w:type="dxa"/>
          </w:tcPr>
          <w:p w14:paraId="512C88B1"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w:t>
            </w:r>
          </w:p>
        </w:tc>
      </w:tr>
      <w:tr w:rsidR="004375F6" w14:paraId="5B56C89D" w14:textId="77777777">
        <w:tc>
          <w:tcPr>
            <w:tcW w:w="571" w:type="dxa"/>
          </w:tcPr>
          <w:p w14:paraId="65AE36DC"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16</w:t>
            </w:r>
          </w:p>
        </w:tc>
        <w:tc>
          <w:tcPr>
            <w:tcW w:w="4385" w:type="dxa"/>
          </w:tcPr>
          <w:p w14:paraId="677B8078"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Patani</w:t>
            </w:r>
          </w:p>
        </w:tc>
        <w:tc>
          <w:tcPr>
            <w:tcW w:w="847" w:type="dxa"/>
          </w:tcPr>
          <w:p w14:paraId="07FC60AD"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13</w:t>
            </w:r>
          </w:p>
        </w:tc>
        <w:tc>
          <w:tcPr>
            <w:tcW w:w="1007" w:type="dxa"/>
          </w:tcPr>
          <w:p w14:paraId="78158198"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13</w:t>
            </w:r>
          </w:p>
        </w:tc>
        <w:tc>
          <w:tcPr>
            <w:tcW w:w="1127" w:type="dxa"/>
          </w:tcPr>
          <w:p w14:paraId="6C199FA0"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079" w:type="dxa"/>
          </w:tcPr>
          <w:p w14:paraId="2E0D9D42"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r>
      <w:tr w:rsidR="004375F6" w14:paraId="0A6131B5" w14:textId="77777777">
        <w:tc>
          <w:tcPr>
            <w:tcW w:w="571" w:type="dxa"/>
          </w:tcPr>
          <w:p w14:paraId="2B5B0E7F"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17</w:t>
            </w:r>
          </w:p>
        </w:tc>
        <w:tc>
          <w:tcPr>
            <w:tcW w:w="4385" w:type="dxa"/>
          </w:tcPr>
          <w:p w14:paraId="5F47E159"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Sapele</w:t>
            </w:r>
          </w:p>
        </w:tc>
        <w:tc>
          <w:tcPr>
            <w:tcW w:w="847" w:type="dxa"/>
          </w:tcPr>
          <w:p w14:paraId="639CEA8C"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32</w:t>
            </w:r>
          </w:p>
        </w:tc>
        <w:tc>
          <w:tcPr>
            <w:tcW w:w="1007" w:type="dxa"/>
          </w:tcPr>
          <w:p w14:paraId="15DEE72F"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23</w:t>
            </w:r>
          </w:p>
        </w:tc>
        <w:tc>
          <w:tcPr>
            <w:tcW w:w="1127" w:type="dxa"/>
          </w:tcPr>
          <w:p w14:paraId="2357C640"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7</w:t>
            </w:r>
          </w:p>
        </w:tc>
        <w:tc>
          <w:tcPr>
            <w:tcW w:w="1079" w:type="dxa"/>
          </w:tcPr>
          <w:p w14:paraId="795D465C"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w:t>
            </w:r>
          </w:p>
        </w:tc>
      </w:tr>
      <w:tr w:rsidR="004375F6" w14:paraId="7A40A08C" w14:textId="77777777">
        <w:tc>
          <w:tcPr>
            <w:tcW w:w="571" w:type="dxa"/>
          </w:tcPr>
          <w:p w14:paraId="4DBCB103"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18</w:t>
            </w:r>
          </w:p>
        </w:tc>
        <w:tc>
          <w:tcPr>
            <w:tcW w:w="4385" w:type="dxa"/>
          </w:tcPr>
          <w:p w14:paraId="5ADFAC23"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Udu</w:t>
            </w:r>
          </w:p>
        </w:tc>
        <w:tc>
          <w:tcPr>
            <w:tcW w:w="847" w:type="dxa"/>
          </w:tcPr>
          <w:p w14:paraId="51DB91B5"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32</w:t>
            </w:r>
          </w:p>
        </w:tc>
        <w:tc>
          <w:tcPr>
            <w:tcW w:w="1007" w:type="dxa"/>
          </w:tcPr>
          <w:p w14:paraId="6F71A22B"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20</w:t>
            </w:r>
          </w:p>
        </w:tc>
        <w:tc>
          <w:tcPr>
            <w:tcW w:w="1127" w:type="dxa"/>
          </w:tcPr>
          <w:p w14:paraId="75674E85"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11</w:t>
            </w:r>
          </w:p>
        </w:tc>
        <w:tc>
          <w:tcPr>
            <w:tcW w:w="1079" w:type="dxa"/>
          </w:tcPr>
          <w:p w14:paraId="173C2ABF"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w:t>
            </w:r>
          </w:p>
        </w:tc>
      </w:tr>
      <w:tr w:rsidR="004375F6" w14:paraId="71067C59" w14:textId="77777777">
        <w:tc>
          <w:tcPr>
            <w:tcW w:w="571" w:type="dxa"/>
          </w:tcPr>
          <w:p w14:paraId="1C5C1FC9"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19</w:t>
            </w:r>
          </w:p>
        </w:tc>
        <w:tc>
          <w:tcPr>
            <w:tcW w:w="4385" w:type="dxa"/>
          </w:tcPr>
          <w:p w14:paraId="153C1E7D"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Ughelli North</w:t>
            </w:r>
          </w:p>
        </w:tc>
        <w:tc>
          <w:tcPr>
            <w:tcW w:w="847" w:type="dxa"/>
          </w:tcPr>
          <w:p w14:paraId="3E6A6B4A"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38</w:t>
            </w:r>
          </w:p>
        </w:tc>
        <w:tc>
          <w:tcPr>
            <w:tcW w:w="1007" w:type="dxa"/>
          </w:tcPr>
          <w:p w14:paraId="13A2D379"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35</w:t>
            </w:r>
          </w:p>
        </w:tc>
        <w:tc>
          <w:tcPr>
            <w:tcW w:w="1127" w:type="dxa"/>
          </w:tcPr>
          <w:p w14:paraId="68977769"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w:t>
            </w:r>
          </w:p>
        </w:tc>
        <w:tc>
          <w:tcPr>
            <w:tcW w:w="1079" w:type="dxa"/>
          </w:tcPr>
          <w:p w14:paraId="15CCE8AA"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w:t>
            </w:r>
          </w:p>
        </w:tc>
      </w:tr>
      <w:tr w:rsidR="004375F6" w14:paraId="7ADCBDED" w14:textId="77777777">
        <w:tc>
          <w:tcPr>
            <w:tcW w:w="571" w:type="dxa"/>
          </w:tcPr>
          <w:p w14:paraId="20DD642F"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20</w:t>
            </w:r>
          </w:p>
        </w:tc>
        <w:tc>
          <w:tcPr>
            <w:tcW w:w="4385" w:type="dxa"/>
          </w:tcPr>
          <w:p w14:paraId="685930AB"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Ughelli South</w:t>
            </w:r>
          </w:p>
        </w:tc>
        <w:tc>
          <w:tcPr>
            <w:tcW w:w="847" w:type="dxa"/>
          </w:tcPr>
          <w:p w14:paraId="40AD08E8"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36</w:t>
            </w:r>
          </w:p>
        </w:tc>
        <w:tc>
          <w:tcPr>
            <w:tcW w:w="1007" w:type="dxa"/>
          </w:tcPr>
          <w:p w14:paraId="493B7EA1"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31</w:t>
            </w:r>
          </w:p>
        </w:tc>
        <w:tc>
          <w:tcPr>
            <w:tcW w:w="1127" w:type="dxa"/>
          </w:tcPr>
          <w:p w14:paraId="0A75B1DF"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4</w:t>
            </w:r>
          </w:p>
        </w:tc>
        <w:tc>
          <w:tcPr>
            <w:tcW w:w="1079" w:type="dxa"/>
          </w:tcPr>
          <w:p w14:paraId="60356125"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w:t>
            </w:r>
          </w:p>
        </w:tc>
      </w:tr>
      <w:tr w:rsidR="004375F6" w14:paraId="09C7EECF" w14:textId="77777777">
        <w:tc>
          <w:tcPr>
            <w:tcW w:w="571" w:type="dxa"/>
          </w:tcPr>
          <w:p w14:paraId="016F261C"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21</w:t>
            </w:r>
          </w:p>
        </w:tc>
        <w:tc>
          <w:tcPr>
            <w:tcW w:w="4385" w:type="dxa"/>
          </w:tcPr>
          <w:p w14:paraId="2015C123" w14:textId="77777777" w:rsidR="004375F6" w:rsidRDefault="00FF35D3">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Ukwuani</w:t>
            </w:r>
            <w:proofErr w:type="spellEnd"/>
          </w:p>
        </w:tc>
        <w:tc>
          <w:tcPr>
            <w:tcW w:w="847" w:type="dxa"/>
          </w:tcPr>
          <w:p w14:paraId="7D9F21B2"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20</w:t>
            </w:r>
          </w:p>
        </w:tc>
        <w:tc>
          <w:tcPr>
            <w:tcW w:w="1007" w:type="dxa"/>
          </w:tcPr>
          <w:p w14:paraId="5CDCA807"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15</w:t>
            </w:r>
          </w:p>
        </w:tc>
        <w:tc>
          <w:tcPr>
            <w:tcW w:w="1127" w:type="dxa"/>
          </w:tcPr>
          <w:p w14:paraId="18270E9B"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5</w:t>
            </w:r>
          </w:p>
        </w:tc>
        <w:tc>
          <w:tcPr>
            <w:tcW w:w="1079" w:type="dxa"/>
          </w:tcPr>
          <w:p w14:paraId="2D67FFAA"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r>
      <w:tr w:rsidR="004375F6" w14:paraId="2B925EF5" w14:textId="77777777">
        <w:tc>
          <w:tcPr>
            <w:tcW w:w="571" w:type="dxa"/>
          </w:tcPr>
          <w:p w14:paraId="56212AB4"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22</w:t>
            </w:r>
          </w:p>
        </w:tc>
        <w:tc>
          <w:tcPr>
            <w:tcW w:w="4385" w:type="dxa"/>
          </w:tcPr>
          <w:p w14:paraId="51701B5F" w14:textId="77777777" w:rsidR="004375F6" w:rsidRDefault="00FF35D3">
            <w:pPr>
              <w:spacing w:after="0" w:line="36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Uvwie</w:t>
            </w:r>
            <w:proofErr w:type="spellEnd"/>
          </w:p>
        </w:tc>
        <w:tc>
          <w:tcPr>
            <w:tcW w:w="847" w:type="dxa"/>
          </w:tcPr>
          <w:p w14:paraId="54D6FF80"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34</w:t>
            </w:r>
          </w:p>
        </w:tc>
        <w:tc>
          <w:tcPr>
            <w:tcW w:w="1007" w:type="dxa"/>
          </w:tcPr>
          <w:p w14:paraId="5714B23B"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21</w:t>
            </w:r>
          </w:p>
        </w:tc>
        <w:tc>
          <w:tcPr>
            <w:tcW w:w="1127" w:type="dxa"/>
          </w:tcPr>
          <w:p w14:paraId="50066E61"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11</w:t>
            </w:r>
          </w:p>
        </w:tc>
        <w:tc>
          <w:tcPr>
            <w:tcW w:w="1079" w:type="dxa"/>
          </w:tcPr>
          <w:p w14:paraId="21C55D20"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w:t>
            </w:r>
          </w:p>
        </w:tc>
      </w:tr>
      <w:tr w:rsidR="004375F6" w14:paraId="35E00308" w14:textId="77777777">
        <w:tc>
          <w:tcPr>
            <w:tcW w:w="571" w:type="dxa"/>
          </w:tcPr>
          <w:p w14:paraId="295197AD"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23</w:t>
            </w:r>
          </w:p>
        </w:tc>
        <w:tc>
          <w:tcPr>
            <w:tcW w:w="4385" w:type="dxa"/>
          </w:tcPr>
          <w:p w14:paraId="3A3483F1"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Warri North</w:t>
            </w:r>
          </w:p>
        </w:tc>
        <w:tc>
          <w:tcPr>
            <w:tcW w:w="847" w:type="dxa"/>
          </w:tcPr>
          <w:p w14:paraId="0BB681F5"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15</w:t>
            </w:r>
          </w:p>
        </w:tc>
        <w:tc>
          <w:tcPr>
            <w:tcW w:w="1007" w:type="dxa"/>
          </w:tcPr>
          <w:p w14:paraId="73A43977"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15</w:t>
            </w:r>
          </w:p>
        </w:tc>
        <w:tc>
          <w:tcPr>
            <w:tcW w:w="1127" w:type="dxa"/>
          </w:tcPr>
          <w:p w14:paraId="7E3D8389"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079" w:type="dxa"/>
          </w:tcPr>
          <w:p w14:paraId="18EC21F9"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r>
      <w:tr w:rsidR="004375F6" w14:paraId="63BE136E" w14:textId="77777777">
        <w:tc>
          <w:tcPr>
            <w:tcW w:w="571" w:type="dxa"/>
          </w:tcPr>
          <w:p w14:paraId="6DE11EDF"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24</w:t>
            </w:r>
          </w:p>
        </w:tc>
        <w:tc>
          <w:tcPr>
            <w:tcW w:w="4385" w:type="dxa"/>
          </w:tcPr>
          <w:p w14:paraId="706A5076"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Warri South</w:t>
            </w:r>
          </w:p>
        </w:tc>
        <w:tc>
          <w:tcPr>
            <w:tcW w:w="847" w:type="dxa"/>
          </w:tcPr>
          <w:p w14:paraId="399DBE05"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32</w:t>
            </w:r>
          </w:p>
        </w:tc>
        <w:tc>
          <w:tcPr>
            <w:tcW w:w="1007" w:type="dxa"/>
          </w:tcPr>
          <w:p w14:paraId="738FA918"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14</w:t>
            </w:r>
          </w:p>
        </w:tc>
        <w:tc>
          <w:tcPr>
            <w:tcW w:w="1127" w:type="dxa"/>
          </w:tcPr>
          <w:p w14:paraId="6956F168"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16</w:t>
            </w:r>
          </w:p>
        </w:tc>
        <w:tc>
          <w:tcPr>
            <w:tcW w:w="1079" w:type="dxa"/>
          </w:tcPr>
          <w:p w14:paraId="47780E01"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2</w:t>
            </w:r>
          </w:p>
        </w:tc>
      </w:tr>
      <w:tr w:rsidR="004375F6" w14:paraId="461E0D84" w14:textId="77777777">
        <w:tc>
          <w:tcPr>
            <w:tcW w:w="571" w:type="dxa"/>
          </w:tcPr>
          <w:p w14:paraId="0DFC3F5A"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25</w:t>
            </w:r>
          </w:p>
        </w:tc>
        <w:tc>
          <w:tcPr>
            <w:tcW w:w="4385" w:type="dxa"/>
          </w:tcPr>
          <w:p w14:paraId="211711C0"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Warri South West</w:t>
            </w:r>
          </w:p>
        </w:tc>
        <w:tc>
          <w:tcPr>
            <w:tcW w:w="847" w:type="dxa"/>
          </w:tcPr>
          <w:p w14:paraId="0D10B31E"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14</w:t>
            </w:r>
          </w:p>
        </w:tc>
        <w:tc>
          <w:tcPr>
            <w:tcW w:w="1007" w:type="dxa"/>
          </w:tcPr>
          <w:p w14:paraId="54B43A7F"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14</w:t>
            </w:r>
          </w:p>
        </w:tc>
        <w:tc>
          <w:tcPr>
            <w:tcW w:w="1127" w:type="dxa"/>
          </w:tcPr>
          <w:p w14:paraId="2135079C"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c>
          <w:tcPr>
            <w:tcW w:w="1079" w:type="dxa"/>
          </w:tcPr>
          <w:p w14:paraId="0A71AD9D" w14:textId="77777777" w:rsidR="004375F6" w:rsidRDefault="00FF35D3">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0</w:t>
            </w:r>
          </w:p>
        </w:tc>
      </w:tr>
      <w:tr w:rsidR="004375F6" w14:paraId="2A072A4E" w14:textId="77777777">
        <w:tc>
          <w:tcPr>
            <w:tcW w:w="571" w:type="dxa"/>
          </w:tcPr>
          <w:p w14:paraId="09F9649D" w14:textId="77777777" w:rsidR="004375F6" w:rsidRDefault="004375F6">
            <w:pPr>
              <w:spacing w:after="0" w:line="360" w:lineRule="auto"/>
              <w:jc w:val="both"/>
              <w:rPr>
                <w:rFonts w:ascii="Times New Roman" w:hAnsi="Times New Roman" w:cs="Times New Roman"/>
                <w:b/>
                <w:sz w:val="24"/>
                <w:szCs w:val="24"/>
              </w:rPr>
            </w:pPr>
          </w:p>
        </w:tc>
        <w:tc>
          <w:tcPr>
            <w:tcW w:w="4385" w:type="dxa"/>
          </w:tcPr>
          <w:p w14:paraId="3F957E7A"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Total</w:t>
            </w:r>
          </w:p>
        </w:tc>
        <w:tc>
          <w:tcPr>
            <w:tcW w:w="847" w:type="dxa"/>
          </w:tcPr>
          <w:p w14:paraId="6521E4EF"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614</w:t>
            </w:r>
          </w:p>
        </w:tc>
        <w:tc>
          <w:tcPr>
            <w:tcW w:w="1007" w:type="dxa"/>
          </w:tcPr>
          <w:p w14:paraId="6058A420"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484</w:t>
            </w:r>
          </w:p>
        </w:tc>
        <w:tc>
          <w:tcPr>
            <w:tcW w:w="1127" w:type="dxa"/>
          </w:tcPr>
          <w:p w14:paraId="439D50C4"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97</w:t>
            </w:r>
          </w:p>
        </w:tc>
        <w:tc>
          <w:tcPr>
            <w:tcW w:w="1079" w:type="dxa"/>
          </w:tcPr>
          <w:p w14:paraId="053053B0" w14:textId="77777777" w:rsidR="004375F6" w:rsidRDefault="00FF35D3">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36</w:t>
            </w:r>
          </w:p>
        </w:tc>
      </w:tr>
    </w:tbl>
    <w:p w14:paraId="6FEEC1FB" w14:textId="77777777" w:rsidR="004375F6" w:rsidRDefault="00FF35D3">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(Source; Delta State Primary Health Care Development Agency, Asaba.)</w:t>
      </w:r>
    </w:p>
    <w:p w14:paraId="3594BD9C" w14:textId="77777777" w:rsidR="004375F6" w:rsidRDefault="004375F6">
      <w:pPr>
        <w:jc w:val="both"/>
        <w:rPr>
          <w:rFonts w:ascii="Times New Roman" w:hAnsi="Times New Roman" w:cs="Times New Roman"/>
          <w:b/>
          <w:bCs/>
          <w:sz w:val="24"/>
          <w:szCs w:val="24"/>
        </w:rPr>
      </w:pPr>
    </w:p>
    <w:p w14:paraId="263AD43A" w14:textId="77777777" w:rsidR="004375F6" w:rsidRDefault="00FF35D3">
      <w:pPr>
        <w:pStyle w:val="Heading2"/>
        <w:keepNext w:val="0"/>
        <w:keepLines w:val="0"/>
        <w:numPr>
          <w:ilvl w:val="0"/>
          <w:numId w:val="1"/>
        </w:numPr>
        <w:jc w:val="both"/>
        <w:rPr>
          <w:rFonts w:ascii="Times New Roman" w:hAnsi="Times New Roman" w:cs="Times New Roman"/>
          <w:b/>
          <w:bCs/>
          <w:color w:val="auto"/>
          <w:sz w:val="24"/>
          <w:szCs w:val="24"/>
        </w:rPr>
      </w:pPr>
      <w:r>
        <w:rPr>
          <w:rStyle w:val="Strong"/>
          <w:rFonts w:ascii="Times New Roman" w:hAnsi="Times New Roman" w:cs="Times New Roman"/>
          <w:color w:val="auto"/>
          <w:sz w:val="24"/>
          <w:szCs w:val="24"/>
        </w:rPr>
        <w:t>Pattern of Vaccine Preventable Diseases From 2018 - 2022</w:t>
      </w:r>
    </w:p>
    <w:p w14:paraId="39EC84A5" w14:textId="77777777" w:rsidR="004375F6" w:rsidRDefault="00FF35D3">
      <w:pPr>
        <w:pStyle w:val="NormalWeb"/>
        <w:jc w:val="both"/>
      </w:pPr>
      <w:r>
        <w:t xml:space="preserve">This table outlines the reported cases of key vaccine-preventable diseases in Delta State over five years. Notably, </w:t>
      </w:r>
      <w:r>
        <w:rPr>
          <w:rStyle w:val="Strong"/>
        </w:rPr>
        <w:t>measles</w:t>
      </w:r>
      <w:r>
        <w:t xml:space="preserve"> showed fluctuations, peaking in 2020 (31 cases) during the height of the C</w:t>
      </w:r>
      <w:r>
        <w:t xml:space="preserve">OVID-19 pandemic and dipping in 2021 before rising again in 2022. This pattern indicates disruptions in immunization coverage and possible catch-up campaigns. </w:t>
      </w:r>
      <w:r>
        <w:rPr>
          <w:rStyle w:val="Strong"/>
        </w:rPr>
        <w:t>Hepatitis B</w:t>
      </w:r>
      <w:r>
        <w:t xml:space="preserve"> cases also spiked in 2020 (52 cases), followed by a steady decline, which may reflect</w:t>
      </w:r>
      <w:r>
        <w:t xml:space="preserve"> testing variations or changes in health-seeking </w:t>
      </w:r>
      <w:proofErr w:type="spellStart"/>
      <w:r>
        <w:t>behavior</w:t>
      </w:r>
      <w:proofErr w:type="spellEnd"/>
      <w:r>
        <w:t xml:space="preserve"> during the pandemic.</w:t>
      </w:r>
    </w:p>
    <w:p w14:paraId="41A98409" w14:textId="77777777" w:rsidR="004375F6" w:rsidRDefault="00FF35D3">
      <w:pPr>
        <w:pStyle w:val="NormalWeb"/>
        <w:jc w:val="both"/>
      </w:pPr>
      <w:r>
        <w:t xml:space="preserve">Diseases like </w:t>
      </w:r>
      <w:r>
        <w:rPr>
          <w:rStyle w:val="Strong"/>
        </w:rPr>
        <w:t>diphtheria and poliomyelitis</w:t>
      </w:r>
      <w:r>
        <w:t xml:space="preserve"> recorded zero cases throughout the five-year period, indicating strong programmatic control. However, sporadic appearances of </w:t>
      </w:r>
      <w:r>
        <w:rPr>
          <w:rStyle w:val="Strong"/>
        </w:rPr>
        <w:t>pertussi</w:t>
      </w:r>
      <w:r>
        <w:rPr>
          <w:rStyle w:val="Strong"/>
        </w:rPr>
        <w:t>s</w:t>
      </w:r>
      <w:r>
        <w:t xml:space="preserve"> and </w:t>
      </w:r>
      <w:r>
        <w:rPr>
          <w:rStyle w:val="Strong"/>
        </w:rPr>
        <w:t>yellow fever</w:t>
      </w:r>
      <w:r>
        <w:t xml:space="preserve"> suggest gaps in population immunity or reporting. The overall trend shows that while some diseases remained well-controlled, others experienced transient increases possibly linked to pandemic-related interruptions in health services.</w:t>
      </w:r>
    </w:p>
    <w:p w14:paraId="1F3B1BCC" w14:textId="77777777" w:rsidR="004375F6" w:rsidRDefault="00FF35D3">
      <w:pPr>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 xml:space="preserve">                                 </w:t>
      </w:r>
    </w:p>
    <w:p w14:paraId="39A6225F" w14:textId="77777777" w:rsidR="004375F6" w:rsidRDefault="00FF35D3">
      <w:pPr>
        <w:spacing w:line="360" w:lineRule="auto"/>
        <w:jc w:val="both"/>
        <w:rPr>
          <w:rFonts w:ascii="Times New Roman" w:hAnsi="Times New Roman" w:cs="Times New Roman"/>
          <w:b/>
          <w:sz w:val="24"/>
          <w:szCs w:val="24"/>
        </w:rPr>
      </w:pPr>
      <w:r>
        <w:rPr>
          <w:rFonts w:ascii="Times New Roman" w:hAnsi="Times New Roman" w:cs="Times New Roman"/>
          <w:b/>
          <w:sz w:val="24"/>
          <w:szCs w:val="24"/>
        </w:rPr>
        <w:t>Table 2: Pattern Of Vaccine Preventable Diseases From 2018 - 2022</w:t>
      </w:r>
    </w:p>
    <w:tbl>
      <w:tblPr>
        <w:tblW w:w="8480" w:type="dxa"/>
        <w:tblLook w:val="04A0" w:firstRow="1" w:lastRow="0" w:firstColumn="1" w:lastColumn="0" w:noHBand="0" w:noVBand="1"/>
      </w:tblPr>
      <w:tblGrid>
        <w:gridCol w:w="2121"/>
        <w:gridCol w:w="2017"/>
        <w:gridCol w:w="929"/>
        <w:gridCol w:w="929"/>
        <w:gridCol w:w="929"/>
        <w:gridCol w:w="929"/>
        <w:gridCol w:w="929"/>
      </w:tblGrid>
      <w:tr w:rsidR="004375F6" w14:paraId="25C77190" w14:textId="77777777">
        <w:trPr>
          <w:trHeight w:val="510"/>
        </w:trPr>
        <w:tc>
          <w:tcPr>
            <w:tcW w:w="2121" w:type="dxa"/>
            <w:tcBorders>
              <w:top w:val="single" w:sz="4" w:space="0" w:color="auto"/>
              <w:left w:val="single" w:sz="4" w:space="0" w:color="auto"/>
              <w:bottom w:val="single" w:sz="4" w:space="0" w:color="auto"/>
              <w:right w:val="single" w:sz="4" w:space="0" w:color="auto"/>
            </w:tcBorders>
            <w:shd w:val="clear" w:color="auto" w:fill="auto"/>
            <w:vAlign w:val="bottom"/>
          </w:tcPr>
          <w:p w14:paraId="3581785E" w14:textId="77777777" w:rsidR="004375F6" w:rsidRDefault="00FF35D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NAME OF STATE</w:t>
            </w:r>
          </w:p>
        </w:tc>
        <w:tc>
          <w:tcPr>
            <w:tcW w:w="1714" w:type="dxa"/>
            <w:tcBorders>
              <w:top w:val="single" w:sz="4" w:space="0" w:color="auto"/>
              <w:left w:val="nil"/>
              <w:bottom w:val="single" w:sz="4" w:space="0" w:color="auto"/>
              <w:right w:val="single" w:sz="4" w:space="0" w:color="auto"/>
            </w:tcBorders>
            <w:shd w:val="clear" w:color="auto" w:fill="auto"/>
            <w:vAlign w:val="bottom"/>
          </w:tcPr>
          <w:p w14:paraId="42F39088" w14:textId="77777777" w:rsidR="004375F6" w:rsidRDefault="00FF35D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VACCINE PREVENTABLE DISEASES</w:t>
            </w:r>
          </w:p>
        </w:tc>
        <w:tc>
          <w:tcPr>
            <w:tcW w:w="929" w:type="dxa"/>
            <w:tcBorders>
              <w:top w:val="single" w:sz="4" w:space="0" w:color="auto"/>
              <w:left w:val="nil"/>
              <w:bottom w:val="single" w:sz="4" w:space="0" w:color="auto"/>
              <w:right w:val="single" w:sz="4" w:space="0" w:color="auto"/>
            </w:tcBorders>
            <w:shd w:val="clear" w:color="auto" w:fill="auto"/>
            <w:vAlign w:val="bottom"/>
          </w:tcPr>
          <w:p w14:paraId="14FC77D8" w14:textId="77777777" w:rsidR="004375F6" w:rsidRDefault="00FF35D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2018</w:t>
            </w:r>
          </w:p>
        </w:tc>
        <w:tc>
          <w:tcPr>
            <w:tcW w:w="929" w:type="dxa"/>
            <w:tcBorders>
              <w:top w:val="single" w:sz="4" w:space="0" w:color="auto"/>
              <w:left w:val="nil"/>
              <w:bottom w:val="single" w:sz="4" w:space="0" w:color="auto"/>
              <w:right w:val="single" w:sz="4" w:space="0" w:color="auto"/>
            </w:tcBorders>
            <w:shd w:val="clear" w:color="auto" w:fill="auto"/>
            <w:vAlign w:val="bottom"/>
          </w:tcPr>
          <w:p w14:paraId="348E430E" w14:textId="77777777" w:rsidR="004375F6" w:rsidRDefault="00FF35D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2019</w:t>
            </w:r>
          </w:p>
        </w:tc>
        <w:tc>
          <w:tcPr>
            <w:tcW w:w="929" w:type="dxa"/>
            <w:tcBorders>
              <w:top w:val="single" w:sz="4" w:space="0" w:color="auto"/>
              <w:left w:val="nil"/>
              <w:bottom w:val="single" w:sz="4" w:space="0" w:color="auto"/>
              <w:right w:val="single" w:sz="4" w:space="0" w:color="auto"/>
            </w:tcBorders>
            <w:shd w:val="clear" w:color="auto" w:fill="auto"/>
            <w:vAlign w:val="bottom"/>
          </w:tcPr>
          <w:p w14:paraId="50AF42A8" w14:textId="77777777" w:rsidR="004375F6" w:rsidRDefault="00FF35D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2020</w:t>
            </w:r>
          </w:p>
        </w:tc>
        <w:tc>
          <w:tcPr>
            <w:tcW w:w="929" w:type="dxa"/>
            <w:tcBorders>
              <w:top w:val="single" w:sz="4" w:space="0" w:color="auto"/>
              <w:left w:val="nil"/>
              <w:bottom w:val="single" w:sz="4" w:space="0" w:color="auto"/>
              <w:right w:val="single" w:sz="4" w:space="0" w:color="auto"/>
            </w:tcBorders>
            <w:shd w:val="clear" w:color="auto" w:fill="auto"/>
            <w:vAlign w:val="bottom"/>
          </w:tcPr>
          <w:p w14:paraId="6E9D0750" w14:textId="77777777" w:rsidR="004375F6" w:rsidRDefault="00FF35D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2021</w:t>
            </w:r>
          </w:p>
        </w:tc>
        <w:tc>
          <w:tcPr>
            <w:tcW w:w="929" w:type="dxa"/>
            <w:tcBorders>
              <w:top w:val="single" w:sz="4" w:space="0" w:color="auto"/>
              <w:left w:val="nil"/>
              <w:bottom w:val="single" w:sz="4" w:space="0" w:color="auto"/>
              <w:right w:val="single" w:sz="4" w:space="0" w:color="auto"/>
            </w:tcBorders>
            <w:shd w:val="clear" w:color="auto" w:fill="auto"/>
            <w:vAlign w:val="bottom"/>
          </w:tcPr>
          <w:p w14:paraId="192E7190" w14:textId="77777777" w:rsidR="004375F6" w:rsidRDefault="00FF35D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2022</w:t>
            </w:r>
          </w:p>
        </w:tc>
      </w:tr>
      <w:tr w:rsidR="004375F6" w14:paraId="23EA7CD0" w14:textId="77777777">
        <w:trPr>
          <w:trHeight w:val="255"/>
        </w:trPr>
        <w:tc>
          <w:tcPr>
            <w:tcW w:w="2121" w:type="dxa"/>
            <w:tcBorders>
              <w:top w:val="nil"/>
              <w:left w:val="single" w:sz="4" w:space="0" w:color="auto"/>
              <w:bottom w:val="single" w:sz="4" w:space="0" w:color="auto"/>
              <w:right w:val="single" w:sz="4" w:space="0" w:color="auto"/>
            </w:tcBorders>
            <w:shd w:val="clear" w:color="auto" w:fill="auto"/>
            <w:noWrap/>
            <w:vAlign w:val="bottom"/>
          </w:tcPr>
          <w:p w14:paraId="6F5C6964" w14:textId="77777777" w:rsidR="004375F6" w:rsidRDefault="00FF35D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Delta State</w:t>
            </w:r>
          </w:p>
        </w:tc>
        <w:tc>
          <w:tcPr>
            <w:tcW w:w="1714" w:type="dxa"/>
            <w:tcBorders>
              <w:top w:val="nil"/>
              <w:left w:val="nil"/>
              <w:bottom w:val="single" w:sz="4" w:space="0" w:color="auto"/>
              <w:right w:val="single" w:sz="4" w:space="0" w:color="auto"/>
            </w:tcBorders>
            <w:shd w:val="clear" w:color="auto" w:fill="auto"/>
            <w:noWrap/>
            <w:vAlign w:val="bottom"/>
          </w:tcPr>
          <w:p w14:paraId="4744177D"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Measles</w:t>
            </w:r>
          </w:p>
        </w:tc>
        <w:tc>
          <w:tcPr>
            <w:tcW w:w="929" w:type="dxa"/>
            <w:tcBorders>
              <w:top w:val="nil"/>
              <w:left w:val="nil"/>
              <w:bottom w:val="single" w:sz="4" w:space="0" w:color="auto"/>
              <w:right w:val="single" w:sz="4" w:space="0" w:color="auto"/>
            </w:tcBorders>
            <w:shd w:val="clear" w:color="auto" w:fill="auto"/>
            <w:noWrap/>
            <w:vAlign w:val="bottom"/>
          </w:tcPr>
          <w:p w14:paraId="1A46017C"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929" w:type="dxa"/>
            <w:tcBorders>
              <w:top w:val="nil"/>
              <w:left w:val="nil"/>
              <w:bottom w:val="single" w:sz="4" w:space="0" w:color="auto"/>
              <w:right w:val="single" w:sz="4" w:space="0" w:color="auto"/>
            </w:tcBorders>
            <w:shd w:val="clear" w:color="auto" w:fill="auto"/>
            <w:noWrap/>
            <w:vAlign w:val="bottom"/>
          </w:tcPr>
          <w:p w14:paraId="0AB3BB2E"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929" w:type="dxa"/>
            <w:tcBorders>
              <w:top w:val="nil"/>
              <w:left w:val="nil"/>
              <w:bottom w:val="single" w:sz="4" w:space="0" w:color="auto"/>
              <w:right w:val="single" w:sz="4" w:space="0" w:color="auto"/>
            </w:tcBorders>
            <w:shd w:val="clear" w:color="auto" w:fill="auto"/>
            <w:noWrap/>
            <w:vAlign w:val="bottom"/>
          </w:tcPr>
          <w:p w14:paraId="2C2091FA"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929" w:type="dxa"/>
            <w:tcBorders>
              <w:top w:val="nil"/>
              <w:left w:val="nil"/>
              <w:bottom w:val="single" w:sz="4" w:space="0" w:color="auto"/>
              <w:right w:val="single" w:sz="4" w:space="0" w:color="auto"/>
            </w:tcBorders>
            <w:shd w:val="clear" w:color="auto" w:fill="auto"/>
            <w:noWrap/>
            <w:vAlign w:val="bottom"/>
          </w:tcPr>
          <w:p w14:paraId="788CFB7C"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29" w:type="dxa"/>
            <w:tcBorders>
              <w:top w:val="nil"/>
              <w:left w:val="nil"/>
              <w:bottom w:val="single" w:sz="4" w:space="0" w:color="auto"/>
              <w:right w:val="single" w:sz="4" w:space="0" w:color="auto"/>
            </w:tcBorders>
            <w:shd w:val="clear" w:color="auto" w:fill="auto"/>
            <w:noWrap/>
            <w:vAlign w:val="bottom"/>
          </w:tcPr>
          <w:p w14:paraId="5398B1D1"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r>
      <w:tr w:rsidR="004375F6" w14:paraId="7E88D3AD" w14:textId="77777777">
        <w:trPr>
          <w:trHeight w:val="255"/>
        </w:trPr>
        <w:tc>
          <w:tcPr>
            <w:tcW w:w="2121" w:type="dxa"/>
            <w:tcBorders>
              <w:top w:val="nil"/>
              <w:left w:val="single" w:sz="4" w:space="0" w:color="auto"/>
              <w:bottom w:val="single" w:sz="4" w:space="0" w:color="auto"/>
              <w:right w:val="single" w:sz="4" w:space="0" w:color="auto"/>
            </w:tcBorders>
            <w:shd w:val="clear" w:color="auto" w:fill="auto"/>
            <w:noWrap/>
            <w:vAlign w:val="bottom"/>
          </w:tcPr>
          <w:p w14:paraId="75C301E3" w14:textId="77777777" w:rsidR="004375F6" w:rsidRDefault="00FF35D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Delta State</w:t>
            </w:r>
          </w:p>
        </w:tc>
        <w:tc>
          <w:tcPr>
            <w:tcW w:w="1714" w:type="dxa"/>
            <w:tcBorders>
              <w:top w:val="nil"/>
              <w:left w:val="nil"/>
              <w:bottom w:val="single" w:sz="4" w:space="0" w:color="auto"/>
              <w:right w:val="single" w:sz="4" w:space="0" w:color="auto"/>
            </w:tcBorders>
            <w:shd w:val="clear" w:color="auto" w:fill="auto"/>
            <w:noWrap/>
            <w:vAlign w:val="bottom"/>
          </w:tcPr>
          <w:p w14:paraId="552C68DC"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Neonatal Tetanus </w:t>
            </w:r>
          </w:p>
        </w:tc>
        <w:tc>
          <w:tcPr>
            <w:tcW w:w="929" w:type="dxa"/>
            <w:tcBorders>
              <w:top w:val="nil"/>
              <w:left w:val="nil"/>
              <w:bottom w:val="single" w:sz="4" w:space="0" w:color="auto"/>
              <w:right w:val="single" w:sz="4" w:space="0" w:color="auto"/>
            </w:tcBorders>
            <w:shd w:val="clear" w:color="auto" w:fill="auto"/>
            <w:noWrap/>
            <w:vAlign w:val="bottom"/>
          </w:tcPr>
          <w:p w14:paraId="23BFA274"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29" w:type="dxa"/>
            <w:tcBorders>
              <w:top w:val="nil"/>
              <w:left w:val="nil"/>
              <w:bottom w:val="single" w:sz="4" w:space="0" w:color="auto"/>
              <w:right w:val="single" w:sz="4" w:space="0" w:color="auto"/>
            </w:tcBorders>
            <w:shd w:val="clear" w:color="auto" w:fill="auto"/>
            <w:noWrap/>
            <w:vAlign w:val="bottom"/>
          </w:tcPr>
          <w:p w14:paraId="09C81083"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929" w:type="dxa"/>
            <w:tcBorders>
              <w:top w:val="nil"/>
              <w:left w:val="nil"/>
              <w:bottom w:val="single" w:sz="4" w:space="0" w:color="auto"/>
              <w:right w:val="single" w:sz="4" w:space="0" w:color="auto"/>
            </w:tcBorders>
            <w:shd w:val="clear" w:color="auto" w:fill="auto"/>
            <w:noWrap/>
            <w:vAlign w:val="bottom"/>
          </w:tcPr>
          <w:p w14:paraId="5B2E394B"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29" w:type="dxa"/>
            <w:tcBorders>
              <w:top w:val="nil"/>
              <w:left w:val="nil"/>
              <w:bottom w:val="single" w:sz="4" w:space="0" w:color="auto"/>
              <w:right w:val="single" w:sz="4" w:space="0" w:color="auto"/>
            </w:tcBorders>
            <w:shd w:val="clear" w:color="auto" w:fill="auto"/>
            <w:noWrap/>
            <w:vAlign w:val="bottom"/>
          </w:tcPr>
          <w:p w14:paraId="1758EBEF"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29" w:type="dxa"/>
            <w:tcBorders>
              <w:top w:val="nil"/>
              <w:left w:val="nil"/>
              <w:bottom w:val="single" w:sz="4" w:space="0" w:color="auto"/>
              <w:right w:val="single" w:sz="4" w:space="0" w:color="auto"/>
            </w:tcBorders>
            <w:shd w:val="clear" w:color="auto" w:fill="auto"/>
            <w:noWrap/>
            <w:vAlign w:val="bottom"/>
          </w:tcPr>
          <w:p w14:paraId="495FE2B3"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4375F6" w14:paraId="0CB83969" w14:textId="77777777">
        <w:trPr>
          <w:trHeight w:val="255"/>
        </w:trPr>
        <w:tc>
          <w:tcPr>
            <w:tcW w:w="2121" w:type="dxa"/>
            <w:tcBorders>
              <w:top w:val="nil"/>
              <w:left w:val="single" w:sz="4" w:space="0" w:color="auto"/>
              <w:bottom w:val="single" w:sz="4" w:space="0" w:color="auto"/>
              <w:right w:val="single" w:sz="4" w:space="0" w:color="auto"/>
            </w:tcBorders>
            <w:shd w:val="clear" w:color="auto" w:fill="auto"/>
            <w:noWrap/>
            <w:vAlign w:val="bottom"/>
          </w:tcPr>
          <w:p w14:paraId="622D8E34" w14:textId="77777777" w:rsidR="004375F6" w:rsidRDefault="00FF35D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Delta State</w:t>
            </w:r>
          </w:p>
        </w:tc>
        <w:tc>
          <w:tcPr>
            <w:tcW w:w="1714" w:type="dxa"/>
            <w:tcBorders>
              <w:top w:val="nil"/>
              <w:left w:val="nil"/>
              <w:bottom w:val="single" w:sz="4" w:space="0" w:color="auto"/>
              <w:right w:val="single" w:sz="4" w:space="0" w:color="auto"/>
            </w:tcBorders>
            <w:shd w:val="clear" w:color="auto" w:fill="auto"/>
            <w:noWrap/>
            <w:vAlign w:val="bottom"/>
          </w:tcPr>
          <w:p w14:paraId="08B5528F"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Pertussis</w:t>
            </w:r>
          </w:p>
        </w:tc>
        <w:tc>
          <w:tcPr>
            <w:tcW w:w="929" w:type="dxa"/>
            <w:tcBorders>
              <w:top w:val="nil"/>
              <w:left w:val="nil"/>
              <w:bottom w:val="single" w:sz="4" w:space="0" w:color="auto"/>
              <w:right w:val="single" w:sz="4" w:space="0" w:color="auto"/>
            </w:tcBorders>
            <w:shd w:val="clear" w:color="auto" w:fill="auto"/>
            <w:noWrap/>
            <w:vAlign w:val="bottom"/>
          </w:tcPr>
          <w:p w14:paraId="2F2D007B"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29" w:type="dxa"/>
            <w:tcBorders>
              <w:top w:val="nil"/>
              <w:left w:val="nil"/>
              <w:bottom w:val="single" w:sz="4" w:space="0" w:color="auto"/>
              <w:right w:val="single" w:sz="4" w:space="0" w:color="auto"/>
            </w:tcBorders>
            <w:shd w:val="clear" w:color="auto" w:fill="auto"/>
            <w:noWrap/>
            <w:vAlign w:val="bottom"/>
          </w:tcPr>
          <w:p w14:paraId="6C7841ED"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29" w:type="dxa"/>
            <w:tcBorders>
              <w:top w:val="nil"/>
              <w:left w:val="nil"/>
              <w:bottom w:val="single" w:sz="4" w:space="0" w:color="auto"/>
              <w:right w:val="single" w:sz="4" w:space="0" w:color="auto"/>
            </w:tcBorders>
            <w:shd w:val="clear" w:color="auto" w:fill="auto"/>
            <w:noWrap/>
            <w:vAlign w:val="bottom"/>
          </w:tcPr>
          <w:p w14:paraId="5C8619BB"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29" w:type="dxa"/>
            <w:tcBorders>
              <w:top w:val="nil"/>
              <w:left w:val="nil"/>
              <w:bottom w:val="single" w:sz="4" w:space="0" w:color="auto"/>
              <w:right w:val="single" w:sz="4" w:space="0" w:color="auto"/>
            </w:tcBorders>
            <w:shd w:val="clear" w:color="auto" w:fill="auto"/>
            <w:noWrap/>
            <w:vAlign w:val="bottom"/>
          </w:tcPr>
          <w:p w14:paraId="1F9605DC"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29" w:type="dxa"/>
            <w:tcBorders>
              <w:top w:val="nil"/>
              <w:left w:val="nil"/>
              <w:bottom w:val="single" w:sz="4" w:space="0" w:color="auto"/>
              <w:right w:val="single" w:sz="4" w:space="0" w:color="auto"/>
            </w:tcBorders>
            <w:shd w:val="clear" w:color="auto" w:fill="auto"/>
            <w:noWrap/>
            <w:vAlign w:val="bottom"/>
          </w:tcPr>
          <w:p w14:paraId="596B841D"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4375F6" w14:paraId="71C7E772" w14:textId="77777777">
        <w:trPr>
          <w:trHeight w:val="255"/>
        </w:trPr>
        <w:tc>
          <w:tcPr>
            <w:tcW w:w="2121" w:type="dxa"/>
            <w:tcBorders>
              <w:top w:val="nil"/>
              <w:left w:val="single" w:sz="4" w:space="0" w:color="auto"/>
              <w:bottom w:val="single" w:sz="4" w:space="0" w:color="auto"/>
              <w:right w:val="single" w:sz="4" w:space="0" w:color="auto"/>
            </w:tcBorders>
            <w:shd w:val="clear" w:color="auto" w:fill="auto"/>
            <w:noWrap/>
            <w:vAlign w:val="bottom"/>
          </w:tcPr>
          <w:p w14:paraId="127F21B4" w14:textId="77777777" w:rsidR="004375F6" w:rsidRDefault="00FF35D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Delta State</w:t>
            </w:r>
          </w:p>
        </w:tc>
        <w:tc>
          <w:tcPr>
            <w:tcW w:w="1714" w:type="dxa"/>
            <w:tcBorders>
              <w:top w:val="nil"/>
              <w:left w:val="nil"/>
              <w:bottom w:val="single" w:sz="4" w:space="0" w:color="auto"/>
              <w:right w:val="single" w:sz="4" w:space="0" w:color="auto"/>
            </w:tcBorders>
            <w:shd w:val="clear" w:color="auto" w:fill="auto"/>
            <w:noWrap/>
            <w:vAlign w:val="bottom"/>
          </w:tcPr>
          <w:p w14:paraId="323C9E7A"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Yellow Fever</w:t>
            </w:r>
          </w:p>
        </w:tc>
        <w:tc>
          <w:tcPr>
            <w:tcW w:w="929" w:type="dxa"/>
            <w:tcBorders>
              <w:top w:val="nil"/>
              <w:left w:val="nil"/>
              <w:bottom w:val="single" w:sz="4" w:space="0" w:color="auto"/>
              <w:right w:val="single" w:sz="4" w:space="0" w:color="auto"/>
            </w:tcBorders>
            <w:shd w:val="clear" w:color="auto" w:fill="auto"/>
            <w:noWrap/>
            <w:vAlign w:val="bottom"/>
          </w:tcPr>
          <w:p w14:paraId="5A988EFA"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29" w:type="dxa"/>
            <w:tcBorders>
              <w:top w:val="nil"/>
              <w:left w:val="nil"/>
              <w:bottom w:val="single" w:sz="4" w:space="0" w:color="auto"/>
              <w:right w:val="single" w:sz="4" w:space="0" w:color="auto"/>
            </w:tcBorders>
            <w:shd w:val="clear" w:color="auto" w:fill="auto"/>
            <w:noWrap/>
            <w:vAlign w:val="bottom"/>
          </w:tcPr>
          <w:p w14:paraId="29B1F2CD"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29" w:type="dxa"/>
            <w:tcBorders>
              <w:top w:val="nil"/>
              <w:left w:val="nil"/>
              <w:bottom w:val="single" w:sz="4" w:space="0" w:color="auto"/>
              <w:right w:val="single" w:sz="4" w:space="0" w:color="auto"/>
            </w:tcBorders>
            <w:shd w:val="clear" w:color="auto" w:fill="auto"/>
            <w:noWrap/>
            <w:vAlign w:val="bottom"/>
          </w:tcPr>
          <w:p w14:paraId="2ABC5E1E"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29" w:type="dxa"/>
            <w:tcBorders>
              <w:top w:val="nil"/>
              <w:left w:val="nil"/>
              <w:bottom w:val="single" w:sz="4" w:space="0" w:color="auto"/>
              <w:right w:val="single" w:sz="4" w:space="0" w:color="auto"/>
            </w:tcBorders>
            <w:shd w:val="clear" w:color="auto" w:fill="auto"/>
            <w:noWrap/>
            <w:vAlign w:val="bottom"/>
          </w:tcPr>
          <w:p w14:paraId="17736EDB"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29" w:type="dxa"/>
            <w:tcBorders>
              <w:top w:val="nil"/>
              <w:left w:val="nil"/>
              <w:bottom w:val="single" w:sz="4" w:space="0" w:color="auto"/>
              <w:right w:val="single" w:sz="4" w:space="0" w:color="auto"/>
            </w:tcBorders>
            <w:shd w:val="clear" w:color="auto" w:fill="auto"/>
            <w:noWrap/>
            <w:vAlign w:val="bottom"/>
          </w:tcPr>
          <w:p w14:paraId="427085C0"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4375F6" w14:paraId="0101F80F" w14:textId="77777777">
        <w:trPr>
          <w:trHeight w:val="255"/>
        </w:trPr>
        <w:tc>
          <w:tcPr>
            <w:tcW w:w="2121" w:type="dxa"/>
            <w:tcBorders>
              <w:top w:val="nil"/>
              <w:left w:val="single" w:sz="4" w:space="0" w:color="auto"/>
              <w:bottom w:val="single" w:sz="4" w:space="0" w:color="auto"/>
              <w:right w:val="single" w:sz="4" w:space="0" w:color="auto"/>
            </w:tcBorders>
            <w:shd w:val="clear" w:color="auto" w:fill="auto"/>
            <w:noWrap/>
            <w:vAlign w:val="bottom"/>
          </w:tcPr>
          <w:p w14:paraId="1D06F24F" w14:textId="77777777" w:rsidR="004375F6" w:rsidRDefault="00FF35D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Delta State</w:t>
            </w:r>
          </w:p>
        </w:tc>
        <w:tc>
          <w:tcPr>
            <w:tcW w:w="1714" w:type="dxa"/>
            <w:tcBorders>
              <w:top w:val="nil"/>
              <w:left w:val="nil"/>
              <w:bottom w:val="single" w:sz="4" w:space="0" w:color="auto"/>
              <w:right w:val="single" w:sz="4" w:space="0" w:color="auto"/>
            </w:tcBorders>
            <w:shd w:val="clear" w:color="auto" w:fill="auto"/>
            <w:noWrap/>
            <w:vAlign w:val="bottom"/>
          </w:tcPr>
          <w:p w14:paraId="2E8A77C6"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Diphtheria </w:t>
            </w:r>
          </w:p>
        </w:tc>
        <w:tc>
          <w:tcPr>
            <w:tcW w:w="929" w:type="dxa"/>
            <w:tcBorders>
              <w:top w:val="nil"/>
              <w:left w:val="nil"/>
              <w:bottom w:val="single" w:sz="4" w:space="0" w:color="auto"/>
              <w:right w:val="single" w:sz="4" w:space="0" w:color="auto"/>
            </w:tcBorders>
            <w:shd w:val="clear" w:color="auto" w:fill="auto"/>
            <w:noWrap/>
            <w:vAlign w:val="bottom"/>
          </w:tcPr>
          <w:p w14:paraId="1121ADD1"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29" w:type="dxa"/>
            <w:tcBorders>
              <w:top w:val="nil"/>
              <w:left w:val="nil"/>
              <w:bottom w:val="single" w:sz="4" w:space="0" w:color="auto"/>
              <w:right w:val="single" w:sz="4" w:space="0" w:color="auto"/>
            </w:tcBorders>
            <w:shd w:val="clear" w:color="auto" w:fill="auto"/>
            <w:noWrap/>
            <w:vAlign w:val="bottom"/>
          </w:tcPr>
          <w:p w14:paraId="5415D7F5"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29" w:type="dxa"/>
            <w:tcBorders>
              <w:top w:val="nil"/>
              <w:left w:val="nil"/>
              <w:bottom w:val="single" w:sz="4" w:space="0" w:color="auto"/>
              <w:right w:val="single" w:sz="4" w:space="0" w:color="auto"/>
            </w:tcBorders>
            <w:shd w:val="clear" w:color="auto" w:fill="auto"/>
            <w:noWrap/>
            <w:vAlign w:val="bottom"/>
          </w:tcPr>
          <w:p w14:paraId="650AB236"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29" w:type="dxa"/>
            <w:tcBorders>
              <w:top w:val="nil"/>
              <w:left w:val="nil"/>
              <w:bottom w:val="single" w:sz="4" w:space="0" w:color="auto"/>
              <w:right w:val="single" w:sz="4" w:space="0" w:color="auto"/>
            </w:tcBorders>
            <w:shd w:val="clear" w:color="auto" w:fill="auto"/>
            <w:noWrap/>
            <w:vAlign w:val="bottom"/>
          </w:tcPr>
          <w:p w14:paraId="6663A425"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29" w:type="dxa"/>
            <w:tcBorders>
              <w:top w:val="nil"/>
              <w:left w:val="nil"/>
              <w:bottom w:val="single" w:sz="4" w:space="0" w:color="auto"/>
              <w:right w:val="single" w:sz="4" w:space="0" w:color="auto"/>
            </w:tcBorders>
            <w:shd w:val="clear" w:color="auto" w:fill="auto"/>
            <w:noWrap/>
            <w:vAlign w:val="bottom"/>
          </w:tcPr>
          <w:p w14:paraId="179D1A2D"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4375F6" w14:paraId="6AD595CB" w14:textId="77777777">
        <w:trPr>
          <w:trHeight w:val="255"/>
        </w:trPr>
        <w:tc>
          <w:tcPr>
            <w:tcW w:w="2121" w:type="dxa"/>
            <w:tcBorders>
              <w:top w:val="nil"/>
              <w:left w:val="single" w:sz="4" w:space="0" w:color="auto"/>
              <w:bottom w:val="single" w:sz="4" w:space="0" w:color="auto"/>
              <w:right w:val="single" w:sz="4" w:space="0" w:color="auto"/>
            </w:tcBorders>
            <w:shd w:val="clear" w:color="auto" w:fill="auto"/>
            <w:noWrap/>
            <w:vAlign w:val="bottom"/>
          </w:tcPr>
          <w:p w14:paraId="43960468" w14:textId="77777777" w:rsidR="004375F6" w:rsidRDefault="00FF35D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Delta State</w:t>
            </w:r>
          </w:p>
        </w:tc>
        <w:tc>
          <w:tcPr>
            <w:tcW w:w="1714" w:type="dxa"/>
            <w:tcBorders>
              <w:top w:val="nil"/>
              <w:left w:val="nil"/>
              <w:bottom w:val="single" w:sz="4" w:space="0" w:color="auto"/>
              <w:right w:val="single" w:sz="4" w:space="0" w:color="auto"/>
            </w:tcBorders>
            <w:shd w:val="clear" w:color="auto" w:fill="auto"/>
            <w:noWrap/>
            <w:vAlign w:val="bottom"/>
          </w:tcPr>
          <w:p w14:paraId="6D33E305"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Poliomyelitis</w:t>
            </w:r>
          </w:p>
        </w:tc>
        <w:tc>
          <w:tcPr>
            <w:tcW w:w="929" w:type="dxa"/>
            <w:tcBorders>
              <w:top w:val="nil"/>
              <w:left w:val="nil"/>
              <w:bottom w:val="single" w:sz="4" w:space="0" w:color="auto"/>
              <w:right w:val="single" w:sz="4" w:space="0" w:color="auto"/>
            </w:tcBorders>
            <w:shd w:val="clear" w:color="auto" w:fill="auto"/>
            <w:noWrap/>
            <w:vAlign w:val="bottom"/>
          </w:tcPr>
          <w:p w14:paraId="7A9928EE"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29" w:type="dxa"/>
            <w:tcBorders>
              <w:top w:val="nil"/>
              <w:left w:val="nil"/>
              <w:bottom w:val="single" w:sz="4" w:space="0" w:color="auto"/>
              <w:right w:val="single" w:sz="4" w:space="0" w:color="auto"/>
            </w:tcBorders>
            <w:shd w:val="clear" w:color="auto" w:fill="auto"/>
            <w:noWrap/>
            <w:vAlign w:val="bottom"/>
          </w:tcPr>
          <w:p w14:paraId="60C424E0"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29" w:type="dxa"/>
            <w:tcBorders>
              <w:top w:val="nil"/>
              <w:left w:val="nil"/>
              <w:bottom w:val="single" w:sz="4" w:space="0" w:color="auto"/>
              <w:right w:val="single" w:sz="4" w:space="0" w:color="auto"/>
            </w:tcBorders>
            <w:shd w:val="clear" w:color="auto" w:fill="auto"/>
            <w:noWrap/>
            <w:vAlign w:val="bottom"/>
          </w:tcPr>
          <w:p w14:paraId="5FC78D4D"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29" w:type="dxa"/>
            <w:tcBorders>
              <w:top w:val="nil"/>
              <w:left w:val="nil"/>
              <w:bottom w:val="single" w:sz="4" w:space="0" w:color="auto"/>
              <w:right w:val="single" w:sz="4" w:space="0" w:color="auto"/>
            </w:tcBorders>
            <w:shd w:val="clear" w:color="auto" w:fill="auto"/>
            <w:noWrap/>
            <w:vAlign w:val="bottom"/>
          </w:tcPr>
          <w:p w14:paraId="05849A58"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29" w:type="dxa"/>
            <w:tcBorders>
              <w:top w:val="nil"/>
              <w:left w:val="nil"/>
              <w:bottom w:val="single" w:sz="4" w:space="0" w:color="auto"/>
              <w:right w:val="single" w:sz="4" w:space="0" w:color="auto"/>
            </w:tcBorders>
            <w:shd w:val="clear" w:color="auto" w:fill="auto"/>
            <w:noWrap/>
            <w:vAlign w:val="bottom"/>
          </w:tcPr>
          <w:p w14:paraId="4B21CD80"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4375F6" w14:paraId="3D23A34E" w14:textId="77777777">
        <w:trPr>
          <w:trHeight w:val="255"/>
        </w:trPr>
        <w:tc>
          <w:tcPr>
            <w:tcW w:w="2121" w:type="dxa"/>
            <w:tcBorders>
              <w:top w:val="nil"/>
              <w:left w:val="single" w:sz="4" w:space="0" w:color="auto"/>
              <w:bottom w:val="single" w:sz="4" w:space="0" w:color="auto"/>
              <w:right w:val="single" w:sz="4" w:space="0" w:color="auto"/>
            </w:tcBorders>
            <w:shd w:val="clear" w:color="auto" w:fill="auto"/>
            <w:noWrap/>
            <w:vAlign w:val="bottom"/>
          </w:tcPr>
          <w:p w14:paraId="1EE074F9" w14:textId="77777777" w:rsidR="004375F6" w:rsidRDefault="00FF35D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Delta State</w:t>
            </w:r>
          </w:p>
        </w:tc>
        <w:tc>
          <w:tcPr>
            <w:tcW w:w="1714" w:type="dxa"/>
            <w:tcBorders>
              <w:top w:val="nil"/>
              <w:left w:val="nil"/>
              <w:bottom w:val="single" w:sz="4" w:space="0" w:color="auto"/>
              <w:right w:val="single" w:sz="4" w:space="0" w:color="auto"/>
            </w:tcBorders>
            <w:shd w:val="clear" w:color="auto" w:fill="auto"/>
            <w:noWrap/>
            <w:vAlign w:val="bottom"/>
          </w:tcPr>
          <w:p w14:paraId="23F44169"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Hepatitis B</w:t>
            </w:r>
          </w:p>
        </w:tc>
        <w:tc>
          <w:tcPr>
            <w:tcW w:w="929" w:type="dxa"/>
            <w:tcBorders>
              <w:top w:val="nil"/>
              <w:left w:val="nil"/>
              <w:bottom w:val="single" w:sz="4" w:space="0" w:color="auto"/>
              <w:right w:val="single" w:sz="4" w:space="0" w:color="auto"/>
            </w:tcBorders>
            <w:shd w:val="clear" w:color="auto" w:fill="auto"/>
            <w:noWrap/>
            <w:vAlign w:val="bottom"/>
          </w:tcPr>
          <w:p w14:paraId="6C7E2186"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929" w:type="dxa"/>
            <w:tcBorders>
              <w:top w:val="nil"/>
              <w:left w:val="nil"/>
              <w:bottom w:val="single" w:sz="4" w:space="0" w:color="auto"/>
              <w:right w:val="single" w:sz="4" w:space="0" w:color="auto"/>
            </w:tcBorders>
            <w:shd w:val="clear" w:color="auto" w:fill="auto"/>
            <w:noWrap/>
            <w:vAlign w:val="bottom"/>
          </w:tcPr>
          <w:p w14:paraId="3DD8FD5A"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929" w:type="dxa"/>
            <w:tcBorders>
              <w:top w:val="nil"/>
              <w:left w:val="nil"/>
              <w:bottom w:val="single" w:sz="4" w:space="0" w:color="auto"/>
              <w:right w:val="single" w:sz="4" w:space="0" w:color="auto"/>
            </w:tcBorders>
            <w:shd w:val="clear" w:color="auto" w:fill="auto"/>
            <w:noWrap/>
            <w:vAlign w:val="bottom"/>
          </w:tcPr>
          <w:p w14:paraId="487C4049"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p>
        </w:tc>
        <w:tc>
          <w:tcPr>
            <w:tcW w:w="929" w:type="dxa"/>
            <w:tcBorders>
              <w:top w:val="nil"/>
              <w:left w:val="nil"/>
              <w:bottom w:val="single" w:sz="4" w:space="0" w:color="auto"/>
              <w:right w:val="single" w:sz="4" w:space="0" w:color="auto"/>
            </w:tcBorders>
            <w:shd w:val="clear" w:color="auto" w:fill="auto"/>
            <w:noWrap/>
            <w:vAlign w:val="bottom"/>
          </w:tcPr>
          <w:p w14:paraId="61BAFB25"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929" w:type="dxa"/>
            <w:tcBorders>
              <w:top w:val="nil"/>
              <w:left w:val="nil"/>
              <w:bottom w:val="single" w:sz="4" w:space="0" w:color="auto"/>
              <w:right w:val="single" w:sz="4" w:space="0" w:color="auto"/>
            </w:tcBorders>
            <w:shd w:val="clear" w:color="auto" w:fill="auto"/>
            <w:noWrap/>
            <w:vAlign w:val="bottom"/>
          </w:tcPr>
          <w:p w14:paraId="5D41B758"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r>
      <w:tr w:rsidR="004375F6" w14:paraId="469F5872" w14:textId="77777777">
        <w:trPr>
          <w:trHeight w:val="255"/>
        </w:trPr>
        <w:tc>
          <w:tcPr>
            <w:tcW w:w="2121" w:type="dxa"/>
            <w:tcBorders>
              <w:top w:val="nil"/>
              <w:left w:val="single" w:sz="4" w:space="0" w:color="auto"/>
              <w:bottom w:val="single" w:sz="4" w:space="0" w:color="auto"/>
              <w:right w:val="single" w:sz="4" w:space="0" w:color="auto"/>
            </w:tcBorders>
            <w:shd w:val="clear" w:color="auto" w:fill="auto"/>
            <w:noWrap/>
            <w:vAlign w:val="bottom"/>
          </w:tcPr>
          <w:p w14:paraId="1B3CB63D" w14:textId="77777777" w:rsidR="004375F6" w:rsidRDefault="00FF35D3">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 Delta State</w:t>
            </w:r>
          </w:p>
        </w:tc>
        <w:tc>
          <w:tcPr>
            <w:tcW w:w="1714" w:type="dxa"/>
            <w:tcBorders>
              <w:top w:val="nil"/>
              <w:left w:val="nil"/>
              <w:bottom w:val="single" w:sz="4" w:space="0" w:color="auto"/>
              <w:right w:val="single" w:sz="4" w:space="0" w:color="auto"/>
            </w:tcBorders>
            <w:shd w:val="clear" w:color="auto" w:fill="auto"/>
            <w:noWrap/>
            <w:vAlign w:val="bottom"/>
          </w:tcPr>
          <w:p w14:paraId="0327FFE8"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Meningitis</w:t>
            </w:r>
          </w:p>
        </w:tc>
        <w:tc>
          <w:tcPr>
            <w:tcW w:w="929" w:type="dxa"/>
            <w:tcBorders>
              <w:top w:val="nil"/>
              <w:left w:val="nil"/>
              <w:bottom w:val="single" w:sz="4" w:space="0" w:color="auto"/>
              <w:right w:val="single" w:sz="4" w:space="0" w:color="auto"/>
            </w:tcBorders>
            <w:shd w:val="clear" w:color="auto" w:fill="auto"/>
            <w:noWrap/>
            <w:vAlign w:val="bottom"/>
          </w:tcPr>
          <w:p w14:paraId="30910E2C"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29" w:type="dxa"/>
            <w:tcBorders>
              <w:top w:val="nil"/>
              <w:left w:val="nil"/>
              <w:bottom w:val="single" w:sz="4" w:space="0" w:color="auto"/>
              <w:right w:val="single" w:sz="4" w:space="0" w:color="auto"/>
            </w:tcBorders>
            <w:shd w:val="clear" w:color="auto" w:fill="auto"/>
            <w:noWrap/>
            <w:vAlign w:val="bottom"/>
          </w:tcPr>
          <w:p w14:paraId="47D96BE1"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929" w:type="dxa"/>
            <w:tcBorders>
              <w:top w:val="nil"/>
              <w:left w:val="nil"/>
              <w:bottom w:val="single" w:sz="4" w:space="0" w:color="auto"/>
              <w:right w:val="single" w:sz="4" w:space="0" w:color="auto"/>
            </w:tcBorders>
            <w:shd w:val="clear" w:color="auto" w:fill="auto"/>
            <w:noWrap/>
            <w:vAlign w:val="bottom"/>
          </w:tcPr>
          <w:p w14:paraId="7B0C6290"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929" w:type="dxa"/>
            <w:tcBorders>
              <w:top w:val="nil"/>
              <w:left w:val="nil"/>
              <w:bottom w:val="single" w:sz="4" w:space="0" w:color="auto"/>
              <w:right w:val="single" w:sz="4" w:space="0" w:color="auto"/>
            </w:tcBorders>
            <w:shd w:val="clear" w:color="auto" w:fill="auto"/>
            <w:noWrap/>
            <w:vAlign w:val="bottom"/>
          </w:tcPr>
          <w:p w14:paraId="252E27A0"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929" w:type="dxa"/>
            <w:tcBorders>
              <w:top w:val="nil"/>
              <w:left w:val="nil"/>
              <w:bottom w:val="single" w:sz="4" w:space="0" w:color="auto"/>
              <w:right w:val="single" w:sz="4" w:space="0" w:color="auto"/>
            </w:tcBorders>
            <w:shd w:val="clear" w:color="auto" w:fill="auto"/>
            <w:noWrap/>
            <w:vAlign w:val="bottom"/>
          </w:tcPr>
          <w:p w14:paraId="76B2DB98" w14:textId="77777777" w:rsidR="004375F6" w:rsidRDefault="00FF35D3">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14:paraId="6A10DB90" w14:textId="77777777" w:rsidR="004375F6" w:rsidRDefault="00FF35D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(Source: Delta State Primary Health Care Agency 2019)</w:t>
      </w:r>
    </w:p>
    <w:p w14:paraId="23C40E76" w14:textId="77777777" w:rsidR="004375F6" w:rsidRDefault="004375F6">
      <w:pPr>
        <w:spacing w:line="360" w:lineRule="auto"/>
        <w:jc w:val="both"/>
        <w:rPr>
          <w:rFonts w:ascii="Times New Roman" w:hAnsi="Times New Roman" w:cs="Times New Roman"/>
          <w:b/>
          <w:bCs/>
          <w:sz w:val="24"/>
          <w:szCs w:val="24"/>
        </w:rPr>
      </w:pPr>
    </w:p>
    <w:p w14:paraId="336B94F7" w14:textId="77777777" w:rsidR="004375F6" w:rsidRDefault="00FF35D3">
      <w:pPr>
        <w:pStyle w:val="Heading3"/>
        <w:keepNext w:val="0"/>
        <w:keepLines w:val="0"/>
        <w:numPr>
          <w:ilvl w:val="0"/>
          <w:numId w:val="1"/>
        </w:numPr>
        <w:jc w:val="both"/>
        <w:rPr>
          <w:rFonts w:ascii="Times New Roman" w:hAnsi="Times New Roman" w:cs="Times New Roman"/>
          <w:b/>
          <w:bCs/>
          <w:color w:val="auto"/>
        </w:rPr>
      </w:pPr>
      <w:r>
        <w:rPr>
          <w:rStyle w:val="Strong"/>
          <w:rFonts w:ascii="Times New Roman" w:hAnsi="Times New Roman" w:cs="Times New Roman"/>
          <w:color w:val="auto"/>
        </w:rPr>
        <w:t>Percentage Immunization Coverage, Delta State (2018–2022)</w:t>
      </w:r>
    </w:p>
    <w:p w14:paraId="413EA83D" w14:textId="77777777" w:rsidR="004375F6" w:rsidRDefault="00FF35D3">
      <w:pPr>
        <w:pStyle w:val="NormalWeb"/>
        <w:jc w:val="both"/>
      </w:pPr>
      <w:r>
        <w:lastRenderedPageBreak/>
        <w:t>This table shows how immunization coverage fluctuated over a five-year period. Coverage increased from 66% in 2018 to a peak of 78% in 2019, r</w:t>
      </w:r>
      <w:r>
        <w:t>eflecting a strong pre-pandemic performance. However, the onset of COVID-19 in 2020 led to a slight decline to 76%, suggesting early system resilience. In 2021, a further drop to 68% was observed, and by 2022, coverage had returned to the 2018 level of 66%</w:t>
      </w:r>
      <w:r>
        <w:t>. This stagnation signals incomplete recovery post-COVID and highlights persistent challenges in reaching full immunization targets. The inability to rebound to pre-pandemic levels suggests gaps in outreach, follow-up, and health system adaptation.</w:t>
      </w:r>
    </w:p>
    <w:p w14:paraId="1BC90434" w14:textId="77777777" w:rsidR="004375F6" w:rsidRDefault="004375F6">
      <w:pPr>
        <w:spacing w:line="360" w:lineRule="auto"/>
        <w:jc w:val="both"/>
        <w:rPr>
          <w:rFonts w:ascii="Times New Roman" w:hAnsi="Times New Roman" w:cs="Times New Roman"/>
          <w:sz w:val="24"/>
          <w:szCs w:val="24"/>
        </w:rPr>
      </w:pPr>
    </w:p>
    <w:p w14:paraId="09B302C8" w14:textId="77777777" w:rsidR="004375F6" w:rsidRDefault="00FF35D3">
      <w:pPr>
        <w:jc w:val="both"/>
        <w:rPr>
          <w:rFonts w:ascii="Times New Roman" w:hAnsi="Times New Roman" w:cs="Times New Roman"/>
          <w:b/>
          <w:bCs/>
          <w:sz w:val="24"/>
          <w:szCs w:val="24"/>
        </w:rPr>
      </w:pPr>
      <w:r>
        <w:rPr>
          <w:rFonts w:ascii="Times New Roman" w:hAnsi="Times New Roman" w:cs="Times New Roman"/>
          <w:b/>
          <w:bCs/>
          <w:sz w:val="24"/>
          <w:szCs w:val="24"/>
        </w:rPr>
        <w:t xml:space="preserve">Table </w:t>
      </w:r>
      <w:r>
        <w:rPr>
          <w:rFonts w:ascii="Times New Roman" w:hAnsi="Times New Roman" w:cs="Times New Roman"/>
          <w:b/>
          <w:bCs/>
          <w:sz w:val="24"/>
          <w:szCs w:val="24"/>
        </w:rPr>
        <w:t>3: Percentage Immunization Coverage, Delta State (2018–2022)</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320"/>
      </w:tblGrid>
      <w:tr w:rsidR="004375F6" w14:paraId="51C803D7" w14:textId="77777777">
        <w:tc>
          <w:tcPr>
            <w:tcW w:w="4320" w:type="dxa"/>
          </w:tcPr>
          <w:p w14:paraId="337E5580" w14:textId="77777777" w:rsidR="004375F6" w:rsidRDefault="00FF35D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Year</w:t>
            </w:r>
          </w:p>
        </w:tc>
        <w:tc>
          <w:tcPr>
            <w:tcW w:w="4320" w:type="dxa"/>
          </w:tcPr>
          <w:p w14:paraId="10A2D4BD" w14:textId="77777777" w:rsidR="004375F6" w:rsidRDefault="00FF35D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Estimated % Coverage</w:t>
            </w:r>
          </w:p>
        </w:tc>
      </w:tr>
      <w:tr w:rsidR="004375F6" w14:paraId="20CF7541" w14:textId="77777777">
        <w:tc>
          <w:tcPr>
            <w:tcW w:w="4320" w:type="dxa"/>
          </w:tcPr>
          <w:p w14:paraId="01483D41" w14:textId="77777777" w:rsidR="004375F6" w:rsidRDefault="00FF35D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2018</w:t>
            </w:r>
          </w:p>
        </w:tc>
        <w:tc>
          <w:tcPr>
            <w:tcW w:w="4320" w:type="dxa"/>
          </w:tcPr>
          <w:p w14:paraId="4B629A8A" w14:textId="77777777" w:rsidR="004375F6" w:rsidRDefault="00FF3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66</w:t>
            </w:r>
          </w:p>
        </w:tc>
      </w:tr>
      <w:tr w:rsidR="004375F6" w14:paraId="5E0DB1F6" w14:textId="77777777">
        <w:tc>
          <w:tcPr>
            <w:tcW w:w="4320" w:type="dxa"/>
          </w:tcPr>
          <w:p w14:paraId="51D20ABD" w14:textId="77777777" w:rsidR="004375F6" w:rsidRDefault="00FF35D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2019</w:t>
            </w:r>
          </w:p>
        </w:tc>
        <w:tc>
          <w:tcPr>
            <w:tcW w:w="4320" w:type="dxa"/>
          </w:tcPr>
          <w:p w14:paraId="01F2E37C" w14:textId="77777777" w:rsidR="004375F6" w:rsidRDefault="00FF3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78</w:t>
            </w:r>
          </w:p>
        </w:tc>
      </w:tr>
      <w:tr w:rsidR="004375F6" w14:paraId="3C026CD0" w14:textId="77777777">
        <w:tc>
          <w:tcPr>
            <w:tcW w:w="4320" w:type="dxa"/>
          </w:tcPr>
          <w:p w14:paraId="4E7100C3" w14:textId="77777777" w:rsidR="004375F6" w:rsidRDefault="00FF35D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2020</w:t>
            </w:r>
          </w:p>
        </w:tc>
        <w:tc>
          <w:tcPr>
            <w:tcW w:w="4320" w:type="dxa"/>
          </w:tcPr>
          <w:p w14:paraId="603713E0" w14:textId="77777777" w:rsidR="004375F6" w:rsidRDefault="00FF3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76</w:t>
            </w:r>
          </w:p>
        </w:tc>
      </w:tr>
      <w:tr w:rsidR="004375F6" w14:paraId="3C9C06A8" w14:textId="77777777">
        <w:tc>
          <w:tcPr>
            <w:tcW w:w="4320" w:type="dxa"/>
          </w:tcPr>
          <w:p w14:paraId="44154BBE" w14:textId="77777777" w:rsidR="004375F6" w:rsidRDefault="00FF35D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2021</w:t>
            </w:r>
          </w:p>
        </w:tc>
        <w:tc>
          <w:tcPr>
            <w:tcW w:w="4320" w:type="dxa"/>
          </w:tcPr>
          <w:p w14:paraId="00078C3F" w14:textId="77777777" w:rsidR="004375F6" w:rsidRDefault="00FF3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68</w:t>
            </w:r>
          </w:p>
        </w:tc>
      </w:tr>
      <w:tr w:rsidR="004375F6" w14:paraId="253E5EEA" w14:textId="77777777">
        <w:tc>
          <w:tcPr>
            <w:tcW w:w="4320" w:type="dxa"/>
          </w:tcPr>
          <w:p w14:paraId="48B83698" w14:textId="77777777" w:rsidR="004375F6" w:rsidRDefault="00FF35D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2022</w:t>
            </w:r>
          </w:p>
        </w:tc>
        <w:tc>
          <w:tcPr>
            <w:tcW w:w="4320" w:type="dxa"/>
          </w:tcPr>
          <w:p w14:paraId="5E134B58" w14:textId="77777777" w:rsidR="004375F6" w:rsidRDefault="00FF3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66</w:t>
            </w:r>
          </w:p>
        </w:tc>
      </w:tr>
    </w:tbl>
    <w:p w14:paraId="64CBF8B8" w14:textId="77777777" w:rsidR="004375F6" w:rsidRDefault="004375F6">
      <w:pPr>
        <w:jc w:val="both"/>
        <w:rPr>
          <w:rFonts w:ascii="Times New Roman" w:hAnsi="Times New Roman" w:cs="Times New Roman"/>
          <w:sz w:val="24"/>
          <w:szCs w:val="24"/>
        </w:rPr>
      </w:pPr>
    </w:p>
    <w:p w14:paraId="00119027" w14:textId="77777777" w:rsidR="004375F6" w:rsidRDefault="00FF35D3">
      <w:pPr>
        <w:pStyle w:val="Heading3"/>
        <w:keepNext w:val="0"/>
        <w:keepLines w:val="0"/>
        <w:numPr>
          <w:ilvl w:val="0"/>
          <w:numId w:val="1"/>
        </w:numPr>
        <w:jc w:val="both"/>
        <w:rPr>
          <w:rFonts w:ascii="Times New Roman" w:hAnsi="Times New Roman" w:cs="Times New Roman"/>
          <w:b/>
          <w:bCs/>
          <w:color w:val="auto"/>
        </w:rPr>
      </w:pPr>
      <w:r>
        <w:rPr>
          <w:rStyle w:val="Strong"/>
          <w:rFonts w:ascii="Times New Roman" w:hAnsi="Times New Roman" w:cs="Times New Roman"/>
          <w:color w:val="auto"/>
        </w:rPr>
        <w:t>Fixed and Outreach Immunization Sessions, Delta State (2018–2022)</w:t>
      </w:r>
    </w:p>
    <w:p w14:paraId="3CD3CB76" w14:textId="77777777" w:rsidR="004375F6" w:rsidRDefault="00FF35D3">
      <w:pPr>
        <w:pStyle w:val="NormalWeb"/>
        <w:jc w:val="both"/>
      </w:pPr>
      <w:r>
        <w:t xml:space="preserve">This table presents the number of fixed and outreach </w:t>
      </w:r>
      <w:r>
        <w:t>sessions conducted each year. Both session types increased from 2018 to 2019, reflecting improved service delivery planning. However, there was a significant decline in 2020—the year COVID-19 began—indicating disruptions to both facility-based and communit</w:t>
      </w:r>
      <w:r>
        <w:t>y-based immunization services. While gradual recovery was seen in 2021 and 2022, session numbers remained below 2019 levels. Fixed sessions were more resilient, but outreach sessions lagged, affecting access in hard-to-reach communities. This persistent sh</w:t>
      </w:r>
      <w:r>
        <w:t>ortfall in outreach activities likely contributed to lower coverage and increased zero-dose children in the state.</w:t>
      </w:r>
    </w:p>
    <w:p w14:paraId="2431368D" w14:textId="77777777" w:rsidR="004375F6" w:rsidRDefault="00FF35D3">
      <w:pPr>
        <w:jc w:val="both"/>
        <w:rPr>
          <w:rFonts w:ascii="Times New Roman" w:hAnsi="Times New Roman" w:cs="Times New Roman"/>
          <w:b/>
          <w:bCs/>
          <w:sz w:val="24"/>
          <w:szCs w:val="24"/>
        </w:rPr>
      </w:pPr>
      <w:r>
        <w:rPr>
          <w:rFonts w:ascii="Times New Roman" w:hAnsi="Times New Roman" w:cs="Times New Roman"/>
          <w:b/>
          <w:bCs/>
          <w:sz w:val="24"/>
          <w:szCs w:val="24"/>
        </w:rPr>
        <w:t>Table 4: Fixed and Outreach Immunization Sessions, Delta State (2018–2022)</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4375F6" w14:paraId="33EA09DF" w14:textId="77777777">
        <w:tc>
          <w:tcPr>
            <w:tcW w:w="2880" w:type="dxa"/>
          </w:tcPr>
          <w:p w14:paraId="0F0687AE" w14:textId="77777777" w:rsidR="004375F6" w:rsidRDefault="00FF35D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Year</w:t>
            </w:r>
          </w:p>
        </w:tc>
        <w:tc>
          <w:tcPr>
            <w:tcW w:w="2880" w:type="dxa"/>
          </w:tcPr>
          <w:p w14:paraId="088FEA7E" w14:textId="77777777" w:rsidR="004375F6" w:rsidRDefault="00FF35D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Fixed Sessions</w:t>
            </w:r>
          </w:p>
        </w:tc>
        <w:tc>
          <w:tcPr>
            <w:tcW w:w="2880" w:type="dxa"/>
          </w:tcPr>
          <w:p w14:paraId="142393CE" w14:textId="77777777" w:rsidR="004375F6" w:rsidRDefault="00FF35D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Outreach Sessions</w:t>
            </w:r>
          </w:p>
        </w:tc>
      </w:tr>
      <w:tr w:rsidR="004375F6" w14:paraId="3081F58F" w14:textId="77777777">
        <w:tc>
          <w:tcPr>
            <w:tcW w:w="2880" w:type="dxa"/>
          </w:tcPr>
          <w:p w14:paraId="34898728" w14:textId="77777777" w:rsidR="004375F6" w:rsidRDefault="00FF35D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2018</w:t>
            </w:r>
          </w:p>
        </w:tc>
        <w:tc>
          <w:tcPr>
            <w:tcW w:w="2880" w:type="dxa"/>
          </w:tcPr>
          <w:p w14:paraId="1B12C687" w14:textId="77777777" w:rsidR="004375F6" w:rsidRDefault="00FF3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5,938</w:t>
            </w:r>
          </w:p>
        </w:tc>
        <w:tc>
          <w:tcPr>
            <w:tcW w:w="2880" w:type="dxa"/>
          </w:tcPr>
          <w:p w14:paraId="3A56D6FA" w14:textId="77777777" w:rsidR="004375F6" w:rsidRDefault="00FF3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3,281</w:t>
            </w:r>
          </w:p>
        </w:tc>
      </w:tr>
      <w:tr w:rsidR="004375F6" w14:paraId="638E710E" w14:textId="77777777">
        <w:tc>
          <w:tcPr>
            <w:tcW w:w="2880" w:type="dxa"/>
          </w:tcPr>
          <w:p w14:paraId="04B64665" w14:textId="77777777" w:rsidR="004375F6" w:rsidRDefault="00FF35D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2019</w:t>
            </w:r>
          </w:p>
        </w:tc>
        <w:tc>
          <w:tcPr>
            <w:tcW w:w="2880" w:type="dxa"/>
          </w:tcPr>
          <w:p w14:paraId="5FB74331" w14:textId="77777777" w:rsidR="004375F6" w:rsidRDefault="00FF3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6,20</w:t>
            </w:r>
            <w:r>
              <w:rPr>
                <w:rFonts w:ascii="Times New Roman" w:hAnsi="Times New Roman" w:cs="Times New Roman"/>
                <w:sz w:val="24"/>
                <w:szCs w:val="24"/>
              </w:rPr>
              <w:t>4</w:t>
            </w:r>
          </w:p>
        </w:tc>
        <w:tc>
          <w:tcPr>
            <w:tcW w:w="2880" w:type="dxa"/>
          </w:tcPr>
          <w:p w14:paraId="149998FA" w14:textId="77777777" w:rsidR="004375F6" w:rsidRDefault="00FF3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3,407</w:t>
            </w:r>
          </w:p>
        </w:tc>
      </w:tr>
      <w:tr w:rsidR="004375F6" w14:paraId="5A64DE70" w14:textId="77777777">
        <w:tc>
          <w:tcPr>
            <w:tcW w:w="2880" w:type="dxa"/>
          </w:tcPr>
          <w:p w14:paraId="6A9415CD" w14:textId="77777777" w:rsidR="004375F6" w:rsidRDefault="00FF35D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2020</w:t>
            </w:r>
          </w:p>
        </w:tc>
        <w:tc>
          <w:tcPr>
            <w:tcW w:w="2880" w:type="dxa"/>
          </w:tcPr>
          <w:p w14:paraId="4E155301" w14:textId="77777777" w:rsidR="004375F6" w:rsidRDefault="00FF3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4,213</w:t>
            </w:r>
          </w:p>
        </w:tc>
        <w:tc>
          <w:tcPr>
            <w:tcW w:w="2880" w:type="dxa"/>
          </w:tcPr>
          <w:p w14:paraId="231E3F08" w14:textId="77777777" w:rsidR="004375F6" w:rsidRDefault="00FF3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2,196</w:t>
            </w:r>
          </w:p>
        </w:tc>
      </w:tr>
      <w:tr w:rsidR="004375F6" w14:paraId="4D6F8C78" w14:textId="77777777">
        <w:tc>
          <w:tcPr>
            <w:tcW w:w="2880" w:type="dxa"/>
          </w:tcPr>
          <w:p w14:paraId="6AB641EE" w14:textId="77777777" w:rsidR="004375F6" w:rsidRDefault="00FF35D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2021</w:t>
            </w:r>
          </w:p>
        </w:tc>
        <w:tc>
          <w:tcPr>
            <w:tcW w:w="2880" w:type="dxa"/>
          </w:tcPr>
          <w:p w14:paraId="6D0C4018" w14:textId="77777777" w:rsidR="004375F6" w:rsidRDefault="00FF3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4,412</w:t>
            </w:r>
          </w:p>
        </w:tc>
        <w:tc>
          <w:tcPr>
            <w:tcW w:w="2880" w:type="dxa"/>
          </w:tcPr>
          <w:p w14:paraId="0A03C37F" w14:textId="77777777" w:rsidR="004375F6" w:rsidRDefault="00FF3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2,209</w:t>
            </w:r>
          </w:p>
        </w:tc>
      </w:tr>
      <w:tr w:rsidR="004375F6" w14:paraId="77032F9D" w14:textId="77777777">
        <w:tc>
          <w:tcPr>
            <w:tcW w:w="2880" w:type="dxa"/>
          </w:tcPr>
          <w:p w14:paraId="4B6CAD50" w14:textId="77777777" w:rsidR="004375F6" w:rsidRDefault="00FF35D3">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2022</w:t>
            </w:r>
          </w:p>
        </w:tc>
        <w:tc>
          <w:tcPr>
            <w:tcW w:w="2880" w:type="dxa"/>
          </w:tcPr>
          <w:p w14:paraId="2341A81C" w14:textId="77777777" w:rsidR="004375F6" w:rsidRDefault="00FF3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4,738</w:t>
            </w:r>
          </w:p>
        </w:tc>
        <w:tc>
          <w:tcPr>
            <w:tcW w:w="2880" w:type="dxa"/>
          </w:tcPr>
          <w:p w14:paraId="28DB100B" w14:textId="77777777" w:rsidR="004375F6" w:rsidRDefault="00FF35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2,398</w:t>
            </w:r>
          </w:p>
        </w:tc>
      </w:tr>
    </w:tbl>
    <w:p w14:paraId="50468E06" w14:textId="77777777" w:rsidR="004375F6" w:rsidRDefault="004375F6">
      <w:pPr>
        <w:spacing w:line="360" w:lineRule="auto"/>
        <w:jc w:val="both"/>
        <w:rPr>
          <w:rFonts w:ascii="Times New Roman" w:hAnsi="Times New Roman" w:cs="Times New Roman"/>
          <w:sz w:val="24"/>
          <w:szCs w:val="24"/>
        </w:rPr>
      </w:pPr>
    </w:p>
    <w:p w14:paraId="3DC35CEA" w14:textId="77777777" w:rsidR="004375F6" w:rsidRDefault="00FF35D3">
      <w:pPr>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Anova</w:t>
      </w:r>
    </w:p>
    <w:p w14:paraId="0AD04398" w14:textId="77777777" w:rsidR="004375F6" w:rsidRDefault="00FF35D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This table presents the results of a statistical test (Analysis of Variance) used to determine whether there were significant differences in disease incidence across the years 2018 to </w:t>
      </w:r>
      <w:r>
        <w:rPr>
          <w:rFonts w:ascii="Times New Roman" w:hAnsi="Times New Roman" w:cs="Times New Roman"/>
          <w:sz w:val="24"/>
          <w:szCs w:val="24"/>
        </w:rPr>
        <w:t xml:space="preserve">2022. The F-value </w:t>
      </w:r>
      <w:r>
        <w:rPr>
          <w:rFonts w:ascii="Times New Roman" w:hAnsi="Times New Roman" w:cs="Times New Roman"/>
          <w:sz w:val="24"/>
          <w:szCs w:val="24"/>
        </w:rPr>
        <w:lastRenderedPageBreak/>
        <w:t>of 0.083 and a high p-value of 0.959 indicate no statistically significant difference in the overall incidence of vaccine-preventable diseases across these years.</w:t>
      </w:r>
    </w:p>
    <w:p w14:paraId="72BDD5BD" w14:textId="77777777" w:rsidR="004375F6" w:rsidRDefault="00FF35D3">
      <w:pPr>
        <w:pStyle w:val="NormalWeb"/>
        <w:jc w:val="both"/>
      </w:pPr>
      <w:r>
        <w:t>However, this finding should be interpreted with caution due to methodologi</w:t>
      </w:r>
      <w:r>
        <w:t>cal limitations, including a small sample size (only five years of data), low degrees of freedom, and potential data aggregation effects. While statistical significance was not observed, observable trends—such as the 2020 spike in measles and hepatitis B—s</w:t>
      </w:r>
      <w:r>
        <w:t>uggest meaningful public health impacts that were not captured in the test. Thus, statistical findings should be complemented with epidemiological and contextual analysis.</w:t>
      </w:r>
    </w:p>
    <w:p w14:paraId="77BDA459" w14:textId="77777777" w:rsidR="004375F6" w:rsidRDefault="00FF35D3">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Table 5: Anova</w:t>
      </w:r>
    </w:p>
    <w:tbl>
      <w:tblPr>
        <w:tblW w:w="7648" w:type="dxa"/>
        <w:tblLayout w:type="fixed"/>
        <w:tblCellMar>
          <w:left w:w="0" w:type="dxa"/>
          <w:right w:w="0" w:type="dxa"/>
        </w:tblCellMar>
        <w:tblLook w:val="04A0" w:firstRow="1" w:lastRow="0" w:firstColumn="1" w:lastColumn="0" w:noHBand="0" w:noVBand="1"/>
      </w:tblPr>
      <w:tblGrid>
        <w:gridCol w:w="1697"/>
        <w:gridCol w:w="1468"/>
        <w:gridCol w:w="1025"/>
        <w:gridCol w:w="1408"/>
        <w:gridCol w:w="1025"/>
        <w:gridCol w:w="1025"/>
      </w:tblGrid>
      <w:tr w:rsidR="004375F6" w14:paraId="3F844F1A" w14:textId="77777777">
        <w:trPr>
          <w:cantSplit/>
        </w:trPr>
        <w:tc>
          <w:tcPr>
            <w:tcW w:w="7648" w:type="dxa"/>
            <w:gridSpan w:val="6"/>
            <w:tcBorders>
              <w:top w:val="nil"/>
              <w:left w:val="nil"/>
              <w:bottom w:val="nil"/>
              <w:right w:val="nil"/>
            </w:tcBorders>
            <w:shd w:val="clear" w:color="auto" w:fill="FFFFFF"/>
            <w:vAlign w:val="bottom"/>
          </w:tcPr>
          <w:p w14:paraId="4156F1BA" w14:textId="77777777" w:rsidR="004375F6" w:rsidRDefault="00FF35D3">
            <w:pPr>
              <w:autoSpaceDE w:val="0"/>
              <w:autoSpaceDN w:val="0"/>
              <w:adjustRightInd w:val="0"/>
              <w:spacing w:after="0" w:line="320" w:lineRule="atLeast"/>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Year  </w:t>
            </w:r>
          </w:p>
        </w:tc>
      </w:tr>
      <w:tr w:rsidR="004375F6" w14:paraId="6A1EB619" w14:textId="77777777">
        <w:trPr>
          <w:cantSplit/>
        </w:trPr>
        <w:tc>
          <w:tcPr>
            <w:tcW w:w="1697" w:type="dxa"/>
            <w:tcBorders>
              <w:top w:val="nil"/>
              <w:left w:val="nil"/>
              <w:bottom w:val="single" w:sz="8" w:space="0" w:color="152935"/>
              <w:right w:val="nil"/>
            </w:tcBorders>
            <w:shd w:val="clear" w:color="auto" w:fill="FFFFFF"/>
            <w:vAlign w:val="bottom"/>
          </w:tcPr>
          <w:p w14:paraId="51DB6CD0" w14:textId="77777777" w:rsidR="004375F6" w:rsidRDefault="004375F6">
            <w:pPr>
              <w:autoSpaceDE w:val="0"/>
              <w:autoSpaceDN w:val="0"/>
              <w:adjustRightInd w:val="0"/>
              <w:spacing w:after="0" w:line="240" w:lineRule="auto"/>
              <w:jc w:val="both"/>
              <w:rPr>
                <w:rFonts w:ascii="Times New Roman" w:hAnsi="Times New Roman" w:cs="Times New Roman"/>
                <w:b/>
                <w:bCs/>
                <w:sz w:val="24"/>
                <w:szCs w:val="24"/>
              </w:rPr>
            </w:pPr>
          </w:p>
        </w:tc>
        <w:tc>
          <w:tcPr>
            <w:tcW w:w="1468" w:type="dxa"/>
            <w:tcBorders>
              <w:top w:val="nil"/>
              <w:left w:val="nil"/>
              <w:bottom w:val="single" w:sz="8" w:space="0" w:color="152935"/>
              <w:right w:val="single" w:sz="8" w:space="0" w:color="E0E0E0"/>
            </w:tcBorders>
            <w:shd w:val="clear" w:color="auto" w:fill="FFFFFF"/>
            <w:vAlign w:val="bottom"/>
          </w:tcPr>
          <w:p w14:paraId="69EA55A1" w14:textId="77777777" w:rsidR="004375F6" w:rsidRDefault="00FF35D3">
            <w:pPr>
              <w:autoSpaceDE w:val="0"/>
              <w:autoSpaceDN w:val="0"/>
              <w:adjustRightInd w:val="0"/>
              <w:spacing w:after="0" w:line="320" w:lineRule="atLeast"/>
              <w:ind w:left="60" w:right="60"/>
              <w:jc w:val="both"/>
              <w:rPr>
                <w:rFonts w:ascii="Times New Roman" w:hAnsi="Times New Roman" w:cs="Times New Roman"/>
                <w:b/>
                <w:bCs/>
                <w:sz w:val="24"/>
                <w:szCs w:val="24"/>
              </w:rPr>
            </w:pPr>
            <w:r>
              <w:rPr>
                <w:rFonts w:ascii="Times New Roman" w:hAnsi="Times New Roman" w:cs="Times New Roman"/>
                <w:b/>
                <w:bCs/>
                <w:sz w:val="24"/>
                <w:szCs w:val="24"/>
              </w:rPr>
              <w:t>Sum of Squares</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5DE3FB2C" w14:textId="77777777" w:rsidR="004375F6" w:rsidRDefault="00FF35D3">
            <w:pPr>
              <w:autoSpaceDE w:val="0"/>
              <w:autoSpaceDN w:val="0"/>
              <w:adjustRightInd w:val="0"/>
              <w:spacing w:after="0" w:line="320" w:lineRule="atLeast"/>
              <w:ind w:left="60" w:right="60"/>
              <w:jc w:val="both"/>
              <w:rPr>
                <w:rFonts w:ascii="Times New Roman" w:hAnsi="Times New Roman" w:cs="Times New Roman"/>
                <w:b/>
                <w:bCs/>
                <w:sz w:val="24"/>
                <w:szCs w:val="24"/>
              </w:rPr>
            </w:pPr>
            <w:r>
              <w:rPr>
                <w:rFonts w:ascii="Times New Roman" w:hAnsi="Times New Roman" w:cs="Times New Roman"/>
                <w:b/>
                <w:bCs/>
                <w:sz w:val="24"/>
                <w:szCs w:val="24"/>
              </w:rPr>
              <w:t>Df</w:t>
            </w:r>
          </w:p>
        </w:tc>
        <w:tc>
          <w:tcPr>
            <w:tcW w:w="1408" w:type="dxa"/>
            <w:tcBorders>
              <w:top w:val="nil"/>
              <w:left w:val="single" w:sz="8" w:space="0" w:color="E0E0E0"/>
              <w:bottom w:val="single" w:sz="8" w:space="0" w:color="152935"/>
              <w:right w:val="single" w:sz="8" w:space="0" w:color="E0E0E0"/>
            </w:tcBorders>
            <w:shd w:val="clear" w:color="auto" w:fill="FFFFFF"/>
            <w:vAlign w:val="bottom"/>
          </w:tcPr>
          <w:p w14:paraId="0E27A03A" w14:textId="77777777" w:rsidR="004375F6" w:rsidRDefault="00FF35D3">
            <w:pPr>
              <w:autoSpaceDE w:val="0"/>
              <w:autoSpaceDN w:val="0"/>
              <w:adjustRightInd w:val="0"/>
              <w:spacing w:after="0" w:line="320" w:lineRule="atLeast"/>
              <w:ind w:left="60" w:right="60"/>
              <w:jc w:val="both"/>
              <w:rPr>
                <w:rFonts w:ascii="Times New Roman" w:hAnsi="Times New Roman" w:cs="Times New Roman"/>
                <w:b/>
                <w:bCs/>
                <w:sz w:val="24"/>
                <w:szCs w:val="24"/>
              </w:rPr>
            </w:pPr>
            <w:r>
              <w:rPr>
                <w:rFonts w:ascii="Times New Roman" w:hAnsi="Times New Roman" w:cs="Times New Roman"/>
                <w:b/>
                <w:bCs/>
                <w:sz w:val="24"/>
                <w:szCs w:val="24"/>
              </w:rPr>
              <w:t>Mean Square</w:t>
            </w:r>
          </w:p>
        </w:tc>
        <w:tc>
          <w:tcPr>
            <w:tcW w:w="1025" w:type="dxa"/>
            <w:tcBorders>
              <w:top w:val="nil"/>
              <w:left w:val="single" w:sz="8" w:space="0" w:color="E0E0E0"/>
              <w:bottom w:val="single" w:sz="8" w:space="0" w:color="152935"/>
              <w:right w:val="single" w:sz="8" w:space="0" w:color="E0E0E0"/>
            </w:tcBorders>
            <w:shd w:val="clear" w:color="auto" w:fill="FFFFFF"/>
            <w:vAlign w:val="bottom"/>
          </w:tcPr>
          <w:p w14:paraId="213A915C" w14:textId="77777777" w:rsidR="004375F6" w:rsidRDefault="00FF35D3">
            <w:pPr>
              <w:autoSpaceDE w:val="0"/>
              <w:autoSpaceDN w:val="0"/>
              <w:adjustRightInd w:val="0"/>
              <w:spacing w:after="0" w:line="320" w:lineRule="atLeast"/>
              <w:ind w:left="60" w:right="60"/>
              <w:jc w:val="both"/>
              <w:rPr>
                <w:rFonts w:ascii="Times New Roman" w:hAnsi="Times New Roman" w:cs="Times New Roman"/>
                <w:b/>
                <w:bCs/>
                <w:sz w:val="24"/>
                <w:szCs w:val="24"/>
              </w:rPr>
            </w:pPr>
            <w:r>
              <w:rPr>
                <w:rFonts w:ascii="Times New Roman" w:hAnsi="Times New Roman" w:cs="Times New Roman"/>
                <w:b/>
                <w:bCs/>
                <w:sz w:val="24"/>
                <w:szCs w:val="24"/>
              </w:rPr>
              <w:t>F</w:t>
            </w:r>
          </w:p>
        </w:tc>
        <w:tc>
          <w:tcPr>
            <w:tcW w:w="1025" w:type="dxa"/>
            <w:tcBorders>
              <w:top w:val="nil"/>
              <w:left w:val="single" w:sz="8" w:space="0" w:color="E0E0E0"/>
              <w:bottom w:val="single" w:sz="8" w:space="0" w:color="152935"/>
              <w:right w:val="nil"/>
            </w:tcBorders>
            <w:shd w:val="clear" w:color="auto" w:fill="FFFFFF"/>
            <w:vAlign w:val="bottom"/>
          </w:tcPr>
          <w:p w14:paraId="5EE74A6A" w14:textId="77777777" w:rsidR="004375F6" w:rsidRDefault="00FF35D3">
            <w:pPr>
              <w:autoSpaceDE w:val="0"/>
              <w:autoSpaceDN w:val="0"/>
              <w:adjustRightInd w:val="0"/>
              <w:spacing w:after="0" w:line="320" w:lineRule="atLeast"/>
              <w:ind w:left="60" w:right="60"/>
              <w:jc w:val="both"/>
              <w:rPr>
                <w:rFonts w:ascii="Times New Roman" w:hAnsi="Times New Roman" w:cs="Times New Roman"/>
                <w:b/>
                <w:bCs/>
                <w:sz w:val="24"/>
                <w:szCs w:val="24"/>
              </w:rPr>
            </w:pPr>
            <w:r>
              <w:rPr>
                <w:rFonts w:ascii="Times New Roman" w:hAnsi="Times New Roman" w:cs="Times New Roman"/>
                <w:b/>
                <w:bCs/>
                <w:sz w:val="24"/>
                <w:szCs w:val="24"/>
              </w:rPr>
              <w:t>Sig.</w:t>
            </w:r>
          </w:p>
        </w:tc>
      </w:tr>
      <w:tr w:rsidR="004375F6" w14:paraId="6139C27B" w14:textId="77777777">
        <w:trPr>
          <w:cantSplit/>
        </w:trPr>
        <w:tc>
          <w:tcPr>
            <w:tcW w:w="1697" w:type="dxa"/>
            <w:tcBorders>
              <w:top w:val="single" w:sz="8" w:space="0" w:color="152935"/>
              <w:left w:val="nil"/>
              <w:bottom w:val="single" w:sz="8" w:space="0" w:color="AEAEAE"/>
              <w:right w:val="nil"/>
            </w:tcBorders>
            <w:shd w:val="clear" w:color="auto" w:fill="E0E0E0"/>
          </w:tcPr>
          <w:p w14:paraId="373CC502" w14:textId="77777777" w:rsidR="004375F6" w:rsidRDefault="00FF35D3">
            <w:pPr>
              <w:autoSpaceDE w:val="0"/>
              <w:autoSpaceDN w:val="0"/>
              <w:adjustRightInd w:val="0"/>
              <w:spacing w:after="0" w:line="320" w:lineRule="atLeast"/>
              <w:ind w:left="60" w:right="60"/>
              <w:jc w:val="both"/>
              <w:rPr>
                <w:rFonts w:ascii="Times New Roman" w:hAnsi="Times New Roman" w:cs="Times New Roman"/>
                <w:b/>
                <w:bCs/>
                <w:sz w:val="24"/>
                <w:szCs w:val="24"/>
              </w:rPr>
            </w:pPr>
            <w:r>
              <w:rPr>
                <w:rFonts w:ascii="Times New Roman" w:hAnsi="Times New Roman" w:cs="Times New Roman"/>
                <w:b/>
                <w:bCs/>
                <w:sz w:val="24"/>
                <w:szCs w:val="24"/>
              </w:rPr>
              <w:t>Between Groups</w:t>
            </w:r>
          </w:p>
        </w:tc>
        <w:tc>
          <w:tcPr>
            <w:tcW w:w="1468" w:type="dxa"/>
            <w:tcBorders>
              <w:top w:val="single" w:sz="8" w:space="0" w:color="152935"/>
              <w:left w:val="nil"/>
              <w:bottom w:val="single" w:sz="8" w:space="0" w:color="AEAEAE"/>
              <w:right w:val="single" w:sz="8" w:space="0" w:color="E0E0E0"/>
            </w:tcBorders>
            <w:shd w:val="clear" w:color="auto" w:fill="F9F9FB"/>
          </w:tcPr>
          <w:p w14:paraId="315EB518" w14:textId="77777777" w:rsidR="004375F6" w:rsidRDefault="00FF35D3">
            <w:pPr>
              <w:autoSpaceDE w:val="0"/>
              <w:autoSpaceDN w:val="0"/>
              <w:adjustRightInd w:val="0"/>
              <w:spacing w:after="0"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2.000</w:t>
            </w:r>
          </w:p>
        </w:tc>
        <w:tc>
          <w:tcPr>
            <w:tcW w:w="1025" w:type="dxa"/>
            <w:tcBorders>
              <w:top w:val="single" w:sz="8" w:space="0" w:color="152935"/>
              <w:left w:val="single" w:sz="8" w:space="0" w:color="E0E0E0"/>
              <w:bottom w:val="single" w:sz="8" w:space="0" w:color="AEAEAE"/>
              <w:right w:val="single" w:sz="8" w:space="0" w:color="E0E0E0"/>
            </w:tcBorders>
            <w:shd w:val="clear" w:color="auto" w:fill="F9F9FB"/>
          </w:tcPr>
          <w:p w14:paraId="19562B9E" w14:textId="77777777" w:rsidR="004375F6" w:rsidRDefault="00FF35D3">
            <w:pPr>
              <w:autoSpaceDE w:val="0"/>
              <w:autoSpaceDN w:val="0"/>
              <w:adjustRightInd w:val="0"/>
              <w:spacing w:after="0"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3</w:t>
            </w:r>
          </w:p>
        </w:tc>
        <w:tc>
          <w:tcPr>
            <w:tcW w:w="1408" w:type="dxa"/>
            <w:tcBorders>
              <w:top w:val="single" w:sz="8" w:space="0" w:color="152935"/>
              <w:left w:val="single" w:sz="8" w:space="0" w:color="E0E0E0"/>
              <w:bottom w:val="single" w:sz="8" w:space="0" w:color="AEAEAE"/>
              <w:right w:val="single" w:sz="8" w:space="0" w:color="E0E0E0"/>
            </w:tcBorders>
            <w:shd w:val="clear" w:color="auto" w:fill="F9F9FB"/>
          </w:tcPr>
          <w:p w14:paraId="19D41455" w14:textId="77777777" w:rsidR="004375F6" w:rsidRDefault="00FF35D3">
            <w:pPr>
              <w:autoSpaceDE w:val="0"/>
              <w:autoSpaceDN w:val="0"/>
              <w:adjustRightInd w:val="0"/>
              <w:spacing w:after="0"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.667</w:t>
            </w:r>
          </w:p>
        </w:tc>
        <w:tc>
          <w:tcPr>
            <w:tcW w:w="1025" w:type="dxa"/>
            <w:tcBorders>
              <w:top w:val="single" w:sz="8" w:space="0" w:color="152935"/>
              <w:left w:val="single" w:sz="8" w:space="0" w:color="E0E0E0"/>
              <w:bottom w:val="single" w:sz="8" w:space="0" w:color="AEAEAE"/>
              <w:right w:val="single" w:sz="8" w:space="0" w:color="E0E0E0"/>
            </w:tcBorders>
            <w:shd w:val="clear" w:color="auto" w:fill="F9F9FB"/>
          </w:tcPr>
          <w:p w14:paraId="781CC2BD" w14:textId="77777777" w:rsidR="004375F6" w:rsidRDefault="00FF35D3">
            <w:pPr>
              <w:autoSpaceDE w:val="0"/>
              <w:autoSpaceDN w:val="0"/>
              <w:adjustRightInd w:val="0"/>
              <w:spacing w:after="0"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.083</w:t>
            </w:r>
          </w:p>
        </w:tc>
        <w:tc>
          <w:tcPr>
            <w:tcW w:w="1025" w:type="dxa"/>
            <w:tcBorders>
              <w:top w:val="single" w:sz="8" w:space="0" w:color="152935"/>
              <w:left w:val="single" w:sz="8" w:space="0" w:color="E0E0E0"/>
              <w:bottom w:val="single" w:sz="8" w:space="0" w:color="AEAEAE"/>
              <w:right w:val="nil"/>
            </w:tcBorders>
            <w:shd w:val="clear" w:color="auto" w:fill="F9F9FB"/>
          </w:tcPr>
          <w:p w14:paraId="0267BFE7" w14:textId="77777777" w:rsidR="004375F6" w:rsidRDefault="00FF35D3">
            <w:pPr>
              <w:autoSpaceDE w:val="0"/>
              <w:autoSpaceDN w:val="0"/>
              <w:adjustRightInd w:val="0"/>
              <w:spacing w:after="0"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.959</w:t>
            </w:r>
          </w:p>
        </w:tc>
      </w:tr>
      <w:tr w:rsidR="004375F6" w14:paraId="73FC5E82" w14:textId="77777777">
        <w:trPr>
          <w:cantSplit/>
        </w:trPr>
        <w:tc>
          <w:tcPr>
            <w:tcW w:w="1697" w:type="dxa"/>
            <w:tcBorders>
              <w:top w:val="single" w:sz="8" w:space="0" w:color="AEAEAE"/>
              <w:left w:val="nil"/>
              <w:bottom w:val="single" w:sz="8" w:space="0" w:color="AEAEAE"/>
              <w:right w:val="nil"/>
            </w:tcBorders>
            <w:shd w:val="clear" w:color="auto" w:fill="E0E0E0"/>
          </w:tcPr>
          <w:p w14:paraId="7FE6C00C" w14:textId="77777777" w:rsidR="004375F6" w:rsidRDefault="00FF35D3">
            <w:pPr>
              <w:autoSpaceDE w:val="0"/>
              <w:autoSpaceDN w:val="0"/>
              <w:adjustRightInd w:val="0"/>
              <w:spacing w:after="0" w:line="320" w:lineRule="atLeast"/>
              <w:ind w:left="60" w:right="60"/>
              <w:jc w:val="both"/>
              <w:rPr>
                <w:rFonts w:ascii="Times New Roman" w:hAnsi="Times New Roman" w:cs="Times New Roman"/>
                <w:b/>
                <w:bCs/>
                <w:sz w:val="24"/>
                <w:szCs w:val="24"/>
              </w:rPr>
            </w:pPr>
            <w:r>
              <w:rPr>
                <w:rFonts w:ascii="Times New Roman" w:hAnsi="Times New Roman" w:cs="Times New Roman"/>
                <w:b/>
                <w:bCs/>
                <w:sz w:val="24"/>
                <w:szCs w:val="24"/>
              </w:rPr>
              <w:t>Within Groups</w:t>
            </w:r>
          </w:p>
        </w:tc>
        <w:tc>
          <w:tcPr>
            <w:tcW w:w="1468" w:type="dxa"/>
            <w:tcBorders>
              <w:top w:val="single" w:sz="8" w:space="0" w:color="AEAEAE"/>
              <w:left w:val="nil"/>
              <w:bottom w:val="single" w:sz="8" w:space="0" w:color="AEAEAE"/>
              <w:right w:val="single" w:sz="8" w:space="0" w:color="E0E0E0"/>
            </w:tcBorders>
            <w:shd w:val="clear" w:color="auto" w:fill="F9F9FB"/>
          </w:tcPr>
          <w:p w14:paraId="52629B9F" w14:textId="77777777" w:rsidR="004375F6" w:rsidRDefault="00FF35D3">
            <w:pPr>
              <w:autoSpaceDE w:val="0"/>
              <w:autoSpaceDN w:val="0"/>
              <w:adjustRightInd w:val="0"/>
              <w:spacing w:after="0"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8.000</w:t>
            </w:r>
          </w:p>
        </w:tc>
        <w:tc>
          <w:tcPr>
            <w:tcW w:w="1025" w:type="dxa"/>
            <w:tcBorders>
              <w:top w:val="single" w:sz="8" w:space="0" w:color="AEAEAE"/>
              <w:left w:val="single" w:sz="8" w:space="0" w:color="E0E0E0"/>
              <w:bottom w:val="single" w:sz="8" w:space="0" w:color="AEAEAE"/>
              <w:right w:val="single" w:sz="8" w:space="0" w:color="E0E0E0"/>
            </w:tcBorders>
            <w:shd w:val="clear" w:color="auto" w:fill="F9F9FB"/>
          </w:tcPr>
          <w:p w14:paraId="2BF907FE" w14:textId="77777777" w:rsidR="004375F6" w:rsidRDefault="00FF35D3">
            <w:pPr>
              <w:autoSpaceDE w:val="0"/>
              <w:autoSpaceDN w:val="0"/>
              <w:adjustRightInd w:val="0"/>
              <w:spacing w:after="0"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1</w:t>
            </w:r>
          </w:p>
        </w:tc>
        <w:tc>
          <w:tcPr>
            <w:tcW w:w="1408" w:type="dxa"/>
            <w:tcBorders>
              <w:top w:val="single" w:sz="8" w:space="0" w:color="AEAEAE"/>
              <w:left w:val="single" w:sz="8" w:space="0" w:color="E0E0E0"/>
              <w:bottom w:val="single" w:sz="8" w:space="0" w:color="AEAEAE"/>
              <w:right w:val="single" w:sz="8" w:space="0" w:color="E0E0E0"/>
            </w:tcBorders>
            <w:shd w:val="clear" w:color="auto" w:fill="F9F9FB"/>
          </w:tcPr>
          <w:p w14:paraId="0BB45DF7" w14:textId="77777777" w:rsidR="004375F6" w:rsidRDefault="00FF35D3">
            <w:pPr>
              <w:autoSpaceDE w:val="0"/>
              <w:autoSpaceDN w:val="0"/>
              <w:adjustRightInd w:val="0"/>
              <w:spacing w:after="0" w:line="320" w:lineRule="atLeast"/>
              <w:ind w:left="60" w:right="60"/>
              <w:jc w:val="both"/>
              <w:rPr>
                <w:rFonts w:ascii="Times New Roman" w:hAnsi="Times New Roman" w:cs="Times New Roman"/>
                <w:sz w:val="24"/>
                <w:szCs w:val="24"/>
              </w:rPr>
            </w:pPr>
            <w:r>
              <w:rPr>
                <w:rFonts w:ascii="Times New Roman" w:hAnsi="Times New Roman" w:cs="Times New Roman"/>
                <w:sz w:val="24"/>
                <w:szCs w:val="24"/>
              </w:rPr>
              <w:t>8.000</w:t>
            </w:r>
          </w:p>
        </w:tc>
        <w:tc>
          <w:tcPr>
            <w:tcW w:w="1025" w:type="dxa"/>
            <w:tcBorders>
              <w:top w:val="single" w:sz="8" w:space="0" w:color="AEAEAE"/>
              <w:left w:val="single" w:sz="8" w:space="0" w:color="E0E0E0"/>
              <w:bottom w:val="single" w:sz="8" w:space="0" w:color="AEAEAE"/>
              <w:right w:val="single" w:sz="8" w:space="0" w:color="E0E0E0"/>
            </w:tcBorders>
            <w:shd w:val="clear" w:color="auto" w:fill="F9F9FB"/>
            <w:vAlign w:val="center"/>
          </w:tcPr>
          <w:p w14:paraId="2185732C" w14:textId="77777777" w:rsidR="004375F6" w:rsidRDefault="004375F6">
            <w:pPr>
              <w:autoSpaceDE w:val="0"/>
              <w:autoSpaceDN w:val="0"/>
              <w:adjustRightInd w:val="0"/>
              <w:spacing w:after="0" w:line="240" w:lineRule="auto"/>
              <w:jc w:val="both"/>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AEAEAE"/>
              <w:right w:val="nil"/>
            </w:tcBorders>
            <w:shd w:val="clear" w:color="auto" w:fill="F9F9FB"/>
            <w:vAlign w:val="center"/>
          </w:tcPr>
          <w:p w14:paraId="17A0196E" w14:textId="77777777" w:rsidR="004375F6" w:rsidRDefault="004375F6">
            <w:pPr>
              <w:autoSpaceDE w:val="0"/>
              <w:autoSpaceDN w:val="0"/>
              <w:adjustRightInd w:val="0"/>
              <w:spacing w:after="0" w:line="240" w:lineRule="auto"/>
              <w:jc w:val="both"/>
              <w:rPr>
                <w:rFonts w:ascii="Times New Roman" w:hAnsi="Times New Roman" w:cs="Times New Roman"/>
                <w:sz w:val="24"/>
                <w:szCs w:val="24"/>
              </w:rPr>
            </w:pPr>
          </w:p>
        </w:tc>
      </w:tr>
      <w:tr w:rsidR="004375F6" w14:paraId="78DBF1A5" w14:textId="77777777">
        <w:trPr>
          <w:cantSplit/>
        </w:trPr>
        <w:tc>
          <w:tcPr>
            <w:tcW w:w="1697" w:type="dxa"/>
            <w:tcBorders>
              <w:top w:val="single" w:sz="8" w:space="0" w:color="AEAEAE"/>
              <w:left w:val="nil"/>
              <w:bottom w:val="single" w:sz="8" w:space="0" w:color="152935"/>
              <w:right w:val="nil"/>
            </w:tcBorders>
            <w:shd w:val="clear" w:color="auto" w:fill="E0E0E0"/>
          </w:tcPr>
          <w:p w14:paraId="33C2A15B" w14:textId="77777777" w:rsidR="004375F6" w:rsidRDefault="00FF35D3">
            <w:pPr>
              <w:autoSpaceDE w:val="0"/>
              <w:autoSpaceDN w:val="0"/>
              <w:adjustRightInd w:val="0"/>
              <w:spacing w:after="0" w:line="320" w:lineRule="atLeast"/>
              <w:ind w:left="60" w:right="60"/>
              <w:jc w:val="both"/>
              <w:rPr>
                <w:rFonts w:ascii="Times New Roman" w:hAnsi="Times New Roman" w:cs="Times New Roman"/>
                <w:b/>
                <w:bCs/>
                <w:sz w:val="24"/>
                <w:szCs w:val="24"/>
              </w:rPr>
            </w:pPr>
            <w:r>
              <w:rPr>
                <w:rFonts w:ascii="Times New Roman" w:hAnsi="Times New Roman" w:cs="Times New Roman"/>
                <w:b/>
                <w:bCs/>
                <w:sz w:val="24"/>
                <w:szCs w:val="24"/>
              </w:rPr>
              <w:t>Total</w:t>
            </w:r>
          </w:p>
        </w:tc>
        <w:tc>
          <w:tcPr>
            <w:tcW w:w="1468" w:type="dxa"/>
            <w:tcBorders>
              <w:top w:val="single" w:sz="8" w:space="0" w:color="AEAEAE"/>
              <w:left w:val="nil"/>
              <w:bottom w:val="single" w:sz="8" w:space="0" w:color="152935"/>
              <w:right w:val="single" w:sz="8" w:space="0" w:color="E0E0E0"/>
            </w:tcBorders>
            <w:shd w:val="clear" w:color="auto" w:fill="F9F9FB"/>
          </w:tcPr>
          <w:p w14:paraId="4CB4EAE9" w14:textId="77777777" w:rsidR="004375F6" w:rsidRDefault="00FF35D3">
            <w:pPr>
              <w:autoSpaceDE w:val="0"/>
              <w:autoSpaceDN w:val="0"/>
              <w:adjustRightInd w:val="0"/>
              <w:spacing w:after="0" w:line="320" w:lineRule="atLeast"/>
              <w:ind w:left="60" w:right="60"/>
              <w:jc w:val="both"/>
              <w:rPr>
                <w:rFonts w:ascii="Times New Roman" w:hAnsi="Times New Roman" w:cs="Times New Roman"/>
                <w:b/>
                <w:bCs/>
                <w:sz w:val="24"/>
                <w:szCs w:val="24"/>
              </w:rPr>
            </w:pPr>
            <w:r>
              <w:rPr>
                <w:rFonts w:ascii="Times New Roman" w:hAnsi="Times New Roman" w:cs="Times New Roman"/>
                <w:b/>
                <w:bCs/>
                <w:sz w:val="24"/>
                <w:szCs w:val="24"/>
              </w:rPr>
              <w:t>10.000</w:t>
            </w:r>
          </w:p>
        </w:tc>
        <w:tc>
          <w:tcPr>
            <w:tcW w:w="1025" w:type="dxa"/>
            <w:tcBorders>
              <w:top w:val="single" w:sz="8" w:space="0" w:color="AEAEAE"/>
              <w:left w:val="single" w:sz="8" w:space="0" w:color="E0E0E0"/>
              <w:bottom w:val="single" w:sz="8" w:space="0" w:color="152935"/>
              <w:right w:val="single" w:sz="8" w:space="0" w:color="E0E0E0"/>
            </w:tcBorders>
            <w:shd w:val="clear" w:color="auto" w:fill="F9F9FB"/>
          </w:tcPr>
          <w:p w14:paraId="53A4D817" w14:textId="77777777" w:rsidR="004375F6" w:rsidRDefault="00FF35D3">
            <w:pPr>
              <w:autoSpaceDE w:val="0"/>
              <w:autoSpaceDN w:val="0"/>
              <w:adjustRightInd w:val="0"/>
              <w:spacing w:after="0" w:line="320" w:lineRule="atLeast"/>
              <w:ind w:left="60" w:right="60"/>
              <w:jc w:val="both"/>
              <w:rPr>
                <w:rFonts w:ascii="Times New Roman" w:hAnsi="Times New Roman" w:cs="Times New Roman"/>
                <w:b/>
                <w:bCs/>
                <w:sz w:val="24"/>
                <w:szCs w:val="24"/>
              </w:rPr>
            </w:pPr>
            <w:r>
              <w:rPr>
                <w:rFonts w:ascii="Times New Roman" w:hAnsi="Times New Roman" w:cs="Times New Roman"/>
                <w:b/>
                <w:bCs/>
                <w:sz w:val="24"/>
                <w:szCs w:val="24"/>
              </w:rPr>
              <w:t>4</w:t>
            </w:r>
          </w:p>
        </w:tc>
        <w:tc>
          <w:tcPr>
            <w:tcW w:w="1408"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7602D653" w14:textId="77777777" w:rsidR="004375F6" w:rsidRDefault="004375F6">
            <w:pPr>
              <w:autoSpaceDE w:val="0"/>
              <w:autoSpaceDN w:val="0"/>
              <w:adjustRightInd w:val="0"/>
              <w:spacing w:after="0" w:line="240" w:lineRule="auto"/>
              <w:jc w:val="both"/>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152935"/>
              <w:right w:val="single" w:sz="8" w:space="0" w:color="E0E0E0"/>
            </w:tcBorders>
            <w:shd w:val="clear" w:color="auto" w:fill="F9F9FB"/>
            <w:vAlign w:val="center"/>
          </w:tcPr>
          <w:p w14:paraId="65E52489" w14:textId="77777777" w:rsidR="004375F6" w:rsidRDefault="004375F6">
            <w:pPr>
              <w:autoSpaceDE w:val="0"/>
              <w:autoSpaceDN w:val="0"/>
              <w:adjustRightInd w:val="0"/>
              <w:spacing w:after="0" w:line="240" w:lineRule="auto"/>
              <w:jc w:val="both"/>
              <w:rPr>
                <w:rFonts w:ascii="Times New Roman" w:hAnsi="Times New Roman" w:cs="Times New Roman"/>
                <w:sz w:val="24"/>
                <w:szCs w:val="24"/>
              </w:rPr>
            </w:pPr>
          </w:p>
        </w:tc>
        <w:tc>
          <w:tcPr>
            <w:tcW w:w="1025" w:type="dxa"/>
            <w:tcBorders>
              <w:top w:val="single" w:sz="8" w:space="0" w:color="AEAEAE"/>
              <w:left w:val="single" w:sz="8" w:space="0" w:color="E0E0E0"/>
              <w:bottom w:val="single" w:sz="8" w:space="0" w:color="152935"/>
              <w:right w:val="nil"/>
            </w:tcBorders>
            <w:shd w:val="clear" w:color="auto" w:fill="F9F9FB"/>
            <w:vAlign w:val="center"/>
          </w:tcPr>
          <w:p w14:paraId="22B79BAD" w14:textId="77777777" w:rsidR="004375F6" w:rsidRDefault="004375F6">
            <w:pPr>
              <w:autoSpaceDE w:val="0"/>
              <w:autoSpaceDN w:val="0"/>
              <w:adjustRightInd w:val="0"/>
              <w:spacing w:after="0" w:line="240" w:lineRule="auto"/>
              <w:jc w:val="both"/>
              <w:rPr>
                <w:rFonts w:ascii="Times New Roman" w:hAnsi="Times New Roman" w:cs="Times New Roman"/>
                <w:sz w:val="24"/>
                <w:szCs w:val="24"/>
              </w:rPr>
            </w:pPr>
          </w:p>
        </w:tc>
      </w:tr>
    </w:tbl>
    <w:p w14:paraId="28D230D1" w14:textId="77777777" w:rsidR="004375F6" w:rsidRDefault="004375F6">
      <w:pPr>
        <w:autoSpaceDE w:val="0"/>
        <w:autoSpaceDN w:val="0"/>
        <w:adjustRightInd w:val="0"/>
        <w:spacing w:after="0" w:line="400" w:lineRule="atLeast"/>
        <w:jc w:val="both"/>
        <w:rPr>
          <w:rFonts w:ascii="Times New Roman" w:hAnsi="Times New Roman" w:cs="Times New Roman"/>
          <w:sz w:val="24"/>
          <w:szCs w:val="24"/>
        </w:rPr>
      </w:pPr>
    </w:p>
    <w:p w14:paraId="22A78EBB" w14:textId="77777777" w:rsidR="004375F6" w:rsidRDefault="004375F6">
      <w:pPr>
        <w:autoSpaceDE w:val="0"/>
        <w:autoSpaceDN w:val="0"/>
        <w:adjustRightInd w:val="0"/>
        <w:spacing w:after="0" w:line="400" w:lineRule="atLeast"/>
        <w:jc w:val="both"/>
        <w:rPr>
          <w:rFonts w:ascii="Times New Roman" w:hAnsi="Times New Roman" w:cs="Times New Roman"/>
          <w:b/>
          <w:bCs/>
          <w:sz w:val="24"/>
          <w:szCs w:val="24"/>
        </w:rPr>
      </w:pPr>
    </w:p>
    <w:p w14:paraId="111B5661" w14:textId="77777777" w:rsidR="004375F6" w:rsidRDefault="00FF35D3">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b/>
          <w:bCs/>
          <w:sz w:val="24"/>
          <w:szCs w:val="24"/>
        </w:rPr>
        <w:t xml:space="preserve">DISCUSSION </w:t>
      </w:r>
    </w:p>
    <w:p w14:paraId="60CD94CA" w14:textId="77777777" w:rsidR="004375F6" w:rsidRDefault="00FF35D3">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 xml:space="preserve">The present study revealed a progressive decline in routine </w:t>
      </w:r>
      <w:proofErr w:type="spellStart"/>
      <w:r>
        <w:rPr>
          <w:rFonts w:ascii="Times New Roman" w:hAnsi="Times New Roman" w:cs="Times New Roman"/>
          <w:sz w:val="24"/>
          <w:szCs w:val="24"/>
        </w:rPr>
        <w:t>immunisation</w:t>
      </w:r>
      <w:proofErr w:type="spellEnd"/>
      <w:r>
        <w:rPr>
          <w:rFonts w:ascii="Times New Roman" w:hAnsi="Times New Roman" w:cs="Times New Roman"/>
          <w:sz w:val="24"/>
          <w:szCs w:val="24"/>
        </w:rPr>
        <w:t xml:space="preserve"> coverage in Delta State, from 78% in 2019 to 68% in 2021, with a further reduction to 66% in 2022. This trend aligns with global patterns of </w:t>
      </w:r>
      <w:proofErr w:type="spellStart"/>
      <w:r>
        <w:rPr>
          <w:rFonts w:ascii="Times New Roman" w:hAnsi="Times New Roman" w:cs="Times New Roman"/>
          <w:sz w:val="24"/>
          <w:szCs w:val="24"/>
        </w:rPr>
        <w:t>immunisation</w:t>
      </w:r>
      <w:proofErr w:type="spellEnd"/>
      <w:r>
        <w:rPr>
          <w:rFonts w:ascii="Times New Roman" w:hAnsi="Times New Roman" w:cs="Times New Roman"/>
          <w:sz w:val="24"/>
          <w:szCs w:val="24"/>
        </w:rPr>
        <w:t xml:space="preserve"> service disruptions during the COVID-19 pandemic, largely attributed to movement restrictions, the re</w:t>
      </w:r>
      <w:r>
        <w:rPr>
          <w:rFonts w:ascii="Times New Roman" w:hAnsi="Times New Roman" w:cs="Times New Roman"/>
          <w:sz w:val="24"/>
          <w:szCs w:val="24"/>
        </w:rPr>
        <w:t>deployment of healthcare personnel, and interruptions in vaccine supply chains (12). These findings are consistent with national observations that rural and underserved areas experienced more pronounced declines due to limited cold-chain capacity and highe</w:t>
      </w:r>
      <w:r>
        <w:rPr>
          <w:rFonts w:ascii="Times New Roman" w:hAnsi="Times New Roman" w:cs="Times New Roman"/>
          <w:sz w:val="24"/>
          <w:szCs w:val="24"/>
        </w:rPr>
        <w:t>r rates of stock-outs (13).</w:t>
      </w:r>
    </w:p>
    <w:p w14:paraId="49D1E326" w14:textId="77777777" w:rsidR="004375F6" w:rsidRDefault="004375F6">
      <w:pPr>
        <w:autoSpaceDE w:val="0"/>
        <w:autoSpaceDN w:val="0"/>
        <w:adjustRightInd w:val="0"/>
        <w:spacing w:after="0" w:line="400" w:lineRule="atLeast"/>
        <w:jc w:val="both"/>
        <w:rPr>
          <w:rFonts w:ascii="Times New Roman" w:hAnsi="Times New Roman" w:cs="Times New Roman"/>
          <w:sz w:val="24"/>
          <w:szCs w:val="24"/>
        </w:rPr>
      </w:pPr>
    </w:p>
    <w:p w14:paraId="1403F383" w14:textId="77777777" w:rsidR="004375F6" w:rsidRDefault="00FF35D3">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 xml:space="preserve">An increase in the number of reported cases of vaccine-preventable diseases (VPDs), particularly measles and hepatitis B, was observed during the period of reduced </w:t>
      </w:r>
      <w:proofErr w:type="spellStart"/>
      <w:r>
        <w:rPr>
          <w:rFonts w:ascii="Times New Roman" w:hAnsi="Times New Roman" w:cs="Times New Roman"/>
          <w:sz w:val="24"/>
          <w:szCs w:val="24"/>
        </w:rPr>
        <w:t>immunisation</w:t>
      </w:r>
      <w:proofErr w:type="spellEnd"/>
      <w:r>
        <w:rPr>
          <w:rFonts w:ascii="Times New Roman" w:hAnsi="Times New Roman" w:cs="Times New Roman"/>
          <w:sz w:val="24"/>
          <w:szCs w:val="24"/>
        </w:rPr>
        <w:t xml:space="preserve"> coverage, notably in 2020. This is consistent with</w:t>
      </w:r>
      <w:r>
        <w:rPr>
          <w:rFonts w:ascii="Times New Roman" w:hAnsi="Times New Roman" w:cs="Times New Roman"/>
          <w:sz w:val="24"/>
          <w:szCs w:val="24"/>
        </w:rPr>
        <w:t xml:space="preserve"> global warnings that disruptions in </w:t>
      </w:r>
      <w:proofErr w:type="spellStart"/>
      <w:r>
        <w:rPr>
          <w:rFonts w:ascii="Times New Roman" w:hAnsi="Times New Roman" w:cs="Times New Roman"/>
          <w:sz w:val="24"/>
          <w:szCs w:val="24"/>
        </w:rPr>
        <w:t>immunisation</w:t>
      </w:r>
      <w:proofErr w:type="spellEnd"/>
      <w:r>
        <w:rPr>
          <w:rFonts w:ascii="Times New Roman" w:hAnsi="Times New Roman" w:cs="Times New Roman"/>
          <w:sz w:val="24"/>
          <w:szCs w:val="24"/>
        </w:rPr>
        <w:t xml:space="preserve"> services would likely contribute to VPD outbreaks in low- and middle-income countries (14). The observed trends suggest a temporal association between decreased vaccine coverage and increased disease notifi</w:t>
      </w:r>
      <w:r>
        <w:rPr>
          <w:rFonts w:ascii="Times New Roman" w:hAnsi="Times New Roman" w:cs="Times New Roman"/>
          <w:sz w:val="24"/>
          <w:szCs w:val="24"/>
        </w:rPr>
        <w:t xml:space="preserve">cations. However, it is important to acknowledge that improvements in disease surveillance </w:t>
      </w:r>
      <w:r>
        <w:rPr>
          <w:rFonts w:ascii="Times New Roman" w:hAnsi="Times New Roman" w:cs="Times New Roman"/>
          <w:sz w:val="24"/>
          <w:szCs w:val="24"/>
        </w:rPr>
        <w:lastRenderedPageBreak/>
        <w:t>and reporting systems during the pandemic period may have partially contributed to the observed rise in case counts (15).</w:t>
      </w:r>
    </w:p>
    <w:p w14:paraId="76A19FBC" w14:textId="77777777" w:rsidR="004375F6" w:rsidRDefault="004375F6">
      <w:pPr>
        <w:autoSpaceDE w:val="0"/>
        <w:autoSpaceDN w:val="0"/>
        <w:adjustRightInd w:val="0"/>
        <w:spacing w:after="0" w:line="400" w:lineRule="atLeast"/>
        <w:jc w:val="both"/>
        <w:rPr>
          <w:rFonts w:ascii="Times New Roman" w:hAnsi="Times New Roman" w:cs="Times New Roman"/>
          <w:sz w:val="24"/>
          <w:szCs w:val="24"/>
        </w:rPr>
      </w:pPr>
    </w:p>
    <w:p w14:paraId="3179E383" w14:textId="77777777" w:rsidR="004375F6" w:rsidRDefault="00FF35D3">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 xml:space="preserve">The distribution of </w:t>
      </w:r>
      <w:proofErr w:type="spellStart"/>
      <w:r>
        <w:rPr>
          <w:rFonts w:ascii="Times New Roman" w:hAnsi="Times New Roman" w:cs="Times New Roman"/>
          <w:sz w:val="24"/>
          <w:szCs w:val="24"/>
        </w:rPr>
        <w:t>immunisation</w:t>
      </w:r>
      <w:proofErr w:type="spellEnd"/>
      <w:r>
        <w:rPr>
          <w:rFonts w:ascii="Times New Roman" w:hAnsi="Times New Roman" w:cs="Times New Roman"/>
          <w:sz w:val="24"/>
          <w:szCs w:val="24"/>
        </w:rPr>
        <w:t xml:space="preserve"> service d</w:t>
      </w:r>
      <w:r>
        <w:rPr>
          <w:rFonts w:ascii="Times New Roman" w:hAnsi="Times New Roman" w:cs="Times New Roman"/>
          <w:sz w:val="24"/>
          <w:szCs w:val="24"/>
        </w:rPr>
        <w:t xml:space="preserve">elivery points across the state showed that public primary healthcare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xml:space="preserve"> (PHCs) accounted for 78.8% of </w:t>
      </w:r>
      <w:proofErr w:type="spellStart"/>
      <w:r>
        <w:rPr>
          <w:rFonts w:ascii="Times New Roman" w:hAnsi="Times New Roman" w:cs="Times New Roman"/>
          <w:sz w:val="24"/>
          <w:szCs w:val="24"/>
        </w:rPr>
        <w:t>immunisation</w:t>
      </w:r>
      <w:proofErr w:type="spellEnd"/>
      <w:r>
        <w:rPr>
          <w:rFonts w:ascii="Times New Roman" w:hAnsi="Times New Roman" w:cs="Times New Roman"/>
          <w:sz w:val="24"/>
          <w:szCs w:val="24"/>
        </w:rPr>
        <w:t xml:space="preserve"> activities, while private clinics contributed 15.8%. This pattern highlights the centrality of PHCs in </w:t>
      </w:r>
      <w:proofErr w:type="spellStart"/>
      <w:r>
        <w:rPr>
          <w:rFonts w:ascii="Times New Roman" w:hAnsi="Times New Roman" w:cs="Times New Roman"/>
          <w:sz w:val="24"/>
          <w:szCs w:val="24"/>
        </w:rPr>
        <w:t>immunisation</w:t>
      </w:r>
      <w:proofErr w:type="spellEnd"/>
      <w:r>
        <w:rPr>
          <w:rFonts w:ascii="Times New Roman" w:hAnsi="Times New Roman" w:cs="Times New Roman"/>
          <w:sz w:val="24"/>
          <w:szCs w:val="24"/>
        </w:rPr>
        <w:t xml:space="preserve"> service delivery bu</w:t>
      </w:r>
      <w:r>
        <w:rPr>
          <w:rFonts w:ascii="Times New Roman" w:hAnsi="Times New Roman" w:cs="Times New Roman"/>
          <w:sz w:val="24"/>
          <w:szCs w:val="24"/>
        </w:rPr>
        <w:t xml:space="preserve">t also suggests potential roles for private sector facilities in mitigating service disruptions, especially during public health emergencies (16). The geographic and socioeconomic distribution of private health facilities further underscores the influence </w:t>
      </w:r>
      <w:r>
        <w:rPr>
          <w:rFonts w:ascii="Times New Roman" w:hAnsi="Times New Roman" w:cs="Times New Roman"/>
          <w:sz w:val="24"/>
          <w:szCs w:val="24"/>
        </w:rPr>
        <w:t xml:space="preserve">of affordability, proximity, and infrastructure on access and </w:t>
      </w:r>
      <w:proofErr w:type="spellStart"/>
      <w:r>
        <w:rPr>
          <w:rFonts w:ascii="Times New Roman" w:hAnsi="Times New Roman" w:cs="Times New Roman"/>
          <w:sz w:val="24"/>
          <w:szCs w:val="24"/>
        </w:rPr>
        <w:t>utilisation</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immunisation</w:t>
      </w:r>
      <w:proofErr w:type="spellEnd"/>
      <w:r>
        <w:rPr>
          <w:rFonts w:ascii="Times New Roman" w:hAnsi="Times New Roman" w:cs="Times New Roman"/>
          <w:sz w:val="24"/>
          <w:szCs w:val="24"/>
        </w:rPr>
        <w:t xml:space="preserve"> services, in line with findings from national resilience assessments (17).</w:t>
      </w:r>
    </w:p>
    <w:p w14:paraId="2C19E7F1" w14:textId="77777777" w:rsidR="004375F6" w:rsidRDefault="004375F6">
      <w:pPr>
        <w:autoSpaceDE w:val="0"/>
        <w:autoSpaceDN w:val="0"/>
        <w:adjustRightInd w:val="0"/>
        <w:spacing w:after="0" w:line="400" w:lineRule="atLeast"/>
        <w:jc w:val="both"/>
        <w:rPr>
          <w:rFonts w:ascii="Times New Roman" w:hAnsi="Times New Roman" w:cs="Times New Roman"/>
          <w:sz w:val="24"/>
          <w:szCs w:val="24"/>
        </w:rPr>
      </w:pPr>
    </w:p>
    <w:p w14:paraId="78E3C9BC" w14:textId="77777777" w:rsidR="004375F6" w:rsidRDefault="00FF35D3">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 xml:space="preserve">Suspension of mobile and outreach </w:t>
      </w:r>
      <w:proofErr w:type="spellStart"/>
      <w:r>
        <w:rPr>
          <w:rFonts w:ascii="Times New Roman" w:hAnsi="Times New Roman" w:cs="Times New Roman"/>
          <w:sz w:val="24"/>
          <w:szCs w:val="24"/>
        </w:rPr>
        <w:t>immunisation</w:t>
      </w:r>
      <w:proofErr w:type="spellEnd"/>
      <w:r>
        <w:rPr>
          <w:rFonts w:ascii="Times New Roman" w:hAnsi="Times New Roman" w:cs="Times New Roman"/>
          <w:sz w:val="24"/>
          <w:szCs w:val="24"/>
        </w:rPr>
        <w:t xml:space="preserve"> sessions in 2020 led to an increase in the </w:t>
      </w:r>
      <w:r>
        <w:rPr>
          <w:rFonts w:ascii="Times New Roman" w:hAnsi="Times New Roman" w:cs="Times New Roman"/>
          <w:sz w:val="24"/>
          <w:szCs w:val="24"/>
        </w:rPr>
        <w:t xml:space="preserve">proportion of children who had not received any vaccine doses, often referred to as "zero-dose" children. This observation is in concordance with global reports which identified outreach suspension as a critical driver of missed </w:t>
      </w:r>
      <w:proofErr w:type="spellStart"/>
      <w:r>
        <w:rPr>
          <w:rFonts w:ascii="Times New Roman" w:hAnsi="Times New Roman" w:cs="Times New Roman"/>
          <w:sz w:val="24"/>
          <w:szCs w:val="24"/>
        </w:rPr>
        <w:t>immunisation</w:t>
      </w:r>
      <w:proofErr w:type="spellEnd"/>
      <w:r>
        <w:rPr>
          <w:rFonts w:ascii="Times New Roman" w:hAnsi="Times New Roman" w:cs="Times New Roman"/>
          <w:sz w:val="24"/>
          <w:szCs w:val="24"/>
        </w:rPr>
        <w:t xml:space="preserve"> opportunities </w:t>
      </w:r>
      <w:r>
        <w:rPr>
          <w:rFonts w:ascii="Times New Roman" w:hAnsi="Times New Roman" w:cs="Times New Roman"/>
          <w:sz w:val="24"/>
          <w:szCs w:val="24"/>
        </w:rPr>
        <w:t xml:space="preserve">during the pandemic (18). Although some degree of recovery was noted in 2021 and 2022, this remained incomplete. Evidence from other Nigerian states indicates that redeployment of mobile vaccination teams and the </w:t>
      </w:r>
      <w:proofErr w:type="spellStart"/>
      <w:r>
        <w:rPr>
          <w:rFonts w:ascii="Times New Roman" w:hAnsi="Times New Roman" w:cs="Times New Roman"/>
          <w:sz w:val="24"/>
          <w:szCs w:val="24"/>
        </w:rPr>
        <w:t>decentralisation</w:t>
      </w:r>
      <w:proofErr w:type="spellEnd"/>
      <w:r>
        <w:rPr>
          <w:rFonts w:ascii="Times New Roman" w:hAnsi="Times New Roman" w:cs="Times New Roman"/>
          <w:sz w:val="24"/>
          <w:szCs w:val="24"/>
        </w:rPr>
        <w:t xml:space="preserve"> of vaccine storage facilit</w:t>
      </w:r>
      <w:r>
        <w:rPr>
          <w:rFonts w:ascii="Times New Roman" w:hAnsi="Times New Roman" w:cs="Times New Roman"/>
          <w:sz w:val="24"/>
          <w:szCs w:val="24"/>
        </w:rPr>
        <w:t>ies were effective interim solutions during the pandemic (19).</w:t>
      </w:r>
    </w:p>
    <w:p w14:paraId="55BF328C" w14:textId="77777777" w:rsidR="004375F6" w:rsidRDefault="004375F6">
      <w:pPr>
        <w:autoSpaceDE w:val="0"/>
        <w:autoSpaceDN w:val="0"/>
        <w:adjustRightInd w:val="0"/>
        <w:spacing w:after="0" w:line="400" w:lineRule="atLeast"/>
        <w:jc w:val="both"/>
        <w:rPr>
          <w:rFonts w:ascii="Times New Roman" w:hAnsi="Times New Roman" w:cs="Times New Roman"/>
          <w:sz w:val="24"/>
          <w:szCs w:val="24"/>
        </w:rPr>
      </w:pPr>
    </w:p>
    <w:p w14:paraId="23030B70" w14:textId="77777777" w:rsidR="004375F6" w:rsidRDefault="00FF35D3">
      <w:pPr>
        <w:autoSpaceDE w:val="0"/>
        <w:autoSpaceDN w:val="0"/>
        <w:adjustRightInd w:val="0"/>
        <w:spacing w:after="0" w:line="400" w:lineRule="atLeast"/>
        <w:jc w:val="both"/>
        <w:rPr>
          <w:rFonts w:ascii="Times New Roman" w:hAnsi="Times New Roman" w:cs="Times New Roman"/>
          <w:sz w:val="24"/>
          <w:szCs w:val="24"/>
        </w:rPr>
      </w:pPr>
      <w:proofErr w:type="spellStart"/>
      <w:r>
        <w:rPr>
          <w:rFonts w:ascii="Times New Roman" w:hAnsi="Times New Roman" w:cs="Times New Roman"/>
          <w:sz w:val="24"/>
          <w:szCs w:val="24"/>
        </w:rPr>
        <w:t>Behavioural</w:t>
      </w:r>
      <w:proofErr w:type="spellEnd"/>
      <w:r>
        <w:rPr>
          <w:rFonts w:ascii="Times New Roman" w:hAnsi="Times New Roman" w:cs="Times New Roman"/>
          <w:sz w:val="24"/>
          <w:szCs w:val="24"/>
        </w:rPr>
        <w:t xml:space="preserve"> factors also emerged as significant determinants of </w:t>
      </w:r>
      <w:proofErr w:type="spellStart"/>
      <w:r>
        <w:rPr>
          <w:rFonts w:ascii="Times New Roman" w:hAnsi="Times New Roman" w:cs="Times New Roman"/>
          <w:sz w:val="24"/>
          <w:szCs w:val="24"/>
        </w:rPr>
        <w:t>immunisation</w:t>
      </w:r>
      <w:proofErr w:type="spellEnd"/>
      <w:r>
        <w:rPr>
          <w:rFonts w:ascii="Times New Roman" w:hAnsi="Times New Roman" w:cs="Times New Roman"/>
          <w:sz w:val="24"/>
          <w:szCs w:val="24"/>
        </w:rPr>
        <w:t xml:space="preserve"> uptake during the post-pandemic period. The role of targeted risk communication and community engagement efforts in</w:t>
      </w:r>
      <w:r>
        <w:rPr>
          <w:rFonts w:ascii="Times New Roman" w:hAnsi="Times New Roman" w:cs="Times New Roman"/>
          <w:sz w:val="24"/>
          <w:szCs w:val="24"/>
        </w:rPr>
        <w:t xml:space="preserve"> rebuilding vaccine confidence is well documented (20). Notably, administrative data from the National Primary Health-care Development Agency (NPHCDA) indicate that pentavalent vaccine drop-out rates declined following the reinstatement of community dialog</w:t>
      </w:r>
      <w:r>
        <w:rPr>
          <w:rFonts w:ascii="Times New Roman" w:hAnsi="Times New Roman" w:cs="Times New Roman"/>
          <w:sz w:val="24"/>
          <w:szCs w:val="24"/>
        </w:rPr>
        <w:t xml:space="preserve">ues and SMS-based reminders in 2023, suggesting the effectiveness of integrated </w:t>
      </w:r>
      <w:proofErr w:type="spellStart"/>
      <w:r>
        <w:rPr>
          <w:rFonts w:ascii="Times New Roman" w:hAnsi="Times New Roman" w:cs="Times New Roman"/>
          <w:sz w:val="24"/>
          <w:szCs w:val="24"/>
        </w:rPr>
        <w:t>behavioural</w:t>
      </w:r>
      <w:proofErr w:type="spellEnd"/>
      <w:r>
        <w:rPr>
          <w:rFonts w:ascii="Times New Roman" w:hAnsi="Times New Roman" w:cs="Times New Roman"/>
          <w:sz w:val="24"/>
          <w:szCs w:val="24"/>
        </w:rPr>
        <w:t xml:space="preserve"> strategies in improving </w:t>
      </w:r>
      <w:proofErr w:type="spellStart"/>
      <w:r>
        <w:rPr>
          <w:rFonts w:ascii="Times New Roman" w:hAnsi="Times New Roman" w:cs="Times New Roman"/>
          <w:sz w:val="24"/>
          <w:szCs w:val="24"/>
        </w:rPr>
        <w:t>immunisation</w:t>
      </w:r>
      <w:proofErr w:type="spellEnd"/>
      <w:r>
        <w:rPr>
          <w:rFonts w:ascii="Times New Roman" w:hAnsi="Times New Roman" w:cs="Times New Roman"/>
          <w:sz w:val="24"/>
          <w:szCs w:val="24"/>
        </w:rPr>
        <w:t xml:space="preserve"> outcomes (7).</w:t>
      </w:r>
    </w:p>
    <w:p w14:paraId="46DA94B7" w14:textId="77777777" w:rsidR="004375F6" w:rsidRDefault="004375F6">
      <w:pPr>
        <w:autoSpaceDE w:val="0"/>
        <w:autoSpaceDN w:val="0"/>
        <w:adjustRightInd w:val="0"/>
        <w:spacing w:after="0" w:line="400" w:lineRule="atLeast"/>
        <w:jc w:val="both"/>
        <w:rPr>
          <w:rFonts w:ascii="Times New Roman" w:hAnsi="Times New Roman" w:cs="Times New Roman"/>
          <w:sz w:val="24"/>
          <w:szCs w:val="24"/>
        </w:rPr>
      </w:pPr>
    </w:p>
    <w:p w14:paraId="4A87FFD4" w14:textId="77777777" w:rsidR="004375F6" w:rsidRDefault="00FF35D3">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Finally, while the findings confirm the broader systemic vulnerabilities exposed by the pandemic, they also high</w:t>
      </w:r>
      <w:r>
        <w:rPr>
          <w:rFonts w:ascii="Times New Roman" w:hAnsi="Times New Roman" w:cs="Times New Roman"/>
          <w:sz w:val="24"/>
          <w:szCs w:val="24"/>
        </w:rPr>
        <w:t>light emerging policy responses aimed at strengthening health system resilience in Delta State. The 2023 State Health Sector Performance Report recommended key strategies, including the establishment of dedicated vaccine budgets, implementation of real-tim</w:t>
      </w:r>
      <w:r>
        <w:rPr>
          <w:rFonts w:ascii="Times New Roman" w:hAnsi="Times New Roman" w:cs="Times New Roman"/>
          <w:sz w:val="24"/>
          <w:szCs w:val="24"/>
        </w:rPr>
        <w:t xml:space="preserve">e stock </w:t>
      </w:r>
      <w:r>
        <w:rPr>
          <w:rFonts w:ascii="Times New Roman" w:hAnsi="Times New Roman" w:cs="Times New Roman"/>
          <w:sz w:val="24"/>
          <w:szCs w:val="24"/>
        </w:rPr>
        <w:lastRenderedPageBreak/>
        <w:t xml:space="preserve">monitoring systems, digital </w:t>
      </w:r>
      <w:proofErr w:type="spellStart"/>
      <w:r>
        <w:rPr>
          <w:rFonts w:ascii="Times New Roman" w:hAnsi="Times New Roman" w:cs="Times New Roman"/>
          <w:sz w:val="24"/>
          <w:szCs w:val="24"/>
        </w:rPr>
        <w:t>immunisation</w:t>
      </w:r>
      <w:proofErr w:type="spellEnd"/>
      <w:r>
        <w:rPr>
          <w:rFonts w:ascii="Times New Roman" w:hAnsi="Times New Roman" w:cs="Times New Roman"/>
          <w:sz w:val="24"/>
          <w:szCs w:val="24"/>
        </w:rPr>
        <w:t xml:space="preserve"> registries, enhancements to cold-chain infrastructure, and the development of emergency staffing mechanisms (21). The extent to which these measures have been adopted will be critical in determining the long</w:t>
      </w:r>
      <w:r>
        <w:rPr>
          <w:rFonts w:ascii="Times New Roman" w:hAnsi="Times New Roman" w:cs="Times New Roman"/>
          <w:sz w:val="24"/>
          <w:szCs w:val="24"/>
        </w:rPr>
        <w:t xml:space="preserve">-term recovery and resilience of </w:t>
      </w:r>
      <w:proofErr w:type="spellStart"/>
      <w:r>
        <w:rPr>
          <w:rFonts w:ascii="Times New Roman" w:hAnsi="Times New Roman" w:cs="Times New Roman"/>
          <w:sz w:val="24"/>
          <w:szCs w:val="24"/>
        </w:rPr>
        <w:t>immunisation</w:t>
      </w:r>
      <w:proofErr w:type="spellEnd"/>
      <w:r>
        <w:rPr>
          <w:rFonts w:ascii="Times New Roman" w:hAnsi="Times New Roman" w:cs="Times New Roman"/>
          <w:sz w:val="24"/>
          <w:szCs w:val="24"/>
        </w:rPr>
        <w:t xml:space="preserve"> services in the state.</w:t>
      </w:r>
    </w:p>
    <w:p w14:paraId="5E6E4F91" w14:textId="77777777" w:rsidR="004375F6" w:rsidRDefault="004375F6">
      <w:pPr>
        <w:autoSpaceDE w:val="0"/>
        <w:autoSpaceDN w:val="0"/>
        <w:adjustRightInd w:val="0"/>
        <w:spacing w:after="0" w:line="400" w:lineRule="atLeast"/>
        <w:jc w:val="both"/>
        <w:rPr>
          <w:rFonts w:ascii="Times New Roman" w:hAnsi="Times New Roman" w:cs="Times New Roman"/>
          <w:sz w:val="24"/>
          <w:szCs w:val="24"/>
        </w:rPr>
      </w:pPr>
    </w:p>
    <w:p w14:paraId="48EF4890" w14:textId="77777777" w:rsidR="004375F6" w:rsidRDefault="00FF35D3">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b/>
          <w:bCs/>
          <w:sz w:val="24"/>
          <w:szCs w:val="24"/>
        </w:rPr>
        <w:t>CONCLUSION</w:t>
      </w:r>
      <w:r>
        <w:rPr>
          <w:rFonts w:ascii="Times New Roman" w:hAnsi="Times New Roman" w:cs="Times New Roman"/>
          <w:sz w:val="24"/>
          <w:szCs w:val="24"/>
        </w:rPr>
        <w:t xml:space="preserve"> </w:t>
      </w:r>
    </w:p>
    <w:p w14:paraId="1EBFA2D1" w14:textId="77777777" w:rsidR="004375F6" w:rsidRDefault="00FF35D3">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 xml:space="preserve">This study highlights significant setbacks in routine </w:t>
      </w:r>
      <w:proofErr w:type="spellStart"/>
      <w:r>
        <w:rPr>
          <w:rFonts w:ascii="Times New Roman" w:hAnsi="Times New Roman" w:cs="Times New Roman"/>
          <w:sz w:val="24"/>
          <w:szCs w:val="24"/>
        </w:rPr>
        <w:t>immunisation</w:t>
      </w:r>
      <w:proofErr w:type="spellEnd"/>
      <w:r>
        <w:rPr>
          <w:rFonts w:ascii="Times New Roman" w:hAnsi="Times New Roman" w:cs="Times New Roman"/>
          <w:sz w:val="24"/>
          <w:szCs w:val="24"/>
        </w:rPr>
        <w:t xml:space="preserve"> coverage in Delta State during and after the COVID-19 pandemic, accompanied by increased notifications of v</w:t>
      </w:r>
      <w:r>
        <w:rPr>
          <w:rFonts w:ascii="Times New Roman" w:hAnsi="Times New Roman" w:cs="Times New Roman"/>
          <w:sz w:val="24"/>
          <w:szCs w:val="24"/>
        </w:rPr>
        <w:t xml:space="preserve">accine-preventable diseases and disruptions in service delivery, particularly at public primary healthcare </w:t>
      </w:r>
      <w:proofErr w:type="spellStart"/>
      <w:r>
        <w:rPr>
          <w:rFonts w:ascii="Times New Roman" w:hAnsi="Times New Roman" w:cs="Times New Roman"/>
          <w:sz w:val="24"/>
          <w:szCs w:val="24"/>
        </w:rPr>
        <w:t>centres</w:t>
      </w:r>
      <w:proofErr w:type="spellEnd"/>
      <w:r>
        <w:rPr>
          <w:rFonts w:ascii="Times New Roman" w:hAnsi="Times New Roman" w:cs="Times New Roman"/>
          <w:sz w:val="24"/>
          <w:szCs w:val="24"/>
        </w:rPr>
        <w:t>. The findings underscore the critical need to address spatial disparities, enhance epidemiologic modelling approaches, and evaluate the resil</w:t>
      </w:r>
      <w:r>
        <w:rPr>
          <w:rFonts w:ascii="Times New Roman" w:hAnsi="Times New Roman" w:cs="Times New Roman"/>
          <w:sz w:val="24"/>
          <w:szCs w:val="24"/>
        </w:rPr>
        <w:t xml:space="preserve">ience of various facility types. </w:t>
      </w:r>
      <w:proofErr w:type="spellStart"/>
      <w:r>
        <w:rPr>
          <w:rFonts w:ascii="Times New Roman" w:hAnsi="Times New Roman" w:cs="Times New Roman"/>
          <w:sz w:val="24"/>
          <w:szCs w:val="24"/>
        </w:rPr>
        <w:t>Behavioural</w:t>
      </w:r>
      <w:proofErr w:type="spellEnd"/>
      <w:r>
        <w:rPr>
          <w:rFonts w:ascii="Times New Roman" w:hAnsi="Times New Roman" w:cs="Times New Roman"/>
          <w:sz w:val="24"/>
          <w:szCs w:val="24"/>
        </w:rPr>
        <w:t xml:space="preserve"> and operational factors also play a pivotal role in </w:t>
      </w:r>
      <w:proofErr w:type="spellStart"/>
      <w:r>
        <w:rPr>
          <w:rFonts w:ascii="Times New Roman" w:hAnsi="Times New Roman" w:cs="Times New Roman"/>
          <w:sz w:val="24"/>
          <w:szCs w:val="24"/>
        </w:rPr>
        <w:t>immunisation</w:t>
      </w:r>
      <w:proofErr w:type="spellEnd"/>
      <w:r>
        <w:rPr>
          <w:rFonts w:ascii="Times New Roman" w:hAnsi="Times New Roman" w:cs="Times New Roman"/>
          <w:sz w:val="24"/>
          <w:szCs w:val="24"/>
        </w:rPr>
        <w:t xml:space="preserve"> uptake and system recovery.</w:t>
      </w:r>
    </w:p>
    <w:p w14:paraId="38D5F1FC" w14:textId="77777777" w:rsidR="004375F6" w:rsidRDefault="004375F6">
      <w:pPr>
        <w:autoSpaceDE w:val="0"/>
        <w:autoSpaceDN w:val="0"/>
        <w:adjustRightInd w:val="0"/>
        <w:spacing w:after="0" w:line="400" w:lineRule="atLeast"/>
        <w:jc w:val="both"/>
        <w:rPr>
          <w:rFonts w:ascii="Times New Roman" w:hAnsi="Times New Roman" w:cs="Times New Roman"/>
          <w:sz w:val="24"/>
          <w:szCs w:val="24"/>
        </w:rPr>
      </w:pPr>
    </w:p>
    <w:p w14:paraId="02B12405" w14:textId="77777777" w:rsidR="004375F6" w:rsidRDefault="00FF35D3">
      <w:pPr>
        <w:autoSpaceDE w:val="0"/>
        <w:autoSpaceDN w:val="0"/>
        <w:adjustRightInd w:val="0"/>
        <w:spacing w:after="0" w:line="400" w:lineRule="atLeast"/>
        <w:jc w:val="both"/>
        <w:rPr>
          <w:rFonts w:ascii="Times New Roman" w:hAnsi="Times New Roman" w:cs="Times New Roman"/>
          <w:sz w:val="24"/>
          <w:szCs w:val="24"/>
        </w:rPr>
      </w:pPr>
      <w:r>
        <w:rPr>
          <w:rFonts w:ascii="Times New Roman" w:hAnsi="Times New Roman" w:cs="Times New Roman"/>
          <w:sz w:val="24"/>
          <w:szCs w:val="24"/>
        </w:rPr>
        <w:t xml:space="preserve">Future research should </w:t>
      </w:r>
      <w:proofErr w:type="spellStart"/>
      <w:r>
        <w:rPr>
          <w:rFonts w:ascii="Times New Roman" w:hAnsi="Times New Roman" w:cs="Times New Roman"/>
          <w:sz w:val="24"/>
          <w:szCs w:val="24"/>
        </w:rPr>
        <w:t>prioritise</w:t>
      </w:r>
      <w:proofErr w:type="spellEnd"/>
      <w:r>
        <w:rPr>
          <w:rFonts w:ascii="Times New Roman" w:hAnsi="Times New Roman" w:cs="Times New Roman"/>
          <w:sz w:val="24"/>
          <w:szCs w:val="24"/>
        </w:rPr>
        <w:t xml:space="preserve"> the integration of geospatial analysis, longitudinal tracking of catch-up efforts, </w:t>
      </w:r>
      <w:r>
        <w:rPr>
          <w:rFonts w:ascii="Times New Roman" w:hAnsi="Times New Roman" w:cs="Times New Roman"/>
          <w:sz w:val="24"/>
          <w:szCs w:val="24"/>
        </w:rPr>
        <w:t xml:space="preserve">and mixed-methods evaluations of private-sector participation. A coordinated, data-driven approach—grounded in both epidemiologic evidence and community engagement—is essential to guide Nigeria’s </w:t>
      </w:r>
      <w:proofErr w:type="spellStart"/>
      <w:r>
        <w:rPr>
          <w:rFonts w:ascii="Times New Roman" w:hAnsi="Times New Roman" w:cs="Times New Roman"/>
          <w:sz w:val="24"/>
          <w:szCs w:val="24"/>
        </w:rPr>
        <w:t>immunisation</w:t>
      </w:r>
      <w:proofErr w:type="spellEnd"/>
      <w:r>
        <w:rPr>
          <w:rFonts w:ascii="Times New Roman" w:hAnsi="Times New Roman" w:cs="Times New Roman"/>
          <w:sz w:val="24"/>
          <w:szCs w:val="24"/>
        </w:rPr>
        <w:t xml:space="preserve"> recovery agenda and build a more resilient, equ</w:t>
      </w:r>
      <w:r>
        <w:rPr>
          <w:rFonts w:ascii="Times New Roman" w:hAnsi="Times New Roman" w:cs="Times New Roman"/>
          <w:sz w:val="24"/>
          <w:szCs w:val="24"/>
        </w:rPr>
        <w:t xml:space="preserve">itable </w:t>
      </w:r>
      <w:proofErr w:type="spellStart"/>
      <w:r>
        <w:rPr>
          <w:rFonts w:ascii="Times New Roman" w:hAnsi="Times New Roman" w:cs="Times New Roman"/>
          <w:sz w:val="24"/>
          <w:szCs w:val="24"/>
        </w:rPr>
        <w:t>immunisation</w:t>
      </w:r>
      <w:proofErr w:type="spellEnd"/>
      <w:r>
        <w:rPr>
          <w:rFonts w:ascii="Times New Roman" w:hAnsi="Times New Roman" w:cs="Times New Roman"/>
          <w:sz w:val="24"/>
          <w:szCs w:val="24"/>
        </w:rPr>
        <w:t xml:space="preserve"> system. Policymakers and stakeholders must act swiftly to translate these insights into targeted interventions that safeguard routine </w:t>
      </w:r>
      <w:proofErr w:type="spellStart"/>
      <w:r>
        <w:rPr>
          <w:rFonts w:ascii="Times New Roman" w:hAnsi="Times New Roman" w:cs="Times New Roman"/>
          <w:sz w:val="24"/>
          <w:szCs w:val="24"/>
        </w:rPr>
        <w:t>immunisation</w:t>
      </w:r>
      <w:proofErr w:type="spellEnd"/>
      <w:r>
        <w:rPr>
          <w:rFonts w:ascii="Times New Roman" w:hAnsi="Times New Roman" w:cs="Times New Roman"/>
          <w:sz w:val="24"/>
          <w:szCs w:val="24"/>
        </w:rPr>
        <w:t xml:space="preserve"> and avert future public health shocks.</w:t>
      </w:r>
    </w:p>
    <w:p w14:paraId="4D5912C6" w14:textId="77777777" w:rsidR="004375F6" w:rsidRDefault="004375F6">
      <w:pPr>
        <w:pStyle w:val="NormalWeb"/>
        <w:jc w:val="both"/>
        <w:rPr>
          <w:b/>
          <w:bCs/>
          <w:lang w:val="en-US"/>
        </w:rPr>
      </w:pPr>
    </w:p>
    <w:p w14:paraId="6D3223C6" w14:textId="77777777" w:rsidR="004375F6" w:rsidRDefault="00FF35D3">
      <w:pPr>
        <w:pStyle w:val="NormalWeb"/>
        <w:jc w:val="both"/>
        <w:rPr>
          <w:b/>
          <w:bCs/>
          <w:lang w:val="en-US"/>
        </w:rPr>
      </w:pPr>
      <w:r>
        <w:rPr>
          <w:b/>
          <w:bCs/>
          <w:lang w:val="en-US"/>
        </w:rPr>
        <w:t>REFERENCES</w:t>
      </w:r>
    </w:p>
    <w:p w14:paraId="379347B6" w14:textId="77777777" w:rsidR="004375F6" w:rsidRDefault="00FF35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World Health Organization. Immunization coverage: are we losing ground? Geneva: WHO; 2021 [cited 2025 Jun 7]. Available from: https:/</w:t>
      </w:r>
      <w:r>
        <w:rPr>
          <w:rFonts w:ascii="Times New Roman" w:eastAsia="Times New Roman" w:hAnsi="Times New Roman" w:cs="Times New Roman"/>
          <w:sz w:val="24"/>
          <w:szCs w:val="24"/>
        </w:rPr>
        <w:t>/www.who.int/news-room/feature-stories/detail/immunization-coverage-are-we-losing-ground</w:t>
      </w:r>
    </w:p>
    <w:p w14:paraId="2832D06F" w14:textId="77777777" w:rsidR="004375F6" w:rsidRDefault="00FF35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Essoh TA, Adeyanju GC, </w:t>
      </w:r>
      <w:proofErr w:type="spellStart"/>
      <w:r>
        <w:rPr>
          <w:rFonts w:ascii="Times New Roman" w:eastAsia="Times New Roman" w:hAnsi="Times New Roman" w:cs="Times New Roman"/>
          <w:sz w:val="24"/>
          <w:szCs w:val="24"/>
        </w:rPr>
        <w:t>Adamu</w:t>
      </w:r>
      <w:proofErr w:type="spellEnd"/>
      <w:r>
        <w:rPr>
          <w:rFonts w:ascii="Times New Roman" w:eastAsia="Times New Roman" w:hAnsi="Times New Roman" w:cs="Times New Roman"/>
          <w:sz w:val="24"/>
          <w:szCs w:val="24"/>
        </w:rPr>
        <w:t xml:space="preserve"> AA, </w:t>
      </w:r>
      <w:proofErr w:type="spellStart"/>
      <w:r>
        <w:rPr>
          <w:rFonts w:ascii="Times New Roman" w:eastAsia="Times New Roman" w:hAnsi="Times New Roman" w:cs="Times New Roman"/>
          <w:sz w:val="24"/>
          <w:szCs w:val="24"/>
        </w:rPr>
        <w:t>Ahawo</w:t>
      </w:r>
      <w:proofErr w:type="spellEnd"/>
      <w:r>
        <w:rPr>
          <w:rFonts w:ascii="Times New Roman" w:eastAsia="Times New Roman" w:hAnsi="Times New Roman" w:cs="Times New Roman"/>
          <w:sz w:val="24"/>
          <w:szCs w:val="24"/>
        </w:rPr>
        <w:t xml:space="preserve"> AK, Aka D, Tall H, et al. Early impact of SARS-CoV-2 pandemic on immunization services in Nigeria. Vaccines (Basel). 2022 Jul</w:t>
      </w:r>
      <w:r>
        <w:rPr>
          <w:rFonts w:ascii="Times New Roman" w:eastAsia="Times New Roman" w:hAnsi="Times New Roman" w:cs="Times New Roman"/>
          <w:sz w:val="24"/>
          <w:szCs w:val="24"/>
        </w:rPr>
        <w:t xml:space="preserve"> 11;10(7):1107. doi:10.3390/vaccines10071107. PMID: 35891271; PMCID: PMC9315672.</w:t>
      </w:r>
    </w:p>
    <w:p w14:paraId="4072F875" w14:textId="77777777" w:rsidR="004375F6" w:rsidRDefault="00FF35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Jones CE, </w:t>
      </w:r>
      <w:proofErr w:type="spellStart"/>
      <w:r>
        <w:rPr>
          <w:rFonts w:ascii="Times New Roman" w:eastAsia="Times New Roman" w:hAnsi="Times New Roman" w:cs="Times New Roman"/>
          <w:sz w:val="24"/>
          <w:szCs w:val="24"/>
        </w:rPr>
        <w:t>Danovaro</w:t>
      </w:r>
      <w:proofErr w:type="spellEnd"/>
      <w:r>
        <w:rPr>
          <w:rFonts w:ascii="Times New Roman" w:eastAsia="Times New Roman" w:hAnsi="Times New Roman" w:cs="Times New Roman"/>
          <w:sz w:val="24"/>
          <w:szCs w:val="24"/>
        </w:rPr>
        <w:t xml:space="preserve">-Holliday MC, </w:t>
      </w:r>
      <w:proofErr w:type="spellStart"/>
      <w:r>
        <w:rPr>
          <w:rFonts w:ascii="Times New Roman" w:eastAsia="Times New Roman" w:hAnsi="Times New Roman" w:cs="Times New Roman"/>
          <w:sz w:val="24"/>
          <w:szCs w:val="24"/>
        </w:rPr>
        <w:t>Mwinnyaa</w:t>
      </w:r>
      <w:proofErr w:type="spellEnd"/>
      <w:r>
        <w:rPr>
          <w:rFonts w:ascii="Times New Roman" w:eastAsia="Times New Roman" w:hAnsi="Times New Roman" w:cs="Times New Roman"/>
          <w:sz w:val="24"/>
          <w:szCs w:val="24"/>
        </w:rPr>
        <w:t xml:space="preserve"> G, </w:t>
      </w:r>
      <w:proofErr w:type="spellStart"/>
      <w:r>
        <w:rPr>
          <w:rFonts w:ascii="Times New Roman" w:eastAsia="Times New Roman" w:hAnsi="Times New Roman" w:cs="Times New Roman"/>
          <w:sz w:val="24"/>
          <w:szCs w:val="24"/>
        </w:rPr>
        <w:t>Gacic-Dobo</w:t>
      </w:r>
      <w:proofErr w:type="spellEnd"/>
      <w:r>
        <w:rPr>
          <w:rFonts w:ascii="Times New Roman" w:eastAsia="Times New Roman" w:hAnsi="Times New Roman" w:cs="Times New Roman"/>
          <w:sz w:val="24"/>
          <w:szCs w:val="24"/>
        </w:rPr>
        <w:t xml:space="preserve"> M, Francis L, </w:t>
      </w:r>
      <w:proofErr w:type="spellStart"/>
      <w:r>
        <w:rPr>
          <w:rFonts w:ascii="Times New Roman" w:eastAsia="Times New Roman" w:hAnsi="Times New Roman" w:cs="Times New Roman"/>
          <w:sz w:val="24"/>
          <w:szCs w:val="24"/>
        </w:rPr>
        <w:t>Grevendonk</w:t>
      </w:r>
      <w:proofErr w:type="spellEnd"/>
      <w:r>
        <w:rPr>
          <w:rFonts w:ascii="Times New Roman" w:eastAsia="Times New Roman" w:hAnsi="Times New Roman" w:cs="Times New Roman"/>
          <w:sz w:val="24"/>
          <w:szCs w:val="24"/>
        </w:rPr>
        <w:t xml:space="preserve"> J, et al. Routine vaccination coverage - worldwide, 2023. MMWR </w:t>
      </w:r>
      <w:proofErr w:type="spellStart"/>
      <w:r>
        <w:rPr>
          <w:rFonts w:ascii="Times New Roman" w:eastAsia="Times New Roman" w:hAnsi="Times New Roman" w:cs="Times New Roman"/>
          <w:sz w:val="24"/>
          <w:szCs w:val="24"/>
        </w:rPr>
        <w:t>Morb</w:t>
      </w:r>
      <w:proofErr w:type="spellEnd"/>
      <w:r>
        <w:rPr>
          <w:rFonts w:ascii="Times New Roman" w:eastAsia="Times New Roman" w:hAnsi="Times New Roman" w:cs="Times New Roman"/>
          <w:sz w:val="24"/>
          <w:szCs w:val="24"/>
        </w:rPr>
        <w:t xml:space="preserve"> Mortal </w:t>
      </w:r>
      <w:proofErr w:type="spellStart"/>
      <w:r>
        <w:rPr>
          <w:rFonts w:ascii="Times New Roman" w:eastAsia="Times New Roman" w:hAnsi="Times New Roman" w:cs="Times New Roman"/>
          <w:sz w:val="24"/>
          <w:szCs w:val="24"/>
        </w:rPr>
        <w:t>Wkly</w:t>
      </w:r>
      <w:proofErr w:type="spellEnd"/>
      <w:r>
        <w:rPr>
          <w:rFonts w:ascii="Times New Roman" w:eastAsia="Times New Roman" w:hAnsi="Times New Roman" w:cs="Times New Roman"/>
          <w:sz w:val="24"/>
          <w:szCs w:val="24"/>
        </w:rPr>
        <w:t xml:space="preserve"> Rep. 2024 Oc</w:t>
      </w:r>
      <w:r>
        <w:rPr>
          <w:rFonts w:ascii="Times New Roman" w:eastAsia="Times New Roman" w:hAnsi="Times New Roman" w:cs="Times New Roman"/>
          <w:sz w:val="24"/>
          <w:szCs w:val="24"/>
        </w:rPr>
        <w:t>t 31;73(43):978–84. doi:10.15585/mmwr.mm7343a4. PMID: 39480752; PMCID: PMC11527360.</w:t>
      </w:r>
    </w:p>
    <w:p w14:paraId="15B27AF2" w14:textId="77777777" w:rsidR="004375F6" w:rsidRDefault="00FF35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Moreira da Cunha N, </w:t>
      </w:r>
      <w:proofErr w:type="spellStart"/>
      <w:r>
        <w:rPr>
          <w:rFonts w:ascii="Times New Roman" w:eastAsia="Times New Roman" w:hAnsi="Times New Roman" w:cs="Times New Roman"/>
          <w:sz w:val="24"/>
          <w:szCs w:val="24"/>
        </w:rPr>
        <w:t>Tzirita</w:t>
      </w:r>
      <w:proofErr w:type="spellEnd"/>
      <w:r>
        <w:rPr>
          <w:rFonts w:ascii="Times New Roman" w:eastAsia="Times New Roman" w:hAnsi="Times New Roman" w:cs="Times New Roman"/>
          <w:sz w:val="24"/>
          <w:szCs w:val="24"/>
        </w:rPr>
        <w:t xml:space="preserve"> S, Gobbo E, Herzig van Wees S. Factors influencing adolescents’ decision-making about COVID-19 vaccination: a systematic review with qualitat</w:t>
      </w:r>
      <w:r>
        <w:rPr>
          <w:rFonts w:ascii="Times New Roman" w:eastAsia="Times New Roman" w:hAnsi="Times New Roman" w:cs="Times New Roman"/>
          <w:sz w:val="24"/>
          <w:szCs w:val="24"/>
        </w:rPr>
        <w:t xml:space="preserve">ive synthesis. Front Public Health. </w:t>
      </w:r>
      <w:proofErr w:type="gramStart"/>
      <w:r>
        <w:rPr>
          <w:rFonts w:ascii="Times New Roman" w:eastAsia="Times New Roman" w:hAnsi="Times New Roman" w:cs="Times New Roman"/>
          <w:sz w:val="24"/>
          <w:szCs w:val="24"/>
        </w:rPr>
        <w:t>2025;13:1563677</w:t>
      </w:r>
      <w:proofErr w:type="gramEnd"/>
      <w:r>
        <w:rPr>
          <w:rFonts w:ascii="Times New Roman" w:eastAsia="Times New Roman" w:hAnsi="Times New Roman" w:cs="Times New Roman"/>
          <w:sz w:val="24"/>
          <w:szCs w:val="24"/>
        </w:rPr>
        <w:t>. doi:10.3389/fpubh.2025.1563677.</w:t>
      </w:r>
    </w:p>
    <w:p w14:paraId="7B23529A" w14:textId="77777777" w:rsidR="004375F6" w:rsidRDefault="00FF35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5. Gavi, the Vaccine Alliance. Responding to COVID-19. Geneva: Gavi; 2022 [cited 2025 Jun 7]. Available from: https://www.gavi.org/news/media-room/building-resilient-immun</w:t>
      </w:r>
      <w:r>
        <w:rPr>
          <w:rFonts w:ascii="Times New Roman" w:eastAsia="Times New Roman" w:hAnsi="Times New Roman" w:cs="Times New Roman"/>
          <w:sz w:val="24"/>
          <w:szCs w:val="24"/>
        </w:rPr>
        <w:t>ization-systems-pandemic</w:t>
      </w:r>
    </w:p>
    <w:p w14:paraId="1524E319" w14:textId="77777777" w:rsidR="004375F6" w:rsidRDefault="00FF35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proofErr w:type="spellStart"/>
      <w:r>
        <w:rPr>
          <w:rFonts w:ascii="Times New Roman" w:eastAsia="Times New Roman" w:hAnsi="Times New Roman" w:cs="Times New Roman"/>
          <w:sz w:val="24"/>
          <w:szCs w:val="24"/>
        </w:rPr>
        <w:t>Aigbogun</w:t>
      </w:r>
      <w:proofErr w:type="spellEnd"/>
      <w:r>
        <w:rPr>
          <w:rFonts w:ascii="Times New Roman" w:eastAsia="Times New Roman" w:hAnsi="Times New Roman" w:cs="Times New Roman"/>
          <w:sz w:val="24"/>
          <w:szCs w:val="24"/>
        </w:rPr>
        <w:t xml:space="preserve"> EO Jr, Ibrahim R, </w:t>
      </w:r>
      <w:proofErr w:type="spellStart"/>
      <w:r>
        <w:rPr>
          <w:rFonts w:ascii="Times New Roman" w:eastAsia="Times New Roman" w:hAnsi="Times New Roman" w:cs="Times New Roman"/>
          <w:sz w:val="24"/>
          <w:szCs w:val="24"/>
        </w:rPr>
        <w:t>Yusufari</w:t>
      </w:r>
      <w:proofErr w:type="spellEnd"/>
      <w:r>
        <w:rPr>
          <w:rFonts w:ascii="Times New Roman" w:eastAsia="Times New Roman" w:hAnsi="Times New Roman" w:cs="Times New Roman"/>
          <w:sz w:val="24"/>
          <w:szCs w:val="24"/>
        </w:rPr>
        <w:t xml:space="preserve"> Y, Igbokwe U, Okongwu C, Abdulkarim A, et al. Impact of the COVID-19 pandemic on routine immunization programs in Northern Nigeria. Sustainability. 2023;15(17):12966. doi:10.3390/su151712966.</w:t>
      </w:r>
    </w:p>
    <w:p w14:paraId="4328E104" w14:textId="77777777" w:rsidR="004375F6" w:rsidRDefault="00FF35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 Igbokwe U, Ibrahim R, Aina M, Umar M, Salihu M, Omoregie E, et al. Evaluating the implementation of the National Primary Health Care Development Agency (NPHCDA) gateway for the Basic Healthcare Provision Fund (BHCPF) across six Northern states in Nigeri</w:t>
      </w:r>
      <w:r>
        <w:rPr>
          <w:rFonts w:ascii="Times New Roman" w:eastAsia="Times New Roman" w:hAnsi="Times New Roman" w:cs="Times New Roman"/>
          <w:sz w:val="24"/>
          <w:szCs w:val="24"/>
        </w:rPr>
        <w:t>a. BMC Health Serv Res. 2024 Nov 14;24(1):1404. doi:10.1186/s12913-024-11867-3. PMID: 39543589; PMCID: PMC11566299.</w:t>
      </w:r>
    </w:p>
    <w:p w14:paraId="124D335E" w14:textId="77777777" w:rsidR="004375F6" w:rsidRDefault="00FF35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Sesay U, Serna-Chavez HM, </w:t>
      </w:r>
      <w:proofErr w:type="spellStart"/>
      <w:r>
        <w:rPr>
          <w:rFonts w:ascii="Times New Roman" w:eastAsia="Times New Roman" w:hAnsi="Times New Roman" w:cs="Times New Roman"/>
          <w:sz w:val="24"/>
          <w:szCs w:val="24"/>
        </w:rPr>
        <w:t>Gebru</w:t>
      </w:r>
      <w:proofErr w:type="spellEnd"/>
      <w:r>
        <w:rPr>
          <w:rFonts w:ascii="Times New Roman" w:eastAsia="Times New Roman" w:hAnsi="Times New Roman" w:cs="Times New Roman"/>
          <w:sz w:val="24"/>
          <w:szCs w:val="24"/>
        </w:rPr>
        <w:t xml:space="preserve"> GN, </w:t>
      </w:r>
      <w:proofErr w:type="spellStart"/>
      <w:r>
        <w:rPr>
          <w:rFonts w:ascii="Times New Roman" w:eastAsia="Times New Roman" w:hAnsi="Times New Roman" w:cs="Times New Roman"/>
          <w:sz w:val="24"/>
          <w:szCs w:val="24"/>
        </w:rPr>
        <w:t>Kangbai</w:t>
      </w:r>
      <w:proofErr w:type="spellEnd"/>
      <w:r>
        <w:rPr>
          <w:rFonts w:ascii="Times New Roman" w:eastAsia="Times New Roman" w:hAnsi="Times New Roman" w:cs="Times New Roman"/>
          <w:sz w:val="24"/>
          <w:szCs w:val="24"/>
        </w:rPr>
        <w:t xml:space="preserve"> JB, Ogbonna U, Squire JS, et al. Assessing the impact of COVID-19 on routine immunization in </w:t>
      </w:r>
      <w:r>
        <w:rPr>
          <w:rFonts w:ascii="Times New Roman" w:eastAsia="Times New Roman" w:hAnsi="Times New Roman" w:cs="Times New Roman"/>
          <w:sz w:val="24"/>
          <w:szCs w:val="24"/>
        </w:rPr>
        <w:t>Sierra Leone. BMC Public Health. 2024;24(1):1795. doi:10.1186/s12889-024-19221-2.</w:t>
      </w:r>
    </w:p>
    <w:p w14:paraId="36B8599E" w14:textId="77777777" w:rsidR="004375F6" w:rsidRDefault="00FF35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World Bank. Rising to the challenge: Nigeria’s COVID response. Washington (DC): World Bank; 2022 [cited 2025 Jun 7]. Available from: https://documents1.worldbank.org/curat</w:t>
      </w:r>
      <w:r>
        <w:rPr>
          <w:rFonts w:ascii="Times New Roman" w:eastAsia="Times New Roman" w:hAnsi="Times New Roman" w:cs="Times New Roman"/>
          <w:sz w:val="24"/>
          <w:szCs w:val="24"/>
        </w:rPr>
        <w:t>ed/en/152691607607461391/pdf/rising-to-the-challenge-nigerias-covid-response.pdf</w:t>
      </w:r>
    </w:p>
    <w:p w14:paraId="5952CC47" w14:textId="77777777" w:rsidR="004375F6" w:rsidRDefault="00FF35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proofErr w:type="spellStart"/>
      <w:r>
        <w:rPr>
          <w:rFonts w:ascii="Times New Roman" w:eastAsia="Times New Roman" w:hAnsi="Times New Roman" w:cs="Times New Roman"/>
          <w:sz w:val="24"/>
          <w:szCs w:val="24"/>
        </w:rPr>
        <w:t>Mahachi</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Kessels</w:t>
      </w:r>
      <w:proofErr w:type="spellEnd"/>
      <w:r>
        <w:rPr>
          <w:rFonts w:ascii="Times New Roman" w:eastAsia="Times New Roman" w:hAnsi="Times New Roman" w:cs="Times New Roman"/>
          <w:sz w:val="24"/>
          <w:szCs w:val="24"/>
        </w:rPr>
        <w:t xml:space="preserve"> J, Boateng K, Jean Baptiste AE, </w:t>
      </w:r>
      <w:proofErr w:type="spellStart"/>
      <w:r>
        <w:rPr>
          <w:rFonts w:ascii="Times New Roman" w:eastAsia="Times New Roman" w:hAnsi="Times New Roman" w:cs="Times New Roman"/>
          <w:sz w:val="24"/>
          <w:szCs w:val="24"/>
        </w:rPr>
        <w:t>Mitula</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Ekeman</w:t>
      </w:r>
      <w:proofErr w:type="spellEnd"/>
      <w:r>
        <w:rPr>
          <w:rFonts w:ascii="Times New Roman" w:eastAsia="Times New Roman" w:hAnsi="Times New Roman" w:cs="Times New Roman"/>
          <w:sz w:val="24"/>
          <w:szCs w:val="24"/>
        </w:rPr>
        <w:t xml:space="preserve"> E, et al. Zero- or missed-dose children in Nigeria: contributing factors and interventions to overcome </w:t>
      </w:r>
      <w:r>
        <w:rPr>
          <w:rFonts w:ascii="Times New Roman" w:eastAsia="Times New Roman" w:hAnsi="Times New Roman" w:cs="Times New Roman"/>
          <w:sz w:val="24"/>
          <w:szCs w:val="24"/>
        </w:rPr>
        <w:t xml:space="preserve">immunization service delivery challenges. Vaccine. 2022 Sep 2;40(37):5433–44. </w:t>
      </w:r>
      <w:proofErr w:type="gramStart"/>
      <w:r>
        <w:rPr>
          <w:rFonts w:ascii="Times New Roman" w:eastAsia="Times New Roman" w:hAnsi="Times New Roman" w:cs="Times New Roman"/>
          <w:sz w:val="24"/>
          <w:szCs w:val="24"/>
        </w:rPr>
        <w:t>doi:10.1016/j.vaccine</w:t>
      </w:r>
      <w:proofErr w:type="gramEnd"/>
      <w:r>
        <w:rPr>
          <w:rFonts w:ascii="Times New Roman" w:eastAsia="Times New Roman" w:hAnsi="Times New Roman" w:cs="Times New Roman"/>
          <w:sz w:val="24"/>
          <w:szCs w:val="24"/>
        </w:rPr>
        <w:t>.2022.07.058. PMID: 35973864; PMCID: PMC9485449.</w:t>
      </w:r>
    </w:p>
    <w:p w14:paraId="58739D61" w14:textId="77777777" w:rsidR="004375F6" w:rsidRDefault="00FF35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proofErr w:type="spellStart"/>
      <w:r>
        <w:rPr>
          <w:rFonts w:ascii="Times New Roman" w:eastAsia="Times New Roman" w:hAnsi="Times New Roman" w:cs="Times New Roman"/>
          <w:sz w:val="24"/>
          <w:szCs w:val="24"/>
        </w:rPr>
        <w:t>Ogundeji</w:t>
      </w:r>
      <w:proofErr w:type="spellEnd"/>
      <w:r>
        <w:rPr>
          <w:rFonts w:ascii="Times New Roman" w:eastAsia="Times New Roman" w:hAnsi="Times New Roman" w:cs="Times New Roman"/>
          <w:sz w:val="24"/>
          <w:szCs w:val="24"/>
        </w:rPr>
        <w:t xml:space="preserve"> YK, </w:t>
      </w:r>
      <w:proofErr w:type="spellStart"/>
      <w:r>
        <w:rPr>
          <w:rFonts w:ascii="Times New Roman" w:eastAsia="Times New Roman" w:hAnsi="Times New Roman" w:cs="Times New Roman"/>
          <w:sz w:val="24"/>
          <w:szCs w:val="24"/>
        </w:rPr>
        <w:t>Tinuoye</w:t>
      </w:r>
      <w:proofErr w:type="spellEnd"/>
      <w:r>
        <w:rPr>
          <w:rFonts w:ascii="Times New Roman" w:eastAsia="Times New Roman" w:hAnsi="Times New Roman" w:cs="Times New Roman"/>
          <w:sz w:val="24"/>
          <w:szCs w:val="24"/>
        </w:rPr>
        <w:t xml:space="preserve"> O, Bharali I, Mao W, </w:t>
      </w:r>
      <w:proofErr w:type="spellStart"/>
      <w:r>
        <w:rPr>
          <w:rFonts w:ascii="Times New Roman" w:eastAsia="Times New Roman" w:hAnsi="Times New Roman" w:cs="Times New Roman"/>
          <w:sz w:val="24"/>
          <w:szCs w:val="24"/>
        </w:rPr>
        <w:t>Ohiri</w:t>
      </w:r>
      <w:proofErr w:type="spellEnd"/>
      <w:r>
        <w:rPr>
          <w:rFonts w:ascii="Times New Roman" w:eastAsia="Times New Roman" w:hAnsi="Times New Roman" w:cs="Times New Roman"/>
          <w:sz w:val="24"/>
          <w:szCs w:val="24"/>
        </w:rPr>
        <w:t xml:space="preserve"> K, </w:t>
      </w:r>
      <w:proofErr w:type="spellStart"/>
      <w:r>
        <w:rPr>
          <w:rFonts w:ascii="Times New Roman" w:eastAsia="Times New Roman" w:hAnsi="Times New Roman" w:cs="Times New Roman"/>
          <w:sz w:val="24"/>
          <w:szCs w:val="24"/>
        </w:rPr>
        <w:t>Ogbuoji</w:t>
      </w:r>
      <w:proofErr w:type="spellEnd"/>
      <w:r>
        <w:rPr>
          <w:rFonts w:ascii="Times New Roman" w:eastAsia="Times New Roman" w:hAnsi="Times New Roman" w:cs="Times New Roman"/>
          <w:sz w:val="24"/>
          <w:szCs w:val="24"/>
        </w:rPr>
        <w:t xml:space="preserve"> O, et al. Is Nigeria on course to achieve uni</w:t>
      </w:r>
      <w:r>
        <w:rPr>
          <w:rFonts w:ascii="Times New Roman" w:eastAsia="Times New Roman" w:hAnsi="Times New Roman" w:cs="Times New Roman"/>
          <w:sz w:val="24"/>
          <w:szCs w:val="24"/>
        </w:rPr>
        <w:t>versal health coverage in the context of its epidemiological and financing transition? A knowledge, capacity and policy gap analysis. BMJ Open. 2023 Mar 10;13(3</w:t>
      </w: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064710. doi:10.1136/bmjopen-2022-064710. PMID: 36898742; PMCID: PMC10008219.</w:t>
      </w:r>
    </w:p>
    <w:p w14:paraId="6669670E" w14:textId="77777777" w:rsidR="004375F6" w:rsidRDefault="00FF35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Evans B, Kei</w:t>
      </w:r>
      <w:r>
        <w:rPr>
          <w:rFonts w:ascii="Times New Roman" w:eastAsia="Times New Roman" w:hAnsi="Times New Roman" w:cs="Times New Roman"/>
          <w:sz w:val="24"/>
          <w:szCs w:val="24"/>
        </w:rPr>
        <w:t xml:space="preserve">ser O, Kaiser L, </w:t>
      </w:r>
      <w:proofErr w:type="spellStart"/>
      <w:r>
        <w:rPr>
          <w:rFonts w:ascii="Times New Roman" w:eastAsia="Times New Roman" w:hAnsi="Times New Roman" w:cs="Times New Roman"/>
          <w:sz w:val="24"/>
          <w:szCs w:val="24"/>
        </w:rPr>
        <w:t>Jombart</w:t>
      </w:r>
      <w:proofErr w:type="spellEnd"/>
      <w:r>
        <w:rPr>
          <w:rFonts w:ascii="Times New Roman" w:eastAsia="Times New Roman" w:hAnsi="Times New Roman" w:cs="Times New Roman"/>
          <w:sz w:val="24"/>
          <w:szCs w:val="24"/>
        </w:rPr>
        <w:t xml:space="preserve"> T. Analysis of global routine </w:t>
      </w:r>
      <w:proofErr w:type="spellStart"/>
      <w:r>
        <w:rPr>
          <w:rFonts w:ascii="Times New Roman" w:eastAsia="Times New Roman" w:hAnsi="Times New Roman" w:cs="Times New Roman"/>
          <w:sz w:val="24"/>
          <w:szCs w:val="24"/>
        </w:rPr>
        <w:t>immunisation</w:t>
      </w:r>
      <w:proofErr w:type="spellEnd"/>
      <w:r>
        <w:rPr>
          <w:rFonts w:ascii="Times New Roman" w:eastAsia="Times New Roman" w:hAnsi="Times New Roman" w:cs="Times New Roman"/>
          <w:sz w:val="24"/>
          <w:szCs w:val="24"/>
        </w:rPr>
        <w:t xml:space="preserve"> coverage shows disruption and stagnation during the first two years of the COVID-19 pandemic with tentative recovery in 2022. Vaccine X. 2023 Sep </w:t>
      </w:r>
      <w:proofErr w:type="gramStart"/>
      <w:r>
        <w:rPr>
          <w:rFonts w:ascii="Times New Roman" w:eastAsia="Times New Roman" w:hAnsi="Times New Roman" w:cs="Times New Roman"/>
          <w:sz w:val="24"/>
          <w:szCs w:val="24"/>
        </w:rPr>
        <w:t>6;15:100383</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doi:10.1016/j.jvacx</w:t>
      </w:r>
      <w:proofErr w:type="gramEnd"/>
      <w:r>
        <w:rPr>
          <w:rFonts w:ascii="Times New Roman" w:eastAsia="Times New Roman" w:hAnsi="Times New Roman" w:cs="Times New Roman"/>
          <w:sz w:val="24"/>
          <w:szCs w:val="24"/>
        </w:rPr>
        <w:t>.2023.1003</w:t>
      </w:r>
      <w:r>
        <w:rPr>
          <w:rFonts w:ascii="Times New Roman" w:eastAsia="Times New Roman" w:hAnsi="Times New Roman" w:cs="Times New Roman"/>
          <w:sz w:val="24"/>
          <w:szCs w:val="24"/>
        </w:rPr>
        <w:t>83. PMID: 37841654; PMCID: PMC10568411.</w:t>
      </w:r>
    </w:p>
    <w:p w14:paraId="74A37599" w14:textId="77777777" w:rsidR="004375F6" w:rsidRDefault="00FF35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Nwankwo ONO, Ugwu CI, Nwankwo GI, </w:t>
      </w:r>
      <w:proofErr w:type="spellStart"/>
      <w:r>
        <w:rPr>
          <w:rFonts w:ascii="Times New Roman" w:eastAsia="Times New Roman" w:hAnsi="Times New Roman" w:cs="Times New Roman"/>
          <w:sz w:val="24"/>
          <w:szCs w:val="24"/>
        </w:rPr>
        <w:t>Akpoke</w:t>
      </w:r>
      <w:proofErr w:type="spellEnd"/>
      <w:r>
        <w:rPr>
          <w:rFonts w:ascii="Times New Roman" w:eastAsia="Times New Roman" w:hAnsi="Times New Roman" w:cs="Times New Roman"/>
          <w:sz w:val="24"/>
          <w:szCs w:val="24"/>
        </w:rPr>
        <w:t xml:space="preserve"> MA, </w:t>
      </w:r>
      <w:proofErr w:type="spellStart"/>
      <w:r>
        <w:rPr>
          <w:rFonts w:ascii="Times New Roman" w:eastAsia="Times New Roman" w:hAnsi="Times New Roman" w:cs="Times New Roman"/>
          <w:sz w:val="24"/>
          <w:szCs w:val="24"/>
        </w:rPr>
        <w:t>Anyigor</w:t>
      </w:r>
      <w:proofErr w:type="spellEnd"/>
      <w:r>
        <w:rPr>
          <w:rFonts w:ascii="Times New Roman" w:eastAsia="Times New Roman" w:hAnsi="Times New Roman" w:cs="Times New Roman"/>
          <w:sz w:val="24"/>
          <w:szCs w:val="24"/>
        </w:rPr>
        <w:t xml:space="preserve"> C, Obi-Nwankwo U, et al. A qualitative inquiry of rural-urban inequalities in the distribution and retention of healthcare workers in southern Nigeria. </w:t>
      </w:r>
      <w:proofErr w:type="spellStart"/>
      <w:r>
        <w:rPr>
          <w:rFonts w:ascii="Times New Roman" w:eastAsia="Times New Roman" w:hAnsi="Times New Roman" w:cs="Times New Roman"/>
          <w:sz w:val="24"/>
          <w:szCs w:val="24"/>
        </w:rPr>
        <w:t>PLoS</w:t>
      </w:r>
      <w:proofErr w:type="spellEnd"/>
      <w:r>
        <w:rPr>
          <w:rFonts w:ascii="Times New Roman" w:eastAsia="Times New Roman" w:hAnsi="Times New Roman" w:cs="Times New Roman"/>
          <w:sz w:val="24"/>
          <w:szCs w:val="24"/>
        </w:rPr>
        <w:t xml:space="preserve"> On</w:t>
      </w:r>
      <w:r>
        <w:rPr>
          <w:rFonts w:ascii="Times New Roman" w:eastAsia="Times New Roman" w:hAnsi="Times New Roman" w:cs="Times New Roman"/>
          <w:sz w:val="24"/>
          <w:szCs w:val="24"/>
        </w:rPr>
        <w:t>e. 2022 Mar 29;17(3</w:t>
      </w: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 xml:space="preserve">0266159. </w:t>
      </w:r>
      <w:proofErr w:type="gramStart"/>
      <w:r>
        <w:rPr>
          <w:rFonts w:ascii="Times New Roman" w:eastAsia="Times New Roman" w:hAnsi="Times New Roman" w:cs="Times New Roman"/>
          <w:sz w:val="24"/>
          <w:szCs w:val="24"/>
        </w:rPr>
        <w:t>doi:10.1371/journal.pone</w:t>
      </w:r>
      <w:proofErr w:type="gramEnd"/>
      <w:r>
        <w:rPr>
          <w:rFonts w:ascii="Times New Roman" w:eastAsia="Times New Roman" w:hAnsi="Times New Roman" w:cs="Times New Roman"/>
          <w:sz w:val="24"/>
          <w:szCs w:val="24"/>
        </w:rPr>
        <w:t>.0266159. PMID: 35349602; PMCID: PMC8963562.</w:t>
      </w:r>
    </w:p>
    <w:p w14:paraId="3DE375E7" w14:textId="77777777" w:rsidR="004375F6" w:rsidRDefault="00FF35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Hasan T, Lynch M, King C, </w:t>
      </w:r>
      <w:proofErr w:type="spellStart"/>
      <w:r>
        <w:rPr>
          <w:rFonts w:ascii="Times New Roman" w:eastAsia="Times New Roman" w:hAnsi="Times New Roman" w:cs="Times New Roman"/>
          <w:sz w:val="24"/>
          <w:szCs w:val="24"/>
        </w:rPr>
        <w:t>Wehbe</w:t>
      </w:r>
      <w:proofErr w:type="spellEnd"/>
      <w:r>
        <w:rPr>
          <w:rFonts w:ascii="Times New Roman" w:eastAsia="Times New Roman" w:hAnsi="Times New Roman" w:cs="Times New Roman"/>
          <w:sz w:val="24"/>
          <w:szCs w:val="24"/>
        </w:rPr>
        <w:t xml:space="preserve"> C, </w:t>
      </w:r>
      <w:proofErr w:type="spellStart"/>
      <w:r>
        <w:rPr>
          <w:rFonts w:ascii="Times New Roman" w:eastAsia="Times New Roman" w:hAnsi="Times New Roman" w:cs="Times New Roman"/>
          <w:sz w:val="24"/>
          <w:szCs w:val="24"/>
        </w:rPr>
        <w:t>Plymoth</w:t>
      </w:r>
      <w:proofErr w:type="spellEnd"/>
      <w:r>
        <w:rPr>
          <w:rFonts w:ascii="Times New Roman" w:eastAsia="Times New Roman" w:hAnsi="Times New Roman" w:cs="Times New Roman"/>
          <w:sz w:val="24"/>
          <w:szCs w:val="24"/>
        </w:rPr>
        <w:t xml:space="preserve"> M, Islam MS, et al. Vaccine-preventable disease outbreaks among healthcare workers: a scoping review. Clin In</w:t>
      </w:r>
      <w:r>
        <w:rPr>
          <w:rFonts w:ascii="Times New Roman" w:eastAsia="Times New Roman" w:hAnsi="Times New Roman" w:cs="Times New Roman"/>
          <w:sz w:val="24"/>
          <w:szCs w:val="24"/>
        </w:rPr>
        <w:t>fect Dis. 2024 Aug 16;79(2):555–61. doi:10.1093/</w:t>
      </w:r>
      <w:proofErr w:type="spellStart"/>
      <w:r>
        <w:rPr>
          <w:rFonts w:ascii="Times New Roman" w:eastAsia="Times New Roman" w:hAnsi="Times New Roman" w:cs="Times New Roman"/>
          <w:sz w:val="24"/>
          <w:szCs w:val="24"/>
        </w:rPr>
        <w:t>cid</w:t>
      </w:r>
      <w:proofErr w:type="spellEnd"/>
      <w:r>
        <w:rPr>
          <w:rFonts w:ascii="Times New Roman" w:eastAsia="Times New Roman" w:hAnsi="Times New Roman" w:cs="Times New Roman"/>
          <w:sz w:val="24"/>
          <w:szCs w:val="24"/>
        </w:rPr>
        <w:t>/ciae209. PMID: 38630638; PMCID: PMC11327795.</w:t>
      </w:r>
    </w:p>
    <w:p w14:paraId="5A2EFA8E" w14:textId="77777777" w:rsidR="004375F6" w:rsidRDefault="00FF35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Eagan RL, Larson HJ, de Figueiredo A. Recent trends in vaccine coverage and confidence: a cause for concern. Hum </w:t>
      </w:r>
      <w:proofErr w:type="spellStart"/>
      <w:r>
        <w:rPr>
          <w:rFonts w:ascii="Times New Roman" w:eastAsia="Times New Roman" w:hAnsi="Times New Roman" w:cs="Times New Roman"/>
          <w:sz w:val="24"/>
          <w:szCs w:val="24"/>
        </w:rPr>
        <w:t>Vaccin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Immunother</w:t>
      </w:r>
      <w:proofErr w:type="spellEnd"/>
      <w:r>
        <w:rPr>
          <w:rFonts w:ascii="Times New Roman" w:eastAsia="Times New Roman" w:hAnsi="Times New Roman" w:cs="Times New Roman"/>
          <w:sz w:val="24"/>
          <w:szCs w:val="24"/>
        </w:rPr>
        <w:t>. 2023;19(2):2237374. doi</w:t>
      </w:r>
      <w:r>
        <w:rPr>
          <w:rFonts w:ascii="Times New Roman" w:eastAsia="Times New Roman" w:hAnsi="Times New Roman" w:cs="Times New Roman"/>
          <w:sz w:val="24"/>
          <w:szCs w:val="24"/>
        </w:rPr>
        <w:t>:10.1080/21645515.2023.2237374.</w:t>
      </w:r>
    </w:p>
    <w:p w14:paraId="574EF90B" w14:textId="77777777" w:rsidR="004375F6" w:rsidRDefault="00FF35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16. </w:t>
      </w:r>
      <w:proofErr w:type="spellStart"/>
      <w:r>
        <w:rPr>
          <w:rFonts w:ascii="Times New Roman" w:eastAsia="Times New Roman" w:hAnsi="Times New Roman" w:cs="Times New Roman"/>
          <w:sz w:val="24"/>
          <w:szCs w:val="24"/>
        </w:rPr>
        <w:t>Ogah</w:t>
      </w:r>
      <w:proofErr w:type="spellEnd"/>
      <w:r>
        <w:rPr>
          <w:rFonts w:ascii="Times New Roman" w:eastAsia="Times New Roman" w:hAnsi="Times New Roman" w:cs="Times New Roman"/>
          <w:sz w:val="24"/>
          <w:szCs w:val="24"/>
        </w:rPr>
        <w:t xml:space="preserve"> P, </w:t>
      </w:r>
      <w:proofErr w:type="spellStart"/>
      <w:r>
        <w:rPr>
          <w:rFonts w:ascii="Times New Roman" w:eastAsia="Times New Roman" w:hAnsi="Times New Roman" w:cs="Times New Roman"/>
          <w:sz w:val="24"/>
          <w:szCs w:val="24"/>
        </w:rPr>
        <w:t>Uguru</w:t>
      </w:r>
      <w:proofErr w:type="spellEnd"/>
      <w:r>
        <w:rPr>
          <w:rFonts w:ascii="Times New Roman" w:eastAsia="Times New Roman" w:hAnsi="Times New Roman" w:cs="Times New Roman"/>
          <w:sz w:val="24"/>
          <w:szCs w:val="24"/>
        </w:rPr>
        <w:t xml:space="preserve"> N, Okeke C, Ogu U, Okonkwo O, Orji S, et al. Primary health care in Nigeria: best practices and quality of care. BMC Health Serv Res. </w:t>
      </w:r>
      <w:proofErr w:type="gramStart"/>
      <w:r>
        <w:rPr>
          <w:rFonts w:ascii="Times New Roman" w:eastAsia="Times New Roman" w:hAnsi="Times New Roman" w:cs="Times New Roman"/>
          <w:sz w:val="24"/>
          <w:szCs w:val="24"/>
        </w:rPr>
        <w:t>2024;24:963</w:t>
      </w:r>
      <w:proofErr w:type="gramEnd"/>
      <w:r>
        <w:rPr>
          <w:rFonts w:ascii="Times New Roman" w:eastAsia="Times New Roman" w:hAnsi="Times New Roman" w:cs="Times New Roman"/>
          <w:sz w:val="24"/>
          <w:szCs w:val="24"/>
        </w:rPr>
        <w:t>. doi:10.1186/s12913-024-11406-0.</w:t>
      </w:r>
    </w:p>
    <w:p w14:paraId="0BB50493" w14:textId="77777777" w:rsidR="004375F6" w:rsidRDefault="00FF35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17. Makinde OA, </w:t>
      </w:r>
      <w:proofErr w:type="spellStart"/>
      <w:r>
        <w:rPr>
          <w:rFonts w:ascii="Times New Roman" w:eastAsia="Times New Roman" w:hAnsi="Times New Roman" w:cs="Times New Roman"/>
          <w:sz w:val="24"/>
          <w:szCs w:val="24"/>
        </w:rPr>
        <w:t>Sule</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Aya</w:t>
      </w:r>
      <w:r>
        <w:rPr>
          <w:rFonts w:ascii="Times New Roman" w:eastAsia="Times New Roman" w:hAnsi="Times New Roman" w:cs="Times New Roman"/>
          <w:sz w:val="24"/>
          <w:szCs w:val="24"/>
        </w:rPr>
        <w:t>nkogbe</w:t>
      </w:r>
      <w:proofErr w:type="spellEnd"/>
      <w:r>
        <w:rPr>
          <w:rFonts w:ascii="Times New Roman" w:eastAsia="Times New Roman" w:hAnsi="Times New Roman" w:cs="Times New Roman"/>
          <w:sz w:val="24"/>
          <w:szCs w:val="24"/>
        </w:rPr>
        <w:t xml:space="preserve"> O, Boone D. Distribution of health facilities in Nigeria: implications and options for universal health coverage. Int J Health Plann Manage. 2018 Oct;33(4</w:t>
      </w: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1179–93. doi:10.1002/hpm.2603. PMID: 30091473.</w:t>
      </w:r>
    </w:p>
    <w:p w14:paraId="3A7D2C42" w14:textId="77777777" w:rsidR="004375F6" w:rsidRDefault="00FF35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18. Krabbe J, Jiao S, </w:t>
      </w:r>
      <w:proofErr w:type="spellStart"/>
      <w:r>
        <w:rPr>
          <w:rFonts w:ascii="Times New Roman" w:eastAsia="Times New Roman" w:hAnsi="Times New Roman" w:cs="Times New Roman"/>
          <w:sz w:val="24"/>
          <w:szCs w:val="24"/>
        </w:rPr>
        <w:t>Guta</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Slemon</w:t>
      </w:r>
      <w:proofErr w:type="spellEnd"/>
      <w:r>
        <w:rPr>
          <w:rFonts w:ascii="Times New Roman" w:eastAsia="Times New Roman" w:hAnsi="Times New Roman" w:cs="Times New Roman"/>
          <w:sz w:val="24"/>
          <w:szCs w:val="24"/>
        </w:rPr>
        <w:t xml:space="preserve"> A, Cameron AA, Bungay V. Exploring the </w:t>
      </w:r>
      <w:proofErr w:type="spellStart"/>
      <w:r>
        <w:rPr>
          <w:rFonts w:ascii="Times New Roman" w:eastAsia="Times New Roman" w:hAnsi="Times New Roman" w:cs="Times New Roman"/>
          <w:sz w:val="24"/>
          <w:szCs w:val="24"/>
        </w:rPr>
        <w:t>operationalisation</w:t>
      </w:r>
      <w:proofErr w:type="spellEnd"/>
      <w:r>
        <w:rPr>
          <w:rFonts w:ascii="Times New Roman" w:eastAsia="Times New Roman" w:hAnsi="Times New Roman" w:cs="Times New Roman"/>
          <w:sz w:val="24"/>
          <w:szCs w:val="24"/>
        </w:rPr>
        <w:t xml:space="preserve"> and implementation of outreach in community settings with hard-to-reach and hidden populations: protocol for a scoping review. BMJ Open. 2021 Feb 12;11(2</w:t>
      </w: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 xml:space="preserve">039451. doi:10.1136/bmjopen-2020-039451. </w:t>
      </w:r>
      <w:r>
        <w:rPr>
          <w:rFonts w:ascii="Times New Roman" w:eastAsia="Times New Roman" w:hAnsi="Times New Roman" w:cs="Times New Roman"/>
          <w:sz w:val="24"/>
          <w:szCs w:val="24"/>
        </w:rPr>
        <w:t>PMID: 33579763; PMCID: PMC7883846.</w:t>
      </w:r>
    </w:p>
    <w:p w14:paraId="6F17A3EF" w14:textId="77777777" w:rsidR="004375F6" w:rsidRDefault="00FF35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proofErr w:type="spellStart"/>
      <w:r>
        <w:rPr>
          <w:rFonts w:ascii="Times New Roman" w:eastAsia="Times New Roman" w:hAnsi="Times New Roman" w:cs="Times New Roman"/>
          <w:sz w:val="24"/>
          <w:szCs w:val="24"/>
        </w:rPr>
        <w:t>Anam</w:t>
      </w:r>
      <w:proofErr w:type="spellEnd"/>
      <w:r>
        <w:rPr>
          <w:rFonts w:ascii="Times New Roman" w:eastAsia="Times New Roman" w:hAnsi="Times New Roman" w:cs="Times New Roman"/>
          <w:sz w:val="24"/>
          <w:szCs w:val="24"/>
        </w:rPr>
        <w:t xml:space="preserve"> BE, </w:t>
      </w:r>
      <w:proofErr w:type="spellStart"/>
      <w:r>
        <w:rPr>
          <w:rFonts w:ascii="Times New Roman" w:eastAsia="Times New Roman" w:hAnsi="Times New Roman" w:cs="Times New Roman"/>
          <w:sz w:val="24"/>
          <w:szCs w:val="24"/>
        </w:rPr>
        <w:t>Ijim</w:t>
      </w:r>
      <w:proofErr w:type="spellEnd"/>
      <w:r>
        <w:rPr>
          <w:rFonts w:ascii="Times New Roman" w:eastAsia="Times New Roman" w:hAnsi="Times New Roman" w:cs="Times New Roman"/>
          <w:sz w:val="24"/>
          <w:szCs w:val="24"/>
        </w:rPr>
        <w:t xml:space="preserve"> UA, </w:t>
      </w:r>
      <w:proofErr w:type="spellStart"/>
      <w:r>
        <w:rPr>
          <w:rFonts w:ascii="Times New Roman" w:eastAsia="Times New Roman" w:hAnsi="Times New Roman" w:cs="Times New Roman"/>
          <w:sz w:val="24"/>
          <w:szCs w:val="24"/>
        </w:rPr>
        <w:t>Ironbar</w:t>
      </w:r>
      <w:proofErr w:type="spellEnd"/>
      <w:r>
        <w:rPr>
          <w:rFonts w:ascii="Times New Roman" w:eastAsia="Times New Roman" w:hAnsi="Times New Roman" w:cs="Times New Roman"/>
          <w:sz w:val="24"/>
          <w:szCs w:val="24"/>
        </w:rPr>
        <w:t xml:space="preserve"> VE, Otu AP, Duke OO, </w:t>
      </w:r>
      <w:proofErr w:type="spellStart"/>
      <w:r>
        <w:rPr>
          <w:rFonts w:ascii="Times New Roman" w:eastAsia="Times New Roman" w:hAnsi="Times New Roman" w:cs="Times New Roman"/>
          <w:sz w:val="24"/>
          <w:szCs w:val="24"/>
        </w:rPr>
        <w:t>Achuk</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Eba</w:t>
      </w:r>
      <w:proofErr w:type="spellEnd"/>
      <w:r>
        <w:rPr>
          <w:rFonts w:ascii="Times New Roman" w:eastAsia="Times New Roman" w:hAnsi="Times New Roman" w:cs="Times New Roman"/>
          <w:sz w:val="24"/>
          <w:szCs w:val="24"/>
        </w:rPr>
        <w:t xml:space="preserve"> MB. Economic recovery and growth plan, economic sustainability plan and national development plan (2021–2025): the Nigerian experience under President Muhammadu</w:t>
      </w:r>
      <w:r>
        <w:rPr>
          <w:rFonts w:ascii="Times New Roman" w:eastAsia="Times New Roman" w:hAnsi="Times New Roman" w:cs="Times New Roman"/>
          <w:sz w:val="24"/>
          <w:szCs w:val="24"/>
        </w:rPr>
        <w:t xml:space="preserve"> Buhari. Cogent Soc Sci. 2023;10(1):2289600. doi:10.1080/23311886.2023.2289600.</w:t>
      </w:r>
    </w:p>
    <w:p w14:paraId="78F8FE5C" w14:textId="77777777" w:rsidR="004375F6" w:rsidRDefault="00FF35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proofErr w:type="spellStart"/>
      <w:r>
        <w:rPr>
          <w:rFonts w:ascii="Times New Roman" w:eastAsia="Times New Roman" w:hAnsi="Times New Roman" w:cs="Times New Roman"/>
          <w:sz w:val="24"/>
          <w:szCs w:val="24"/>
        </w:rPr>
        <w:t>Galadima</w:t>
      </w:r>
      <w:proofErr w:type="spellEnd"/>
      <w:r>
        <w:rPr>
          <w:rFonts w:ascii="Times New Roman" w:eastAsia="Times New Roman" w:hAnsi="Times New Roman" w:cs="Times New Roman"/>
          <w:sz w:val="24"/>
          <w:szCs w:val="24"/>
        </w:rPr>
        <w:t xml:space="preserve"> AN, </w:t>
      </w:r>
      <w:proofErr w:type="spellStart"/>
      <w:r>
        <w:rPr>
          <w:rFonts w:ascii="Times New Roman" w:eastAsia="Times New Roman" w:hAnsi="Times New Roman" w:cs="Times New Roman"/>
          <w:sz w:val="24"/>
          <w:szCs w:val="24"/>
        </w:rPr>
        <w:t>Zulkefli</w:t>
      </w:r>
      <w:proofErr w:type="spellEnd"/>
      <w:r>
        <w:rPr>
          <w:rFonts w:ascii="Times New Roman" w:eastAsia="Times New Roman" w:hAnsi="Times New Roman" w:cs="Times New Roman"/>
          <w:sz w:val="24"/>
          <w:szCs w:val="24"/>
        </w:rPr>
        <w:t xml:space="preserve"> NAM, Said SM, Musa TL, Bello MY. Factors influencing childhood </w:t>
      </w:r>
      <w:proofErr w:type="spellStart"/>
      <w:r>
        <w:rPr>
          <w:rFonts w:ascii="Times New Roman" w:eastAsia="Times New Roman" w:hAnsi="Times New Roman" w:cs="Times New Roman"/>
          <w:sz w:val="24"/>
          <w:szCs w:val="24"/>
        </w:rPr>
        <w:t>immunisation</w:t>
      </w:r>
      <w:proofErr w:type="spellEnd"/>
      <w:r>
        <w:rPr>
          <w:rFonts w:ascii="Times New Roman" w:eastAsia="Times New Roman" w:hAnsi="Times New Roman" w:cs="Times New Roman"/>
          <w:sz w:val="24"/>
          <w:szCs w:val="24"/>
        </w:rPr>
        <w:t xml:space="preserve"> uptake in Africa: a systematic review. BMC Public Health. </w:t>
      </w:r>
      <w:proofErr w:type="gramStart"/>
      <w:r>
        <w:rPr>
          <w:rFonts w:ascii="Times New Roman" w:eastAsia="Times New Roman" w:hAnsi="Times New Roman" w:cs="Times New Roman"/>
          <w:sz w:val="24"/>
          <w:szCs w:val="24"/>
        </w:rPr>
        <w:t>2021;21:1475</w:t>
      </w:r>
      <w:proofErr w:type="gramEnd"/>
      <w:r>
        <w:rPr>
          <w:rFonts w:ascii="Times New Roman" w:eastAsia="Times New Roman" w:hAnsi="Times New Roman" w:cs="Times New Roman"/>
          <w:sz w:val="24"/>
          <w:szCs w:val="24"/>
        </w:rPr>
        <w:t>. do</w:t>
      </w:r>
      <w:r>
        <w:rPr>
          <w:rFonts w:ascii="Times New Roman" w:eastAsia="Times New Roman" w:hAnsi="Times New Roman" w:cs="Times New Roman"/>
          <w:sz w:val="24"/>
          <w:szCs w:val="24"/>
        </w:rPr>
        <w:t>i:10.1186/s12889-021-11466-5.</w:t>
      </w:r>
    </w:p>
    <w:p w14:paraId="0342F70D" w14:textId="77777777" w:rsidR="004375F6" w:rsidRDefault="00FF35D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 Delta State Ministry of Health. Annual health sector performance report. Asaba: DSMOH; 2023 [cited 2025 Jun 7]. Available from: https://ministryofhealth.deltastate.gov.ng</w:t>
      </w:r>
    </w:p>
    <w:sectPr w:rsidR="004375F6">
      <w:headerReference w:type="even" r:id="rId7"/>
      <w:headerReference w:type="default" r:id="rId8"/>
      <w:footerReference w:type="even" r:id="rId9"/>
      <w:footerReference w:type="default" r:id="rId10"/>
      <w:headerReference w:type="first" r:id="rId11"/>
      <w:footerReference w:type="first" r:id="rId12"/>
      <w:pgSz w:w="12240" w:h="15840"/>
      <w:pgMar w:top="1080" w:right="1440" w:bottom="81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2616E" w14:textId="77777777" w:rsidR="00FF35D3" w:rsidRDefault="00FF35D3">
      <w:pPr>
        <w:spacing w:after="0" w:line="240" w:lineRule="auto"/>
      </w:pPr>
      <w:r>
        <w:separator/>
      </w:r>
    </w:p>
  </w:endnote>
  <w:endnote w:type="continuationSeparator" w:id="0">
    <w:p w14:paraId="28C9EC16" w14:textId="77777777" w:rsidR="00FF35D3" w:rsidRDefault="00FF3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E88FB" w14:textId="77777777" w:rsidR="009C7FDC" w:rsidRDefault="009C7F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D7CC51" w14:textId="77777777" w:rsidR="004375F6" w:rsidRDefault="00FF35D3">
    <w:pPr>
      <w:pStyle w:val="Footer"/>
      <w:jc w:val="center"/>
    </w:pPr>
    <w:r>
      <w:fldChar w:fldCharType="begin"/>
    </w:r>
    <w:r>
      <w:instrText xml:space="preserve"> PAGE   \* MERGEFORMAT </w:instrText>
    </w:r>
    <w:r>
      <w:fldChar w:fldCharType="separate"/>
    </w:r>
    <w:r>
      <w:t>16</w:t>
    </w:r>
    <w:r>
      <w:fldChar w:fldCharType="end"/>
    </w:r>
  </w:p>
  <w:p w14:paraId="44C62AA6" w14:textId="77777777" w:rsidR="004375F6" w:rsidRDefault="004375F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767E5A" w14:textId="77777777" w:rsidR="009C7FDC" w:rsidRDefault="009C7F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50BCD" w14:textId="77777777" w:rsidR="00FF35D3" w:rsidRDefault="00FF35D3">
      <w:pPr>
        <w:spacing w:after="0" w:line="240" w:lineRule="auto"/>
      </w:pPr>
      <w:r>
        <w:separator/>
      </w:r>
    </w:p>
  </w:footnote>
  <w:footnote w:type="continuationSeparator" w:id="0">
    <w:p w14:paraId="1A5F43A4" w14:textId="77777777" w:rsidR="00FF35D3" w:rsidRDefault="00FF3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76047" w14:textId="042A195F" w:rsidR="009C7FDC" w:rsidRDefault="009C7FDC">
    <w:pPr>
      <w:pStyle w:val="Header"/>
    </w:pPr>
    <w:r>
      <w:rPr>
        <w:noProof/>
      </w:rPr>
      <w:pict w14:anchorId="36EB83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323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798E1" w14:textId="612D6B40" w:rsidR="009C7FDC" w:rsidRDefault="009C7FDC">
    <w:pPr>
      <w:pStyle w:val="Header"/>
    </w:pPr>
    <w:r>
      <w:rPr>
        <w:noProof/>
      </w:rPr>
      <w:pict w14:anchorId="4DBCDB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323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9AC007" w14:textId="27CD9718" w:rsidR="009C7FDC" w:rsidRDefault="009C7FDC">
    <w:pPr>
      <w:pStyle w:val="Header"/>
    </w:pPr>
    <w:r>
      <w:rPr>
        <w:noProof/>
      </w:rPr>
      <w:pict w14:anchorId="274BF3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7323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0"/>
    <w:lvl w:ilvl="0">
      <w:start w:val="1"/>
      <w:numFmt w:val="decimal"/>
      <w:suff w:val="space"/>
      <w:lvlText w:val="%1."/>
      <w:lvlJc w:val="left"/>
    </w:lvl>
  </w:abstractNum>
  <w:abstractNum w:abstractNumId="1" w15:restartNumberingAfterBreak="0">
    <w:nsid w:val="0C217CDC"/>
    <w:multiLevelType w:val="singleLevel"/>
    <w:tmpl w:val="9BEB1343"/>
    <w:lvl w:ilvl="0">
      <w:start w:val="1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5F6"/>
    <w:rsid w:val="0014575E"/>
    <w:rsid w:val="002F39E9"/>
    <w:rsid w:val="00367B68"/>
    <w:rsid w:val="003E562A"/>
    <w:rsid w:val="0042653A"/>
    <w:rsid w:val="004375F6"/>
    <w:rsid w:val="00710CC7"/>
    <w:rsid w:val="00972294"/>
    <w:rsid w:val="009C7FDC"/>
    <w:rsid w:val="00B02724"/>
    <w:rsid w:val="00FF3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9C8D487"/>
  <w15:docId w15:val="{D2901BBF-C335-482F-A35B-184CF9BFA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Calibri" w:eastAsia="Calibri" w:hAnsi="Calibri" w:cs="SimSun"/>
      <w:sz w:val="22"/>
      <w:szCs w:val="22"/>
    </w:rPr>
  </w:style>
  <w:style w:type="paragraph" w:styleId="Heading1">
    <w:name w:val="heading 1"/>
    <w:basedOn w:val="Normal"/>
    <w:next w:val="Normal"/>
    <w:link w:val="Heading1Char"/>
    <w:uiPriority w:val="9"/>
    <w:qFormat/>
    <w:pPr>
      <w:spacing w:before="240" w:after="100" w:afterAutospacing="1" w:line="360" w:lineRule="auto"/>
      <w:jc w:val="both"/>
      <w:outlineLvl w:val="0"/>
    </w:pPr>
    <w:rPr>
      <w:rFonts w:ascii="Trebuchet MS" w:hAnsi="Trebuchet MS" w:cs="Arial"/>
      <w:b/>
      <w:spacing w:val="-2"/>
      <w:sz w:val="28"/>
      <w:szCs w:val="28"/>
      <w:shd w:val="clear" w:color="auto" w:fill="FFFFFF"/>
      <w:lang w:val="en-GB"/>
    </w:rPr>
  </w:style>
  <w:style w:type="paragraph" w:styleId="Heading2">
    <w:name w:val="heading 2"/>
    <w:basedOn w:val="Normal"/>
    <w:next w:val="Normal"/>
    <w:link w:val="Heading2Char"/>
    <w:uiPriority w:val="9"/>
    <w:unhideWhenUsed/>
    <w:qFormat/>
    <w:pPr>
      <w:keepNext/>
      <w:keepLines/>
      <w:spacing w:before="40" w:after="0"/>
      <w:outlineLvl w:val="1"/>
    </w:pPr>
    <w:rPr>
      <w:rFonts w:ascii="Calibri Light" w:eastAsia="SimSun" w:hAnsi="Calibri Light"/>
      <w:color w:val="2E74B5"/>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Calibri Light" w:eastAsia="SimSun" w:hAnsi="Calibri Light"/>
      <w:color w:val="1F4D7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qFormat/>
    <w:pPr>
      <w:tabs>
        <w:tab w:val="center" w:pos="4680"/>
        <w:tab w:val="right" w:pos="9360"/>
      </w:tabs>
      <w:spacing w:after="0" w:line="240" w:lineRule="auto"/>
    </w:pPr>
  </w:style>
  <w:style w:type="paragraph" w:styleId="Header">
    <w:name w:val="header"/>
    <w:basedOn w:val="Normal"/>
    <w:link w:val="HeaderChar"/>
    <w:uiPriority w:val="99"/>
    <w:qFormat/>
    <w:pPr>
      <w:tabs>
        <w:tab w:val="center" w:pos="4680"/>
        <w:tab w:val="right" w:pos="9360"/>
      </w:tabs>
      <w:spacing w:after="0" w:line="240" w:lineRule="auto"/>
    </w:pPr>
  </w:style>
  <w:style w:type="character" w:styleId="Hyperlink">
    <w:name w:val="Hyperlink"/>
    <w:basedOn w:val="DefaultParagraphFont"/>
    <w:uiPriority w:val="99"/>
    <w:qFormat/>
    <w:rPr>
      <w:color w:val="0000FF"/>
      <w:u w:val="single"/>
    </w:rPr>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Strong">
    <w:name w:val="Strong"/>
    <w:basedOn w:val="DefaultParagraphFont"/>
    <w:uiPriority w:val="22"/>
    <w:qFormat/>
    <w:rPr>
      <w:b/>
      <w:bCs/>
    </w:rPr>
  </w:style>
  <w:style w:type="table" w:styleId="TableGrid">
    <w:name w:val="Table Grid"/>
    <w:basedOn w:val="TableNormal"/>
    <w:uiPriority w:val="39"/>
    <w:qFormat/>
    <w:rPr>
      <w:rFonts w:ascii="Calibri" w:eastAsia="Calibri" w:hAnsi="Calibri" w:cs="SimSu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uiPriority w:val="10"/>
    <w:qFormat/>
    <w:pPr>
      <w:pBdr>
        <w:bottom w:val="single" w:sz="8" w:space="4" w:color="4F81BD"/>
      </w:pBdr>
      <w:spacing w:after="300" w:line="240" w:lineRule="auto"/>
    </w:pPr>
    <w:rPr>
      <w:rFonts w:eastAsia="MS Gothic"/>
      <w:color w:val="17365D"/>
      <w:spacing w:val="5"/>
      <w:kern w:val="28"/>
      <w:sz w:val="52"/>
      <w:szCs w:val="52"/>
    </w:rPr>
  </w:style>
  <w:style w:type="character" w:customStyle="1" w:styleId="Heading1Char">
    <w:name w:val="Heading 1 Char"/>
    <w:basedOn w:val="DefaultParagraphFont"/>
    <w:link w:val="Heading1"/>
    <w:uiPriority w:val="9"/>
    <w:qFormat/>
    <w:rPr>
      <w:rFonts w:ascii="Trebuchet MS" w:hAnsi="Trebuchet MS" w:cs="Arial"/>
      <w:b/>
      <w:spacing w:val="-2"/>
      <w:sz w:val="28"/>
      <w:szCs w:val="28"/>
      <w:lang w:val="en-GB"/>
    </w:rPr>
  </w:style>
  <w:style w:type="character" w:customStyle="1" w:styleId="react-xocs-alternative-link">
    <w:name w:val="react-xocs-alternative-link"/>
    <w:basedOn w:val="DefaultParagraphFont"/>
    <w:qFormat/>
  </w:style>
  <w:style w:type="character" w:customStyle="1" w:styleId="url">
    <w:name w:val="url"/>
    <w:basedOn w:val="DefaultParagraphFont"/>
    <w:qFormat/>
  </w:style>
  <w:style w:type="character" w:customStyle="1" w:styleId="topic-highlight">
    <w:name w:val="topic-highlight"/>
    <w:basedOn w:val="DefaultParagraphFont"/>
    <w:qFormat/>
  </w:style>
  <w:style w:type="paragraph" w:styleId="ListParagraph">
    <w:name w:val="List Paragraph"/>
    <w:basedOn w:val="Normal"/>
    <w:uiPriority w:val="34"/>
    <w:qFormat/>
    <w:pPr>
      <w:spacing w:line="253" w:lineRule="auto"/>
      <w:ind w:left="720"/>
      <w:contextualSpacing/>
    </w:pPr>
    <w:rPr>
      <w:lang w:val="en-GB"/>
    </w:rPr>
  </w:style>
  <w:style w:type="paragraph" w:customStyle="1" w:styleId="Default">
    <w:name w:val="Default"/>
    <w:uiPriority w:val="99"/>
    <w:qFormat/>
    <w:pPr>
      <w:autoSpaceDE w:val="0"/>
      <w:autoSpaceDN w:val="0"/>
      <w:adjustRightInd w:val="0"/>
    </w:pPr>
    <w:rPr>
      <w:rFonts w:ascii="Calibri" w:eastAsia="Calibri" w:hAnsi="Calibri" w:cs="Calibri"/>
      <w:color w:val="000000"/>
      <w:sz w:val="24"/>
      <w:szCs w:val="24"/>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paragraph" w:customStyle="1" w:styleId="alabel">
    <w:name w:val="a_label"/>
    <w:basedOn w:val="Normal"/>
    <w:qFormat/>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Heading2Char">
    <w:name w:val="Heading 2 Char"/>
    <w:basedOn w:val="DefaultParagraphFont"/>
    <w:link w:val="Heading2"/>
    <w:uiPriority w:val="99"/>
    <w:qFormat/>
    <w:rPr>
      <w:rFonts w:ascii="Calibri Light" w:eastAsia="SimSun" w:hAnsi="Calibri Light" w:cs="SimSun"/>
      <w:color w:val="2E74B5"/>
      <w:sz w:val="26"/>
      <w:szCs w:val="26"/>
    </w:rPr>
  </w:style>
  <w:style w:type="character" w:customStyle="1" w:styleId="s1">
    <w:name w:val="s1"/>
    <w:basedOn w:val="DefaultParagraphFont"/>
    <w:qFormat/>
  </w:style>
  <w:style w:type="character" w:customStyle="1" w:styleId="Heading3Char">
    <w:name w:val="Heading 3 Char"/>
    <w:basedOn w:val="DefaultParagraphFont"/>
    <w:link w:val="Heading3"/>
    <w:uiPriority w:val="99"/>
    <w:rPr>
      <w:rFonts w:ascii="Calibri Light" w:eastAsia="SimSun" w:hAnsi="Calibri Light" w:cs="SimSun"/>
      <w:color w:val="1F4D78"/>
      <w:sz w:val="24"/>
      <w:szCs w:val="24"/>
    </w:rPr>
  </w:style>
  <w:style w:type="character" w:customStyle="1" w:styleId="httpswwwthisdaylivecomindexphp20201021covid-19-how-delta-flattened-the-curve">
    <w:name w:val="https://www.thisdaylive.com/index.php/2020/10/21/covid-19-how-delta-flattened-the-curve"/>
    <w:basedOn w:val="DefaultParagraphFont"/>
    <w:qFormat/>
  </w:style>
  <w:style w:type="character" w:customStyle="1" w:styleId="httpsdschcorgngindexhtml">
    <w:name w:val="https://dschc.org.ng/index.html"/>
    <w:basedOn w:val="DefaultParagraphFont"/>
    <w:qFormat/>
  </w:style>
  <w:style w:type="character" w:customStyle="1" w:styleId="a">
    <w:name w:val="a"/>
    <w:basedOn w:val="DefaultParagraphFont"/>
    <w:qFormat/>
  </w:style>
  <w:style w:type="character" w:customStyle="1" w:styleId="post-date">
    <w:name w:val="post-date"/>
    <w:basedOn w:val="DefaultParagraphFont"/>
    <w:qFormat/>
  </w:style>
  <w:style w:type="character" w:styleId="UnresolvedMention">
    <w:name w:val="Unresolved Mention"/>
    <w:basedOn w:val="DefaultParagraphFont"/>
    <w:uiPriority w:val="99"/>
    <w:semiHidden/>
    <w:unhideWhenUsed/>
    <w:rsid w:val="004265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4026</Words>
  <Characters>22954</Characters>
  <Application>Microsoft Office Word</Application>
  <DocSecurity>0</DocSecurity>
  <Lines>191</Lines>
  <Paragraphs>53</Paragraphs>
  <ScaleCrop>false</ScaleCrop>
  <Company/>
  <LinksUpToDate>false</LinksUpToDate>
  <CharactersWithSpaces>26927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Elohor</dc:creator>
  <cp:lastModifiedBy>SDI 1084</cp:lastModifiedBy>
  <cp:revision>104</cp:revision>
  <dcterms:created xsi:type="dcterms:W3CDTF">2025-01-18T12:12:00Z</dcterms:created>
  <dcterms:modified xsi:type="dcterms:W3CDTF">2025-06-16T11:43:00Z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50c5eeb8-fdb3-479b-9740-0855762975ab</vt:lpwstr>
  </property>
  <property fmtid="{D5CDD505-2E9C-101B-9397-08002B2CF9AE}" pid="3" name="ICV">
    <vt:lpwstr>ce6b5941dabf42baa03def3b9fbbb391</vt:lpwstr>
  </property>
  <property fmtid="{D5CDD505-2E9C-101B-9397-08002B2CF9AE}" pid="4" name="KSOProductBuildVer">
    <vt:lpwstr>1033-12.2.0.21179</vt:lpwstr>
  </property>
</Properties>
</file>