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E03" w14:textId="77777777" w:rsidR="00467A1B" w:rsidRPr="00467A1B" w:rsidRDefault="00467A1B" w:rsidP="00467A1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  <w:r w:rsidRPr="00467A1B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Case report </w:t>
      </w:r>
    </w:p>
    <w:p w14:paraId="4CABFE52" w14:textId="77777777" w:rsidR="00F75A07" w:rsidRDefault="00F75A07" w:rsidP="00533F9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7581D87" w14:textId="1942812A" w:rsidR="006F03AC" w:rsidRDefault="00A1102C" w:rsidP="006F03A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191722687"/>
      <w:bookmarkStart w:id="1" w:name="_Hlk191724718"/>
      <w:r w:rsidRPr="00A1102C">
        <w:rPr>
          <w:rFonts w:ascii="Times New Roman" w:hAnsi="Times New Roman" w:cs="Times New Roman"/>
          <w:b/>
          <w:bCs/>
        </w:rPr>
        <w:t xml:space="preserve">"CBCT: A Novel Perspective in Detecting </w:t>
      </w:r>
      <w:r w:rsidR="00CF43C1">
        <w:rPr>
          <w:rFonts w:ascii="Times New Roman" w:hAnsi="Times New Roman" w:cs="Times New Roman"/>
          <w:b/>
          <w:bCs/>
        </w:rPr>
        <w:t>L</w:t>
      </w:r>
      <w:r w:rsidR="00EE4A53">
        <w:rPr>
          <w:rFonts w:ascii="Times New Roman" w:hAnsi="Times New Roman" w:cs="Times New Roman"/>
          <w:b/>
          <w:bCs/>
        </w:rPr>
        <w:t>arge</w:t>
      </w:r>
      <w:r w:rsidRPr="00A1102C">
        <w:rPr>
          <w:rFonts w:ascii="Times New Roman" w:hAnsi="Times New Roman" w:cs="Times New Roman"/>
          <w:b/>
          <w:bCs/>
        </w:rPr>
        <w:t xml:space="preserve"> Salivary Duct Calculus – A Case </w:t>
      </w:r>
      <w:r w:rsidR="006F03AC">
        <w:rPr>
          <w:rFonts w:ascii="Times New Roman" w:hAnsi="Times New Roman" w:cs="Times New Roman"/>
          <w:b/>
          <w:bCs/>
        </w:rPr>
        <w:t xml:space="preserve">Report </w:t>
      </w:r>
      <w:r w:rsidRPr="00A1102C">
        <w:rPr>
          <w:rFonts w:ascii="Times New Roman" w:hAnsi="Times New Roman" w:cs="Times New Roman"/>
          <w:b/>
          <w:bCs/>
        </w:rPr>
        <w:t xml:space="preserve">and </w:t>
      </w:r>
      <w:bookmarkEnd w:id="0"/>
      <w:r w:rsidR="006F03AC" w:rsidRPr="00A1102C">
        <w:rPr>
          <w:rFonts w:ascii="Times New Roman" w:hAnsi="Times New Roman" w:cs="Times New Roman"/>
          <w:b/>
          <w:bCs/>
        </w:rPr>
        <w:t>Literature Review"</w:t>
      </w:r>
    </w:p>
    <w:bookmarkEnd w:id="1"/>
    <w:p w14:paraId="680B5442" w14:textId="77777777" w:rsidR="000D4B4D" w:rsidRDefault="000D4B4D" w:rsidP="00533F9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36B9503" w14:textId="77777777" w:rsidR="00B41B2B" w:rsidRDefault="00B41B2B" w:rsidP="00533F9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2B5FF73" w14:textId="68359607" w:rsidR="00B33A7B" w:rsidRPr="009617CC" w:rsidRDefault="00B33A7B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Abstract:</w:t>
      </w:r>
      <w:r w:rsidR="009617CC">
        <w:rPr>
          <w:rFonts w:ascii="Times New Roman" w:hAnsi="Times New Roman" w:cs="Times New Roman"/>
          <w:b/>
          <w:bCs/>
        </w:rPr>
        <w:t xml:space="preserve"> </w:t>
      </w:r>
      <w:bookmarkStart w:id="2" w:name="_Hlk191724986"/>
      <w:r w:rsidR="009617CC" w:rsidRPr="009617CC">
        <w:rPr>
          <w:rFonts w:ascii="Times New Roman" w:hAnsi="Times New Roman" w:cs="Times New Roman"/>
        </w:rPr>
        <w:t>Sialolithiasis or salivary duct calculus are the most common salivary gland pathologies affecting major salivary gland particularly the submandibular gland</w:t>
      </w:r>
      <w:r w:rsidR="009617CC">
        <w:rPr>
          <w:rFonts w:ascii="Times New Roman" w:hAnsi="Times New Roman" w:cs="Times New Roman"/>
        </w:rPr>
        <w:t>. It can occur in wide age range of patients with male predilection. The usual size is 5-10mm, salivary stones that measures greater than 15mm are considered giant sialolith. Various imaging modality are used in the diagnosis of salivary duct calculus</w:t>
      </w:r>
      <w:r w:rsidR="00EE4A53">
        <w:rPr>
          <w:rFonts w:ascii="Times New Roman" w:hAnsi="Times New Roman" w:cs="Times New Roman"/>
        </w:rPr>
        <w:t>. However, t</w:t>
      </w:r>
      <w:r w:rsidR="00EE4A53" w:rsidRPr="009D76AF">
        <w:rPr>
          <w:rFonts w:ascii="Times New Roman" w:hAnsi="Times New Roman" w:cs="Times New Roman"/>
        </w:rPr>
        <w:t>he role of CBCT in the diagnosis of salivary stones has received little research attention</w:t>
      </w:r>
      <w:r w:rsidR="00EE4A53">
        <w:rPr>
          <w:rFonts w:ascii="Times New Roman" w:hAnsi="Times New Roman" w:cs="Times New Roman"/>
        </w:rPr>
        <w:t xml:space="preserve">. </w:t>
      </w:r>
      <w:r w:rsidR="00EE4A53" w:rsidRPr="00EE4A53">
        <w:rPr>
          <w:rFonts w:ascii="Times New Roman" w:hAnsi="Times New Roman" w:cs="Times New Roman"/>
        </w:rPr>
        <w:t xml:space="preserve">We report a case of sialolith in the submandibular duct measuring </w:t>
      </w:r>
      <w:r w:rsidR="00EE4A53">
        <w:rPr>
          <w:rFonts w:ascii="Times New Roman" w:hAnsi="Times New Roman" w:cs="Times New Roman"/>
        </w:rPr>
        <w:t>19.5</w:t>
      </w:r>
      <w:r w:rsidR="00EE4A53" w:rsidRPr="00EE4A53">
        <w:rPr>
          <w:rFonts w:ascii="Times New Roman" w:hAnsi="Times New Roman" w:cs="Times New Roman"/>
        </w:rPr>
        <w:t xml:space="preserve"> × </w:t>
      </w:r>
      <w:r w:rsidR="00EE4A53">
        <w:rPr>
          <w:rFonts w:ascii="Times New Roman" w:hAnsi="Times New Roman" w:cs="Times New Roman"/>
        </w:rPr>
        <w:t>8</w:t>
      </w:r>
      <w:r w:rsidR="00EE4A53" w:rsidRPr="00EE4A53">
        <w:rPr>
          <w:rFonts w:ascii="Times New Roman" w:hAnsi="Times New Roman" w:cs="Times New Roman"/>
        </w:rPr>
        <w:t xml:space="preserve"> mm</w:t>
      </w:r>
      <w:r w:rsidR="00EE4A53">
        <w:rPr>
          <w:rFonts w:ascii="Times New Roman" w:hAnsi="Times New Roman" w:cs="Times New Roman"/>
        </w:rPr>
        <w:t xml:space="preserve"> using CBCT as the first-line imaging modality.</w:t>
      </w:r>
    </w:p>
    <w:bookmarkEnd w:id="2"/>
    <w:p w14:paraId="18BF5F36" w14:textId="47FB5BDB" w:rsidR="009617CC" w:rsidRPr="00F82067" w:rsidRDefault="009617CC" w:rsidP="00533F9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Keywords: </w:t>
      </w:r>
      <w:bookmarkStart w:id="3" w:name="_Hlk191725001"/>
      <w:r w:rsidRPr="009617CC">
        <w:rPr>
          <w:rFonts w:ascii="Times New Roman" w:hAnsi="Times New Roman" w:cs="Times New Roman"/>
        </w:rPr>
        <w:t>Giant sialolith, salivary gland, CBCT,</w:t>
      </w:r>
      <w:r w:rsidRPr="009617CC">
        <w:rPr>
          <w:rFonts w:ascii="Cambria" w:hAnsi="Cambria"/>
          <w:color w:val="1B1B1B"/>
          <w:sz w:val="28"/>
          <w:szCs w:val="28"/>
          <w:shd w:val="clear" w:color="auto" w:fill="FFFFFF"/>
        </w:rPr>
        <w:t xml:space="preserve"> </w:t>
      </w:r>
      <w:r w:rsidRPr="009617CC">
        <w:rPr>
          <w:rFonts w:ascii="Times New Roman" w:hAnsi="Times New Roman" w:cs="Times New Roman"/>
        </w:rPr>
        <w:t>sialolithiasis</w:t>
      </w:r>
    </w:p>
    <w:p w14:paraId="1D4FD907" w14:textId="77777777" w:rsidR="00533F9D" w:rsidRDefault="00533F9D" w:rsidP="00533F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bookmarkEnd w:id="3"/>
    <w:p w14:paraId="26E312A8" w14:textId="77777777" w:rsidR="00B935B5" w:rsidRDefault="00B935B5" w:rsidP="00533F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01D8CE5" w14:textId="79EA26E5" w:rsidR="003C7AF1" w:rsidRPr="00B935B5" w:rsidRDefault="003C7AF1" w:rsidP="00533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5B5">
        <w:rPr>
          <w:rFonts w:ascii="Times New Roman" w:hAnsi="Times New Roman" w:cs="Times New Roman"/>
          <w:sz w:val="28"/>
          <w:szCs w:val="28"/>
          <w:lang w:val="en-US"/>
        </w:rPr>
        <w:t xml:space="preserve">Introduction: </w:t>
      </w:r>
    </w:p>
    <w:p w14:paraId="3870015B" w14:textId="5EB34D72" w:rsidR="003C7AF1" w:rsidRDefault="00022F7F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Sialolith</w:t>
      </w:r>
      <w:r w:rsidR="00223B3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also termed as salivary calculus or salivary stones</w:t>
      </w:r>
      <w:r w:rsidR="00223B3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are the most common type of salivary gland disorder. These are formed within the secretory system of </w:t>
      </w:r>
      <w:r w:rsidR="00223B31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major salivary gland</w:t>
      </w:r>
      <w:r w:rsidR="0041057D">
        <w:rPr>
          <w:rFonts w:ascii="Times New Roman" w:hAnsi="Times New Roman" w:cs="Times New Roman"/>
          <w:lang w:val="en-US"/>
        </w:rPr>
        <w:t xml:space="preserve">. </w:t>
      </w:r>
      <w:r w:rsidR="0041057D" w:rsidRPr="0041057D">
        <w:rPr>
          <w:rFonts w:ascii="Times New Roman" w:hAnsi="Times New Roman" w:cs="Times New Roman"/>
        </w:rPr>
        <w:t>Submandibular gland has the highest predilection for sialolithiasis with 80% occurrence rate, followed by the parotid (19%) and the sublingual (1%) glands</w:t>
      </w:r>
      <w:r w:rsidR="0041057D">
        <w:rPr>
          <w:rFonts w:ascii="Times New Roman" w:hAnsi="Times New Roman" w:cs="Times New Roman"/>
        </w:rPr>
        <w:t>.</w:t>
      </w:r>
      <w:r w:rsidR="006579BF">
        <w:rPr>
          <w:rFonts w:ascii="Times New Roman" w:hAnsi="Times New Roman" w:cs="Times New Roman"/>
          <w:vertAlign w:val="superscript"/>
        </w:rPr>
        <w:t>[1]</w:t>
      </w:r>
      <w:r w:rsidR="006579BF">
        <w:rPr>
          <w:rFonts w:ascii="Times New Roman" w:hAnsi="Times New Roman" w:cs="Times New Roman"/>
        </w:rPr>
        <w:t xml:space="preserve"> </w:t>
      </w:r>
    </w:p>
    <w:p w14:paraId="70BC5C7E" w14:textId="1621BF7E" w:rsidR="00271BF8" w:rsidRDefault="00D23643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6F6091">
        <w:rPr>
          <w:rFonts w:ascii="Times New Roman" w:hAnsi="Times New Roman" w:cs="Times New Roman"/>
        </w:rPr>
        <w:t>giant sialoliths, which are also called megaliths and are defined as stones with a maximum dimension greater than 15 mm, have rarely been reported</w:t>
      </w:r>
      <w:r>
        <w:rPr>
          <w:rFonts w:ascii="Times New Roman" w:hAnsi="Times New Roman" w:cs="Times New Roman"/>
        </w:rPr>
        <w:t xml:space="preserve">. </w:t>
      </w:r>
      <w:r w:rsidR="00271BF8" w:rsidRPr="00271BF8">
        <w:rPr>
          <w:rFonts w:ascii="Times New Roman" w:hAnsi="Times New Roman" w:cs="Times New Roman"/>
        </w:rPr>
        <w:t>The diagnosis can easily be made by detailed history and clinical examination</w:t>
      </w:r>
      <w:r w:rsidR="00271BF8">
        <w:rPr>
          <w:rFonts w:ascii="Times New Roman" w:hAnsi="Times New Roman" w:cs="Times New Roman"/>
        </w:rPr>
        <w:t xml:space="preserve">. However, </w:t>
      </w:r>
      <w:r w:rsidR="00271BF8" w:rsidRPr="00271BF8">
        <w:rPr>
          <w:rFonts w:ascii="Times New Roman" w:hAnsi="Times New Roman" w:cs="Times New Roman"/>
        </w:rPr>
        <w:t xml:space="preserve">further investigation with imaging such as </w:t>
      </w:r>
      <w:r w:rsidR="00271BF8">
        <w:rPr>
          <w:rFonts w:ascii="Times New Roman" w:hAnsi="Times New Roman" w:cs="Times New Roman"/>
        </w:rPr>
        <w:t xml:space="preserve">CBCT, </w:t>
      </w:r>
      <w:r w:rsidR="00271BF8" w:rsidRPr="00271BF8">
        <w:rPr>
          <w:rFonts w:ascii="Times New Roman" w:hAnsi="Times New Roman" w:cs="Times New Roman"/>
        </w:rPr>
        <w:t>CT and/or MRI scans may be helpful.</w:t>
      </w:r>
      <w:r w:rsidR="00271BF8" w:rsidRPr="00271BF8">
        <w:rPr>
          <w:rFonts w:ascii="Cambria" w:hAnsi="Cambria"/>
          <w:color w:val="1B1B1B"/>
          <w:sz w:val="28"/>
          <w:szCs w:val="28"/>
          <w:shd w:val="clear" w:color="auto" w:fill="FFFFFF"/>
        </w:rPr>
        <w:t xml:space="preserve"> </w:t>
      </w:r>
      <w:r w:rsidR="00223B31">
        <w:rPr>
          <w:rFonts w:ascii="Times New Roman" w:hAnsi="Times New Roman" w:cs="Times New Roman"/>
        </w:rPr>
        <w:t>E</w:t>
      </w:r>
      <w:r w:rsidR="00271BF8" w:rsidRPr="00271BF8">
        <w:rPr>
          <w:rFonts w:ascii="Times New Roman" w:hAnsi="Times New Roman" w:cs="Times New Roman"/>
        </w:rPr>
        <w:t>specially in small stones that are difficult to appreciate on palpation</w:t>
      </w:r>
      <w:r w:rsidR="00271BF8">
        <w:rPr>
          <w:rFonts w:ascii="Times New Roman" w:hAnsi="Times New Roman" w:cs="Times New Roman"/>
        </w:rPr>
        <w:t>.</w:t>
      </w:r>
      <w:r w:rsidR="006579BF">
        <w:rPr>
          <w:rFonts w:ascii="Times New Roman" w:hAnsi="Times New Roman" w:cs="Times New Roman"/>
          <w:vertAlign w:val="superscript"/>
        </w:rPr>
        <w:t>[2]</w:t>
      </w:r>
      <w:r w:rsidR="006579BF">
        <w:rPr>
          <w:rFonts w:ascii="Times New Roman" w:hAnsi="Times New Roman" w:cs="Times New Roman"/>
        </w:rPr>
        <w:t xml:space="preserve"> </w:t>
      </w:r>
    </w:p>
    <w:p w14:paraId="37A69CDB" w14:textId="4D7D4BD1" w:rsidR="00B935B5" w:rsidRDefault="00AD0BAC" w:rsidP="00533F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0BAC">
        <w:rPr>
          <w:rFonts w:ascii="Times New Roman" w:hAnsi="Times New Roman" w:cs="Times New Roman"/>
        </w:rPr>
        <w:t xml:space="preserve">Here, </w:t>
      </w:r>
      <w:r w:rsidR="005D14BA" w:rsidRPr="005D14BA">
        <w:rPr>
          <w:rFonts w:ascii="Times New Roman" w:hAnsi="Times New Roman" w:cs="Times New Roman"/>
        </w:rPr>
        <w:t>we present a rare case of a giant sialolith within Wharton’s duct, uniquely diagnosed using CBCT, which provided detailed imaging for precise assessment and management.</w:t>
      </w:r>
    </w:p>
    <w:p w14:paraId="552682DC" w14:textId="77777777" w:rsidR="00B935B5" w:rsidRDefault="00B935B5" w:rsidP="00533F9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5222489" w14:textId="365A31BA" w:rsidR="0081343E" w:rsidRPr="00B935B5" w:rsidRDefault="00216775" w:rsidP="00533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5B5">
        <w:rPr>
          <w:rFonts w:ascii="Times New Roman" w:hAnsi="Times New Roman" w:cs="Times New Roman"/>
          <w:sz w:val="28"/>
          <w:szCs w:val="28"/>
          <w:lang w:val="en-US"/>
        </w:rPr>
        <w:t xml:space="preserve">Case </w:t>
      </w:r>
      <w:r w:rsidR="00A51DD9"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Pr="00B935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16765C79" w14:textId="7FF7165F" w:rsidR="00216775" w:rsidRPr="001D6E3B" w:rsidRDefault="00216775" w:rsidP="00533F9D">
      <w:pPr>
        <w:spacing w:line="360" w:lineRule="auto"/>
        <w:jc w:val="both"/>
        <w:rPr>
          <w:rFonts w:ascii="Times New Roman" w:hAnsi="Times New Roman" w:cs="Times New Roman"/>
        </w:rPr>
      </w:pPr>
      <w:r w:rsidRPr="001D6E3B">
        <w:rPr>
          <w:rFonts w:ascii="Times New Roman" w:hAnsi="Times New Roman" w:cs="Times New Roman"/>
        </w:rPr>
        <w:t xml:space="preserve">A 30-year-old male patient reported with the complaint of intermittent, dull aching pain, and swelling </w:t>
      </w:r>
      <w:r w:rsidR="00373051" w:rsidRPr="001D6E3B">
        <w:rPr>
          <w:rFonts w:ascii="Times New Roman" w:hAnsi="Times New Roman" w:cs="Times New Roman"/>
        </w:rPr>
        <w:t>below tongue</w:t>
      </w:r>
      <w:r w:rsidRPr="001D6E3B">
        <w:rPr>
          <w:rFonts w:ascii="Times New Roman" w:hAnsi="Times New Roman" w:cs="Times New Roman"/>
        </w:rPr>
        <w:t xml:space="preserve"> for </w:t>
      </w:r>
      <w:r w:rsidR="00373051" w:rsidRPr="001D6E3B">
        <w:rPr>
          <w:rFonts w:ascii="Times New Roman" w:hAnsi="Times New Roman" w:cs="Times New Roman"/>
        </w:rPr>
        <w:t>1 week.</w:t>
      </w:r>
      <w:r w:rsidR="000F4C9F" w:rsidRPr="001D6E3B">
        <w:rPr>
          <w:rFonts w:ascii="Times New Roman" w:hAnsi="Times New Roman" w:cs="Times New Roman"/>
        </w:rPr>
        <w:t xml:space="preserve"> </w:t>
      </w:r>
      <w:r w:rsidR="0081343E" w:rsidRPr="001D6E3B">
        <w:rPr>
          <w:rFonts w:ascii="Times New Roman" w:hAnsi="Times New Roman" w:cs="Times New Roman"/>
        </w:rPr>
        <w:t xml:space="preserve"> These symptoms occurred during meal and he noted that sour foods were more likely to produce symptoms than were other types of food.</w:t>
      </w:r>
    </w:p>
    <w:p w14:paraId="432F31CB" w14:textId="0973468A" w:rsidR="0081343E" w:rsidRDefault="0081343E" w:rsidP="00533F9D">
      <w:pPr>
        <w:spacing w:line="360" w:lineRule="auto"/>
        <w:jc w:val="both"/>
        <w:rPr>
          <w:rFonts w:ascii="Times New Roman" w:hAnsi="Times New Roman" w:cs="Times New Roman"/>
        </w:rPr>
      </w:pPr>
      <w:r w:rsidRPr="001D6E3B">
        <w:rPr>
          <w:rFonts w:ascii="Times New Roman" w:hAnsi="Times New Roman" w:cs="Times New Roman"/>
        </w:rPr>
        <w:t>Extraoral examination revealed no facial asymmetry</w:t>
      </w:r>
      <w:r w:rsidR="005D14BA">
        <w:rPr>
          <w:rFonts w:ascii="Times New Roman" w:hAnsi="Times New Roman" w:cs="Times New Roman"/>
        </w:rPr>
        <w:t>. On</w:t>
      </w:r>
      <w:r w:rsidR="001D6E3B" w:rsidRPr="001D6E3B">
        <w:rPr>
          <w:rFonts w:ascii="Times New Roman" w:hAnsi="Times New Roman" w:cs="Times New Roman"/>
        </w:rPr>
        <w:t xml:space="preserve"> bimanual palpation </w:t>
      </w:r>
      <w:r w:rsidR="001D6E3B">
        <w:rPr>
          <w:rFonts w:ascii="Times New Roman" w:hAnsi="Times New Roman" w:cs="Times New Roman"/>
        </w:rPr>
        <w:t>right</w:t>
      </w:r>
      <w:r w:rsidR="001D6E3B" w:rsidRPr="001D6E3B">
        <w:rPr>
          <w:rFonts w:ascii="Times New Roman" w:hAnsi="Times New Roman" w:cs="Times New Roman"/>
        </w:rPr>
        <w:t xml:space="preserve"> submandibular gland was firm and tender</w:t>
      </w:r>
      <w:r w:rsidR="005D14BA">
        <w:rPr>
          <w:rFonts w:ascii="Times New Roman" w:hAnsi="Times New Roman" w:cs="Times New Roman"/>
        </w:rPr>
        <w:t xml:space="preserve">.  A </w:t>
      </w:r>
      <w:r w:rsidR="001D6E3B" w:rsidRPr="001D6E3B">
        <w:rPr>
          <w:rFonts w:ascii="Times New Roman" w:hAnsi="Times New Roman" w:cs="Times New Roman"/>
        </w:rPr>
        <w:t xml:space="preserve">single tender </w:t>
      </w:r>
      <w:r w:rsidR="001D6E3B">
        <w:rPr>
          <w:rFonts w:ascii="Times New Roman" w:hAnsi="Times New Roman" w:cs="Times New Roman"/>
        </w:rPr>
        <w:t xml:space="preserve">right </w:t>
      </w:r>
      <w:r w:rsidR="001D6E3B" w:rsidRPr="001D6E3B">
        <w:rPr>
          <w:rFonts w:ascii="Times New Roman" w:hAnsi="Times New Roman" w:cs="Times New Roman"/>
        </w:rPr>
        <w:t>submandibular lymph node was palpated</w:t>
      </w:r>
      <w:r w:rsidR="001D6E3B">
        <w:rPr>
          <w:rFonts w:ascii="Times New Roman" w:hAnsi="Times New Roman" w:cs="Times New Roman"/>
        </w:rPr>
        <w:t xml:space="preserve">. </w:t>
      </w:r>
      <w:r w:rsidRPr="001D6E3B">
        <w:rPr>
          <w:rFonts w:ascii="Times New Roman" w:hAnsi="Times New Roman" w:cs="Times New Roman"/>
        </w:rPr>
        <w:t xml:space="preserve">Intraoral examination, he was found to have a firm mass of approximately </w:t>
      </w:r>
      <w:r w:rsidR="005D14BA">
        <w:rPr>
          <w:rFonts w:ascii="Times New Roman" w:hAnsi="Times New Roman" w:cs="Times New Roman"/>
        </w:rPr>
        <w:t>1</w:t>
      </w:r>
      <w:r w:rsidR="00025579" w:rsidRPr="00025579">
        <w:rPr>
          <w:rFonts w:ascii="Times New Roman" w:hAnsi="Times New Roman" w:cs="Times New Roman"/>
        </w:rPr>
        <w:t xml:space="preserve"> cm × 1 cm</w:t>
      </w:r>
      <w:r w:rsidR="00025579">
        <w:rPr>
          <w:rFonts w:ascii="Times New Roman" w:hAnsi="Times New Roman" w:cs="Times New Roman"/>
        </w:rPr>
        <w:t xml:space="preserve"> </w:t>
      </w:r>
      <w:r w:rsidRPr="001D6E3B">
        <w:rPr>
          <w:rFonts w:ascii="Times New Roman" w:hAnsi="Times New Roman" w:cs="Times New Roman"/>
        </w:rPr>
        <w:t xml:space="preserve">on the floor of his mouth, along the course of the right submandibular duct. </w:t>
      </w:r>
      <w:r w:rsidR="001D6E3B">
        <w:rPr>
          <w:rFonts w:ascii="Times New Roman" w:hAnsi="Times New Roman" w:cs="Times New Roman"/>
        </w:rPr>
        <w:t xml:space="preserve">The right submandibular duct </w:t>
      </w:r>
      <w:r w:rsidR="001D6E3B" w:rsidRPr="001D6E3B">
        <w:rPr>
          <w:rFonts w:ascii="Times New Roman" w:hAnsi="Times New Roman" w:cs="Times New Roman"/>
        </w:rPr>
        <w:t>opening was inflamed and erythematous along with a diffuse swelling</w:t>
      </w:r>
      <w:r w:rsidR="001D6E3B">
        <w:rPr>
          <w:rFonts w:ascii="Times New Roman" w:hAnsi="Times New Roman" w:cs="Times New Roman"/>
        </w:rPr>
        <w:t xml:space="preserve">. </w:t>
      </w:r>
      <w:r w:rsidRPr="001D6E3B">
        <w:rPr>
          <w:rFonts w:ascii="Times New Roman" w:hAnsi="Times New Roman" w:cs="Times New Roman"/>
        </w:rPr>
        <w:t xml:space="preserve">Salivary flow was negligible from right submandibular duct orifice. </w:t>
      </w:r>
      <w:r w:rsidR="00EE4A53">
        <w:rPr>
          <w:rFonts w:ascii="Times New Roman" w:hAnsi="Times New Roman" w:cs="Times New Roman"/>
        </w:rPr>
        <w:t>(Fig 1)</w:t>
      </w:r>
    </w:p>
    <w:p w14:paraId="54EC4FB1" w14:textId="2B9B45EA" w:rsidR="003C7AF1" w:rsidRDefault="006A0B57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Reconstructed panoramic OPG showed radiopacity resembling horizontally impacted canine in lower right premolar and molar region. (Fig 2) </w:t>
      </w:r>
      <w:r w:rsidR="003C7AF1">
        <w:rPr>
          <w:rFonts w:ascii="Times New Roman" w:hAnsi="Times New Roman" w:cs="Times New Roman"/>
        </w:rPr>
        <w:t xml:space="preserve">A 5*10 CBCT scan was performed </w:t>
      </w:r>
      <w:r w:rsidR="003C7AF1" w:rsidRPr="003C7AF1">
        <w:rPr>
          <w:rFonts w:ascii="Times New Roman" w:hAnsi="Times New Roman" w:cs="Times New Roman"/>
        </w:rPr>
        <w:t xml:space="preserve">and it shows a roughly </w:t>
      </w:r>
      <w:r w:rsidR="003C7AF1">
        <w:rPr>
          <w:rFonts w:ascii="Times New Roman" w:hAnsi="Times New Roman" w:cs="Times New Roman"/>
        </w:rPr>
        <w:t>oval elongated radiopacity</w:t>
      </w:r>
      <w:r w:rsidR="00B935B5">
        <w:rPr>
          <w:rFonts w:ascii="Times New Roman" w:hAnsi="Times New Roman" w:cs="Times New Roman"/>
        </w:rPr>
        <w:t xml:space="preserve"> </w:t>
      </w:r>
      <w:r w:rsidR="003C7AF1" w:rsidRPr="003C7AF1">
        <w:rPr>
          <w:rFonts w:ascii="Times New Roman" w:hAnsi="Times New Roman" w:cs="Times New Roman"/>
        </w:rPr>
        <w:t xml:space="preserve">noted on the right submandibular </w:t>
      </w:r>
      <w:r w:rsidR="005D14BA" w:rsidRPr="003F7581">
        <w:rPr>
          <w:rFonts w:ascii="Times New Roman" w:hAnsi="Times New Roman" w:cs="Times New Roman"/>
        </w:rPr>
        <w:t>duct</w:t>
      </w:r>
      <w:r w:rsidR="005D14BA">
        <w:rPr>
          <w:rFonts w:ascii="Times New Roman" w:hAnsi="Times New Roman" w:cs="Times New Roman"/>
        </w:rPr>
        <w:t xml:space="preserve"> region seen extending from mesial aspect of </w:t>
      </w:r>
      <w:r w:rsidR="007B29D8">
        <w:rPr>
          <w:rFonts w:ascii="Times New Roman" w:hAnsi="Times New Roman" w:cs="Times New Roman"/>
        </w:rPr>
        <w:t>45</w:t>
      </w:r>
      <w:r w:rsidR="005D14BA">
        <w:rPr>
          <w:rFonts w:ascii="Times New Roman" w:hAnsi="Times New Roman" w:cs="Times New Roman"/>
        </w:rPr>
        <w:t xml:space="preserve"> to </w:t>
      </w:r>
      <w:r w:rsidR="007B29D8">
        <w:rPr>
          <w:rFonts w:ascii="Times New Roman" w:hAnsi="Times New Roman" w:cs="Times New Roman"/>
        </w:rPr>
        <w:t>mesial</w:t>
      </w:r>
      <w:r w:rsidR="005D14BA">
        <w:rPr>
          <w:rFonts w:ascii="Times New Roman" w:hAnsi="Times New Roman" w:cs="Times New Roman"/>
        </w:rPr>
        <w:t xml:space="preserve"> aspect of 47 </w:t>
      </w:r>
      <w:r w:rsidR="003C7AF1" w:rsidRPr="003C7AF1">
        <w:rPr>
          <w:rFonts w:ascii="Times New Roman" w:hAnsi="Times New Roman" w:cs="Times New Roman"/>
        </w:rPr>
        <w:t>measuring approximately</w:t>
      </w:r>
      <w:r w:rsidR="003C7AF1">
        <w:rPr>
          <w:rFonts w:ascii="Times New Roman" w:hAnsi="Times New Roman" w:cs="Times New Roman"/>
        </w:rPr>
        <w:t xml:space="preserve"> </w:t>
      </w:r>
      <w:r w:rsidR="00991A29">
        <w:rPr>
          <w:rFonts w:ascii="Times New Roman" w:hAnsi="Times New Roman" w:cs="Times New Roman"/>
        </w:rPr>
        <w:t>19.5mm*8mm in greatest dimensions.</w:t>
      </w:r>
      <w:r w:rsidR="00EE4A53">
        <w:rPr>
          <w:rFonts w:ascii="Times New Roman" w:hAnsi="Times New Roman" w:cs="Times New Roman"/>
        </w:rPr>
        <w:t xml:space="preserve"> (Fig 3)</w:t>
      </w:r>
    </w:p>
    <w:p w14:paraId="106AA51A" w14:textId="3DED5540" w:rsidR="00025579" w:rsidRDefault="003F7581" w:rsidP="00533F9D">
      <w:pPr>
        <w:spacing w:line="360" w:lineRule="auto"/>
        <w:jc w:val="both"/>
        <w:rPr>
          <w:rFonts w:ascii="Times New Roman" w:hAnsi="Times New Roman" w:cs="Times New Roman"/>
        </w:rPr>
      </w:pPr>
      <w:r w:rsidRPr="003F7581">
        <w:rPr>
          <w:rFonts w:ascii="Times New Roman" w:hAnsi="Times New Roman" w:cs="Times New Roman"/>
        </w:rPr>
        <w:t xml:space="preserve">On the basis of clinical and radiological findings, we diagnosed the case as a </w:t>
      </w:r>
      <w:r>
        <w:rPr>
          <w:rFonts w:ascii="Times New Roman" w:hAnsi="Times New Roman" w:cs="Times New Roman"/>
        </w:rPr>
        <w:t>right</w:t>
      </w:r>
      <w:r w:rsidRPr="003F7581">
        <w:rPr>
          <w:rFonts w:ascii="Times New Roman" w:hAnsi="Times New Roman" w:cs="Times New Roman"/>
        </w:rPr>
        <w:t xml:space="preserve"> submandibular sialolithiasis</w:t>
      </w:r>
      <w:r w:rsidR="00025579">
        <w:rPr>
          <w:rFonts w:ascii="Times New Roman" w:hAnsi="Times New Roman" w:cs="Times New Roman"/>
        </w:rPr>
        <w:t xml:space="preserve">. </w:t>
      </w:r>
    </w:p>
    <w:p w14:paraId="1B706483" w14:textId="2A23086D" w:rsidR="003F7581" w:rsidRDefault="00025579" w:rsidP="00533F9D">
      <w:pPr>
        <w:spacing w:line="360" w:lineRule="auto"/>
        <w:jc w:val="both"/>
        <w:rPr>
          <w:rFonts w:ascii="Times New Roman" w:hAnsi="Times New Roman" w:cs="Times New Roman"/>
        </w:rPr>
      </w:pPr>
      <w:r w:rsidRPr="00025579">
        <w:rPr>
          <w:rFonts w:ascii="Times New Roman" w:hAnsi="Times New Roman" w:cs="Times New Roman"/>
        </w:rPr>
        <w:t xml:space="preserve">The calculus was removed intraorally and duct opening was transposed into the floor of mouth under local </w:t>
      </w:r>
      <w:r w:rsidR="007B29D8" w:rsidRPr="00025579">
        <w:rPr>
          <w:rFonts w:ascii="Times New Roman" w:hAnsi="Times New Roman" w:cs="Times New Roman"/>
        </w:rPr>
        <w:t>anaesthesia</w:t>
      </w:r>
      <w:r w:rsidR="007B29D8">
        <w:rPr>
          <w:rFonts w:ascii="Times New Roman" w:hAnsi="Times New Roman" w:cs="Times New Roman"/>
        </w:rPr>
        <w:t>.</w:t>
      </w:r>
    </w:p>
    <w:p w14:paraId="121796C6" w14:textId="77777777" w:rsidR="00B935B5" w:rsidRDefault="00B935B5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1EF514DD" w14:textId="5DE41572" w:rsidR="00F75A07" w:rsidRPr="00B935B5" w:rsidRDefault="007B29D8" w:rsidP="00533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B5">
        <w:rPr>
          <w:rFonts w:ascii="Times New Roman" w:hAnsi="Times New Roman" w:cs="Times New Roman"/>
          <w:sz w:val="28"/>
          <w:szCs w:val="28"/>
        </w:rPr>
        <w:t>Discussion:</w:t>
      </w:r>
    </w:p>
    <w:p w14:paraId="0594541E" w14:textId="093A59BA" w:rsidR="00F75A07" w:rsidRPr="006579BF" w:rsidRDefault="00F75A07" w:rsidP="00533F9D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Sialolithiasis can occur in </w:t>
      </w:r>
      <w:r w:rsidR="00C07AC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wide age range of patients and has been reported in children. The average age of sialolithiasis in the submandibular glands </w:t>
      </w:r>
      <w:r w:rsidR="00C07ACE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40.5 years, 47.8 years </w:t>
      </w:r>
      <w:r w:rsidR="00C07ACE">
        <w:rPr>
          <w:rFonts w:ascii="Times New Roman" w:hAnsi="Times New Roman" w:cs="Times New Roman"/>
        </w:rPr>
        <w:t xml:space="preserve">in </w:t>
      </w:r>
      <w:proofErr w:type="gramStart"/>
      <w:r w:rsidR="00C07AC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 parotid</w:t>
      </w:r>
      <w:proofErr w:type="gramEnd"/>
      <w:r>
        <w:rPr>
          <w:rFonts w:ascii="Times New Roman" w:hAnsi="Times New Roman" w:cs="Times New Roman"/>
        </w:rPr>
        <w:t xml:space="preserve"> gland, and 50 years for </w:t>
      </w:r>
      <w:r w:rsidR="00C07AC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minor salivary gland.  It occurs commonly in males. The recurrence rate reported at around 20% due</w:t>
      </w:r>
      <w:r w:rsidR="00C07ACE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the unknown and uncorrected underlying cause. </w:t>
      </w:r>
      <w:r w:rsidR="006579BF">
        <w:rPr>
          <w:rFonts w:ascii="Times New Roman" w:hAnsi="Times New Roman" w:cs="Times New Roman"/>
          <w:vertAlign w:val="superscript"/>
        </w:rPr>
        <w:t>[3]</w:t>
      </w:r>
    </w:p>
    <w:p w14:paraId="3F3F2C39" w14:textId="4C726AE7" w:rsidR="00A42962" w:rsidRPr="006579BF" w:rsidRDefault="00A42962" w:rsidP="00533F9D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The submandibular gland is susceptible to salivary </w:t>
      </w:r>
      <w:proofErr w:type="gramStart"/>
      <w:r>
        <w:rPr>
          <w:rFonts w:ascii="Times New Roman" w:hAnsi="Times New Roman" w:cs="Times New Roman"/>
        </w:rPr>
        <w:t>calculi</w:t>
      </w:r>
      <w:r w:rsidR="00C07AC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its</w:t>
      </w:r>
      <w:proofErr w:type="gramEnd"/>
      <w:r>
        <w:rPr>
          <w:rFonts w:ascii="Times New Roman" w:hAnsi="Times New Roman" w:cs="Times New Roman"/>
        </w:rPr>
        <w:t xml:space="preserve"> saliva is far more alkaline and has </w:t>
      </w:r>
      <w:r w:rsidR="00C07AC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greater concentration of calcium and phosphate. Also, it is known that it has greater mucin content compared to parotid and sublingual gland</w:t>
      </w:r>
      <w:r w:rsidR="006579BF">
        <w:rPr>
          <w:rFonts w:ascii="Times New Roman" w:hAnsi="Times New Roman" w:cs="Times New Roman"/>
        </w:rPr>
        <w:t xml:space="preserve">. </w:t>
      </w:r>
      <w:r w:rsidR="006579BF">
        <w:rPr>
          <w:rFonts w:ascii="Times New Roman" w:hAnsi="Times New Roman" w:cs="Times New Roman"/>
          <w:vertAlign w:val="superscript"/>
        </w:rPr>
        <w:t>[4]</w:t>
      </w:r>
    </w:p>
    <w:p w14:paraId="744491A5" w14:textId="7A4C82BE" w:rsidR="00F75A07" w:rsidRPr="006579BF" w:rsidRDefault="00F75A07" w:rsidP="00533F9D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lastRenderedPageBreak/>
        <w:t xml:space="preserve">The clinical presentation depends on the extent of salivary duct obstruction and the presence of secondary infection. </w:t>
      </w:r>
      <w:r w:rsidR="00E964C9" w:rsidRPr="00E964C9">
        <w:rPr>
          <w:rFonts w:ascii="Times New Roman" w:hAnsi="Times New Roman" w:cs="Times New Roman"/>
        </w:rPr>
        <w:t>Sialolithiasis is commonly associated with repeated episodes of pain and swelling in the affected salivary gland</w:t>
      </w:r>
      <w:r>
        <w:rPr>
          <w:rFonts w:ascii="Times New Roman" w:hAnsi="Times New Roman" w:cs="Times New Roman"/>
        </w:rPr>
        <w:t>.</w:t>
      </w:r>
      <w:r w:rsidRPr="00BD42A6">
        <w:rPr>
          <w:rFonts w:ascii="Times New Roman" w:hAnsi="Times New Roman" w:cs="Times New Roman"/>
        </w:rPr>
        <w:t> The pain and swelling are usually associated with eating</w:t>
      </w:r>
      <w:r>
        <w:rPr>
          <w:rFonts w:ascii="Times New Roman" w:hAnsi="Times New Roman" w:cs="Times New Roman"/>
        </w:rPr>
        <w:t>. The involved gland is often enlarged and tender on palpation.</w:t>
      </w:r>
      <w:r w:rsidR="007B29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579BF">
        <w:rPr>
          <w:rFonts w:ascii="Times New Roman" w:hAnsi="Times New Roman" w:cs="Times New Roman"/>
          <w:vertAlign w:val="superscript"/>
        </w:rPr>
        <w:t>[5]</w:t>
      </w:r>
    </w:p>
    <w:p w14:paraId="14065957" w14:textId="1C8FFE4B" w:rsidR="00B33A7B" w:rsidRDefault="00A30DB2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Sialolith usually measures from 1-10 mm</w:t>
      </w:r>
      <w:r w:rsidR="001C5D27">
        <w:rPr>
          <w:rFonts w:ascii="Times New Roman" w:hAnsi="Times New Roman" w:cs="Times New Roman"/>
        </w:rPr>
        <w:t xml:space="preserve">. </w:t>
      </w:r>
      <w:r w:rsidR="001C5D27" w:rsidRPr="001C5D27">
        <w:rPr>
          <w:rFonts w:ascii="Times New Roman" w:hAnsi="Times New Roman" w:cs="Times New Roman"/>
        </w:rPr>
        <w:t>Giant sialoliths are classified as those exceeding 15 mm in any one dimension. In literature, large sialoliths or megalith (&gt;15 mm) of Wharton’s duct have rarely been reported.</w:t>
      </w:r>
      <w:r w:rsidR="001C5D27">
        <w:rPr>
          <w:rFonts w:ascii="Times New Roman" w:hAnsi="Times New Roman" w:cs="Times New Roman"/>
        </w:rPr>
        <w:t xml:space="preserve"> A large sialolith h</w:t>
      </w:r>
      <w:r w:rsidR="00C07ACE">
        <w:rPr>
          <w:rFonts w:ascii="Times New Roman" w:hAnsi="Times New Roman" w:cs="Times New Roman"/>
        </w:rPr>
        <w:t>as</w:t>
      </w:r>
      <w:r w:rsidR="001C5D27">
        <w:rPr>
          <w:rFonts w:ascii="Times New Roman" w:hAnsi="Times New Roman" w:cs="Times New Roman"/>
        </w:rPr>
        <w:t xml:space="preserve"> been described in the body of salivary gland they are rarely found in the salivary ducts. </w:t>
      </w:r>
      <w:r w:rsidR="006579BF">
        <w:rPr>
          <w:rFonts w:ascii="Times New Roman" w:hAnsi="Times New Roman" w:cs="Times New Roman"/>
          <w:vertAlign w:val="superscript"/>
        </w:rPr>
        <w:t xml:space="preserve">[6] </w:t>
      </w:r>
      <w:r w:rsidR="0024752C" w:rsidRPr="0024752C">
        <w:rPr>
          <w:rFonts w:ascii="Times New Roman" w:hAnsi="Times New Roman" w:cs="Times New Roman"/>
        </w:rPr>
        <w:t xml:space="preserve">A review of the recent literature revealed cases of large sialoliths of various sizes. Specifically, there were reports of sialoliths measuring 10 × 18 </w:t>
      </w:r>
      <w:proofErr w:type="gramStart"/>
      <w:r w:rsidR="0024752C" w:rsidRPr="0024752C">
        <w:rPr>
          <w:rFonts w:ascii="Times New Roman" w:hAnsi="Times New Roman" w:cs="Times New Roman"/>
        </w:rPr>
        <w:t>mm ,</w:t>
      </w:r>
      <w:proofErr w:type="gramEnd"/>
      <w:r w:rsidR="0024752C" w:rsidRPr="0024752C">
        <w:rPr>
          <w:rFonts w:ascii="Times New Roman" w:hAnsi="Times New Roman" w:cs="Times New Roman"/>
        </w:rPr>
        <w:t xml:space="preserve"> 41 × 31 × 26 </w:t>
      </w:r>
      <w:proofErr w:type="gramStart"/>
      <w:r w:rsidR="0024752C" w:rsidRPr="0024752C">
        <w:rPr>
          <w:rFonts w:ascii="Times New Roman" w:hAnsi="Times New Roman" w:cs="Times New Roman"/>
        </w:rPr>
        <w:t>mm ,</w:t>
      </w:r>
      <w:proofErr w:type="gramEnd"/>
      <w:r w:rsidR="0024752C" w:rsidRPr="0024752C">
        <w:rPr>
          <w:rFonts w:ascii="Times New Roman" w:hAnsi="Times New Roman" w:cs="Times New Roman"/>
        </w:rPr>
        <w:t xml:space="preserve">  35 × 25 × 15 mm</w:t>
      </w:r>
      <w:r w:rsidR="000266FA">
        <w:rPr>
          <w:rFonts w:ascii="Times New Roman" w:hAnsi="Times New Roman" w:cs="Times New Roman"/>
        </w:rPr>
        <w:t xml:space="preserve"> and largest </w:t>
      </w:r>
      <w:proofErr w:type="gramStart"/>
      <w:r w:rsidR="00B33A7B" w:rsidRPr="00B33A7B">
        <w:rPr>
          <w:rFonts w:ascii="Times New Roman" w:hAnsi="Times New Roman" w:cs="Times New Roman"/>
        </w:rPr>
        <w:t>The</w:t>
      </w:r>
      <w:proofErr w:type="gramEnd"/>
      <w:r w:rsidR="00B33A7B" w:rsidRPr="00B33A7B">
        <w:rPr>
          <w:rFonts w:ascii="Times New Roman" w:hAnsi="Times New Roman" w:cs="Times New Roman"/>
        </w:rPr>
        <w:t xml:space="preserve"> largest sialolith reported in the literature was 70 mm in length in Wharton’s duct and was</w:t>
      </w:r>
      <w:r w:rsidR="00B33A7B">
        <w:rPr>
          <w:rFonts w:ascii="Times New Roman" w:hAnsi="Times New Roman" w:cs="Times New Roman"/>
        </w:rPr>
        <w:t xml:space="preserve"> </w:t>
      </w:r>
      <w:r w:rsidR="00B33A7B" w:rsidRPr="00B33A7B">
        <w:rPr>
          <w:rFonts w:ascii="Times New Roman" w:hAnsi="Times New Roman" w:cs="Times New Roman"/>
        </w:rPr>
        <w:t>described as having a “hen’s egg” size.</w:t>
      </w:r>
      <w:r w:rsidR="006579BF">
        <w:rPr>
          <w:rFonts w:ascii="Times New Roman" w:hAnsi="Times New Roman" w:cs="Times New Roman"/>
          <w:vertAlign w:val="superscript"/>
        </w:rPr>
        <w:t>[7]</w:t>
      </w:r>
      <w:r w:rsidR="006579BF">
        <w:rPr>
          <w:rFonts w:ascii="Times New Roman" w:hAnsi="Times New Roman" w:cs="Times New Roman"/>
        </w:rPr>
        <w:t xml:space="preserve"> </w:t>
      </w:r>
    </w:p>
    <w:p w14:paraId="4A8E5AC5" w14:textId="768F3DC6" w:rsidR="00A42962" w:rsidRPr="006579BF" w:rsidRDefault="009D76AF" w:rsidP="00533F9D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9D76AF">
        <w:rPr>
          <w:rFonts w:ascii="Times New Roman" w:hAnsi="Times New Roman" w:cs="Times New Roman"/>
        </w:rPr>
        <w:t>Current diagnostic imaging tools used in the imaging of salivary stones</w:t>
      </w:r>
      <w:r>
        <w:rPr>
          <w:rFonts w:ascii="Times New Roman" w:hAnsi="Times New Roman" w:cs="Times New Roman"/>
        </w:rPr>
        <w:t xml:space="preserve"> are c</w:t>
      </w:r>
      <w:r w:rsidRPr="009D76AF">
        <w:rPr>
          <w:rFonts w:ascii="Times New Roman" w:hAnsi="Times New Roman" w:cs="Times New Roman"/>
        </w:rPr>
        <w:t>onventional radiography, sialography, ultrasonography, computed tomography, magnetic resonance sialography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9D76AF">
        <w:rPr>
          <w:rFonts w:ascii="Times New Roman" w:hAnsi="Times New Roman" w:cs="Times New Roman"/>
        </w:rPr>
        <w:t>sialoendoscopy</w:t>
      </w:r>
      <w:proofErr w:type="spellEnd"/>
      <w:r>
        <w:rPr>
          <w:rFonts w:ascii="Times New Roman" w:hAnsi="Times New Roman" w:cs="Times New Roman"/>
        </w:rPr>
        <w:t xml:space="preserve"> CBCT. </w:t>
      </w:r>
      <w:r w:rsidR="006579BF">
        <w:rPr>
          <w:rFonts w:ascii="Times New Roman" w:hAnsi="Times New Roman" w:cs="Times New Roman"/>
          <w:vertAlign w:val="superscript"/>
        </w:rPr>
        <w:t>[8</w:t>
      </w:r>
      <w:proofErr w:type="gramStart"/>
      <w:r w:rsidR="006579BF">
        <w:rPr>
          <w:rFonts w:ascii="Times New Roman" w:hAnsi="Times New Roman" w:cs="Times New Roman"/>
          <w:vertAlign w:val="superscript"/>
        </w:rPr>
        <w:t>]</w:t>
      </w:r>
      <w:r w:rsidR="00D61709">
        <w:rPr>
          <w:rFonts w:ascii="Times New Roman" w:hAnsi="Times New Roman" w:cs="Times New Roman"/>
        </w:rPr>
        <w:t xml:space="preserve">  </w:t>
      </w:r>
      <w:r w:rsidRPr="009D76AF">
        <w:rPr>
          <w:rFonts w:ascii="Times New Roman" w:hAnsi="Times New Roman" w:cs="Times New Roman"/>
        </w:rPr>
        <w:t>The</w:t>
      </w:r>
      <w:proofErr w:type="gramEnd"/>
      <w:r w:rsidRPr="009D76AF">
        <w:rPr>
          <w:rFonts w:ascii="Times New Roman" w:hAnsi="Times New Roman" w:cs="Times New Roman"/>
        </w:rPr>
        <w:t xml:space="preserve"> role of CBCT in the diagnosis of salivary stones has received little research attention</w:t>
      </w:r>
      <w:r w:rsidR="00E964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964C9" w:rsidRPr="00E964C9">
        <w:rPr>
          <w:rFonts w:ascii="Times New Roman" w:hAnsi="Times New Roman" w:cs="Times New Roman"/>
        </w:rPr>
        <w:t>CBCT offers superior sensitivity and specificity, comparable to the best outcomes achieved with 3D imaging techniques like medical CT and MRI sialography</w:t>
      </w:r>
      <w:r w:rsidR="00D61709">
        <w:rPr>
          <w:rFonts w:ascii="Times New Roman" w:hAnsi="Times New Roman" w:cs="Times New Roman"/>
        </w:rPr>
        <w:t xml:space="preserve">.  </w:t>
      </w:r>
      <w:r w:rsidR="006579BF">
        <w:rPr>
          <w:rFonts w:ascii="Times New Roman" w:hAnsi="Times New Roman" w:cs="Times New Roman"/>
          <w:vertAlign w:val="superscript"/>
        </w:rPr>
        <w:t>[5]</w:t>
      </w:r>
    </w:p>
    <w:p w14:paraId="49B3E4B8" w14:textId="7C19ECB6" w:rsidR="001C5D27" w:rsidRPr="006579BF" w:rsidRDefault="00D61709" w:rsidP="00533F9D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D61709">
        <w:rPr>
          <w:rFonts w:ascii="Times New Roman" w:hAnsi="Times New Roman" w:cs="Times New Roman"/>
        </w:rPr>
        <w:t xml:space="preserve">van der </w:t>
      </w:r>
      <w:proofErr w:type="spellStart"/>
      <w:r w:rsidRPr="00D61709">
        <w:rPr>
          <w:rFonts w:ascii="Times New Roman" w:hAnsi="Times New Roman" w:cs="Times New Roman"/>
        </w:rPr>
        <w:t>Meij</w:t>
      </w:r>
      <w:proofErr w:type="spellEnd"/>
      <w:r>
        <w:rPr>
          <w:rFonts w:ascii="Times New Roman" w:hAnsi="Times New Roman" w:cs="Times New Roman"/>
        </w:rPr>
        <w:t xml:space="preserve"> et al retrospectively </w:t>
      </w:r>
      <w:r w:rsidR="00075309">
        <w:rPr>
          <w:rFonts w:ascii="Times New Roman" w:hAnsi="Times New Roman" w:cs="Times New Roman"/>
        </w:rPr>
        <w:t>a</w:t>
      </w:r>
      <w:r w:rsidR="00075309" w:rsidRPr="00075309">
        <w:rPr>
          <w:rFonts w:ascii="Times New Roman" w:hAnsi="Times New Roman" w:cs="Times New Roman"/>
        </w:rPr>
        <w:t>ssess the value of cone beam computed tomography (CBCT) in the detection of salivary stones in patients with signs and symptoms of salivary gland obstruction</w:t>
      </w:r>
      <w:r w:rsidR="00075309">
        <w:rPr>
          <w:rFonts w:ascii="Times New Roman" w:hAnsi="Times New Roman" w:cs="Times New Roman"/>
        </w:rPr>
        <w:t>. The result of the study showed the accuracy of CBCT in the diagnosis of salivary gland calculi is 92</w:t>
      </w:r>
      <w:proofErr w:type="gramStart"/>
      <w:r w:rsidR="00075309">
        <w:rPr>
          <w:rFonts w:ascii="Times New Roman" w:hAnsi="Times New Roman" w:cs="Times New Roman"/>
        </w:rPr>
        <w:t>% .</w:t>
      </w:r>
      <w:proofErr w:type="gramEnd"/>
      <w:r w:rsidR="00075309">
        <w:rPr>
          <w:rFonts w:ascii="Times New Roman" w:hAnsi="Times New Roman" w:cs="Times New Roman"/>
        </w:rPr>
        <w:t xml:space="preserve"> </w:t>
      </w:r>
      <w:r w:rsidR="006579BF">
        <w:rPr>
          <w:rFonts w:ascii="Times New Roman" w:hAnsi="Times New Roman" w:cs="Times New Roman"/>
          <w:vertAlign w:val="superscript"/>
        </w:rPr>
        <w:t>[9]</w:t>
      </w:r>
    </w:p>
    <w:p w14:paraId="0FEA628F" w14:textId="0DF6790D" w:rsidR="00075309" w:rsidRPr="006579BF" w:rsidRDefault="00075309" w:rsidP="00533F9D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hyperlink r:id="rId6" w:history="1">
        <w:r w:rsidRPr="00075309">
          <w:rPr>
            <w:rStyle w:val="Hyperlink"/>
            <w:rFonts w:ascii="Times New Roman" w:hAnsi="Times New Roman" w:cs="Times New Roman"/>
            <w:color w:val="auto"/>
            <w:u w:val="none"/>
          </w:rPr>
          <w:t>David Schwarz MD</w:t>
        </w:r>
      </w:hyperlink>
      <w:r>
        <w:rPr>
          <w:rFonts w:ascii="Times New Roman" w:hAnsi="Times New Roman" w:cs="Times New Roman"/>
        </w:rPr>
        <w:t xml:space="preserve"> et al </w:t>
      </w:r>
      <w:proofErr w:type="spellStart"/>
      <w:r w:rsidRPr="00075309">
        <w:rPr>
          <w:rFonts w:ascii="Times New Roman" w:hAnsi="Times New Roman" w:cs="Times New Roman"/>
        </w:rPr>
        <w:t>analyze</w:t>
      </w:r>
      <w:proofErr w:type="spellEnd"/>
      <w:r w:rsidRPr="00075309">
        <w:rPr>
          <w:rFonts w:ascii="Times New Roman" w:hAnsi="Times New Roman" w:cs="Times New Roman"/>
        </w:rPr>
        <w:t xml:space="preserve"> the potential of cone beam computed tomography (CBCT) for the diagnosis of sialolithiasis and compare the results with those of sonography and </w:t>
      </w:r>
      <w:proofErr w:type="spellStart"/>
      <w:r w:rsidRPr="00075309">
        <w:rPr>
          <w:rFonts w:ascii="Times New Roman" w:hAnsi="Times New Roman" w:cs="Times New Roman"/>
        </w:rPr>
        <w:t>sialendoscopy</w:t>
      </w:r>
      <w:proofErr w:type="spellEnd"/>
      <w:r w:rsidRPr="000753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Result of the study showed that e</w:t>
      </w:r>
      <w:r w:rsidRPr="00075309">
        <w:rPr>
          <w:rFonts w:ascii="Times New Roman" w:hAnsi="Times New Roman" w:cs="Times New Roman"/>
        </w:rPr>
        <w:t>ach diagnostic tool showed an excellent specificity and positive predictive value.</w:t>
      </w:r>
      <w:r w:rsidRPr="00075309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075309">
        <w:rPr>
          <w:rFonts w:ascii="Times New Roman" w:hAnsi="Times New Roman" w:cs="Times New Roman"/>
        </w:rPr>
        <w:t xml:space="preserve">Sensitivity and negative predictive value were best in </w:t>
      </w:r>
      <w:proofErr w:type="spellStart"/>
      <w:r w:rsidRPr="00075309">
        <w:rPr>
          <w:rFonts w:ascii="Times New Roman" w:hAnsi="Times New Roman" w:cs="Times New Roman"/>
        </w:rPr>
        <w:t>sialendoscopy</w:t>
      </w:r>
      <w:proofErr w:type="spellEnd"/>
      <w:r w:rsidRPr="00075309">
        <w:rPr>
          <w:rFonts w:ascii="Times New Roman" w:hAnsi="Times New Roman" w:cs="Times New Roman"/>
        </w:rPr>
        <w:t xml:space="preserve"> (94% resp. 83%), followed by CBCT (79% resp. 56%) and then sonography (70% resp. 47%).</w:t>
      </w:r>
      <w:r>
        <w:rPr>
          <w:rFonts w:ascii="Times New Roman" w:hAnsi="Times New Roman" w:cs="Times New Roman"/>
        </w:rPr>
        <w:t xml:space="preserve"> </w:t>
      </w:r>
      <w:r w:rsidR="006579BF">
        <w:rPr>
          <w:rFonts w:ascii="Times New Roman" w:hAnsi="Times New Roman" w:cs="Times New Roman"/>
          <w:vertAlign w:val="superscript"/>
        </w:rPr>
        <w:t>[10]</w:t>
      </w:r>
    </w:p>
    <w:p w14:paraId="1501499E" w14:textId="1319453E" w:rsidR="005D14BA" w:rsidRDefault="00461F2B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Therefore, combining CBCT and sialography with injection of </w:t>
      </w:r>
      <w:r w:rsidRPr="00461F2B">
        <w:rPr>
          <w:rFonts w:ascii="Times New Roman" w:hAnsi="Times New Roman" w:cs="Times New Roman"/>
        </w:rPr>
        <w:t>radio-opaque contrast agen</w:t>
      </w:r>
      <w:r>
        <w:rPr>
          <w:rFonts w:ascii="Times New Roman" w:hAnsi="Times New Roman" w:cs="Times New Roman"/>
        </w:rPr>
        <w:t xml:space="preserve">t into the ductal system before imaging </w:t>
      </w:r>
      <w:r w:rsidRPr="00461F2B">
        <w:rPr>
          <w:rFonts w:ascii="Times New Roman" w:hAnsi="Times New Roman" w:cs="Times New Roman"/>
        </w:rPr>
        <w:t>improves diagnostic value by allowing visualization of the ductal system</w:t>
      </w:r>
      <w:r>
        <w:rPr>
          <w:rFonts w:ascii="Times New Roman" w:hAnsi="Times New Roman" w:cs="Times New Roman"/>
        </w:rPr>
        <w:t xml:space="preserve">. </w:t>
      </w:r>
    </w:p>
    <w:p w14:paraId="51D08618" w14:textId="77777777" w:rsidR="006579BF" w:rsidRDefault="006579BF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0DE7DA82" w14:textId="77777777" w:rsidR="006579BF" w:rsidRDefault="006579BF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7A918095" w14:textId="77777777" w:rsidR="006579BF" w:rsidRPr="007032F5" w:rsidRDefault="00A1102C" w:rsidP="00533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F5">
        <w:rPr>
          <w:rFonts w:ascii="Times New Roman" w:hAnsi="Times New Roman" w:cs="Times New Roman"/>
          <w:sz w:val="28"/>
          <w:szCs w:val="28"/>
        </w:rPr>
        <w:t xml:space="preserve">Conclusion: </w:t>
      </w:r>
    </w:p>
    <w:p w14:paraId="007A52A3" w14:textId="3AFEDF59" w:rsidR="00A1102C" w:rsidRDefault="00A1102C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variety of radiographic modality are available in the diagnosis of giant salivary duct calculus. However, </w:t>
      </w:r>
      <w:r w:rsidRPr="00A1102C">
        <w:rPr>
          <w:rFonts w:ascii="Times New Roman" w:hAnsi="Times New Roman" w:cs="Times New Roman"/>
        </w:rPr>
        <w:t>makes CBCT a</w:t>
      </w:r>
      <w:r w:rsidR="00480D00">
        <w:rPr>
          <w:rFonts w:ascii="Times New Roman" w:hAnsi="Times New Roman" w:cs="Times New Roman"/>
        </w:rPr>
        <w:t xml:space="preserve"> </w:t>
      </w:r>
      <w:r w:rsidR="00480D00" w:rsidRPr="00480D00">
        <w:rPr>
          <w:rFonts w:ascii="Times New Roman" w:hAnsi="Times New Roman" w:cs="Times New Roman"/>
        </w:rPr>
        <w:t>promise as a supplementary non</w:t>
      </w:r>
      <w:r w:rsidR="006579BF">
        <w:rPr>
          <w:rFonts w:ascii="Times New Roman" w:hAnsi="Times New Roman" w:cs="Times New Roman"/>
        </w:rPr>
        <w:t>-</w:t>
      </w:r>
      <w:r w:rsidR="00480D00" w:rsidRPr="00480D00">
        <w:rPr>
          <w:rFonts w:ascii="Times New Roman" w:hAnsi="Times New Roman" w:cs="Times New Roman"/>
        </w:rPr>
        <w:t xml:space="preserve">invasive diagnostic tool </w:t>
      </w:r>
      <w:r w:rsidR="009617CC">
        <w:rPr>
          <w:rFonts w:ascii="Times New Roman" w:hAnsi="Times New Roman" w:cs="Times New Roman"/>
        </w:rPr>
        <w:t xml:space="preserve">in patients </w:t>
      </w:r>
      <w:r w:rsidRPr="00A1102C">
        <w:rPr>
          <w:rFonts w:ascii="Times New Roman" w:hAnsi="Times New Roman" w:cs="Times New Roman"/>
        </w:rPr>
        <w:t>with signs and symptoms of obstructed major salivary glands</w:t>
      </w:r>
      <w:r>
        <w:rPr>
          <w:rFonts w:ascii="Times New Roman" w:hAnsi="Times New Roman" w:cs="Times New Roman"/>
        </w:rPr>
        <w:t xml:space="preserve"> </w:t>
      </w:r>
      <w:r w:rsidRPr="00A1102C">
        <w:rPr>
          <w:rFonts w:ascii="Times New Roman" w:hAnsi="Times New Roman" w:cs="Times New Roman"/>
        </w:rPr>
        <w:t xml:space="preserve">due to </w:t>
      </w:r>
      <w:r>
        <w:rPr>
          <w:rFonts w:ascii="Times New Roman" w:hAnsi="Times New Roman" w:cs="Times New Roman"/>
        </w:rPr>
        <w:t xml:space="preserve">its </w:t>
      </w:r>
      <w:r w:rsidRPr="00A1102C">
        <w:rPr>
          <w:rFonts w:ascii="Times New Roman" w:hAnsi="Times New Roman" w:cs="Times New Roman"/>
        </w:rPr>
        <w:t>high accuracy combined with low costs, good availability, and limited radiation exposure</w:t>
      </w:r>
      <w:r>
        <w:rPr>
          <w:rFonts w:ascii="Times New Roman" w:hAnsi="Times New Roman" w:cs="Times New Roman"/>
        </w:rPr>
        <w:t>.</w:t>
      </w:r>
      <w:r w:rsidR="00480D00">
        <w:rPr>
          <w:rFonts w:ascii="Times New Roman" w:hAnsi="Times New Roman" w:cs="Times New Roman"/>
        </w:rPr>
        <w:t xml:space="preserve"> </w:t>
      </w:r>
    </w:p>
    <w:p w14:paraId="3226DCD4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4A731705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0B216BD1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40EEB6C5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479C16FA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5318A693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5F04A945" w14:textId="77777777" w:rsidR="00EE4A53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08DE77CA" w14:textId="29D81683" w:rsidR="00EE4A53" w:rsidRPr="00B935B5" w:rsidRDefault="00EE4A53" w:rsidP="00533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B5">
        <w:rPr>
          <w:rFonts w:ascii="Times New Roman" w:hAnsi="Times New Roman" w:cs="Times New Roman"/>
          <w:sz w:val="28"/>
          <w:szCs w:val="28"/>
        </w:rPr>
        <w:t>Ref</w:t>
      </w:r>
      <w:r w:rsidR="00B935B5">
        <w:rPr>
          <w:rFonts w:ascii="Times New Roman" w:hAnsi="Times New Roman" w:cs="Times New Roman"/>
          <w:sz w:val="28"/>
          <w:szCs w:val="28"/>
        </w:rPr>
        <w:t>er</w:t>
      </w:r>
      <w:r w:rsidRPr="00B935B5">
        <w:rPr>
          <w:rFonts w:ascii="Times New Roman" w:hAnsi="Times New Roman" w:cs="Times New Roman"/>
          <w:sz w:val="28"/>
          <w:szCs w:val="28"/>
        </w:rPr>
        <w:t xml:space="preserve">ences: </w:t>
      </w:r>
    </w:p>
    <w:p w14:paraId="440C16F9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EE4A53">
        <w:rPr>
          <w:rFonts w:ascii="Times New Roman" w:hAnsi="Times New Roman" w:cs="Times New Roman"/>
        </w:rPr>
        <w:t>1.</w:t>
      </w:r>
      <w:r w:rsidRPr="00EE4A53">
        <w:rPr>
          <w:rFonts w:ascii="Times New Roman" w:hAnsi="Times New Roman" w:cs="Times New Roman"/>
        </w:rPr>
        <w:tab/>
        <w:t xml:space="preserve">Pachisia S, Mandal G, Sahu S, Ghosh S. Submandibular sialolithiasis: A series of three case reports with review of literature. Clin Pract. 2019 Jan 29;9(1):1119. </w:t>
      </w:r>
    </w:p>
    <w:p w14:paraId="1EDA1DCF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2.</w:t>
      </w:r>
      <w:r w:rsidRPr="00EE4A53">
        <w:rPr>
          <w:rFonts w:ascii="Times New Roman" w:hAnsi="Times New Roman" w:cs="Times New Roman"/>
        </w:rPr>
        <w:tab/>
        <w:t xml:space="preserve">Chaidas K, Lialiaris S, Pavlou AV, Katotomichelakis M, Papouliakos S. A Rare Case of a Giant Sialolith Within Wharton’s Duct. Cureus. 2023 Mar;15(3):e35969. </w:t>
      </w:r>
    </w:p>
    <w:p w14:paraId="30B64F63" w14:textId="76AB2474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3.</w:t>
      </w:r>
      <w:r w:rsidRPr="00EE4A53">
        <w:rPr>
          <w:rFonts w:ascii="Times New Roman" w:hAnsi="Times New Roman" w:cs="Times New Roman"/>
        </w:rPr>
        <w:tab/>
      </w:r>
      <w:r w:rsidR="008E14A3" w:rsidRPr="008E14A3">
        <w:rPr>
          <w:rFonts w:ascii="Times New Roman" w:hAnsi="Times New Roman" w:cs="Times New Roman"/>
        </w:rPr>
        <w:t>Michael Glick</w:t>
      </w:r>
      <w:r w:rsidRPr="00EE4A53">
        <w:rPr>
          <w:rFonts w:ascii="Times New Roman" w:hAnsi="Times New Roman" w:cs="Times New Roman"/>
        </w:rPr>
        <w:t xml:space="preserve">. Burket’s Oral Medicine. </w:t>
      </w:r>
      <w:r w:rsidR="008E14A3">
        <w:rPr>
          <w:rFonts w:ascii="Times New Roman" w:hAnsi="Times New Roman" w:cs="Times New Roman"/>
        </w:rPr>
        <w:t>12</w:t>
      </w:r>
      <w:r w:rsidR="008E14A3" w:rsidRPr="008E14A3">
        <w:rPr>
          <w:rFonts w:ascii="Times New Roman" w:hAnsi="Times New Roman" w:cs="Times New Roman"/>
          <w:vertAlign w:val="superscript"/>
        </w:rPr>
        <w:t>th</w:t>
      </w:r>
      <w:r w:rsidR="008E14A3">
        <w:rPr>
          <w:rFonts w:ascii="Times New Roman" w:hAnsi="Times New Roman" w:cs="Times New Roman"/>
        </w:rPr>
        <w:t xml:space="preserve"> edition. People's publishing house -USA shelton, connecticut. 2015</w:t>
      </w:r>
    </w:p>
    <w:p w14:paraId="5D1063DA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4.</w:t>
      </w:r>
      <w:r w:rsidRPr="00EE4A53">
        <w:rPr>
          <w:rFonts w:ascii="Times New Roman" w:hAnsi="Times New Roman" w:cs="Times New Roman"/>
        </w:rPr>
        <w:tab/>
        <w:t xml:space="preserve">Gupta A, Rattan D, Gupta R. Giant sialoliths of submandibular gland duct: Report of two cases with unusual shape. Contemp Clin Dent. 2013 Jan;4(1):78–80. </w:t>
      </w:r>
    </w:p>
    <w:p w14:paraId="58D388B2" w14:textId="2CFAF3FD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5.</w:t>
      </w:r>
      <w:r w:rsidRPr="00EE4A53">
        <w:rPr>
          <w:rFonts w:ascii="Times New Roman" w:hAnsi="Times New Roman" w:cs="Times New Roman"/>
        </w:rPr>
        <w:tab/>
      </w:r>
      <w:r w:rsidR="008E14A3" w:rsidRPr="008E14A3">
        <w:rPr>
          <w:rFonts w:ascii="Times New Roman" w:hAnsi="Times New Roman" w:cs="Times New Roman"/>
        </w:rPr>
        <w:t>Indu PS, Aravind MS, Renju Jose BV, Priya K, Kumar KS. Diagnostic imaging of a huge salivary gland calculi</w:t>
      </w:r>
      <w:r w:rsidRPr="00EE4A53">
        <w:rPr>
          <w:rFonts w:ascii="Times New Roman" w:hAnsi="Times New Roman" w:cs="Times New Roman"/>
        </w:rPr>
        <w:t xml:space="preserve">. </w:t>
      </w:r>
      <w:r w:rsidR="008E14A3">
        <w:rPr>
          <w:rFonts w:ascii="Times New Roman" w:hAnsi="Times New Roman" w:cs="Times New Roman"/>
        </w:rPr>
        <w:t>IP International journal of maxillofacial imaging.</w:t>
      </w:r>
      <w:r w:rsidR="008E14A3" w:rsidRPr="008E14A3">
        <w:t xml:space="preserve"> </w:t>
      </w:r>
      <w:r w:rsidR="008E14A3" w:rsidRPr="008E14A3">
        <w:rPr>
          <w:rFonts w:ascii="Times New Roman" w:hAnsi="Times New Roman" w:cs="Times New Roman"/>
        </w:rPr>
        <w:t>2021;7(4):183–185</w:t>
      </w:r>
    </w:p>
    <w:p w14:paraId="46300116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lastRenderedPageBreak/>
        <w:t>6.</w:t>
      </w:r>
      <w:r w:rsidRPr="00EE4A53">
        <w:rPr>
          <w:rFonts w:ascii="Times New Roman" w:hAnsi="Times New Roman" w:cs="Times New Roman"/>
        </w:rPr>
        <w:tab/>
        <w:t xml:space="preserve">Omezli MM, Ayranci F, Sadik E, Polat ME. Case report of giant sialolith (megalith) of the Wharton’s duct. Niger J Clin Pract. 2016;19(3):414–7. </w:t>
      </w:r>
    </w:p>
    <w:p w14:paraId="3AA67C77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7.</w:t>
      </w:r>
      <w:r w:rsidRPr="00EE4A53">
        <w:rPr>
          <w:rFonts w:ascii="Times New Roman" w:hAnsi="Times New Roman" w:cs="Times New Roman"/>
        </w:rPr>
        <w:tab/>
        <w:t xml:space="preserve">Rai M, Burman R. Giant submandibular sialolith of remarkable size in the comma area of Wharton’s duct: a case report. J Oral Maxillofac Surg. 2009 Jun;67(6):1329–32. </w:t>
      </w:r>
    </w:p>
    <w:p w14:paraId="2001A20C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8.</w:t>
      </w:r>
      <w:r w:rsidRPr="00EE4A53">
        <w:rPr>
          <w:rFonts w:ascii="Times New Roman" w:hAnsi="Times New Roman" w:cs="Times New Roman"/>
        </w:rPr>
        <w:tab/>
        <w:t xml:space="preserve">Rzymska-Grala I, Stopa Z, Grala B, Gołębiowski M, Wanyura H, Zuchowska A, et al. Salivary gland calculi - contemporary methods of imaging. Pol J Radiol. 2010 Jul;75(3):25–37. </w:t>
      </w:r>
    </w:p>
    <w:p w14:paraId="79B25E67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9.</w:t>
      </w:r>
      <w:r w:rsidRPr="00EE4A53">
        <w:rPr>
          <w:rFonts w:ascii="Times New Roman" w:hAnsi="Times New Roman" w:cs="Times New Roman"/>
        </w:rPr>
        <w:tab/>
        <w:t xml:space="preserve">van den Akker HP, Sokole EB, van der Schoot JB. Origin and location on the oral activity in sequential salivary gland scintigraphy with 99mTc-pertechnetate. J Nucl Med. 1976 Nov;17(11):959–64. </w:t>
      </w:r>
    </w:p>
    <w:p w14:paraId="4ADC9086" w14:textId="77777777" w:rsidR="00EE4A53" w:rsidRPr="00EE4A53" w:rsidRDefault="00EE4A53" w:rsidP="00533F9D">
      <w:pPr>
        <w:pStyle w:val="Bibliography"/>
        <w:spacing w:line="360" w:lineRule="auto"/>
        <w:rPr>
          <w:rFonts w:ascii="Times New Roman" w:hAnsi="Times New Roman" w:cs="Times New Roman"/>
        </w:rPr>
      </w:pPr>
      <w:r w:rsidRPr="00EE4A53">
        <w:rPr>
          <w:rFonts w:ascii="Times New Roman" w:hAnsi="Times New Roman" w:cs="Times New Roman"/>
        </w:rPr>
        <w:t>10.</w:t>
      </w:r>
      <w:r w:rsidRPr="00EE4A53">
        <w:rPr>
          <w:rFonts w:ascii="Times New Roman" w:hAnsi="Times New Roman" w:cs="Times New Roman"/>
        </w:rPr>
        <w:tab/>
        <w:t xml:space="preserve">Schwarz D, Kabbasch C, Scheer M, Mikolajczak S, Beutner D, Luers JC. Comparative analysis of sialendoscopy, sonography, and CBCT in the detection of sialolithiasis. Laryngoscope. 2015 May;125(5):1098–101. </w:t>
      </w:r>
    </w:p>
    <w:p w14:paraId="447A6552" w14:textId="27273C08" w:rsidR="005D14BA" w:rsidRDefault="00EE4A53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2B288A65" w14:textId="079653AD" w:rsidR="005D14BA" w:rsidRDefault="00B935B5" w:rsidP="00533F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866E85" wp14:editId="16455EB2">
            <wp:simplePos x="0" y="0"/>
            <wp:positionH relativeFrom="margin">
              <wp:posOffset>-224790</wp:posOffset>
            </wp:positionH>
            <wp:positionV relativeFrom="paragraph">
              <wp:posOffset>29210</wp:posOffset>
            </wp:positionV>
            <wp:extent cx="2183130" cy="2319655"/>
            <wp:effectExtent l="19050" t="19050" r="26670" b="23495"/>
            <wp:wrapSquare wrapText="bothSides"/>
            <wp:docPr id="1787291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8" b="8136"/>
                    <a:stretch/>
                  </pic:blipFill>
                  <pic:spPr bwMode="auto">
                    <a:xfrm>
                      <a:off x="0" y="0"/>
                      <a:ext cx="2183130" cy="23196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3AD32" w14:textId="558FC571" w:rsidR="005D14BA" w:rsidRDefault="005D14BA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5997D28A" w14:textId="34046D0E" w:rsidR="005D14BA" w:rsidRDefault="00B935B5" w:rsidP="00533F9D">
      <w:pPr>
        <w:spacing w:line="360" w:lineRule="auto"/>
        <w:jc w:val="both"/>
        <w:rPr>
          <w:rFonts w:ascii="Times New Roman" w:hAnsi="Times New Roman" w:cs="Times New Roman"/>
        </w:rPr>
      </w:pPr>
      <w:r w:rsidRPr="00B935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83A964" wp14:editId="71FEEAEC">
                <wp:simplePos x="0" y="0"/>
                <wp:positionH relativeFrom="column">
                  <wp:posOffset>3073400</wp:posOffset>
                </wp:positionH>
                <wp:positionV relativeFrom="paragraph">
                  <wp:posOffset>161290</wp:posOffset>
                </wp:positionV>
                <wp:extent cx="226695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E1C6" w14:textId="1DD4AB90" w:rsidR="00B935B5" w:rsidRDefault="00B935B5">
                            <w:r>
                              <w:t>Fig 1</w:t>
                            </w:r>
                            <w:r w:rsidR="005A4C5B">
                              <w:t>: Intraoral 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3A9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pt;margin-top:12.7pt;width:17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">
                <v:textbox style="mso-fit-shape-to-text:t">
                  <w:txbxContent>
                    <w:p w14:paraId="5895E1C6" w14:textId="1DD4AB90" w:rsidR="00B935B5" w:rsidRDefault="00B935B5">
                      <w:r>
                        <w:t>Fig 1</w:t>
                      </w:r>
                      <w:r w:rsidR="005A4C5B">
                        <w:t>: Intraoral Examination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1042DC9F" w14:textId="36714226" w:rsidR="005D14BA" w:rsidRDefault="005D14BA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29DC6AFD" w14:textId="2B73DB49" w:rsidR="005D14BA" w:rsidRDefault="005D14BA" w:rsidP="00533F9D">
      <w:pPr>
        <w:spacing w:line="360" w:lineRule="auto"/>
        <w:jc w:val="both"/>
        <w:rPr>
          <w:rFonts w:ascii="Times New Roman" w:hAnsi="Times New Roman" w:cs="Times New Roman"/>
        </w:rPr>
      </w:pPr>
    </w:p>
    <w:p w14:paraId="2F0F5FC6" w14:textId="3A9AEB05" w:rsidR="005D14BA" w:rsidRDefault="00B935B5" w:rsidP="00533F9D">
      <w:pPr>
        <w:spacing w:line="360" w:lineRule="auto"/>
        <w:jc w:val="both"/>
        <w:rPr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DDACD" wp14:editId="31EB8057">
                <wp:simplePos x="0" y="0"/>
                <wp:positionH relativeFrom="column">
                  <wp:posOffset>-121920</wp:posOffset>
                </wp:positionH>
                <wp:positionV relativeFrom="paragraph">
                  <wp:posOffset>81280</wp:posOffset>
                </wp:positionV>
                <wp:extent cx="541020" cy="68580"/>
                <wp:effectExtent l="19050" t="76200" r="0" b="64770"/>
                <wp:wrapNone/>
                <wp:docPr id="4262793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685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C8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9.6pt;margin-top:6.4pt;width:42.6pt;height:5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" strokecolor="#4472c4 [3204]" strokeweight="3pt">
                <v:stroke endarrow="block" joinstyle="miter"/>
              </v:shape>
            </w:pict>
          </mc:Fallback>
        </mc:AlternateContent>
      </w:r>
    </w:p>
    <w:p w14:paraId="520A39EA" w14:textId="7FADBDE2" w:rsidR="007B29D8" w:rsidRPr="007B29D8" w:rsidRDefault="00680851" w:rsidP="00533F9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7624F1" wp14:editId="4DC73847">
            <wp:simplePos x="0" y="0"/>
            <wp:positionH relativeFrom="column">
              <wp:posOffset>-520700</wp:posOffset>
            </wp:positionH>
            <wp:positionV relativeFrom="paragraph">
              <wp:posOffset>414655</wp:posOffset>
            </wp:positionV>
            <wp:extent cx="2917825" cy="1828800"/>
            <wp:effectExtent l="0" t="0" r="0" b="0"/>
            <wp:wrapSquare wrapText="bothSides"/>
            <wp:docPr id="13037202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64"/>
                    <a:stretch/>
                  </pic:blipFill>
                  <pic:spPr bwMode="auto">
                    <a:xfrm>
                      <a:off x="0" y="0"/>
                      <a:ext cx="2917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C3BB5" w14:textId="53F1D60E" w:rsidR="007B29D8" w:rsidRPr="007B29D8" w:rsidRDefault="007B29D8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9AA6F44" w14:textId="77A8E715" w:rsidR="007B29D8" w:rsidRPr="007B29D8" w:rsidRDefault="00680851" w:rsidP="00533F9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1DDC3" wp14:editId="5584C0A3">
                <wp:simplePos x="0" y="0"/>
                <wp:positionH relativeFrom="column">
                  <wp:posOffset>-45720</wp:posOffset>
                </wp:positionH>
                <wp:positionV relativeFrom="paragraph">
                  <wp:posOffset>775970</wp:posOffset>
                </wp:positionV>
                <wp:extent cx="323850" cy="57150"/>
                <wp:effectExtent l="19050" t="76200" r="0" b="57150"/>
                <wp:wrapNone/>
                <wp:docPr id="84154027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7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A8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6pt;margin-top:61.1pt;width:25.5pt;height:4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" strokecolor="#4472c4 [3204]" strokeweight="3pt">
                <v:stroke endarrow="block" joinstyle="miter"/>
              </v:shape>
            </w:pict>
          </mc:Fallback>
        </mc:AlternateContent>
      </w:r>
      <w:r w:rsidRPr="00B935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09950E" wp14:editId="5FCB89AA">
                <wp:simplePos x="0" y="0"/>
                <wp:positionH relativeFrom="column">
                  <wp:posOffset>3276600</wp:posOffset>
                </wp:positionH>
                <wp:positionV relativeFrom="paragraph">
                  <wp:posOffset>461645</wp:posOffset>
                </wp:positionV>
                <wp:extent cx="3055620" cy="1404620"/>
                <wp:effectExtent l="0" t="0" r="11430" b="20955"/>
                <wp:wrapSquare wrapText="bothSides"/>
                <wp:docPr id="578244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F9BC" w14:textId="29DCB098" w:rsidR="00B935B5" w:rsidRDefault="00B935B5" w:rsidP="00B935B5">
                            <w:r>
                              <w:t>Fig 2</w:t>
                            </w:r>
                            <w:r w:rsidR="006A0B57">
                              <w:t>: Reconstructed Panoramic radiograph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9950E" id="_x0000_s1027" type="#_x0000_t202" style="position:absolute;margin-left:258pt;margin-top:36.35pt;width:240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">
                <v:textbox style="mso-fit-shape-to-text:t">
                  <w:txbxContent>
                    <w:p w14:paraId="7D0EF9BC" w14:textId="29DCB098" w:rsidR="00B935B5" w:rsidRDefault="00B935B5" w:rsidP="00B935B5">
                      <w:r>
                        <w:t>Fig 2</w:t>
                      </w:r>
                      <w:r w:rsidR="006A0B57">
                        <w:t>: Reconstructed Panoramic radiograph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F2BB2" w14:textId="5E94C980" w:rsidR="007B29D8" w:rsidRPr="007B29D8" w:rsidRDefault="007B29D8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1B9086B" w14:textId="48581EF8" w:rsidR="007B29D8" w:rsidRPr="007B29D8" w:rsidRDefault="007B29D8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ECB527A" w14:textId="6744D3D4" w:rsidR="007B29D8" w:rsidRPr="007B29D8" w:rsidRDefault="007B29D8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7C49ECB" w14:textId="567F5583" w:rsidR="007B29D8" w:rsidRDefault="00725B6C" w:rsidP="00533F9D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2A67494" wp14:editId="61AD3B42">
            <wp:simplePos x="0" y="0"/>
            <wp:positionH relativeFrom="column">
              <wp:posOffset>-533400</wp:posOffset>
            </wp:positionH>
            <wp:positionV relativeFrom="paragraph">
              <wp:posOffset>367665</wp:posOffset>
            </wp:positionV>
            <wp:extent cx="3064510" cy="1765300"/>
            <wp:effectExtent l="0" t="0" r="2540" b="6350"/>
            <wp:wrapSquare wrapText="bothSides"/>
            <wp:docPr id="21000858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9" r="5697"/>
                    <a:stretch/>
                  </pic:blipFill>
                  <pic:spPr bwMode="auto">
                    <a:xfrm>
                      <a:off x="0" y="0"/>
                      <a:ext cx="30645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CBB20" w14:textId="1178DDFC" w:rsidR="007B29D8" w:rsidRDefault="007B29D8" w:rsidP="00533F9D">
      <w:pPr>
        <w:tabs>
          <w:tab w:val="left" w:pos="2808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2E8FB3A7" w14:textId="22FC3BDC" w:rsidR="00EE4A53" w:rsidRPr="00EE4A53" w:rsidRDefault="00725B6C" w:rsidP="00533F9D">
      <w:pPr>
        <w:spacing w:line="360" w:lineRule="auto"/>
        <w:rPr>
          <w:rFonts w:ascii="Times New Roman" w:hAnsi="Times New Roman" w:cs="Times New Roman"/>
          <w:lang w:val="en-US"/>
        </w:rPr>
      </w:pPr>
      <w:r w:rsidRPr="00B935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7D7C79" wp14:editId="125BC601">
                <wp:simplePos x="0" y="0"/>
                <wp:positionH relativeFrom="margin">
                  <wp:posOffset>3756660</wp:posOffset>
                </wp:positionH>
                <wp:positionV relativeFrom="paragraph">
                  <wp:posOffset>565785</wp:posOffset>
                </wp:positionV>
                <wp:extent cx="1661160" cy="1404620"/>
                <wp:effectExtent l="0" t="0" r="15240" b="20955"/>
                <wp:wrapSquare wrapText="bothSides"/>
                <wp:docPr id="1394960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C563" w14:textId="5F423AD2" w:rsidR="00B935B5" w:rsidRDefault="00B935B5" w:rsidP="00B935B5">
                            <w:r>
                              <w:t>Fig 3</w:t>
                            </w:r>
                            <w:r w:rsidR="00725B6C">
                              <w:t xml:space="preserve">:  </w:t>
                            </w:r>
                            <w:r w:rsidR="00725B6C">
                              <w:rPr>
                                <w:rFonts w:ascii="Times New Roman" w:hAnsi="Times New Roman" w:cs="Times New Roman"/>
                              </w:rPr>
                              <w:t>5*10 CBCT scan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D7C79" id="_x0000_s1028" type="#_x0000_t202" style="position:absolute;margin-left:295.8pt;margin-top:44.55pt;width:13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">
                <v:textbox style="mso-fit-shape-to-text:t">
                  <w:txbxContent>
                    <w:p w14:paraId="3170C563" w14:textId="5F423AD2" w:rsidR="00B935B5" w:rsidRDefault="00B935B5" w:rsidP="00B935B5">
                      <w:r>
                        <w:t>Fig 3</w:t>
                      </w:r>
                      <w:r w:rsidR="00725B6C">
                        <w:t xml:space="preserve">:  </w:t>
                      </w:r>
                      <w:r w:rsidR="00725B6C">
                        <w:rPr>
                          <w:rFonts w:ascii="Times New Roman" w:hAnsi="Times New Roman" w:cs="Times New Roman"/>
                        </w:rPr>
                        <w:t>5*10 CBCT scan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E9D13F" w14:textId="478DB8ED" w:rsidR="00EE4A53" w:rsidRPr="00EE4A53" w:rsidRDefault="00EE4A53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65EE966" w14:textId="3CB9781C" w:rsidR="00EE4A53" w:rsidRPr="00EE4A53" w:rsidRDefault="00EE4A53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D0A8CF4" w14:textId="4007436B" w:rsidR="00EE4A53" w:rsidRPr="00EE4A53" w:rsidRDefault="00EE4A53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F698C4A" w14:textId="77777777" w:rsidR="00EE4A53" w:rsidRPr="00EE4A53" w:rsidRDefault="00EE4A53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99ED36D" w14:textId="4BD5FC13" w:rsidR="00EE4A53" w:rsidRPr="00EE4A53" w:rsidRDefault="00EE4A53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3907549" w14:textId="77777777" w:rsidR="005A4C5B" w:rsidRDefault="005A4C5B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4F8A317" w14:textId="77777777" w:rsidR="005A4C5B" w:rsidRDefault="005A4C5B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01623FE" w14:textId="77777777" w:rsidR="005A4C5B" w:rsidRDefault="005A4C5B" w:rsidP="00533F9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8D61BD2" w14:textId="77777777" w:rsidR="00680851" w:rsidRDefault="00680851" w:rsidP="00680851">
      <w:pPr>
        <w:rPr>
          <w:rFonts w:ascii="Times New Roman" w:hAnsi="Times New Roman" w:cs="Times New Roman"/>
          <w:lang w:val="en-US"/>
        </w:rPr>
      </w:pPr>
    </w:p>
    <w:p w14:paraId="1869DDBF" w14:textId="63C2B563" w:rsidR="00680851" w:rsidRPr="00680851" w:rsidRDefault="00680851" w:rsidP="00680851">
      <w:pPr>
        <w:tabs>
          <w:tab w:val="left" w:pos="3132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680851" w:rsidRPr="00680851" w:rsidSect="00B935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2A2D" w14:textId="77777777" w:rsidR="00C16DFD" w:rsidRDefault="00C16DFD" w:rsidP="00533F9D">
      <w:pPr>
        <w:spacing w:after="0" w:line="240" w:lineRule="auto"/>
      </w:pPr>
      <w:r>
        <w:separator/>
      </w:r>
    </w:p>
  </w:endnote>
  <w:endnote w:type="continuationSeparator" w:id="0">
    <w:p w14:paraId="735EAF6B" w14:textId="77777777" w:rsidR="00C16DFD" w:rsidRDefault="00C16DFD" w:rsidP="0053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F353" w14:textId="77777777" w:rsidR="00B41B2B" w:rsidRDefault="00B41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737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B72FE" w14:textId="7641C600" w:rsidR="00533F9D" w:rsidRDefault="00533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75E04" w14:textId="77777777" w:rsidR="00533F9D" w:rsidRDefault="00533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48CE" w14:textId="77777777" w:rsidR="00B41B2B" w:rsidRDefault="00B4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982A" w14:textId="77777777" w:rsidR="00C16DFD" w:rsidRDefault="00C16DFD" w:rsidP="00533F9D">
      <w:pPr>
        <w:spacing w:after="0" w:line="240" w:lineRule="auto"/>
      </w:pPr>
      <w:r>
        <w:separator/>
      </w:r>
    </w:p>
  </w:footnote>
  <w:footnote w:type="continuationSeparator" w:id="0">
    <w:p w14:paraId="3BE04C4E" w14:textId="77777777" w:rsidR="00C16DFD" w:rsidRDefault="00C16DFD" w:rsidP="0053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98FE" w14:textId="6BCA8C30" w:rsidR="00B41B2B" w:rsidRDefault="00B41B2B">
    <w:pPr>
      <w:pStyle w:val="Header"/>
    </w:pPr>
    <w:r>
      <w:rPr>
        <w:noProof/>
      </w:rPr>
      <w:pict w14:anchorId="50912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792516" o:spid="_x0000_s1026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325A" w14:textId="31950845" w:rsidR="00B935B5" w:rsidRPr="00CD5F9B" w:rsidRDefault="00B41B2B" w:rsidP="00B935B5">
    <w:pPr>
      <w:spacing w:line="264" w:lineRule="auto"/>
      <w:rPr>
        <w:rFonts w:ascii="Times New Roman" w:hAnsi="Times New Roman" w:cs="Times New Roman"/>
      </w:rPr>
    </w:pPr>
    <w:r>
      <w:rPr>
        <w:noProof/>
      </w:rPr>
      <w:pict w14:anchorId="3C58B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792517" o:spid="_x0000_s1027" type="#_x0000_t136" style="position:absolute;margin-left:0;margin-top:0;width:535.8pt;height:100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  <w:r w:rsidR="00533F9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6399F" wp14:editId="058D71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BCF9A5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B935B5" w:rsidRPr="00A53F20">
      <w:rPr>
        <w:rFonts w:ascii="Times New Roman" w:hAnsi="Times New Roman"/>
        <w:b/>
        <w:bCs/>
      </w:rPr>
      <w:t xml:space="preserve"> </w:t>
    </w:r>
  </w:p>
  <w:p w14:paraId="5BA1B9DB" w14:textId="1B369405" w:rsidR="00533F9D" w:rsidRDefault="00533F9D" w:rsidP="00B935B5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16FC" w14:textId="3E2F3F19" w:rsidR="00B41B2B" w:rsidRDefault="00B41B2B">
    <w:pPr>
      <w:pStyle w:val="Header"/>
    </w:pPr>
    <w:r>
      <w:rPr>
        <w:noProof/>
      </w:rPr>
      <w:pict w14:anchorId="22B96A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792515" o:spid="_x0000_s1025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75"/>
    <w:rsid w:val="00022F7F"/>
    <w:rsid w:val="00025579"/>
    <w:rsid w:val="000266FA"/>
    <w:rsid w:val="00075309"/>
    <w:rsid w:val="000C1D07"/>
    <w:rsid w:val="000D4B4D"/>
    <w:rsid w:val="000F1142"/>
    <w:rsid w:val="000F4C9F"/>
    <w:rsid w:val="0018481B"/>
    <w:rsid w:val="001C5D27"/>
    <w:rsid w:val="001D6E3B"/>
    <w:rsid w:val="00216775"/>
    <w:rsid w:val="00223B31"/>
    <w:rsid w:val="0024752C"/>
    <w:rsid w:val="002660F5"/>
    <w:rsid w:val="00271BF8"/>
    <w:rsid w:val="00373051"/>
    <w:rsid w:val="003938A3"/>
    <w:rsid w:val="003C7AF1"/>
    <w:rsid w:val="003D1B9F"/>
    <w:rsid w:val="003F7581"/>
    <w:rsid w:val="0041057D"/>
    <w:rsid w:val="00426324"/>
    <w:rsid w:val="004459B9"/>
    <w:rsid w:val="00447D3A"/>
    <w:rsid w:val="00461F2B"/>
    <w:rsid w:val="00467A1B"/>
    <w:rsid w:val="00480D00"/>
    <w:rsid w:val="004F08D6"/>
    <w:rsid w:val="00533F9D"/>
    <w:rsid w:val="005361BC"/>
    <w:rsid w:val="00540721"/>
    <w:rsid w:val="005A27CC"/>
    <w:rsid w:val="005A4C5B"/>
    <w:rsid w:val="005D14BA"/>
    <w:rsid w:val="006579BF"/>
    <w:rsid w:val="006615B1"/>
    <w:rsid w:val="00680851"/>
    <w:rsid w:val="006A00B1"/>
    <w:rsid w:val="006A0B57"/>
    <w:rsid w:val="006E58D6"/>
    <w:rsid w:val="006F03AC"/>
    <w:rsid w:val="006F6091"/>
    <w:rsid w:val="007032F5"/>
    <w:rsid w:val="00725498"/>
    <w:rsid w:val="00725B6C"/>
    <w:rsid w:val="007B29D8"/>
    <w:rsid w:val="0081343E"/>
    <w:rsid w:val="008743AB"/>
    <w:rsid w:val="008E14A3"/>
    <w:rsid w:val="009617CC"/>
    <w:rsid w:val="00991A29"/>
    <w:rsid w:val="009D76AF"/>
    <w:rsid w:val="00A1102C"/>
    <w:rsid w:val="00A20340"/>
    <w:rsid w:val="00A30DB2"/>
    <w:rsid w:val="00A4226D"/>
    <w:rsid w:val="00A42962"/>
    <w:rsid w:val="00A46B49"/>
    <w:rsid w:val="00A51DD9"/>
    <w:rsid w:val="00AD0BAC"/>
    <w:rsid w:val="00B0662A"/>
    <w:rsid w:val="00B33A7B"/>
    <w:rsid w:val="00B41B2B"/>
    <w:rsid w:val="00B935B5"/>
    <w:rsid w:val="00B947D7"/>
    <w:rsid w:val="00BD42A6"/>
    <w:rsid w:val="00BF6F6B"/>
    <w:rsid w:val="00C07ACE"/>
    <w:rsid w:val="00C16DFD"/>
    <w:rsid w:val="00C30C08"/>
    <w:rsid w:val="00CC2AB1"/>
    <w:rsid w:val="00CE2153"/>
    <w:rsid w:val="00CF43C1"/>
    <w:rsid w:val="00D23643"/>
    <w:rsid w:val="00D36902"/>
    <w:rsid w:val="00D61709"/>
    <w:rsid w:val="00E414A4"/>
    <w:rsid w:val="00E619CD"/>
    <w:rsid w:val="00E95BCC"/>
    <w:rsid w:val="00E964C9"/>
    <w:rsid w:val="00ED29BC"/>
    <w:rsid w:val="00EE4A53"/>
    <w:rsid w:val="00EF056B"/>
    <w:rsid w:val="00F75A07"/>
    <w:rsid w:val="00F82067"/>
    <w:rsid w:val="00FE3055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AFC1"/>
  <w15:chartTrackingRefBased/>
  <w15:docId w15:val="{39C1AAF1-57C9-4D64-B90F-3F0FAEFE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7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7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7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7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0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E4A53"/>
    <w:pPr>
      <w:tabs>
        <w:tab w:val="left" w:pos="384"/>
      </w:tabs>
      <w:spacing w:after="240" w:line="240" w:lineRule="auto"/>
      <w:ind w:left="384" w:hanging="384"/>
    </w:pPr>
  </w:style>
  <w:style w:type="paragraph" w:styleId="Header">
    <w:name w:val="header"/>
    <w:basedOn w:val="Normal"/>
    <w:link w:val="HeaderChar"/>
    <w:uiPriority w:val="99"/>
    <w:unhideWhenUsed/>
    <w:rsid w:val="00533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9D"/>
  </w:style>
  <w:style w:type="paragraph" w:styleId="Footer">
    <w:name w:val="footer"/>
    <w:basedOn w:val="Normal"/>
    <w:link w:val="FooterChar"/>
    <w:uiPriority w:val="99"/>
    <w:unhideWhenUsed/>
    <w:rsid w:val="00533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authored-by/Schwarz/Davi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Giant Salivary Duct Sialolith</vt:lpstr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Giant Salivary Duct Sialolith</dc:title>
  <dc:subject/>
  <dc:creator>Gayatri Kale</dc:creator>
  <cp:keywords/>
  <dc:description/>
  <cp:lastModifiedBy>Editor-22</cp:lastModifiedBy>
  <cp:revision>19</cp:revision>
  <dcterms:created xsi:type="dcterms:W3CDTF">2025-02-28T05:49:00Z</dcterms:created>
  <dcterms:modified xsi:type="dcterms:W3CDTF">2025-05-16T09:38:00Z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id="5AIlpdAA"/&gt;&lt;style id="http://www.zotero.org/styles/vancouver" locale="en-US" hasBibliography="1" bibliographyStyleHasBeenSet="1"/&gt;&lt;prefs&gt;&lt;pref name="fieldType" value="Field"/&gt;&lt;/prefs&gt;&lt;/data&gt;</vt:lpwstr>
  </property>
</Properties>
</file>