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5966" w14:textId="377844FF" w:rsidR="00837DC3" w:rsidRPr="00837DC3" w:rsidRDefault="00837DC3" w:rsidP="00645476">
      <w:pPr>
        <w:pStyle w:val="Author"/>
        <w:spacing w:line="240" w:lineRule="auto"/>
        <w:jc w:val="both"/>
        <w:rPr>
          <w:rFonts w:ascii="Times New Roman" w:hAnsi="Times New Roman"/>
          <w:bCs/>
          <w:szCs w:val="24"/>
          <w:u w:val="single"/>
        </w:rPr>
      </w:pPr>
      <w:r w:rsidRPr="00837DC3">
        <w:rPr>
          <w:rFonts w:ascii="Times New Roman" w:hAnsi="Times New Roman"/>
          <w:bCs/>
          <w:szCs w:val="24"/>
          <w:u w:val="single"/>
        </w:rPr>
        <w:t>Original Research Article</w:t>
      </w:r>
    </w:p>
    <w:p w14:paraId="01551379" w14:textId="16AFB004" w:rsidR="00645476" w:rsidRPr="00790ADA" w:rsidRDefault="00645476" w:rsidP="00645476">
      <w:pPr>
        <w:pStyle w:val="Author"/>
        <w:spacing w:line="240" w:lineRule="auto"/>
        <w:jc w:val="both"/>
        <w:rPr>
          <w:rFonts w:ascii="Arial" w:hAnsi="Arial" w:cs="Arial"/>
          <w:sz w:val="36"/>
        </w:rPr>
      </w:pPr>
      <w:r w:rsidRPr="005E5DD9">
        <w:rPr>
          <w:rFonts w:ascii="Times New Roman" w:hAnsi="Times New Roman"/>
          <w:bCs/>
          <w:szCs w:val="24"/>
        </w:rPr>
        <w:t>Assessment of Relative S</w:t>
      </w:r>
      <w:r>
        <w:rPr>
          <w:rFonts w:ascii="Times New Roman" w:hAnsi="Times New Roman"/>
          <w:bCs/>
          <w:szCs w:val="24"/>
        </w:rPr>
        <w:t>oil Quality Index for rice-fallow and rice-oilseed</w:t>
      </w:r>
      <w:r w:rsidRPr="005E5DD9">
        <w:rPr>
          <w:rFonts w:ascii="Times New Roman" w:hAnsi="Times New Roman"/>
          <w:bCs/>
          <w:szCs w:val="24"/>
        </w:rPr>
        <w:t xml:space="preserve"> land use system of </w:t>
      </w:r>
      <w:proofErr w:type="spellStart"/>
      <w:r w:rsidRPr="005E5DD9">
        <w:rPr>
          <w:rFonts w:ascii="Times New Roman" w:hAnsi="Times New Roman"/>
          <w:bCs/>
          <w:szCs w:val="24"/>
        </w:rPr>
        <w:t>Nalbari</w:t>
      </w:r>
      <w:proofErr w:type="spellEnd"/>
      <w:r w:rsidRPr="005E5DD9">
        <w:rPr>
          <w:rFonts w:ascii="Times New Roman" w:hAnsi="Times New Roman"/>
          <w:bCs/>
          <w:szCs w:val="24"/>
        </w:rPr>
        <w:t xml:space="preserve"> district, Assam</w:t>
      </w:r>
      <w:r>
        <w:rPr>
          <w:rFonts w:ascii="Times New Roman" w:hAnsi="Times New Roman"/>
          <w:bCs/>
          <w:szCs w:val="24"/>
        </w:rPr>
        <w:t>, India</w:t>
      </w:r>
    </w:p>
    <w:p w14:paraId="67FAD9C9" w14:textId="77777777" w:rsidR="00542237" w:rsidRDefault="00542237" w:rsidP="00441B6F">
      <w:pPr>
        <w:pStyle w:val="Copyright"/>
        <w:spacing w:after="0" w:line="240" w:lineRule="auto"/>
        <w:jc w:val="both"/>
        <w:rPr>
          <w:rFonts w:ascii="Arial" w:hAnsi="Arial" w:cs="Arial"/>
        </w:rPr>
      </w:pPr>
    </w:p>
    <w:p w14:paraId="1D5DB911" w14:textId="77777777" w:rsidR="00542237" w:rsidRDefault="00542237" w:rsidP="00441B6F">
      <w:pPr>
        <w:pStyle w:val="Copyright"/>
        <w:spacing w:after="0" w:line="240" w:lineRule="auto"/>
        <w:jc w:val="both"/>
        <w:rPr>
          <w:rFonts w:ascii="Arial" w:hAnsi="Arial" w:cs="Arial"/>
        </w:rPr>
      </w:pPr>
    </w:p>
    <w:p w14:paraId="24A1CC5B" w14:textId="1D81F341" w:rsidR="00B01FCD" w:rsidRPr="00FB3A86" w:rsidRDefault="00000000" w:rsidP="00441B6F">
      <w:pPr>
        <w:pStyle w:val="Copyright"/>
        <w:spacing w:after="0" w:line="240" w:lineRule="auto"/>
        <w:jc w:val="both"/>
        <w:rPr>
          <w:rFonts w:ascii="Arial" w:hAnsi="Arial" w:cs="Arial"/>
        </w:rPr>
        <w:sectPr w:rsidR="00B01FCD" w:rsidRPr="00FB3A86" w:rsidSect="005422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7696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E2988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CAD1710" w14:textId="77777777" w:rsidTr="001E44FE">
        <w:tc>
          <w:tcPr>
            <w:tcW w:w="9576" w:type="dxa"/>
            <w:shd w:val="clear" w:color="auto" w:fill="F2F2F2"/>
          </w:tcPr>
          <w:p w14:paraId="4A603DCF" w14:textId="77777777" w:rsidR="00E3114E" w:rsidRPr="0010412F" w:rsidRDefault="00E3114E" w:rsidP="00441B6F">
            <w:pPr>
              <w:pStyle w:val="Body"/>
              <w:spacing w:after="0"/>
              <w:rPr>
                <w:rFonts w:ascii="Arial" w:eastAsia="Calibri" w:hAnsi="Arial" w:cs="Arial"/>
                <w:b/>
                <w:bCs/>
                <w:sz w:val="22"/>
                <w:szCs w:val="22"/>
              </w:rPr>
            </w:pPr>
            <w:r w:rsidRPr="0010412F">
              <w:rPr>
                <w:rFonts w:ascii="Arial" w:eastAsia="Calibri" w:hAnsi="Arial" w:cs="Arial"/>
                <w:b/>
                <w:bCs/>
                <w:sz w:val="22"/>
                <w:szCs w:val="22"/>
              </w:rPr>
              <w:t>ABSTRACT:</w:t>
            </w:r>
          </w:p>
          <w:p w14:paraId="692FFDB2" w14:textId="77777777" w:rsidR="00E3114E" w:rsidRPr="0010412F" w:rsidRDefault="00E3114E" w:rsidP="00441B6F">
            <w:pPr>
              <w:pStyle w:val="Body"/>
              <w:spacing w:after="0"/>
              <w:rPr>
                <w:rFonts w:ascii="Arial" w:eastAsia="Calibri" w:hAnsi="Arial" w:cs="Arial"/>
                <w:b/>
                <w:bCs/>
                <w:szCs w:val="22"/>
              </w:rPr>
            </w:pPr>
          </w:p>
          <w:p w14:paraId="71248B26" w14:textId="77777777" w:rsidR="00BA1B01" w:rsidRPr="0010412F" w:rsidRDefault="00BA1B01" w:rsidP="0010412F">
            <w:pPr>
              <w:pStyle w:val="Body"/>
              <w:spacing w:after="0"/>
              <w:rPr>
                <w:rFonts w:ascii="Arial" w:hAnsi="Arial" w:cs="Arial"/>
              </w:rPr>
            </w:pPr>
            <w:r w:rsidRPr="0010412F">
              <w:rPr>
                <w:rFonts w:ascii="Arial" w:eastAsia="Calibri" w:hAnsi="Arial" w:cs="Arial"/>
                <w:b/>
              </w:rPr>
              <w:t xml:space="preserve">Aims: </w:t>
            </w:r>
            <w:r w:rsidR="0079748C" w:rsidRPr="0010412F">
              <w:rPr>
                <w:rFonts w:ascii="Arial" w:hAnsi="Arial" w:cs="Arial"/>
              </w:rPr>
              <w:t>The present investigation was carried out to assess Relative Soil Quality Index (RSQI) for grouping of soils of two land use system</w:t>
            </w:r>
            <w:r w:rsidR="00063BEC">
              <w:rPr>
                <w:rFonts w:ascii="Arial" w:hAnsi="Arial" w:cs="Arial"/>
              </w:rPr>
              <w:t xml:space="preserve"> viz. rice-fallow and rice-oilseed</w:t>
            </w:r>
            <w:r w:rsidR="0079748C" w:rsidRPr="0010412F">
              <w:rPr>
                <w:rFonts w:ascii="Arial" w:hAnsi="Arial" w:cs="Arial"/>
              </w:rPr>
              <w:t xml:space="preserve"> as good, medium and poor categories. </w:t>
            </w:r>
          </w:p>
          <w:p w14:paraId="21FB29D1" w14:textId="77777777" w:rsidR="00BA1B01" w:rsidRPr="0010412F" w:rsidRDefault="00BA1B01" w:rsidP="0010412F">
            <w:pPr>
              <w:pStyle w:val="Body"/>
              <w:spacing w:after="0"/>
              <w:rPr>
                <w:rFonts w:ascii="Arial" w:eastAsia="Calibri" w:hAnsi="Arial" w:cs="Arial"/>
              </w:rPr>
            </w:pPr>
            <w:r w:rsidRPr="0010412F">
              <w:rPr>
                <w:rFonts w:ascii="Arial" w:eastAsia="Calibri" w:hAnsi="Arial" w:cs="Arial"/>
                <w:b/>
              </w:rPr>
              <w:t>Place and Duration of Study:</w:t>
            </w:r>
            <w:r w:rsidRPr="0010412F">
              <w:rPr>
                <w:rFonts w:ascii="Arial" w:eastAsia="Calibri" w:hAnsi="Arial" w:cs="Arial"/>
              </w:rPr>
              <w:t xml:space="preserve"> </w:t>
            </w:r>
            <w:r w:rsidR="0079748C" w:rsidRPr="0010412F">
              <w:rPr>
                <w:rFonts w:ascii="Arial" w:eastAsia="Calibri" w:hAnsi="Arial" w:cs="Arial"/>
              </w:rPr>
              <w:t>Assam Agricultural University, Jorhat</w:t>
            </w:r>
            <w:r w:rsidRPr="0010412F">
              <w:rPr>
                <w:rFonts w:ascii="Arial" w:eastAsia="Calibri" w:hAnsi="Arial" w:cs="Arial"/>
              </w:rPr>
              <w:t>,</w:t>
            </w:r>
            <w:r w:rsidR="0079748C" w:rsidRPr="0010412F">
              <w:rPr>
                <w:rFonts w:ascii="Arial" w:eastAsia="Calibri" w:hAnsi="Arial" w:cs="Arial"/>
              </w:rPr>
              <w:t xml:space="preserve"> Assam during 2016.</w:t>
            </w:r>
          </w:p>
          <w:p w14:paraId="3B7FF7E4" w14:textId="77777777" w:rsidR="0079748C" w:rsidRPr="0010412F" w:rsidRDefault="00BA1B01" w:rsidP="0010412F">
            <w:pPr>
              <w:pStyle w:val="Body"/>
              <w:spacing w:after="0"/>
              <w:rPr>
                <w:rFonts w:ascii="Arial" w:hAnsi="Arial" w:cs="Arial"/>
              </w:rPr>
            </w:pPr>
            <w:r w:rsidRPr="0010412F">
              <w:rPr>
                <w:rFonts w:ascii="Arial" w:eastAsia="Calibri" w:hAnsi="Arial" w:cs="Arial"/>
                <w:b/>
                <w:bCs/>
              </w:rPr>
              <w:t>Methodology:</w:t>
            </w:r>
            <w:r w:rsidRPr="0010412F">
              <w:rPr>
                <w:rFonts w:ascii="Arial" w:eastAsia="Calibri" w:hAnsi="Arial" w:cs="Arial"/>
              </w:rPr>
              <w:t xml:space="preserve"> </w:t>
            </w:r>
            <w:r w:rsidR="00063BEC">
              <w:rPr>
                <w:rFonts w:ascii="Arial" w:hAnsi="Arial" w:cs="Arial"/>
              </w:rPr>
              <w:t>Geo-</w:t>
            </w:r>
            <w:r w:rsidR="0079748C" w:rsidRPr="0010412F">
              <w:rPr>
                <w:rFonts w:ascii="Arial" w:hAnsi="Arial" w:cs="Arial"/>
              </w:rPr>
              <w:t>referenced soil samples were collected from rice-fallow and rice oilseed</w:t>
            </w:r>
            <w:r w:rsidR="00063BEC">
              <w:rPr>
                <w:rFonts w:ascii="Arial" w:hAnsi="Arial" w:cs="Arial"/>
              </w:rPr>
              <w:t xml:space="preserve"> (</w:t>
            </w:r>
            <w:proofErr w:type="spellStart"/>
            <w:r w:rsidR="00063BEC">
              <w:rPr>
                <w:rFonts w:ascii="Arial" w:hAnsi="Arial" w:cs="Arial"/>
              </w:rPr>
              <w:t>toria</w:t>
            </w:r>
            <w:proofErr w:type="spellEnd"/>
            <w:r w:rsidR="00063BEC">
              <w:rPr>
                <w:rFonts w:ascii="Arial" w:hAnsi="Arial" w:cs="Arial"/>
              </w:rPr>
              <w:t>)</w:t>
            </w:r>
            <w:r w:rsidR="0079748C" w:rsidRPr="0010412F">
              <w:rPr>
                <w:rFonts w:ascii="Arial" w:hAnsi="Arial" w:cs="Arial"/>
              </w:rPr>
              <w:t xml:space="preserve"> cropped field continuously cultivated for last ten years and from adjacent uncultivated soils in </w:t>
            </w:r>
            <w:proofErr w:type="spellStart"/>
            <w:r w:rsidR="0079748C" w:rsidRPr="0010412F">
              <w:rPr>
                <w:rFonts w:ascii="Arial" w:hAnsi="Arial" w:cs="Arial"/>
              </w:rPr>
              <w:t>Nalbari</w:t>
            </w:r>
            <w:proofErr w:type="spellEnd"/>
            <w:r w:rsidR="0079748C" w:rsidRPr="0010412F">
              <w:rPr>
                <w:rFonts w:ascii="Arial" w:hAnsi="Arial" w:cs="Arial"/>
              </w:rPr>
              <w:t xml:space="preserve"> district of Assam and </w:t>
            </w:r>
            <w:r w:rsidR="00063BEC" w:rsidRPr="0010412F">
              <w:rPr>
                <w:rFonts w:ascii="Arial" w:hAnsi="Arial" w:cs="Arial"/>
              </w:rPr>
              <w:t>analyzed</w:t>
            </w:r>
            <w:r w:rsidR="0079748C" w:rsidRPr="0010412F">
              <w:rPr>
                <w:rFonts w:ascii="Arial" w:hAnsi="Arial" w:cs="Arial"/>
              </w:rPr>
              <w:t xml:space="preserve"> for physical, chemical and biological properties of soils following standard procedures. Soil management practices and crop yield data were recorded from identified farmers. The RSQI based on 14 soil parameters </w:t>
            </w:r>
            <w:proofErr w:type="gramStart"/>
            <w:r w:rsidR="0079748C" w:rsidRPr="0010412F">
              <w:rPr>
                <w:rFonts w:ascii="Arial" w:hAnsi="Arial" w:cs="Arial"/>
              </w:rPr>
              <w:t>( Water</w:t>
            </w:r>
            <w:proofErr w:type="gramEnd"/>
            <w:r w:rsidR="0079748C" w:rsidRPr="0010412F">
              <w:rPr>
                <w:rFonts w:ascii="Arial" w:hAnsi="Arial" w:cs="Arial"/>
              </w:rPr>
              <w:t xml:space="preserve"> Holding Capacity, Soil texture, Bulk density, soil pH, CEC, OC, Available N, Available P, Available K, Available S, DTPA-Zn, Available B, Available Fe and MBC) were computed </w:t>
            </w:r>
          </w:p>
          <w:p w14:paraId="3755ABD0" w14:textId="77777777" w:rsidR="00505F06" w:rsidRPr="0010412F" w:rsidRDefault="00BA1B01" w:rsidP="00063BEC">
            <w:pPr>
              <w:ind w:firstLine="720"/>
              <w:jc w:val="both"/>
              <w:rPr>
                <w:rFonts w:ascii="Times New Roman" w:hAnsi="Times New Roman"/>
                <w:sz w:val="24"/>
                <w:szCs w:val="24"/>
              </w:rPr>
            </w:pPr>
            <w:r w:rsidRPr="0010412F">
              <w:rPr>
                <w:rFonts w:ascii="Arial" w:eastAsia="Calibri" w:hAnsi="Arial" w:cs="Arial"/>
                <w:b/>
                <w:bCs/>
              </w:rPr>
              <w:t>Results:</w:t>
            </w:r>
            <w:r w:rsidRPr="0010412F">
              <w:rPr>
                <w:rFonts w:ascii="Arial" w:eastAsia="Calibri" w:hAnsi="Arial" w:cs="Arial"/>
              </w:rPr>
              <w:t xml:space="preserve"> </w:t>
            </w:r>
            <w:r w:rsidR="0079748C" w:rsidRPr="0010412F">
              <w:rPr>
                <w:rFonts w:ascii="Arial" w:hAnsi="Arial" w:cs="Arial"/>
              </w:rPr>
              <w:t>results indicated that in rice-fallow system, 100% of the soils converted to medium categories (RSQI value 50 – 70%) whereas 43% and 57% soils remained as medium (RSQI value 50 – 70%) and good category (RSQI value</w:t>
            </w:r>
            <w:r w:rsidR="00063BEC">
              <w:rPr>
                <w:rFonts w:ascii="Arial" w:hAnsi="Arial" w:cs="Arial"/>
              </w:rPr>
              <w:t xml:space="preserve"> &gt;70%) respectively in adjacent</w:t>
            </w:r>
            <w:r w:rsidR="0079748C" w:rsidRPr="0010412F">
              <w:rPr>
                <w:rFonts w:ascii="Arial" w:hAnsi="Arial" w:cs="Arial"/>
              </w:rPr>
              <w:t xml:space="preserve"> uncultivated soils.  In rice-oilseed crop sequence, the RSQI values exhibited that 93% </w:t>
            </w:r>
            <w:proofErr w:type="gramStart"/>
            <w:r w:rsidR="0079748C" w:rsidRPr="0010412F">
              <w:rPr>
                <w:rFonts w:ascii="Arial" w:hAnsi="Arial" w:cs="Arial"/>
              </w:rPr>
              <w:t>and  7%  soils</w:t>
            </w:r>
            <w:proofErr w:type="gramEnd"/>
            <w:r w:rsidR="0079748C" w:rsidRPr="0010412F">
              <w:rPr>
                <w:rFonts w:ascii="Arial" w:hAnsi="Arial" w:cs="Arial"/>
              </w:rPr>
              <w:t xml:space="preserve"> remained as medium </w:t>
            </w:r>
            <w:proofErr w:type="gramStart"/>
            <w:r w:rsidR="0079748C" w:rsidRPr="0010412F">
              <w:rPr>
                <w:rFonts w:ascii="Arial" w:hAnsi="Arial" w:cs="Arial"/>
              </w:rPr>
              <w:t>and  good</w:t>
            </w:r>
            <w:proofErr w:type="gramEnd"/>
            <w:r w:rsidR="0079748C" w:rsidRPr="0010412F">
              <w:rPr>
                <w:rFonts w:ascii="Arial" w:hAnsi="Arial" w:cs="Arial"/>
              </w:rPr>
              <w:t xml:space="preserve"> category (RSQI value&gt;70</w:t>
            </w:r>
            <w:proofErr w:type="gramStart"/>
            <w:r w:rsidR="0079748C" w:rsidRPr="0010412F">
              <w:rPr>
                <w:rFonts w:ascii="Arial" w:hAnsi="Arial" w:cs="Arial"/>
              </w:rPr>
              <w:t>%)  respectively</w:t>
            </w:r>
            <w:proofErr w:type="gramEnd"/>
            <w:r w:rsidR="0079748C" w:rsidRPr="0010412F">
              <w:rPr>
                <w:rFonts w:ascii="Arial" w:hAnsi="Arial" w:cs="Arial"/>
              </w:rPr>
              <w:t xml:space="preserve"> as compared to 29% medium category and 72% good category soils under adjacent uncultivated soils. The regression lines </w:t>
            </w:r>
            <w:proofErr w:type="gramStart"/>
            <w:r w:rsidR="0079748C" w:rsidRPr="0010412F">
              <w:rPr>
                <w:rFonts w:ascii="Arial" w:hAnsi="Arial" w:cs="Arial"/>
              </w:rPr>
              <w:t>were  drawn</w:t>
            </w:r>
            <w:proofErr w:type="gramEnd"/>
            <w:r w:rsidR="0079748C" w:rsidRPr="0010412F">
              <w:rPr>
                <w:rFonts w:ascii="Arial" w:hAnsi="Arial" w:cs="Arial"/>
              </w:rPr>
              <w:t xml:space="preserve"> between RSQI and % Relative yield of rice in rice-fallow system </w:t>
            </w:r>
            <w:proofErr w:type="gramStart"/>
            <w:r w:rsidR="0079748C" w:rsidRPr="0010412F">
              <w:rPr>
                <w:rFonts w:ascii="Arial" w:hAnsi="Arial" w:cs="Arial"/>
              </w:rPr>
              <w:t>and  yield</w:t>
            </w:r>
            <w:proofErr w:type="gramEnd"/>
            <w:r w:rsidR="0079748C" w:rsidRPr="0010412F">
              <w:rPr>
                <w:rFonts w:ascii="Arial" w:hAnsi="Arial" w:cs="Arial"/>
              </w:rPr>
              <w:t xml:space="preserve"> of rice –oilseed system expressed in terms of equivalent yield of </w:t>
            </w:r>
            <w:proofErr w:type="gramStart"/>
            <w:r w:rsidR="0079748C" w:rsidRPr="0010412F">
              <w:rPr>
                <w:rFonts w:ascii="Arial" w:hAnsi="Arial" w:cs="Arial"/>
              </w:rPr>
              <w:t>rice  to</w:t>
            </w:r>
            <w:proofErr w:type="gramEnd"/>
            <w:r w:rsidR="0079748C" w:rsidRPr="0010412F">
              <w:rPr>
                <w:rFonts w:ascii="Arial" w:hAnsi="Arial" w:cs="Arial"/>
              </w:rPr>
              <w:t xml:space="preserve"> sustain </w:t>
            </w:r>
            <w:proofErr w:type="gramStart"/>
            <w:r w:rsidR="0079748C" w:rsidRPr="0010412F">
              <w:rPr>
                <w:rFonts w:ascii="Arial" w:hAnsi="Arial" w:cs="Arial"/>
                <w:u w:val="single"/>
              </w:rPr>
              <w:t>&gt;</w:t>
            </w:r>
            <w:r w:rsidR="0079748C" w:rsidRPr="0010412F">
              <w:rPr>
                <w:rFonts w:ascii="Arial" w:hAnsi="Arial" w:cs="Arial"/>
              </w:rPr>
              <w:t xml:space="preserve">  80</w:t>
            </w:r>
            <w:proofErr w:type="gramEnd"/>
            <w:r w:rsidR="0079748C" w:rsidRPr="0010412F">
              <w:rPr>
                <w:rFonts w:ascii="Arial" w:hAnsi="Arial" w:cs="Arial"/>
              </w:rPr>
              <w:t xml:space="preserve">% </w:t>
            </w:r>
            <w:r w:rsidR="0079748C" w:rsidRPr="0010412F">
              <w:rPr>
                <w:rFonts w:ascii="Arial" w:hAnsi="Arial" w:cs="Arial"/>
                <w:i/>
              </w:rPr>
              <w:t>infield</w:t>
            </w:r>
            <w:r w:rsidR="0079748C" w:rsidRPr="0010412F">
              <w:rPr>
                <w:rFonts w:ascii="Arial" w:hAnsi="Arial" w:cs="Arial"/>
              </w:rPr>
              <w:t xml:space="preserve"> crop yield </w:t>
            </w:r>
            <w:proofErr w:type="gramStart"/>
            <w:r w:rsidR="0079748C" w:rsidRPr="0010412F">
              <w:rPr>
                <w:rFonts w:ascii="Arial" w:hAnsi="Arial" w:cs="Arial"/>
              </w:rPr>
              <w:t>and  optimum</w:t>
            </w:r>
            <w:proofErr w:type="gramEnd"/>
            <w:r w:rsidR="0079748C" w:rsidRPr="0010412F">
              <w:rPr>
                <w:rFonts w:ascii="Arial" w:hAnsi="Arial" w:cs="Arial"/>
              </w:rPr>
              <w:t xml:space="preserve"> RSQI values obtained were </w:t>
            </w:r>
            <w:r w:rsidR="0079748C" w:rsidRPr="0010412F">
              <w:rPr>
                <w:rFonts w:ascii="Arial" w:hAnsi="Arial" w:cs="Arial"/>
                <w:u w:val="single"/>
              </w:rPr>
              <w:t>&gt;</w:t>
            </w:r>
            <w:r w:rsidR="001851F8">
              <w:rPr>
                <w:rFonts w:ascii="Arial" w:hAnsi="Arial" w:cs="Arial"/>
              </w:rPr>
              <w:t xml:space="preserve"> 51</w:t>
            </w:r>
            <w:r w:rsidR="0079748C" w:rsidRPr="0010412F">
              <w:rPr>
                <w:rFonts w:ascii="Arial" w:hAnsi="Arial" w:cs="Arial"/>
              </w:rPr>
              <w:t xml:space="preserve">.8% and </w:t>
            </w:r>
            <w:r w:rsidR="0079748C" w:rsidRPr="0010412F">
              <w:rPr>
                <w:rFonts w:ascii="Arial" w:hAnsi="Arial" w:cs="Arial"/>
                <w:u w:val="single"/>
              </w:rPr>
              <w:t>&gt;</w:t>
            </w:r>
            <w:r w:rsidR="001851F8">
              <w:rPr>
                <w:rFonts w:ascii="Arial" w:hAnsi="Arial" w:cs="Arial"/>
              </w:rPr>
              <w:t>51.15</w:t>
            </w:r>
            <w:r w:rsidR="0079748C" w:rsidRPr="0010412F">
              <w:rPr>
                <w:rFonts w:ascii="Arial" w:hAnsi="Arial" w:cs="Arial"/>
              </w:rPr>
              <w:t xml:space="preserve">% for rice-fallow and rice-oilseed cropped soils.  </w:t>
            </w:r>
            <w:r w:rsidRPr="0010412F">
              <w:rPr>
                <w:rFonts w:ascii="Arial" w:eastAsia="Calibri" w:hAnsi="Arial" w:cs="Arial"/>
                <w:b/>
                <w:bCs/>
              </w:rPr>
              <w:t>Conclusion:</w:t>
            </w:r>
            <w:r w:rsidRPr="0010412F">
              <w:rPr>
                <w:rFonts w:ascii="Arial" w:eastAsia="Calibri" w:hAnsi="Arial" w:cs="Arial"/>
              </w:rPr>
              <w:t xml:space="preserve"> </w:t>
            </w:r>
            <w:r w:rsidR="0010412F" w:rsidRPr="0010412F">
              <w:rPr>
                <w:rFonts w:ascii="Arial" w:hAnsi="Arial" w:cs="Arial"/>
              </w:rPr>
              <w:t>It was evident that continuous cultivation without proper soil management practices shifted the good quality soils towards medium quality soils</w:t>
            </w:r>
            <w:r w:rsidR="0010412F" w:rsidRPr="00DF11E8">
              <w:rPr>
                <w:rFonts w:ascii="Times New Roman" w:hAnsi="Times New Roman"/>
                <w:sz w:val="24"/>
                <w:szCs w:val="24"/>
              </w:rPr>
              <w:t xml:space="preserve">. Hence proper management practices are essential to sustain soil quality and </w:t>
            </w:r>
            <w:r w:rsidR="0010412F">
              <w:rPr>
                <w:rFonts w:ascii="Times New Roman" w:hAnsi="Times New Roman"/>
                <w:sz w:val="24"/>
                <w:szCs w:val="24"/>
              </w:rPr>
              <w:t>secure agricultural production for increasing   farmers’ income.</w:t>
            </w:r>
          </w:p>
        </w:tc>
      </w:tr>
    </w:tbl>
    <w:p w14:paraId="475AAC1C" w14:textId="77777777" w:rsidR="00636EB2" w:rsidRDefault="00636EB2" w:rsidP="00441B6F">
      <w:pPr>
        <w:pStyle w:val="Body"/>
        <w:spacing w:after="0"/>
        <w:rPr>
          <w:rFonts w:ascii="Arial" w:hAnsi="Arial" w:cs="Arial"/>
          <w:i/>
        </w:rPr>
      </w:pPr>
    </w:p>
    <w:p w14:paraId="7C898C34" w14:textId="77777777" w:rsidR="00505F06" w:rsidRPr="00A24E7E" w:rsidRDefault="00A24E7E" w:rsidP="0010412F">
      <w:pPr>
        <w:pBdr>
          <w:bottom w:val="single" w:sz="12" w:space="1" w:color="auto"/>
        </w:pBdr>
        <w:spacing w:line="480" w:lineRule="auto"/>
        <w:ind w:firstLine="720"/>
        <w:jc w:val="both"/>
        <w:rPr>
          <w:rFonts w:ascii="Arial" w:hAnsi="Arial" w:cs="Arial"/>
          <w:i/>
        </w:rPr>
      </w:pPr>
      <w:r w:rsidRPr="0010412F">
        <w:rPr>
          <w:rFonts w:ascii="Arial" w:hAnsi="Arial" w:cs="Arial"/>
          <w:i/>
        </w:rPr>
        <w:t xml:space="preserve">Keywords: </w:t>
      </w:r>
      <w:r w:rsidR="0010412F" w:rsidRPr="0010412F">
        <w:rPr>
          <w:rFonts w:ascii="Arial" w:hAnsi="Arial" w:cs="Arial"/>
          <w:i/>
        </w:rPr>
        <w:t>Rice-fallow, rice-oilseed, RSQI, soil parameters, management</w:t>
      </w:r>
      <w:r w:rsidR="0010412F">
        <w:rPr>
          <w:rFonts w:ascii="Arial" w:hAnsi="Arial" w:cs="Arial"/>
          <w:i/>
        </w:rPr>
        <w:t>, soil Quality</w:t>
      </w:r>
    </w:p>
    <w:p w14:paraId="43D4A585"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FDEB841" w14:textId="77777777" w:rsidR="00040389" w:rsidRPr="002B2E27" w:rsidRDefault="00040389" w:rsidP="00040389">
      <w:pPr>
        <w:spacing w:after="200" w:line="360" w:lineRule="auto"/>
        <w:ind w:firstLine="720"/>
        <w:jc w:val="both"/>
        <w:rPr>
          <w:rFonts w:ascii="Arial" w:eastAsiaTheme="minorEastAsia" w:hAnsi="Arial" w:cs="Arial"/>
          <w:lang w:val="en-IN" w:eastAsia="en-IN"/>
        </w:rPr>
      </w:pPr>
      <w:r w:rsidRPr="005A4417">
        <w:rPr>
          <w:rFonts w:ascii="Arial" w:eastAsiaTheme="minorEastAsia" w:hAnsi="Arial" w:cs="Arial"/>
          <w:lang w:val="en-IN" w:eastAsia="en-IN"/>
        </w:rPr>
        <w:t>Soil is a non-renewable natural resource and subjected to various forces of degradation in its quality due to increasing demographic pressure, intensive land use and improper management practices. In developing country like India, a large proportion of land area shows clear evidence of advanced and continued degradation affecting countries productive resource base (Sehg</w:t>
      </w:r>
      <w:r w:rsidR="00097D59">
        <w:rPr>
          <w:rFonts w:ascii="Arial" w:eastAsiaTheme="minorEastAsia" w:hAnsi="Arial" w:cs="Arial"/>
          <w:lang w:val="en-IN" w:eastAsia="en-IN"/>
        </w:rPr>
        <w:t>al &amp;</w:t>
      </w:r>
      <w:r w:rsidR="00063BEC">
        <w:rPr>
          <w:rFonts w:ascii="Arial" w:eastAsiaTheme="minorEastAsia" w:hAnsi="Arial" w:cs="Arial"/>
          <w:lang w:val="en-IN" w:eastAsia="en-IN"/>
        </w:rPr>
        <w:t xml:space="preserve"> Abrol, 1994). Therefore, s</w:t>
      </w:r>
      <w:r w:rsidRPr="005A4417">
        <w:rPr>
          <w:rFonts w:ascii="Arial" w:eastAsiaTheme="minorEastAsia" w:hAnsi="Arial" w:cs="Arial"/>
          <w:lang w:val="en-IN" w:eastAsia="en-IN"/>
        </w:rPr>
        <w:t>ustainability of agricultural system has become a major challenging issue now a day (</w:t>
      </w:r>
      <w:proofErr w:type="spellStart"/>
      <w:r w:rsidRPr="005A4417">
        <w:rPr>
          <w:rFonts w:ascii="Arial" w:eastAsiaTheme="minorEastAsia" w:hAnsi="Arial" w:cs="Arial"/>
          <w:lang w:val="en-IN" w:eastAsia="en-IN"/>
        </w:rPr>
        <w:t>Minhus</w:t>
      </w:r>
      <w:proofErr w:type="spellEnd"/>
      <w:r w:rsidRPr="005A4417">
        <w:rPr>
          <w:rFonts w:ascii="Arial" w:eastAsiaTheme="minorEastAsia" w:hAnsi="Arial" w:cs="Arial"/>
          <w:lang w:val="en-IN" w:eastAsia="en-IN"/>
        </w:rPr>
        <w:t xml:space="preserve">, 2012). Agricultural Sustainability depends on maintenance of improved soil quality therefore management practices based on soil quality is essential in order to have a sustainable agricultural </w:t>
      </w:r>
      <w:r w:rsidRPr="005A4417">
        <w:rPr>
          <w:rFonts w:ascii="Arial" w:eastAsiaTheme="minorEastAsia" w:hAnsi="Arial" w:cs="Arial"/>
          <w:lang w:val="en-IN" w:eastAsia="en-IN"/>
        </w:rPr>
        <w:lastRenderedPageBreak/>
        <w:t>productivity and global food securi</w:t>
      </w:r>
      <w:r w:rsidR="00097D59">
        <w:rPr>
          <w:rFonts w:ascii="Arial" w:eastAsiaTheme="minorEastAsia" w:hAnsi="Arial" w:cs="Arial"/>
          <w:lang w:val="en-IN" w:eastAsia="en-IN"/>
        </w:rPr>
        <w:t xml:space="preserve">ty (Rao and Lenka, 2020; </w:t>
      </w:r>
      <w:proofErr w:type="spellStart"/>
      <w:r w:rsidR="00097D59">
        <w:rPr>
          <w:rFonts w:ascii="Arial" w:eastAsiaTheme="minorEastAsia" w:hAnsi="Arial" w:cs="Arial"/>
          <w:lang w:val="en-IN" w:eastAsia="en-IN"/>
        </w:rPr>
        <w:t>Clelik</w:t>
      </w:r>
      <w:proofErr w:type="spellEnd"/>
      <w:r w:rsidRPr="005A4417">
        <w:rPr>
          <w:rFonts w:ascii="Arial" w:eastAsiaTheme="minorEastAsia" w:hAnsi="Arial" w:cs="Arial"/>
          <w:lang w:val="en-IN" w:eastAsia="en-IN"/>
        </w:rPr>
        <w:t xml:space="preserve"> </w:t>
      </w:r>
      <w:r w:rsidRPr="00097D59">
        <w:rPr>
          <w:rFonts w:ascii="Arial" w:eastAsiaTheme="minorEastAsia" w:hAnsi="Arial" w:cs="Arial"/>
          <w:lang w:val="en-IN" w:eastAsia="en-IN"/>
        </w:rPr>
        <w:t>et al</w:t>
      </w:r>
      <w:r w:rsidR="00097D59">
        <w:rPr>
          <w:rFonts w:ascii="Arial" w:eastAsiaTheme="minorEastAsia" w:hAnsi="Arial" w:cs="Arial"/>
          <w:lang w:val="en-IN" w:eastAsia="en-IN"/>
        </w:rPr>
        <w:t>.,</w:t>
      </w:r>
      <w:r w:rsidRPr="00097D59">
        <w:rPr>
          <w:rFonts w:ascii="Arial" w:eastAsiaTheme="minorEastAsia" w:hAnsi="Arial" w:cs="Arial"/>
          <w:lang w:val="en-IN" w:eastAsia="en-IN"/>
        </w:rPr>
        <w:t xml:space="preserve"> </w:t>
      </w:r>
      <w:r w:rsidRPr="005A4417">
        <w:rPr>
          <w:rFonts w:ascii="Arial" w:eastAsiaTheme="minorEastAsia" w:hAnsi="Arial" w:cs="Arial"/>
          <w:lang w:val="en-IN" w:eastAsia="en-IN"/>
        </w:rPr>
        <w:t>2021).   The assessment of soil quality aims to evaluate the uti</w:t>
      </w:r>
      <w:r w:rsidR="00097D59">
        <w:rPr>
          <w:rFonts w:ascii="Arial" w:eastAsiaTheme="minorEastAsia" w:hAnsi="Arial" w:cs="Arial"/>
          <w:lang w:val="en-IN" w:eastAsia="en-IN"/>
        </w:rPr>
        <w:t>lity and health of soils (Yadav et al.,</w:t>
      </w:r>
      <w:r w:rsidRPr="005A4417">
        <w:rPr>
          <w:rFonts w:ascii="Arial" w:eastAsiaTheme="minorEastAsia" w:hAnsi="Arial" w:cs="Arial"/>
          <w:lang w:val="en-IN" w:eastAsia="en-IN"/>
        </w:rPr>
        <w:t xml:space="preserve"> 2023). </w:t>
      </w:r>
      <w:proofErr w:type="gramStart"/>
      <w:r w:rsidRPr="005A4417">
        <w:rPr>
          <w:rFonts w:ascii="Arial" w:eastAsiaTheme="minorEastAsia" w:hAnsi="Arial" w:cs="Arial"/>
          <w:lang w:val="en-IN" w:eastAsia="en-IN"/>
        </w:rPr>
        <w:t>Thus</w:t>
      </w:r>
      <w:proofErr w:type="gramEnd"/>
      <w:r w:rsidRPr="005A4417">
        <w:rPr>
          <w:rFonts w:ascii="Arial" w:eastAsiaTheme="minorEastAsia" w:hAnsi="Arial" w:cs="Arial"/>
          <w:lang w:val="en-IN" w:eastAsia="en-IN"/>
        </w:rPr>
        <w:t xml:space="preserve"> its assessment and direction of change in quality with time is a primary indicator to ensure sustainable agriculture (Karnel</w:t>
      </w:r>
      <w:r w:rsidR="00097D59">
        <w:rPr>
          <w:rFonts w:ascii="Arial" w:eastAsiaTheme="minorEastAsia" w:hAnsi="Arial" w:cs="Arial"/>
          <w:lang w:val="en-IN" w:eastAsia="en-IN"/>
        </w:rPr>
        <w:t xml:space="preserve"> et al.,</w:t>
      </w:r>
      <w:r w:rsidRPr="005A4417">
        <w:rPr>
          <w:rFonts w:ascii="Arial" w:eastAsiaTheme="minorEastAsia" w:hAnsi="Arial" w:cs="Arial"/>
          <w:lang w:val="en-IN" w:eastAsia="en-IN"/>
        </w:rPr>
        <w:t xml:space="preserve"> 1997; Masto et al</w:t>
      </w:r>
      <w:r w:rsidR="00097D59">
        <w:rPr>
          <w:rFonts w:ascii="Arial" w:eastAsiaTheme="minorEastAsia" w:hAnsi="Arial" w:cs="Arial"/>
          <w:lang w:val="en-IN" w:eastAsia="en-IN"/>
        </w:rPr>
        <w:t>.,</w:t>
      </w:r>
      <w:r w:rsidRPr="005A4417">
        <w:rPr>
          <w:rFonts w:ascii="Arial" w:eastAsiaTheme="minorEastAsia" w:hAnsi="Arial" w:cs="Arial"/>
          <w:lang w:val="en-IN" w:eastAsia="en-IN"/>
        </w:rPr>
        <w:t xml:space="preserve"> 2007).  Soil quality concepts are commonly used to evaluate sustainable land management in </w:t>
      </w:r>
      <w:proofErr w:type="spellStart"/>
      <w:r w:rsidRPr="005A4417">
        <w:rPr>
          <w:rFonts w:ascii="Arial" w:eastAsiaTheme="minorEastAsia" w:hAnsi="Arial" w:cs="Arial"/>
          <w:lang w:val="en-IN" w:eastAsia="en-IN"/>
        </w:rPr>
        <w:t>agro</w:t>
      </w:r>
      <w:proofErr w:type="spellEnd"/>
      <w:r w:rsidRPr="005A4417">
        <w:rPr>
          <w:rFonts w:ascii="Arial" w:eastAsiaTheme="minorEastAsia" w:hAnsi="Arial" w:cs="Arial"/>
          <w:lang w:val="en-IN" w:eastAsia="en-IN"/>
        </w:rPr>
        <w:t xml:space="preserve"> ecosystem (Carter, 2000).  Hence assessment of soil health has attracted a great deal of attention in recent years because of growing public interest in determining the effects of soil management practices on physical, chemical and biological soil properties and consequently on the soil quality relative to soil sustainability (Yao et al</w:t>
      </w:r>
      <w:r w:rsidR="00097D59">
        <w:rPr>
          <w:rFonts w:ascii="Arial" w:eastAsiaTheme="minorEastAsia" w:hAnsi="Arial" w:cs="Arial"/>
          <w:lang w:val="en-IN" w:eastAsia="en-IN"/>
        </w:rPr>
        <w:t>.</w:t>
      </w:r>
      <w:r w:rsidRPr="005A4417">
        <w:rPr>
          <w:rFonts w:ascii="Arial" w:eastAsiaTheme="minorEastAsia" w:hAnsi="Arial" w:cs="Arial"/>
          <w:lang w:val="en-IN" w:eastAsia="en-IN"/>
        </w:rPr>
        <w:t>,2013; Schoenholtz et al</w:t>
      </w:r>
      <w:r w:rsidR="00097D59">
        <w:rPr>
          <w:rFonts w:ascii="Arial" w:eastAsiaTheme="minorEastAsia" w:hAnsi="Arial" w:cs="Arial"/>
          <w:lang w:val="en-IN" w:eastAsia="en-IN"/>
        </w:rPr>
        <w:t>.</w:t>
      </w:r>
      <w:r w:rsidRPr="005A4417">
        <w:rPr>
          <w:rFonts w:ascii="Arial" w:eastAsiaTheme="minorEastAsia" w:hAnsi="Arial" w:cs="Arial"/>
          <w:lang w:val="en-IN" w:eastAsia="en-IN"/>
        </w:rPr>
        <w:t>, 2000). The emphasis on sustainable agriculture and more generally on sustainable land use initiated the development of soil quality concept. Soil Quality essentially means the continued capacity of soil to function as a vital living system within ecosystem boundaries to sustain bi</w:t>
      </w:r>
      <w:r w:rsidR="00097D59">
        <w:rPr>
          <w:rFonts w:ascii="Arial" w:eastAsiaTheme="minorEastAsia" w:hAnsi="Arial" w:cs="Arial"/>
          <w:lang w:val="en-IN" w:eastAsia="en-IN"/>
        </w:rPr>
        <w:t>ological productivity (Doran &amp;</w:t>
      </w:r>
      <w:r w:rsidRPr="005A4417">
        <w:rPr>
          <w:rFonts w:ascii="Arial" w:eastAsiaTheme="minorEastAsia" w:hAnsi="Arial" w:cs="Arial"/>
          <w:lang w:val="en-IN" w:eastAsia="en-IN"/>
        </w:rPr>
        <w:t xml:space="preserve"> Parkin, 1994; Karnel et al</w:t>
      </w:r>
      <w:r w:rsidR="00097D59">
        <w:rPr>
          <w:rFonts w:ascii="Arial" w:eastAsiaTheme="minorEastAsia" w:hAnsi="Arial" w:cs="Arial"/>
          <w:lang w:val="en-IN" w:eastAsia="en-IN"/>
        </w:rPr>
        <w:t>.</w:t>
      </w:r>
      <w:r w:rsidRPr="005A4417">
        <w:rPr>
          <w:rFonts w:ascii="Arial" w:eastAsiaTheme="minorEastAsia" w:hAnsi="Arial" w:cs="Arial"/>
          <w:lang w:val="en-IN" w:eastAsia="en-IN"/>
        </w:rPr>
        <w:t>, 1997). The soil quality is a dynamic interaction between various physical, chemical and biological soil properties and can be assessed using those physical, chemical and biological properties (</w:t>
      </w:r>
      <w:proofErr w:type="spellStart"/>
      <w:r w:rsidRPr="005A4417">
        <w:rPr>
          <w:rFonts w:ascii="Arial" w:eastAsiaTheme="minorEastAsia" w:hAnsi="Arial" w:cs="Arial"/>
          <w:lang w:val="en-IN" w:eastAsia="en-IN"/>
        </w:rPr>
        <w:t>Dengiz</w:t>
      </w:r>
      <w:proofErr w:type="spellEnd"/>
      <w:r w:rsidRPr="005A4417">
        <w:rPr>
          <w:rFonts w:ascii="Arial" w:eastAsiaTheme="minorEastAsia" w:hAnsi="Arial" w:cs="Arial"/>
          <w:lang w:val="en-IN" w:eastAsia="en-IN"/>
        </w:rPr>
        <w:t>,</w:t>
      </w:r>
      <w:r w:rsidR="00097D59">
        <w:rPr>
          <w:rFonts w:ascii="Arial" w:eastAsiaTheme="minorEastAsia" w:hAnsi="Arial" w:cs="Arial"/>
          <w:lang w:val="en-IN" w:eastAsia="en-IN"/>
        </w:rPr>
        <w:t xml:space="preserve"> </w:t>
      </w:r>
      <w:r w:rsidRPr="005A4417">
        <w:rPr>
          <w:rFonts w:ascii="Arial" w:eastAsiaTheme="minorEastAsia" w:hAnsi="Arial" w:cs="Arial"/>
          <w:lang w:val="en-IN" w:eastAsia="en-IN"/>
        </w:rPr>
        <w:t xml:space="preserve">2020). Soil quality is considered as a key element of Sustainable agriculture because it is essential to support and sustain crop production and helps to maintain other natural resources such as water, air and wildlife habitat. Soil quality indices are a way to incorporate multiple points of information into one tool that can be used for decision making. It would appear to be an ideal indicator of Sustainable land management and helps to access the change in dynamic soil properties. The present experiment was designed with the objective- to assess the Relative Soil Quality Index (RSQI) under long term land use system viz. rice-fallow and of rice –oilseed system of </w:t>
      </w:r>
      <w:proofErr w:type="spellStart"/>
      <w:r w:rsidRPr="005A4417">
        <w:rPr>
          <w:rFonts w:ascii="Arial" w:eastAsiaTheme="minorEastAsia" w:hAnsi="Arial" w:cs="Arial"/>
          <w:lang w:val="en-IN" w:eastAsia="en-IN"/>
        </w:rPr>
        <w:t>Nalbari</w:t>
      </w:r>
      <w:proofErr w:type="spellEnd"/>
      <w:r w:rsidRPr="005A4417">
        <w:rPr>
          <w:rFonts w:ascii="Arial" w:eastAsiaTheme="minorEastAsia" w:hAnsi="Arial" w:cs="Arial"/>
          <w:lang w:val="en-IN" w:eastAsia="en-IN"/>
        </w:rPr>
        <w:t xml:space="preserve"> district of Assam.</w:t>
      </w:r>
    </w:p>
    <w:p w14:paraId="2E4F86C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BF17E98" w14:textId="77777777" w:rsidR="00D226F5" w:rsidRPr="00D226F5" w:rsidRDefault="00D226F5" w:rsidP="00441B6F">
      <w:pPr>
        <w:pStyle w:val="AbstHead"/>
        <w:spacing w:after="0"/>
        <w:jc w:val="both"/>
        <w:rPr>
          <w:rFonts w:ascii="Arial" w:hAnsi="Arial" w:cs="Arial"/>
          <w:szCs w:val="22"/>
        </w:rPr>
      </w:pPr>
      <w:r w:rsidRPr="00D226F5">
        <w:rPr>
          <w:rFonts w:ascii="Arial" w:hAnsi="Arial" w:cs="Arial"/>
          <w:sz w:val="20"/>
        </w:rPr>
        <w:t xml:space="preserve">2.1 </w:t>
      </w:r>
      <w:r w:rsidRPr="00D226F5">
        <w:rPr>
          <w:rFonts w:ascii="Arial" w:hAnsi="Arial" w:cs="Arial"/>
          <w:caps w:val="0"/>
          <w:szCs w:val="22"/>
        </w:rPr>
        <w:t>Collection of soil samples</w:t>
      </w:r>
    </w:p>
    <w:p w14:paraId="3A9256F3" w14:textId="77777777" w:rsidR="00D226F5" w:rsidRPr="00D226F5" w:rsidRDefault="00040389" w:rsidP="00263654">
      <w:pPr>
        <w:spacing w:line="360" w:lineRule="auto"/>
        <w:jc w:val="both"/>
        <w:rPr>
          <w:rFonts w:ascii="Arial" w:hAnsi="Arial" w:cs="Arial"/>
          <w:iCs/>
        </w:rPr>
      </w:pPr>
      <w:r w:rsidRPr="00040389">
        <w:rPr>
          <w:rFonts w:ascii="Arial" w:hAnsi="Arial" w:cs="Arial"/>
        </w:rPr>
        <w:t xml:space="preserve">Geo reference </w:t>
      </w:r>
      <w:proofErr w:type="gramStart"/>
      <w:r w:rsidRPr="00040389">
        <w:rPr>
          <w:rFonts w:ascii="Arial" w:hAnsi="Arial" w:cs="Arial"/>
        </w:rPr>
        <w:t>( N</w:t>
      </w:r>
      <w:proofErr w:type="gramEnd"/>
      <w:r w:rsidRPr="00040389">
        <w:rPr>
          <w:rFonts w:ascii="Arial" w:hAnsi="Arial" w:cs="Arial"/>
        </w:rPr>
        <w:t>: 26</w:t>
      </w:r>
      <w:r w:rsidRPr="00040389">
        <w:rPr>
          <w:rFonts w:ascii="Arial" w:hAnsi="Arial" w:cs="Arial"/>
          <w:vertAlign w:val="superscript"/>
        </w:rPr>
        <w:t>o</w:t>
      </w:r>
      <w:r w:rsidRPr="00040389">
        <w:rPr>
          <w:rFonts w:ascii="Arial" w:hAnsi="Arial" w:cs="Arial"/>
        </w:rPr>
        <w:t>31.882’ to 26</w:t>
      </w:r>
      <w:r w:rsidRPr="00040389">
        <w:rPr>
          <w:rFonts w:ascii="Arial" w:hAnsi="Arial" w:cs="Arial"/>
          <w:vertAlign w:val="superscript"/>
        </w:rPr>
        <w:t>o</w:t>
      </w:r>
      <w:r w:rsidRPr="00040389">
        <w:rPr>
          <w:rFonts w:ascii="Arial" w:hAnsi="Arial" w:cs="Arial"/>
        </w:rPr>
        <w:t xml:space="preserve"> 18.224’ and E: 091</w:t>
      </w:r>
      <w:r w:rsidRPr="00040389">
        <w:rPr>
          <w:rFonts w:ascii="Arial" w:hAnsi="Arial" w:cs="Arial"/>
          <w:vertAlign w:val="superscript"/>
        </w:rPr>
        <w:t>o</w:t>
      </w:r>
      <w:r w:rsidRPr="00040389">
        <w:rPr>
          <w:rFonts w:ascii="Arial" w:hAnsi="Arial" w:cs="Arial"/>
        </w:rPr>
        <w:t>30.536’ to 091</w:t>
      </w:r>
      <w:r w:rsidRPr="00040389">
        <w:rPr>
          <w:rFonts w:ascii="Arial" w:hAnsi="Arial" w:cs="Arial"/>
          <w:vertAlign w:val="superscript"/>
        </w:rPr>
        <w:t>o</w:t>
      </w:r>
      <w:r w:rsidRPr="00040389">
        <w:rPr>
          <w:rFonts w:ascii="Arial" w:hAnsi="Arial" w:cs="Arial"/>
        </w:rPr>
        <w:t xml:space="preserve"> 15.750’) soil samples (0-15cm) were collected from </w:t>
      </w:r>
      <w:r w:rsidRPr="00040389">
        <w:rPr>
          <w:rFonts w:ascii="Arial" w:hAnsi="Arial" w:cs="Arial"/>
          <w:iCs/>
        </w:rPr>
        <w:t>Rice-fallow and rice-oilseed cropping system after harvest of rice for Rice-fallow</w:t>
      </w:r>
      <w:r w:rsidRPr="00040389">
        <w:rPr>
          <w:rFonts w:ascii="Arial" w:hAnsi="Arial" w:cs="Arial"/>
          <w:i/>
        </w:rPr>
        <w:t xml:space="preserve"> </w:t>
      </w:r>
      <w:r w:rsidRPr="00040389">
        <w:rPr>
          <w:rFonts w:ascii="Arial" w:hAnsi="Arial" w:cs="Arial"/>
          <w:iCs/>
        </w:rPr>
        <w:t>system and after harvest of second crop (</w:t>
      </w:r>
      <w:proofErr w:type="spellStart"/>
      <w:r w:rsidRPr="00040389">
        <w:rPr>
          <w:rFonts w:ascii="Arial" w:hAnsi="Arial" w:cs="Arial"/>
          <w:iCs/>
        </w:rPr>
        <w:t>toria</w:t>
      </w:r>
      <w:proofErr w:type="spellEnd"/>
      <w:r w:rsidRPr="00040389">
        <w:rPr>
          <w:rFonts w:ascii="Arial" w:hAnsi="Arial" w:cs="Arial"/>
          <w:iCs/>
        </w:rPr>
        <w:t>) in rice-oilseed cropping system. For comparison the soil samples from adjacent uncultivated sites were collected. The sampling was focused on the plough layer because this is where most soil quality changes are expected to occur due to long term land use and soil management practices. Four soil samples from each unit were collected randomly and mixed to form a single composite sample, which was again divided into two parts for analysis of soil physical, chemical and biological parameters. The samples for analysis of biological properties were kept at 4</w:t>
      </w:r>
      <w:r w:rsidRPr="00040389">
        <w:rPr>
          <w:rFonts w:ascii="Arial" w:hAnsi="Arial" w:cs="Arial"/>
          <w:iCs/>
          <w:vertAlign w:val="superscript"/>
        </w:rPr>
        <w:t>0</w:t>
      </w:r>
      <w:r w:rsidRPr="00040389">
        <w:rPr>
          <w:rFonts w:ascii="Arial" w:hAnsi="Arial" w:cs="Arial"/>
          <w:iCs/>
        </w:rPr>
        <w:t xml:space="preserve">C in poly pouch after collection. Tube core sampler was used separately for collection of soil sample for determination of bulk density. At the time of collection of soil </w:t>
      </w:r>
      <w:proofErr w:type="gramStart"/>
      <w:r w:rsidRPr="00040389">
        <w:rPr>
          <w:rFonts w:ascii="Arial" w:hAnsi="Arial" w:cs="Arial"/>
          <w:iCs/>
        </w:rPr>
        <w:lastRenderedPageBreak/>
        <w:t>samples</w:t>
      </w:r>
      <w:proofErr w:type="gramEnd"/>
      <w:r w:rsidRPr="00040389">
        <w:rPr>
          <w:rFonts w:ascii="Arial" w:hAnsi="Arial" w:cs="Arial"/>
          <w:iCs/>
        </w:rPr>
        <w:t xml:space="preserve"> the crop history including management practices was recorded from respective farmers.  In total 60 composite soil samples were collected from each of cultivated and uncultivated soils of rice- fallow system and 63 composite soil samples were collected from each of cultivated and uncultivated soils of rice- oilseed cropping system.  Analysis of physical, chemical and biological properties was done using standard procedures.</w:t>
      </w:r>
    </w:p>
    <w:p w14:paraId="1B1E77EE" w14:textId="77777777" w:rsidR="00D226F5" w:rsidRPr="00D226F5" w:rsidRDefault="00D226F5" w:rsidP="00263654">
      <w:pPr>
        <w:spacing w:line="360" w:lineRule="auto"/>
        <w:jc w:val="both"/>
        <w:rPr>
          <w:rFonts w:ascii="Arial" w:hAnsi="Arial" w:cs="Arial"/>
          <w:b/>
          <w:bCs/>
          <w:iCs/>
        </w:rPr>
      </w:pPr>
      <w:r>
        <w:rPr>
          <w:rFonts w:ascii="Arial" w:hAnsi="Arial" w:cs="Arial"/>
          <w:b/>
          <w:bCs/>
          <w:iCs/>
        </w:rPr>
        <w:t>2.2</w:t>
      </w:r>
      <w:r w:rsidRPr="00D226F5">
        <w:rPr>
          <w:rFonts w:ascii="Arial" w:hAnsi="Arial" w:cs="Arial"/>
          <w:b/>
          <w:bCs/>
          <w:iCs/>
        </w:rPr>
        <w:t xml:space="preserve"> </w:t>
      </w:r>
      <w:r w:rsidRPr="00D226F5">
        <w:rPr>
          <w:rFonts w:ascii="Arial" w:hAnsi="Arial" w:cs="Arial"/>
          <w:b/>
          <w:bCs/>
          <w:iCs/>
          <w:sz w:val="22"/>
          <w:szCs w:val="22"/>
        </w:rPr>
        <w:t>Analysis of Physical, Chemical and Biological properties of soils</w:t>
      </w:r>
    </w:p>
    <w:p w14:paraId="7AEB9C28" w14:textId="77777777" w:rsidR="00040389" w:rsidRPr="00040389" w:rsidRDefault="00040389" w:rsidP="00263654">
      <w:pPr>
        <w:spacing w:line="360" w:lineRule="auto"/>
        <w:ind w:firstLine="720"/>
        <w:jc w:val="both"/>
        <w:rPr>
          <w:rFonts w:ascii="Arial" w:hAnsi="Arial" w:cs="Arial"/>
          <w:iCs/>
        </w:rPr>
      </w:pPr>
      <w:r w:rsidRPr="00040389">
        <w:rPr>
          <w:rFonts w:ascii="Arial" w:hAnsi="Arial" w:cs="Arial"/>
          <w:iCs/>
        </w:rPr>
        <w:t xml:space="preserve">Physical properties viz. Bulk Density (BD), soil moisture content, soil texture and Water holding capacity (WHC) were </w:t>
      </w:r>
      <w:r w:rsidR="00097D59" w:rsidRPr="00040389">
        <w:rPr>
          <w:rFonts w:ascii="Arial" w:hAnsi="Arial" w:cs="Arial"/>
          <w:iCs/>
        </w:rPr>
        <w:t>analyzed</w:t>
      </w:r>
      <w:r w:rsidRPr="00040389">
        <w:rPr>
          <w:rFonts w:ascii="Arial" w:hAnsi="Arial" w:cs="Arial"/>
          <w:iCs/>
        </w:rPr>
        <w:t xml:space="preserve">. </w:t>
      </w:r>
      <w:r w:rsidRPr="00040389">
        <w:rPr>
          <w:rFonts w:ascii="Arial" w:hAnsi="Arial" w:cs="Arial"/>
        </w:rPr>
        <w:t>For determination of bulk density undisturbed soil samples were collected from the field in natural condition using a tube core sampler (5.2cm diameter and 9cm length) following the standard method (</w:t>
      </w:r>
      <w:r w:rsidR="00097D59">
        <w:rPr>
          <w:rFonts w:ascii="Arial" w:hAnsi="Arial" w:cs="Arial"/>
          <w:iCs/>
        </w:rPr>
        <w:t>Black &amp;</w:t>
      </w:r>
      <w:r w:rsidRPr="00040389">
        <w:rPr>
          <w:rFonts w:ascii="Arial" w:hAnsi="Arial" w:cs="Arial"/>
          <w:iCs/>
        </w:rPr>
        <w:t xml:space="preserve"> Hartge, 1986). </w:t>
      </w:r>
      <w:r w:rsidRPr="00040389">
        <w:rPr>
          <w:rFonts w:ascii="Arial" w:hAnsi="Arial" w:cs="Arial"/>
        </w:rPr>
        <w:t>The soil moisture content (MC) was determined using the gravimetric method for field moist soils by drying at 105</w:t>
      </w:r>
      <w:r w:rsidRPr="00040389">
        <w:rPr>
          <w:rFonts w:ascii="Arial" w:hAnsi="Arial" w:cs="Arial"/>
          <w:vertAlign w:val="superscript"/>
        </w:rPr>
        <w:t>0</w:t>
      </w:r>
      <w:r w:rsidRPr="00040389">
        <w:rPr>
          <w:rFonts w:ascii="Arial" w:hAnsi="Arial" w:cs="Arial"/>
        </w:rPr>
        <w:t>C for 24 hours</w:t>
      </w:r>
      <w:r w:rsidRPr="00040389">
        <w:rPr>
          <w:rFonts w:ascii="Arial" w:hAnsi="Arial" w:cs="Arial"/>
          <w:iCs/>
        </w:rPr>
        <w:t xml:space="preserve"> (Gardner, 1986). The texture of the soil samples </w:t>
      </w:r>
      <w:proofErr w:type="gramStart"/>
      <w:r w:rsidRPr="00040389">
        <w:rPr>
          <w:rFonts w:ascii="Arial" w:hAnsi="Arial" w:cs="Arial"/>
          <w:iCs/>
        </w:rPr>
        <w:t>were</w:t>
      </w:r>
      <w:proofErr w:type="gramEnd"/>
      <w:r w:rsidRPr="00040389">
        <w:rPr>
          <w:rFonts w:ascii="Arial" w:hAnsi="Arial" w:cs="Arial"/>
          <w:iCs/>
        </w:rPr>
        <w:t xml:space="preserve"> determined by International Pipette Method (ISSS, 1929). Maximum water holding capacity in percentage was determined by using Keen </w:t>
      </w:r>
      <w:proofErr w:type="spellStart"/>
      <w:r w:rsidRPr="00040389">
        <w:rPr>
          <w:rFonts w:ascii="Arial" w:hAnsi="Arial" w:cs="Arial"/>
          <w:iCs/>
        </w:rPr>
        <w:t>Rackzo</w:t>
      </w:r>
      <w:r w:rsidR="00097D59">
        <w:rPr>
          <w:rFonts w:ascii="Arial" w:hAnsi="Arial" w:cs="Arial"/>
          <w:iCs/>
        </w:rPr>
        <w:t>wski</w:t>
      </w:r>
      <w:proofErr w:type="spellEnd"/>
      <w:r w:rsidR="00097D59">
        <w:rPr>
          <w:rFonts w:ascii="Arial" w:hAnsi="Arial" w:cs="Arial"/>
          <w:iCs/>
        </w:rPr>
        <w:t xml:space="preserve"> Box described by Baruah &amp;</w:t>
      </w:r>
      <w:r w:rsidRPr="00040389">
        <w:rPr>
          <w:rFonts w:ascii="Arial" w:hAnsi="Arial" w:cs="Arial"/>
          <w:iCs/>
        </w:rPr>
        <w:t xml:space="preserve"> Barthakur (1997). </w:t>
      </w:r>
    </w:p>
    <w:p w14:paraId="3BD29B4D" w14:textId="77777777" w:rsidR="00040389" w:rsidRPr="00040389" w:rsidRDefault="00040389" w:rsidP="00263654">
      <w:pPr>
        <w:spacing w:line="360" w:lineRule="auto"/>
        <w:ind w:firstLine="720"/>
        <w:jc w:val="both"/>
        <w:rPr>
          <w:rFonts w:ascii="Arial" w:hAnsi="Arial" w:cs="Arial"/>
        </w:rPr>
      </w:pPr>
      <w:r w:rsidRPr="00040389">
        <w:rPr>
          <w:rFonts w:ascii="Arial" w:hAnsi="Arial" w:cs="Arial"/>
        </w:rPr>
        <w:t>The chemical properties such as soil pH, electrical conductivity, organic carbon, CEC, available N, P, K, exchangeable Ca and Mg, available S, micronutr</w:t>
      </w:r>
      <w:r w:rsidR="00097D59">
        <w:rPr>
          <w:rFonts w:ascii="Arial" w:hAnsi="Arial" w:cs="Arial"/>
        </w:rPr>
        <w:t>ients such as available z</w:t>
      </w:r>
      <w:r w:rsidRPr="00040389">
        <w:rPr>
          <w:rFonts w:ascii="Arial" w:hAnsi="Arial" w:cs="Arial"/>
        </w:rPr>
        <w:t>inc, boron and iron were estimated following standard procedure (Jackson, 1973).</w:t>
      </w:r>
    </w:p>
    <w:p w14:paraId="199C9AB0" w14:textId="77777777" w:rsidR="00040389" w:rsidRPr="00040389" w:rsidRDefault="00040389" w:rsidP="00263654">
      <w:pPr>
        <w:spacing w:line="360" w:lineRule="auto"/>
        <w:ind w:firstLine="720"/>
        <w:jc w:val="both"/>
        <w:rPr>
          <w:rFonts w:ascii="Arial" w:hAnsi="Arial" w:cs="Arial"/>
          <w:iCs/>
        </w:rPr>
      </w:pPr>
      <w:r w:rsidRPr="00040389">
        <w:rPr>
          <w:rFonts w:ascii="Arial" w:hAnsi="Arial" w:cs="Arial"/>
          <w:iCs/>
        </w:rPr>
        <w:t xml:space="preserve">Biological properties viz. enumeration of bacteria, fungi, </w:t>
      </w:r>
      <w:r w:rsidRPr="00040389">
        <w:rPr>
          <w:rFonts w:ascii="Arial" w:hAnsi="Arial" w:cs="Arial"/>
          <w:i/>
        </w:rPr>
        <w:t>Azotobacter</w:t>
      </w:r>
      <w:r w:rsidRPr="00040389">
        <w:rPr>
          <w:rFonts w:ascii="Arial" w:hAnsi="Arial" w:cs="Arial"/>
          <w:iCs/>
        </w:rPr>
        <w:t xml:space="preserve">, </w:t>
      </w:r>
      <w:proofErr w:type="spellStart"/>
      <w:r w:rsidRPr="00040389">
        <w:rPr>
          <w:rFonts w:ascii="Arial" w:hAnsi="Arial" w:cs="Arial"/>
          <w:i/>
        </w:rPr>
        <w:t>Azospirillum</w:t>
      </w:r>
      <w:proofErr w:type="spellEnd"/>
      <w:r w:rsidRPr="00040389">
        <w:rPr>
          <w:rFonts w:ascii="Arial" w:hAnsi="Arial" w:cs="Arial"/>
          <w:i/>
        </w:rPr>
        <w:t xml:space="preserve"> </w:t>
      </w:r>
      <w:r w:rsidRPr="00040389">
        <w:rPr>
          <w:rFonts w:ascii="Arial" w:hAnsi="Arial" w:cs="Arial"/>
          <w:iCs/>
        </w:rPr>
        <w:t>and Phosphate so</w:t>
      </w:r>
      <w:r w:rsidR="00D226F5">
        <w:rPr>
          <w:rFonts w:ascii="Arial" w:hAnsi="Arial" w:cs="Arial"/>
          <w:iCs/>
        </w:rPr>
        <w:t>l</w:t>
      </w:r>
      <w:r w:rsidRPr="00040389">
        <w:rPr>
          <w:rFonts w:ascii="Arial" w:hAnsi="Arial" w:cs="Arial"/>
          <w:iCs/>
        </w:rPr>
        <w:t>ubilizing bacteria (PSB</w:t>
      </w:r>
      <w:proofErr w:type="gramStart"/>
      <w:r w:rsidRPr="00040389">
        <w:rPr>
          <w:rFonts w:ascii="Arial" w:hAnsi="Arial" w:cs="Arial"/>
          <w:iCs/>
        </w:rPr>
        <w:t>),  Microbial</w:t>
      </w:r>
      <w:proofErr w:type="gramEnd"/>
      <w:r w:rsidRPr="00040389">
        <w:rPr>
          <w:rFonts w:ascii="Arial" w:hAnsi="Arial" w:cs="Arial"/>
          <w:iCs/>
        </w:rPr>
        <w:t xml:space="preserve"> biomass carbon (MBC), Dehydrogenase activity (DHA), </w:t>
      </w:r>
      <w:proofErr w:type="spellStart"/>
      <w:r w:rsidRPr="00040389">
        <w:rPr>
          <w:rFonts w:ascii="Arial" w:hAnsi="Arial" w:cs="Arial"/>
          <w:iCs/>
        </w:rPr>
        <w:t>Phosphomonoesterase</w:t>
      </w:r>
      <w:proofErr w:type="spellEnd"/>
      <w:r w:rsidRPr="00040389">
        <w:rPr>
          <w:rFonts w:ascii="Arial" w:hAnsi="Arial" w:cs="Arial"/>
          <w:iCs/>
        </w:rPr>
        <w:t xml:space="preserve"> (PME) activity, </w:t>
      </w:r>
      <w:proofErr w:type="spellStart"/>
      <w:r w:rsidRPr="00040389">
        <w:rPr>
          <w:rFonts w:ascii="Arial" w:hAnsi="Arial" w:cs="Arial"/>
          <w:iCs/>
        </w:rPr>
        <w:t>fluorescien</w:t>
      </w:r>
      <w:proofErr w:type="spellEnd"/>
      <w:r w:rsidRPr="00040389">
        <w:rPr>
          <w:rFonts w:ascii="Arial" w:hAnsi="Arial" w:cs="Arial"/>
          <w:iCs/>
        </w:rPr>
        <w:t xml:space="preserve"> diacetate hydrolysis (FDA) </w:t>
      </w:r>
      <w:proofErr w:type="gramStart"/>
      <w:r w:rsidRPr="00040389">
        <w:rPr>
          <w:rFonts w:ascii="Arial" w:hAnsi="Arial" w:cs="Arial"/>
          <w:iCs/>
        </w:rPr>
        <w:t xml:space="preserve">activity,  </w:t>
      </w:r>
      <w:proofErr w:type="spellStart"/>
      <w:r w:rsidRPr="00040389">
        <w:rPr>
          <w:rFonts w:ascii="Arial" w:hAnsi="Arial" w:cs="Arial"/>
          <w:iCs/>
        </w:rPr>
        <w:t>arylsulphatase</w:t>
      </w:r>
      <w:proofErr w:type="spellEnd"/>
      <w:proofErr w:type="gramEnd"/>
      <w:r w:rsidRPr="00040389">
        <w:rPr>
          <w:rFonts w:ascii="Arial" w:hAnsi="Arial" w:cs="Arial"/>
          <w:iCs/>
        </w:rPr>
        <w:t xml:space="preserve"> (ARYL) activity, were </w:t>
      </w:r>
      <w:r w:rsidR="00097D59" w:rsidRPr="00040389">
        <w:rPr>
          <w:rFonts w:ascii="Arial" w:hAnsi="Arial" w:cs="Arial"/>
          <w:iCs/>
        </w:rPr>
        <w:t>analyzed</w:t>
      </w:r>
      <w:r w:rsidRPr="00040389">
        <w:rPr>
          <w:rFonts w:ascii="Arial" w:hAnsi="Arial" w:cs="Arial"/>
          <w:iCs/>
        </w:rPr>
        <w:t xml:space="preserve"> following standard procedures. </w:t>
      </w:r>
      <w:r w:rsidRPr="00040389">
        <w:rPr>
          <w:rFonts w:ascii="Arial" w:hAnsi="Arial" w:cs="Arial"/>
        </w:rPr>
        <w:t xml:space="preserve">The classical serial dilution technique was used for enumeration of bacteria, fungi, </w:t>
      </w:r>
      <w:r w:rsidRPr="00040389">
        <w:rPr>
          <w:rFonts w:ascii="Arial" w:hAnsi="Arial" w:cs="Arial"/>
          <w:i/>
          <w:iCs/>
        </w:rPr>
        <w:t>Azotobacter</w:t>
      </w:r>
      <w:r w:rsidRPr="00040389">
        <w:rPr>
          <w:rFonts w:ascii="Arial" w:hAnsi="Arial" w:cs="Arial"/>
        </w:rPr>
        <w:t xml:space="preserve">, </w:t>
      </w:r>
      <w:proofErr w:type="spellStart"/>
      <w:r w:rsidRPr="00040389">
        <w:rPr>
          <w:rFonts w:ascii="Arial" w:hAnsi="Arial" w:cs="Arial"/>
          <w:i/>
          <w:iCs/>
        </w:rPr>
        <w:t>Azospirillum</w:t>
      </w:r>
      <w:proofErr w:type="spellEnd"/>
      <w:r w:rsidRPr="00040389">
        <w:rPr>
          <w:rFonts w:ascii="Arial" w:hAnsi="Arial" w:cs="Arial"/>
        </w:rPr>
        <w:t xml:space="preserve"> and phosphate solubilizing bacteria (PSB) from the soil by spread plate technique on appropriate media. Nutrient agar (NA) and Martin Rose Bengal (MRB) media were used for enumeration of bacteria and fungi respectively. The soil sample of 1 g was suspended in 9 ml water blank followed by serial dilution up to 10</w:t>
      </w:r>
      <w:r w:rsidRPr="00040389">
        <w:rPr>
          <w:rFonts w:ascii="Arial" w:hAnsi="Arial" w:cs="Arial"/>
          <w:vertAlign w:val="superscript"/>
        </w:rPr>
        <w:t>-5</w:t>
      </w:r>
      <w:r w:rsidRPr="00040389">
        <w:rPr>
          <w:rFonts w:ascii="Arial" w:hAnsi="Arial" w:cs="Arial"/>
        </w:rPr>
        <w:t>. Aliquot of 10 µl from 10</w:t>
      </w:r>
      <w:r w:rsidRPr="00040389">
        <w:rPr>
          <w:rFonts w:ascii="Arial" w:hAnsi="Arial" w:cs="Arial"/>
          <w:vertAlign w:val="superscript"/>
        </w:rPr>
        <w:t>-3</w:t>
      </w:r>
      <w:r w:rsidRPr="00040389">
        <w:rPr>
          <w:rFonts w:ascii="Arial" w:hAnsi="Arial" w:cs="Arial"/>
        </w:rPr>
        <w:t>, 10</w:t>
      </w:r>
      <w:r w:rsidRPr="00040389">
        <w:rPr>
          <w:rFonts w:ascii="Arial" w:hAnsi="Arial" w:cs="Arial"/>
          <w:vertAlign w:val="superscript"/>
        </w:rPr>
        <w:t>-4</w:t>
      </w:r>
      <w:r w:rsidRPr="00040389">
        <w:rPr>
          <w:rFonts w:ascii="Arial" w:hAnsi="Arial" w:cs="Arial"/>
        </w:rPr>
        <w:t xml:space="preserve"> and 10</w:t>
      </w:r>
      <w:r w:rsidRPr="00040389">
        <w:rPr>
          <w:rFonts w:ascii="Arial" w:hAnsi="Arial" w:cs="Arial"/>
          <w:vertAlign w:val="superscript"/>
        </w:rPr>
        <w:t>-5</w:t>
      </w:r>
      <w:r w:rsidRPr="00040389">
        <w:rPr>
          <w:rFonts w:ascii="Arial" w:hAnsi="Arial" w:cs="Arial"/>
        </w:rPr>
        <w:t xml:space="preserve"> dilution were spread over solidified media in triplicates and plates were incubated at 30±1</w:t>
      </w:r>
      <w:r w:rsidRPr="00040389">
        <w:rPr>
          <w:rFonts w:ascii="Arial" w:hAnsi="Arial" w:cs="Arial"/>
          <w:vertAlign w:val="superscript"/>
        </w:rPr>
        <w:t>0</w:t>
      </w:r>
      <w:r w:rsidRPr="00040389">
        <w:rPr>
          <w:rFonts w:ascii="Arial" w:hAnsi="Arial" w:cs="Arial"/>
        </w:rPr>
        <w:t>C for bacteria and fungi population.</w:t>
      </w:r>
    </w:p>
    <w:p w14:paraId="27E710E1" w14:textId="77777777" w:rsidR="00040389" w:rsidRPr="00040389" w:rsidRDefault="00040389" w:rsidP="00263654">
      <w:pPr>
        <w:spacing w:line="360" w:lineRule="auto"/>
        <w:jc w:val="both"/>
        <w:rPr>
          <w:rFonts w:ascii="Arial" w:hAnsi="Arial" w:cs="Arial"/>
        </w:rPr>
      </w:pPr>
      <w:r w:rsidRPr="00040389">
        <w:rPr>
          <w:rFonts w:ascii="Arial" w:hAnsi="Arial" w:cs="Arial"/>
        </w:rPr>
        <w:tab/>
        <w:t xml:space="preserve">For enumeration of </w:t>
      </w:r>
      <w:r w:rsidRPr="00040389">
        <w:rPr>
          <w:rFonts w:ascii="Arial" w:hAnsi="Arial" w:cs="Arial"/>
          <w:i/>
          <w:iCs/>
        </w:rPr>
        <w:t>Azotobacter</w:t>
      </w:r>
      <w:r w:rsidRPr="00040389">
        <w:rPr>
          <w:rFonts w:ascii="Arial" w:hAnsi="Arial" w:cs="Arial"/>
        </w:rPr>
        <w:t xml:space="preserve">, </w:t>
      </w:r>
      <w:proofErr w:type="spellStart"/>
      <w:r w:rsidRPr="00040389">
        <w:rPr>
          <w:rFonts w:ascii="Arial" w:hAnsi="Arial" w:cs="Arial"/>
          <w:i/>
          <w:iCs/>
        </w:rPr>
        <w:t>Azospirillum</w:t>
      </w:r>
      <w:proofErr w:type="spellEnd"/>
      <w:r w:rsidRPr="00040389">
        <w:rPr>
          <w:rFonts w:ascii="Arial" w:hAnsi="Arial" w:cs="Arial"/>
        </w:rPr>
        <w:t xml:space="preserve"> and PSB the media used were that of Burk’s, nitrogen free bromothymol blue (</w:t>
      </w:r>
      <w:proofErr w:type="spellStart"/>
      <w:r w:rsidRPr="00040389">
        <w:rPr>
          <w:rFonts w:ascii="Arial" w:hAnsi="Arial" w:cs="Arial"/>
        </w:rPr>
        <w:t>NFb</w:t>
      </w:r>
      <w:proofErr w:type="spellEnd"/>
      <w:r w:rsidRPr="00040389">
        <w:rPr>
          <w:rFonts w:ascii="Arial" w:hAnsi="Arial" w:cs="Arial"/>
        </w:rPr>
        <w:t xml:space="preserve">) and </w:t>
      </w:r>
      <w:proofErr w:type="spellStart"/>
      <w:r w:rsidRPr="00040389">
        <w:rPr>
          <w:rFonts w:ascii="Arial" w:hAnsi="Arial" w:cs="Arial"/>
        </w:rPr>
        <w:t>Pikovskaya’s</w:t>
      </w:r>
      <w:proofErr w:type="spellEnd"/>
      <w:r w:rsidRPr="00040389">
        <w:rPr>
          <w:rFonts w:ascii="Arial" w:hAnsi="Arial" w:cs="Arial"/>
        </w:rPr>
        <w:t xml:space="preserve"> media respectively. 100 µl aliquot of 10</w:t>
      </w:r>
      <w:r w:rsidRPr="00040389">
        <w:rPr>
          <w:rFonts w:ascii="Arial" w:hAnsi="Arial" w:cs="Arial"/>
          <w:vertAlign w:val="superscript"/>
        </w:rPr>
        <w:t>-4</w:t>
      </w:r>
      <w:r w:rsidRPr="00040389">
        <w:rPr>
          <w:rFonts w:ascii="Arial" w:hAnsi="Arial" w:cs="Arial"/>
        </w:rPr>
        <w:t xml:space="preserve"> and 10</w:t>
      </w:r>
      <w:r w:rsidRPr="00040389">
        <w:rPr>
          <w:rFonts w:ascii="Arial" w:hAnsi="Arial" w:cs="Arial"/>
          <w:vertAlign w:val="superscript"/>
        </w:rPr>
        <w:t>-5</w:t>
      </w:r>
      <w:r w:rsidRPr="00040389">
        <w:rPr>
          <w:rFonts w:ascii="Arial" w:hAnsi="Arial" w:cs="Arial"/>
        </w:rPr>
        <w:t xml:space="preserve"> dilutions were spread over the solidified media in triplicates and plates were incubated at 30±1</w:t>
      </w:r>
      <w:r w:rsidRPr="00040389">
        <w:rPr>
          <w:rFonts w:ascii="Arial" w:hAnsi="Arial" w:cs="Arial"/>
          <w:vertAlign w:val="superscript"/>
        </w:rPr>
        <w:t>0</w:t>
      </w:r>
      <w:r w:rsidRPr="00040389">
        <w:rPr>
          <w:rFonts w:ascii="Arial" w:hAnsi="Arial" w:cs="Arial"/>
        </w:rPr>
        <w:t xml:space="preserve">C for </w:t>
      </w:r>
      <w:r w:rsidRPr="00040389">
        <w:rPr>
          <w:rFonts w:ascii="Arial" w:hAnsi="Arial" w:cs="Arial"/>
          <w:i/>
          <w:iCs/>
        </w:rPr>
        <w:t>Azotobacter</w:t>
      </w:r>
      <w:r w:rsidRPr="00040389">
        <w:rPr>
          <w:rFonts w:ascii="Arial" w:hAnsi="Arial" w:cs="Arial"/>
        </w:rPr>
        <w:t xml:space="preserve"> and PSB while </w:t>
      </w:r>
      <w:proofErr w:type="spellStart"/>
      <w:r w:rsidRPr="00040389">
        <w:rPr>
          <w:rFonts w:ascii="Arial" w:hAnsi="Arial" w:cs="Arial"/>
        </w:rPr>
        <w:t>NFb</w:t>
      </w:r>
      <w:proofErr w:type="spellEnd"/>
      <w:r w:rsidRPr="00040389">
        <w:rPr>
          <w:rFonts w:ascii="Arial" w:hAnsi="Arial" w:cs="Arial"/>
        </w:rPr>
        <w:t xml:space="preserve"> plates were incubated at 35±1</w:t>
      </w:r>
      <w:r w:rsidRPr="00040389">
        <w:rPr>
          <w:rFonts w:ascii="Arial" w:hAnsi="Arial" w:cs="Arial"/>
          <w:vertAlign w:val="superscript"/>
        </w:rPr>
        <w:t>0</w:t>
      </w:r>
      <w:r w:rsidRPr="00040389">
        <w:rPr>
          <w:rFonts w:ascii="Arial" w:hAnsi="Arial" w:cs="Arial"/>
        </w:rPr>
        <w:t>C for 3- 5 days. The microbial numbers were estimated as colony forming unit per gram (</w:t>
      </w:r>
      <w:proofErr w:type="spellStart"/>
      <w:r w:rsidRPr="00040389">
        <w:rPr>
          <w:rFonts w:ascii="Arial" w:hAnsi="Arial" w:cs="Arial"/>
        </w:rPr>
        <w:t>cfu</w:t>
      </w:r>
      <w:proofErr w:type="spellEnd"/>
      <w:r w:rsidRPr="00040389">
        <w:rPr>
          <w:rFonts w:ascii="Arial" w:hAnsi="Arial" w:cs="Arial"/>
        </w:rPr>
        <w:t xml:space="preserve"> g</w:t>
      </w:r>
      <w:r w:rsidRPr="00040389">
        <w:rPr>
          <w:rFonts w:ascii="Arial" w:hAnsi="Arial" w:cs="Arial"/>
          <w:vertAlign w:val="superscript"/>
        </w:rPr>
        <w:t>-1</w:t>
      </w:r>
      <w:r w:rsidRPr="00040389">
        <w:rPr>
          <w:rFonts w:ascii="Arial" w:hAnsi="Arial" w:cs="Arial"/>
        </w:rPr>
        <w:t>) soil on dry weight basis and transformed to log</w:t>
      </w:r>
      <w:r w:rsidRPr="00040389">
        <w:rPr>
          <w:rFonts w:ascii="Arial" w:hAnsi="Arial" w:cs="Arial"/>
          <w:vertAlign w:val="subscript"/>
        </w:rPr>
        <w:t>10</w:t>
      </w:r>
      <w:r w:rsidRPr="00040389">
        <w:rPr>
          <w:rFonts w:ascii="Arial" w:hAnsi="Arial" w:cs="Arial"/>
        </w:rPr>
        <w:t>cfu g</w:t>
      </w:r>
      <w:r w:rsidRPr="00040389">
        <w:rPr>
          <w:rFonts w:ascii="Arial" w:hAnsi="Arial" w:cs="Arial"/>
          <w:vertAlign w:val="superscript"/>
        </w:rPr>
        <w:t>-1</w:t>
      </w:r>
      <w:r w:rsidRPr="00040389">
        <w:rPr>
          <w:rFonts w:ascii="Arial" w:hAnsi="Arial" w:cs="Arial"/>
        </w:rPr>
        <w:t xml:space="preserve">. </w:t>
      </w:r>
    </w:p>
    <w:p w14:paraId="667F5164" w14:textId="77777777" w:rsidR="00040389" w:rsidRPr="00040389" w:rsidRDefault="00040389" w:rsidP="00263654">
      <w:pPr>
        <w:spacing w:line="360" w:lineRule="auto"/>
        <w:ind w:firstLine="720"/>
        <w:jc w:val="both"/>
        <w:rPr>
          <w:rFonts w:ascii="Arial" w:hAnsi="Arial" w:cs="Arial"/>
        </w:rPr>
      </w:pPr>
      <w:r w:rsidRPr="00040389">
        <w:rPr>
          <w:rFonts w:ascii="Arial" w:hAnsi="Arial" w:cs="Arial"/>
        </w:rPr>
        <w:lastRenderedPageBreak/>
        <w:t xml:space="preserve">Microbial Biomass carbon was determined by chloroform fumigation extraction technique following the method of Vance </w:t>
      </w:r>
      <w:r w:rsidRPr="00040389">
        <w:rPr>
          <w:rFonts w:ascii="Arial" w:hAnsi="Arial" w:cs="Arial"/>
          <w:i/>
          <w:iCs/>
        </w:rPr>
        <w:t>et al</w:t>
      </w:r>
      <w:r w:rsidRPr="00040389">
        <w:rPr>
          <w:rFonts w:ascii="Arial" w:hAnsi="Arial" w:cs="Arial"/>
        </w:rPr>
        <w:t xml:space="preserve">. (1987). Dehydrogenase activity (DHA) was determined by the reduction of tri phenyl tetra </w:t>
      </w:r>
      <w:proofErr w:type="spellStart"/>
      <w:r w:rsidRPr="00040389">
        <w:rPr>
          <w:rFonts w:ascii="Arial" w:hAnsi="Arial" w:cs="Arial"/>
        </w:rPr>
        <w:t>zolium</w:t>
      </w:r>
      <w:proofErr w:type="spellEnd"/>
      <w:r w:rsidRPr="00040389">
        <w:rPr>
          <w:rFonts w:ascii="Arial" w:hAnsi="Arial" w:cs="Arial"/>
        </w:rPr>
        <w:t xml:space="preserve"> chloride (TTC) to </w:t>
      </w:r>
      <w:proofErr w:type="spellStart"/>
      <w:r w:rsidRPr="00040389">
        <w:rPr>
          <w:rFonts w:ascii="Arial" w:hAnsi="Arial" w:cs="Arial"/>
        </w:rPr>
        <w:t>tri</w:t>
      </w:r>
      <w:proofErr w:type="spellEnd"/>
      <w:r w:rsidRPr="00040389">
        <w:rPr>
          <w:rFonts w:ascii="Arial" w:hAnsi="Arial" w:cs="Arial"/>
        </w:rPr>
        <w:t xml:space="preserve"> phenyl formazan (TPF) as described by Casida </w:t>
      </w:r>
      <w:r w:rsidRPr="00040389">
        <w:rPr>
          <w:rFonts w:ascii="Arial" w:hAnsi="Arial" w:cs="Arial"/>
          <w:i/>
          <w:iCs/>
        </w:rPr>
        <w:t>et al</w:t>
      </w:r>
      <w:r w:rsidR="00C804D5">
        <w:rPr>
          <w:rFonts w:ascii="Arial" w:hAnsi="Arial" w:cs="Arial"/>
          <w:i/>
          <w:iCs/>
        </w:rPr>
        <w:t>.</w:t>
      </w:r>
      <w:r w:rsidRPr="00040389">
        <w:rPr>
          <w:rFonts w:ascii="Arial" w:hAnsi="Arial" w:cs="Arial"/>
        </w:rPr>
        <w:t xml:space="preserve"> (1964). </w:t>
      </w:r>
      <w:proofErr w:type="spellStart"/>
      <w:r w:rsidRPr="00040389">
        <w:rPr>
          <w:rFonts w:ascii="Arial" w:hAnsi="Arial" w:cs="Arial"/>
        </w:rPr>
        <w:t>Phosphomonoesterase</w:t>
      </w:r>
      <w:proofErr w:type="spellEnd"/>
      <w:r w:rsidRPr="00040389">
        <w:rPr>
          <w:rFonts w:ascii="Arial" w:hAnsi="Arial" w:cs="Arial"/>
        </w:rPr>
        <w:t xml:space="preserve"> (PME) activity was measured </w:t>
      </w:r>
      <w:proofErr w:type="spellStart"/>
      <w:r w:rsidRPr="00040389">
        <w:rPr>
          <w:rFonts w:ascii="Arial" w:hAnsi="Arial" w:cs="Arial"/>
        </w:rPr>
        <w:t>colorimetrically</w:t>
      </w:r>
      <w:proofErr w:type="spellEnd"/>
      <w:r w:rsidRPr="00040389">
        <w:rPr>
          <w:rFonts w:ascii="Arial" w:hAnsi="Arial" w:cs="Arial"/>
        </w:rPr>
        <w:t xml:space="preserve"> following the method </w:t>
      </w:r>
      <w:r w:rsidR="00C804D5">
        <w:rPr>
          <w:rFonts w:ascii="Arial" w:hAnsi="Arial" w:cs="Arial"/>
        </w:rPr>
        <w:t>of Tabatabai &amp;</w:t>
      </w:r>
      <w:r w:rsidRPr="00040389">
        <w:rPr>
          <w:rFonts w:ascii="Arial" w:hAnsi="Arial" w:cs="Arial"/>
        </w:rPr>
        <w:t xml:space="preserve"> Bremner (1969).</w:t>
      </w:r>
    </w:p>
    <w:p w14:paraId="3D62585F" w14:textId="77777777" w:rsidR="00040389" w:rsidRPr="00D226F5" w:rsidRDefault="00040389" w:rsidP="00263654">
      <w:pPr>
        <w:spacing w:line="360" w:lineRule="auto"/>
        <w:jc w:val="both"/>
        <w:rPr>
          <w:rFonts w:ascii="Arial" w:hAnsi="Arial" w:cs="Arial"/>
        </w:rPr>
      </w:pPr>
      <w:r w:rsidRPr="00040389">
        <w:rPr>
          <w:rFonts w:ascii="Arial" w:hAnsi="Arial" w:cs="Arial"/>
        </w:rPr>
        <w:tab/>
        <w:t xml:space="preserve">Fluorescein di acetate (FDA), hydrolysis activity was estimated </w:t>
      </w:r>
      <w:proofErr w:type="spellStart"/>
      <w:proofErr w:type="gramStart"/>
      <w:r w:rsidRPr="00040389">
        <w:rPr>
          <w:rFonts w:ascii="Arial" w:hAnsi="Arial" w:cs="Arial"/>
        </w:rPr>
        <w:t>colometrically</w:t>
      </w:r>
      <w:proofErr w:type="spellEnd"/>
      <w:r w:rsidRPr="00040389">
        <w:rPr>
          <w:rFonts w:ascii="Arial" w:hAnsi="Arial" w:cs="Arial"/>
        </w:rPr>
        <w:t xml:space="preserve">  following</w:t>
      </w:r>
      <w:proofErr w:type="gramEnd"/>
      <w:r w:rsidRPr="00040389">
        <w:rPr>
          <w:rFonts w:ascii="Arial" w:hAnsi="Arial" w:cs="Arial"/>
        </w:rPr>
        <w:t xml:space="preserve"> the method described</w:t>
      </w:r>
      <w:r w:rsidR="00C804D5">
        <w:rPr>
          <w:rFonts w:ascii="Arial" w:hAnsi="Arial" w:cs="Arial"/>
        </w:rPr>
        <w:t xml:space="preserve"> by Adam &amp;</w:t>
      </w:r>
      <w:r w:rsidRPr="00040389">
        <w:rPr>
          <w:rFonts w:ascii="Arial" w:hAnsi="Arial" w:cs="Arial"/>
        </w:rPr>
        <w:t xml:space="preserve"> Duncan (2001) using a Nano Drop 1000 </w:t>
      </w:r>
      <w:proofErr w:type="spellStart"/>
      <w:r w:rsidRPr="00040389">
        <w:rPr>
          <w:rFonts w:ascii="Arial" w:hAnsi="Arial" w:cs="Arial"/>
        </w:rPr>
        <w:t>spectrophoto</w:t>
      </w:r>
      <w:proofErr w:type="spellEnd"/>
      <w:r w:rsidRPr="00040389">
        <w:rPr>
          <w:rFonts w:ascii="Arial" w:hAnsi="Arial" w:cs="Arial"/>
        </w:rPr>
        <w:t xml:space="preserve"> meter (</w:t>
      </w:r>
      <w:proofErr w:type="spellStart"/>
      <w:r w:rsidRPr="00040389">
        <w:rPr>
          <w:rFonts w:ascii="Arial" w:hAnsi="Arial" w:cs="Arial"/>
        </w:rPr>
        <w:t>Thermo</w:t>
      </w:r>
      <w:proofErr w:type="spellEnd"/>
      <w:r w:rsidRPr="00040389">
        <w:rPr>
          <w:rFonts w:ascii="Arial" w:hAnsi="Arial" w:cs="Arial"/>
        </w:rPr>
        <w:t xml:space="preserve"> Fisher Scientific Country, USA).</w:t>
      </w:r>
      <w:r w:rsidRPr="00040389">
        <w:rPr>
          <w:rFonts w:ascii="Arial" w:hAnsi="Arial" w:cs="Arial"/>
        </w:rPr>
        <w:tab/>
        <w:t xml:space="preserve">The assay for </w:t>
      </w:r>
      <w:proofErr w:type="spellStart"/>
      <w:r w:rsidRPr="00040389">
        <w:rPr>
          <w:rFonts w:ascii="Arial" w:hAnsi="Arial" w:cs="Arial"/>
        </w:rPr>
        <w:t>Arylsulphatase</w:t>
      </w:r>
      <w:proofErr w:type="spellEnd"/>
      <w:r w:rsidRPr="00040389">
        <w:rPr>
          <w:rFonts w:ascii="Arial" w:hAnsi="Arial" w:cs="Arial"/>
        </w:rPr>
        <w:t xml:space="preserve"> (ARYL) activity was carried out by using </w:t>
      </w:r>
      <w:r w:rsidRPr="00040389">
        <w:rPr>
          <w:rFonts w:ascii="Arial" w:hAnsi="Arial" w:cs="Arial"/>
          <w:i/>
          <w:iCs/>
        </w:rPr>
        <w:t>p</w:t>
      </w:r>
      <w:r w:rsidRPr="00040389">
        <w:rPr>
          <w:rFonts w:ascii="Arial" w:hAnsi="Arial" w:cs="Arial"/>
        </w:rPr>
        <w:t>-nitro phenyl sulphate (</w:t>
      </w:r>
      <w:r w:rsidRPr="00040389">
        <w:rPr>
          <w:rFonts w:ascii="Arial" w:hAnsi="Arial" w:cs="Arial"/>
          <w:i/>
          <w:iCs/>
        </w:rPr>
        <w:t>p</w:t>
      </w:r>
      <w:r w:rsidRPr="00040389">
        <w:rPr>
          <w:rFonts w:ascii="Arial" w:hAnsi="Arial" w:cs="Arial"/>
        </w:rPr>
        <w:t xml:space="preserve"> -</w:t>
      </w:r>
      <w:r w:rsidR="00C804D5">
        <w:rPr>
          <w:rFonts w:ascii="Arial" w:hAnsi="Arial" w:cs="Arial"/>
        </w:rPr>
        <w:t>NPS) as substrate (Tabatabai &amp;</w:t>
      </w:r>
      <w:r w:rsidRPr="00040389">
        <w:rPr>
          <w:rFonts w:ascii="Arial" w:hAnsi="Arial" w:cs="Arial"/>
        </w:rPr>
        <w:t xml:space="preserve"> Bremner, 1970). </w:t>
      </w:r>
    </w:p>
    <w:p w14:paraId="00E515B3" w14:textId="77777777" w:rsidR="00D226F5" w:rsidRDefault="00D226F5" w:rsidP="00D226F5">
      <w:pPr>
        <w:spacing w:line="360" w:lineRule="auto"/>
        <w:jc w:val="both"/>
        <w:rPr>
          <w:rFonts w:ascii="Arial" w:hAnsi="Arial" w:cs="Arial"/>
          <w:b/>
          <w:bCs/>
          <w:iCs/>
          <w:sz w:val="22"/>
          <w:szCs w:val="22"/>
        </w:rPr>
      </w:pPr>
      <w:r>
        <w:rPr>
          <w:rFonts w:ascii="Arial" w:hAnsi="Arial" w:cs="Arial"/>
          <w:b/>
          <w:bCs/>
          <w:iCs/>
          <w:sz w:val="22"/>
          <w:szCs w:val="22"/>
        </w:rPr>
        <w:t>2</w:t>
      </w:r>
      <w:r w:rsidRPr="00D226F5">
        <w:rPr>
          <w:rFonts w:ascii="Arial" w:hAnsi="Arial" w:cs="Arial"/>
          <w:b/>
          <w:bCs/>
          <w:iCs/>
          <w:sz w:val="22"/>
          <w:szCs w:val="22"/>
        </w:rPr>
        <w:t>.3</w:t>
      </w:r>
      <w:r>
        <w:rPr>
          <w:rFonts w:ascii="Arial" w:hAnsi="Arial" w:cs="Arial"/>
          <w:b/>
          <w:bCs/>
          <w:iCs/>
          <w:sz w:val="22"/>
          <w:szCs w:val="22"/>
        </w:rPr>
        <w:t>Statistical Analysis</w:t>
      </w:r>
    </w:p>
    <w:p w14:paraId="6F7E17B1" w14:textId="77777777" w:rsidR="00040389" w:rsidRPr="00040389" w:rsidRDefault="00040389" w:rsidP="00D226F5">
      <w:pPr>
        <w:spacing w:line="360" w:lineRule="auto"/>
        <w:jc w:val="both"/>
        <w:rPr>
          <w:rFonts w:ascii="Arial" w:hAnsi="Arial" w:cs="Arial"/>
          <w:iCs/>
        </w:rPr>
      </w:pPr>
      <w:r w:rsidRPr="00D226F5">
        <w:rPr>
          <w:rFonts w:ascii="Arial" w:hAnsi="Arial" w:cs="Arial"/>
          <w:b/>
          <w:bCs/>
          <w:iCs/>
          <w:sz w:val="22"/>
          <w:szCs w:val="22"/>
        </w:rPr>
        <w:t xml:space="preserve"> </w:t>
      </w:r>
      <w:r w:rsidRPr="00040389">
        <w:rPr>
          <w:rFonts w:ascii="Arial" w:hAnsi="Arial" w:cs="Arial"/>
          <w:iCs/>
        </w:rPr>
        <w:t>For assessment of RSQI, 14 important and known physical, chemical and biological indicators with uniform weightage and scoring values were selected (Table1). Each of the indicators was divided into four classes namely, class-I, class-II, class-III, and class-IV with an assigned mark of 4, 3, 2 and 1 respectively. The SQI was calculated using the following equation as</w:t>
      </w:r>
    </w:p>
    <w:p w14:paraId="535FCCD3"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SQI=∑ Wi Mi</w:t>
      </w:r>
    </w:p>
    <w:p w14:paraId="1D4192D8"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Where, Wi is the weight of the indicator and Mi is the mark of the indicator classes. </w:t>
      </w:r>
      <w:proofErr w:type="gramStart"/>
      <w:r w:rsidRPr="00040389">
        <w:rPr>
          <w:rFonts w:ascii="Arial" w:hAnsi="Arial" w:cs="Arial"/>
          <w:iCs/>
        </w:rPr>
        <w:t>Thus</w:t>
      </w:r>
      <w:proofErr w:type="gramEnd"/>
      <w:r w:rsidRPr="00040389">
        <w:rPr>
          <w:rFonts w:ascii="Arial" w:hAnsi="Arial" w:cs="Arial"/>
          <w:iCs/>
        </w:rPr>
        <w:t xml:space="preserve"> summing up of all the 14 indicators provided the SQI value for a particular soil of the farmer’s field. As per table 1, the maximum value of SQI is 400 (best quality soil) and the minimum value is 1</w:t>
      </w:r>
      <w:r w:rsidR="00C804D5">
        <w:rPr>
          <w:rFonts w:ascii="Arial" w:hAnsi="Arial" w:cs="Arial"/>
          <w:iCs/>
        </w:rPr>
        <w:t>00 (poor quality soil) (Wang &amp;</w:t>
      </w:r>
      <w:r w:rsidRPr="00040389">
        <w:rPr>
          <w:rFonts w:ascii="Arial" w:hAnsi="Arial" w:cs="Arial"/>
          <w:iCs/>
        </w:rPr>
        <w:t xml:space="preserve"> Gong, 1998). In order to judge the SQI (</w:t>
      </w:r>
      <w:r w:rsidRPr="00040389">
        <w:rPr>
          <w:rFonts w:ascii="Arial" w:hAnsi="Arial" w:cs="Arial"/>
          <w:i/>
        </w:rPr>
        <w:t>i.e.</w:t>
      </w:r>
      <w:r w:rsidRPr="00040389">
        <w:rPr>
          <w:rFonts w:ascii="Arial" w:hAnsi="Arial" w:cs="Arial"/>
          <w:iCs/>
        </w:rPr>
        <w:t xml:space="preserve"> 400), the concept of RSQI was</w:t>
      </w:r>
      <w:r w:rsidR="00C804D5">
        <w:rPr>
          <w:rFonts w:ascii="Arial" w:hAnsi="Arial" w:cs="Arial"/>
          <w:iCs/>
        </w:rPr>
        <w:t xml:space="preserve"> used as described by Karlen &amp;</w:t>
      </w:r>
      <w:r w:rsidRPr="00040389">
        <w:rPr>
          <w:rFonts w:ascii="Arial" w:hAnsi="Arial" w:cs="Arial"/>
          <w:iCs/>
        </w:rPr>
        <w:t xml:space="preserve"> Stott (1994).</w:t>
      </w:r>
    </w:p>
    <w:p w14:paraId="77AB3A4A"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Observes SQI of the given site</w:t>
      </w:r>
    </w:p>
    <w:p w14:paraId="7EE81035" w14:textId="77777777" w:rsidR="00040389" w:rsidRPr="00040389" w:rsidRDefault="00040389" w:rsidP="00263654">
      <w:pPr>
        <w:spacing w:line="360" w:lineRule="auto"/>
        <w:jc w:val="both"/>
        <w:rPr>
          <w:rFonts w:ascii="Arial" w:hAnsi="Arial" w:cs="Arial"/>
          <w:iCs/>
        </w:rPr>
      </w:pPr>
      <w:r w:rsidRPr="00040389">
        <w:rPr>
          <w:rFonts w:ascii="Arial" w:hAnsi="Arial" w:cs="Arial"/>
          <w:iCs/>
        </w:rPr>
        <w:t>RSQI</w:t>
      </w:r>
      <w:proofErr w:type="gramStart"/>
      <w:r w:rsidRPr="00040389">
        <w:rPr>
          <w:rFonts w:ascii="Arial" w:hAnsi="Arial" w:cs="Arial"/>
          <w:iCs/>
        </w:rPr>
        <w:t>=  -----------------------------------------------</w:t>
      </w:r>
      <w:proofErr w:type="gramEnd"/>
      <w:r w:rsidRPr="00040389">
        <w:rPr>
          <w:rFonts w:ascii="Arial" w:hAnsi="Arial" w:cs="Arial"/>
          <w:iCs/>
        </w:rPr>
        <w:t xml:space="preserve"> X100</w:t>
      </w:r>
    </w:p>
    <w:p w14:paraId="27C2ADAD"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Maximum value of SQI (</w:t>
      </w:r>
      <w:r w:rsidRPr="00040389">
        <w:rPr>
          <w:rFonts w:ascii="Arial" w:hAnsi="Arial" w:cs="Arial"/>
          <w:i/>
        </w:rPr>
        <w:t>i.e.</w:t>
      </w:r>
      <w:r w:rsidRPr="00040389">
        <w:rPr>
          <w:rFonts w:ascii="Arial" w:hAnsi="Arial" w:cs="Arial"/>
          <w:iCs/>
        </w:rPr>
        <w:t xml:space="preserve"> 400)</w:t>
      </w:r>
    </w:p>
    <w:p w14:paraId="728D9964" w14:textId="77777777" w:rsidR="00040389" w:rsidRPr="00D226F5" w:rsidRDefault="00D226F5" w:rsidP="00263654">
      <w:pPr>
        <w:spacing w:line="360" w:lineRule="auto"/>
        <w:jc w:val="both"/>
        <w:rPr>
          <w:rFonts w:ascii="Arial" w:hAnsi="Arial" w:cs="Arial"/>
          <w:b/>
          <w:bCs/>
          <w:iCs/>
          <w:sz w:val="22"/>
          <w:szCs w:val="22"/>
        </w:rPr>
      </w:pPr>
      <w:r w:rsidRPr="00D226F5">
        <w:rPr>
          <w:rFonts w:ascii="Arial" w:hAnsi="Arial" w:cs="Arial"/>
          <w:b/>
          <w:bCs/>
          <w:iCs/>
          <w:sz w:val="22"/>
          <w:szCs w:val="22"/>
        </w:rPr>
        <w:t xml:space="preserve">2.4 </w:t>
      </w:r>
      <w:r w:rsidR="00040389" w:rsidRPr="00D226F5">
        <w:rPr>
          <w:rFonts w:ascii="Arial" w:hAnsi="Arial" w:cs="Arial"/>
          <w:b/>
          <w:bCs/>
          <w:iCs/>
          <w:sz w:val="22"/>
          <w:szCs w:val="22"/>
        </w:rPr>
        <w:t>Mean per</w:t>
      </w:r>
      <w:r w:rsidR="00C804D5">
        <w:rPr>
          <w:rFonts w:ascii="Arial" w:hAnsi="Arial" w:cs="Arial"/>
          <w:b/>
          <w:bCs/>
          <w:iCs/>
          <w:sz w:val="22"/>
          <w:szCs w:val="22"/>
        </w:rPr>
        <w:t xml:space="preserve"> </w:t>
      </w:r>
      <w:r w:rsidR="00040389" w:rsidRPr="00D226F5">
        <w:rPr>
          <w:rFonts w:ascii="Arial" w:hAnsi="Arial" w:cs="Arial"/>
          <w:b/>
          <w:bCs/>
          <w:iCs/>
          <w:sz w:val="22"/>
          <w:szCs w:val="22"/>
        </w:rPr>
        <w:t>cent relative yield computation</w:t>
      </w:r>
    </w:p>
    <w:p w14:paraId="3D427F79" w14:textId="77777777" w:rsidR="00040389" w:rsidRPr="00040389" w:rsidRDefault="00040389" w:rsidP="00263654">
      <w:pPr>
        <w:spacing w:line="360" w:lineRule="auto"/>
        <w:ind w:firstLine="720"/>
        <w:jc w:val="both"/>
        <w:rPr>
          <w:rFonts w:ascii="Arial" w:hAnsi="Arial" w:cs="Arial"/>
          <w:iCs/>
        </w:rPr>
      </w:pPr>
      <w:r w:rsidRPr="00040389">
        <w:rPr>
          <w:rFonts w:ascii="Arial" w:hAnsi="Arial" w:cs="Arial"/>
          <w:iCs/>
        </w:rPr>
        <w:t>The mean per</w:t>
      </w:r>
      <w:r w:rsidR="00C804D5">
        <w:rPr>
          <w:rFonts w:ascii="Arial" w:hAnsi="Arial" w:cs="Arial"/>
          <w:iCs/>
        </w:rPr>
        <w:t xml:space="preserve"> </w:t>
      </w:r>
      <w:r w:rsidRPr="00040389">
        <w:rPr>
          <w:rFonts w:ascii="Arial" w:hAnsi="Arial" w:cs="Arial"/>
          <w:iCs/>
        </w:rPr>
        <w:t>cent rel</w:t>
      </w:r>
      <w:r w:rsidR="00C804D5">
        <w:rPr>
          <w:rFonts w:ascii="Arial" w:hAnsi="Arial" w:cs="Arial"/>
          <w:iCs/>
        </w:rPr>
        <w:t xml:space="preserve">ative yield of rice and </w:t>
      </w:r>
      <w:proofErr w:type="spellStart"/>
      <w:r w:rsidR="00C804D5">
        <w:rPr>
          <w:rFonts w:ascii="Arial" w:hAnsi="Arial" w:cs="Arial"/>
          <w:iCs/>
        </w:rPr>
        <w:t>toria</w:t>
      </w:r>
      <w:proofErr w:type="spellEnd"/>
      <w:r w:rsidRPr="00040389">
        <w:rPr>
          <w:rFonts w:ascii="Arial" w:hAnsi="Arial" w:cs="Arial"/>
          <w:iCs/>
        </w:rPr>
        <w:t xml:space="preserve"> crop included in the cropping sequence was computed with the following</w:t>
      </w:r>
      <w:r w:rsidR="00C804D5">
        <w:rPr>
          <w:rFonts w:ascii="Arial" w:hAnsi="Arial" w:cs="Arial"/>
          <w:iCs/>
        </w:rPr>
        <w:t xml:space="preserve"> equation. The yield of </w:t>
      </w:r>
      <w:proofErr w:type="spellStart"/>
      <w:r w:rsidR="00C804D5">
        <w:rPr>
          <w:rFonts w:ascii="Arial" w:hAnsi="Arial" w:cs="Arial"/>
          <w:iCs/>
        </w:rPr>
        <w:t>toria</w:t>
      </w:r>
      <w:proofErr w:type="spellEnd"/>
      <w:r w:rsidRPr="00040389">
        <w:rPr>
          <w:rFonts w:ascii="Arial" w:hAnsi="Arial" w:cs="Arial"/>
          <w:iCs/>
        </w:rPr>
        <w:t xml:space="preserve"> grown after rice was expressed in terms of rice equivalent yield.</w:t>
      </w:r>
    </w:p>
    <w:p w14:paraId="3B211F65"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Observed rice yield of a given site</w:t>
      </w:r>
    </w:p>
    <w:p w14:paraId="00BE48C0" w14:textId="77777777" w:rsidR="00040389" w:rsidRPr="00040389" w:rsidRDefault="00040389" w:rsidP="00263654">
      <w:pPr>
        <w:spacing w:line="360" w:lineRule="auto"/>
        <w:jc w:val="both"/>
        <w:rPr>
          <w:rFonts w:ascii="Arial" w:hAnsi="Arial" w:cs="Arial"/>
          <w:iCs/>
        </w:rPr>
      </w:pPr>
      <w:r w:rsidRPr="00040389">
        <w:rPr>
          <w:rFonts w:ascii="Arial" w:hAnsi="Arial" w:cs="Arial"/>
          <w:iCs/>
        </w:rPr>
        <w:t>Mean per</w:t>
      </w:r>
      <w:r w:rsidR="00C804D5">
        <w:rPr>
          <w:rFonts w:ascii="Arial" w:hAnsi="Arial" w:cs="Arial"/>
          <w:iCs/>
        </w:rPr>
        <w:t xml:space="preserve"> </w:t>
      </w:r>
      <w:r w:rsidRPr="00040389">
        <w:rPr>
          <w:rFonts w:ascii="Arial" w:hAnsi="Arial" w:cs="Arial"/>
          <w:iCs/>
        </w:rPr>
        <w:t>cent relative yield = --------------------------------------------------------- X 100</w:t>
      </w:r>
    </w:p>
    <w:p w14:paraId="1EF9A62C" w14:textId="77777777" w:rsidR="00040389" w:rsidRPr="00040389" w:rsidRDefault="00040389" w:rsidP="00263654">
      <w:pPr>
        <w:spacing w:line="360" w:lineRule="auto"/>
        <w:jc w:val="both"/>
        <w:rPr>
          <w:rFonts w:ascii="Arial" w:hAnsi="Arial" w:cs="Arial"/>
          <w:iCs/>
        </w:rPr>
      </w:pPr>
      <w:r w:rsidRPr="00040389">
        <w:rPr>
          <w:rFonts w:ascii="Arial" w:hAnsi="Arial" w:cs="Arial"/>
          <w:iCs/>
        </w:rPr>
        <w:t xml:space="preserve">                                                             Maximum yield among the sites</w:t>
      </w:r>
    </w:p>
    <w:p w14:paraId="6A68B735" w14:textId="77777777" w:rsidR="00040389" w:rsidRPr="00D226F5" w:rsidRDefault="00D226F5" w:rsidP="00263654">
      <w:pPr>
        <w:spacing w:line="360" w:lineRule="auto"/>
        <w:jc w:val="both"/>
        <w:rPr>
          <w:rFonts w:ascii="Arial" w:hAnsi="Arial" w:cs="Arial"/>
          <w:b/>
          <w:bCs/>
          <w:iCs/>
          <w:sz w:val="22"/>
          <w:szCs w:val="22"/>
        </w:rPr>
      </w:pPr>
      <w:r w:rsidRPr="00D226F5">
        <w:rPr>
          <w:rFonts w:ascii="Arial" w:hAnsi="Arial" w:cs="Arial"/>
          <w:b/>
          <w:bCs/>
          <w:iCs/>
          <w:sz w:val="22"/>
          <w:szCs w:val="22"/>
        </w:rPr>
        <w:t xml:space="preserve">2.5 </w:t>
      </w:r>
      <w:r w:rsidR="00040389" w:rsidRPr="00D226F5">
        <w:rPr>
          <w:rFonts w:ascii="Arial" w:hAnsi="Arial" w:cs="Arial"/>
          <w:b/>
          <w:bCs/>
          <w:iCs/>
          <w:sz w:val="22"/>
          <w:szCs w:val="22"/>
        </w:rPr>
        <w:t>Correlation coefficient and simple linear regression analysis:</w:t>
      </w:r>
    </w:p>
    <w:p w14:paraId="4E494DB3" w14:textId="77777777" w:rsidR="00040389" w:rsidRPr="00040389" w:rsidRDefault="00040389" w:rsidP="00D226F5">
      <w:pPr>
        <w:spacing w:line="360" w:lineRule="auto"/>
        <w:ind w:firstLine="720"/>
        <w:jc w:val="both"/>
        <w:rPr>
          <w:rFonts w:ascii="Arial" w:hAnsi="Arial" w:cs="Arial"/>
          <w:iCs/>
        </w:rPr>
      </w:pPr>
      <w:r w:rsidRPr="00040389">
        <w:rPr>
          <w:rFonts w:ascii="Arial" w:hAnsi="Arial" w:cs="Arial"/>
          <w:iCs/>
        </w:rPr>
        <w:t>Correlation coefficient and simple linear regress</w:t>
      </w:r>
      <w:r w:rsidR="00C804D5">
        <w:rPr>
          <w:rFonts w:ascii="Arial" w:hAnsi="Arial" w:cs="Arial"/>
          <w:iCs/>
        </w:rPr>
        <w:t>ion was drawn between RSQI and m</w:t>
      </w:r>
      <w:r w:rsidRPr="00040389">
        <w:rPr>
          <w:rFonts w:ascii="Arial" w:hAnsi="Arial" w:cs="Arial"/>
          <w:iCs/>
        </w:rPr>
        <w:t>ean per</w:t>
      </w:r>
      <w:r w:rsidR="00C804D5">
        <w:rPr>
          <w:rFonts w:ascii="Arial" w:hAnsi="Arial" w:cs="Arial"/>
          <w:iCs/>
        </w:rPr>
        <w:t xml:space="preserve"> </w:t>
      </w:r>
      <w:r w:rsidRPr="00040389">
        <w:rPr>
          <w:rFonts w:ascii="Arial" w:hAnsi="Arial" w:cs="Arial"/>
          <w:iCs/>
        </w:rPr>
        <w:t xml:space="preserve">cent relative yield, and the best fit was graphically presented as scatter diagram. </w:t>
      </w:r>
    </w:p>
    <w:p w14:paraId="6D369B4D" w14:textId="77777777" w:rsidR="00040389" w:rsidRPr="00D226F5" w:rsidRDefault="00040389" w:rsidP="00263654">
      <w:pPr>
        <w:spacing w:line="360" w:lineRule="auto"/>
        <w:jc w:val="both"/>
        <w:rPr>
          <w:rFonts w:ascii="Arial" w:hAnsi="Arial" w:cs="Arial"/>
          <w:b/>
          <w:bCs/>
          <w:iCs/>
        </w:rPr>
      </w:pPr>
      <w:r w:rsidRPr="00D226F5">
        <w:rPr>
          <w:rFonts w:ascii="Arial" w:hAnsi="Arial" w:cs="Arial"/>
          <w:b/>
          <w:bCs/>
          <w:iCs/>
        </w:rPr>
        <w:lastRenderedPageBreak/>
        <w:t xml:space="preserve">Table 1. Soil quality indicators and their weights and classes for the evaluation of </w:t>
      </w:r>
      <w:r w:rsidRPr="00D226F5">
        <w:rPr>
          <w:rFonts w:ascii="Arial" w:hAnsi="Arial" w:cs="Arial"/>
          <w:b/>
          <w:bCs/>
        </w:rPr>
        <w:t>relative soil quality index (</w:t>
      </w:r>
      <w:r w:rsidRPr="00D226F5">
        <w:rPr>
          <w:rFonts w:ascii="Arial" w:hAnsi="Arial" w:cs="Arial"/>
          <w:b/>
          <w:bCs/>
          <w:iCs/>
        </w:rPr>
        <w:t>RSQI)</w:t>
      </w:r>
    </w:p>
    <w:tbl>
      <w:tblPr>
        <w:tblStyle w:val="TableGrid"/>
        <w:tblW w:w="0" w:type="auto"/>
        <w:tblLook w:val="04A0" w:firstRow="1" w:lastRow="0" w:firstColumn="1" w:lastColumn="0" w:noHBand="0" w:noVBand="1"/>
      </w:tblPr>
      <w:tblGrid>
        <w:gridCol w:w="2067"/>
        <w:gridCol w:w="1095"/>
        <w:gridCol w:w="927"/>
        <w:gridCol w:w="2007"/>
        <w:gridCol w:w="1139"/>
        <w:gridCol w:w="1189"/>
      </w:tblGrid>
      <w:tr w:rsidR="00040389" w:rsidRPr="00040389" w14:paraId="08A5B943" w14:textId="77777777" w:rsidTr="00A479DF">
        <w:tc>
          <w:tcPr>
            <w:tcW w:w="1440" w:type="dxa"/>
          </w:tcPr>
          <w:p w14:paraId="62F0B98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Soil quality indicators</w:t>
            </w:r>
          </w:p>
        </w:tc>
        <w:tc>
          <w:tcPr>
            <w:tcW w:w="1401" w:type="dxa"/>
          </w:tcPr>
          <w:p w14:paraId="480B5BA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Weights</w:t>
            </w:r>
          </w:p>
        </w:tc>
        <w:tc>
          <w:tcPr>
            <w:tcW w:w="1338" w:type="dxa"/>
          </w:tcPr>
          <w:p w14:paraId="76C89C3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Class I with score 4</w:t>
            </w:r>
          </w:p>
        </w:tc>
        <w:tc>
          <w:tcPr>
            <w:tcW w:w="2204" w:type="dxa"/>
          </w:tcPr>
          <w:p w14:paraId="091DD5CE" w14:textId="77777777" w:rsidR="00040389" w:rsidRPr="00040389" w:rsidRDefault="00040389" w:rsidP="00A479DF">
            <w:pPr>
              <w:spacing w:line="276" w:lineRule="auto"/>
              <w:jc w:val="both"/>
              <w:rPr>
                <w:rFonts w:ascii="Arial" w:hAnsi="Arial" w:cs="Arial"/>
                <w:sz w:val="20"/>
                <w:szCs w:val="20"/>
              </w:rPr>
            </w:pPr>
            <w:r w:rsidRPr="00040389">
              <w:rPr>
                <w:rFonts w:ascii="Arial" w:hAnsi="Arial" w:cs="Arial"/>
                <w:iCs/>
                <w:sz w:val="20"/>
                <w:szCs w:val="20"/>
              </w:rPr>
              <w:t>Class II with score 3</w:t>
            </w:r>
          </w:p>
        </w:tc>
        <w:tc>
          <w:tcPr>
            <w:tcW w:w="1420" w:type="dxa"/>
          </w:tcPr>
          <w:p w14:paraId="58A001FF" w14:textId="77777777" w:rsidR="00040389" w:rsidRPr="00040389" w:rsidRDefault="00040389" w:rsidP="00A479DF">
            <w:pPr>
              <w:spacing w:line="276" w:lineRule="auto"/>
              <w:jc w:val="both"/>
              <w:rPr>
                <w:rFonts w:ascii="Arial" w:hAnsi="Arial" w:cs="Arial"/>
                <w:sz w:val="20"/>
                <w:szCs w:val="20"/>
              </w:rPr>
            </w:pPr>
            <w:r w:rsidRPr="00040389">
              <w:rPr>
                <w:rFonts w:ascii="Arial" w:hAnsi="Arial" w:cs="Arial"/>
                <w:iCs/>
                <w:sz w:val="20"/>
                <w:szCs w:val="20"/>
              </w:rPr>
              <w:t>Class III with score 2</w:t>
            </w:r>
          </w:p>
        </w:tc>
        <w:tc>
          <w:tcPr>
            <w:tcW w:w="1439" w:type="dxa"/>
          </w:tcPr>
          <w:p w14:paraId="0D797C64" w14:textId="77777777" w:rsidR="00040389" w:rsidRPr="00040389" w:rsidRDefault="00040389" w:rsidP="00A479DF">
            <w:pPr>
              <w:spacing w:line="276" w:lineRule="auto"/>
              <w:jc w:val="both"/>
              <w:rPr>
                <w:rFonts w:ascii="Arial" w:hAnsi="Arial" w:cs="Arial"/>
                <w:sz w:val="20"/>
                <w:szCs w:val="20"/>
              </w:rPr>
            </w:pPr>
            <w:r w:rsidRPr="00040389">
              <w:rPr>
                <w:rFonts w:ascii="Arial" w:hAnsi="Arial" w:cs="Arial"/>
                <w:iCs/>
                <w:sz w:val="20"/>
                <w:szCs w:val="20"/>
              </w:rPr>
              <w:t>Class IV with score 1</w:t>
            </w:r>
          </w:p>
        </w:tc>
      </w:tr>
      <w:tr w:rsidR="00040389" w:rsidRPr="00040389" w14:paraId="7AF40755" w14:textId="77777777" w:rsidTr="00A479DF">
        <w:tc>
          <w:tcPr>
            <w:tcW w:w="9242" w:type="dxa"/>
            <w:gridSpan w:val="6"/>
          </w:tcPr>
          <w:p w14:paraId="58C0E3E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Physical indicators</w:t>
            </w:r>
          </w:p>
        </w:tc>
      </w:tr>
      <w:tr w:rsidR="00040389" w:rsidRPr="00040389" w14:paraId="4CBAD668" w14:textId="77777777" w:rsidTr="00A479DF">
        <w:tc>
          <w:tcPr>
            <w:tcW w:w="1440" w:type="dxa"/>
          </w:tcPr>
          <w:p w14:paraId="7ECA2FBA"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Water holding capacity (%)</w:t>
            </w:r>
          </w:p>
          <w:p w14:paraId="2D95E97C" w14:textId="77777777" w:rsidR="00040389" w:rsidRPr="00040389" w:rsidRDefault="00040389" w:rsidP="00A479DF">
            <w:pPr>
              <w:spacing w:line="276" w:lineRule="auto"/>
              <w:jc w:val="both"/>
              <w:rPr>
                <w:rFonts w:ascii="Arial" w:hAnsi="Arial" w:cs="Arial"/>
                <w:iCs/>
                <w:sz w:val="20"/>
                <w:szCs w:val="20"/>
              </w:rPr>
            </w:pPr>
          </w:p>
          <w:p w14:paraId="6B2AF7B6"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Texture</w:t>
            </w:r>
          </w:p>
          <w:p w14:paraId="6A6DEDC3" w14:textId="77777777" w:rsidR="00040389" w:rsidRPr="00040389" w:rsidRDefault="00040389" w:rsidP="00A479DF">
            <w:pPr>
              <w:spacing w:line="276" w:lineRule="auto"/>
              <w:jc w:val="both"/>
              <w:rPr>
                <w:rFonts w:ascii="Arial" w:hAnsi="Arial" w:cs="Arial"/>
                <w:iCs/>
                <w:sz w:val="20"/>
                <w:szCs w:val="20"/>
              </w:rPr>
            </w:pPr>
          </w:p>
          <w:p w14:paraId="16473A5E"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Bulk density (Mg m</w:t>
            </w:r>
            <w:r w:rsidRPr="00C804D5">
              <w:rPr>
                <w:rFonts w:ascii="Arial" w:eastAsia="Calibri" w:hAnsi="Arial" w:cs="Arial"/>
                <w:iCs/>
                <w:vertAlign w:val="superscript"/>
              </w:rPr>
              <w:t>-3</w:t>
            </w:r>
            <w:r w:rsidRPr="00C804D5">
              <w:rPr>
                <w:rFonts w:ascii="Arial" w:eastAsia="Calibri" w:hAnsi="Arial" w:cs="Arial"/>
                <w:iCs/>
              </w:rPr>
              <w:t>)</w:t>
            </w:r>
          </w:p>
        </w:tc>
        <w:tc>
          <w:tcPr>
            <w:tcW w:w="1401" w:type="dxa"/>
          </w:tcPr>
          <w:p w14:paraId="4596EA89"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w:t>
            </w:r>
          </w:p>
          <w:p w14:paraId="49B06110" w14:textId="77777777" w:rsidR="00040389" w:rsidRPr="00040389" w:rsidRDefault="00040389" w:rsidP="00A479DF">
            <w:pPr>
              <w:spacing w:line="276" w:lineRule="auto"/>
              <w:jc w:val="both"/>
              <w:rPr>
                <w:rFonts w:ascii="Arial" w:hAnsi="Arial" w:cs="Arial"/>
                <w:iCs/>
                <w:sz w:val="20"/>
                <w:szCs w:val="20"/>
              </w:rPr>
            </w:pPr>
          </w:p>
          <w:p w14:paraId="0E886DBE" w14:textId="77777777" w:rsidR="00040389" w:rsidRPr="00040389" w:rsidRDefault="00040389" w:rsidP="00A479DF">
            <w:pPr>
              <w:spacing w:line="276" w:lineRule="auto"/>
              <w:jc w:val="both"/>
              <w:rPr>
                <w:rFonts w:ascii="Arial" w:hAnsi="Arial" w:cs="Arial"/>
                <w:iCs/>
                <w:sz w:val="20"/>
                <w:szCs w:val="20"/>
              </w:rPr>
            </w:pPr>
          </w:p>
          <w:p w14:paraId="22E6DE14" w14:textId="77777777" w:rsidR="00040389" w:rsidRPr="00040389" w:rsidRDefault="00040389" w:rsidP="00A479DF">
            <w:pPr>
              <w:spacing w:line="276" w:lineRule="auto"/>
              <w:jc w:val="both"/>
              <w:rPr>
                <w:rFonts w:ascii="Arial" w:hAnsi="Arial" w:cs="Arial"/>
                <w:iCs/>
                <w:sz w:val="20"/>
                <w:szCs w:val="20"/>
              </w:rPr>
            </w:pPr>
          </w:p>
          <w:p w14:paraId="0DE266C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 xml:space="preserve">5         </w:t>
            </w:r>
          </w:p>
          <w:p w14:paraId="418CCA83" w14:textId="77777777" w:rsidR="00040389" w:rsidRPr="00040389" w:rsidRDefault="00040389" w:rsidP="00A479DF">
            <w:pPr>
              <w:spacing w:line="276" w:lineRule="auto"/>
              <w:jc w:val="both"/>
              <w:rPr>
                <w:rFonts w:ascii="Arial" w:hAnsi="Arial" w:cs="Arial"/>
                <w:iCs/>
                <w:sz w:val="20"/>
                <w:szCs w:val="20"/>
              </w:rPr>
            </w:pPr>
          </w:p>
          <w:p w14:paraId="5141D99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6645FD3A" w14:textId="77777777" w:rsidR="00040389" w:rsidRPr="00040389" w:rsidRDefault="00040389" w:rsidP="00A479DF">
            <w:pPr>
              <w:spacing w:line="276" w:lineRule="auto"/>
              <w:jc w:val="both"/>
              <w:rPr>
                <w:rFonts w:ascii="Arial" w:hAnsi="Arial" w:cs="Arial"/>
                <w:iCs/>
                <w:sz w:val="20"/>
                <w:szCs w:val="20"/>
              </w:rPr>
            </w:pPr>
          </w:p>
        </w:tc>
        <w:tc>
          <w:tcPr>
            <w:tcW w:w="1338" w:type="dxa"/>
          </w:tcPr>
          <w:p w14:paraId="261085D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˃30</w:t>
            </w:r>
          </w:p>
          <w:p w14:paraId="62EA8468" w14:textId="77777777" w:rsidR="00040389" w:rsidRPr="00040389" w:rsidRDefault="00040389" w:rsidP="00A479DF">
            <w:pPr>
              <w:spacing w:line="276" w:lineRule="auto"/>
              <w:jc w:val="both"/>
              <w:rPr>
                <w:rFonts w:ascii="Arial" w:hAnsi="Arial" w:cs="Arial"/>
                <w:iCs/>
                <w:sz w:val="20"/>
                <w:szCs w:val="20"/>
              </w:rPr>
            </w:pPr>
          </w:p>
          <w:p w14:paraId="59E66FAF" w14:textId="77777777" w:rsidR="00040389" w:rsidRPr="00040389" w:rsidRDefault="00040389" w:rsidP="00A479DF">
            <w:pPr>
              <w:spacing w:line="276" w:lineRule="auto"/>
              <w:jc w:val="both"/>
              <w:rPr>
                <w:rFonts w:ascii="Arial" w:hAnsi="Arial" w:cs="Arial"/>
                <w:iCs/>
                <w:sz w:val="20"/>
                <w:szCs w:val="20"/>
              </w:rPr>
            </w:pPr>
          </w:p>
          <w:p w14:paraId="7857679C" w14:textId="77777777" w:rsidR="00040389" w:rsidRPr="00040389" w:rsidRDefault="00040389" w:rsidP="00A479DF">
            <w:pPr>
              <w:spacing w:line="276" w:lineRule="auto"/>
              <w:jc w:val="both"/>
              <w:rPr>
                <w:rFonts w:ascii="Arial" w:hAnsi="Arial" w:cs="Arial"/>
                <w:iCs/>
                <w:sz w:val="20"/>
                <w:szCs w:val="20"/>
              </w:rPr>
            </w:pPr>
          </w:p>
          <w:p w14:paraId="4C2EC01C"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Loam</w:t>
            </w:r>
          </w:p>
          <w:p w14:paraId="388CD680" w14:textId="77777777" w:rsidR="00040389" w:rsidRPr="00040389" w:rsidRDefault="00040389" w:rsidP="00A479DF">
            <w:pPr>
              <w:spacing w:line="276" w:lineRule="auto"/>
              <w:jc w:val="both"/>
              <w:rPr>
                <w:rFonts w:ascii="Arial" w:hAnsi="Arial" w:cs="Arial"/>
                <w:iCs/>
                <w:sz w:val="20"/>
                <w:szCs w:val="20"/>
              </w:rPr>
            </w:pPr>
          </w:p>
          <w:p w14:paraId="0E0DCEA9"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1.3-1.4</w:t>
            </w:r>
          </w:p>
        </w:tc>
        <w:tc>
          <w:tcPr>
            <w:tcW w:w="2204" w:type="dxa"/>
          </w:tcPr>
          <w:p w14:paraId="42BDDAEC"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20-30</w:t>
            </w:r>
          </w:p>
          <w:p w14:paraId="08846C0D" w14:textId="77777777" w:rsidR="00040389" w:rsidRPr="00040389" w:rsidRDefault="00040389" w:rsidP="00A479DF">
            <w:pPr>
              <w:spacing w:line="276" w:lineRule="auto"/>
              <w:jc w:val="both"/>
              <w:rPr>
                <w:rFonts w:ascii="Arial" w:hAnsi="Arial" w:cs="Arial"/>
                <w:iCs/>
                <w:sz w:val="20"/>
                <w:szCs w:val="20"/>
              </w:rPr>
            </w:pPr>
          </w:p>
          <w:p w14:paraId="5B31D9CE" w14:textId="77777777" w:rsidR="00040389" w:rsidRPr="00040389" w:rsidRDefault="00040389" w:rsidP="00A479DF">
            <w:pPr>
              <w:spacing w:line="276" w:lineRule="auto"/>
              <w:jc w:val="both"/>
              <w:rPr>
                <w:rFonts w:ascii="Arial" w:hAnsi="Arial" w:cs="Arial"/>
                <w:iCs/>
                <w:sz w:val="20"/>
                <w:szCs w:val="20"/>
              </w:rPr>
            </w:pPr>
          </w:p>
          <w:p w14:paraId="227D9EB0" w14:textId="77777777" w:rsidR="00040389" w:rsidRPr="00040389" w:rsidRDefault="00040389" w:rsidP="00A479DF">
            <w:pPr>
              <w:spacing w:line="276" w:lineRule="auto"/>
              <w:jc w:val="both"/>
              <w:rPr>
                <w:rFonts w:ascii="Arial" w:hAnsi="Arial" w:cs="Arial"/>
                <w:iCs/>
                <w:sz w:val="20"/>
                <w:szCs w:val="20"/>
              </w:rPr>
            </w:pPr>
          </w:p>
          <w:p w14:paraId="483D7A2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LS/CL/SL/</w:t>
            </w:r>
            <w:proofErr w:type="spellStart"/>
            <w:r w:rsidRPr="00040389">
              <w:rPr>
                <w:rFonts w:ascii="Arial" w:hAnsi="Arial" w:cs="Arial"/>
                <w:iCs/>
                <w:sz w:val="20"/>
                <w:szCs w:val="20"/>
              </w:rPr>
              <w:t>SiCL</w:t>
            </w:r>
            <w:proofErr w:type="spellEnd"/>
            <w:r w:rsidRPr="00040389">
              <w:rPr>
                <w:rFonts w:ascii="Arial" w:hAnsi="Arial" w:cs="Arial"/>
                <w:iCs/>
                <w:sz w:val="20"/>
                <w:szCs w:val="20"/>
              </w:rPr>
              <w:t>/</w:t>
            </w:r>
            <w:proofErr w:type="spellStart"/>
            <w:r w:rsidRPr="00040389">
              <w:rPr>
                <w:rFonts w:ascii="Arial" w:hAnsi="Arial" w:cs="Arial"/>
                <w:iCs/>
                <w:sz w:val="20"/>
                <w:szCs w:val="20"/>
              </w:rPr>
              <w:t>SiL</w:t>
            </w:r>
            <w:proofErr w:type="spellEnd"/>
          </w:p>
          <w:p w14:paraId="798467E2" w14:textId="77777777" w:rsidR="00040389" w:rsidRPr="00040389" w:rsidRDefault="00040389" w:rsidP="00A479DF">
            <w:pPr>
              <w:spacing w:line="276" w:lineRule="auto"/>
              <w:jc w:val="both"/>
              <w:rPr>
                <w:rFonts w:ascii="Arial" w:hAnsi="Arial" w:cs="Arial"/>
                <w:iCs/>
                <w:sz w:val="20"/>
                <w:szCs w:val="20"/>
              </w:rPr>
            </w:pPr>
          </w:p>
          <w:p w14:paraId="6792460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1.2-1.3/1.4-1.5</w:t>
            </w:r>
          </w:p>
        </w:tc>
        <w:tc>
          <w:tcPr>
            <w:tcW w:w="1420" w:type="dxa"/>
          </w:tcPr>
          <w:p w14:paraId="71948CC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8-20</w:t>
            </w:r>
          </w:p>
          <w:p w14:paraId="6AE95DCC" w14:textId="77777777" w:rsidR="00040389" w:rsidRPr="00040389" w:rsidRDefault="00040389" w:rsidP="00A479DF">
            <w:pPr>
              <w:spacing w:line="276" w:lineRule="auto"/>
              <w:jc w:val="both"/>
              <w:rPr>
                <w:rFonts w:ascii="Arial" w:hAnsi="Arial" w:cs="Arial"/>
                <w:iCs/>
                <w:sz w:val="20"/>
                <w:szCs w:val="20"/>
              </w:rPr>
            </w:pPr>
          </w:p>
          <w:p w14:paraId="15C03B3F" w14:textId="77777777" w:rsidR="00040389" w:rsidRPr="00040389" w:rsidRDefault="00040389" w:rsidP="00A479DF">
            <w:pPr>
              <w:spacing w:line="276" w:lineRule="auto"/>
              <w:jc w:val="both"/>
              <w:rPr>
                <w:rFonts w:ascii="Arial" w:hAnsi="Arial" w:cs="Arial"/>
                <w:iCs/>
                <w:sz w:val="20"/>
                <w:szCs w:val="20"/>
              </w:rPr>
            </w:pPr>
          </w:p>
          <w:p w14:paraId="0AAD952A" w14:textId="77777777" w:rsidR="00040389" w:rsidRPr="00040389" w:rsidRDefault="00040389" w:rsidP="00A479DF">
            <w:pPr>
              <w:spacing w:line="276" w:lineRule="auto"/>
              <w:jc w:val="both"/>
              <w:rPr>
                <w:rFonts w:ascii="Arial" w:hAnsi="Arial" w:cs="Arial"/>
                <w:iCs/>
                <w:sz w:val="20"/>
                <w:szCs w:val="20"/>
              </w:rPr>
            </w:pPr>
          </w:p>
          <w:p w14:paraId="4040255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C/S/SCL</w:t>
            </w:r>
          </w:p>
          <w:p w14:paraId="77E5D744" w14:textId="77777777" w:rsidR="00040389" w:rsidRPr="00040389" w:rsidRDefault="00040389" w:rsidP="00A479DF">
            <w:pPr>
              <w:spacing w:line="276" w:lineRule="auto"/>
              <w:jc w:val="both"/>
              <w:rPr>
                <w:rFonts w:ascii="Arial" w:hAnsi="Arial" w:cs="Arial"/>
                <w:iCs/>
                <w:sz w:val="20"/>
                <w:szCs w:val="20"/>
              </w:rPr>
            </w:pPr>
          </w:p>
          <w:p w14:paraId="4780494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1.1-1.2/1.5-1.6</w:t>
            </w:r>
          </w:p>
        </w:tc>
        <w:tc>
          <w:tcPr>
            <w:tcW w:w="1439" w:type="dxa"/>
          </w:tcPr>
          <w:p w14:paraId="1F88397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 8</w:t>
            </w:r>
          </w:p>
          <w:p w14:paraId="4811F3DB" w14:textId="77777777" w:rsidR="00040389" w:rsidRPr="00040389" w:rsidRDefault="00040389" w:rsidP="00A479DF">
            <w:pPr>
              <w:spacing w:line="276" w:lineRule="auto"/>
              <w:jc w:val="both"/>
              <w:rPr>
                <w:rFonts w:ascii="Arial" w:hAnsi="Arial" w:cs="Arial"/>
                <w:iCs/>
                <w:sz w:val="20"/>
                <w:szCs w:val="20"/>
              </w:rPr>
            </w:pPr>
          </w:p>
          <w:p w14:paraId="73C50008" w14:textId="77777777" w:rsidR="00040389" w:rsidRPr="00040389" w:rsidRDefault="00040389" w:rsidP="00A479DF">
            <w:pPr>
              <w:spacing w:line="276" w:lineRule="auto"/>
              <w:jc w:val="both"/>
              <w:rPr>
                <w:rFonts w:ascii="Arial" w:hAnsi="Arial" w:cs="Arial"/>
                <w:iCs/>
                <w:sz w:val="20"/>
                <w:szCs w:val="20"/>
              </w:rPr>
            </w:pPr>
          </w:p>
          <w:p w14:paraId="679F2D30" w14:textId="77777777" w:rsidR="00040389" w:rsidRPr="00040389" w:rsidRDefault="00040389" w:rsidP="00A479DF">
            <w:pPr>
              <w:spacing w:line="276" w:lineRule="auto"/>
              <w:jc w:val="both"/>
              <w:rPr>
                <w:rFonts w:ascii="Arial" w:hAnsi="Arial" w:cs="Arial"/>
                <w:iCs/>
                <w:sz w:val="20"/>
                <w:szCs w:val="20"/>
              </w:rPr>
            </w:pPr>
          </w:p>
          <w:p w14:paraId="6095750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Grit</w:t>
            </w:r>
          </w:p>
          <w:p w14:paraId="60B8AC7F" w14:textId="77777777" w:rsidR="00040389" w:rsidRPr="00040389" w:rsidRDefault="00040389" w:rsidP="00A479DF">
            <w:pPr>
              <w:spacing w:line="276" w:lineRule="auto"/>
              <w:jc w:val="both"/>
              <w:rPr>
                <w:rFonts w:ascii="Arial" w:hAnsi="Arial" w:cs="Arial"/>
                <w:iCs/>
                <w:sz w:val="20"/>
                <w:szCs w:val="20"/>
              </w:rPr>
            </w:pPr>
          </w:p>
          <w:p w14:paraId="27BE5B2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&lt;1.1/˃1.6</w:t>
            </w:r>
          </w:p>
        </w:tc>
      </w:tr>
      <w:tr w:rsidR="00040389" w:rsidRPr="00040389" w14:paraId="060A79C8" w14:textId="77777777" w:rsidTr="00A479DF">
        <w:tc>
          <w:tcPr>
            <w:tcW w:w="9242" w:type="dxa"/>
            <w:gridSpan w:val="6"/>
          </w:tcPr>
          <w:p w14:paraId="36C0305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Chemical indicators</w:t>
            </w:r>
          </w:p>
        </w:tc>
      </w:tr>
      <w:tr w:rsidR="00040389" w:rsidRPr="00040389" w14:paraId="66D023B2" w14:textId="77777777" w:rsidTr="00A479DF">
        <w:tc>
          <w:tcPr>
            <w:tcW w:w="1440" w:type="dxa"/>
          </w:tcPr>
          <w:p w14:paraId="5AEEA5C7"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Soil pH (1:2.5)</w:t>
            </w:r>
          </w:p>
          <w:p w14:paraId="105A9F02"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 xml:space="preserve">CEC </w:t>
            </w:r>
            <w:proofErr w:type="gramStart"/>
            <w:r w:rsidRPr="00C804D5">
              <w:rPr>
                <w:rFonts w:ascii="Arial" w:eastAsia="Calibri" w:hAnsi="Arial" w:cs="Arial"/>
                <w:iCs/>
              </w:rPr>
              <w:t>[  C</w:t>
            </w:r>
            <w:proofErr w:type="gramEnd"/>
            <w:r w:rsidRPr="00C804D5">
              <w:rPr>
                <w:rFonts w:ascii="Arial" w:eastAsia="Calibri" w:hAnsi="Arial" w:cs="Arial"/>
                <w:iCs/>
              </w:rPr>
              <w:t xml:space="preserve"> mol (p</w:t>
            </w:r>
            <w:proofErr w:type="gramStart"/>
            <w:r w:rsidRPr="00C804D5">
              <w:rPr>
                <w:rFonts w:ascii="Arial" w:eastAsia="Calibri" w:hAnsi="Arial" w:cs="Arial"/>
                <w:iCs/>
              </w:rPr>
              <w:t>+)kg</w:t>
            </w:r>
            <w:proofErr w:type="gramEnd"/>
            <w:r w:rsidRPr="00C804D5">
              <w:rPr>
                <w:rFonts w:ascii="Arial" w:eastAsia="Calibri" w:hAnsi="Arial" w:cs="Arial"/>
                <w:iCs/>
                <w:vertAlign w:val="superscript"/>
              </w:rPr>
              <w:t>-1</w:t>
            </w:r>
            <w:r w:rsidRPr="00C804D5">
              <w:rPr>
                <w:rFonts w:ascii="Arial" w:eastAsia="Calibri" w:hAnsi="Arial" w:cs="Arial"/>
                <w:iCs/>
              </w:rPr>
              <w:t>)]</w:t>
            </w:r>
          </w:p>
          <w:p w14:paraId="7F92CFC9"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N (kg ha</w:t>
            </w:r>
            <w:r w:rsidRPr="00C804D5">
              <w:rPr>
                <w:rFonts w:ascii="Arial" w:eastAsia="Calibri" w:hAnsi="Arial" w:cs="Arial"/>
                <w:iCs/>
                <w:vertAlign w:val="superscript"/>
              </w:rPr>
              <w:t>-1</w:t>
            </w:r>
            <w:r w:rsidRPr="00C804D5">
              <w:rPr>
                <w:rFonts w:ascii="Arial" w:eastAsia="Calibri" w:hAnsi="Arial" w:cs="Arial"/>
                <w:iCs/>
              </w:rPr>
              <w:t>)</w:t>
            </w:r>
          </w:p>
          <w:p w14:paraId="3E3A5DD6"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P (kg ha</w:t>
            </w:r>
            <w:r w:rsidRPr="00C804D5">
              <w:rPr>
                <w:rFonts w:ascii="Arial" w:eastAsia="Calibri" w:hAnsi="Arial" w:cs="Arial"/>
                <w:iCs/>
                <w:vertAlign w:val="superscript"/>
              </w:rPr>
              <w:t>-1</w:t>
            </w:r>
            <w:r w:rsidRPr="00C804D5">
              <w:rPr>
                <w:rFonts w:ascii="Arial" w:eastAsia="Calibri" w:hAnsi="Arial" w:cs="Arial"/>
                <w:iCs/>
              </w:rPr>
              <w:t>)</w:t>
            </w:r>
          </w:p>
          <w:p w14:paraId="602EB27B"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K (kg ha</w:t>
            </w:r>
            <w:r w:rsidRPr="00C804D5">
              <w:rPr>
                <w:rFonts w:ascii="Arial" w:eastAsia="Calibri" w:hAnsi="Arial" w:cs="Arial"/>
                <w:iCs/>
                <w:vertAlign w:val="superscript"/>
              </w:rPr>
              <w:t>-1</w:t>
            </w:r>
            <w:r w:rsidRPr="00C804D5">
              <w:rPr>
                <w:rFonts w:ascii="Arial" w:eastAsia="Calibri" w:hAnsi="Arial" w:cs="Arial"/>
                <w:iCs/>
              </w:rPr>
              <w:t>)</w:t>
            </w:r>
          </w:p>
          <w:p w14:paraId="7A820D6B"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S (kg ha</w:t>
            </w:r>
            <w:r w:rsidRPr="00C804D5">
              <w:rPr>
                <w:rFonts w:ascii="Arial" w:eastAsia="Calibri" w:hAnsi="Arial" w:cs="Arial"/>
                <w:iCs/>
                <w:vertAlign w:val="superscript"/>
              </w:rPr>
              <w:t>-1</w:t>
            </w:r>
            <w:r w:rsidRPr="00C804D5">
              <w:rPr>
                <w:rFonts w:ascii="Arial" w:eastAsia="Calibri" w:hAnsi="Arial" w:cs="Arial"/>
                <w:iCs/>
              </w:rPr>
              <w:t>)</w:t>
            </w:r>
          </w:p>
          <w:p w14:paraId="6A49C1EC"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DTPA-Zn (mg kg</w:t>
            </w:r>
            <w:r w:rsidRPr="00C804D5">
              <w:rPr>
                <w:rFonts w:ascii="Arial" w:eastAsia="Calibri" w:hAnsi="Arial" w:cs="Arial"/>
                <w:iCs/>
                <w:vertAlign w:val="superscript"/>
              </w:rPr>
              <w:t>-1</w:t>
            </w:r>
            <w:r w:rsidRPr="00C804D5">
              <w:rPr>
                <w:rFonts w:ascii="Arial" w:eastAsia="Calibri" w:hAnsi="Arial" w:cs="Arial"/>
                <w:iCs/>
              </w:rPr>
              <w:t>)</w:t>
            </w:r>
          </w:p>
          <w:p w14:paraId="2AA164E9"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B (mg kg</w:t>
            </w:r>
            <w:r w:rsidRPr="00C804D5">
              <w:rPr>
                <w:rFonts w:ascii="Arial" w:eastAsia="Calibri" w:hAnsi="Arial" w:cs="Arial"/>
                <w:iCs/>
                <w:vertAlign w:val="superscript"/>
              </w:rPr>
              <w:t>-1</w:t>
            </w:r>
            <w:r w:rsidRPr="00C804D5">
              <w:rPr>
                <w:rFonts w:ascii="Arial" w:eastAsia="Calibri" w:hAnsi="Arial" w:cs="Arial"/>
                <w:iCs/>
              </w:rPr>
              <w:t>)</w:t>
            </w:r>
          </w:p>
          <w:p w14:paraId="0CA900E2"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Av. Fe (mg kg</w:t>
            </w:r>
            <w:r w:rsidRPr="00C804D5">
              <w:rPr>
                <w:rFonts w:ascii="Arial" w:eastAsia="Calibri" w:hAnsi="Arial" w:cs="Arial"/>
                <w:iCs/>
                <w:vertAlign w:val="superscript"/>
              </w:rPr>
              <w:t>-1</w:t>
            </w:r>
            <w:r w:rsidRPr="00C804D5">
              <w:rPr>
                <w:rFonts w:ascii="Arial" w:eastAsia="Calibri" w:hAnsi="Arial" w:cs="Arial"/>
                <w:iCs/>
              </w:rPr>
              <w:t>)</w:t>
            </w:r>
          </w:p>
        </w:tc>
        <w:tc>
          <w:tcPr>
            <w:tcW w:w="1401" w:type="dxa"/>
          </w:tcPr>
          <w:p w14:paraId="4A93A77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1D8C06AD" w14:textId="77777777" w:rsidR="00040389" w:rsidRPr="00040389" w:rsidRDefault="00040389" w:rsidP="00A479DF">
            <w:pPr>
              <w:spacing w:line="276" w:lineRule="auto"/>
              <w:jc w:val="both"/>
              <w:rPr>
                <w:rFonts w:ascii="Arial" w:hAnsi="Arial" w:cs="Arial"/>
                <w:iCs/>
                <w:sz w:val="20"/>
                <w:szCs w:val="20"/>
              </w:rPr>
            </w:pPr>
          </w:p>
          <w:p w14:paraId="1FE8E62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44D22EB3" w14:textId="77777777" w:rsidR="00040389" w:rsidRPr="00040389" w:rsidRDefault="00040389" w:rsidP="00A479DF">
            <w:pPr>
              <w:spacing w:line="276" w:lineRule="auto"/>
              <w:jc w:val="both"/>
              <w:rPr>
                <w:rFonts w:ascii="Arial" w:hAnsi="Arial" w:cs="Arial"/>
                <w:iCs/>
                <w:sz w:val="20"/>
                <w:szCs w:val="20"/>
              </w:rPr>
            </w:pPr>
          </w:p>
          <w:p w14:paraId="4E565C46" w14:textId="77777777" w:rsidR="00040389" w:rsidRPr="00040389" w:rsidRDefault="00040389" w:rsidP="00A479DF">
            <w:pPr>
              <w:spacing w:line="276" w:lineRule="auto"/>
              <w:jc w:val="both"/>
              <w:rPr>
                <w:rFonts w:ascii="Arial" w:hAnsi="Arial" w:cs="Arial"/>
                <w:iCs/>
                <w:sz w:val="20"/>
                <w:szCs w:val="20"/>
              </w:rPr>
            </w:pPr>
          </w:p>
          <w:p w14:paraId="621EBBB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p w14:paraId="5013ACCD" w14:textId="77777777" w:rsidR="00040389" w:rsidRPr="00040389" w:rsidRDefault="00040389" w:rsidP="00A479DF">
            <w:pPr>
              <w:spacing w:line="276" w:lineRule="auto"/>
              <w:jc w:val="both"/>
              <w:rPr>
                <w:rFonts w:ascii="Arial" w:hAnsi="Arial" w:cs="Arial"/>
                <w:iCs/>
                <w:sz w:val="20"/>
                <w:szCs w:val="20"/>
              </w:rPr>
            </w:pPr>
          </w:p>
          <w:p w14:paraId="1DD9081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p w14:paraId="2A184F78" w14:textId="77777777" w:rsidR="00040389" w:rsidRPr="00040389" w:rsidRDefault="00040389" w:rsidP="00A479DF">
            <w:pPr>
              <w:spacing w:line="276" w:lineRule="auto"/>
              <w:jc w:val="both"/>
              <w:rPr>
                <w:rFonts w:ascii="Arial" w:hAnsi="Arial" w:cs="Arial"/>
                <w:iCs/>
                <w:sz w:val="20"/>
                <w:szCs w:val="20"/>
              </w:rPr>
            </w:pPr>
          </w:p>
          <w:p w14:paraId="01AD84C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78CB0254" w14:textId="77777777" w:rsidR="00040389" w:rsidRPr="00040389" w:rsidRDefault="00040389" w:rsidP="00A479DF">
            <w:pPr>
              <w:spacing w:line="276" w:lineRule="auto"/>
              <w:jc w:val="both"/>
              <w:rPr>
                <w:rFonts w:ascii="Arial" w:hAnsi="Arial" w:cs="Arial"/>
                <w:iCs/>
                <w:sz w:val="20"/>
                <w:szCs w:val="20"/>
              </w:rPr>
            </w:pPr>
          </w:p>
          <w:p w14:paraId="1F255A6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w:t>
            </w:r>
          </w:p>
          <w:p w14:paraId="77095AE8" w14:textId="77777777" w:rsidR="00040389" w:rsidRPr="00040389" w:rsidRDefault="00040389" w:rsidP="00A479DF">
            <w:pPr>
              <w:spacing w:line="276" w:lineRule="auto"/>
              <w:jc w:val="both"/>
              <w:rPr>
                <w:rFonts w:ascii="Arial" w:hAnsi="Arial" w:cs="Arial"/>
                <w:iCs/>
                <w:sz w:val="20"/>
                <w:szCs w:val="20"/>
              </w:rPr>
            </w:pPr>
          </w:p>
          <w:p w14:paraId="3CF1796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w:t>
            </w:r>
          </w:p>
          <w:p w14:paraId="16CB5FD4" w14:textId="77777777" w:rsidR="00040389" w:rsidRPr="00040389" w:rsidRDefault="00040389" w:rsidP="00A479DF">
            <w:pPr>
              <w:spacing w:line="276" w:lineRule="auto"/>
              <w:jc w:val="both"/>
              <w:rPr>
                <w:rFonts w:ascii="Arial" w:hAnsi="Arial" w:cs="Arial"/>
                <w:iCs/>
                <w:sz w:val="20"/>
                <w:szCs w:val="20"/>
              </w:rPr>
            </w:pPr>
          </w:p>
          <w:p w14:paraId="132801B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w:t>
            </w:r>
          </w:p>
          <w:p w14:paraId="00D677B7" w14:textId="77777777" w:rsidR="00040389" w:rsidRPr="00040389" w:rsidRDefault="00040389" w:rsidP="00A479DF">
            <w:pPr>
              <w:spacing w:line="276" w:lineRule="auto"/>
              <w:jc w:val="both"/>
              <w:rPr>
                <w:rFonts w:ascii="Arial" w:hAnsi="Arial" w:cs="Arial"/>
                <w:iCs/>
                <w:sz w:val="20"/>
                <w:szCs w:val="20"/>
              </w:rPr>
            </w:pPr>
          </w:p>
          <w:p w14:paraId="3EBB5DB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w:t>
            </w:r>
          </w:p>
        </w:tc>
        <w:tc>
          <w:tcPr>
            <w:tcW w:w="1338" w:type="dxa"/>
          </w:tcPr>
          <w:p w14:paraId="350795E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6.5-7.5</w:t>
            </w:r>
          </w:p>
          <w:p w14:paraId="7F0E31A7" w14:textId="77777777" w:rsidR="00040389" w:rsidRPr="00040389" w:rsidRDefault="00040389" w:rsidP="00A479DF">
            <w:pPr>
              <w:spacing w:line="276" w:lineRule="auto"/>
              <w:jc w:val="both"/>
              <w:rPr>
                <w:rFonts w:ascii="Arial" w:hAnsi="Arial" w:cs="Arial"/>
                <w:iCs/>
                <w:sz w:val="20"/>
                <w:szCs w:val="20"/>
              </w:rPr>
            </w:pPr>
          </w:p>
          <w:p w14:paraId="5E93CE19"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˃18</w:t>
            </w:r>
          </w:p>
          <w:p w14:paraId="67568DCA" w14:textId="77777777" w:rsidR="00040389" w:rsidRPr="00040389" w:rsidRDefault="00040389" w:rsidP="00A479DF">
            <w:pPr>
              <w:spacing w:line="276" w:lineRule="auto"/>
              <w:jc w:val="both"/>
              <w:rPr>
                <w:rFonts w:ascii="Arial" w:hAnsi="Arial" w:cs="Arial"/>
                <w:iCs/>
                <w:sz w:val="20"/>
                <w:szCs w:val="20"/>
              </w:rPr>
            </w:pPr>
          </w:p>
          <w:p w14:paraId="7E8A701F" w14:textId="77777777" w:rsidR="00040389" w:rsidRPr="00040389" w:rsidRDefault="00040389" w:rsidP="00A479DF">
            <w:pPr>
              <w:spacing w:line="276" w:lineRule="auto"/>
              <w:jc w:val="both"/>
              <w:rPr>
                <w:rFonts w:ascii="Arial" w:hAnsi="Arial" w:cs="Arial"/>
                <w:iCs/>
                <w:sz w:val="20"/>
                <w:szCs w:val="20"/>
              </w:rPr>
            </w:pPr>
          </w:p>
          <w:p w14:paraId="1FFC4B2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˃545</w:t>
            </w:r>
          </w:p>
          <w:p w14:paraId="2CDAD9D3" w14:textId="77777777" w:rsidR="00040389" w:rsidRPr="00040389" w:rsidRDefault="00040389" w:rsidP="00A479DF">
            <w:pPr>
              <w:spacing w:line="276" w:lineRule="auto"/>
              <w:jc w:val="both"/>
              <w:rPr>
                <w:rFonts w:ascii="Arial" w:hAnsi="Arial" w:cs="Arial"/>
                <w:iCs/>
                <w:sz w:val="20"/>
                <w:szCs w:val="20"/>
              </w:rPr>
            </w:pPr>
          </w:p>
          <w:p w14:paraId="62E34D4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˃56</w:t>
            </w:r>
          </w:p>
          <w:p w14:paraId="45180CD5" w14:textId="77777777" w:rsidR="00040389" w:rsidRPr="00040389" w:rsidRDefault="00040389" w:rsidP="00A479DF">
            <w:pPr>
              <w:spacing w:line="276" w:lineRule="auto"/>
              <w:jc w:val="both"/>
              <w:rPr>
                <w:rFonts w:ascii="Arial" w:hAnsi="Arial" w:cs="Arial"/>
                <w:iCs/>
                <w:sz w:val="20"/>
                <w:szCs w:val="20"/>
              </w:rPr>
            </w:pPr>
          </w:p>
          <w:p w14:paraId="46B12D2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˃337</w:t>
            </w:r>
          </w:p>
          <w:p w14:paraId="161D3E75" w14:textId="77777777" w:rsidR="00040389" w:rsidRPr="00040389" w:rsidRDefault="00040389" w:rsidP="00A479DF">
            <w:pPr>
              <w:spacing w:line="276" w:lineRule="auto"/>
              <w:jc w:val="both"/>
              <w:rPr>
                <w:rFonts w:ascii="Arial" w:hAnsi="Arial" w:cs="Arial"/>
                <w:iCs/>
                <w:sz w:val="20"/>
                <w:szCs w:val="20"/>
              </w:rPr>
            </w:pPr>
          </w:p>
          <w:p w14:paraId="7AF1BE7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˃25</w:t>
            </w:r>
          </w:p>
          <w:p w14:paraId="272471F0" w14:textId="77777777" w:rsidR="00040389" w:rsidRPr="00040389" w:rsidRDefault="00040389" w:rsidP="00A479DF">
            <w:pPr>
              <w:spacing w:line="276" w:lineRule="auto"/>
              <w:jc w:val="both"/>
              <w:rPr>
                <w:rFonts w:ascii="Arial" w:hAnsi="Arial" w:cs="Arial"/>
                <w:iCs/>
                <w:sz w:val="20"/>
                <w:szCs w:val="20"/>
              </w:rPr>
            </w:pPr>
          </w:p>
          <w:p w14:paraId="3C33B92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˃1.2</w:t>
            </w:r>
          </w:p>
          <w:p w14:paraId="275343D8" w14:textId="77777777" w:rsidR="00040389" w:rsidRPr="00040389" w:rsidRDefault="00040389" w:rsidP="00A479DF">
            <w:pPr>
              <w:spacing w:line="276" w:lineRule="auto"/>
              <w:jc w:val="both"/>
              <w:rPr>
                <w:rFonts w:ascii="Arial" w:hAnsi="Arial" w:cs="Arial"/>
                <w:iCs/>
                <w:sz w:val="20"/>
                <w:szCs w:val="20"/>
              </w:rPr>
            </w:pPr>
          </w:p>
          <w:p w14:paraId="405E892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w:t>
            </w:r>
          </w:p>
          <w:p w14:paraId="05C0E5FB" w14:textId="77777777" w:rsidR="00040389" w:rsidRPr="00040389" w:rsidRDefault="00040389" w:rsidP="00A479DF">
            <w:pPr>
              <w:spacing w:line="276" w:lineRule="auto"/>
              <w:jc w:val="both"/>
              <w:rPr>
                <w:rFonts w:ascii="Arial" w:hAnsi="Arial" w:cs="Arial"/>
                <w:iCs/>
                <w:sz w:val="20"/>
                <w:szCs w:val="20"/>
              </w:rPr>
            </w:pPr>
          </w:p>
          <w:p w14:paraId="544379D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tc>
        <w:tc>
          <w:tcPr>
            <w:tcW w:w="2204" w:type="dxa"/>
          </w:tcPr>
          <w:p w14:paraId="3BA70F8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6.0-6.5/7.5-8.0</w:t>
            </w:r>
          </w:p>
          <w:p w14:paraId="130B1AF0" w14:textId="77777777" w:rsidR="00040389" w:rsidRPr="00040389" w:rsidRDefault="00040389" w:rsidP="00A479DF">
            <w:pPr>
              <w:spacing w:line="276" w:lineRule="auto"/>
              <w:jc w:val="both"/>
              <w:rPr>
                <w:rFonts w:ascii="Arial" w:hAnsi="Arial" w:cs="Arial"/>
                <w:iCs/>
                <w:sz w:val="20"/>
                <w:szCs w:val="20"/>
              </w:rPr>
            </w:pPr>
          </w:p>
          <w:p w14:paraId="2C1536D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18-15</w:t>
            </w:r>
          </w:p>
          <w:p w14:paraId="44E4AA4C" w14:textId="77777777" w:rsidR="00040389" w:rsidRPr="00040389" w:rsidRDefault="00040389" w:rsidP="00A479DF">
            <w:pPr>
              <w:spacing w:line="276" w:lineRule="auto"/>
              <w:jc w:val="both"/>
              <w:rPr>
                <w:rFonts w:ascii="Arial" w:hAnsi="Arial" w:cs="Arial"/>
                <w:iCs/>
                <w:sz w:val="20"/>
                <w:szCs w:val="20"/>
              </w:rPr>
            </w:pPr>
          </w:p>
          <w:p w14:paraId="1365EC32" w14:textId="77777777" w:rsidR="00040389" w:rsidRPr="00040389" w:rsidRDefault="00040389" w:rsidP="00A479DF">
            <w:pPr>
              <w:spacing w:line="276" w:lineRule="auto"/>
              <w:jc w:val="both"/>
              <w:rPr>
                <w:rFonts w:ascii="Arial" w:hAnsi="Arial" w:cs="Arial"/>
                <w:iCs/>
                <w:sz w:val="20"/>
                <w:szCs w:val="20"/>
              </w:rPr>
            </w:pPr>
          </w:p>
          <w:p w14:paraId="4822F1B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545-445</w:t>
            </w:r>
          </w:p>
          <w:p w14:paraId="7F9EB743" w14:textId="77777777" w:rsidR="00040389" w:rsidRPr="00040389" w:rsidRDefault="00040389" w:rsidP="00A479DF">
            <w:pPr>
              <w:spacing w:line="276" w:lineRule="auto"/>
              <w:jc w:val="both"/>
              <w:rPr>
                <w:rFonts w:ascii="Arial" w:hAnsi="Arial" w:cs="Arial"/>
                <w:iCs/>
                <w:sz w:val="20"/>
                <w:szCs w:val="20"/>
              </w:rPr>
            </w:pPr>
          </w:p>
          <w:p w14:paraId="06E98CBD"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56-40</w:t>
            </w:r>
          </w:p>
          <w:p w14:paraId="48C8EAD4" w14:textId="77777777" w:rsidR="00040389" w:rsidRPr="00040389" w:rsidRDefault="00040389" w:rsidP="00A479DF">
            <w:pPr>
              <w:spacing w:line="276" w:lineRule="auto"/>
              <w:jc w:val="both"/>
              <w:rPr>
                <w:rFonts w:ascii="Arial" w:hAnsi="Arial" w:cs="Arial"/>
                <w:iCs/>
                <w:sz w:val="20"/>
                <w:szCs w:val="20"/>
              </w:rPr>
            </w:pPr>
          </w:p>
          <w:p w14:paraId="5EE59B6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337-237</w:t>
            </w:r>
          </w:p>
          <w:p w14:paraId="2986ECAC" w14:textId="77777777" w:rsidR="00040389" w:rsidRPr="00040389" w:rsidRDefault="00040389" w:rsidP="00A479DF">
            <w:pPr>
              <w:spacing w:line="276" w:lineRule="auto"/>
              <w:jc w:val="both"/>
              <w:rPr>
                <w:rFonts w:ascii="Arial" w:hAnsi="Arial" w:cs="Arial"/>
                <w:iCs/>
                <w:sz w:val="20"/>
                <w:szCs w:val="20"/>
              </w:rPr>
            </w:pPr>
          </w:p>
          <w:p w14:paraId="383255C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15-25</w:t>
            </w:r>
          </w:p>
          <w:p w14:paraId="7E129912" w14:textId="77777777" w:rsidR="00040389" w:rsidRPr="00040389" w:rsidRDefault="00040389" w:rsidP="00A479DF">
            <w:pPr>
              <w:spacing w:line="276" w:lineRule="auto"/>
              <w:jc w:val="both"/>
              <w:rPr>
                <w:rFonts w:ascii="Arial" w:hAnsi="Arial" w:cs="Arial"/>
                <w:iCs/>
                <w:sz w:val="20"/>
                <w:szCs w:val="20"/>
              </w:rPr>
            </w:pPr>
          </w:p>
          <w:p w14:paraId="2A87548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1.2-0.6</w:t>
            </w:r>
          </w:p>
          <w:p w14:paraId="24C39FBB" w14:textId="77777777" w:rsidR="00040389" w:rsidRPr="00040389" w:rsidRDefault="00040389" w:rsidP="00A479DF">
            <w:pPr>
              <w:spacing w:line="276" w:lineRule="auto"/>
              <w:jc w:val="both"/>
              <w:rPr>
                <w:rFonts w:ascii="Arial" w:hAnsi="Arial" w:cs="Arial"/>
                <w:iCs/>
                <w:sz w:val="20"/>
                <w:szCs w:val="20"/>
              </w:rPr>
            </w:pPr>
          </w:p>
          <w:p w14:paraId="7FD3A21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0.7-1.5</w:t>
            </w:r>
          </w:p>
          <w:p w14:paraId="74FE78C3" w14:textId="77777777" w:rsidR="00040389" w:rsidRPr="00040389" w:rsidRDefault="00040389" w:rsidP="00A479DF">
            <w:pPr>
              <w:spacing w:line="276" w:lineRule="auto"/>
              <w:jc w:val="both"/>
              <w:rPr>
                <w:rFonts w:ascii="Arial" w:hAnsi="Arial" w:cs="Arial"/>
                <w:iCs/>
                <w:sz w:val="20"/>
                <w:szCs w:val="20"/>
              </w:rPr>
            </w:pPr>
          </w:p>
          <w:p w14:paraId="616BCF6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5.5-10</w:t>
            </w:r>
          </w:p>
          <w:p w14:paraId="00002798" w14:textId="77777777" w:rsidR="00040389" w:rsidRPr="00040389" w:rsidRDefault="00040389" w:rsidP="00A479DF">
            <w:pPr>
              <w:spacing w:line="276" w:lineRule="auto"/>
              <w:jc w:val="both"/>
              <w:rPr>
                <w:rFonts w:ascii="Arial" w:hAnsi="Arial" w:cs="Arial"/>
                <w:iCs/>
                <w:sz w:val="20"/>
                <w:szCs w:val="20"/>
              </w:rPr>
            </w:pPr>
          </w:p>
          <w:p w14:paraId="20FB93CA" w14:textId="77777777" w:rsidR="00040389" w:rsidRPr="00040389" w:rsidRDefault="00040389" w:rsidP="00A479DF">
            <w:pPr>
              <w:spacing w:line="276" w:lineRule="auto"/>
              <w:jc w:val="both"/>
              <w:rPr>
                <w:rFonts w:ascii="Arial" w:hAnsi="Arial" w:cs="Arial"/>
                <w:iCs/>
                <w:sz w:val="20"/>
                <w:szCs w:val="20"/>
              </w:rPr>
            </w:pPr>
          </w:p>
        </w:tc>
        <w:tc>
          <w:tcPr>
            <w:tcW w:w="1420" w:type="dxa"/>
          </w:tcPr>
          <w:p w14:paraId="6E616E3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5.5-6.0/8.0-8.5</w:t>
            </w:r>
          </w:p>
          <w:p w14:paraId="2ACF418D"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15-10</w:t>
            </w:r>
          </w:p>
          <w:p w14:paraId="6C128FF8" w14:textId="77777777" w:rsidR="00040389" w:rsidRPr="00040389" w:rsidRDefault="00040389" w:rsidP="00A479DF">
            <w:pPr>
              <w:spacing w:line="276" w:lineRule="auto"/>
              <w:jc w:val="both"/>
              <w:rPr>
                <w:rFonts w:ascii="Arial" w:hAnsi="Arial" w:cs="Arial"/>
                <w:iCs/>
                <w:sz w:val="20"/>
                <w:szCs w:val="20"/>
              </w:rPr>
            </w:pPr>
          </w:p>
          <w:p w14:paraId="1F29FD74" w14:textId="77777777" w:rsidR="00040389" w:rsidRPr="00040389" w:rsidRDefault="00040389" w:rsidP="00A479DF">
            <w:pPr>
              <w:spacing w:line="276" w:lineRule="auto"/>
              <w:jc w:val="both"/>
              <w:rPr>
                <w:rFonts w:ascii="Arial" w:hAnsi="Arial" w:cs="Arial"/>
                <w:iCs/>
                <w:sz w:val="20"/>
                <w:szCs w:val="20"/>
              </w:rPr>
            </w:pPr>
          </w:p>
          <w:p w14:paraId="28ED1565"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445-272</w:t>
            </w:r>
          </w:p>
          <w:p w14:paraId="2A5A9DC2" w14:textId="77777777" w:rsidR="00040389" w:rsidRPr="00040389" w:rsidRDefault="00040389" w:rsidP="00A479DF">
            <w:pPr>
              <w:spacing w:line="276" w:lineRule="auto"/>
              <w:jc w:val="both"/>
              <w:rPr>
                <w:rFonts w:ascii="Arial" w:hAnsi="Arial" w:cs="Arial"/>
                <w:iCs/>
                <w:sz w:val="20"/>
                <w:szCs w:val="20"/>
              </w:rPr>
            </w:pPr>
          </w:p>
          <w:p w14:paraId="7162DBB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40-22.5</w:t>
            </w:r>
          </w:p>
          <w:p w14:paraId="7892E253" w14:textId="77777777" w:rsidR="00040389" w:rsidRPr="00040389" w:rsidRDefault="00040389" w:rsidP="00A479DF">
            <w:pPr>
              <w:spacing w:line="276" w:lineRule="auto"/>
              <w:jc w:val="both"/>
              <w:rPr>
                <w:rFonts w:ascii="Arial" w:hAnsi="Arial" w:cs="Arial"/>
                <w:iCs/>
                <w:sz w:val="20"/>
                <w:szCs w:val="20"/>
              </w:rPr>
            </w:pPr>
          </w:p>
          <w:p w14:paraId="36017FD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237-136</w:t>
            </w:r>
          </w:p>
          <w:p w14:paraId="729328E9" w14:textId="77777777" w:rsidR="00040389" w:rsidRPr="00040389" w:rsidRDefault="00040389" w:rsidP="00A479DF">
            <w:pPr>
              <w:spacing w:line="276" w:lineRule="auto"/>
              <w:jc w:val="both"/>
              <w:rPr>
                <w:rFonts w:ascii="Arial" w:hAnsi="Arial" w:cs="Arial"/>
                <w:iCs/>
                <w:sz w:val="20"/>
                <w:szCs w:val="20"/>
              </w:rPr>
            </w:pPr>
          </w:p>
          <w:p w14:paraId="1295548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10-15</w:t>
            </w:r>
          </w:p>
          <w:p w14:paraId="05D79509" w14:textId="77777777" w:rsidR="00040389" w:rsidRPr="00040389" w:rsidRDefault="00040389" w:rsidP="00A479DF">
            <w:pPr>
              <w:spacing w:line="276" w:lineRule="auto"/>
              <w:jc w:val="both"/>
              <w:rPr>
                <w:rFonts w:ascii="Arial" w:hAnsi="Arial" w:cs="Arial"/>
                <w:iCs/>
                <w:sz w:val="20"/>
                <w:szCs w:val="20"/>
              </w:rPr>
            </w:pPr>
          </w:p>
          <w:p w14:paraId="3A7D2847"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0.6-0.4</w:t>
            </w:r>
          </w:p>
          <w:p w14:paraId="6E7EF37F" w14:textId="77777777" w:rsidR="00040389" w:rsidRPr="00040389" w:rsidRDefault="00040389" w:rsidP="00A479DF">
            <w:pPr>
              <w:spacing w:line="276" w:lineRule="auto"/>
              <w:jc w:val="both"/>
              <w:rPr>
                <w:rFonts w:ascii="Arial" w:hAnsi="Arial" w:cs="Arial"/>
                <w:iCs/>
                <w:sz w:val="20"/>
                <w:szCs w:val="20"/>
              </w:rPr>
            </w:pPr>
          </w:p>
          <w:p w14:paraId="175048D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0.3-0.7</w:t>
            </w:r>
          </w:p>
          <w:p w14:paraId="7E067986" w14:textId="77777777" w:rsidR="00040389" w:rsidRPr="00040389" w:rsidRDefault="00040389" w:rsidP="00A479DF">
            <w:pPr>
              <w:spacing w:line="276" w:lineRule="auto"/>
              <w:jc w:val="both"/>
              <w:rPr>
                <w:rFonts w:ascii="Arial" w:hAnsi="Arial" w:cs="Arial"/>
                <w:iCs/>
                <w:sz w:val="20"/>
                <w:szCs w:val="20"/>
              </w:rPr>
            </w:pPr>
          </w:p>
          <w:p w14:paraId="597116B2"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2.5-5.5</w:t>
            </w:r>
          </w:p>
        </w:tc>
        <w:tc>
          <w:tcPr>
            <w:tcW w:w="1439" w:type="dxa"/>
          </w:tcPr>
          <w:p w14:paraId="62807EC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&lt;5.5/˃8.5</w:t>
            </w:r>
          </w:p>
          <w:p w14:paraId="768DA45C" w14:textId="77777777" w:rsidR="00040389" w:rsidRPr="00040389" w:rsidRDefault="00040389" w:rsidP="00A479DF">
            <w:pPr>
              <w:spacing w:line="276" w:lineRule="auto"/>
              <w:jc w:val="both"/>
              <w:rPr>
                <w:rFonts w:ascii="Arial" w:hAnsi="Arial" w:cs="Arial"/>
                <w:iCs/>
                <w:sz w:val="20"/>
                <w:szCs w:val="20"/>
              </w:rPr>
            </w:pPr>
          </w:p>
          <w:p w14:paraId="32E7637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&lt;10</w:t>
            </w:r>
          </w:p>
          <w:p w14:paraId="71DFCAC8" w14:textId="77777777" w:rsidR="00040389" w:rsidRPr="00040389" w:rsidRDefault="00040389" w:rsidP="00A479DF">
            <w:pPr>
              <w:spacing w:line="276" w:lineRule="auto"/>
              <w:jc w:val="both"/>
              <w:rPr>
                <w:rFonts w:ascii="Arial" w:hAnsi="Arial" w:cs="Arial"/>
                <w:iCs/>
                <w:sz w:val="20"/>
                <w:szCs w:val="20"/>
              </w:rPr>
            </w:pPr>
          </w:p>
          <w:p w14:paraId="317352D8" w14:textId="77777777" w:rsidR="00040389" w:rsidRPr="00040389" w:rsidRDefault="00040389" w:rsidP="00A479DF">
            <w:pPr>
              <w:spacing w:line="276" w:lineRule="auto"/>
              <w:jc w:val="both"/>
              <w:rPr>
                <w:rFonts w:ascii="Arial" w:hAnsi="Arial" w:cs="Arial"/>
                <w:iCs/>
                <w:sz w:val="20"/>
                <w:szCs w:val="20"/>
              </w:rPr>
            </w:pPr>
          </w:p>
          <w:p w14:paraId="303DE96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&lt;272</w:t>
            </w:r>
          </w:p>
          <w:p w14:paraId="52310D4E" w14:textId="77777777" w:rsidR="00040389" w:rsidRPr="00040389" w:rsidRDefault="00040389" w:rsidP="00A479DF">
            <w:pPr>
              <w:spacing w:line="276" w:lineRule="auto"/>
              <w:jc w:val="both"/>
              <w:rPr>
                <w:rFonts w:ascii="Arial" w:hAnsi="Arial" w:cs="Arial"/>
                <w:iCs/>
                <w:sz w:val="20"/>
                <w:szCs w:val="20"/>
              </w:rPr>
            </w:pPr>
          </w:p>
          <w:p w14:paraId="3ED85C3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&lt;22.5</w:t>
            </w:r>
          </w:p>
          <w:p w14:paraId="0D55FBD4" w14:textId="77777777" w:rsidR="00040389" w:rsidRPr="00040389" w:rsidRDefault="00040389" w:rsidP="00A479DF">
            <w:pPr>
              <w:spacing w:line="276" w:lineRule="auto"/>
              <w:jc w:val="both"/>
              <w:rPr>
                <w:rFonts w:ascii="Arial" w:hAnsi="Arial" w:cs="Arial"/>
                <w:iCs/>
                <w:sz w:val="20"/>
                <w:szCs w:val="20"/>
              </w:rPr>
            </w:pPr>
          </w:p>
          <w:p w14:paraId="36AAABB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&lt;136</w:t>
            </w:r>
          </w:p>
          <w:p w14:paraId="4C895734" w14:textId="77777777" w:rsidR="00040389" w:rsidRPr="00040389" w:rsidRDefault="00040389" w:rsidP="00A479DF">
            <w:pPr>
              <w:spacing w:line="276" w:lineRule="auto"/>
              <w:jc w:val="both"/>
              <w:rPr>
                <w:rFonts w:ascii="Arial" w:hAnsi="Arial" w:cs="Arial"/>
                <w:iCs/>
                <w:sz w:val="20"/>
                <w:szCs w:val="20"/>
              </w:rPr>
            </w:pPr>
          </w:p>
          <w:p w14:paraId="4BE33EA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&lt;10</w:t>
            </w:r>
          </w:p>
          <w:p w14:paraId="67E87C6A" w14:textId="77777777" w:rsidR="00040389" w:rsidRPr="00040389" w:rsidRDefault="00040389" w:rsidP="00A479DF">
            <w:pPr>
              <w:spacing w:line="276" w:lineRule="auto"/>
              <w:jc w:val="both"/>
              <w:rPr>
                <w:rFonts w:ascii="Arial" w:hAnsi="Arial" w:cs="Arial"/>
                <w:iCs/>
                <w:sz w:val="20"/>
                <w:szCs w:val="20"/>
              </w:rPr>
            </w:pPr>
          </w:p>
          <w:p w14:paraId="5CF9DB3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&lt;0.4</w:t>
            </w:r>
          </w:p>
          <w:p w14:paraId="785C2F69" w14:textId="77777777" w:rsidR="00040389" w:rsidRPr="00040389" w:rsidRDefault="00040389" w:rsidP="00A479DF">
            <w:pPr>
              <w:spacing w:line="276" w:lineRule="auto"/>
              <w:jc w:val="both"/>
              <w:rPr>
                <w:rFonts w:ascii="Arial" w:hAnsi="Arial" w:cs="Arial"/>
                <w:iCs/>
                <w:sz w:val="20"/>
                <w:szCs w:val="20"/>
              </w:rPr>
            </w:pPr>
          </w:p>
          <w:p w14:paraId="0393CC34"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&lt;0.3</w:t>
            </w:r>
          </w:p>
          <w:p w14:paraId="580DA082" w14:textId="77777777" w:rsidR="00040389" w:rsidRPr="00040389" w:rsidRDefault="00040389" w:rsidP="00A479DF">
            <w:pPr>
              <w:spacing w:line="276" w:lineRule="auto"/>
              <w:jc w:val="both"/>
              <w:rPr>
                <w:rFonts w:ascii="Arial" w:hAnsi="Arial" w:cs="Arial"/>
                <w:iCs/>
                <w:sz w:val="20"/>
                <w:szCs w:val="20"/>
              </w:rPr>
            </w:pPr>
          </w:p>
          <w:p w14:paraId="1DD38F3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&lt;2.5</w:t>
            </w:r>
          </w:p>
          <w:p w14:paraId="582A11B6" w14:textId="77777777" w:rsidR="00040389" w:rsidRPr="00040389" w:rsidRDefault="00040389" w:rsidP="00A479DF">
            <w:pPr>
              <w:spacing w:line="276" w:lineRule="auto"/>
              <w:jc w:val="both"/>
              <w:rPr>
                <w:rFonts w:ascii="Arial" w:hAnsi="Arial" w:cs="Arial"/>
                <w:iCs/>
                <w:sz w:val="20"/>
                <w:szCs w:val="20"/>
              </w:rPr>
            </w:pPr>
          </w:p>
          <w:p w14:paraId="60F66010" w14:textId="77777777" w:rsidR="00040389" w:rsidRPr="00040389" w:rsidRDefault="00040389" w:rsidP="00A479DF">
            <w:pPr>
              <w:spacing w:line="276" w:lineRule="auto"/>
              <w:jc w:val="both"/>
              <w:rPr>
                <w:rFonts w:ascii="Arial" w:hAnsi="Arial" w:cs="Arial"/>
                <w:iCs/>
                <w:sz w:val="20"/>
                <w:szCs w:val="20"/>
              </w:rPr>
            </w:pPr>
          </w:p>
        </w:tc>
      </w:tr>
      <w:tr w:rsidR="00040389" w:rsidRPr="00040389" w14:paraId="5A0F0817" w14:textId="77777777" w:rsidTr="00A479DF">
        <w:tc>
          <w:tcPr>
            <w:tcW w:w="9242" w:type="dxa"/>
            <w:gridSpan w:val="6"/>
          </w:tcPr>
          <w:p w14:paraId="59F6545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Biological indicators</w:t>
            </w:r>
          </w:p>
        </w:tc>
      </w:tr>
      <w:tr w:rsidR="00040389" w:rsidRPr="00040389" w14:paraId="2A761F09" w14:textId="77777777" w:rsidTr="00A479DF">
        <w:tc>
          <w:tcPr>
            <w:tcW w:w="1440" w:type="dxa"/>
          </w:tcPr>
          <w:p w14:paraId="0DB63CD1"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t>Organic Carbon (%)</w:t>
            </w:r>
          </w:p>
          <w:p w14:paraId="2347C4F7" w14:textId="77777777" w:rsidR="00040389" w:rsidRPr="00C804D5" w:rsidRDefault="00040389" w:rsidP="00C804D5">
            <w:pPr>
              <w:pStyle w:val="ListParagraph"/>
              <w:numPr>
                <w:ilvl w:val="0"/>
                <w:numId w:val="31"/>
              </w:numPr>
              <w:jc w:val="both"/>
              <w:rPr>
                <w:rFonts w:ascii="Arial" w:eastAsia="Calibri" w:hAnsi="Arial" w:cs="Arial"/>
                <w:iCs/>
              </w:rPr>
            </w:pPr>
            <w:r w:rsidRPr="00C804D5">
              <w:rPr>
                <w:rFonts w:ascii="Arial" w:eastAsia="Calibri" w:hAnsi="Arial" w:cs="Arial"/>
                <w:iCs/>
              </w:rPr>
              <w:lastRenderedPageBreak/>
              <w:t>MBC (mg kg</w:t>
            </w:r>
            <w:r w:rsidRPr="00C804D5">
              <w:rPr>
                <w:rFonts w:ascii="Arial" w:eastAsia="Calibri" w:hAnsi="Arial" w:cs="Arial"/>
                <w:iCs/>
                <w:vertAlign w:val="superscript"/>
              </w:rPr>
              <w:t>-1</w:t>
            </w:r>
            <w:r w:rsidRPr="00C804D5">
              <w:rPr>
                <w:rFonts w:ascii="Arial" w:eastAsia="Calibri" w:hAnsi="Arial" w:cs="Arial"/>
                <w:iCs/>
              </w:rPr>
              <w:t>)</w:t>
            </w:r>
          </w:p>
        </w:tc>
        <w:tc>
          <w:tcPr>
            <w:tcW w:w="1401" w:type="dxa"/>
          </w:tcPr>
          <w:p w14:paraId="135C039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lastRenderedPageBreak/>
              <w:t>15</w:t>
            </w:r>
          </w:p>
          <w:p w14:paraId="4C0157E5" w14:textId="77777777" w:rsidR="00040389" w:rsidRPr="00040389" w:rsidRDefault="00040389" w:rsidP="00A479DF">
            <w:pPr>
              <w:spacing w:line="276" w:lineRule="auto"/>
              <w:jc w:val="both"/>
              <w:rPr>
                <w:rFonts w:ascii="Arial" w:hAnsi="Arial" w:cs="Arial"/>
                <w:iCs/>
                <w:sz w:val="20"/>
                <w:szCs w:val="20"/>
              </w:rPr>
            </w:pPr>
          </w:p>
          <w:p w14:paraId="6A95C8F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w:t>
            </w:r>
          </w:p>
        </w:tc>
        <w:tc>
          <w:tcPr>
            <w:tcW w:w="1338" w:type="dxa"/>
          </w:tcPr>
          <w:p w14:paraId="0F4B0D8A"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w:t>
            </w:r>
          </w:p>
          <w:p w14:paraId="4D5312E4" w14:textId="77777777" w:rsidR="00040389" w:rsidRPr="00040389" w:rsidRDefault="00040389" w:rsidP="00A479DF">
            <w:pPr>
              <w:spacing w:line="276" w:lineRule="auto"/>
              <w:jc w:val="both"/>
              <w:rPr>
                <w:rFonts w:ascii="Arial" w:hAnsi="Arial" w:cs="Arial"/>
                <w:iCs/>
                <w:sz w:val="20"/>
                <w:szCs w:val="20"/>
              </w:rPr>
            </w:pPr>
          </w:p>
          <w:p w14:paraId="070891A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˃400</w:t>
            </w:r>
          </w:p>
        </w:tc>
        <w:tc>
          <w:tcPr>
            <w:tcW w:w="2204" w:type="dxa"/>
          </w:tcPr>
          <w:p w14:paraId="6EC9029E"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1-0.75</w:t>
            </w:r>
          </w:p>
          <w:p w14:paraId="30765BC3" w14:textId="77777777" w:rsidR="00040389" w:rsidRPr="00040389" w:rsidRDefault="00040389" w:rsidP="00A479DF">
            <w:pPr>
              <w:spacing w:line="276" w:lineRule="auto"/>
              <w:jc w:val="both"/>
              <w:rPr>
                <w:rFonts w:ascii="Arial" w:hAnsi="Arial" w:cs="Arial"/>
                <w:iCs/>
                <w:sz w:val="20"/>
                <w:szCs w:val="20"/>
              </w:rPr>
            </w:pPr>
          </w:p>
          <w:p w14:paraId="47AB252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400-300</w:t>
            </w:r>
          </w:p>
        </w:tc>
        <w:tc>
          <w:tcPr>
            <w:tcW w:w="1420" w:type="dxa"/>
          </w:tcPr>
          <w:p w14:paraId="0BBC1BF0"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0.75-0.5</w:t>
            </w:r>
          </w:p>
          <w:p w14:paraId="4A887B76" w14:textId="77777777" w:rsidR="00040389" w:rsidRPr="00040389" w:rsidRDefault="00040389" w:rsidP="00A479DF">
            <w:pPr>
              <w:spacing w:line="276" w:lineRule="auto"/>
              <w:jc w:val="both"/>
              <w:rPr>
                <w:rFonts w:ascii="Arial" w:hAnsi="Arial" w:cs="Arial"/>
                <w:iCs/>
                <w:sz w:val="20"/>
                <w:szCs w:val="20"/>
              </w:rPr>
            </w:pPr>
          </w:p>
          <w:p w14:paraId="70F53D5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300-100</w:t>
            </w:r>
          </w:p>
        </w:tc>
        <w:tc>
          <w:tcPr>
            <w:tcW w:w="1439" w:type="dxa"/>
          </w:tcPr>
          <w:p w14:paraId="0B3E82BB"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&lt;0.5</w:t>
            </w:r>
          </w:p>
          <w:p w14:paraId="7829F0DC" w14:textId="77777777" w:rsidR="00040389" w:rsidRPr="00040389" w:rsidRDefault="00040389" w:rsidP="00A479DF">
            <w:pPr>
              <w:spacing w:line="276" w:lineRule="auto"/>
              <w:jc w:val="both"/>
              <w:rPr>
                <w:rFonts w:ascii="Arial" w:hAnsi="Arial" w:cs="Arial"/>
                <w:iCs/>
                <w:sz w:val="20"/>
                <w:szCs w:val="20"/>
              </w:rPr>
            </w:pPr>
          </w:p>
          <w:p w14:paraId="7C0A1936"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&lt;100</w:t>
            </w:r>
          </w:p>
        </w:tc>
      </w:tr>
      <w:tr w:rsidR="00040389" w:rsidRPr="00040389" w14:paraId="60471EEF" w14:textId="77777777" w:rsidTr="00A479DF">
        <w:tc>
          <w:tcPr>
            <w:tcW w:w="1440" w:type="dxa"/>
          </w:tcPr>
          <w:p w14:paraId="10915DD6"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Total</w:t>
            </w:r>
          </w:p>
        </w:tc>
        <w:tc>
          <w:tcPr>
            <w:tcW w:w="1401" w:type="dxa"/>
          </w:tcPr>
          <w:p w14:paraId="33C98BBF"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100</w:t>
            </w:r>
          </w:p>
        </w:tc>
        <w:tc>
          <w:tcPr>
            <w:tcW w:w="1338" w:type="dxa"/>
          </w:tcPr>
          <w:p w14:paraId="5602F048"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400</w:t>
            </w:r>
          </w:p>
        </w:tc>
        <w:tc>
          <w:tcPr>
            <w:tcW w:w="2204" w:type="dxa"/>
          </w:tcPr>
          <w:p w14:paraId="49C8E873"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300</w:t>
            </w:r>
          </w:p>
        </w:tc>
        <w:tc>
          <w:tcPr>
            <w:tcW w:w="1420" w:type="dxa"/>
          </w:tcPr>
          <w:p w14:paraId="3B8A6C01"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200</w:t>
            </w:r>
          </w:p>
        </w:tc>
        <w:tc>
          <w:tcPr>
            <w:tcW w:w="1439" w:type="dxa"/>
          </w:tcPr>
          <w:p w14:paraId="485E2F3D" w14:textId="77777777" w:rsidR="00040389" w:rsidRPr="00040389" w:rsidRDefault="00040389" w:rsidP="00A479DF">
            <w:pPr>
              <w:spacing w:line="276" w:lineRule="auto"/>
              <w:jc w:val="both"/>
              <w:rPr>
                <w:rFonts w:ascii="Arial" w:hAnsi="Arial" w:cs="Arial"/>
                <w:iCs/>
                <w:sz w:val="20"/>
                <w:szCs w:val="20"/>
              </w:rPr>
            </w:pPr>
            <w:r w:rsidRPr="00040389">
              <w:rPr>
                <w:rFonts w:ascii="Arial" w:hAnsi="Arial" w:cs="Arial"/>
                <w:iCs/>
                <w:sz w:val="20"/>
                <w:szCs w:val="20"/>
              </w:rPr>
              <w:t>100</w:t>
            </w:r>
          </w:p>
        </w:tc>
      </w:tr>
    </w:tbl>
    <w:p w14:paraId="237AA69F" w14:textId="77777777" w:rsidR="00040389" w:rsidRPr="00040389" w:rsidRDefault="00040389" w:rsidP="00040389">
      <w:pPr>
        <w:jc w:val="both"/>
        <w:rPr>
          <w:rFonts w:ascii="Arial" w:hAnsi="Arial" w:cs="Arial"/>
          <w:iCs/>
        </w:rPr>
      </w:pPr>
    </w:p>
    <w:p w14:paraId="3356D58A" w14:textId="77777777" w:rsidR="00790ADA" w:rsidRPr="00263654" w:rsidRDefault="00040389" w:rsidP="00263654">
      <w:pPr>
        <w:jc w:val="both"/>
        <w:rPr>
          <w:rFonts w:ascii="Arial" w:hAnsi="Arial" w:cs="Arial"/>
          <w:iCs/>
        </w:rPr>
      </w:pPr>
      <w:r w:rsidRPr="00040389">
        <w:rPr>
          <w:rFonts w:ascii="Arial" w:hAnsi="Arial" w:cs="Arial"/>
          <w:iCs/>
        </w:rPr>
        <w:t>Based on RSQI value soils are classified as good (RSQI ˃70%), medium (RSQI 50-70%) and poor (RSQI &lt;50%) category.</w:t>
      </w:r>
    </w:p>
    <w:p w14:paraId="254AD651" w14:textId="77777777" w:rsidR="00263654" w:rsidRDefault="00263654" w:rsidP="00441B6F">
      <w:pPr>
        <w:pStyle w:val="Head1"/>
        <w:spacing w:after="0"/>
        <w:jc w:val="both"/>
        <w:rPr>
          <w:rFonts w:ascii="Arial" w:hAnsi="Arial" w:cs="Arial"/>
        </w:rPr>
      </w:pPr>
    </w:p>
    <w:p w14:paraId="430CAA5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7EF4E9A" w14:textId="77777777" w:rsidR="00790ADA" w:rsidRPr="00FB3A86" w:rsidRDefault="00790ADA" w:rsidP="00441B6F">
      <w:pPr>
        <w:pStyle w:val="Head1"/>
        <w:spacing w:after="0"/>
        <w:jc w:val="both"/>
        <w:rPr>
          <w:rFonts w:ascii="Arial" w:hAnsi="Arial" w:cs="Arial"/>
        </w:rPr>
      </w:pPr>
    </w:p>
    <w:p w14:paraId="12A74DFA" w14:textId="77777777" w:rsidR="00263654" w:rsidRPr="00D226F5" w:rsidRDefault="00263654" w:rsidP="00263654">
      <w:pPr>
        <w:spacing w:line="360" w:lineRule="auto"/>
        <w:jc w:val="both"/>
        <w:rPr>
          <w:b/>
          <w:bCs/>
          <w:iCs/>
          <w:sz w:val="22"/>
          <w:szCs w:val="22"/>
        </w:rPr>
      </w:pPr>
      <w:r w:rsidRPr="00D226F5">
        <w:rPr>
          <w:b/>
          <w:bCs/>
          <w:iCs/>
          <w:sz w:val="22"/>
          <w:szCs w:val="22"/>
        </w:rPr>
        <w:t xml:space="preserve">3.1. </w:t>
      </w:r>
      <w:r w:rsidR="00C63F65" w:rsidRPr="00D226F5">
        <w:rPr>
          <w:b/>
          <w:bCs/>
          <w:iCs/>
          <w:sz w:val="22"/>
          <w:szCs w:val="22"/>
        </w:rPr>
        <w:t xml:space="preserve">Computation of RSQI and categories of soils: </w:t>
      </w:r>
    </w:p>
    <w:p w14:paraId="3767361B" w14:textId="77777777" w:rsidR="00C63F65" w:rsidRDefault="00C63F65" w:rsidP="00C63F65">
      <w:pPr>
        <w:spacing w:line="360" w:lineRule="auto"/>
        <w:ind w:firstLine="720"/>
        <w:jc w:val="both"/>
        <w:rPr>
          <w:rFonts w:ascii="Times New Roman" w:hAnsi="Times New Roman"/>
          <w:iCs/>
          <w:sz w:val="24"/>
          <w:szCs w:val="24"/>
        </w:rPr>
      </w:pPr>
      <w:r>
        <w:rPr>
          <w:iCs/>
        </w:rPr>
        <w:t xml:space="preserve">The RSQI based on 14 soil indicators viz. </w:t>
      </w:r>
      <w:r>
        <w:rPr>
          <w:rFonts w:ascii="Times New Roman" w:hAnsi="Times New Roman"/>
          <w:iCs/>
          <w:sz w:val="24"/>
          <w:szCs w:val="24"/>
        </w:rPr>
        <w:t>water holding capacity (%), soil texture, b</w:t>
      </w:r>
      <w:r w:rsidRPr="00404136">
        <w:rPr>
          <w:rFonts w:ascii="Times New Roman" w:hAnsi="Times New Roman"/>
          <w:iCs/>
          <w:sz w:val="24"/>
          <w:szCs w:val="24"/>
        </w:rPr>
        <w:t>ulk density (Mg m</w:t>
      </w:r>
      <w:r w:rsidRPr="00404136">
        <w:rPr>
          <w:rFonts w:ascii="Times New Roman" w:hAnsi="Times New Roman"/>
          <w:iCs/>
          <w:sz w:val="24"/>
          <w:szCs w:val="24"/>
          <w:vertAlign w:val="superscript"/>
        </w:rPr>
        <w:t>-3</w:t>
      </w:r>
      <w:r w:rsidRPr="00404136">
        <w:rPr>
          <w:rFonts w:ascii="Times New Roman" w:hAnsi="Times New Roman"/>
          <w:iCs/>
          <w:sz w:val="24"/>
          <w:szCs w:val="24"/>
        </w:rPr>
        <w:t>)</w:t>
      </w:r>
      <w:r>
        <w:rPr>
          <w:rFonts w:ascii="Times New Roman" w:hAnsi="Times New Roman"/>
          <w:iCs/>
          <w:sz w:val="24"/>
          <w:szCs w:val="24"/>
        </w:rPr>
        <w:t>, soil pH (1:2.5), CEC [C mol (p+)kg</w:t>
      </w:r>
      <w:r w:rsidRPr="00CC033B">
        <w:rPr>
          <w:rFonts w:ascii="Times New Roman" w:hAnsi="Times New Roman"/>
          <w:iCs/>
          <w:sz w:val="24"/>
          <w:szCs w:val="24"/>
          <w:vertAlign w:val="superscript"/>
        </w:rPr>
        <w:t>-1</w:t>
      </w:r>
      <w:r>
        <w:rPr>
          <w:rFonts w:ascii="Times New Roman" w:hAnsi="Times New Roman"/>
          <w:iCs/>
          <w:sz w:val="24"/>
          <w:szCs w:val="24"/>
        </w:rPr>
        <w:t>)], Av. N (kg ha</w:t>
      </w:r>
      <w:r w:rsidRPr="00CC033B">
        <w:rPr>
          <w:rFonts w:ascii="Times New Roman" w:hAnsi="Times New Roman"/>
          <w:iCs/>
          <w:sz w:val="24"/>
          <w:szCs w:val="24"/>
          <w:vertAlign w:val="superscript"/>
        </w:rPr>
        <w:t>-1</w:t>
      </w:r>
      <w:r>
        <w:rPr>
          <w:rFonts w:ascii="Times New Roman" w:hAnsi="Times New Roman"/>
          <w:iCs/>
          <w:sz w:val="24"/>
          <w:szCs w:val="24"/>
        </w:rPr>
        <w:t>), Av. P (kg ha</w:t>
      </w:r>
      <w:r w:rsidRPr="00CC033B">
        <w:rPr>
          <w:rFonts w:ascii="Times New Roman" w:hAnsi="Times New Roman"/>
          <w:iCs/>
          <w:sz w:val="24"/>
          <w:szCs w:val="24"/>
          <w:vertAlign w:val="superscript"/>
        </w:rPr>
        <w:t>-1</w:t>
      </w:r>
      <w:r>
        <w:rPr>
          <w:rFonts w:ascii="Times New Roman" w:hAnsi="Times New Roman"/>
          <w:iCs/>
          <w:sz w:val="24"/>
          <w:szCs w:val="24"/>
        </w:rPr>
        <w:t>), Av. K (kg ha</w:t>
      </w:r>
      <w:r w:rsidRPr="00CC033B">
        <w:rPr>
          <w:rFonts w:ascii="Times New Roman" w:hAnsi="Times New Roman"/>
          <w:iCs/>
          <w:sz w:val="24"/>
          <w:szCs w:val="24"/>
          <w:vertAlign w:val="superscript"/>
        </w:rPr>
        <w:t>-1</w:t>
      </w:r>
      <w:r>
        <w:rPr>
          <w:rFonts w:ascii="Times New Roman" w:hAnsi="Times New Roman"/>
          <w:iCs/>
          <w:sz w:val="24"/>
          <w:szCs w:val="24"/>
        </w:rPr>
        <w:t>), Av. S (kg ha</w:t>
      </w:r>
      <w:r w:rsidRPr="00CC033B">
        <w:rPr>
          <w:rFonts w:ascii="Times New Roman" w:hAnsi="Times New Roman"/>
          <w:iCs/>
          <w:sz w:val="24"/>
          <w:szCs w:val="24"/>
          <w:vertAlign w:val="superscript"/>
        </w:rPr>
        <w:t>-1</w:t>
      </w:r>
      <w:r>
        <w:rPr>
          <w:rFonts w:ascii="Times New Roman" w:hAnsi="Times New Roman"/>
          <w:iCs/>
          <w:sz w:val="24"/>
          <w:szCs w:val="24"/>
        </w:rPr>
        <w:t>),  DTPA Zn (mg ha</w:t>
      </w:r>
      <w:r w:rsidRPr="00CC033B">
        <w:rPr>
          <w:rFonts w:ascii="Times New Roman" w:hAnsi="Times New Roman"/>
          <w:iCs/>
          <w:sz w:val="24"/>
          <w:szCs w:val="24"/>
          <w:vertAlign w:val="superscript"/>
        </w:rPr>
        <w:t>-1</w:t>
      </w:r>
      <w:r>
        <w:rPr>
          <w:rFonts w:ascii="Times New Roman" w:hAnsi="Times New Roman"/>
          <w:iCs/>
          <w:sz w:val="24"/>
          <w:szCs w:val="24"/>
        </w:rPr>
        <w:t>), Av. B (mg ha</w:t>
      </w:r>
      <w:r w:rsidRPr="00CC033B">
        <w:rPr>
          <w:rFonts w:ascii="Times New Roman" w:hAnsi="Times New Roman"/>
          <w:iCs/>
          <w:sz w:val="24"/>
          <w:szCs w:val="24"/>
          <w:vertAlign w:val="superscript"/>
        </w:rPr>
        <w:t>-1</w:t>
      </w:r>
      <w:r>
        <w:rPr>
          <w:rFonts w:ascii="Times New Roman" w:hAnsi="Times New Roman"/>
          <w:iCs/>
          <w:sz w:val="24"/>
          <w:szCs w:val="24"/>
        </w:rPr>
        <w:t>), Av. Fe (mg ha</w:t>
      </w:r>
      <w:r w:rsidRPr="00CC033B">
        <w:rPr>
          <w:rFonts w:ascii="Times New Roman" w:hAnsi="Times New Roman"/>
          <w:iCs/>
          <w:sz w:val="24"/>
          <w:szCs w:val="24"/>
          <w:vertAlign w:val="superscript"/>
        </w:rPr>
        <w:t>-1</w:t>
      </w:r>
      <w:r>
        <w:rPr>
          <w:rFonts w:ascii="Times New Roman" w:hAnsi="Times New Roman"/>
          <w:iCs/>
          <w:sz w:val="24"/>
          <w:szCs w:val="24"/>
        </w:rPr>
        <w:t>), Organic Carbon (%) and MBC (mg kg</w:t>
      </w:r>
      <w:r w:rsidRPr="00CC033B">
        <w:rPr>
          <w:rFonts w:ascii="Times New Roman" w:hAnsi="Times New Roman"/>
          <w:iCs/>
          <w:sz w:val="24"/>
          <w:szCs w:val="24"/>
          <w:vertAlign w:val="superscript"/>
        </w:rPr>
        <w:t>-1</w:t>
      </w:r>
      <w:r>
        <w:rPr>
          <w:rFonts w:ascii="Times New Roman" w:hAnsi="Times New Roman"/>
          <w:iCs/>
          <w:sz w:val="24"/>
          <w:szCs w:val="24"/>
        </w:rPr>
        <w:t>) which were known to exert significant influence on soil health were computed  (Table 2). The result illustrated that in Rice- Fallow system 100% of the soils belonged to medium (RSQI-50-70%) category while in case of uncultivated soils, without poor category, 43.33% and 56.67% belonged to medium (RSQI-50-70</w:t>
      </w:r>
      <w:proofErr w:type="gramStart"/>
      <w:r>
        <w:rPr>
          <w:rFonts w:ascii="Times New Roman" w:hAnsi="Times New Roman"/>
          <w:iCs/>
          <w:sz w:val="24"/>
          <w:szCs w:val="24"/>
        </w:rPr>
        <w:t>%)  and</w:t>
      </w:r>
      <w:proofErr w:type="gramEnd"/>
      <w:r>
        <w:rPr>
          <w:rFonts w:ascii="Times New Roman" w:hAnsi="Times New Roman"/>
          <w:iCs/>
          <w:sz w:val="24"/>
          <w:szCs w:val="24"/>
        </w:rPr>
        <w:t xml:space="preserve"> good (RSQI &gt;70%) category correspondingly. In rice-oilseed crop sequence the RSQI value exhibited </w:t>
      </w:r>
      <w:proofErr w:type="gramStart"/>
      <w:r>
        <w:rPr>
          <w:rFonts w:ascii="Times New Roman" w:hAnsi="Times New Roman"/>
          <w:iCs/>
          <w:sz w:val="24"/>
          <w:szCs w:val="24"/>
        </w:rPr>
        <w:t>that  only</w:t>
      </w:r>
      <w:proofErr w:type="gramEnd"/>
      <w:r>
        <w:rPr>
          <w:rFonts w:ascii="Times New Roman" w:hAnsi="Times New Roman"/>
          <w:iCs/>
          <w:sz w:val="24"/>
          <w:szCs w:val="24"/>
        </w:rPr>
        <w:t xml:space="preserve"> 6.30% soils belonged to good category (RSQI &gt;70%) under cultivation compared to 71.43% good category (RSQI &gt;70%) under uncultivated situation. It indicated that soil properties deteriorated in cultivated soils, might be due to inappropriate soil management practices. Similar trends of results were also observed in AESR 10.1, where majority of cultivated soils (rice-wheat, Soya bean-wheat and Soya bean-chickpea) fell under the medium (RSQI value=77.5%) and poor (RSQI value=11.20%) (</w:t>
      </w:r>
      <w:proofErr w:type="spellStart"/>
      <w:proofErr w:type="gramStart"/>
      <w:r>
        <w:rPr>
          <w:rFonts w:ascii="Times New Roman" w:hAnsi="Times New Roman"/>
          <w:iCs/>
          <w:sz w:val="24"/>
          <w:szCs w:val="24"/>
        </w:rPr>
        <w:t>Kundu,</w:t>
      </w:r>
      <w:r w:rsidRPr="00C63F65">
        <w:rPr>
          <w:rFonts w:ascii="Times New Roman" w:hAnsi="Times New Roman"/>
          <w:i/>
          <w:sz w:val="24"/>
          <w:szCs w:val="24"/>
        </w:rPr>
        <w:t>et</w:t>
      </w:r>
      <w:proofErr w:type="spellEnd"/>
      <w:proofErr w:type="gramEnd"/>
      <w:r w:rsidRPr="00C63F65">
        <w:rPr>
          <w:rFonts w:ascii="Times New Roman" w:hAnsi="Times New Roman"/>
          <w:i/>
          <w:sz w:val="24"/>
          <w:szCs w:val="24"/>
        </w:rPr>
        <w:t xml:space="preserve"> al</w:t>
      </w:r>
      <w:r>
        <w:rPr>
          <w:rFonts w:ascii="Times New Roman" w:hAnsi="Times New Roman"/>
          <w:iCs/>
          <w:sz w:val="24"/>
          <w:szCs w:val="24"/>
        </w:rPr>
        <w:t xml:space="preserve">,2012). RSQI value computed for soil samples from rice ecosystem of Upper Brahmaputra Valley Zone of Assam indicated that majority of the soils belonged to medium category (RSQI value 58.9%) as reported by Gayan, </w:t>
      </w:r>
      <w:r w:rsidRPr="004B6019">
        <w:rPr>
          <w:rFonts w:ascii="Times New Roman" w:hAnsi="Times New Roman"/>
          <w:i/>
          <w:sz w:val="24"/>
          <w:szCs w:val="24"/>
        </w:rPr>
        <w:t>et al</w:t>
      </w:r>
      <w:r>
        <w:rPr>
          <w:rFonts w:ascii="Times New Roman" w:hAnsi="Times New Roman"/>
          <w:iCs/>
          <w:sz w:val="24"/>
          <w:szCs w:val="24"/>
        </w:rPr>
        <w:t xml:space="preserve"> 2020.</w:t>
      </w:r>
    </w:p>
    <w:p w14:paraId="0D936BD3" w14:textId="77777777" w:rsidR="00C63F65" w:rsidRPr="00C63F65" w:rsidRDefault="00C63F65" w:rsidP="00C63F65">
      <w:pPr>
        <w:jc w:val="both"/>
        <w:rPr>
          <w:rFonts w:ascii="Times New Roman" w:hAnsi="Times New Roman"/>
          <w:b/>
          <w:bCs/>
          <w:iCs/>
          <w:sz w:val="24"/>
          <w:szCs w:val="24"/>
        </w:rPr>
      </w:pPr>
      <w:r w:rsidRPr="00C63F65">
        <w:rPr>
          <w:rFonts w:ascii="Times New Roman" w:hAnsi="Times New Roman"/>
          <w:b/>
          <w:bCs/>
          <w:iCs/>
          <w:sz w:val="24"/>
          <w:szCs w:val="24"/>
        </w:rPr>
        <w:t>Table 2. Grouping of soils based on Relative soil quality Index (RSQI) values for rice-fallow and rice-oilseed   crop sequence</w:t>
      </w:r>
    </w:p>
    <w:tbl>
      <w:tblPr>
        <w:tblStyle w:val="TableGrid"/>
        <w:tblW w:w="0" w:type="auto"/>
        <w:tblLook w:val="04A0" w:firstRow="1" w:lastRow="0" w:firstColumn="1" w:lastColumn="0" w:noHBand="0" w:noVBand="1"/>
      </w:tblPr>
      <w:tblGrid>
        <w:gridCol w:w="1216"/>
        <w:gridCol w:w="1328"/>
        <w:gridCol w:w="1405"/>
        <w:gridCol w:w="1505"/>
        <w:gridCol w:w="1464"/>
        <w:gridCol w:w="1506"/>
      </w:tblGrid>
      <w:tr w:rsidR="00C63F65" w14:paraId="63AE0B53" w14:textId="77777777" w:rsidTr="00263654">
        <w:tc>
          <w:tcPr>
            <w:tcW w:w="1216" w:type="dxa"/>
            <w:vMerge w:val="restart"/>
          </w:tcPr>
          <w:p w14:paraId="6B9C321A"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RSQI (%)</w:t>
            </w:r>
          </w:p>
        </w:tc>
        <w:tc>
          <w:tcPr>
            <w:tcW w:w="1328" w:type="dxa"/>
          </w:tcPr>
          <w:p w14:paraId="623AEEFA"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Quality Rating</w:t>
            </w:r>
          </w:p>
        </w:tc>
        <w:tc>
          <w:tcPr>
            <w:tcW w:w="2910" w:type="dxa"/>
            <w:gridSpan w:val="2"/>
          </w:tcPr>
          <w:p w14:paraId="09EEDD7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Rice-fallow system</w:t>
            </w:r>
          </w:p>
        </w:tc>
        <w:tc>
          <w:tcPr>
            <w:tcW w:w="2970" w:type="dxa"/>
            <w:gridSpan w:val="2"/>
          </w:tcPr>
          <w:p w14:paraId="2BB1EBC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Rice-oilseed sequence</w:t>
            </w:r>
          </w:p>
        </w:tc>
      </w:tr>
      <w:tr w:rsidR="00C63F65" w14:paraId="0BAF7DB9" w14:textId="77777777" w:rsidTr="00263654">
        <w:tc>
          <w:tcPr>
            <w:tcW w:w="1216" w:type="dxa"/>
            <w:vMerge/>
          </w:tcPr>
          <w:p w14:paraId="26F5628B" w14:textId="77777777" w:rsidR="00C63F65" w:rsidRDefault="00C63F65" w:rsidP="00A479DF">
            <w:pPr>
              <w:jc w:val="both"/>
              <w:rPr>
                <w:rFonts w:ascii="Times New Roman" w:hAnsi="Times New Roman"/>
                <w:iCs/>
                <w:sz w:val="24"/>
                <w:szCs w:val="24"/>
              </w:rPr>
            </w:pPr>
          </w:p>
        </w:tc>
        <w:tc>
          <w:tcPr>
            <w:tcW w:w="1328" w:type="dxa"/>
          </w:tcPr>
          <w:p w14:paraId="2ED23DD9" w14:textId="77777777" w:rsidR="00C63F65" w:rsidRDefault="00C63F65" w:rsidP="00A479DF">
            <w:pPr>
              <w:jc w:val="both"/>
              <w:rPr>
                <w:rFonts w:ascii="Times New Roman" w:hAnsi="Times New Roman"/>
                <w:iCs/>
                <w:sz w:val="24"/>
                <w:szCs w:val="24"/>
              </w:rPr>
            </w:pPr>
          </w:p>
        </w:tc>
        <w:tc>
          <w:tcPr>
            <w:tcW w:w="1405" w:type="dxa"/>
          </w:tcPr>
          <w:p w14:paraId="529B6F05"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Cultivated</w:t>
            </w:r>
          </w:p>
        </w:tc>
        <w:tc>
          <w:tcPr>
            <w:tcW w:w="1505" w:type="dxa"/>
          </w:tcPr>
          <w:p w14:paraId="2FFEEDB5"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Uncultivated</w:t>
            </w:r>
          </w:p>
        </w:tc>
        <w:tc>
          <w:tcPr>
            <w:tcW w:w="1464" w:type="dxa"/>
          </w:tcPr>
          <w:p w14:paraId="61F1F8E4"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Cultivated</w:t>
            </w:r>
          </w:p>
        </w:tc>
        <w:tc>
          <w:tcPr>
            <w:tcW w:w="1506" w:type="dxa"/>
          </w:tcPr>
          <w:p w14:paraId="1AE62F40"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Uncultivated</w:t>
            </w:r>
          </w:p>
        </w:tc>
      </w:tr>
      <w:tr w:rsidR="00C63F65" w14:paraId="4AB10208" w14:textId="77777777" w:rsidTr="00263654">
        <w:tc>
          <w:tcPr>
            <w:tcW w:w="1216" w:type="dxa"/>
          </w:tcPr>
          <w:p w14:paraId="6676E305"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lastRenderedPageBreak/>
              <w:t>&lt;50</w:t>
            </w:r>
          </w:p>
        </w:tc>
        <w:tc>
          <w:tcPr>
            <w:tcW w:w="1328" w:type="dxa"/>
          </w:tcPr>
          <w:p w14:paraId="79F01539"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Poor</w:t>
            </w:r>
          </w:p>
        </w:tc>
        <w:tc>
          <w:tcPr>
            <w:tcW w:w="1405" w:type="dxa"/>
          </w:tcPr>
          <w:p w14:paraId="0A6B26D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w:t>
            </w:r>
          </w:p>
        </w:tc>
        <w:tc>
          <w:tcPr>
            <w:tcW w:w="1505" w:type="dxa"/>
          </w:tcPr>
          <w:p w14:paraId="4BBCE42F"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w:t>
            </w:r>
          </w:p>
        </w:tc>
        <w:tc>
          <w:tcPr>
            <w:tcW w:w="1464" w:type="dxa"/>
          </w:tcPr>
          <w:p w14:paraId="288ACB1F" w14:textId="77777777" w:rsidR="00C63F65" w:rsidRDefault="00C63F65" w:rsidP="00A479DF">
            <w:pPr>
              <w:jc w:val="both"/>
              <w:rPr>
                <w:rFonts w:ascii="Times New Roman" w:hAnsi="Times New Roman"/>
                <w:iCs/>
                <w:sz w:val="24"/>
                <w:szCs w:val="24"/>
              </w:rPr>
            </w:pPr>
          </w:p>
        </w:tc>
        <w:tc>
          <w:tcPr>
            <w:tcW w:w="1506" w:type="dxa"/>
          </w:tcPr>
          <w:p w14:paraId="6F9F3B40" w14:textId="77777777" w:rsidR="00C63F65" w:rsidRDefault="00C63F65" w:rsidP="00A479DF">
            <w:pPr>
              <w:jc w:val="both"/>
              <w:rPr>
                <w:rFonts w:ascii="Times New Roman" w:hAnsi="Times New Roman"/>
                <w:iCs/>
                <w:sz w:val="24"/>
                <w:szCs w:val="24"/>
              </w:rPr>
            </w:pPr>
          </w:p>
        </w:tc>
      </w:tr>
      <w:tr w:rsidR="00C63F65" w14:paraId="1CD6A676" w14:textId="77777777" w:rsidTr="00263654">
        <w:tc>
          <w:tcPr>
            <w:tcW w:w="1216" w:type="dxa"/>
          </w:tcPr>
          <w:p w14:paraId="03A7C972"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50-70</w:t>
            </w:r>
          </w:p>
        </w:tc>
        <w:tc>
          <w:tcPr>
            <w:tcW w:w="1328" w:type="dxa"/>
          </w:tcPr>
          <w:p w14:paraId="56E7DA67"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Medium</w:t>
            </w:r>
          </w:p>
        </w:tc>
        <w:tc>
          <w:tcPr>
            <w:tcW w:w="1405" w:type="dxa"/>
          </w:tcPr>
          <w:p w14:paraId="17B27FE8"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60 (100%)</w:t>
            </w:r>
          </w:p>
        </w:tc>
        <w:tc>
          <w:tcPr>
            <w:tcW w:w="1505" w:type="dxa"/>
          </w:tcPr>
          <w:p w14:paraId="35E19CA2"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26(43.33%)</w:t>
            </w:r>
          </w:p>
        </w:tc>
        <w:tc>
          <w:tcPr>
            <w:tcW w:w="1464" w:type="dxa"/>
          </w:tcPr>
          <w:p w14:paraId="2B42B2EB"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59(93.65%)</w:t>
            </w:r>
          </w:p>
        </w:tc>
        <w:tc>
          <w:tcPr>
            <w:tcW w:w="1506" w:type="dxa"/>
          </w:tcPr>
          <w:p w14:paraId="38D6A076"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18 (28.57%)</w:t>
            </w:r>
          </w:p>
        </w:tc>
      </w:tr>
      <w:tr w:rsidR="00C63F65" w14:paraId="0B32C323" w14:textId="77777777" w:rsidTr="00263654">
        <w:tc>
          <w:tcPr>
            <w:tcW w:w="1216" w:type="dxa"/>
          </w:tcPr>
          <w:p w14:paraId="71BCBD4E"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&gt;70</w:t>
            </w:r>
          </w:p>
        </w:tc>
        <w:tc>
          <w:tcPr>
            <w:tcW w:w="1328" w:type="dxa"/>
          </w:tcPr>
          <w:p w14:paraId="70B73B44"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Good</w:t>
            </w:r>
          </w:p>
        </w:tc>
        <w:tc>
          <w:tcPr>
            <w:tcW w:w="1405" w:type="dxa"/>
          </w:tcPr>
          <w:p w14:paraId="4069892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w:t>
            </w:r>
          </w:p>
        </w:tc>
        <w:tc>
          <w:tcPr>
            <w:tcW w:w="1505" w:type="dxa"/>
          </w:tcPr>
          <w:p w14:paraId="2BBE8058"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34 (56.67%)</w:t>
            </w:r>
          </w:p>
        </w:tc>
        <w:tc>
          <w:tcPr>
            <w:tcW w:w="1464" w:type="dxa"/>
          </w:tcPr>
          <w:p w14:paraId="464E8324"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4 (6.34%)</w:t>
            </w:r>
          </w:p>
        </w:tc>
        <w:tc>
          <w:tcPr>
            <w:tcW w:w="1506" w:type="dxa"/>
          </w:tcPr>
          <w:p w14:paraId="4D09C761"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45 (71.43%)</w:t>
            </w:r>
          </w:p>
        </w:tc>
      </w:tr>
      <w:tr w:rsidR="00C63F65" w14:paraId="0B057071" w14:textId="77777777" w:rsidTr="00263654">
        <w:tc>
          <w:tcPr>
            <w:tcW w:w="1216" w:type="dxa"/>
          </w:tcPr>
          <w:p w14:paraId="3574C299"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Total</w:t>
            </w:r>
          </w:p>
        </w:tc>
        <w:tc>
          <w:tcPr>
            <w:tcW w:w="1328" w:type="dxa"/>
          </w:tcPr>
          <w:p w14:paraId="5B5A39DA" w14:textId="77777777" w:rsidR="00C63F65" w:rsidRDefault="00C63F65" w:rsidP="00A479DF">
            <w:pPr>
              <w:jc w:val="both"/>
              <w:rPr>
                <w:rFonts w:ascii="Times New Roman" w:hAnsi="Times New Roman"/>
                <w:iCs/>
                <w:sz w:val="24"/>
                <w:szCs w:val="24"/>
              </w:rPr>
            </w:pPr>
          </w:p>
        </w:tc>
        <w:tc>
          <w:tcPr>
            <w:tcW w:w="1405" w:type="dxa"/>
          </w:tcPr>
          <w:p w14:paraId="2F6A4AF8"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60 (100%)</w:t>
            </w:r>
          </w:p>
        </w:tc>
        <w:tc>
          <w:tcPr>
            <w:tcW w:w="1505" w:type="dxa"/>
          </w:tcPr>
          <w:p w14:paraId="1BCADFB7"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60 (100%)</w:t>
            </w:r>
          </w:p>
        </w:tc>
        <w:tc>
          <w:tcPr>
            <w:tcW w:w="1464" w:type="dxa"/>
          </w:tcPr>
          <w:p w14:paraId="50F53E3B"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63 (100%)</w:t>
            </w:r>
          </w:p>
        </w:tc>
        <w:tc>
          <w:tcPr>
            <w:tcW w:w="1506" w:type="dxa"/>
          </w:tcPr>
          <w:p w14:paraId="6B613399" w14:textId="77777777" w:rsidR="00C63F65" w:rsidRDefault="00C63F65" w:rsidP="00A479DF">
            <w:pPr>
              <w:jc w:val="both"/>
              <w:rPr>
                <w:rFonts w:ascii="Times New Roman" w:hAnsi="Times New Roman"/>
                <w:iCs/>
                <w:sz w:val="24"/>
                <w:szCs w:val="24"/>
              </w:rPr>
            </w:pPr>
            <w:r>
              <w:rPr>
                <w:rFonts w:ascii="Times New Roman" w:hAnsi="Times New Roman"/>
                <w:iCs/>
                <w:sz w:val="24"/>
                <w:szCs w:val="24"/>
              </w:rPr>
              <w:t>63 (100%)</w:t>
            </w:r>
          </w:p>
        </w:tc>
      </w:tr>
    </w:tbl>
    <w:p w14:paraId="6AB75C44" w14:textId="77777777" w:rsidR="00263654" w:rsidRDefault="00263654" w:rsidP="00263654">
      <w:pPr>
        <w:spacing w:line="360" w:lineRule="auto"/>
        <w:jc w:val="both"/>
        <w:rPr>
          <w:rFonts w:ascii="Arial" w:hAnsi="Arial" w:cs="Arial"/>
          <w:b/>
          <w:bCs/>
          <w:iCs/>
        </w:rPr>
      </w:pPr>
    </w:p>
    <w:p w14:paraId="175B85E8" w14:textId="77777777" w:rsidR="00C63F65" w:rsidRPr="00263654" w:rsidRDefault="00263654" w:rsidP="00263654">
      <w:pPr>
        <w:spacing w:line="360" w:lineRule="auto"/>
        <w:jc w:val="both"/>
        <w:rPr>
          <w:rFonts w:ascii="Arial" w:hAnsi="Arial" w:cs="Arial"/>
          <w:b/>
          <w:bCs/>
          <w:iCs/>
        </w:rPr>
      </w:pPr>
      <w:r>
        <w:rPr>
          <w:rFonts w:ascii="Arial" w:hAnsi="Arial" w:cs="Arial"/>
          <w:b/>
          <w:bCs/>
          <w:iCs/>
        </w:rPr>
        <w:t xml:space="preserve">3.2. </w:t>
      </w:r>
      <w:r w:rsidRPr="00263654">
        <w:rPr>
          <w:rFonts w:ascii="Arial" w:hAnsi="Arial" w:cs="Arial"/>
          <w:b/>
          <w:bCs/>
          <w:iCs/>
        </w:rPr>
        <w:t xml:space="preserve">Correlation coefficient and simple linear regression </w:t>
      </w:r>
    </w:p>
    <w:p w14:paraId="2D2CC9A8" w14:textId="77777777" w:rsidR="00C63F65" w:rsidRPr="00C63F65" w:rsidRDefault="00C63F65" w:rsidP="00C63F65">
      <w:pPr>
        <w:spacing w:line="360" w:lineRule="auto"/>
        <w:ind w:firstLine="720"/>
        <w:jc w:val="both"/>
        <w:rPr>
          <w:rFonts w:ascii="Arial" w:hAnsi="Arial" w:cs="Arial"/>
          <w:iCs/>
        </w:rPr>
      </w:pPr>
      <w:r w:rsidRPr="00C63F65">
        <w:rPr>
          <w:rFonts w:ascii="Arial" w:hAnsi="Arial" w:cs="Arial"/>
          <w:iCs/>
        </w:rPr>
        <w:t xml:space="preserve">The regression lines were drawn to observe the effectiveness of RSQI, and the relationship was in the form of </w:t>
      </w:r>
      <w:r w:rsidR="00FB7F9D">
        <w:rPr>
          <w:rFonts w:ascii="Arial" w:hAnsi="Arial" w:cs="Arial"/>
          <w:iCs/>
        </w:rPr>
        <w:t>y=0.4127x+38.559</w:t>
      </w:r>
      <w:r w:rsidRPr="00C63F65">
        <w:rPr>
          <w:rFonts w:ascii="Arial" w:hAnsi="Arial" w:cs="Arial"/>
          <w:iCs/>
        </w:rPr>
        <w:t xml:space="preserve"> (R</w:t>
      </w:r>
      <w:r w:rsidRPr="00C63F65">
        <w:rPr>
          <w:rFonts w:ascii="Arial" w:hAnsi="Arial" w:cs="Arial"/>
          <w:iCs/>
          <w:vertAlign w:val="superscript"/>
        </w:rPr>
        <w:t>2</w:t>
      </w:r>
      <w:r w:rsidR="00FB7F9D">
        <w:rPr>
          <w:rFonts w:ascii="Arial" w:hAnsi="Arial" w:cs="Arial"/>
          <w:iCs/>
        </w:rPr>
        <w:t>=0.2113</w:t>
      </w:r>
      <w:r w:rsidRPr="00C63F65">
        <w:rPr>
          <w:rFonts w:ascii="Arial" w:hAnsi="Arial" w:cs="Arial"/>
          <w:iCs/>
        </w:rPr>
        <w:t>) in between % relative yield of rice and RSQI (Fig1) under rice fallow system. The regression line was used to work out the optimum value</w:t>
      </w:r>
      <w:r w:rsidR="00263654">
        <w:rPr>
          <w:rFonts w:ascii="Arial" w:hAnsi="Arial" w:cs="Arial"/>
          <w:iCs/>
        </w:rPr>
        <w:t xml:space="preserve"> of RSQI to sustain 80% (4.24 t h</w:t>
      </w:r>
      <w:r w:rsidRPr="00C63F65">
        <w:rPr>
          <w:rFonts w:ascii="Arial" w:hAnsi="Arial" w:cs="Arial"/>
          <w:iCs/>
        </w:rPr>
        <w:t>a</w:t>
      </w:r>
      <w:r w:rsidRPr="00C63F65">
        <w:rPr>
          <w:rFonts w:ascii="Arial" w:hAnsi="Arial" w:cs="Arial"/>
          <w:iCs/>
          <w:vertAlign w:val="superscript"/>
        </w:rPr>
        <w:t>-1</w:t>
      </w:r>
      <w:r w:rsidRPr="00C63F65">
        <w:rPr>
          <w:rFonts w:ascii="Arial" w:hAnsi="Arial" w:cs="Arial"/>
          <w:iCs/>
        </w:rPr>
        <w:t xml:space="preserve">) or more of the existing </w:t>
      </w:r>
      <w:r w:rsidRPr="00C63F65">
        <w:rPr>
          <w:rFonts w:ascii="Arial" w:hAnsi="Arial" w:cs="Arial"/>
          <w:i/>
        </w:rPr>
        <w:t>infield</w:t>
      </w:r>
      <w:r w:rsidRPr="00C63F65">
        <w:rPr>
          <w:rFonts w:ascii="Arial" w:hAnsi="Arial" w:cs="Arial"/>
          <w:iCs/>
        </w:rPr>
        <w:t xml:space="preserve"> maximum rice yield (5.3 t</w:t>
      </w:r>
      <w:r w:rsidR="00263654">
        <w:rPr>
          <w:rFonts w:ascii="Arial" w:hAnsi="Arial" w:cs="Arial"/>
          <w:iCs/>
        </w:rPr>
        <w:t xml:space="preserve"> </w:t>
      </w:r>
      <w:r w:rsidRPr="00C63F65">
        <w:rPr>
          <w:rFonts w:ascii="Arial" w:hAnsi="Arial" w:cs="Arial"/>
          <w:iCs/>
        </w:rPr>
        <w:t>ha</w:t>
      </w:r>
      <w:r w:rsidRPr="00C63F65">
        <w:rPr>
          <w:rFonts w:ascii="Arial" w:hAnsi="Arial" w:cs="Arial"/>
          <w:iCs/>
          <w:vertAlign w:val="superscript"/>
        </w:rPr>
        <w:t>-1</w:t>
      </w:r>
      <w:r w:rsidRPr="00C63F65">
        <w:rPr>
          <w:rFonts w:ascii="Arial" w:hAnsi="Arial" w:cs="Arial"/>
          <w:iCs/>
        </w:rPr>
        <w:t xml:space="preserve">). </w:t>
      </w:r>
      <w:proofErr w:type="gramStart"/>
      <w:r w:rsidRPr="00C63F65">
        <w:rPr>
          <w:rFonts w:ascii="Arial" w:hAnsi="Arial" w:cs="Arial"/>
          <w:iCs/>
        </w:rPr>
        <w:t>Thus</w:t>
      </w:r>
      <w:proofErr w:type="gramEnd"/>
      <w:r w:rsidRPr="00C63F65">
        <w:rPr>
          <w:rFonts w:ascii="Arial" w:hAnsi="Arial" w:cs="Arial"/>
          <w:iCs/>
        </w:rPr>
        <w:t xml:space="preserve"> the optimum RSQI value for attaining 80% or more of the maximum y</w:t>
      </w:r>
      <w:r w:rsidR="00FB7F9D">
        <w:rPr>
          <w:rFonts w:ascii="Arial" w:hAnsi="Arial" w:cs="Arial"/>
          <w:iCs/>
        </w:rPr>
        <w:t xml:space="preserve">ield computed as </w:t>
      </w:r>
      <w:r w:rsidR="001851F8" w:rsidRPr="001851F8">
        <w:rPr>
          <w:rFonts w:ascii="Arial" w:hAnsi="Arial" w:cs="Arial"/>
          <w:iCs/>
          <w:u w:val="single"/>
        </w:rPr>
        <w:t>&gt;</w:t>
      </w:r>
      <w:r w:rsidR="00FB7F9D">
        <w:rPr>
          <w:rFonts w:ascii="Arial" w:hAnsi="Arial" w:cs="Arial"/>
          <w:iCs/>
        </w:rPr>
        <w:t>51.8</w:t>
      </w:r>
      <w:r w:rsidRPr="00C63F65">
        <w:rPr>
          <w:rFonts w:ascii="Arial" w:hAnsi="Arial" w:cs="Arial"/>
          <w:iCs/>
        </w:rPr>
        <w:t>% in the rice-fallow system.</w:t>
      </w:r>
    </w:p>
    <w:p w14:paraId="2A410A99" w14:textId="77777777" w:rsidR="00C63F65" w:rsidRDefault="00C63F65" w:rsidP="00C63F65">
      <w:pPr>
        <w:spacing w:line="360" w:lineRule="auto"/>
        <w:jc w:val="both"/>
        <w:rPr>
          <w:rFonts w:ascii="Arial" w:hAnsi="Arial" w:cs="Arial"/>
          <w:iCs/>
        </w:rPr>
      </w:pPr>
      <w:r w:rsidRPr="00C63F65">
        <w:rPr>
          <w:rFonts w:ascii="Arial" w:hAnsi="Arial" w:cs="Arial"/>
          <w:iCs/>
        </w:rPr>
        <w:t xml:space="preserve">In rice-oilseed crop sequence, the regression </w:t>
      </w:r>
      <w:r w:rsidR="00182533">
        <w:rPr>
          <w:rFonts w:ascii="Arial" w:hAnsi="Arial" w:cs="Arial"/>
          <w:iCs/>
        </w:rPr>
        <w:t>line was in the form of Y=0.3784x +48.188</w:t>
      </w:r>
      <w:r w:rsidRPr="00C63F65">
        <w:rPr>
          <w:rFonts w:ascii="Arial" w:hAnsi="Arial" w:cs="Arial"/>
          <w:iCs/>
        </w:rPr>
        <w:t xml:space="preserve"> (R</w:t>
      </w:r>
      <w:r w:rsidRPr="00C63F65">
        <w:rPr>
          <w:rFonts w:ascii="Arial" w:hAnsi="Arial" w:cs="Arial"/>
          <w:iCs/>
          <w:vertAlign w:val="superscript"/>
        </w:rPr>
        <w:t>2</w:t>
      </w:r>
      <w:r w:rsidR="00182533">
        <w:rPr>
          <w:rFonts w:ascii="Arial" w:hAnsi="Arial" w:cs="Arial"/>
          <w:iCs/>
        </w:rPr>
        <w:t>=0.1001</w:t>
      </w:r>
      <w:r w:rsidRPr="00C63F65">
        <w:rPr>
          <w:rFonts w:ascii="Arial" w:hAnsi="Arial" w:cs="Arial"/>
          <w:iCs/>
        </w:rPr>
        <w:t xml:space="preserve"> in between mean equivalent %RY of rice and RSQI (Fig2). The regression line was used to work out the optimum va</w:t>
      </w:r>
      <w:r w:rsidR="00182533">
        <w:rPr>
          <w:rFonts w:ascii="Arial" w:hAnsi="Arial" w:cs="Arial"/>
          <w:iCs/>
        </w:rPr>
        <w:t>lue of RSQI to sustain 80% (6.17</w:t>
      </w:r>
      <w:r w:rsidRPr="00C63F65">
        <w:rPr>
          <w:rFonts w:ascii="Arial" w:hAnsi="Arial" w:cs="Arial"/>
          <w:iCs/>
        </w:rPr>
        <w:t>tha</w:t>
      </w:r>
      <w:r w:rsidRPr="00C63F65">
        <w:rPr>
          <w:rFonts w:ascii="Arial" w:hAnsi="Arial" w:cs="Arial"/>
          <w:iCs/>
          <w:vertAlign w:val="superscript"/>
        </w:rPr>
        <w:t>-1</w:t>
      </w:r>
      <w:r w:rsidRPr="00C63F65">
        <w:rPr>
          <w:rFonts w:ascii="Arial" w:hAnsi="Arial" w:cs="Arial"/>
          <w:iCs/>
        </w:rPr>
        <w:t xml:space="preserve">) or more of the </w:t>
      </w:r>
      <w:proofErr w:type="gramStart"/>
      <w:r w:rsidRPr="00C63F65">
        <w:rPr>
          <w:rFonts w:ascii="Arial" w:hAnsi="Arial" w:cs="Arial"/>
          <w:iCs/>
        </w:rPr>
        <w:t xml:space="preserve">existing  </w:t>
      </w:r>
      <w:r w:rsidRPr="00C63F65">
        <w:rPr>
          <w:rFonts w:ascii="Arial" w:hAnsi="Arial" w:cs="Arial"/>
          <w:i/>
        </w:rPr>
        <w:t>infield</w:t>
      </w:r>
      <w:proofErr w:type="gramEnd"/>
      <w:r w:rsidRPr="00C63F65">
        <w:rPr>
          <w:rFonts w:ascii="Arial" w:hAnsi="Arial" w:cs="Arial"/>
          <w:iCs/>
        </w:rPr>
        <w:t xml:space="preserve"> maximum rice </w:t>
      </w:r>
      <w:proofErr w:type="gramStart"/>
      <w:r w:rsidRPr="00C63F65">
        <w:rPr>
          <w:rFonts w:ascii="Arial" w:hAnsi="Arial" w:cs="Arial"/>
          <w:iCs/>
        </w:rPr>
        <w:t>equivalent  yield</w:t>
      </w:r>
      <w:proofErr w:type="gramEnd"/>
      <w:r w:rsidRPr="00C63F65">
        <w:rPr>
          <w:rFonts w:ascii="Arial" w:hAnsi="Arial" w:cs="Arial"/>
          <w:iCs/>
        </w:rPr>
        <w:t xml:space="preserve"> </w:t>
      </w:r>
      <w:r w:rsidR="00182533">
        <w:rPr>
          <w:rFonts w:ascii="Arial" w:hAnsi="Arial" w:cs="Arial"/>
          <w:iCs/>
        </w:rPr>
        <w:t xml:space="preserve"> of crops (rice and </w:t>
      </w:r>
      <w:proofErr w:type="spellStart"/>
      <w:r w:rsidR="00182533">
        <w:rPr>
          <w:rFonts w:ascii="Arial" w:hAnsi="Arial" w:cs="Arial"/>
          <w:iCs/>
        </w:rPr>
        <w:t>toria</w:t>
      </w:r>
      <w:proofErr w:type="spellEnd"/>
      <w:r w:rsidR="00182533">
        <w:rPr>
          <w:rFonts w:ascii="Arial" w:hAnsi="Arial" w:cs="Arial"/>
          <w:iCs/>
        </w:rPr>
        <w:t>) (7.72</w:t>
      </w:r>
      <w:r w:rsidRPr="00C63F65">
        <w:rPr>
          <w:rFonts w:ascii="Arial" w:hAnsi="Arial" w:cs="Arial"/>
          <w:iCs/>
        </w:rPr>
        <w:t xml:space="preserve"> t</w:t>
      </w:r>
      <w:r w:rsidR="00182533">
        <w:rPr>
          <w:rFonts w:ascii="Arial" w:hAnsi="Arial" w:cs="Arial"/>
          <w:iCs/>
        </w:rPr>
        <w:t xml:space="preserve"> </w:t>
      </w:r>
      <w:r w:rsidRPr="00C63F65">
        <w:rPr>
          <w:rFonts w:ascii="Arial" w:hAnsi="Arial" w:cs="Arial"/>
          <w:iCs/>
        </w:rPr>
        <w:t>ha</w:t>
      </w:r>
      <w:r w:rsidRPr="00C63F65">
        <w:rPr>
          <w:rFonts w:ascii="Arial" w:hAnsi="Arial" w:cs="Arial"/>
          <w:iCs/>
          <w:vertAlign w:val="superscript"/>
        </w:rPr>
        <w:t>-1</w:t>
      </w:r>
      <w:r w:rsidRPr="00C63F65">
        <w:rPr>
          <w:rFonts w:ascii="Arial" w:hAnsi="Arial" w:cs="Arial"/>
          <w:iCs/>
        </w:rPr>
        <w:t xml:space="preserve">). </w:t>
      </w:r>
      <w:proofErr w:type="gramStart"/>
      <w:r w:rsidRPr="00C63F65">
        <w:rPr>
          <w:rFonts w:ascii="Arial" w:hAnsi="Arial" w:cs="Arial"/>
          <w:iCs/>
        </w:rPr>
        <w:t>Thus</w:t>
      </w:r>
      <w:proofErr w:type="gramEnd"/>
      <w:r w:rsidRPr="00C63F65">
        <w:rPr>
          <w:rFonts w:ascii="Arial" w:hAnsi="Arial" w:cs="Arial"/>
          <w:iCs/>
        </w:rPr>
        <w:t xml:space="preserve"> the optimum RSQI value for attaining 80% or more of </w:t>
      </w:r>
      <w:r w:rsidR="00182533">
        <w:rPr>
          <w:rFonts w:ascii="Arial" w:hAnsi="Arial" w:cs="Arial"/>
          <w:iCs/>
        </w:rPr>
        <w:t xml:space="preserve">the maximum yield computed as </w:t>
      </w:r>
      <w:r w:rsidR="001851F8" w:rsidRPr="001851F8">
        <w:rPr>
          <w:rFonts w:ascii="Arial" w:hAnsi="Arial" w:cs="Arial"/>
          <w:iCs/>
          <w:u w:val="single"/>
        </w:rPr>
        <w:t>&gt;</w:t>
      </w:r>
      <w:r w:rsidR="00182533">
        <w:rPr>
          <w:rFonts w:ascii="Arial" w:hAnsi="Arial" w:cs="Arial"/>
          <w:iCs/>
        </w:rPr>
        <w:t>51.15</w:t>
      </w:r>
      <w:r w:rsidRPr="00C63F65">
        <w:rPr>
          <w:rFonts w:ascii="Arial" w:hAnsi="Arial" w:cs="Arial"/>
          <w:iCs/>
        </w:rPr>
        <w:t>% in the rice-oilseed crop sequence.</w:t>
      </w:r>
    </w:p>
    <w:p w14:paraId="1C405DE2" w14:textId="77777777" w:rsidR="00C63F65" w:rsidRDefault="00BE1951" w:rsidP="00C63F65">
      <w:pPr>
        <w:spacing w:line="360" w:lineRule="auto"/>
        <w:jc w:val="both"/>
        <w:rPr>
          <w:rFonts w:ascii="Arial" w:hAnsi="Arial" w:cs="Arial"/>
          <w:iCs/>
        </w:rPr>
      </w:pPr>
      <w:r>
        <w:rPr>
          <w:noProof/>
          <w:lang w:val="en-IN" w:eastAsia="en-IN" w:bidi="bn-IN"/>
        </w:rPr>
        <w:drawing>
          <wp:inline distT="0" distB="0" distL="0" distR="0" wp14:anchorId="34656B79" wp14:editId="31D8C2E5">
            <wp:extent cx="5212080" cy="2720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5E79D2" w14:textId="77777777" w:rsidR="00C63F65" w:rsidRPr="00C63F65" w:rsidRDefault="00C63F65" w:rsidP="00C63F65">
      <w:pPr>
        <w:pStyle w:val="ListParagraph"/>
        <w:spacing w:after="160" w:line="360" w:lineRule="auto"/>
        <w:ind w:left="0"/>
        <w:jc w:val="both"/>
        <w:rPr>
          <w:rFonts w:ascii="Arial" w:hAnsi="Arial" w:cs="Arial"/>
          <w:b/>
          <w:bCs/>
          <w:sz w:val="20"/>
          <w:szCs w:val="20"/>
          <w:lang w:val="en-US"/>
        </w:rPr>
      </w:pPr>
      <w:r w:rsidRPr="00C63F65">
        <w:rPr>
          <w:rFonts w:ascii="Arial" w:hAnsi="Arial" w:cs="Arial"/>
          <w:b/>
          <w:bCs/>
          <w:sz w:val="20"/>
          <w:szCs w:val="20"/>
          <w:lang w:val="en-US"/>
        </w:rPr>
        <w:t>Fig.1 Relationship between % Relative yield of rice with RSQI in Rice-Fallow system</w:t>
      </w:r>
    </w:p>
    <w:p w14:paraId="7F745B81" w14:textId="77777777" w:rsidR="00C63F65" w:rsidRPr="00C63F65" w:rsidRDefault="00DC0037" w:rsidP="00C63F65">
      <w:pPr>
        <w:spacing w:line="360" w:lineRule="auto"/>
        <w:jc w:val="both"/>
        <w:rPr>
          <w:rFonts w:ascii="Arial" w:hAnsi="Arial" w:cs="Arial"/>
          <w:iCs/>
        </w:rPr>
      </w:pPr>
      <w:r>
        <w:rPr>
          <w:noProof/>
          <w:lang w:val="en-IN" w:eastAsia="en-IN" w:bidi="bn-IN"/>
        </w:rPr>
        <w:lastRenderedPageBreak/>
        <w:drawing>
          <wp:inline distT="0" distB="0" distL="0" distR="0" wp14:anchorId="63B99F09" wp14:editId="6316FFEC">
            <wp:extent cx="5212080" cy="299656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E76B8F" w14:textId="77777777" w:rsidR="00927834" w:rsidRPr="00C63F65" w:rsidRDefault="00C63F65" w:rsidP="00C63F65">
      <w:pPr>
        <w:pStyle w:val="ListParagraph"/>
        <w:spacing w:after="160" w:line="360" w:lineRule="auto"/>
        <w:ind w:left="0"/>
        <w:jc w:val="both"/>
        <w:rPr>
          <w:rFonts w:ascii="Arial" w:hAnsi="Arial" w:cs="Arial"/>
          <w:b/>
          <w:bCs/>
          <w:sz w:val="20"/>
          <w:szCs w:val="20"/>
          <w:lang w:val="en-US"/>
        </w:rPr>
      </w:pPr>
      <w:r w:rsidRPr="00C63F65">
        <w:rPr>
          <w:rFonts w:ascii="Arial" w:hAnsi="Arial" w:cs="Arial"/>
          <w:b/>
          <w:bCs/>
          <w:sz w:val="20"/>
          <w:szCs w:val="20"/>
          <w:lang w:val="en-US"/>
        </w:rPr>
        <w:t>Fig.2 Relationship between% Relative Yield (rice equivalent yield) of rice-</w:t>
      </w:r>
      <w:proofErr w:type="spellStart"/>
      <w:r w:rsidRPr="00C63F65">
        <w:rPr>
          <w:rFonts w:ascii="Arial" w:hAnsi="Arial" w:cs="Arial"/>
          <w:b/>
          <w:bCs/>
          <w:sz w:val="20"/>
          <w:szCs w:val="20"/>
          <w:lang w:val="en-US"/>
        </w:rPr>
        <w:t>toria</w:t>
      </w:r>
      <w:proofErr w:type="spellEnd"/>
      <w:r w:rsidRPr="00C63F65">
        <w:rPr>
          <w:rFonts w:ascii="Arial" w:hAnsi="Arial" w:cs="Arial"/>
          <w:b/>
          <w:bCs/>
          <w:sz w:val="20"/>
          <w:szCs w:val="20"/>
          <w:lang w:val="en-US"/>
        </w:rPr>
        <w:t xml:space="preserve"> with RSQI in Rice-oilseed crop sequence</w:t>
      </w:r>
    </w:p>
    <w:p w14:paraId="221624FE" w14:textId="77777777" w:rsidR="00B01FCD" w:rsidRDefault="00C63F65" w:rsidP="00441B6F">
      <w:pPr>
        <w:pStyle w:val="ConcHead"/>
        <w:spacing w:after="0"/>
        <w:jc w:val="both"/>
        <w:rPr>
          <w:rFonts w:ascii="Arial" w:hAnsi="Arial" w:cs="Arial"/>
        </w:rPr>
      </w:pPr>
      <w:r>
        <w:rPr>
          <w:rFonts w:ascii="Arial" w:hAnsi="Arial" w:cs="Arial"/>
        </w:rPr>
        <w:t>4</w:t>
      </w:r>
      <w:r w:rsidR="00000F8F">
        <w:rPr>
          <w:rFonts w:ascii="Arial" w:hAnsi="Arial" w:cs="Arial"/>
        </w:rPr>
        <w:t xml:space="preserve">. </w:t>
      </w:r>
      <w:r w:rsidR="00B01FCD" w:rsidRPr="00FB3A86">
        <w:rPr>
          <w:rFonts w:ascii="Arial" w:hAnsi="Arial" w:cs="Arial"/>
        </w:rPr>
        <w:t>Conclusion</w:t>
      </w:r>
    </w:p>
    <w:p w14:paraId="4695E829" w14:textId="77777777" w:rsidR="00315186" w:rsidRPr="00C63F65" w:rsidRDefault="00C63F65" w:rsidP="00D226F5">
      <w:pPr>
        <w:spacing w:line="360" w:lineRule="auto"/>
        <w:ind w:firstLine="720"/>
        <w:jc w:val="both"/>
        <w:rPr>
          <w:rFonts w:ascii="Arial" w:hAnsi="Arial" w:cs="Arial"/>
          <w:iCs/>
        </w:rPr>
      </w:pPr>
      <w:r w:rsidRPr="00C63F65">
        <w:rPr>
          <w:rFonts w:ascii="Arial" w:hAnsi="Arial" w:cs="Arial"/>
          <w:iCs/>
        </w:rPr>
        <w:t>Agricultural land use and improper soil management practices deteriorate the soil quality over long period of time. RSQI method is suitable to know soil quality deterioration under different land use system. Based on this proper management practices should be adopted to sustain soil health and crop production in order to enhance the farmers’ income.</w:t>
      </w:r>
    </w:p>
    <w:p w14:paraId="5E089F80" w14:textId="77777777" w:rsidR="00C2290B" w:rsidRDefault="00C2290B" w:rsidP="00C63F65">
      <w:pPr>
        <w:pStyle w:val="ReferHead"/>
        <w:spacing w:after="0"/>
        <w:jc w:val="both"/>
        <w:rPr>
          <w:rFonts w:ascii="Arial" w:hAnsi="Arial" w:cs="Arial"/>
          <w:b w:val="0"/>
          <w:caps w:val="0"/>
          <w:sz w:val="20"/>
        </w:rPr>
      </w:pPr>
    </w:p>
    <w:p w14:paraId="72C3578D" w14:textId="77777777" w:rsidR="00C2290B" w:rsidRDefault="00C2290B" w:rsidP="00C63F65">
      <w:pPr>
        <w:pStyle w:val="ReferHead"/>
        <w:spacing w:after="0"/>
        <w:jc w:val="both"/>
        <w:rPr>
          <w:rFonts w:ascii="Arial" w:hAnsi="Arial" w:cs="Arial"/>
          <w:b w:val="0"/>
          <w:caps w:val="0"/>
          <w:sz w:val="20"/>
        </w:rPr>
      </w:pPr>
    </w:p>
    <w:p w14:paraId="07A37961" w14:textId="77777777" w:rsidR="00C2290B" w:rsidRDefault="00C2290B" w:rsidP="00C63F65">
      <w:pPr>
        <w:pStyle w:val="ReferHead"/>
        <w:spacing w:after="0"/>
        <w:jc w:val="both"/>
        <w:rPr>
          <w:rFonts w:ascii="Arial" w:hAnsi="Arial" w:cs="Arial"/>
          <w:b w:val="0"/>
          <w:caps w:val="0"/>
          <w:sz w:val="20"/>
        </w:rPr>
      </w:pPr>
    </w:p>
    <w:p w14:paraId="10B29164" w14:textId="77777777" w:rsidR="00C2290B" w:rsidRDefault="00C2290B" w:rsidP="00C63F65">
      <w:pPr>
        <w:pStyle w:val="ReferHead"/>
        <w:spacing w:after="0"/>
        <w:jc w:val="both"/>
        <w:rPr>
          <w:rFonts w:ascii="Arial" w:hAnsi="Arial" w:cs="Arial"/>
          <w:b w:val="0"/>
          <w:caps w:val="0"/>
          <w:sz w:val="20"/>
        </w:rPr>
      </w:pPr>
    </w:p>
    <w:p w14:paraId="09C6C460" w14:textId="77777777" w:rsidR="00C2290B" w:rsidRPr="00C63F65" w:rsidRDefault="00C2290B" w:rsidP="00C63F65">
      <w:pPr>
        <w:pStyle w:val="ReferHead"/>
        <w:spacing w:after="0"/>
        <w:jc w:val="both"/>
        <w:rPr>
          <w:rFonts w:ascii="Arial" w:hAnsi="Arial" w:cs="Arial"/>
          <w:b w:val="0"/>
          <w:caps w:val="0"/>
          <w:sz w:val="20"/>
        </w:rPr>
      </w:pPr>
    </w:p>
    <w:p w14:paraId="6D310EC1" w14:textId="77777777" w:rsidR="00860000" w:rsidRPr="00786D36" w:rsidRDefault="00860000" w:rsidP="00441B6F">
      <w:pPr>
        <w:pStyle w:val="ReferHead"/>
        <w:spacing w:after="0"/>
        <w:jc w:val="both"/>
        <w:rPr>
          <w:rFonts w:ascii="Arial" w:hAnsi="Arial" w:cs="Arial"/>
        </w:rPr>
      </w:pPr>
    </w:p>
    <w:p w14:paraId="0E0FF05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83CE37" w14:textId="77777777" w:rsidR="00263654" w:rsidRPr="00263654" w:rsidRDefault="00263654" w:rsidP="00263654">
      <w:pPr>
        <w:pStyle w:val="ListParagraph"/>
        <w:spacing w:after="160"/>
        <w:ind w:left="0"/>
        <w:jc w:val="both"/>
        <w:rPr>
          <w:rFonts w:ascii="Arial" w:hAnsi="Arial" w:cs="Arial"/>
          <w:bCs/>
          <w:sz w:val="20"/>
          <w:szCs w:val="20"/>
          <w:lang w:val="en-US"/>
        </w:rPr>
      </w:pPr>
      <w:r w:rsidRPr="00263654">
        <w:rPr>
          <w:rFonts w:ascii="Arial" w:hAnsi="Arial" w:cs="Arial"/>
          <w:sz w:val="20"/>
          <w:szCs w:val="20"/>
          <w:lang w:val="en-US"/>
        </w:rPr>
        <w:t>Adam, G. &amp; Duncan, H. (2001</w:t>
      </w:r>
      <w:proofErr w:type="gramStart"/>
      <w:r w:rsidRPr="00263654">
        <w:rPr>
          <w:rFonts w:ascii="Arial" w:hAnsi="Arial" w:cs="Arial"/>
          <w:sz w:val="20"/>
          <w:szCs w:val="20"/>
          <w:lang w:val="en-US"/>
        </w:rPr>
        <w:t>).Development</w:t>
      </w:r>
      <w:proofErr w:type="gramEnd"/>
      <w:r w:rsidRPr="00263654">
        <w:rPr>
          <w:rFonts w:ascii="Arial" w:hAnsi="Arial" w:cs="Arial"/>
          <w:sz w:val="20"/>
          <w:szCs w:val="20"/>
          <w:lang w:val="en-US"/>
        </w:rPr>
        <w:t xml:space="preserve"> of a sensitive and rapid method for the measurement of total microbial activity using fluorescein diacetate (FDA) in a range of soils. </w:t>
      </w:r>
      <w:r w:rsidRPr="00263654">
        <w:rPr>
          <w:rFonts w:ascii="Arial" w:hAnsi="Arial" w:cs="Arial"/>
          <w:i/>
          <w:iCs/>
          <w:sz w:val="20"/>
          <w:szCs w:val="20"/>
          <w:lang w:val="en-US"/>
        </w:rPr>
        <w:t>Soil Biology and Biochemistry,</w:t>
      </w:r>
      <w:r w:rsidRPr="00263654">
        <w:rPr>
          <w:rFonts w:ascii="Arial" w:hAnsi="Arial" w:cs="Arial"/>
          <w:sz w:val="20"/>
          <w:szCs w:val="20"/>
          <w:lang w:val="en-US"/>
        </w:rPr>
        <w:t xml:space="preserve"> </w:t>
      </w:r>
      <w:r w:rsidRPr="00263654">
        <w:rPr>
          <w:rFonts w:ascii="Arial" w:hAnsi="Arial" w:cs="Arial"/>
          <w:b/>
          <w:bCs/>
          <w:sz w:val="20"/>
          <w:szCs w:val="20"/>
          <w:lang w:val="en-US"/>
        </w:rPr>
        <w:t xml:space="preserve">33 </w:t>
      </w:r>
      <w:r w:rsidRPr="00263654">
        <w:rPr>
          <w:rFonts w:ascii="Arial" w:hAnsi="Arial" w:cs="Arial"/>
          <w:sz w:val="20"/>
          <w:szCs w:val="20"/>
          <w:lang w:val="en-US"/>
        </w:rPr>
        <w:t>(7-8), 943-951.</w:t>
      </w:r>
    </w:p>
    <w:p w14:paraId="1F8AC596" w14:textId="77777777" w:rsidR="00263654" w:rsidRPr="00263654" w:rsidRDefault="00263654" w:rsidP="00263654">
      <w:pPr>
        <w:spacing w:line="276" w:lineRule="auto"/>
        <w:jc w:val="both"/>
        <w:rPr>
          <w:rFonts w:ascii="Arial" w:hAnsi="Arial" w:cs="Arial"/>
        </w:rPr>
      </w:pPr>
      <w:r w:rsidRPr="00263654">
        <w:rPr>
          <w:rFonts w:ascii="Arial" w:hAnsi="Arial" w:cs="Arial"/>
        </w:rPr>
        <w:t>Baruah, T.C., &amp; Barthakur, H. P. (1997)</w:t>
      </w:r>
      <w:r w:rsidR="00182533">
        <w:rPr>
          <w:rFonts w:ascii="Arial" w:hAnsi="Arial" w:cs="Arial"/>
        </w:rPr>
        <w:t>.</w:t>
      </w:r>
      <w:r w:rsidRPr="00263654">
        <w:rPr>
          <w:rFonts w:ascii="Arial" w:hAnsi="Arial" w:cs="Arial"/>
        </w:rPr>
        <w:t xml:space="preserve"> A text book of Soil Analysis. Vikas Publishing House, New Delhi, India.</w:t>
      </w:r>
    </w:p>
    <w:p w14:paraId="29CAC869" w14:textId="77777777" w:rsidR="00263654" w:rsidRDefault="00263654" w:rsidP="00263654">
      <w:pPr>
        <w:spacing w:line="276" w:lineRule="auto"/>
        <w:jc w:val="both"/>
        <w:rPr>
          <w:rFonts w:ascii="Arial" w:hAnsi="Arial" w:cs="Arial"/>
          <w:iCs/>
        </w:rPr>
      </w:pPr>
    </w:p>
    <w:p w14:paraId="63773178"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 Black, G.R. &amp; Hartge, K.H. (1986). Bulk density. In: Klute, A. (Ed.) Methods of Soil Analysis. Part1. 2</w:t>
      </w:r>
      <w:r w:rsidRPr="00263654">
        <w:rPr>
          <w:rFonts w:ascii="Arial" w:hAnsi="Arial" w:cs="Arial"/>
          <w:iCs/>
          <w:vertAlign w:val="superscript"/>
        </w:rPr>
        <w:t>nd</w:t>
      </w:r>
      <w:r w:rsidRPr="00263654">
        <w:rPr>
          <w:rFonts w:ascii="Arial" w:hAnsi="Arial" w:cs="Arial"/>
          <w:iCs/>
        </w:rPr>
        <w:t xml:space="preserve"> (Ed.) Agronomy Monograph Number 9 American Society of agronomy and Soil Science Society of America, Madison, WI, pp.363-375.</w:t>
      </w:r>
    </w:p>
    <w:p w14:paraId="6EB1B3D0" w14:textId="77777777" w:rsidR="00263654" w:rsidRPr="00263654" w:rsidRDefault="00263654" w:rsidP="00263654">
      <w:pPr>
        <w:spacing w:line="276" w:lineRule="auto"/>
        <w:jc w:val="both"/>
        <w:rPr>
          <w:rFonts w:ascii="Arial" w:hAnsi="Arial" w:cs="Arial"/>
        </w:rPr>
      </w:pPr>
    </w:p>
    <w:p w14:paraId="324C2FFE"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Carter, M. R. (2000). Soil quality for sustainable land management: organic matter and aggregation interactions that maintain soil functions, </w:t>
      </w:r>
      <w:r w:rsidRPr="00263654">
        <w:rPr>
          <w:rFonts w:ascii="Arial" w:hAnsi="Arial" w:cs="Arial"/>
          <w:i/>
          <w:iCs/>
        </w:rPr>
        <w:t>Agronomy Journal,</w:t>
      </w:r>
      <w:r w:rsidRPr="00263654">
        <w:rPr>
          <w:rFonts w:ascii="Arial" w:hAnsi="Arial" w:cs="Arial"/>
        </w:rPr>
        <w:t xml:space="preserve"> 94 (1), 38-47.</w:t>
      </w:r>
    </w:p>
    <w:p w14:paraId="2FD9FFD0" w14:textId="77777777" w:rsidR="00263654" w:rsidRPr="00263654" w:rsidRDefault="00263654" w:rsidP="00263654">
      <w:pPr>
        <w:spacing w:line="276" w:lineRule="auto"/>
        <w:jc w:val="both"/>
        <w:rPr>
          <w:rFonts w:ascii="Arial" w:hAnsi="Arial" w:cs="Arial"/>
          <w:bCs/>
        </w:rPr>
      </w:pPr>
    </w:p>
    <w:p w14:paraId="59378E8D" w14:textId="77777777" w:rsidR="00263654" w:rsidRPr="00263654" w:rsidRDefault="00263654" w:rsidP="00263654">
      <w:pPr>
        <w:spacing w:line="276" w:lineRule="auto"/>
        <w:jc w:val="both"/>
        <w:rPr>
          <w:rFonts w:ascii="Arial" w:hAnsi="Arial" w:cs="Arial"/>
          <w:bCs/>
        </w:rPr>
      </w:pPr>
      <w:r w:rsidRPr="00263654">
        <w:rPr>
          <w:rFonts w:ascii="Arial" w:hAnsi="Arial" w:cs="Arial"/>
          <w:bCs/>
        </w:rPr>
        <w:t xml:space="preserve">Casida, L. E., Klein, D. A. &amp; Santoro, R. (1964). Soil dehydrogenase activity. </w:t>
      </w:r>
      <w:r w:rsidRPr="00263654">
        <w:rPr>
          <w:rFonts w:ascii="Arial" w:hAnsi="Arial" w:cs="Arial"/>
          <w:bCs/>
          <w:i/>
          <w:iCs/>
        </w:rPr>
        <w:t xml:space="preserve">Soil Science, </w:t>
      </w:r>
      <w:r w:rsidRPr="00263654">
        <w:rPr>
          <w:rFonts w:ascii="Arial" w:hAnsi="Arial" w:cs="Arial"/>
          <w:bCs/>
        </w:rPr>
        <w:t>98 (6), 371-76</w:t>
      </w:r>
    </w:p>
    <w:p w14:paraId="436495B5"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Celik, I., Gunal, H., </w:t>
      </w:r>
      <w:proofErr w:type="spellStart"/>
      <w:r w:rsidRPr="00263654">
        <w:rPr>
          <w:rFonts w:ascii="Arial" w:hAnsi="Arial" w:cs="Arial"/>
        </w:rPr>
        <w:t>Acir</w:t>
      </w:r>
      <w:proofErr w:type="spellEnd"/>
      <w:r w:rsidRPr="00263654">
        <w:rPr>
          <w:rFonts w:ascii="Arial" w:hAnsi="Arial" w:cs="Arial"/>
        </w:rPr>
        <w:t xml:space="preserve">, N., Barut, Z. B., &amp; Budak, M. (2021) Soil quality assessment to compare tillage systems in </w:t>
      </w:r>
      <w:proofErr w:type="spellStart"/>
      <w:r w:rsidRPr="00263654">
        <w:rPr>
          <w:rFonts w:ascii="Arial" w:hAnsi="Arial" w:cs="Arial"/>
        </w:rPr>
        <w:t>Cukurova</w:t>
      </w:r>
      <w:proofErr w:type="spellEnd"/>
      <w:r w:rsidRPr="00263654">
        <w:rPr>
          <w:rFonts w:ascii="Arial" w:hAnsi="Arial" w:cs="Arial"/>
        </w:rPr>
        <w:t xml:space="preserve"> Plain, Turkey. </w:t>
      </w:r>
      <w:r w:rsidRPr="00263654">
        <w:rPr>
          <w:rFonts w:ascii="Arial" w:hAnsi="Arial" w:cs="Arial"/>
          <w:i/>
          <w:iCs/>
        </w:rPr>
        <w:t>Soil and Tillage Research</w:t>
      </w:r>
      <w:r w:rsidRPr="00263654">
        <w:rPr>
          <w:rFonts w:ascii="Arial" w:hAnsi="Arial" w:cs="Arial"/>
        </w:rPr>
        <w:t>. 208, 104892. Doi: 10.1016/j.still.2020.104892</w:t>
      </w:r>
    </w:p>
    <w:p w14:paraId="04D01C78" w14:textId="77777777" w:rsidR="00263654" w:rsidRPr="00263654" w:rsidRDefault="00263654" w:rsidP="00263654">
      <w:pPr>
        <w:spacing w:line="276" w:lineRule="auto"/>
        <w:jc w:val="both"/>
        <w:rPr>
          <w:rFonts w:ascii="Arial" w:hAnsi="Arial" w:cs="Arial"/>
        </w:rPr>
      </w:pPr>
    </w:p>
    <w:p w14:paraId="3EE0E7A8"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t>Dengiz</w:t>
      </w:r>
      <w:proofErr w:type="spellEnd"/>
      <w:r w:rsidRPr="00263654">
        <w:rPr>
          <w:rFonts w:ascii="Arial" w:hAnsi="Arial" w:cs="Arial"/>
        </w:rPr>
        <w:t xml:space="preserve">, O. (2020) Soil quality index for paddy fields based on standard scoring functions and weight allocation method. </w:t>
      </w:r>
      <w:r w:rsidRPr="00263654">
        <w:rPr>
          <w:rFonts w:ascii="Arial" w:hAnsi="Arial" w:cs="Arial"/>
          <w:i/>
          <w:iCs/>
        </w:rPr>
        <w:t>Archives of Agronomy and Soil Science</w:t>
      </w:r>
      <w:r w:rsidRPr="00263654">
        <w:rPr>
          <w:rFonts w:ascii="Arial" w:hAnsi="Arial" w:cs="Arial"/>
        </w:rPr>
        <w:t xml:space="preserve">, 66, 301-315.  </w:t>
      </w:r>
    </w:p>
    <w:p w14:paraId="5523FD7C" w14:textId="77777777" w:rsidR="00263654" w:rsidRPr="00263654" w:rsidRDefault="00263654" w:rsidP="00263654">
      <w:pPr>
        <w:spacing w:line="276" w:lineRule="auto"/>
        <w:jc w:val="both"/>
        <w:rPr>
          <w:rFonts w:ascii="Arial" w:hAnsi="Arial" w:cs="Arial"/>
        </w:rPr>
      </w:pPr>
    </w:p>
    <w:p w14:paraId="60C055A3"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Doran, J. W. &amp; Parkin, T.B. (1994). Defining and assessing soil quality. In: Defining Soil Quality for a Sustainable Environment. </w:t>
      </w:r>
      <w:r w:rsidRPr="00263654">
        <w:rPr>
          <w:rFonts w:ascii="Arial" w:hAnsi="Arial" w:cs="Arial"/>
          <w:i/>
          <w:iCs/>
        </w:rPr>
        <w:t>Soil Science Society American</w:t>
      </w:r>
      <w:r w:rsidRPr="00263654">
        <w:rPr>
          <w:rFonts w:ascii="Arial" w:hAnsi="Arial" w:cs="Arial"/>
        </w:rPr>
        <w:t xml:space="preserve"> (Special publication) No.35, 3-21. </w:t>
      </w:r>
    </w:p>
    <w:p w14:paraId="4DA23504" w14:textId="77777777" w:rsidR="00263654" w:rsidRPr="00263654" w:rsidRDefault="00263654" w:rsidP="00263654">
      <w:pPr>
        <w:spacing w:line="276" w:lineRule="auto"/>
        <w:jc w:val="both"/>
        <w:rPr>
          <w:rFonts w:ascii="Arial" w:hAnsi="Arial" w:cs="Arial"/>
          <w:iCs/>
        </w:rPr>
      </w:pPr>
      <w:r w:rsidRPr="00263654">
        <w:rPr>
          <w:rFonts w:ascii="Arial" w:hAnsi="Arial" w:cs="Arial"/>
          <w:iCs/>
        </w:rPr>
        <w:t>Gardner, W. H. (1986). Water Content. In: Klute, A. (Ed.), Methods of Soil Analysis, Part1, 2</w:t>
      </w:r>
      <w:r w:rsidRPr="00263654">
        <w:rPr>
          <w:rFonts w:ascii="Arial" w:hAnsi="Arial" w:cs="Arial"/>
          <w:iCs/>
          <w:vertAlign w:val="superscript"/>
        </w:rPr>
        <w:t>nd</w:t>
      </w:r>
      <w:r w:rsidRPr="00263654">
        <w:rPr>
          <w:rFonts w:ascii="Arial" w:hAnsi="Arial" w:cs="Arial"/>
          <w:iCs/>
        </w:rPr>
        <w:t xml:space="preserve"> Edition. ASA and SSSA Madison, WI, pp494-544</w:t>
      </w:r>
    </w:p>
    <w:p w14:paraId="62D8BC62" w14:textId="77777777" w:rsidR="00263654" w:rsidRPr="00263654" w:rsidRDefault="00263654" w:rsidP="00263654">
      <w:pPr>
        <w:spacing w:line="276" w:lineRule="auto"/>
        <w:jc w:val="both"/>
        <w:rPr>
          <w:rFonts w:ascii="Arial" w:hAnsi="Arial" w:cs="Arial"/>
        </w:rPr>
      </w:pPr>
    </w:p>
    <w:p w14:paraId="2FBFE4F4" w14:textId="77777777" w:rsidR="00263654" w:rsidRPr="00263654" w:rsidRDefault="00263654" w:rsidP="00263654">
      <w:pPr>
        <w:spacing w:line="276" w:lineRule="auto"/>
        <w:jc w:val="both"/>
        <w:rPr>
          <w:rFonts w:ascii="Arial" w:hAnsi="Arial" w:cs="Arial"/>
          <w:iCs/>
        </w:rPr>
      </w:pPr>
      <w:r w:rsidRPr="00263654">
        <w:rPr>
          <w:rFonts w:ascii="Arial" w:hAnsi="Arial" w:cs="Arial"/>
        </w:rPr>
        <w:t>Gayan, A., Nath,</w:t>
      </w:r>
      <w:r w:rsidR="00D226F5">
        <w:rPr>
          <w:rFonts w:ascii="Arial" w:hAnsi="Arial" w:cs="Arial"/>
        </w:rPr>
        <w:t xml:space="preserve"> D.J.,</w:t>
      </w:r>
      <w:r w:rsidRPr="00263654">
        <w:rPr>
          <w:rFonts w:ascii="Arial" w:hAnsi="Arial" w:cs="Arial"/>
        </w:rPr>
        <w:t xml:space="preserve"> Bhattacharyya, B. </w:t>
      </w:r>
      <w:proofErr w:type="gramStart"/>
      <w:r w:rsidRPr="00263654">
        <w:rPr>
          <w:rFonts w:ascii="Arial" w:hAnsi="Arial" w:cs="Arial"/>
        </w:rPr>
        <w:t>&amp;  Dutta</w:t>
      </w:r>
      <w:proofErr w:type="gramEnd"/>
      <w:r w:rsidRPr="00263654">
        <w:rPr>
          <w:rFonts w:ascii="Arial" w:hAnsi="Arial" w:cs="Arial"/>
        </w:rPr>
        <w:t xml:space="preserve">, N. (2020). Assessment of soil quality indicators under rice ecosystem of Assam, </w:t>
      </w:r>
      <w:r w:rsidRPr="00263654">
        <w:rPr>
          <w:rFonts w:ascii="Arial" w:hAnsi="Arial" w:cs="Arial"/>
          <w:i/>
          <w:iCs/>
        </w:rPr>
        <w:t>Indian Journal of Environmental Biology</w:t>
      </w:r>
      <w:r w:rsidRPr="00263654">
        <w:rPr>
          <w:rFonts w:ascii="Arial" w:hAnsi="Arial" w:cs="Arial"/>
        </w:rPr>
        <w:t>, 41, 1655-1664.</w:t>
      </w:r>
    </w:p>
    <w:p w14:paraId="6FBF26F3" w14:textId="77777777" w:rsidR="00263654" w:rsidRPr="00263654" w:rsidRDefault="00263654" w:rsidP="00263654">
      <w:pPr>
        <w:spacing w:line="276" w:lineRule="auto"/>
        <w:jc w:val="both"/>
        <w:rPr>
          <w:rFonts w:ascii="Arial" w:hAnsi="Arial" w:cs="Arial"/>
          <w:iCs/>
        </w:rPr>
      </w:pPr>
    </w:p>
    <w:p w14:paraId="13462EF8"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International Society of Soil Science, (1929) Minutes of the first commission meetings, </w:t>
      </w:r>
      <w:proofErr w:type="gramStart"/>
      <w:r w:rsidRPr="00263654">
        <w:rPr>
          <w:rFonts w:ascii="Arial" w:hAnsi="Arial" w:cs="Arial"/>
          <w:iCs/>
        </w:rPr>
        <w:t>International</w:t>
      </w:r>
      <w:proofErr w:type="gramEnd"/>
      <w:r w:rsidRPr="00263654">
        <w:rPr>
          <w:rFonts w:ascii="Arial" w:hAnsi="Arial" w:cs="Arial"/>
          <w:iCs/>
        </w:rPr>
        <w:t xml:space="preserve"> congress of Soil Science, Washington, 1927. </w:t>
      </w:r>
      <w:r w:rsidRPr="00263654">
        <w:rPr>
          <w:rFonts w:ascii="Arial" w:hAnsi="Arial" w:cs="Arial"/>
          <w:i/>
        </w:rPr>
        <w:t>Proceedings of International Society of Soil Science</w:t>
      </w:r>
      <w:r w:rsidRPr="00263654">
        <w:rPr>
          <w:rFonts w:ascii="Arial" w:hAnsi="Arial" w:cs="Arial"/>
          <w:iCs/>
        </w:rPr>
        <w:t xml:space="preserve"> 4:215-220.</w:t>
      </w:r>
    </w:p>
    <w:p w14:paraId="068488C9" w14:textId="77777777" w:rsidR="00263654" w:rsidRPr="00263654" w:rsidRDefault="00263654" w:rsidP="00263654">
      <w:pPr>
        <w:pStyle w:val="ListParagraph"/>
        <w:ind w:left="644"/>
        <w:jc w:val="both"/>
        <w:rPr>
          <w:rFonts w:ascii="Arial" w:hAnsi="Arial" w:cs="Arial"/>
          <w:iCs/>
          <w:sz w:val="20"/>
          <w:szCs w:val="20"/>
        </w:rPr>
      </w:pPr>
    </w:p>
    <w:p w14:paraId="25802C56" w14:textId="77777777" w:rsidR="00263654" w:rsidRPr="00263654" w:rsidRDefault="00263654" w:rsidP="00263654">
      <w:pPr>
        <w:spacing w:line="276" w:lineRule="auto"/>
        <w:jc w:val="both"/>
        <w:rPr>
          <w:rFonts w:ascii="Arial" w:hAnsi="Arial" w:cs="Arial"/>
          <w:iCs/>
        </w:rPr>
      </w:pPr>
      <w:r w:rsidRPr="00263654">
        <w:rPr>
          <w:rFonts w:ascii="Arial" w:hAnsi="Arial" w:cs="Arial"/>
        </w:rPr>
        <w:t xml:space="preserve"> Jackson, M. L (1973). </w:t>
      </w:r>
      <w:r w:rsidRPr="00263654">
        <w:rPr>
          <w:rFonts w:ascii="Arial" w:hAnsi="Arial" w:cs="Arial"/>
          <w:i/>
          <w:iCs/>
        </w:rPr>
        <w:t>In:</w:t>
      </w:r>
      <w:r w:rsidRPr="00263654">
        <w:rPr>
          <w:rFonts w:ascii="Arial" w:hAnsi="Arial" w:cs="Arial"/>
        </w:rPr>
        <w:t xml:space="preserve"> Soil Chemical Analysis. Prentice Hall of India Pvt. Ltd., New Delhi. </w:t>
      </w:r>
    </w:p>
    <w:p w14:paraId="4131A440"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 </w:t>
      </w:r>
    </w:p>
    <w:p w14:paraId="28771041"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Karnel, D.L., Mausbach, M.J., Doran, J.W, Cline, R.G., Harres, R.F. &amp; Schuman, G. E. (1997) Soil Quality: A concept definition and framework for evaluation. </w:t>
      </w:r>
      <w:r w:rsidRPr="00263654">
        <w:rPr>
          <w:rFonts w:ascii="Arial" w:hAnsi="Arial" w:cs="Arial"/>
          <w:i/>
          <w:iCs/>
        </w:rPr>
        <w:t>Soil Science Society of American Journal</w:t>
      </w:r>
      <w:r w:rsidRPr="00263654">
        <w:rPr>
          <w:rFonts w:ascii="Arial" w:hAnsi="Arial" w:cs="Arial"/>
        </w:rPr>
        <w:t xml:space="preserve"> 61:4-10.</w:t>
      </w:r>
    </w:p>
    <w:p w14:paraId="7AB761C1" w14:textId="77777777" w:rsidR="00263654" w:rsidRPr="00263654" w:rsidRDefault="00263654" w:rsidP="00263654">
      <w:pPr>
        <w:spacing w:line="276" w:lineRule="auto"/>
        <w:jc w:val="both"/>
        <w:rPr>
          <w:rFonts w:ascii="Arial" w:hAnsi="Arial" w:cs="Arial"/>
        </w:rPr>
      </w:pPr>
    </w:p>
    <w:p w14:paraId="682E28A4"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Karlen, D. L. and Stott, D.E. (1994) A framework for evaluating physical and chemical indicators of soil quality. </w:t>
      </w:r>
      <w:r w:rsidRPr="00263654">
        <w:rPr>
          <w:rFonts w:ascii="Arial" w:hAnsi="Arial" w:cs="Arial"/>
          <w:i/>
          <w:iCs/>
        </w:rPr>
        <w:t>Soil Science Society American</w:t>
      </w:r>
      <w:r w:rsidRPr="00263654">
        <w:rPr>
          <w:rFonts w:ascii="Arial" w:hAnsi="Arial" w:cs="Arial"/>
        </w:rPr>
        <w:t xml:space="preserve"> (Special publication) No.35, 53-72</w:t>
      </w:r>
      <w:r w:rsidRPr="00263654">
        <w:rPr>
          <w:rFonts w:ascii="Arial" w:hAnsi="Arial" w:cs="Arial"/>
          <w:iCs/>
        </w:rPr>
        <w:t xml:space="preserve">. </w:t>
      </w:r>
    </w:p>
    <w:p w14:paraId="4DD9FB69" w14:textId="77777777" w:rsidR="00263654" w:rsidRPr="00263654" w:rsidRDefault="00263654" w:rsidP="00263654">
      <w:pPr>
        <w:spacing w:line="276" w:lineRule="auto"/>
        <w:jc w:val="both"/>
        <w:rPr>
          <w:rFonts w:ascii="Arial" w:hAnsi="Arial" w:cs="Arial"/>
          <w:iCs/>
        </w:rPr>
      </w:pPr>
    </w:p>
    <w:p w14:paraId="3E8ED133"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Kundu, S., </w:t>
      </w:r>
      <w:proofErr w:type="spellStart"/>
      <w:r w:rsidRPr="00263654">
        <w:rPr>
          <w:rFonts w:ascii="Arial" w:hAnsi="Arial" w:cs="Arial"/>
          <w:iCs/>
        </w:rPr>
        <w:t>Coumar</w:t>
      </w:r>
      <w:proofErr w:type="spellEnd"/>
      <w:r w:rsidRPr="00263654">
        <w:rPr>
          <w:rFonts w:ascii="Arial" w:hAnsi="Arial" w:cs="Arial"/>
          <w:iCs/>
        </w:rPr>
        <w:t>, M.V., Saha, J.K., Rajendiran, S., Hati, K. M., Biswas, A.K., Reddy, K. S. &amp; Rao, A. S. (</w:t>
      </w:r>
      <w:proofErr w:type="gramStart"/>
      <w:r w:rsidRPr="00263654">
        <w:rPr>
          <w:rFonts w:ascii="Arial" w:hAnsi="Arial" w:cs="Arial"/>
          <w:iCs/>
        </w:rPr>
        <w:t>2012)Assessing</w:t>
      </w:r>
      <w:proofErr w:type="gramEnd"/>
      <w:r w:rsidRPr="00263654">
        <w:rPr>
          <w:rFonts w:ascii="Arial" w:hAnsi="Arial" w:cs="Arial"/>
          <w:iCs/>
        </w:rPr>
        <w:t xml:space="preserve"> soil health of </w:t>
      </w:r>
      <w:proofErr w:type="spellStart"/>
      <w:r w:rsidRPr="00263654">
        <w:rPr>
          <w:rFonts w:ascii="Arial" w:hAnsi="Arial" w:cs="Arial"/>
          <w:iCs/>
        </w:rPr>
        <w:t>vertisols</w:t>
      </w:r>
      <w:proofErr w:type="spellEnd"/>
      <w:r w:rsidRPr="00263654">
        <w:rPr>
          <w:rFonts w:ascii="Arial" w:hAnsi="Arial" w:cs="Arial"/>
          <w:iCs/>
        </w:rPr>
        <w:t xml:space="preserve"> AESR 10.1 using selected physical, chemical and biological attributes of soils. </w:t>
      </w:r>
      <w:r w:rsidRPr="00263654">
        <w:rPr>
          <w:rFonts w:ascii="Arial" w:hAnsi="Arial" w:cs="Arial"/>
          <w:i/>
        </w:rPr>
        <w:t>Journal of the Indian Society of Soil Science</w:t>
      </w:r>
      <w:r w:rsidRPr="00263654">
        <w:rPr>
          <w:rFonts w:ascii="Arial" w:hAnsi="Arial" w:cs="Arial"/>
          <w:iCs/>
        </w:rPr>
        <w:t xml:space="preserve"> 60(4), 281-287.</w:t>
      </w:r>
    </w:p>
    <w:p w14:paraId="07FC5424" w14:textId="77777777" w:rsidR="00263654" w:rsidRPr="00263654" w:rsidRDefault="00263654" w:rsidP="00263654">
      <w:pPr>
        <w:spacing w:line="276" w:lineRule="auto"/>
        <w:jc w:val="both"/>
        <w:rPr>
          <w:rFonts w:ascii="Arial" w:hAnsi="Arial" w:cs="Arial"/>
        </w:rPr>
      </w:pPr>
    </w:p>
    <w:p w14:paraId="7634AEE9"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Masto R.E., </w:t>
      </w:r>
      <w:proofErr w:type="spellStart"/>
      <w:r w:rsidRPr="00263654">
        <w:rPr>
          <w:rFonts w:ascii="Arial" w:hAnsi="Arial" w:cs="Arial"/>
        </w:rPr>
        <w:t>Chhonkar</w:t>
      </w:r>
      <w:proofErr w:type="spellEnd"/>
      <w:r w:rsidRPr="00263654">
        <w:rPr>
          <w:rFonts w:ascii="Arial" w:hAnsi="Arial" w:cs="Arial"/>
        </w:rPr>
        <w:t xml:space="preserve">, P.K., Singh, D., Patra, A.K. (2007) Soil quality response to long term nutrient and crop management on semi- arid </w:t>
      </w:r>
      <w:proofErr w:type="spellStart"/>
      <w:r w:rsidRPr="00263654">
        <w:rPr>
          <w:rFonts w:ascii="Arial" w:hAnsi="Arial" w:cs="Arial"/>
        </w:rPr>
        <w:t>Inceptisol</w:t>
      </w:r>
      <w:proofErr w:type="spellEnd"/>
      <w:r w:rsidRPr="00263654">
        <w:rPr>
          <w:rFonts w:ascii="Arial" w:hAnsi="Arial" w:cs="Arial"/>
        </w:rPr>
        <w:t xml:space="preserve">. </w:t>
      </w:r>
      <w:r w:rsidRPr="00263654">
        <w:rPr>
          <w:rFonts w:ascii="Arial" w:hAnsi="Arial" w:cs="Arial"/>
          <w:i/>
          <w:iCs/>
        </w:rPr>
        <w:t>Agriculture, Ecosystems and Environment</w:t>
      </w:r>
      <w:r w:rsidRPr="00263654">
        <w:rPr>
          <w:rFonts w:ascii="Arial" w:hAnsi="Arial" w:cs="Arial"/>
        </w:rPr>
        <w:t>, 118, 130-142.</w:t>
      </w:r>
    </w:p>
    <w:p w14:paraId="5E270592" w14:textId="77777777" w:rsidR="00263654" w:rsidRPr="00263654" w:rsidRDefault="00263654" w:rsidP="00263654">
      <w:pPr>
        <w:spacing w:line="276" w:lineRule="auto"/>
        <w:jc w:val="both"/>
        <w:rPr>
          <w:rFonts w:ascii="Arial" w:hAnsi="Arial" w:cs="Arial"/>
        </w:rPr>
      </w:pPr>
    </w:p>
    <w:p w14:paraId="1A0DA5A8" w14:textId="77777777" w:rsidR="00263654" w:rsidRPr="00263654" w:rsidRDefault="00263654" w:rsidP="00263654">
      <w:pPr>
        <w:spacing w:line="276" w:lineRule="auto"/>
        <w:jc w:val="both"/>
        <w:rPr>
          <w:rFonts w:ascii="Arial" w:hAnsi="Arial" w:cs="Arial"/>
          <w:iCs/>
        </w:rPr>
      </w:pPr>
      <w:proofErr w:type="spellStart"/>
      <w:r w:rsidRPr="00263654">
        <w:rPr>
          <w:rFonts w:ascii="Arial" w:hAnsi="Arial" w:cs="Arial"/>
        </w:rPr>
        <w:t>Minhus</w:t>
      </w:r>
      <w:proofErr w:type="spellEnd"/>
      <w:r w:rsidRPr="00263654">
        <w:rPr>
          <w:rFonts w:ascii="Arial" w:hAnsi="Arial" w:cs="Arial"/>
        </w:rPr>
        <w:t xml:space="preserve">, P.S. (2012). </w:t>
      </w:r>
      <w:proofErr w:type="spellStart"/>
      <w:r w:rsidRPr="00263654">
        <w:rPr>
          <w:rFonts w:ascii="Arial" w:hAnsi="Arial" w:cs="Arial"/>
        </w:rPr>
        <w:t>Adaphic</w:t>
      </w:r>
      <w:proofErr w:type="spellEnd"/>
      <w:r w:rsidRPr="00263654">
        <w:rPr>
          <w:rFonts w:ascii="Arial" w:hAnsi="Arial" w:cs="Arial"/>
        </w:rPr>
        <w:t xml:space="preserve"> Di</w:t>
      </w:r>
      <w:r w:rsidRPr="00263654">
        <w:rPr>
          <w:rFonts w:ascii="Arial" w:hAnsi="Arial" w:cs="Arial"/>
          <w:iCs/>
        </w:rPr>
        <w:t xml:space="preserve">sabilities of degraded soils: A threat to food security. </w:t>
      </w:r>
      <w:r w:rsidRPr="00263654">
        <w:rPr>
          <w:rFonts w:ascii="Arial" w:hAnsi="Arial" w:cs="Arial"/>
          <w:i/>
        </w:rPr>
        <w:t>Journal of Indian Society of Soil Science</w:t>
      </w:r>
      <w:r w:rsidRPr="00263654">
        <w:rPr>
          <w:rFonts w:ascii="Arial" w:hAnsi="Arial" w:cs="Arial"/>
          <w:iCs/>
        </w:rPr>
        <w:t>, 60, S88-S90</w:t>
      </w:r>
    </w:p>
    <w:p w14:paraId="1898DBED" w14:textId="77777777" w:rsidR="00263654" w:rsidRPr="00263654" w:rsidRDefault="00263654" w:rsidP="00263654">
      <w:pPr>
        <w:spacing w:line="276" w:lineRule="auto"/>
        <w:jc w:val="both"/>
        <w:rPr>
          <w:rFonts w:ascii="Arial" w:hAnsi="Arial" w:cs="Arial"/>
        </w:rPr>
      </w:pPr>
    </w:p>
    <w:p w14:paraId="3B39C7EC" w14:textId="77777777" w:rsidR="00263654" w:rsidRPr="00263654" w:rsidRDefault="00263654" w:rsidP="00263654">
      <w:pPr>
        <w:spacing w:line="276" w:lineRule="auto"/>
        <w:jc w:val="both"/>
        <w:rPr>
          <w:rFonts w:ascii="Arial" w:hAnsi="Arial" w:cs="Arial"/>
        </w:rPr>
      </w:pPr>
      <w:proofErr w:type="spellStart"/>
      <w:r w:rsidRPr="00263654">
        <w:rPr>
          <w:rFonts w:ascii="Arial" w:hAnsi="Arial" w:cs="Arial"/>
        </w:rPr>
        <w:lastRenderedPageBreak/>
        <w:t>Noviyanto</w:t>
      </w:r>
      <w:proofErr w:type="spellEnd"/>
      <w:r w:rsidRPr="00263654">
        <w:rPr>
          <w:rFonts w:ascii="Arial" w:hAnsi="Arial" w:cs="Arial"/>
        </w:rPr>
        <w:t xml:space="preserve"> A., Purwanto P., Minardi S., Supriyadi S. (2017): The assessment of soil quality of various age of land reclamation after coal mining: A </w:t>
      </w:r>
      <w:proofErr w:type="spellStart"/>
      <w:r w:rsidRPr="00263654">
        <w:rPr>
          <w:rFonts w:ascii="Arial" w:hAnsi="Arial" w:cs="Arial"/>
        </w:rPr>
        <w:t>chronosequence</w:t>
      </w:r>
      <w:proofErr w:type="spellEnd"/>
      <w:r w:rsidRPr="00263654">
        <w:rPr>
          <w:rFonts w:ascii="Arial" w:hAnsi="Arial" w:cs="Arial"/>
        </w:rPr>
        <w:t xml:space="preserve"> study. Journal of Degraded and Mining Lands Management, 5: 1009–1018.</w:t>
      </w:r>
    </w:p>
    <w:p w14:paraId="32B784BF" w14:textId="77777777" w:rsidR="00263654" w:rsidRPr="00263654" w:rsidRDefault="00263654" w:rsidP="00263654">
      <w:pPr>
        <w:spacing w:line="276" w:lineRule="auto"/>
        <w:jc w:val="both"/>
        <w:rPr>
          <w:rFonts w:ascii="Arial" w:hAnsi="Arial" w:cs="Arial"/>
          <w:iCs/>
        </w:rPr>
      </w:pPr>
    </w:p>
    <w:p w14:paraId="456C6F53"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Schoenholtz, S. H., </w:t>
      </w:r>
      <w:proofErr w:type="spellStart"/>
      <w:r w:rsidRPr="00263654">
        <w:rPr>
          <w:rFonts w:ascii="Arial" w:hAnsi="Arial" w:cs="Arial"/>
        </w:rPr>
        <w:t>Miegroet</w:t>
      </w:r>
      <w:proofErr w:type="spellEnd"/>
      <w:r w:rsidRPr="00263654">
        <w:rPr>
          <w:rFonts w:ascii="Arial" w:hAnsi="Arial" w:cs="Arial"/>
        </w:rPr>
        <w:t xml:space="preserve">, H. &amp; Van Burger, J. A. (2000). A review of chemical and physical properties as indicators of forest soil quality: challenges and opportunities. </w:t>
      </w:r>
      <w:r w:rsidRPr="00182533">
        <w:rPr>
          <w:rFonts w:ascii="Arial" w:hAnsi="Arial" w:cs="Arial"/>
          <w:i/>
          <w:iCs/>
        </w:rPr>
        <w:t xml:space="preserve">Forest Ecology and </w:t>
      </w:r>
      <w:proofErr w:type="spellStart"/>
      <w:r w:rsidRPr="00182533">
        <w:rPr>
          <w:rFonts w:ascii="Arial" w:hAnsi="Arial" w:cs="Arial"/>
          <w:i/>
          <w:iCs/>
        </w:rPr>
        <w:t>Mqnagement</w:t>
      </w:r>
      <w:proofErr w:type="spellEnd"/>
      <w:r w:rsidRPr="00182533">
        <w:rPr>
          <w:rFonts w:ascii="Arial" w:hAnsi="Arial" w:cs="Arial"/>
          <w:i/>
          <w:iCs/>
        </w:rPr>
        <w:t>,</w:t>
      </w:r>
      <w:r w:rsidRPr="00263654">
        <w:rPr>
          <w:rFonts w:ascii="Arial" w:hAnsi="Arial" w:cs="Arial"/>
        </w:rPr>
        <w:t xml:space="preserve"> 138, 335-356.</w:t>
      </w:r>
    </w:p>
    <w:p w14:paraId="6BF7981E"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 </w:t>
      </w:r>
    </w:p>
    <w:p w14:paraId="1493B65B"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Subba Rao, A., &amp; Lenka, N.K. (2020) Development of soil health management in India as mirrored through sustained researches and policy interventions. Indian Journal of Fertilizers, 16, 1230-1242. </w:t>
      </w:r>
    </w:p>
    <w:p w14:paraId="01C7737D" w14:textId="77777777" w:rsidR="00263654" w:rsidRDefault="00263654" w:rsidP="00263654">
      <w:pPr>
        <w:spacing w:line="276" w:lineRule="auto"/>
        <w:jc w:val="both"/>
        <w:rPr>
          <w:rFonts w:ascii="Arial" w:hAnsi="Arial" w:cs="Arial"/>
        </w:rPr>
      </w:pPr>
    </w:p>
    <w:p w14:paraId="5BA63F40"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Sehgal, J. </w:t>
      </w:r>
      <w:proofErr w:type="gramStart"/>
      <w:r w:rsidRPr="00263654">
        <w:rPr>
          <w:rFonts w:ascii="Arial" w:hAnsi="Arial" w:cs="Arial"/>
        </w:rPr>
        <w:t>&amp;  Abrol</w:t>
      </w:r>
      <w:proofErr w:type="gramEnd"/>
      <w:r w:rsidRPr="00263654">
        <w:rPr>
          <w:rFonts w:ascii="Arial" w:hAnsi="Arial" w:cs="Arial"/>
        </w:rPr>
        <w:t>, I.P. (1994) Soil Degradation in India: Status and Impact, Oxford and IBH Publishing Co.</w:t>
      </w:r>
    </w:p>
    <w:p w14:paraId="13D566FA" w14:textId="77777777" w:rsidR="00263654" w:rsidRDefault="00263654" w:rsidP="00263654">
      <w:pPr>
        <w:spacing w:line="276" w:lineRule="auto"/>
        <w:jc w:val="both"/>
        <w:rPr>
          <w:rFonts w:ascii="Arial" w:hAnsi="Arial" w:cs="Arial"/>
        </w:rPr>
      </w:pPr>
    </w:p>
    <w:p w14:paraId="7CDC3E70"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Tabatabai, M. A. &amp; Bremner, J. M. (1969). Use of p-nitrophenyl phosphate for assay of soil phosphatase activity. </w:t>
      </w:r>
      <w:r w:rsidRPr="00263654">
        <w:rPr>
          <w:rFonts w:ascii="Arial" w:hAnsi="Arial" w:cs="Arial"/>
          <w:i/>
          <w:iCs/>
        </w:rPr>
        <w:t>Soil Biology and Biochemistry</w:t>
      </w:r>
      <w:r w:rsidRPr="00263654">
        <w:rPr>
          <w:rFonts w:ascii="Arial" w:hAnsi="Arial" w:cs="Arial"/>
        </w:rPr>
        <w:t>. 1(4), 301-307.</w:t>
      </w:r>
    </w:p>
    <w:p w14:paraId="285442AE" w14:textId="77777777" w:rsidR="00263654" w:rsidRPr="00263654" w:rsidRDefault="00263654" w:rsidP="00263654">
      <w:pPr>
        <w:pStyle w:val="ListParagraph"/>
        <w:spacing w:after="160"/>
        <w:ind w:left="0"/>
        <w:rPr>
          <w:rFonts w:ascii="Arial" w:hAnsi="Arial" w:cs="Arial"/>
          <w:sz w:val="20"/>
          <w:szCs w:val="20"/>
          <w:lang w:val="en-US"/>
        </w:rPr>
      </w:pPr>
    </w:p>
    <w:p w14:paraId="438EC795" w14:textId="77777777" w:rsidR="00263654" w:rsidRPr="00263654" w:rsidRDefault="00263654" w:rsidP="00263654">
      <w:pPr>
        <w:pStyle w:val="ListParagraph"/>
        <w:spacing w:after="160"/>
        <w:ind w:left="0"/>
        <w:rPr>
          <w:rFonts w:ascii="Arial" w:hAnsi="Arial" w:cs="Arial"/>
          <w:sz w:val="20"/>
          <w:szCs w:val="20"/>
          <w:lang w:val="en-US"/>
        </w:rPr>
      </w:pPr>
      <w:r w:rsidRPr="00263654">
        <w:rPr>
          <w:rFonts w:ascii="Arial" w:hAnsi="Arial" w:cs="Arial"/>
          <w:sz w:val="20"/>
          <w:szCs w:val="20"/>
          <w:lang w:val="en-US"/>
        </w:rPr>
        <w:t xml:space="preserve"> Tabatabai, M. A. &amp; Bremner, J. M. (1970). </w:t>
      </w:r>
      <w:proofErr w:type="spellStart"/>
      <w:r w:rsidRPr="00263654">
        <w:rPr>
          <w:rFonts w:ascii="Arial" w:hAnsi="Arial" w:cs="Arial"/>
          <w:sz w:val="20"/>
          <w:szCs w:val="20"/>
          <w:lang w:val="en-US"/>
        </w:rPr>
        <w:t>Arylsulphatase</w:t>
      </w:r>
      <w:proofErr w:type="spellEnd"/>
      <w:r w:rsidRPr="00263654">
        <w:rPr>
          <w:rFonts w:ascii="Arial" w:hAnsi="Arial" w:cs="Arial"/>
          <w:sz w:val="20"/>
          <w:szCs w:val="20"/>
          <w:lang w:val="en-US"/>
        </w:rPr>
        <w:t xml:space="preserve"> activity in soils. </w:t>
      </w:r>
      <w:r w:rsidRPr="00263654">
        <w:rPr>
          <w:rFonts w:ascii="Arial" w:hAnsi="Arial" w:cs="Arial"/>
          <w:i/>
          <w:iCs/>
          <w:sz w:val="20"/>
          <w:szCs w:val="20"/>
          <w:lang w:val="en-US"/>
        </w:rPr>
        <w:t xml:space="preserve">Soil Science Society of America Proceedings, </w:t>
      </w:r>
      <w:r w:rsidRPr="00263654">
        <w:rPr>
          <w:rFonts w:ascii="Arial" w:hAnsi="Arial" w:cs="Arial"/>
          <w:sz w:val="20"/>
          <w:szCs w:val="20"/>
          <w:lang w:val="en-US"/>
        </w:rPr>
        <w:t>34, 225-229.</w:t>
      </w:r>
    </w:p>
    <w:p w14:paraId="578B65B6" w14:textId="77777777" w:rsidR="00263654" w:rsidRPr="00263654" w:rsidRDefault="00263654" w:rsidP="00263654">
      <w:pPr>
        <w:spacing w:line="276" w:lineRule="auto"/>
        <w:jc w:val="both"/>
        <w:rPr>
          <w:rFonts w:ascii="Arial" w:hAnsi="Arial" w:cs="Arial"/>
        </w:rPr>
      </w:pPr>
      <w:r w:rsidRPr="00263654">
        <w:rPr>
          <w:rFonts w:ascii="Arial" w:hAnsi="Arial" w:cs="Arial"/>
        </w:rPr>
        <w:t xml:space="preserve">Vance, E. D., Brookes, P.C. &amp; Jenkinson, D. S. (1987). An extraction method for measuring soil microbial biomass C. </w:t>
      </w:r>
      <w:r w:rsidRPr="00263654">
        <w:rPr>
          <w:rFonts w:ascii="Arial" w:hAnsi="Arial" w:cs="Arial"/>
          <w:i/>
          <w:iCs/>
        </w:rPr>
        <w:t>Soil Biology and Biochemistry</w:t>
      </w:r>
      <w:r w:rsidRPr="00263654">
        <w:rPr>
          <w:rFonts w:ascii="Arial" w:hAnsi="Arial" w:cs="Arial"/>
        </w:rPr>
        <w:t>,19, 703-707.</w:t>
      </w:r>
    </w:p>
    <w:p w14:paraId="19C9D501" w14:textId="77777777" w:rsidR="00263654" w:rsidRPr="00263654" w:rsidRDefault="00263654" w:rsidP="00263654">
      <w:pPr>
        <w:spacing w:line="276" w:lineRule="auto"/>
        <w:jc w:val="both"/>
        <w:rPr>
          <w:rFonts w:ascii="Arial" w:hAnsi="Arial" w:cs="Arial"/>
        </w:rPr>
      </w:pPr>
    </w:p>
    <w:p w14:paraId="6EFD51B1"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Wang, X. &amp; Gong, Z. (1998). Assessment and analysis of soil quality changes after eleven years of reclamation in subtropical China. </w:t>
      </w:r>
      <w:proofErr w:type="spellStart"/>
      <w:r w:rsidRPr="00263654">
        <w:rPr>
          <w:rFonts w:ascii="Arial" w:hAnsi="Arial" w:cs="Arial"/>
          <w:i/>
        </w:rPr>
        <w:t>Geoderma</w:t>
      </w:r>
      <w:proofErr w:type="spellEnd"/>
      <w:r w:rsidRPr="00263654">
        <w:rPr>
          <w:rFonts w:ascii="Arial" w:hAnsi="Arial" w:cs="Arial"/>
          <w:iCs/>
        </w:rPr>
        <w:t>, 81, 339-355.</w:t>
      </w:r>
    </w:p>
    <w:p w14:paraId="0733D456" w14:textId="77777777" w:rsidR="00263654" w:rsidRPr="00263654" w:rsidRDefault="00263654" w:rsidP="00263654">
      <w:pPr>
        <w:spacing w:line="276" w:lineRule="auto"/>
        <w:jc w:val="both"/>
        <w:rPr>
          <w:rFonts w:ascii="Arial" w:hAnsi="Arial" w:cs="Arial"/>
          <w:iCs/>
        </w:rPr>
      </w:pPr>
    </w:p>
    <w:p w14:paraId="6A65A368" w14:textId="77777777" w:rsidR="00263654" w:rsidRPr="00263654" w:rsidRDefault="00263654" w:rsidP="00263654">
      <w:pPr>
        <w:spacing w:line="276" w:lineRule="auto"/>
        <w:jc w:val="both"/>
        <w:rPr>
          <w:rFonts w:ascii="Arial" w:hAnsi="Arial" w:cs="Arial"/>
          <w:iCs/>
        </w:rPr>
      </w:pPr>
      <w:r w:rsidRPr="00263654">
        <w:rPr>
          <w:rFonts w:ascii="Arial" w:hAnsi="Arial" w:cs="Arial"/>
          <w:iCs/>
        </w:rPr>
        <w:t xml:space="preserve">Yadav, M. B. N., Patil, P. L. </w:t>
      </w:r>
      <w:proofErr w:type="gramStart"/>
      <w:r w:rsidRPr="00263654">
        <w:rPr>
          <w:rFonts w:ascii="Arial" w:hAnsi="Arial" w:cs="Arial"/>
          <w:iCs/>
        </w:rPr>
        <w:t xml:space="preserve">&amp;  </w:t>
      </w:r>
      <w:proofErr w:type="spellStart"/>
      <w:r w:rsidRPr="00263654">
        <w:rPr>
          <w:rFonts w:ascii="Arial" w:hAnsi="Arial" w:cs="Arial"/>
          <w:iCs/>
        </w:rPr>
        <w:t>Hebbara</w:t>
      </w:r>
      <w:proofErr w:type="spellEnd"/>
      <w:proofErr w:type="gramEnd"/>
      <w:r w:rsidRPr="00263654">
        <w:rPr>
          <w:rFonts w:ascii="Arial" w:hAnsi="Arial" w:cs="Arial"/>
          <w:iCs/>
        </w:rPr>
        <w:t xml:space="preserve">, M. (2023). </w:t>
      </w:r>
      <w:proofErr w:type="spellStart"/>
      <w:r w:rsidRPr="00263654">
        <w:rPr>
          <w:rFonts w:ascii="Arial" w:hAnsi="Arial" w:cs="Arial"/>
          <w:iCs/>
        </w:rPr>
        <w:t>Comperative</w:t>
      </w:r>
      <w:proofErr w:type="spellEnd"/>
      <w:r w:rsidRPr="00263654">
        <w:rPr>
          <w:rFonts w:ascii="Arial" w:hAnsi="Arial" w:cs="Arial"/>
          <w:iCs/>
        </w:rPr>
        <w:t xml:space="preserve"> studies on soil quality index estimation of a hilly zone sub-watershed in Karnataka. </w:t>
      </w:r>
      <w:r w:rsidRPr="00263654">
        <w:rPr>
          <w:rFonts w:ascii="Arial" w:hAnsi="Arial" w:cs="Arial"/>
          <w:i/>
        </w:rPr>
        <w:t>Sustainability</w:t>
      </w:r>
      <w:r w:rsidRPr="00263654">
        <w:rPr>
          <w:rFonts w:ascii="Arial" w:hAnsi="Arial" w:cs="Arial"/>
          <w:iCs/>
        </w:rPr>
        <w:t>, 15(24), 16576.</w:t>
      </w:r>
    </w:p>
    <w:p w14:paraId="583AC783" w14:textId="77777777" w:rsidR="00263654" w:rsidRPr="00263654" w:rsidRDefault="00263654" w:rsidP="00263654">
      <w:pPr>
        <w:spacing w:line="276" w:lineRule="auto"/>
        <w:jc w:val="both"/>
        <w:rPr>
          <w:rFonts w:ascii="Arial" w:hAnsi="Arial" w:cs="Arial"/>
          <w:iCs/>
        </w:rPr>
      </w:pPr>
    </w:p>
    <w:p w14:paraId="6204DAA8" w14:textId="77777777" w:rsidR="00263654" w:rsidRPr="00263654" w:rsidRDefault="00263654" w:rsidP="00263654">
      <w:pPr>
        <w:spacing w:line="276" w:lineRule="auto"/>
        <w:jc w:val="both"/>
        <w:rPr>
          <w:rFonts w:ascii="Arial" w:hAnsi="Arial" w:cs="Arial"/>
          <w:iCs/>
          <w:color w:val="4F81BD" w:themeColor="accent1"/>
        </w:rPr>
      </w:pPr>
      <w:r w:rsidRPr="00263654">
        <w:rPr>
          <w:rFonts w:ascii="Arial" w:hAnsi="Arial" w:cs="Arial"/>
          <w:iCs/>
        </w:rPr>
        <w:t xml:space="preserve">Yao, R., Yang, J., Zhang, J. &amp; Jin, W. (2013). Determining minimum data set for soil quality assessment of typical salt-affected farmland in the coastal reclamation area. </w:t>
      </w:r>
      <w:r w:rsidRPr="00182533">
        <w:rPr>
          <w:rFonts w:ascii="Arial" w:hAnsi="Arial" w:cs="Arial"/>
          <w:i/>
        </w:rPr>
        <w:t>Soil and Tillage Research</w:t>
      </w:r>
      <w:r w:rsidRPr="00263654">
        <w:rPr>
          <w:rFonts w:ascii="Arial" w:hAnsi="Arial" w:cs="Arial"/>
          <w:iCs/>
        </w:rPr>
        <w:t>, 128, 137-148</w:t>
      </w:r>
      <w:r w:rsidRPr="00263654">
        <w:rPr>
          <w:rFonts w:ascii="Arial" w:hAnsi="Arial" w:cs="Arial"/>
          <w:iCs/>
          <w:color w:val="4F81BD" w:themeColor="accent1"/>
        </w:rPr>
        <w:t>.</w:t>
      </w:r>
    </w:p>
    <w:p w14:paraId="6F4558B6" w14:textId="77777777" w:rsidR="00263654" w:rsidRPr="00263654" w:rsidRDefault="00263654" w:rsidP="00263654">
      <w:pPr>
        <w:spacing w:line="276" w:lineRule="auto"/>
        <w:jc w:val="both"/>
        <w:rPr>
          <w:rFonts w:ascii="Arial" w:hAnsi="Arial" w:cs="Arial"/>
          <w:color w:val="4F81BD" w:themeColor="accent1"/>
        </w:rPr>
      </w:pPr>
      <w:r w:rsidRPr="00263654">
        <w:rPr>
          <w:rFonts w:ascii="Arial" w:hAnsi="Arial" w:cs="Arial"/>
          <w:color w:val="4F81BD" w:themeColor="accent1"/>
        </w:rPr>
        <w:t>.</w:t>
      </w:r>
    </w:p>
    <w:p w14:paraId="52693DB8" w14:textId="77777777" w:rsidR="00790ADA" w:rsidRPr="00FB3A86" w:rsidRDefault="00790ADA" w:rsidP="00441B6F">
      <w:pPr>
        <w:pStyle w:val="ReferHead"/>
        <w:spacing w:after="0"/>
        <w:jc w:val="both"/>
        <w:rPr>
          <w:rFonts w:ascii="Arial" w:hAnsi="Arial" w:cs="Arial"/>
        </w:rPr>
      </w:pPr>
    </w:p>
    <w:sectPr w:rsidR="00790ADA" w:rsidRPr="00FB3A86" w:rsidSect="005422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63B9A" w14:textId="77777777" w:rsidR="00A12D89" w:rsidRDefault="00A12D89" w:rsidP="00C37E61">
      <w:r>
        <w:separator/>
      </w:r>
    </w:p>
  </w:endnote>
  <w:endnote w:type="continuationSeparator" w:id="0">
    <w:p w14:paraId="3704E06D" w14:textId="77777777" w:rsidR="00A12D89" w:rsidRDefault="00A12D8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613F" w14:textId="77777777" w:rsidR="00542237" w:rsidRDefault="0054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709B" w14:textId="77777777" w:rsidR="00542237" w:rsidRDefault="00542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8C25" w14:textId="77777777" w:rsidR="009E048A" w:rsidRDefault="009E048A">
    <w:pPr>
      <w:pStyle w:val="Footer"/>
      <w:rPr>
        <w:rFonts w:ascii="Arial" w:hAnsi="Arial" w:cs="Arial"/>
        <w:sz w:val="16"/>
      </w:rPr>
    </w:pPr>
  </w:p>
  <w:p w14:paraId="67BA367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DC94B73" w14:textId="77777777" w:rsidR="009E048A" w:rsidRDefault="009E048A">
    <w:pPr>
      <w:pStyle w:val="Footer"/>
      <w:rPr>
        <w:rFonts w:ascii="Arial" w:hAnsi="Arial" w:cs="Arial"/>
        <w:sz w:val="16"/>
      </w:rPr>
    </w:pPr>
  </w:p>
  <w:p w14:paraId="5E60662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1A54B" w14:textId="77777777" w:rsidR="00A12D89" w:rsidRDefault="00A12D89" w:rsidP="00C37E61">
      <w:r>
        <w:separator/>
      </w:r>
    </w:p>
  </w:footnote>
  <w:footnote w:type="continuationSeparator" w:id="0">
    <w:p w14:paraId="337DA845" w14:textId="77777777" w:rsidR="00A12D89" w:rsidRDefault="00A12D8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9372" w14:textId="244DB1D1" w:rsidR="00542237" w:rsidRDefault="00542237">
    <w:pPr>
      <w:pStyle w:val="Header"/>
    </w:pPr>
    <w:r>
      <w:rPr>
        <w:noProof/>
      </w:rPr>
      <w:pict w14:anchorId="79F0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9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70F" w14:textId="31E6878C" w:rsidR="00542237" w:rsidRDefault="00542237">
    <w:pPr>
      <w:pStyle w:val="Header"/>
    </w:pPr>
    <w:r>
      <w:rPr>
        <w:noProof/>
      </w:rPr>
      <w:pict w14:anchorId="7787D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9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6195" w14:textId="16FA1196" w:rsidR="00296529" w:rsidRPr="00296529" w:rsidRDefault="00542237" w:rsidP="00296529">
    <w:pPr>
      <w:ind w:left="2160"/>
      <w:jc w:val="center"/>
      <w:rPr>
        <w:rFonts w:ascii="Times New Roman" w:eastAsia="Calibri" w:hAnsi="Times New Roman"/>
        <w:i/>
        <w:sz w:val="18"/>
        <w:szCs w:val="22"/>
      </w:rPr>
    </w:pPr>
    <w:r>
      <w:rPr>
        <w:noProof/>
      </w:rPr>
      <w:pict w14:anchorId="66F9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9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45649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5BF6E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1CCDE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1498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37923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F157B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F9E4451"/>
    <w:multiLevelType w:val="hybridMultilevel"/>
    <w:tmpl w:val="F80A3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81401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4688341">
    <w:abstractNumId w:val="16"/>
  </w:num>
  <w:num w:numId="3" w16cid:durableId="1536653386">
    <w:abstractNumId w:val="24"/>
  </w:num>
  <w:num w:numId="4" w16cid:durableId="1016123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55403699">
    <w:abstractNumId w:val="7"/>
  </w:num>
  <w:num w:numId="6" w16cid:durableId="1903447080">
    <w:abstractNumId w:val="6"/>
  </w:num>
  <w:num w:numId="7" w16cid:durableId="92478003">
    <w:abstractNumId w:val="1"/>
  </w:num>
  <w:num w:numId="8" w16cid:durableId="983465594">
    <w:abstractNumId w:val="12"/>
  </w:num>
  <w:num w:numId="9" w16cid:durableId="947808408">
    <w:abstractNumId w:val="26"/>
  </w:num>
  <w:num w:numId="10" w16cid:durableId="1616323785">
    <w:abstractNumId w:val="2"/>
  </w:num>
  <w:num w:numId="11" w16cid:durableId="710883906">
    <w:abstractNumId w:val="19"/>
  </w:num>
  <w:num w:numId="12" w16cid:durableId="1241138434">
    <w:abstractNumId w:val="3"/>
  </w:num>
  <w:num w:numId="13" w16cid:durableId="778527067">
    <w:abstractNumId w:val="18"/>
  </w:num>
  <w:num w:numId="14" w16cid:durableId="1558932603">
    <w:abstractNumId w:val="8"/>
  </w:num>
  <w:num w:numId="15" w16cid:durableId="739208192">
    <w:abstractNumId w:val="22"/>
  </w:num>
  <w:num w:numId="16" w16cid:durableId="1424571084">
    <w:abstractNumId w:val="5"/>
  </w:num>
  <w:num w:numId="17" w16cid:durableId="1248924261">
    <w:abstractNumId w:val="23"/>
  </w:num>
  <w:num w:numId="18" w16cid:durableId="1902206760">
    <w:abstractNumId w:val="14"/>
  </w:num>
  <w:num w:numId="19" w16cid:durableId="435560002">
    <w:abstractNumId w:val="29"/>
  </w:num>
  <w:num w:numId="20" w16cid:durableId="499198821">
    <w:abstractNumId w:val="11"/>
  </w:num>
  <w:num w:numId="21" w16cid:durableId="1113092171">
    <w:abstractNumId w:val="9"/>
  </w:num>
  <w:num w:numId="22" w16cid:durableId="1251281012">
    <w:abstractNumId w:val="13"/>
  </w:num>
  <w:num w:numId="23" w16cid:durableId="648437966">
    <w:abstractNumId w:val="20"/>
  </w:num>
  <w:num w:numId="24" w16cid:durableId="1985353811">
    <w:abstractNumId w:val="27"/>
  </w:num>
  <w:num w:numId="25" w16cid:durableId="1545289739">
    <w:abstractNumId w:val="4"/>
  </w:num>
  <w:num w:numId="26" w16cid:durableId="325327794">
    <w:abstractNumId w:val="17"/>
  </w:num>
  <w:num w:numId="27" w16cid:durableId="422384679">
    <w:abstractNumId w:val="21"/>
  </w:num>
  <w:num w:numId="28" w16cid:durableId="236868351">
    <w:abstractNumId w:val="28"/>
  </w:num>
  <w:num w:numId="29" w16cid:durableId="591862918">
    <w:abstractNumId w:val="25"/>
  </w:num>
  <w:num w:numId="30" w16cid:durableId="1311985108">
    <w:abstractNumId w:val="10"/>
  </w:num>
  <w:num w:numId="31" w16cid:durableId="16572268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389"/>
    <w:rsid w:val="0004579C"/>
    <w:rsid w:val="00063BEC"/>
    <w:rsid w:val="00097D59"/>
    <w:rsid w:val="000A47FA"/>
    <w:rsid w:val="000A65D3"/>
    <w:rsid w:val="000B1E33"/>
    <w:rsid w:val="000D1C9D"/>
    <w:rsid w:val="000D689F"/>
    <w:rsid w:val="000E7B7B"/>
    <w:rsid w:val="000E7D62"/>
    <w:rsid w:val="00103357"/>
    <w:rsid w:val="0010412F"/>
    <w:rsid w:val="00123C9F"/>
    <w:rsid w:val="00126190"/>
    <w:rsid w:val="00130F17"/>
    <w:rsid w:val="001320BF"/>
    <w:rsid w:val="001323FB"/>
    <w:rsid w:val="00163BC4"/>
    <w:rsid w:val="00182533"/>
    <w:rsid w:val="001851F8"/>
    <w:rsid w:val="00191062"/>
    <w:rsid w:val="00192B72"/>
    <w:rsid w:val="001A2569"/>
    <w:rsid w:val="001A29D8"/>
    <w:rsid w:val="001A5CAA"/>
    <w:rsid w:val="001B0427"/>
    <w:rsid w:val="001D3A51"/>
    <w:rsid w:val="001D7CFE"/>
    <w:rsid w:val="001E10D2"/>
    <w:rsid w:val="001E25B4"/>
    <w:rsid w:val="001E44FE"/>
    <w:rsid w:val="00200595"/>
    <w:rsid w:val="00204835"/>
    <w:rsid w:val="00231920"/>
    <w:rsid w:val="0023195C"/>
    <w:rsid w:val="0024282C"/>
    <w:rsid w:val="002460DC"/>
    <w:rsid w:val="00250985"/>
    <w:rsid w:val="002556F6"/>
    <w:rsid w:val="00263654"/>
    <w:rsid w:val="00283105"/>
    <w:rsid w:val="00284C4C"/>
    <w:rsid w:val="00287E68"/>
    <w:rsid w:val="00296529"/>
    <w:rsid w:val="002B27FB"/>
    <w:rsid w:val="002B2E27"/>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F369D"/>
    <w:rsid w:val="00401927"/>
    <w:rsid w:val="0041027F"/>
    <w:rsid w:val="00412475"/>
    <w:rsid w:val="00423789"/>
    <w:rsid w:val="00440F43"/>
    <w:rsid w:val="00441B6F"/>
    <w:rsid w:val="00446221"/>
    <w:rsid w:val="00450E62"/>
    <w:rsid w:val="004539DB"/>
    <w:rsid w:val="00457CA1"/>
    <w:rsid w:val="00471A80"/>
    <w:rsid w:val="004A50E0"/>
    <w:rsid w:val="004D305E"/>
    <w:rsid w:val="004D4277"/>
    <w:rsid w:val="00502516"/>
    <w:rsid w:val="00505F06"/>
    <w:rsid w:val="00506828"/>
    <w:rsid w:val="0053056E"/>
    <w:rsid w:val="00542237"/>
    <w:rsid w:val="00554FDA"/>
    <w:rsid w:val="005A4417"/>
    <w:rsid w:val="005C784C"/>
    <w:rsid w:val="005D17F6"/>
    <w:rsid w:val="005E5539"/>
    <w:rsid w:val="00602BF5"/>
    <w:rsid w:val="00615114"/>
    <w:rsid w:val="00617FDD"/>
    <w:rsid w:val="00633614"/>
    <w:rsid w:val="00633F68"/>
    <w:rsid w:val="00636EB2"/>
    <w:rsid w:val="006375B8"/>
    <w:rsid w:val="00645476"/>
    <w:rsid w:val="006612D9"/>
    <w:rsid w:val="00664047"/>
    <w:rsid w:val="0066510A"/>
    <w:rsid w:val="00665C82"/>
    <w:rsid w:val="00673F9F"/>
    <w:rsid w:val="00686953"/>
    <w:rsid w:val="00687DEA"/>
    <w:rsid w:val="00687E67"/>
    <w:rsid w:val="006967F7"/>
    <w:rsid w:val="006A2010"/>
    <w:rsid w:val="006A250C"/>
    <w:rsid w:val="006B21D3"/>
    <w:rsid w:val="006B57D0"/>
    <w:rsid w:val="006C2EC3"/>
    <w:rsid w:val="006D30FF"/>
    <w:rsid w:val="006D6940"/>
    <w:rsid w:val="006F11EC"/>
    <w:rsid w:val="0070082C"/>
    <w:rsid w:val="007369E6"/>
    <w:rsid w:val="00746E59"/>
    <w:rsid w:val="00754C9A"/>
    <w:rsid w:val="0075599A"/>
    <w:rsid w:val="00761D52"/>
    <w:rsid w:val="0077749E"/>
    <w:rsid w:val="00790ADA"/>
    <w:rsid w:val="0079748C"/>
    <w:rsid w:val="007D2288"/>
    <w:rsid w:val="007E088F"/>
    <w:rsid w:val="007F7B32"/>
    <w:rsid w:val="00804BC2"/>
    <w:rsid w:val="0081431A"/>
    <w:rsid w:val="0083216F"/>
    <w:rsid w:val="00837DC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0760"/>
    <w:rsid w:val="009B3FB9"/>
    <w:rsid w:val="009C2465"/>
    <w:rsid w:val="009D35A0"/>
    <w:rsid w:val="009D7EB7"/>
    <w:rsid w:val="009E048A"/>
    <w:rsid w:val="009E08E9"/>
    <w:rsid w:val="009E3DB9"/>
    <w:rsid w:val="009E6E35"/>
    <w:rsid w:val="009F0EDA"/>
    <w:rsid w:val="00A03B96"/>
    <w:rsid w:val="00A05B19"/>
    <w:rsid w:val="00A1134E"/>
    <w:rsid w:val="00A12D89"/>
    <w:rsid w:val="00A24E7E"/>
    <w:rsid w:val="00A258C3"/>
    <w:rsid w:val="00A347C0"/>
    <w:rsid w:val="00A51431"/>
    <w:rsid w:val="00A539AD"/>
    <w:rsid w:val="00A94063"/>
    <w:rsid w:val="00AA6219"/>
    <w:rsid w:val="00AA74E0"/>
    <w:rsid w:val="00AB34CA"/>
    <w:rsid w:val="00AB703F"/>
    <w:rsid w:val="00AC6BB8"/>
    <w:rsid w:val="00AE008F"/>
    <w:rsid w:val="00B01FCD"/>
    <w:rsid w:val="00B16B95"/>
    <w:rsid w:val="00B1776C"/>
    <w:rsid w:val="00B52583"/>
    <w:rsid w:val="00B52896"/>
    <w:rsid w:val="00B95236"/>
    <w:rsid w:val="00B96BD9"/>
    <w:rsid w:val="00BA1B01"/>
    <w:rsid w:val="00BA2641"/>
    <w:rsid w:val="00BB37AA"/>
    <w:rsid w:val="00BC53A0"/>
    <w:rsid w:val="00BE1951"/>
    <w:rsid w:val="00BE62AD"/>
    <w:rsid w:val="00BF121F"/>
    <w:rsid w:val="00BF1F80"/>
    <w:rsid w:val="00C166EF"/>
    <w:rsid w:val="00C17861"/>
    <w:rsid w:val="00C17EB0"/>
    <w:rsid w:val="00C2290B"/>
    <w:rsid w:val="00C27F5F"/>
    <w:rsid w:val="00C30A0F"/>
    <w:rsid w:val="00C37E61"/>
    <w:rsid w:val="00C63F65"/>
    <w:rsid w:val="00C70F1B"/>
    <w:rsid w:val="00C71A47"/>
    <w:rsid w:val="00C7464C"/>
    <w:rsid w:val="00C804D5"/>
    <w:rsid w:val="00C85588"/>
    <w:rsid w:val="00CD6755"/>
    <w:rsid w:val="00CD6856"/>
    <w:rsid w:val="00CE0089"/>
    <w:rsid w:val="00CE793C"/>
    <w:rsid w:val="00CF193C"/>
    <w:rsid w:val="00D173F1"/>
    <w:rsid w:val="00D226F5"/>
    <w:rsid w:val="00D74CB0"/>
    <w:rsid w:val="00D8295D"/>
    <w:rsid w:val="00DC0037"/>
    <w:rsid w:val="00DC2A65"/>
    <w:rsid w:val="00DD4FE1"/>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B7F9D"/>
    <w:rsid w:val="00FD36C8"/>
    <w:rsid w:val="00FE564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2C7469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63F65"/>
    <w:pPr>
      <w:spacing w:after="200" w:line="276" w:lineRule="auto"/>
      <w:ind w:left="720"/>
      <w:contextualSpacing/>
    </w:pPr>
    <w:rPr>
      <w:rFonts w:asciiTheme="minorHAnsi" w:eastAsiaTheme="minorEastAsia" w:hAnsiTheme="minorHAnsi" w:cstheme="minorBidi"/>
      <w:sz w:val="22"/>
      <w:szCs w:val="22"/>
      <w:lang w:val="en-IN" w:eastAsia="en-IN"/>
    </w:rPr>
  </w:style>
  <w:style w:type="character" w:styleId="UnresolvedMention">
    <w:name w:val="Unresolved Mention"/>
    <w:basedOn w:val="DefaultParagraphFont"/>
    <w:uiPriority w:val="99"/>
    <w:semiHidden/>
    <w:unhideWhenUsed/>
    <w:rsid w:val="000D1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C%20Ph%20D\DATA%20Rice%20Fallow%20cultivate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MC%20Ph%20D\SQI%20Rice%20oilseed%20cultivated%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Sheet3!$P$1</c:f>
              <c:strCache>
                <c:ptCount val="1"/>
                <c:pt idx="0">
                  <c:v>RSQI</c:v>
                </c:pt>
              </c:strCache>
            </c:strRef>
          </c:tx>
          <c:spPr>
            <a:ln w="28575">
              <a:noFill/>
            </a:ln>
          </c:spPr>
          <c:trendline>
            <c:trendlineType val="linear"/>
            <c:dispRSqr val="0"/>
            <c:dispEq val="0"/>
          </c:trendline>
          <c:trendline>
            <c:trendlineType val="linear"/>
            <c:dispRSqr val="1"/>
            <c:dispEq val="1"/>
            <c:trendlineLbl>
              <c:layout>
                <c:manualLayout>
                  <c:x val="-0.3938623351905573"/>
                  <c:y val="-1.8128060713530996E-2"/>
                </c:manualLayout>
              </c:layout>
              <c:numFmt formatCode="General" sourceLinked="0"/>
            </c:trendlineLbl>
          </c:trendline>
          <c:xVal>
            <c:numRef>
              <c:f>Sheet3!$O$2:$O$61</c:f>
              <c:numCache>
                <c:formatCode>General</c:formatCode>
                <c:ptCount val="60"/>
                <c:pt idx="0">
                  <c:v>45</c:v>
                </c:pt>
                <c:pt idx="1">
                  <c:v>42</c:v>
                </c:pt>
                <c:pt idx="2">
                  <c:v>37</c:v>
                </c:pt>
                <c:pt idx="3">
                  <c:v>42</c:v>
                </c:pt>
                <c:pt idx="4">
                  <c:v>40</c:v>
                </c:pt>
                <c:pt idx="5">
                  <c:v>40</c:v>
                </c:pt>
                <c:pt idx="6">
                  <c:v>42</c:v>
                </c:pt>
                <c:pt idx="7">
                  <c:v>50</c:v>
                </c:pt>
                <c:pt idx="8">
                  <c:v>42</c:v>
                </c:pt>
                <c:pt idx="9">
                  <c:v>37</c:v>
                </c:pt>
                <c:pt idx="10">
                  <c:v>40</c:v>
                </c:pt>
                <c:pt idx="11">
                  <c:v>36</c:v>
                </c:pt>
                <c:pt idx="12">
                  <c:v>41</c:v>
                </c:pt>
                <c:pt idx="13">
                  <c:v>40</c:v>
                </c:pt>
                <c:pt idx="14">
                  <c:v>43</c:v>
                </c:pt>
                <c:pt idx="15">
                  <c:v>43</c:v>
                </c:pt>
                <c:pt idx="16">
                  <c:v>45</c:v>
                </c:pt>
                <c:pt idx="17">
                  <c:v>45</c:v>
                </c:pt>
                <c:pt idx="18">
                  <c:v>50</c:v>
                </c:pt>
                <c:pt idx="19">
                  <c:v>42</c:v>
                </c:pt>
                <c:pt idx="20">
                  <c:v>45</c:v>
                </c:pt>
                <c:pt idx="21">
                  <c:v>43</c:v>
                </c:pt>
                <c:pt idx="22">
                  <c:v>43</c:v>
                </c:pt>
                <c:pt idx="23">
                  <c:v>45</c:v>
                </c:pt>
                <c:pt idx="24">
                  <c:v>38</c:v>
                </c:pt>
                <c:pt idx="25">
                  <c:v>52</c:v>
                </c:pt>
                <c:pt idx="26">
                  <c:v>50</c:v>
                </c:pt>
                <c:pt idx="27">
                  <c:v>45</c:v>
                </c:pt>
                <c:pt idx="28">
                  <c:v>36</c:v>
                </c:pt>
                <c:pt idx="29">
                  <c:v>48</c:v>
                </c:pt>
                <c:pt idx="30">
                  <c:v>45</c:v>
                </c:pt>
                <c:pt idx="31">
                  <c:v>38</c:v>
                </c:pt>
                <c:pt idx="32">
                  <c:v>48</c:v>
                </c:pt>
                <c:pt idx="33">
                  <c:v>50</c:v>
                </c:pt>
                <c:pt idx="34">
                  <c:v>45</c:v>
                </c:pt>
                <c:pt idx="35">
                  <c:v>43</c:v>
                </c:pt>
                <c:pt idx="36">
                  <c:v>48</c:v>
                </c:pt>
                <c:pt idx="37">
                  <c:v>43</c:v>
                </c:pt>
                <c:pt idx="38">
                  <c:v>51</c:v>
                </c:pt>
                <c:pt idx="39">
                  <c:v>50</c:v>
                </c:pt>
                <c:pt idx="40">
                  <c:v>45</c:v>
                </c:pt>
                <c:pt idx="41">
                  <c:v>46</c:v>
                </c:pt>
                <c:pt idx="42">
                  <c:v>42</c:v>
                </c:pt>
                <c:pt idx="43">
                  <c:v>41</c:v>
                </c:pt>
                <c:pt idx="44">
                  <c:v>43</c:v>
                </c:pt>
                <c:pt idx="45">
                  <c:v>41</c:v>
                </c:pt>
                <c:pt idx="46">
                  <c:v>38</c:v>
                </c:pt>
                <c:pt idx="47">
                  <c:v>40</c:v>
                </c:pt>
                <c:pt idx="48">
                  <c:v>36</c:v>
                </c:pt>
                <c:pt idx="49">
                  <c:v>42</c:v>
                </c:pt>
                <c:pt idx="50">
                  <c:v>45</c:v>
                </c:pt>
                <c:pt idx="51">
                  <c:v>41</c:v>
                </c:pt>
                <c:pt idx="52">
                  <c:v>52</c:v>
                </c:pt>
                <c:pt idx="53">
                  <c:v>48</c:v>
                </c:pt>
                <c:pt idx="54">
                  <c:v>45</c:v>
                </c:pt>
                <c:pt idx="55">
                  <c:v>42</c:v>
                </c:pt>
                <c:pt idx="56">
                  <c:v>53</c:v>
                </c:pt>
                <c:pt idx="57">
                  <c:v>40</c:v>
                </c:pt>
                <c:pt idx="58">
                  <c:v>45</c:v>
                </c:pt>
                <c:pt idx="59">
                  <c:v>50</c:v>
                </c:pt>
              </c:numCache>
            </c:numRef>
          </c:xVal>
          <c:yVal>
            <c:numRef>
              <c:f>Sheet3!$P$2:$P$61</c:f>
              <c:numCache>
                <c:formatCode>General</c:formatCode>
                <c:ptCount val="60"/>
                <c:pt idx="0">
                  <c:v>56.75</c:v>
                </c:pt>
                <c:pt idx="1">
                  <c:v>59.75</c:v>
                </c:pt>
                <c:pt idx="2">
                  <c:v>54.25</c:v>
                </c:pt>
                <c:pt idx="3">
                  <c:v>54.25</c:v>
                </c:pt>
                <c:pt idx="4">
                  <c:v>57.999999999999993</c:v>
                </c:pt>
                <c:pt idx="5">
                  <c:v>52.25</c:v>
                </c:pt>
                <c:pt idx="6">
                  <c:v>52.75</c:v>
                </c:pt>
                <c:pt idx="7">
                  <c:v>54.25</c:v>
                </c:pt>
                <c:pt idx="8">
                  <c:v>54.25</c:v>
                </c:pt>
                <c:pt idx="9">
                  <c:v>55.500000000000007</c:v>
                </c:pt>
                <c:pt idx="10">
                  <c:v>57.75</c:v>
                </c:pt>
                <c:pt idx="11">
                  <c:v>53.5</c:v>
                </c:pt>
                <c:pt idx="12">
                  <c:v>54.25</c:v>
                </c:pt>
                <c:pt idx="13">
                  <c:v>53</c:v>
                </c:pt>
                <c:pt idx="14">
                  <c:v>54.25</c:v>
                </c:pt>
                <c:pt idx="15">
                  <c:v>56.75</c:v>
                </c:pt>
                <c:pt idx="16">
                  <c:v>59.25</c:v>
                </c:pt>
                <c:pt idx="17">
                  <c:v>54.25</c:v>
                </c:pt>
                <c:pt idx="18">
                  <c:v>55.500000000000007</c:v>
                </c:pt>
                <c:pt idx="19">
                  <c:v>53.5</c:v>
                </c:pt>
                <c:pt idx="20">
                  <c:v>55.500000000000007</c:v>
                </c:pt>
                <c:pt idx="21">
                  <c:v>52.25</c:v>
                </c:pt>
                <c:pt idx="22">
                  <c:v>56.75</c:v>
                </c:pt>
                <c:pt idx="23">
                  <c:v>55.500000000000007</c:v>
                </c:pt>
                <c:pt idx="24">
                  <c:v>55.500000000000007</c:v>
                </c:pt>
                <c:pt idx="25">
                  <c:v>61.750000000000007</c:v>
                </c:pt>
                <c:pt idx="26">
                  <c:v>60</c:v>
                </c:pt>
                <c:pt idx="27">
                  <c:v>58.75</c:v>
                </c:pt>
                <c:pt idx="28">
                  <c:v>57.999999999999993</c:v>
                </c:pt>
                <c:pt idx="29">
                  <c:v>59.25</c:v>
                </c:pt>
                <c:pt idx="30">
                  <c:v>57.999999999999993</c:v>
                </c:pt>
                <c:pt idx="31">
                  <c:v>54.25</c:v>
                </c:pt>
                <c:pt idx="32">
                  <c:v>57.999999999999993</c:v>
                </c:pt>
                <c:pt idx="33">
                  <c:v>57.999999999999993</c:v>
                </c:pt>
                <c:pt idx="34">
                  <c:v>57.999999999999993</c:v>
                </c:pt>
                <c:pt idx="35">
                  <c:v>57.25</c:v>
                </c:pt>
                <c:pt idx="36">
                  <c:v>56.499999999999993</c:v>
                </c:pt>
                <c:pt idx="37">
                  <c:v>55.500000000000007</c:v>
                </c:pt>
                <c:pt idx="38">
                  <c:v>59.25</c:v>
                </c:pt>
                <c:pt idx="39">
                  <c:v>56.000000000000007</c:v>
                </c:pt>
                <c:pt idx="40">
                  <c:v>56.75</c:v>
                </c:pt>
                <c:pt idx="41">
                  <c:v>54</c:v>
                </c:pt>
                <c:pt idx="42">
                  <c:v>56.75</c:v>
                </c:pt>
                <c:pt idx="43">
                  <c:v>51.749999999999993</c:v>
                </c:pt>
                <c:pt idx="44">
                  <c:v>50.5</c:v>
                </c:pt>
                <c:pt idx="45">
                  <c:v>50.5</c:v>
                </c:pt>
                <c:pt idx="46">
                  <c:v>49.75</c:v>
                </c:pt>
                <c:pt idx="47">
                  <c:v>56.499999999999993</c:v>
                </c:pt>
                <c:pt idx="48">
                  <c:v>51.749999999999993</c:v>
                </c:pt>
                <c:pt idx="49">
                  <c:v>52</c:v>
                </c:pt>
                <c:pt idx="50">
                  <c:v>59.25</c:v>
                </c:pt>
                <c:pt idx="51">
                  <c:v>54.25</c:v>
                </c:pt>
                <c:pt idx="52">
                  <c:v>64.25</c:v>
                </c:pt>
                <c:pt idx="53">
                  <c:v>60.5</c:v>
                </c:pt>
                <c:pt idx="54">
                  <c:v>61.250000000000007</c:v>
                </c:pt>
                <c:pt idx="55">
                  <c:v>64.5</c:v>
                </c:pt>
                <c:pt idx="56">
                  <c:v>61</c:v>
                </c:pt>
                <c:pt idx="57">
                  <c:v>68</c:v>
                </c:pt>
                <c:pt idx="58">
                  <c:v>55.500000000000007</c:v>
                </c:pt>
                <c:pt idx="59">
                  <c:v>69.25</c:v>
                </c:pt>
              </c:numCache>
            </c:numRef>
          </c:yVal>
          <c:smooth val="0"/>
          <c:extLst>
            <c:ext xmlns:c16="http://schemas.microsoft.com/office/drawing/2014/chart" uri="{C3380CC4-5D6E-409C-BE32-E72D297353CC}">
              <c16:uniqueId val="{00000002-7EEB-4225-9154-D7DDE88283B9}"/>
            </c:ext>
          </c:extLst>
        </c:ser>
        <c:dLbls>
          <c:showLegendKey val="0"/>
          <c:showVal val="0"/>
          <c:showCatName val="0"/>
          <c:showSerName val="0"/>
          <c:showPercent val="0"/>
          <c:showBubbleSize val="0"/>
        </c:dLbls>
        <c:axId val="291108376"/>
        <c:axId val="291107200"/>
      </c:scatterChart>
      <c:valAx>
        <c:axId val="291108376"/>
        <c:scaling>
          <c:orientation val="minMax"/>
        </c:scaling>
        <c:delete val="0"/>
        <c:axPos val="b"/>
        <c:title>
          <c:tx>
            <c:rich>
              <a:bodyPr/>
              <a:lstStyle/>
              <a:p>
                <a:pPr>
                  <a:defRPr/>
                </a:pPr>
                <a:r>
                  <a:rPr lang="en-US"/>
                  <a:t>RSQI</a:t>
                </a:r>
              </a:p>
            </c:rich>
          </c:tx>
          <c:overlay val="0"/>
        </c:title>
        <c:numFmt formatCode="General" sourceLinked="1"/>
        <c:majorTickMark val="out"/>
        <c:minorTickMark val="none"/>
        <c:tickLblPos val="nextTo"/>
        <c:crossAx val="291107200"/>
        <c:crosses val="autoZero"/>
        <c:crossBetween val="midCat"/>
      </c:valAx>
      <c:valAx>
        <c:axId val="291107200"/>
        <c:scaling>
          <c:orientation val="minMax"/>
        </c:scaling>
        <c:delete val="0"/>
        <c:axPos val="l"/>
        <c:majorGridlines/>
        <c:title>
          <c:tx>
            <c:rich>
              <a:bodyPr/>
              <a:lstStyle/>
              <a:p>
                <a:pPr>
                  <a:defRPr/>
                </a:pPr>
                <a:r>
                  <a:rPr lang="en-IN"/>
                  <a:t>% Relative yield</a:t>
                </a:r>
              </a:p>
              <a:p>
                <a:pPr>
                  <a:defRPr/>
                </a:pPr>
                <a:endParaRPr lang="en-IN"/>
              </a:p>
            </c:rich>
          </c:tx>
          <c:overlay val="0"/>
        </c:title>
        <c:numFmt formatCode="General" sourceLinked="1"/>
        <c:majorTickMark val="out"/>
        <c:minorTickMark val="none"/>
        <c:tickLblPos val="nextTo"/>
        <c:crossAx val="291108376"/>
        <c:crosses val="autoZero"/>
        <c:crossBetween val="midCat"/>
      </c:valAx>
    </c:plotArea>
    <c:legend>
      <c:legendPos val="b"/>
      <c:legendEntry>
        <c:idx val="2"/>
        <c:delete val="1"/>
      </c:legendEntry>
      <c:layout>
        <c:manualLayout>
          <c:xMode val="edge"/>
          <c:yMode val="edge"/>
          <c:x val="0.30768714217740328"/>
          <c:y val="0.82225011255156699"/>
          <c:w val="0.36756899356878642"/>
          <c:h val="0.1030707742629020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10081195990852"/>
          <c:y val="0.1478072392889859"/>
          <c:w val="0.85498495802059826"/>
          <c:h val="0.55474284722674128"/>
        </c:manualLayout>
      </c:layout>
      <c:scatterChart>
        <c:scatterStyle val="lineMarker"/>
        <c:varyColors val="0"/>
        <c:ser>
          <c:idx val="0"/>
          <c:order val="0"/>
          <c:tx>
            <c:strRef>
              <c:f>Sheet3!$L$1</c:f>
              <c:strCache>
                <c:ptCount val="1"/>
                <c:pt idx="0">
                  <c:v>Rice Eq yield q/ha</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1"/>
            <c:dispEq val="1"/>
            <c:trendlineLbl>
              <c:layout>
                <c:manualLayout>
                  <c:x val="-0.45620270602139645"/>
                  <c:y val="2.063929866363653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Sheet3!$K$2:$K$64</c:f>
              <c:numCache>
                <c:formatCode>General</c:formatCode>
                <c:ptCount val="63"/>
                <c:pt idx="0">
                  <c:v>53</c:v>
                </c:pt>
                <c:pt idx="1">
                  <c:v>51.749999999999993</c:v>
                </c:pt>
                <c:pt idx="2">
                  <c:v>44.75</c:v>
                </c:pt>
                <c:pt idx="3">
                  <c:v>53</c:v>
                </c:pt>
                <c:pt idx="4">
                  <c:v>51</c:v>
                </c:pt>
                <c:pt idx="5">
                  <c:v>45.5</c:v>
                </c:pt>
                <c:pt idx="6">
                  <c:v>49.75</c:v>
                </c:pt>
                <c:pt idx="7">
                  <c:v>51.749999999999993</c:v>
                </c:pt>
                <c:pt idx="8">
                  <c:v>59.25</c:v>
                </c:pt>
                <c:pt idx="9">
                  <c:v>51</c:v>
                </c:pt>
                <c:pt idx="10">
                  <c:v>51</c:v>
                </c:pt>
                <c:pt idx="11">
                  <c:v>51.749999999999993</c:v>
                </c:pt>
                <c:pt idx="12">
                  <c:v>53.75</c:v>
                </c:pt>
                <c:pt idx="13">
                  <c:v>56.000000000000007</c:v>
                </c:pt>
                <c:pt idx="14">
                  <c:v>48.5</c:v>
                </c:pt>
                <c:pt idx="15">
                  <c:v>49.75</c:v>
                </c:pt>
                <c:pt idx="16">
                  <c:v>52</c:v>
                </c:pt>
                <c:pt idx="17">
                  <c:v>47.25</c:v>
                </c:pt>
                <c:pt idx="18">
                  <c:v>46</c:v>
                </c:pt>
                <c:pt idx="19">
                  <c:v>46.5</c:v>
                </c:pt>
                <c:pt idx="20">
                  <c:v>49.75</c:v>
                </c:pt>
                <c:pt idx="21">
                  <c:v>54.25</c:v>
                </c:pt>
                <c:pt idx="22">
                  <c:v>54.75</c:v>
                </c:pt>
                <c:pt idx="23">
                  <c:v>59</c:v>
                </c:pt>
                <c:pt idx="24">
                  <c:v>53</c:v>
                </c:pt>
                <c:pt idx="25">
                  <c:v>54.500000000000007</c:v>
                </c:pt>
                <c:pt idx="26">
                  <c:v>47.25</c:v>
                </c:pt>
                <c:pt idx="27">
                  <c:v>48.5</c:v>
                </c:pt>
                <c:pt idx="28">
                  <c:v>51</c:v>
                </c:pt>
                <c:pt idx="29">
                  <c:v>55.500000000000007</c:v>
                </c:pt>
                <c:pt idx="30">
                  <c:v>54.25</c:v>
                </c:pt>
                <c:pt idx="31">
                  <c:v>55.000000000000007</c:v>
                </c:pt>
                <c:pt idx="32">
                  <c:v>53</c:v>
                </c:pt>
                <c:pt idx="33">
                  <c:v>54.75</c:v>
                </c:pt>
                <c:pt idx="34">
                  <c:v>51.749999999999993</c:v>
                </c:pt>
                <c:pt idx="35">
                  <c:v>51</c:v>
                </c:pt>
                <c:pt idx="36">
                  <c:v>51</c:v>
                </c:pt>
                <c:pt idx="37">
                  <c:v>49.75</c:v>
                </c:pt>
                <c:pt idx="38">
                  <c:v>51</c:v>
                </c:pt>
                <c:pt idx="39">
                  <c:v>51.749999999999993</c:v>
                </c:pt>
                <c:pt idx="40">
                  <c:v>53</c:v>
                </c:pt>
                <c:pt idx="41">
                  <c:v>53</c:v>
                </c:pt>
                <c:pt idx="42">
                  <c:v>59.75</c:v>
                </c:pt>
                <c:pt idx="43">
                  <c:v>56.000000000000007</c:v>
                </c:pt>
                <c:pt idx="44">
                  <c:v>59.25</c:v>
                </c:pt>
                <c:pt idx="45">
                  <c:v>63</c:v>
                </c:pt>
                <c:pt idx="46">
                  <c:v>60.5</c:v>
                </c:pt>
                <c:pt idx="47">
                  <c:v>52.25</c:v>
                </c:pt>
                <c:pt idx="48">
                  <c:v>57.25</c:v>
                </c:pt>
                <c:pt idx="49">
                  <c:v>46</c:v>
                </c:pt>
                <c:pt idx="50">
                  <c:v>57.75</c:v>
                </c:pt>
                <c:pt idx="51">
                  <c:v>54.75</c:v>
                </c:pt>
                <c:pt idx="52">
                  <c:v>64</c:v>
                </c:pt>
                <c:pt idx="53">
                  <c:v>67.75</c:v>
                </c:pt>
                <c:pt idx="54">
                  <c:v>56.75</c:v>
                </c:pt>
                <c:pt idx="55">
                  <c:v>54.25</c:v>
                </c:pt>
                <c:pt idx="56">
                  <c:v>51</c:v>
                </c:pt>
                <c:pt idx="57">
                  <c:v>51.749999999999993</c:v>
                </c:pt>
                <c:pt idx="58">
                  <c:v>51.749999999999993</c:v>
                </c:pt>
                <c:pt idx="59">
                  <c:v>56.75</c:v>
                </c:pt>
                <c:pt idx="60">
                  <c:v>58.5</c:v>
                </c:pt>
                <c:pt idx="61">
                  <c:v>58.5</c:v>
                </c:pt>
                <c:pt idx="62">
                  <c:v>58.5</c:v>
                </c:pt>
              </c:numCache>
            </c:numRef>
          </c:xVal>
          <c:yVal>
            <c:numRef>
              <c:f>Sheet3!$L$2:$L$64</c:f>
              <c:numCache>
                <c:formatCode>General</c:formatCode>
                <c:ptCount val="63"/>
                <c:pt idx="0">
                  <c:v>58.4</c:v>
                </c:pt>
                <c:pt idx="1">
                  <c:v>60.7</c:v>
                </c:pt>
                <c:pt idx="2">
                  <c:v>61.7</c:v>
                </c:pt>
                <c:pt idx="3">
                  <c:v>67.2</c:v>
                </c:pt>
                <c:pt idx="4">
                  <c:v>61.900000000000006</c:v>
                </c:pt>
                <c:pt idx="5">
                  <c:v>67.8</c:v>
                </c:pt>
                <c:pt idx="6">
                  <c:v>62.400000000000006</c:v>
                </c:pt>
                <c:pt idx="7">
                  <c:v>75.199999999999989</c:v>
                </c:pt>
                <c:pt idx="8">
                  <c:v>71.2</c:v>
                </c:pt>
                <c:pt idx="9">
                  <c:v>60.7</c:v>
                </c:pt>
                <c:pt idx="10">
                  <c:v>62.800000000000004</c:v>
                </c:pt>
                <c:pt idx="11">
                  <c:v>59.699999999999996</c:v>
                </c:pt>
                <c:pt idx="12">
                  <c:v>64.7</c:v>
                </c:pt>
                <c:pt idx="13">
                  <c:v>58</c:v>
                </c:pt>
                <c:pt idx="14">
                  <c:v>66.7</c:v>
                </c:pt>
                <c:pt idx="15">
                  <c:v>66.7</c:v>
                </c:pt>
                <c:pt idx="16">
                  <c:v>68.7</c:v>
                </c:pt>
                <c:pt idx="17">
                  <c:v>67.8</c:v>
                </c:pt>
                <c:pt idx="18">
                  <c:v>69.599999999999994</c:v>
                </c:pt>
                <c:pt idx="19">
                  <c:v>67.2</c:v>
                </c:pt>
                <c:pt idx="20">
                  <c:v>70.199999999999989</c:v>
                </c:pt>
                <c:pt idx="21">
                  <c:v>66.7</c:v>
                </c:pt>
                <c:pt idx="22">
                  <c:v>75.5</c:v>
                </c:pt>
                <c:pt idx="23">
                  <c:v>75.599999999999994</c:v>
                </c:pt>
                <c:pt idx="24">
                  <c:v>60.8</c:v>
                </c:pt>
                <c:pt idx="25">
                  <c:v>75</c:v>
                </c:pt>
                <c:pt idx="26">
                  <c:v>75.199999999999989</c:v>
                </c:pt>
                <c:pt idx="27">
                  <c:v>70.199999999999989</c:v>
                </c:pt>
                <c:pt idx="28">
                  <c:v>72.400000000000006</c:v>
                </c:pt>
                <c:pt idx="29">
                  <c:v>71.7</c:v>
                </c:pt>
                <c:pt idx="30">
                  <c:v>68.7</c:v>
                </c:pt>
                <c:pt idx="31">
                  <c:v>74.400000000000006</c:v>
                </c:pt>
                <c:pt idx="32">
                  <c:v>68.7</c:v>
                </c:pt>
                <c:pt idx="33">
                  <c:v>63.7</c:v>
                </c:pt>
                <c:pt idx="34">
                  <c:v>65.7</c:v>
                </c:pt>
                <c:pt idx="35">
                  <c:v>66.7</c:v>
                </c:pt>
                <c:pt idx="36">
                  <c:v>73.2</c:v>
                </c:pt>
                <c:pt idx="37">
                  <c:v>66.100000000000009</c:v>
                </c:pt>
                <c:pt idx="38">
                  <c:v>76.2</c:v>
                </c:pt>
                <c:pt idx="39">
                  <c:v>75.199999999999989</c:v>
                </c:pt>
                <c:pt idx="40">
                  <c:v>72.599999999999994</c:v>
                </c:pt>
                <c:pt idx="41">
                  <c:v>71.2</c:v>
                </c:pt>
                <c:pt idx="42">
                  <c:v>75.199999999999989</c:v>
                </c:pt>
                <c:pt idx="43">
                  <c:v>66.2</c:v>
                </c:pt>
                <c:pt idx="44">
                  <c:v>66.7</c:v>
                </c:pt>
                <c:pt idx="45">
                  <c:v>74.900000000000006</c:v>
                </c:pt>
                <c:pt idx="46">
                  <c:v>69.7</c:v>
                </c:pt>
                <c:pt idx="47">
                  <c:v>65.7</c:v>
                </c:pt>
                <c:pt idx="48">
                  <c:v>59.699999999999996</c:v>
                </c:pt>
                <c:pt idx="49">
                  <c:v>65.7</c:v>
                </c:pt>
                <c:pt idx="50">
                  <c:v>76.100000000000009</c:v>
                </c:pt>
                <c:pt idx="51">
                  <c:v>66.2</c:v>
                </c:pt>
                <c:pt idx="52">
                  <c:v>77.2</c:v>
                </c:pt>
                <c:pt idx="53">
                  <c:v>77.099999999999994</c:v>
                </c:pt>
                <c:pt idx="54">
                  <c:v>77</c:v>
                </c:pt>
                <c:pt idx="55">
                  <c:v>58.5</c:v>
                </c:pt>
                <c:pt idx="56">
                  <c:v>73.400000000000006</c:v>
                </c:pt>
                <c:pt idx="57">
                  <c:v>62.800000000000004</c:v>
                </c:pt>
                <c:pt idx="58">
                  <c:v>66.3</c:v>
                </c:pt>
                <c:pt idx="59">
                  <c:v>75.199999999999989</c:v>
                </c:pt>
                <c:pt idx="60">
                  <c:v>63.7</c:v>
                </c:pt>
                <c:pt idx="61">
                  <c:v>66.7</c:v>
                </c:pt>
                <c:pt idx="62">
                  <c:v>70.900000000000006</c:v>
                </c:pt>
              </c:numCache>
            </c:numRef>
          </c:yVal>
          <c:smooth val="0"/>
          <c:extLst>
            <c:ext xmlns:c16="http://schemas.microsoft.com/office/drawing/2014/chart" uri="{C3380CC4-5D6E-409C-BE32-E72D297353CC}">
              <c16:uniqueId val="{00000002-06BD-4731-A2F2-2C227D4E2FB2}"/>
            </c:ext>
          </c:extLst>
        </c:ser>
        <c:dLbls>
          <c:showLegendKey val="0"/>
          <c:showVal val="0"/>
          <c:showCatName val="0"/>
          <c:showSerName val="0"/>
          <c:showPercent val="0"/>
          <c:showBubbleSize val="0"/>
        </c:dLbls>
        <c:axId val="291109552"/>
        <c:axId val="291107984"/>
      </c:scatterChart>
      <c:valAx>
        <c:axId val="29110955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b="1"/>
                  <a:t>RSQI</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107984"/>
        <c:crosses val="autoZero"/>
        <c:crossBetween val="midCat"/>
      </c:valAx>
      <c:valAx>
        <c:axId val="291107984"/>
        <c:scaling>
          <c:orientation val="minMax"/>
        </c:scaling>
        <c:delete val="0"/>
        <c:axPos val="l"/>
        <c:majorGridlines>
          <c:spPr>
            <a:ln w="9525" cap="flat" cmpd="sng" algn="ctr">
              <a:solidFill>
                <a:schemeClr val="tx1">
                  <a:lumMod val="15000"/>
                  <a:lumOff val="85000"/>
                </a:schemeClr>
              </a:solidFill>
              <a:round/>
            </a:ln>
            <a:effectLst>
              <a:glow rad="127000">
                <a:schemeClr val="bg1">
                  <a:alpha val="98000"/>
                </a:schemeClr>
              </a:glow>
            </a:effectLst>
          </c:spPr>
        </c:majorGridlines>
        <c:title>
          <c:tx>
            <c:rich>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mn-lt"/>
                    <a:ea typeface="+mn-ea"/>
                    <a:cs typeface="+mn-cs"/>
                  </a:defRPr>
                </a:pPr>
                <a:r>
                  <a:rPr lang="en-US" b="1" cap="none"/>
                  <a:t>% Relative yield</a:t>
                </a:r>
              </a:p>
            </c:rich>
          </c:tx>
          <c:overlay val="0"/>
          <c:spPr>
            <a:noFill/>
            <a:ln>
              <a:noFill/>
            </a:ln>
            <a:effectLst/>
          </c:spPr>
          <c:txPr>
            <a:bodyPr rot="-5400000" spcFirstLastPara="1" vertOverflow="ellipsis" vert="horz" wrap="square" anchor="ctr" anchorCtr="1"/>
            <a:lstStyle/>
            <a:p>
              <a:pPr>
                <a:defRPr sz="900" b="1"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109552"/>
        <c:crosses val="autoZero"/>
        <c:crossBetween val="midCat"/>
      </c:valAx>
      <c:spPr>
        <a:noFill/>
        <a:ln>
          <a:noFill/>
        </a:ln>
        <a:effectLst/>
      </c:spPr>
    </c:plotArea>
    <c:legend>
      <c:legendPos val="t"/>
      <c:legendEntry>
        <c:idx val="2"/>
        <c:delete val="1"/>
      </c:legendEntry>
      <c:layout>
        <c:manualLayout>
          <c:xMode val="edge"/>
          <c:yMode val="edge"/>
          <c:x val="9.8732943469785589E-2"/>
          <c:y val="0.82644628099173556"/>
          <c:w val="0.88538011695906438"/>
          <c:h val="0.109663564781675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0E17-47F1-4BA4-9785-DA3634B1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10</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21334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22</cp:revision>
  <cp:lastPrinted>1999-07-06T11:00:00Z</cp:lastPrinted>
  <dcterms:created xsi:type="dcterms:W3CDTF">2014-10-25T14:34:00Z</dcterms:created>
  <dcterms:modified xsi:type="dcterms:W3CDTF">2025-06-13T12:58:00Z</dcterms:modified>
</cp:coreProperties>
</file>