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7637F" w14:textId="5F19F996" w:rsidR="006434EC" w:rsidRDefault="006434EC" w:rsidP="00233FED">
      <w:pPr>
        <w:spacing w:line="360" w:lineRule="auto"/>
        <w:jc w:val="center"/>
        <w:rPr>
          <w:rFonts w:ascii="Arial" w:hAnsi="Arial" w:cs="Arial"/>
          <w:b/>
          <w:bCs/>
          <w:color w:val="000000" w:themeColor="text1"/>
        </w:rPr>
      </w:pPr>
      <w:r w:rsidRPr="00487776">
        <w:rPr>
          <w:rFonts w:ascii="Arial" w:hAnsi="Arial" w:cs="Arial"/>
          <w:b/>
          <w:bCs/>
          <w:color w:val="000000" w:themeColor="text1"/>
        </w:rPr>
        <w:t>Flash Flooding Effects on Morpho-Physiolog</w:t>
      </w:r>
      <w:r w:rsidR="000D311F">
        <w:rPr>
          <w:rFonts w:ascii="Arial" w:hAnsi="Arial" w:cs="Arial"/>
          <w:b/>
          <w:bCs/>
          <w:color w:val="000000" w:themeColor="text1"/>
        </w:rPr>
        <w:t>ical Traits</w:t>
      </w:r>
      <w:r w:rsidRPr="00487776">
        <w:rPr>
          <w:rFonts w:ascii="Arial" w:hAnsi="Arial" w:cs="Arial"/>
          <w:b/>
          <w:bCs/>
          <w:color w:val="000000" w:themeColor="text1"/>
        </w:rPr>
        <w:t xml:space="preserve">, Biochemical </w:t>
      </w:r>
      <w:r w:rsidR="000D311F">
        <w:rPr>
          <w:rFonts w:ascii="Arial" w:hAnsi="Arial" w:cs="Arial"/>
          <w:b/>
          <w:bCs/>
          <w:color w:val="000000" w:themeColor="text1"/>
        </w:rPr>
        <w:t>Response</w:t>
      </w:r>
      <w:r w:rsidRPr="00487776">
        <w:rPr>
          <w:rFonts w:ascii="Arial" w:hAnsi="Arial" w:cs="Arial"/>
          <w:b/>
          <w:bCs/>
          <w:color w:val="000000" w:themeColor="text1"/>
        </w:rPr>
        <w:t xml:space="preserve">s, and Yield of </w:t>
      </w:r>
      <w:r w:rsidR="000D311F">
        <w:rPr>
          <w:rFonts w:ascii="Arial" w:hAnsi="Arial" w:cs="Arial"/>
          <w:b/>
          <w:bCs/>
          <w:color w:val="000000" w:themeColor="text1"/>
        </w:rPr>
        <w:t xml:space="preserve">the </w:t>
      </w:r>
      <w:proofErr w:type="spellStart"/>
      <w:r w:rsidRPr="00487776">
        <w:rPr>
          <w:rFonts w:ascii="Arial" w:hAnsi="Arial" w:cs="Arial"/>
          <w:b/>
          <w:bCs/>
          <w:color w:val="000000" w:themeColor="text1"/>
        </w:rPr>
        <w:t>Phourel</w:t>
      </w:r>
      <w:proofErr w:type="spellEnd"/>
      <w:r w:rsidRPr="00487776">
        <w:rPr>
          <w:rFonts w:ascii="Arial" w:hAnsi="Arial" w:cs="Arial"/>
          <w:b/>
          <w:bCs/>
          <w:color w:val="000000" w:themeColor="text1"/>
        </w:rPr>
        <w:t>-</w:t>
      </w:r>
      <w:r w:rsidR="000D311F">
        <w:rPr>
          <w:rFonts w:ascii="Arial" w:hAnsi="Arial" w:cs="Arial"/>
          <w:b/>
          <w:bCs/>
          <w:color w:val="000000" w:themeColor="text1"/>
        </w:rPr>
        <w:t>A</w:t>
      </w:r>
      <w:r w:rsidRPr="00487776">
        <w:rPr>
          <w:rFonts w:ascii="Arial" w:hAnsi="Arial" w:cs="Arial"/>
          <w:b/>
          <w:bCs/>
          <w:color w:val="000000" w:themeColor="text1"/>
        </w:rPr>
        <w:t>mubi Rice Cultivar of Manipur</w:t>
      </w:r>
    </w:p>
    <w:p w14:paraId="17EEC28F" w14:textId="77777777" w:rsidR="006B7EA0" w:rsidRPr="00487776" w:rsidRDefault="006B7EA0" w:rsidP="00233FED">
      <w:pPr>
        <w:spacing w:line="360" w:lineRule="auto"/>
        <w:jc w:val="center"/>
        <w:rPr>
          <w:rFonts w:ascii="Arial" w:hAnsi="Arial" w:cs="Arial"/>
          <w:b/>
          <w:bCs/>
          <w:color w:val="000000" w:themeColor="text1"/>
        </w:rPr>
      </w:pPr>
    </w:p>
    <w:p w14:paraId="424632CE" w14:textId="77777777" w:rsidR="006434EC" w:rsidRPr="00FE70A7" w:rsidRDefault="006434EC" w:rsidP="00233FED">
      <w:pPr>
        <w:spacing w:line="360" w:lineRule="auto"/>
        <w:rPr>
          <w:rFonts w:ascii="Arial" w:hAnsi="Arial" w:cs="Arial"/>
          <w:color w:val="000000" w:themeColor="text1"/>
          <w:sz w:val="20"/>
          <w:szCs w:val="20"/>
        </w:rPr>
      </w:pPr>
    </w:p>
    <w:p w14:paraId="217117BF" w14:textId="25D0E050" w:rsidR="006434EC" w:rsidRPr="00487776" w:rsidRDefault="004F4B5E" w:rsidP="00233FED">
      <w:pPr>
        <w:spacing w:line="360" w:lineRule="auto"/>
        <w:rPr>
          <w:rFonts w:ascii="Arial" w:hAnsi="Arial" w:cs="Arial"/>
          <w:b/>
          <w:bCs/>
          <w:color w:val="000000" w:themeColor="text1"/>
        </w:rPr>
      </w:pPr>
      <w:r w:rsidRPr="00487776">
        <w:rPr>
          <w:rFonts w:ascii="Arial" w:hAnsi="Arial" w:cs="Arial"/>
          <w:b/>
          <w:bCs/>
          <w:color w:val="000000" w:themeColor="text1"/>
        </w:rPr>
        <w:t>ABSTRACT</w:t>
      </w:r>
    </w:p>
    <w:p w14:paraId="061CB233" w14:textId="46804177" w:rsidR="006434EC" w:rsidRPr="00487776" w:rsidRDefault="006434EC" w:rsidP="00233FED">
      <w:pPr>
        <w:spacing w:line="360" w:lineRule="auto"/>
        <w:jc w:val="both"/>
        <w:rPr>
          <w:rFonts w:ascii="Arial" w:hAnsi="Arial" w:cs="Arial"/>
          <w:color w:val="000000" w:themeColor="text1"/>
        </w:rPr>
      </w:pPr>
      <w:r w:rsidRPr="00487776">
        <w:rPr>
          <w:rFonts w:ascii="Arial" w:hAnsi="Arial" w:cs="Arial"/>
          <w:color w:val="000000" w:themeColor="text1"/>
        </w:rPr>
        <w:t xml:space="preserve">Flooding due to heavy rainfall is a major abiotic stress that significantly affects rice (Oryza sativa L.) production during the monsoon (Kharif) season, particularly in rain-fed lowland areas. This study evaluates the impact of flash flooding on the traditional rice cultivar </w:t>
      </w:r>
      <w:proofErr w:type="spellStart"/>
      <w:r w:rsidRPr="00487776">
        <w:rPr>
          <w:rFonts w:ascii="Arial" w:hAnsi="Arial" w:cs="Arial"/>
          <w:color w:val="000000" w:themeColor="text1"/>
        </w:rPr>
        <w:t>Phourel</w:t>
      </w:r>
      <w:proofErr w:type="spellEnd"/>
      <w:r w:rsidRPr="00487776">
        <w:rPr>
          <w:rFonts w:ascii="Arial" w:hAnsi="Arial" w:cs="Arial"/>
          <w:color w:val="000000" w:themeColor="text1"/>
        </w:rPr>
        <w:t xml:space="preserve">-Amubi. The experiment was conducted by growing 15-day-old seedlings in plastic pots, followed by submergence stress treatments in a concrete tank for 5, 10, and 15 days at 30, 60, and 90 days after transplanting. Morpho-physiological, biochemical, and yield-related parameters were </w:t>
      </w:r>
      <w:proofErr w:type="spellStart"/>
      <w:r w:rsidRPr="00487776">
        <w:rPr>
          <w:rFonts w:ascii="Arial" w:hAnsi="Arial" w:cs="Arial"/>
          <w:color w:val="000000" w:themeColor="text1"/>
        </w:rPr>
        <w:t>analyzed</w:t>
      </w:r>
      <w:proofErr w:type="spellEnd"/>
      <w:r w:rsidRPr="00487776">
        <w:rPr>
          <w:rFonts w:ascii="Arial" w:hAnsi="Arial" w:cs="Arial"/>
          <w:color w:val="000000" w:themeColor="text1"/>
        </w:rPr>
        <w:t xml:space="preserve">. Results indicated a gradual increase in total free amino acid content, total phenol content, and total proline content as flooding duration increased, indicating a biochemical stress response. However, key growth and metabolic indicators, such as plant height, total chlorophyll content, soluble protein, and total soluble sugars, declined significantly. Yield and its components were also adversely affected, with a substantial decrease in panicle number, grain number per panicle, grain weight, and overall grain yield per hill. These findings suggest that </w:t>
      </w:r>
      <w:proofErr w:type="spellStart"/>
      <w:r w:rsidRPr="00487776">
        <w:rPr>
          <w:rFonts w:ascii="Arial" w:hAnsi="Arial" w:cs="Arial"/>
          <w:color w:val="000000" w:themeColor="text1"/>
        </w:rPr>
        <w:t>Phourel</w:t>
      </w:r>
      <w:proofErr w:type="spellEnd"/>
      <w:r w:rsidRPr="00487776">
        <w:rPr>
          <w:rFonts w:ascii="Arial" w:hAnsi="Arial" w:cs="Arial"/>
          <w:color w:val="000000" w:themeColor="text1"/>
        </w:rPr>
        <w:t>-Amubi is highly susceptible to submergence stress, emphasizing the need for breeding flood-tolerant rice varieties or adopting effective water management strategies to mitigate yield losses in flood-prone regions.</w:t>
      </w:r>
    </w:p>
    <w:p w14:paraId="40EB6C9B" w14:textId="415C5CDB" w:rsidR="006434EC" w:rsidRPr="007E279F" w:rsidRDefault="006434EC" w:rsidP="00233FED">
      <w:pPr>
        <w:spacing w:line="360" w:lineRule="auto"/>
        <w:jc w:val="both"/>
        <w:rPr>
          <w:rFonts w:ascii="Arial" w:hAnsi="Arial" w:cs="Arial"/>
          <w:color w:val="000000" w:themeColor="text1"/>
          <w:sz w:val="20"/>
          <w:szCs w:val="20"/>
        </w:rPr>
      </w:pPr>
      <w:r w:rsidRPr="007E279F">
        <w:rPr>
          <w:rFonts w:ascii="Arial" w:hAnsi="Arial" w:cs="Arial"/>
          <w:b/>
          <w:bCs/>
          <w:color w:val="000000" w:themeColor="text1"/>
          <w:sz w:val="20"/>
          <w:szCs w:val="20"/>
        </w:rPr>
        <w:t>Keywords</w:t>
      </w:r>
      <w:r w:rsidRPr="007E279F">
        <w:rPr>
          <w:rFonts w:ascii="Arial" w:hAnsi="Arial" w:cs="Arial"/>
          <w:color w:val="000000" w:themeColor="text1"/>
          <w:sz w:val="20"/>
          <w:szCs w:val="20"/>
        </w:rPr>
        <w:t>: chlorophyll, flash flooding, Oryza sativa, proline, yield, submergence stress.</w:t>
      </w:r>
    </w:p>
    <w:p w14:paraId="22B23C12" w14:textId="3A750132" w:rsidR="006434EC" w:rsidRPr="00487776" w:rsidRDefault="004F4B5E" w:rsidP="00233FED">
      <w:pPr>
        <w:spacing w:line="360" w:lineRule="auto"/>
        <w:jc w:val="both"/>
        <w:rPr>
          <w:rFonts w:ascii="Arial" w:hAnsi="Arial" w:cs="Arial"/>
          <w:b/>
          <w:bCs/>
          <w:color w:val="000000" w:themeColor="text1"/>
        </w:rPr>
      </w:pPr>
      <w:r w:rsidRPr="00487776">
        <w:rPr>
          <w:rFonts w:ascii="Arial" w:hAnsi="Arial" w:cs="Arial"/>
          <w:b/>
          <w:bCs/>
          <w:color w:val="000000" w:themeColor="text1"/>
        </w:rPr>
        <w:t>1. INTRODUCTION</w:t>
      </w:r>
    </w:p>
    <w:p w14:paraId="2604F560" w14:textId="77777777" w:rsidR="005B6714" w:rsidRPr="00487776" w:rsidRDefault="006434EC" w:rsidP="00233FED">
      <w:pPr>
        <w:spacing w:line="360" w:lineRule="auto"/>
        <w:jc w:val="both"/>
        <w:rPr>
          <w:rFonts w:ascii="Arial" w:hAnsi="Arial" w:cs="Arial"/>
          <w:color w:val="000000" w:themeColor="text1"/>
        </w:rPr>
      </w:pPr>
      <w:r w:rsidRPr="00487776">
        <w:rPr>
          <w:rFonts w:ascii="Arial" w:hAnsi="Arial" w:cs="Arial"/>
          <w:color w:val="000000" w:themeColor="text1"/>
        </w:rPr>
        <w:t>Rice (</w:t>
      </w:r>
      <w:r w:rsidRPr="00487776">
        <w:rPr>
          <w:rFonts w:ascii="Arial" w:hAnsi="Arial" w:cs="Arial"/>
          <w:i/>
          <w:iCs/>
          <w:color w:val="000000" w:themeColor="text1"/>
        </w:rPr>
        <w:t>Oryza sativa</w:t>
      </w:r>
      <w:r w:rsidRPr="00487776">
        <w:rPr>
          <w:rFonts w:ascii="Arial" w:hAnsi="Arial" w:cs="Arial"/>
          <w:color w:val="000000" w:themeColor="text1"/>
        </w:rPr>
        <w:t xml:space="preserve"> L.) is a major staple crop worldwide and is cultivated under diverse environmental conditions (Boyer, 1982; Munns &amp; Tester, 2008). While rice requires water for optimal growth, excessive water in the form of waterlogging or submergence disrupts key physiological and biochemical functions, ultimately reducing crop yield (Reddy et al., 1995). Submergence stress can be categorized into flash flooding and deep-water flooding based on the depth and duration of inundation (Bailey-Serres et al., 2010). Flash floods, triggered by heavy rainfall, are usually short-term but can cause severe physiological damage to plants (Hattori et al., 2011).</w:t>
      </w:r>
    </w:p>
    <w:p w14:paraId="24F72191" w14:textId="77777777" w:rsidR="009C5470" w:rsidRPr="00487776" w:rsidRDefault="006434EC" w:rsidP="00233FED">
      <w:pPr>
        <w:spacing w:line="360" w:lineRule="auto"/>
        <w:jc w:val="both"/>
        <w:rPr>
          <w:rFonts w:ascii="Arial" w:hAnsi="Arial" w:cs="Arial"/>
          <w:color w:val="000000" w:themeColor="text1"/>
        </w:rPr>
      </w:pPr>
      <w:r w:rsidRPr="00487776">
        <w:rPr>
          <w:rFonts w:ascii="Arial" w:hAnsi="Arial" w:cs="Arial"/>
          <w:color w:val="000000" w:themeColor="text1"/>
        </w:rPr>
        <w:t xml:space="preserve">Flooding stress affects rice plants in multiple ways, including reduced light penetration, impaired gas exchange, and nutrient uptake limitations (Greenway &amp; Setter, 1996; Ram et al., 1999). Oxygen depletion in flooded soils leads to anaerobic conditions, resulting in toxic </w:t>
      </w:r>
      <w:r w:rsidRPr="00487776">
        <w:rPr>
          <w:rFonts w:ascii="Arial" w:hAnsi="Arial" w:cs="Arial"/>
          <w:color w:val="000000" w:themeColor="text1"/>
        </w:rPr>
        <w:lastRenderedPageBreak/>
        <w:t>accumulations of Fe²</w:t>
      </w:r>
      <w:r w:rsidRPr="00487776">
        <w:rPr>
          <w:rFonts w:ascii="Cambria Math" w:hAnsi="Cambria Math" w:cs="Cambria Math"/>
          <w:color w:val="000000" w:themeColor="text1"/>
        </w:rPr>
        <w:t>⁺</w:t>
      </w:r>
      <w:r w:rsidRPr="00487776">
        <w:rPr>
          <w:rFonts w:ascii="Arial" w:hAnsi="Arial" w:cs="Arial"/>
          <w:color w:val="000000" w:themeColor="text1"/>
        </w:rPr>
        <w:t>, Mn²</w:t>
      </w:r>
      <w:r w:rsidRPr="00487776">
        <w:rPr>
          <w:rFonts w:ascii="Cambria Math" w:hAnsi="Cambria Math" w:cs="Cambria Math"/>
          <w:color w:val="000000" w:themeColor="text1"/>
        </w:rPr>
        <w:t>⁺</w:t>
      </w:r>
      <w:r w:rsidRPr="00487776">
        <w:rPr>
          <w:rFonts w:ascii="Arial" w:hAnsi="Arial" w:cs="Arial"/>
          <w:color w:val="000000" w:themeColor="text1"/>
        </w:rPr>
        <w:t>, and H</w:t>
      </w:r>
      <w:r w:rsidRPr="00487776">
        <w:rPr>
          <w:rFonts w:ascii="Cambria Math" w:hAnsi="Cambria Math" w:cs="Cambria Math"/>
          <w:color w:val="000000" w:themeColor="text1"/>
        </w:rPr>
        <w:t>₂</w:t>
      </w:r>
      <w:r w:rsidRPr="00487776">
        <w:rPr>
          <w:rFonts w:ascii="Arial" w:hAnsi="Arial" w:cs="Arial"/>
          <w:color w:val="000000" w:themeColor="text1"/>
        </w:rPr>
        <w:t>S, further exacerbating plant stress (Drew &amp; Lynch, 1980; Setter et al., 2009). Although some rice varieties have evolved adaptations to cope with temporary flooding, prolonged submergence leads to growth inhibition, metabolic alterations, and yield losses (Sarkar et al., 2006).</w:t>
      </w:r>
    </w:p>
    <w:p w14:paraId="1B27389B" w14:textId="6DFB2D7C" w:rsidR="005B6714" w:rsidRPr="00487776" w:rsidRDefault="006434EC" w:rsidP="00233FED">
      <w:pPr>
        <w:spacing w:line="360" w:lineRule="auto"/>
        <w:jc w:val="both"/>
        <w:rPr>
          <w:rFonts w:ascii="Arial" w:hAnsi="Arial" w:cs="Arial"/>
          <w:color w:val="000000" w:themeColor="text1"/>
        </w:rPr>
      </w:pPr>
      <w:r w:rsidRPr="00487776">
        <w:rPr>
          <w:rFonts w:ascii="Arial" w:hAnsi="Arial" w:cs="Arial"/>
          <w:color w:val="000000" w:themeColor="text1"/>
        </w:rPr>
        <w:t xml:space="preserve">Manipur, a northeastern state of India, relies heavily on rice as a staple food, with rain-fed agriculture as the predominant farming system. Traditional rice cultivars such as </w:t>
      </w:r>
      <w:proofErr w:type="spellStart"/>
      <w:r w:rsidRPr="00487776">
        <w:rPr>
          <w:rFonts w:ascii="Arial" w:hAnsi="Arial" w:cs="Arial"/>
          <w:color w:val="000000" w:themeColor="text1"/>
        </w:rPr>
        <w:t>Phourel</w:t>
      </w:r>
      <w:proofErr w:type="spellEnd"/>
      <w:r w:rsidRPr="00487776">
        <w:rPr>
          <w:rFonts w:ascii="Arial" w:hAnsi="Arial" w:cs="Arial"/>
          <w:color w:val="000000" w:themeColor="text1"/>
        </w:rPr>
        <w:t xml:space="preserve">-Amubi are widely grown due to their adaptability to the region’s </w:t>
      </w:r>
      <w:proofErr w:type="spellStart"/>
      <w:r w:rsidRPr="00487776">
        <w:rPr>
          <w:rFonts w:ascii="Arial" w:hAnsi="Arial" w:cs="Arial"/>
          <w:color w:val="000000" w:themeColor="text1"/>
        </w:rPr>
        <w:t>agro</w:t>
      </w:r>
      <w:proofErr w:type="spellEnd"/>
      <w:r w:rsidRPr="00487776">
        <w:rPr>
          <w:rFonts w:ascii="Arial" w:hAnsi="Arial" w:cs="Arial"/>
          <w:color w:val="000000" w:themeColor="text1"/>
        </w:rPr>
        <w:t xml:space="preserve">-climatic conditions. However, these varieties may lack sufficient tolerance to prolonged submergence stress, which </w:t>
      </w:r>
      <w:r w:rsidR="00E616DE" w:rsidRPr="00487776">
        <w:rPr>
          <w:rFonts w:ascii="Arial" w:hAnsi="Arial" w:cs="Arial"/>
          <w:color w:val="000000" w:themeColor="text1"/>
        </w:rPr>
        <w:t>poses a threat to</w:t>
      </w:r>
      <w:r w:rsidRPr="00487776">
        <w:rPr>
          <w:rFonts w:ascii="Arial" w:hAnsi="Arial" w:cs="Arial"/>
          <w:color w:val="000000" w:themeColor="text1"/>
        </w:rPr>
        <w:t xml:space="preserve"> food security and farmer livelihoods. Despite the frequent occurrence of flash floods in Manipur, limited research has been conducted on the physiological and biochemical responses of its indigenous rice varieties to flooding stress.</w:t>
      </w:r>
    </w:p>
    <w:p w14:paraId="29C4AA82" w14:textId="59372920" w:rsidR="006434EC" w:rsidRPr="00487776" w:rsidRDefault="006434EC" w:rsidP="00233FED">
      <w:pPr>
        <w:spacing w:line="360" w:lineRule="auto"/>
        <w:jc w:val="both"/>
        <w:rPr>
          <w:rFonts w:ascii="Arial" w:hAnsi="Arial" w:cs="Arial"/>
          <w:color w:val="000000" w:themeColor="text1"/>
        </w:rPr>
      </w:pPr>
      <w:r w:rsidRPr="00487776">
        <w:rPr>
          <w:rFonts w:ascii="Arial" w:hAnsi="Arial" w:cs="Arial"/>
          <w:color w:val="000000" w:themeColor="text1"/>
        </w:rPr>
        <w:t xml:space="preserve">This study aims to investigate the impact of flash flooding on the growth, biochemical responses, and yield components of </w:t>
      </w:r>
      <w:proofErr w:type="spellStart"/>
      <w:r w:rsidRPr="00487776">
        <w:rPr>
          <w:rFonts w:ascii="Arial" w:hAnsi="Arial" w:cs="Arial"/>
          <w:color w:val="000000" w:themeColor="text1"/>
        </w:rPr>
        <w:t>Phourel</w:t>
      </w:r>
      <w:proofErr w:type="spellEnd"/>
      <w:r w:rsidRPr="00487776">
        <w:rPr>
          <w:rFonts w:ascii="Arial" w:hAnsi="Arial" w:cs="Arial"/>
          <w:color w:val="000000" w:themeColor="text1"/>
        </w:rPr>
        <w:t>-Amubi rice. By assessing key parameters</w:t>
      </w:r>
      <w:r w:rsidR="00E616DE" w:rsidRPr="00487776">
        <w:rPr>
          <w:rFonts w:ascii="Arial" w:hAnsi="Arial" w:cs="Arial"/>
          <w:color w:val="000000" w:themeColor="text1"/>
        </w:rPr>
        <w:t>, including</w:t>
      </w:r>
      <w:r w:rsidRPr="00487776">
        <w:rPr>
          <w:rFonts w:ascii="Arial" w:hAnsi="Arial" w:cs="Arial"/>
          <w:color w:val="000000" w:themeColor="text1"/>
        </w:rPr>
        <w:t xml:space="preserve"> chlorophyll content, proline accumulation, soluble protein levels, total soluble sugars, and yield traits, the study provides valuable insights into the submergence tolerance mechanisms of this cultivar.</w:t>
      </w:r>
    </w:p>
    <w:p w14:paraId="141B8714" w14:textId="77777777" w:rsidR="006434EC" w:rsidRPr="00487776" w:rsidRDefault="006434EC" w:rsidP="00233FED">
      <w:pPr>
        <w:spacing w:line="360" w:lineRule="auto"/>
        <w:jc w:val="both"/>
        <w:rPr>
          <w:rFonts w:ascii="Arial" w:hAnsi="Arial" w:cs="Arial"/>
          <w:b/>
          <w:bCs/>
          <w:color w:val="000000" w:themeColor="text1"/>
        </w:rPr>
      </w:pPr>
      <w:r w:rsidRPr="00487776">
        <w:rPr>
          <w:rFonts w:ascii="Arial" w:hAnsi="Arial" w:cs="Arial"/>
          <w:b/>
          <w:bCs/>
          <w:color w:val="000000" w:themeColor="text1"/>
        </w:rPr>
        <w:t>2. Materials and Methods</w:t>
      </w:r>
    </w:p>
    <w:p w14:paraId="19F313F6" w14:textId="77777777" w:rsidR="005B6714" w:rsidRPr="007E279F" w:rsidRDefault="006434EC" w:rsidP="00233FED">
      <w:pPr>
        <w:spacing w:line="360" w:lineRule="auto"/>
        <w:jc w:val="both"/>
        <w:rPr>
          <w:rFonts w:ascii="Arial" w:hAnsi="Arial" w:cs="Arial"/>
          <w:b/>
          <w:bCs/>
          <w:color w:val="000000" w:themeColor="text1"/>
          <w:sz w:val="20"/>
          <w:szCs w:val="20"/>
        </w:rPr>
      </w:pPr>
      <w:r w:rsidRPr="007E279F">
        <w:rPr>
          <w:rFonts w:ascii="Arial" w:hAnsi="Arial" w:cs="Arial"/>
          <w:b/>
          <w:bCs/>
          <w:color w:val="000000" w:themeColor="text1"/>
          <w:sz w:val="20"/>
          <w:szCs w:val="20"/>
        </w:rPr>
        <w:t>2.1 Plant Material and Experimental Design</w:t>
      </w:r>
    </w:p>
    <w:p w14:paraId="6FBACBC6" w14:textId="580CD020" w:rsidR="006434EC" w:rsidRPr="00487776" w:rsidRDefault="006434EC" w:rsidP="00233FED">
      <w:pPr>
        <w:spacing w:line="360" w:lineRule="auto"/>
        <w:jc w:val="both"/>
        <w:rPr>
          <w:rFonts w:ascii="Arial" w:hAnsi="Arial" w:cs="Arial"/>
          <w:color w:val="000000" w:themeColor="text1"/>
        </w:rPr>
      </w:pPr>
      <w:r w:rsidRPr="00487776">
        <w:rPr>
          <w:rFonts w:ascii="Arial" w:hAnsi="Arial" w:cs="Arial"/>
          <w:color w:val="000000" w:themeColor="text1"/>
        </w:rPr>
        <w:t xml:space="preserve">The experiment was conducted at the Plant Physiology Section, Manipur University, using </w:t>
      </w:r>
      <w:r w:rsidR="00E616DE" w:rsidRPr="00487776">
        <w:rPr>
          <w:rFonts w:ascii="Arial" w:hAnsi="Arial" w:cs="Arial"/>
          <w:color w:val="000000" w:themeColor="text1"/>
        </w:rPr>
        <w:t xml:space="preserve">the </w:t>
      </w:r>
      <w:proofErr w:type="spellStart"/>
      <w:r w:rsidRPr="00487776">
        <w:rPr>
          <w:rFonts w:ascii="Arial" w:hAnsi="Arial" w:cs="Arial"/>
          <w:color w:val="000000" w:themeColor="text1"/>
        </w:rPr>
        <w:t>Phourel</w:t>
      </w:r>
      <w:proofErr w:type="spellEnd"/>
      <w:r w:rsidRPr="00487776">
        <w:rPr>
          <w:rFonts w:ascii="Arial" w:hAnsi="Arial" w:cs="Arial"/>
          <w:color w:val="000000" w:themeColor="text1"/>
        </w:rPr>
        <w:t>-Amubi rice cultivar. Seedlings were raised in a nursery and transplanted into plastic pots after 15 days. The plants were maintained under natural conditions for 30, 60, and 90 days before being subjected to flash flooding treatments.</w:t>
      </w:r>
    </w:p>
    <w:p w14:paraId="362DB4C0" w14:textId="77777777" w:rsidR="005B6714" w:rsidRPr="007E279F" w:rsidRDefault="006434EC" w:rsidP="00233FED">
      <w:pPr>
        <w:spacing w:line="360" w:lineRule="auto"/>
        <w:jc w:val="both"/>
        <w:rPr>
          <w:rFonts w:ascii="Arial" w:hAnsi="Arial" w:cs="Arial"/>
          <w:b/>
          <w:bCs/>
          <w:color w:val="000000" w:themeColor="text1"/>
          <w:sz w:val="20"/>
          <w:szCs w:val="20"/>
        </w:rPr>
      </w:pPr>
      <w:r w:rsidRPr="007E279F">
        <w:rPr>
          <w:rFonts w:ascii="Arial" w:hAnsi="Arial" w:cs="Arial"/>
          <w:b/>
          <w:bCs/>
          <w:color w:val="000000" w:themeColor="text1"/>
          <w:sz w:val="20"/>
          <w:szCs w:val="20"/>
        </w:rPr>
        <w:t>2.2 Flooding Stress Treatment</w:t>
      </w:r>
    </w:p>
    <w:p w14:paraId="123411D7" w14:textId="655C5F0A" w:rsidR="006434EC" w:rsidRPr="00487776" w:rsidRDefault="006434EC" w:rsidP="00233FED">
      <w:pPr>
        <w:spacing w:line="360" w:lineRule="auto"/>
        <w:jc w:val="both"/>
        <w:rPr>
          <w:rFonts w:ascii="Arial" w:hAnsi="Arial" w:cs="Arial"/>
          <w:color w:val="000000" w:themeColor="text1"/>
        </w:rPr>
      </w:pPr>
      <w:r w:rsidRPr="00487776">
        <w:rPr>
          <w:rFonts w:ascii="Arial" w:hAnsi="Arial" w:cs="Arial"/>
          <w:color w:val="000000" w:themeColor="text1"/>
        </w:rPr>
        <w:t>Plants were submerged in a concrete tank filled with water up to 50 cm, ensuring complete plant submergence. Three treatment durations were applied:</w:t>
      </w:r>
      <w:r w:rsidR="00E871F2" w:rsidRPr="00487776">
        <w:rPr>
          <w:rFonts w:ascii="Arial" w:hAnsi="Arial" w:cs="Arial"/>
          <w:color w:val="000000" w:themeColor="text1"/>
        </w:rPr>
        <w:t xml:space="preserve"> </w:t>
      </w:r>
      <w:r w:rsidRPr="00487776">
        <w:rPr>
          <w:rFonts w:ascii="Arial" w:hAnsi="Arial" w:cs="Arial"/>
          <w:color w:val="000000" w:themeColor="text1"/>
        </w:rPr>
        <w:t>T1</w:t>
      </w:r>
      <w:r w:rsidR="00E871F2" w:rsidRPr="00487776">
        <w:rPr>
          <w:rFonts w:ascii="Arial" w:hAnsi="Arial" w:cs="Arial"/>
          <w:color w:val="000000" w:themeColor="text1"/>
        </w:rPr>
        <w:t xml:space="preserve"> (</w:t>
      </w:r>
      <w:r w:rsidRPr="00487776">
        <w:rPr>
          <w:rFonts w:ascii="Arial" w:hAnsi="Arial" w:cs="Arial"/>
          <w:color w:val="000000" w:themeColor="text1"/>
        </w:rPr>
        <w:t>5 days submergence</w:t>
      </w:r>
      <w:r w:rsidR="00E871F2" w:rsidRPr="00487776">
        <w:rPr>
          <w:rFonts w:ascii="Arial" w:hAnsi="Arial" w:cs="Arial"/>
          <w:color w:val="000000" w:themeColor="text1"/>
        </w:rPr>
        <w:t xml:space="preserve">), </w:t>
      </w:r>
      <w:r w:rsidRPr="00487776">
        <w:rPr>
          <w:rFonts w:ascii="Arial" w:hAnsi="Arial" w:cs="Arial"/>
          <w:color w:val="000000" w:themeColor="text1"/>
        </w:rPr>
        <w:t>T2</w:t>
      </w:r>
      <w:r w:rsidR="00E871F2" w:rsidRPr="00487776">
        <w:rPr>
          <w:rFonts w:ascii="Arial" w:hAnsi="Arial" w:cs="Arial"/>
          <w:color w:val="000000" w:themeColor="text1"/>
        </w:rPr>
        <w:t xml:space="preserve"> (</w:t>
      </w:r>
      <w:r w:rsidRPr="00487776">
        <w:rPr>
          <w:rFonts w:ascii="Arial" w:hAnsi="Arial" w:cs="Arial"/>
          <w:color w:val="000000" w:themeColor="text1"/>
        </w:rPr>
        <w:t>10 days submergence</w:t>
      </w:r>
      <w:r w:rsidR="00E871F2" w:rsidRPr="00487776">
        <w:rPr>
          <w:rFonts w:ascii="Arial" w:hAnsi="Arial" w:cs="Arial"/>
          <w:color w:val="000000" w:themeColor="text1"/>
        </w:rPr>
        <w:t xml:space="preserve">) and </w:t>
      </w:r>
      <w:r w:rsidRPr="00487776">
        <w:rPr>
          <w:rFonts w:ascii="Arial" w:hAnsi="Arial" w:cs="Arial"/>
          <w:color w:val="000000" w:themeColor="text1"/>
        </w:rPr>
        <w:t>T3</w:t>
      </w:r>
      <w:r w:rsidR="00E871F2" w:rsidRPr="00487776">
        <w:rPr>
          <w:rFonts w:ascii="Arial" w:hAnsi="Arial" w:cs="Arial"/>
          <w:color w:val="000000" w:themeColor="text1"/>
        </w:rPr>
        <w:t xml:space="preserve"> (</w:t>
      </w:r>
      <w:r w:rsidRPr="00487776">
        <w:rPr>
          <w:rFonts w:ascii="Arial" w:hAnsi="Arial" w:cs="Arial"/>
          <w:color w:val="000000" w:themeColor="text1"/>
        </w:rPr>
        <w:t>15 days submergence</w:t>
      </w:r>
      <w:r w:rsidR="00E871F2" w:rsidRPr="00487776">
        <w:rPr>
          <w:rFonts w:ascii="Arial" w:hAnsi="Arial" w:cs="Arial"/>
          <w:color w:val="000000" w:themeColor="text1"/>
        </w:rPr>
        <w:t xml:space="preserve">). </w:t>
      </w:r>
      <w:r w:rsidRPr="00487776">
        <w:rPr>
          <w:rFonts w:ascii="Arial" w:hAnsi="Arial" w:cs="Arial"/>
          <w:color w:val="000000" w:themeColor="text1"/>
        </w:rPr>
        <w:t>Control plants were maintained under normal conditions without submergence.</w:t>
      </w:r>
    </w:p>
    <w:p w14:paraId="12937D79" w14:textId="77777777" w:rsidR="006434EC" w:rsidRPr="007E279F" w:rsidRDefault="006434EC" w:rsidP="00233FED">
      <w:pPr>
        <w:spacing w:line="360" w:lineRule="auto"/>
        <w:jc w:val="both"/>
        <w:rPr>
          <w:rFonts w:ascii="Arial" w:hAnsi="Arial" w:cs="Arial"/>
          <w:b/>
          <w:bCs/>
          <w:color w:val="000000" w:themeColor="text1"/>
          <w:sz w:val="20"/>
          <w:szCs w:val="20"/>
        </w:rPr>
      </w:pPr>
      <w:r w:rsidRPr="007E279F">
        <w:rPr>
          <w:rFonts w:ascii="Arial" w:hAnsi="Arial" w:cs="Arial"/>
          <w:b/>
          <w:bCs/>
          <w:color w:val="000000" w:themeColor="text1"/>
          <w:sz w:val="20"/>
          <w:szCs w:val="20"/>
        </w:rPr>
        <w:t>2.3 Measurement of Physiological and Biochemical Parameters</w:t>
      </w:r>
    </w:p>
    <w:p w14:paraId="1134E7C9" w14:textId="5CF5619E" w:rsidR="006434EC" w:rsidRPr="00487776" w:rsidRDefault="006434EC" w:rsidP="00233FED">
      <w:pPr>
        <w:spacing w:line="360" w:lineRule="auto"/>
        <w:jc w:val="both"/>
        <w:rPr>
          <w:rFonts w:ascii="Arial" w:hAnsi="Arial" w:cs="Arial"/>
          <w:color w:val="000000" w:themeColor="text1"/>
        </w:rPr>
      </w:pPr>
      <w:r w:rsidRPr="00487776">
        <w:rPr>
          <w:rFonts w:ascii="Arial" w:hAnsi="Arial" w:cs="Arial"/>
          <w:color w:val="000000" w:themeColor="text1"/>
        </w:rPr>
        <w:t xml:space="preserve">Various morpho-physiological and biochemical parameters were </w:t>
      </w:r>
      <w:proofErr w:type="spellStart"/>
      <w:r w:rsidRPr="00487776">
        <w:rPr>
          <w:rFonts w:ascii="Arial" w:hAnsi="Arial" w:cs="Arial"/>
          <w:color w:val="000000" w:themeColor="text1"/>
        </w:rPr>
        <w:t>analyzed</w:t>
      </w:r>
      <w:proofErr w:type="spellEnd"/>
      <w:r w:rsidRPr="00487776">
        <w:rPr>
          <w:rFonts w:ascii="Arial" w:hAnsi="Arial" w:cs="Arial"/>
          <w:color w:val="000000" w:themeColor="text1"/>
        </w:rPr>
        <w:t>, including</w:t>
      </w:r>
      <w:r w:rsidR="00E871F2" w:rsidRPr="00487776">
        <w:rPr>
          <w:rFonts w:ascii="Arial" w:hAnsi="Arial" w:cs="Arial"/>
          <w:color w:val="000000" w:themeColor="text1"/>
        </w:rPr>
        <w:t xml:space="preserve"> p</w:t>
      </w:r>
      <w:r w:rsidRPr="00487776">
        <w:rPr>
          <w:rFonts w:ascii="Arial" w:hAnsi="Arial" w:cs="Arial"/>
          <w:color w:val="000000" w:themeColor="text1"/>
        </w:rPr>
        <w:t>lant height (cm)</w:t>
      </w:r>
      <w:r w:rsidR="00E871F2" w:rsidRPr="00487776">
        <w:rPr>
          <w:rFonts w:ascii="Arial" w:hAnsi="Arial" w:cs="Arial"/>
          <w:color w:val="000000" w:themeColor="text1"/>
        </w:rPr>
        <w:t>, c</w:t>
      </w:r>
      <w:r w:rsidRPr="00487776">
        <w:rPr>
          <w:rFonts w:ascii="Arial" w:hAnsi="Arial" w:cs="Arial"/>
          <w:color w:val="000000" w:themeColor="text1"/>
        </w:rPr>
        <w:t>hlorophyll content</w:t>
      </w:r>
      <w:r w:rsidR="00E871F2" w:rsidRPr="00487776">
        <w:rPr>
          <w:rFonts w:ascii="Arial" w:hAnsi="Arial" w:cs="Arial"/>
          <w:color w:val="000000" w:themeColor="text1"/>
        </w:rPr>
        <w:t>, t</w:t>
      </w:r>
      <w:r w:rsidRPr="00487776">
        <w:rPr>
          <w:rFonts w:ascii="Arial" w:hAnsi="Arial" w:cs="Arial"/>
          <w:color w:val="000000" w:themeColor="text1"/>
        </w:rPr>
        <w:t>otal soluble sugars (mg g</w:t>
      </w:r>
      <w:r w:rsidRPr="00487776">
        <w:rPr>
          <w:rFonts w:ascii="Cambria Math" w:hAnsi="Cambria Math" w:cs="Cambria Math"/>
          <w:color w:val="000000" w:themeColor="text1"/>
        </w:rPr>
        <w:t>⁻</w:t>
      </w:r>
      <w:r w:rsidRPr="00487776">
        <w:rPr>
          <w:rFonts w:ascii="Arial" w:hAnsi="Arial" w:cs="Arial"/>
          <w:color w:val="000000" w:themeColor="text1"/>
        </w:rPr>
        <w:t>¹ FW)</w:t>
      </w:r>
      <w:r w:rsidR="00E871F2" w:rsidRPr="00487776">
        <w:rPr>
          <w:rFonts w:ascii="Arial" w:hAnsi="Arial" w:cs="Arial"/>
          <w:color w:val="000000" w:themeColor="text1"/>
        </w:rPr>
        <w:t>, s</w:t>
      </w:r>
      <w:r w:rsidRPr="00487776">
        <w:rPr>
          <w:rFonts w:ascii="Arial" w:hAnsi="Arial" w:cs="Arial"/>
          <w:color w:val="000000" w:themeColor="text1"/>
        </w:rPr>
        <w:t>oluble protein content (mg g</w:t>
      </w:r>
      <w:r w:rsidRPr="00487776">
        <w:rPr>
          <w:rFonts w:ascii="Cambria Math" w:hAnsi="Cambria Math" w:cs="Cambria Math"/>
          <w:color w:val="000000" w:themeColor="text1"/>
        </w:rPr>
        <w:t>⁻</w:t>
      </w:r>
      <w:r w:rsidRPr="00487776">
        <w:rPr>
          <w:rFonts w:ascii="Arial" w:hAnsi="Arial" w:cs="Arial"/>
          <w:color w:val="000000" w:themeColor="text1"/>
        </w:rPr>
        <w:t>¹ FW)</w:t>
      </w:r>
      <w:r w:rsidR="00E871F2" w:rsidRPr="00487776">
        <w:rPr>
          <w:rFonts w:ascii="Arial" w:hAnsi="Arial" w:cs="Arial"/>
          <w:color w:val="000000" w:themeColor="text1"/>
        </w:rPr>
        <w:t>, t</w:t>
      </w:r>
      <w:r w:rsidRPr="00487776">
        <w:rPr>
          <w:rFonts w:ascii="Arial" w:hAnsi="Arial" w:cs="Arial"/>
          <w:color w:val="000000" w:themeColor="text1"/>
        </w:rPr>
        <w:t>otal free amino acids (mg g</w:t>
      </w:r>
      <w:r w:rsidRPr="00487776">
        <w:rPr>
          <w:rFonts w:ascii="Cambria Math" w:hAnsi="Cambria Math" w:cs="Cambria Math"/>
          <w:color w:val="000000" w:themeColor="text1"/>
        </w:rPr>
        <w:t>⁻</w:t>
      </w:r>
      <w:r w:rsidRPr="00487776">
        <w:rPr>
          <w:rFonts w:ascii="Arial" w:hAnsi="Arial" w:cs="Arial"/>
          <w:color w:val="000000" w:themeColor="text1"/>
        </w:rPr>
        <w:t>¹ FW)</w:t>
      </w:r>
      <w:r w:rsidR="00E871F2" w:rsidRPr="00487776">
        <w:rPr>
          <w:rFonts w:ascii="Arial" w:hAnsi="Arial" w:cs="Arial"/>
          <w:color w:val="000000" w:themeColor="text1"/>
        </w:rPr>
        <w:t>, t</w:t>
      </w:r>
      <w:r w:rsidRPr="00487776">
        <w:rPr>
          <w:rFonts w:ascii="Arial" w:hAnsi="Arial" w:cs="Arial"/>
          <w:color w:val="000000" w:themeColor="text1"/>
        </w:rPr>
        <w:t>otal phenolic content (mg g</w:t>
      </w:r>
      <w:r w:rsidRPr="00487776">
        <w:rPr>
          <w:rFonts w:ascii="Cambria Math" w:hAnsi="Cambria Math" w:cs="Cambria Math"/>
          <w:color w:val="000000" w:themeColor="text1"/>
        </w:rPr>
        <w:t>⁻</w:t>
      </w:r>
      <w:r w:rsidRPr="00487776">
        <w:rPr>
          <w:rFonts w:ascii="Arial" w:hAnsi="Arial" w:cs="Arial"/>
          <w:color w:val="000000" w:themeColor="text1"/>
        </w:rPr>
        <w:t>¹ FW)</w:t>
      </w:r>
      <w:r w:rsidR="00E871F2" w:rsidRPr="00487776">
        <w:rPr>
          <w:rFonts w:ascii="Arial" w:hAnsi="Arial" w:cs="Arial"/>
          <w:color w:val="000000" w:themeColor="text1"/>
        </w:rPr>
        <w:t xml:space="preserve"> and p</w:t>
      </w:r>
      <w:r w:rsidRPr="00487776">
        <w:rPr>
          <w:rFonts w:ascii="Arial" w:hAnsi="Arial" w:cs="Arial"/>
          <w:color w:val="000000" w:themeColor="text1"/>
        </w:rPr>
        <w:t>roline content (mg g</w:t>
      </w:r>
      <w:r w:rsidRPr="00487776">
        <w:rPr>
          <w:rFonts w:ascii="Cambria Math" w:hAnsi="Cambria Math" w:cs="Cambria Math"/>
          <w:color w:val="000000" w:themeColor="text1"/>
        </w:rPr>
        <w:t>⁻</w:t>
      </w:r>
      <w:r w:rsidRPr="00487776">
        <w:rPr>
          <w:rFonts w:ascii="Arial" w:hAnsi="Arial" w:cs="Arial"/>
          <w:color w:val="000000" w:themeColor="text1"/>
        </w:rPr>
        <w:t>¹ FW)</w:t>
      </w:r>
      <w:r w:rsidR="00E871F2" w:rsidRPr="00487776">
        <w:rPr>
          <w:rFonts w:ascii="Arial" w:hAnsi="Arial" w:cs="Arial"/>
          <w:color w:val="000000" w:themeColor="text1"/>
        </w:rPr>
        <w:t xml:space="preserve">. </w:t>
      </w:r>
      <w:r w:rsidRPr="00487776">
        <w:rPr>
          <w:rFonts w:ascii="Arial" w:hAnsi="Arial" w:cs="Arial"/>
          <w:color w:val="000000" w:themeColor="text1"/>
        </w:rPr>
        <w:t>Yield-related traits such as panicle number per hill, grains per panicle, thousand-grain weight, and total grain yield per hill were also recorded.</w:t>
      </w:r>
    </w:p>
    <w:p w14:paraId="220BE28A" w14:textId="3E3A0C14" w:rsidR="00CC265A" w:rsidRPr="007E279F" w:rsidRDefault="005C56DE" w:rsidP="00233FED">
      <w:pPr>
        <w:spacing w:line="360" w:lineRule="auto"/>
        <w:jc w:val="both"/>
        <w:rPr>
          <w:rFonts w:ascii="Arial" w:hAnsi="Arial" w:cs="Arial"/>
          <w:b/>
          <w:color w:val="000000" w:themeColor="text1"/>
          <w:sz w:val="20"/>
          <w:szCs w:val="20"/>
        </w:rPr>
      </w:pPr>
      <w:r w:rsidRPr="007E279F">
        <w:rPr>
          <w:rFonts w:ascii="Arial" w:hAnsi="Arial" w:cs="Arial"/>
          <w:b/>
          <w:color w:val="000000" w:themeColor="text1"/>
          <w:sz w:val="20"/>
          <w:szCs w:val="20"/>
        </w:rPr>
        <w:lastRenderedPageBreak/>
        <w:t xml:space="preserve">2.3.1 </w:t>
      </w:r>
      <w:r w:rsidR="00CC265A" w:rsidRPr="007E279F">
        <w:rPr>
          <w:rFonts w:ascii="Arial" w:hAnsi="Arial" w:cs="Arial"/>
          <w:b/>
          <w:color w:val="000000" w:themeColor="text1"/>
          <w:sz w:val="20"/>
          <w:szCs w:val="20"/>
        </w:rPr>
        <w:t>Plant Height</w:t>
      </w:r>
    </w:p>
    <w:p w14:paraId="3CFE7E4E" w14:textId="77777777" w:rsidR="00CC265A" w:rsidRPr="00487776" w:rsidRDefault="00CC265A" w:rsidP="00233FED">
      <w:pPr>
        <w:spacing w:line="360" w:lineRule="auto"/>
        <w:jc w:val="both"/>
        <w:rPr>
          <w:rFonts w:ascii="Arial" w:hAnsi="Arial" w:cs="Arial"/>
          <w:bCs/>
          <w:color w:val="000000" w:themeColor="text1"/>
        </w:rPr>
      </w:pPr>
      <w:r w:rsidRPr="00487776">
        <w:rPr>
          <w:rFonts w:ascii="Arial" w:hAnsi="Arial" w:cs="Arial"/>
          <w:bCs/>
          <w:color w:val="000000" w:themeColor="text1"/>
          <w:lang w:val="en-US"/>
        </w:rPr>
        <w:t>The 30, 60, and 90-day-old plants were taken for plant height measurement using a scale from three different pots just before submergence (non-submergence) and after the submergence of 5, 10 and 15 days, and the heights were compared.</w:t>
      </w:r>
    </w:p>
    <w:p w14:paraId="0006CCF3" w14:textId="4CE1EC15" w:rsidR="00CC265A" w:rsidRPr="007E279F" w:rsidRDefault="005C56DE" w:rsidP="00233FED">
      <w:pPr>
        <w:spacing w:line="360" w:lineRule="auto"/>
        <w:jc w:val="both"/>
        <w:rPr>
          <w:rFonts w:ascii="Arial" w:hAnsi="Arial" w:cs="Arial"/>
          <w:b/>
          <w:color w:val="000000" w:themeColor="text1"/>
          <w:sz w:val="20"/>
          <w:szCs w:val="20"/>
        </w:rPr>
      </w:pPr>
      <w:r w:rsidRPr="007E279F">
        <w:rPr>
          <w:rFonts w:ascii="Arial" w:hAnsi="Arial" w:cs="Arial"/>
          <w:b/>
          <w:color w:val="000000" w:themeColor="text1"/>
          <w:sz w:val="20"/>
          <w:szCs w:val="20"/>
        </w:rPr>
        <w:t xml:space="preserve">2.3.2 </w:t>
      </w:r>
      <w:r w:rsidR="00CC265A" w:rsidRPr="007E279F">
        <w:rPr>
          <w:rFonts w:ascii="Arial" w:hAnsi="Arial" w:cs="Arial"/>
          <w:b/>
          <w:color w:val="000000" w:themeColor="text1"/>
          <w:sz w:val="20"/>
          <w:szCs w:val="20"/>
        </w:rPr>
        <w:t>Estimation of chlorophyll content</w:t>
      </w:r>
    </w:p>
    <w:p w14:paraId="1FF14658" w14:textId="77777777" w:rsidR="00CC265A" w:rsidRPr="00487776" w:rsidRDefault="00CC265A" w:rsidP="00233FED">
      <w:pPr>
        <w:spacing w:line="360" w:lineRule="auto"/>
        <w:jc w:val="both"/>
        <w:rPr>
          <w:rFonts w:ascii="Arial" w:hAnsi="Arial" w:cs="Arial"/>
          <w:b/>
          <w:color w:val="000000" w:themeColor="text1"/>
        </w:rPr>
      </w:pPr>
      <w:r w:rsidRPr="00487776">
        <w:rPr>
          <w:rFonts w:ascii="Arial" w:hAnsi="Arial" w:cs="Arial"/>
          <w:bCs/>
          <w:color w:val="000000" w:themeColor="text1"/>
          <w:lang w:val="en-US"/>
        </w:rPr>
        <w:t>Chlorophyll content was estimated following Witham et al. (1971) after extraction with 80 % acetone. The amount of chlorophyll present was expressed as mg g</w:t>
      </w:r>
      <w:r w:rsidRPr="00487776">
        <w:rPr>
          <w:rFonts w:ascii="Arial" w:hAnsi="Arial" w:cs="Arial"/>
          <w:bCs/>
          <w:color w:val="000000" w:themeColor="text1"/>
          <w:vertAlign w:val="superscript"/>
          <w:lang w:val="en-US"/>
        </w:rPr>
        <w:t>-1</w:t>
      </w:r>
      <w:r w:rsidRPr="00487776">
        <w:rPr>
          <w:rFonts w:ascii="Arial" w:hAnsi="Arial" w:cs="Arial"/>
          <w:bCs/>
          <w:color w:val="000000" w:themeColor="text1"/>
          <w:lang w:val="en-US"/>
        </w:rPr>
        <w:t xml:space="preserve"> fr. wt. using the following equation of (Witham et al. 1971).</w:t>
      </w:r>
    </w:p>
    <w:p w14:paraId="06245D10" w14:textId="77777777" w:rsidR="00CC265A" w:rsidRPr="00487776" w:rsidRDefault="00CC265A" w:rsidP="00233FED">
      <w:pPr>
        <w:spacing w:after="0" w:line="360" w:lineRule="auto"/>
        <w:jc w:val="both"/>
        <w:rPr>
          <w:rFonts w:ascii="Arial" w:hAnsi="Arial" w:cs="Arial"/>
          <w:bCs/>
          <w:color w:val="000000" w:themeColor="text1"/>
          <w:lang w:val="en-US"/>
        </w:rPr>
      </w:pPr>
      <w:r w:rsidRPr="00487776">
        <w:rPr>
          <w:rFonts w:ascii="Arial" w:eastAsia="Times New Roman" w:hAnsi="Arial" w:cs="Arial"/>
          <w:color w:val="000000" w:themeColor="text1"/>
          <w:lang w:eastAsia="en-IN"/>
        </w:rPr>
        <w:t xml:space="preserve">Chlorophyll </w:t>
      </w:r>
      <w:r w:rsidRPr="00487776">
        <w:rPr>
          <w:rFonts w:ascii="Arial" w:eastAsia="Times New Roman" w:hAnsi="Arial" w:cs="Arial"/>
          <w:color w:val="000000" w:themeColor="text1"/>
          <w:vertAlign w:val="subscript"/>
          <w:lang w:eastAsia="en-IN"/>
        </w:rPr>
        <w:t xml:space="preserve">a = </w:t>
      </w:r>
      <w:r w:rsidRPr="00487776">
        <w:rPr>
          <w:rFonts w:ascii="Arial" w:eastAsia="Times New Roman" w:hAnsi="Arial" w:cs="Arial"/>
          <w:color w:val="000000" w:themeColor="text1"/>
          <w:lang w:eastAsia="en-IN"/>
        </w:rPr>
        <w:t>[ 12.7(D</w:t>
      </w:r>
      <w:r w:rsidRPr="00487776">
        <w:rPr>
          <w:rFonts w:ascii="Arial" w:eastAsia="Times New Roman" w:hAnsi="Arial" w:cs="Arial"/>
          <w:color w:val="000000" w:themeColor="text1"/>
          <w:vertAlign w:val="subscript"/>
          <w:lang w:eastAsia="en-IN"/>
        </w:rPr>
        <w:t>663</w:t>
      </w:r>
      <w:r w:rsidRPr="00487776">
        <w:rPr>
          <w:rFonts w:ascii="Arial" w:eastAsia="Times New Roman" w:hAnsi="Arial" w:cs="Arial"/>
          <w:color w:val="000000" w:themeColor="text1"/>
          <w:lang w:eastAsia="en-IN"/>
        </w:rPr>
        <w:t>) – 2.69(D</w:t>
      </w:r>
      <w:r w:rsidRPr="00487776">
        <w:rPr>
          <w:rFonts w:ascii="Arial" w:eastAsia="Times New Roman" w:hAnsi="Arial" w:cs="Arial"/>
          <w:color w:val="000000" w:themeColor="text1"/>
          <w:vertAlign w:val="subscript"/>
          <w:lang w:eastAsia="en-IN"/>
        </w:rPr>
        <w:t>645</w:t>
      </w:r>
      <w:r w:rsidRPr="00487776">
        <w:rPr>
          <w:rFonts w:ascii="Arial" w:eastAsia="Times New Roman" w:hAnsi="Arial" w:cs="Arial"/>
          <w:color w:val="000000" w:themeColor="text1"/>
          <w:lang w:eastAsia="en-IN"/>
        </w:rPr>
        <w:t>)] x [ V/1000 x W]</w:t>
      </w:r>
    </w:p>
    <w:p w14:paraId="3C12EDAE" w14:textId="77777777" w:rsidR="00CC265A" w:rsidRPr="00487776" w:rsidRDefault="00CC265A" w:rsidP="00233FED">
      <w:pPr>
        <w:tabs>
          <w:tab w:val="left" w:pos="5325"/>
        </w:tabs>
        <w:spacing w:after="0"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 xml:space="preserve">Chlorophyll </w:t>
      </w:r>
      <w:r w:rsidRPr="00487776">
        <w:rPr>
          <w:rFonts w:ascii="Arial" w:eastAsia="Times New Roman" w:hAnsi="Arial" w:cs="Arial"/>
          <w:color w:val="000000" w:themeColor="text1"/>
          <w:vertAlign w:val="subscript"/>
          <w:lang w:eastAsia="en-IN"/>
        </w:rPr>
        <w:t xml:space="preserve">b = </w:t>
      </w:r>
      <w:r w:rsidRPr="00487776">
        <w:rPr>
          <w:rFonts w:ascii="Arial" w:eastAsia="Times New Roman" w:hAnsi="Arial" w:cs="Arial"/>
          <w:color w:val="000000" w:themeColor="text1"/>
          <w:lang w:eastAsia="en-IN"/>
        </w:rPr>
        <w:t>[22.9(D</w:t>
      </w:r>
      <w:r w:rsidRPr="00487776">
        <w:rPr>
          <w:rFonts w:ascii="Arial" w:eastAsia="Times New Roman" w:hAnsi="Arial" w:cs="Arial"/>
          <w:color w:val="000000" w:themeColor="text1"/>
          <w:vertAlign w:val="subscript"/>
          <w:lang w:eastAsia="en-IN"/>
        </w:rPr>
        <w:t>645</w:t>
      </w:r>
      <w:r w:rsidRPr="00487776">
        <w:rPr>
          <w:rFonts w:ascii="Arial" w:eastAsia="Times New Roman" w:hAnsi="Arial" w:cs="Arial"/>
          <w:color w:val="000000" w:themeColor="text1"/>
          <w:lang w:eastAsia="en-IN"/>
        </w:rPr>
        <w:t>) – 4.68(D663)] x [V/1000 x W]</w:t>
      </w:r>
    </w:p>
    <w:p w14:paraId="3D34EEE6" w14:textId="77777777" w:rsidR="00CC265A" w:rsidRPr="00487776" w:rsidRDefault="00CC265A" w:rsidP="00233FED">
      <w:pPr>
        <w:tabs>
          <w:tab w:val="left" w:pos="5325"/>
        </w:tabs>
        <w:spacing w:after="0"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Chlorophyll (total)</w:t>
      </w:r>
      <w:r w:rsidRPr="00487776">
        <w:rPr>
          <w:rFonts w:ascii="Arial" w:eastAsia="Times New Roman" w:hAnsi="Arial" w:cs="Arial"/>
          <w:color w:val="000000" w:themeColor="text1"/>
          <w:vertAlign w:val="subscript"/>
          <w:lang w:eastAsia="en-IN"/>
        </w:rPr>
        <w:t xml:space="preserve"> = </w:t>
      </w:r>
      <w:r w:rsidRPr="00487776">
        <w:rPr>
          <w:rFonts w:ascii="Arial" w:eastAsia="Times New Roman" w:hAnsi="Arial" w:cs="Arial"/>
          <w:color w:val="000000" w:themeColor="text1"/>
          <w:lang w:eastAsia="en-IN"/>
        </w:rPr>
        <w:t>[20.2(D</w:t>
      </w:r>
      <w:r w:rsidRPr="00487776">
        <w:rPr>
          <w:rFonts w:ascii="Arial" w:eastAsia="Times New Roman" w:hAnsi="Arial" w:cs="Arial"/>
          <w:color w:val="000000" w:themeColor="text1"/>
          <w:vertAlign w:val="subscript"/>
          <w:lang w:eastAsia="en-IN"/>
        </w:rPr>
        <w:t>663</w:t>
      </w:r>
      <w:r w:rsidRPr="00487776">
        <w:rPr>
          <w:rFonts w:ascii="Arial" w:eastAsia="Times New Roman" w:hAnsi="Arial" w:cs="Arial"/>
          <w:color w:val="000000" w:themeColor="text1"/>
          <w:lang w:eastAsia="en-IN"/>
        </w:rPr>
        <w:t>) – 8.02(D</w:t>
      </w:r>
      <w:r w:rsidRPr="00487776">
        <w:rPr>
          <w:rFonts w:ascii="Arial" w:eastAsia="Times New Roman" w:hAnsi="Arial" w:cs="Arial"/>
          <w:color w:val="000000" w:themeColor="text1"/>
          <w:vertAlign w:val="subscript"/>
          <w:lang w:eastAsia="en-IN"/>
        </w:rPr>
        <w:t>645</w:t>
      </w:r>
      <w:r w:rsidRPr="00487776">
        <w:rPr>
          <w:rFonts w:ascii="Arial" w:eastAsia="Times New Roman" w:hAnsi="Arial" w:cs="Arial"/>
          <w:color w:val="000000" w:themeColor="text1"/>
          <w:lang w:eastAsia="en-IN"/>
        </w:rPr>
        <w:t>)] x [V/1000 x W]</w:t>
      </w:r>
    </w:p>
    <w:p w14:paraId="32BDBA5B" w14:textId="77777777" w:rsidR="00CC265A" w:rsidRPr="00487776" w:rsidRDefault="00CC265A" w:rsidP="00233FED">
      <w:pPr>
        <w:autoSpaceDE w:val="0"/>
        <w:autoSpaceDN w:val="0"/>
        <w:adjustRightInd w:val="0"/>
        <w:spacing w:after="0" w:line="360" w:lineRule="auto"/>
        <w:ind w:left="720" w:firstLine="720"/>
        <w:jc w:val="both"/>
        <w:rPr>
          <w:rFonts w:ascii="Arial" w:hAnsi="Arial" w:cs="Arial"/>
          <w:bCs/>
          <w:color w:val="000000" w:themeColor="text1"/>
        </w:rPr>
      </w:pPr>
      <w:r w:rsidRPr="00487776">
        <w:rPr>
          <w:rFonts w:ascii="Arial" w:hAnsi="Arial" w:cs="Arial"/>
          <w:bCs/>
          <w:color w:val="000000" w:themeColor="text1"/>
        </w:rPr>
        <w:t>V = Volume made up in ml</w:t>
      </w:r>
    </w:p>
    <w:p w14:paraId="128AB334" w14:textId="5DBD2E26" w:rsidR="00CC265A" w:rsidRPr="00487776" w:rsidRDefault="00CC265A" w:rsidP="00233FED">
      <w:pPr>
        <w:autoSpaceDE w:val="0"/>
        <w:autoSpaceDN w:val="0"/>
        <w:adjustRightInd w:val="0"/>
        <w:spacing w:after="0" w:line="360" w:lineRule="auto"/>
        <w:ind w:left="720" w:firstLine="720"/>
        <w:jc w:val="both"/>
        <w:rPr>
          <w:rFonts w:ascii="Arial" w:hAnsi="Arial" w:cs="Arial"/>
          <w:bCs/>
          <w:color w:val="000000" w:themeColor="text1"/>
        </w:rPr>
      </w:pPr>
      <w:r w:rsidRPr="00487776">
        <w:rPr>
          <w:rFonts w:ascii="Arial" w:hAnsi="Arial" w:cs="Arial"/>
          <w:bCs/>
          <w:color w:val="000000" w:themeColor="text1"/>
        </w:rPr>
        <w:t>W = Weight of leaf sample in mg</w:t>
      </w:r>
    </w:p>
    <w:p w14:paraId="6E09854A" w14:textId="1100A356" w:rsidR="00CC265A" w:rsidRPr="007E279F" w:rsidRDefault="005C56DE" w:rsidP="00233FED">
      <w:pPr>
        <w:spacing w:line="360" w:lineRule="auto"/>
        <w:jc w:val="both"/>
        <w:rPr>
          <w:rFonts w:ascii="Arial" w:hAnsi="Arial" w:cs="Arial"/>
          <w:b/>
          <w:color w:val="000000" w:themeColor="text1"/>
          <w:sz w:val="20"/>
          <w:szCs w:val="20"/>
        </w:rPr>
      </w:pPr>
      <w:r w:rsidRPr="007E279F">
        <w:rPr>
          <w:rFonts w:ascii="Arial" w:hAnsi="Arial" w:cs="Arial"/>
          <w:b/>
          <w:color w:val="000000" w:themeColor="text1"/>
          <w:sz w:val="20"/>
          <w:szCs w:val="20"/>
          <w:lang w:val="en-US"/>
        </w:rPr>
        <w:t xml:space="preserve">2.3.3 </w:t>
      </w:r>
      <w:r w:rsidR="00CC265A" w:rsidRPr="007E279F">
        <w:rPr>
          <w:rFonts w:ascii="Arial" w:hAnsi="Arial" w:cs="Arial"/>
          <w:b/>
          <w:color w:val="000000" w:themeColor="text1"/>
          <w:sz w:val="20"/>
          <w:szCs w:val="20"/>
          <w:lang w:val="en-US"/>
        </w:rPr>
        <w:t>Estimation of total soluble sugar content</w:t>
      </w:r>
    </w:p>
    <w:p w14:paraId="7E4B58F2" w14:textId="77777777" w:rsidR="00CC265A" w:rsidRPr="00487776" w:rsidRDefault="00CC265A" w:rsidP="00233FED">
      <w:pPr>
        <w:spacing w:line="360" w:lineRule="auto"/>
        <w:jc w:val="both"/>
        <w:rPr>
          <w:rFonts w:ascii="Arial" w:hAnsi="Arial" w:cs="Arial"/>
          <w:bCs/>
          <w:color w:val="000000" w:themeColor="text1"/>
          <w:lang w:val="en-US"/>
        </w:rPr>
      </w:pPr>
      <w:r w:rsidRPr="00487776">
        <w:rPr>
          <w:rFonts w:ascii="Arial" w:hAnsi="Arial" w:cs="Arial"/>
          <w:bCs/>
          <w:color w:val="000000" w:themeColor="text1"/>
          <w:lang w:val="en-US"/>
        </w:rPr>
        <w:t xml:space="preserve">Total soluble sugar content is estimated based on the </w:t>
      </w:r>
      <w:proofErr w:type="spellStart"/>
      <w:r w:rsidRPr="00487776">
        <w:rPr>
          <w:rFonts w:ascii="Arial" w:hAnsi="Arial" w:cs="Arial"/>
          <w:bCs/>
          <w:color w:val="000000" w:themeColor="text1"/>
          <w:lang w:val="en-US"/>
        </w:rPr>
        <w:t>anthrone</w:t>
      </w:r>
      <w:proofErr w:type="spellEnd"/>
      <w:r w:rsidRPr="00487776">
        <w:rPr>
          <w:rFonts w:ascii="Arial" w:hAnsi="Arial" w:cs="Arial"/>
          <w:bCs/>
          <w:color w:val="000000" w:themeColor="text1"/>
          <w:lang w:val="en-US"/>
        </w:rPr>
        <w:t xml:space="preserve"> method (Hedge and </w:t>
      </w:r>
      <w:proofErr w:type="spellStart"/>
      <w:r w:rsidRPr="00487776">
        <w:rPr>
          <w:rFonts w:ascii="Arial" w:hAnsi="Arial" w:cs="Arial"/>
          <w:bCs/>
          <w:color w:val="000000" w:themeColor="text1"/>
          <w:lang w:val="en-US"/>
        </w:rPr>
        <w:t>Hofreiter</w:t>
      </w:r>
      <w:proofErr w:type="spellEnd"/>
      <w:r w:rsidRPr="00487776">
        <w:rPr>
          <w:rFonts w:ascii="Arial" w:hAnsi="Arial" w:cs="Arial"/>
          <w:bCs/>
          <w:color w:val="000000" w:themeColor="text1"/>
          <w:lang w:val="en-US"/>
        </w:rPr>
        <w:t xml:space="preserve"> 1962) and the concentration of soluble sugars was computed by using glucose as standard and expressed in mg g</w:t>
      </w:r>
      <w:r w:rsidRPr="00487776">
        <w:rPr>
          <w:rFonts w:ascii="Arial" w:hAnsi="Arial" w:cs="Arial"/>
          <w:bCs/>
          <w:color w:val="000000" w:themeColor="text1"/>
          <w:vertAlign w:val="superscript"/>
          <w:lang w:val="en-US"/>
        </w:rPr>
        <w:t>-1</w:t>
      </w:r>
      <w:r w:rsidRPr="00487776">
        <w:rPr>
          <w:rFonts w:ascii="Arial" w:hAnsi="Arial" w:cs="Arial"/>
          <w:bCs/>
          <w:color w:val="000000" w:themeColor="text1"/>
          <w:lang w:val="en-US"/>
        </w:rPr>
        <w:t xml:space="preserve"> fr. wt.</w:t>
      </w:r>
    </w:p>
    <w:p w14:paraId="1B239827" w14:textId="77777777" w:rsidR="009C5470" w:rsidRPr="007E279F" w:rsidRDefault="009C5470" w:rsidP="00233FED">
      <w:pPr>
        <w:spacing w:line="360" w:lineRule="auto"/>
        <w:jc w:val="both"/>
        <w:rPr>
          <w:rFonts w:ascii="Arial" w:hAnsi="Arial" w:cs="Arial"/>
          <w:b/>
          <w:color w:val="000000" w:themeColor="text1"/>
          <w:sz w:val="20"/>
          <w:szCs w:val="20"/>
          <w:lang w:val="en-US"/>
        </w:rPr>
      </w:pPr>
      <w:r w:rsidRPr="007E279F">
        <w:rPr>
          <w:rFonts w:ascii="Arial" w:hAnsi="Arial" w:cs="Arial"/>
          <w:b/>
          <w:color w:val="000000" w:themeColor="text1"/>
          <w:sz w:val="20"/>
          <w:szCs w:val="20"/>
          <w:lang w:val="en-US"/>
        </w:rPr>
        <w:t xml:space="preserve">2.3.6 Estimations of soluble proteins </w:t>
      </w:r>
    </w:p>
    <w:p w14:paraId="1DBA9CF1" w14:textId="32CA9ECB" w:rsidR="009C5470" w:rsidRPr="00487776" w:rsidRDefault="009C5470" w:rsidP="00233FED">
      <w:pPr>
        <w:spacing w:line="360" w:lineRule="auto"/>
        <w:jc w:val="both"/>
        <w:rPr>
          <w:rFonts w:ascii="Arial" w:hAnsi="Arial" w:cs="Arial"/>
          <w:bCs/>
          <w:color w:val="000000" w:themeColor="text1"/>
        </w:rPr>
      </w:pPr>
      <w:r w:rsidRPr="00487776">
        <w:rPr>
          <w:rFonts w:ascii="Arial" w:hAnsi="Arial" w:cs="Arial"/>
          <w:bCs/>
          <w:color w:val="000000" w:themeColor="text1"/>
        </w:rPr>
        <w:t>Estimations of phosphate buffer soluble proteins were done in fresh plant samples by Lowry’s et al., methods (1951). The optical density was measured at 660 nm. Calculations were done from the standard curve prepared by using BSA (Bovine Serum Albumin) as the standard solution and expressed as mgg</w:t>
      </w:r>
      <w:r w:rsidRPr="00487776">
        <w:rPr>
          <w:rFonts w:ascii="Arial" w:hAnsi="Arial" w:cs="Arial"/>
          <w:bCs/>
          <w:color w:val="000000" w:themeColor="text1"/>
          <w:vertAlign w:val="superscript"/>
        </w:rPr>
        <w:t>-1</w:t>
      </w:r>
      <w:r w:rsidRPr="00487776">
        <w:rPr>
          <w:rFonts w:ascii="Arial" w:hAnsi="Arial" w:cs="Arial"/>
          <w:bCs/>
          <w:color w:val="000000" w:themeColor="text1"/>
        </w:rPr>
        <w:t xml:space="preserve"> fr. wt.</w:t>
      </w:r>
    </w:p>
    <w:p w14:paraId="4E191E25" w14:textId="77777777" w:rsidR="009C5470" w:rsidRPr="007E279F" w:rsidRDefault="009C5470" w:rsidP="00233FED">
      <w:pPr>
        <w:spacing w:line="360" w:lineRule="auto"/>
        <w:jc w:val="both"/>
        <w:rPr>
          <w:rFonts w:ascii="Arial" w:hAnsi="Arial" w:cs="Arial"/>
          <w:b/>
          <w:color w:val="000000" w:themeColor="text1"/>
          <w:sz w:val="20"/>
          <w:szCs w:val="20"/>
        </w:rPr>
      </w:pPr>
      <w:r w:rsidRPr="007E279F">
        <w:rPr>
          <w:rFonts w:ascii="Arial" w:hAnsi="Arial" w:cs="Arial"/>
          <w:b/>
          <w:color w:val="000000" w:themeColor="text1"/>
          <w:sz w:val="20"/>
          <w:szCs w:val="20"/>
        </w:rPr>
        <w:t>2.3.6 Estimation of total phenolics</w:t>
      </w:r>
    </w:p>
    <w:p w14:paraId="34A640A4" w14:textId="77777777" w:rsidR="009C5470" w:rsidRPr="00487776" w:rsidRDefault="009C5470" w:rsidP="00233FED">
      <w:pPr>
        <w:spacing w:line="360" w:lineRule="auto"/>
        <w:jc w:val="both"/>
        <w:rPr>
          <w:rFonts w:ascii="Arial" w:hAnsi="Arial" w:cs="Arial"/>
          <w:b/>
          <w:color w:val="000000" w:themeColor="text1"/>
        </w:rPr>
      </w:pPr>
      <w:r w:rsidRPr="00487776">
        <w:rPr>
          <w:rFonts w:ascii="Arial" w:hAnsi="Arial" w:cs="Arial"/>
          <w:bCs/>
          <w:color w:val="000000" w:themeColor="text1"/>
        </w:rPr>
        <w:t xml:space="preserve">The dried powdered plant samples were extracted in 10ml of methanol by intermittent maceration for up to 48 hours, centrifuged and the supernatants were used for the estimations of total phenols. Total phenolic contents were determined by </w:t>
      </w:r>
      <w:proofErr w:type="spellStart"/>
      <w:r w:rsidRPr="00487776">
        <w:rPr>
          <w:rFonts w:ascii="Arial" w:hAnsi="Arial" w:cs="Arial"/>
          <w:bCs/>
          <w:color w:val="000000" w:themeColor="text1"/>
        </w:rPr>
        <w:t>folin-ciocalteu</w:t>
      </w:r>
      <w:proofErr w:type="spellEnd"/>
      <w:r w:rsidRPr="00487776">
        <w:rPr>
          <w:rFonts w:ascii="Arial" w:hAnsi="Arial" w:cs="Arial"/>
          <w:bCs/>
          <w:color w:val="000000" w:themeColor="text1"/>
        </w:rPr>
        <w:t xml:space="preserve"> method with sodium carbonate solutions following Donald et al., (2001). The absorbance was measured at 765nm using gallic acid as the standard</w:t>
      </w:r>
      <w:r w:rsidRPr="00487776">
        <w:rPr>
          <w:rFonts w:ascii="Arial" w:hAnsi="Arial" w:cs="Arial"/>
          <w:b/>
          <w:color w:val="000000" w:themeColor="text1"/>
        </w:rPr>
        <w:t>.</w:t>
      </w:r>
    </w:p>
    <w:p w14:paraId="2BA03FDD" w14:textId="5D205FD9" w:rsidR="00CC265A" w:rsidRPr="007E279F" w:rsidRDefault="005C56DE" w:rsidP="00233FED">
      <w:pPr>
        <w:spacing w:line="360" w:lineRule="auto"/>
        <w:jc w:val="both"/>
        <w:rPr>
          <w:rFonts w:ascii="Arial" w:hAnsi="Arial" w:cs="Arial"/>
          <w:b/>
          <w:color w:val="000000" w:themeColor="text1"/>
          <w:sz w:val="20"/>
          <w:szCs w:val="20"/>
        </w:rPr>
      </w:pPr>
      <w:r w:rsidRPr="007E279F">
        <w:rPr>
          <w:rFonts w:ascii="Arial" w:hAnsi="Arial" w:cs="Arial"/>
          <w:b/>
          <w:color w:val="000000" w:themeColor="text1"/>
          <w:sz w:val="20"/>
          <w:szCs w:val="20"/>
          <w:lang w:val="en-US"/>
        </w:rPr>
        <w:t xml:space="preserve">2.3.4 </w:t>
      </w:r>
      <w:r w:rsidR="00CC265A" w:rsidRPr="007E279F">
        <w:rPr>
          <w:rFonts w:ascii="Arial" w:hAnsi="Arial" w:cs="Arial"/>
          <w:b/>
          <w:color w:val="000000" w:themeColor="text1"/>
          <w:sz w:val="20"/>
          <w:szCs w:val="20"/>
          <w:lang w:val="en-US"/>
        </w:rPr>
        <w:t>Estimation of total free amino acid content</w:t>
      </w:r>
    </w:p>
    <w:p w14:paraId="3DBED62E" w14:textId="77777777" w:rsidR="00CC265A" w:rsidRPr="00487776" w:rsidRDefault="00CC265A" w:rsidP="00233FED">
      <w:pPr>
        <w:spacing w:line="360" w:lineRule="auto"/>
        <w:jc w:val="both"/>
        <w:rPr>
          <w:rFonts w:ascii="Arial" w:hAnsi="Arial" w:cs="Arial"/>
          <w:bCs/>
          <w:color w:val="000000" w:themeColor="text1"/>
          <w:lang w:val="en-US"/>
        </w:rPr>
      </w:pPr>
      <w:r w:rsidRPr="00487776">
        <w:rPr>
          <w:rFonts w:ascii="Arial" w:hAnsi="Arial" w:cs="Arial"/>
          <w:bCs/>
          <w:color w:val="000000" w:themeColor="text1"/>
          <w:lang w:val="en-US"/>
        </w:rPr>
        <w:t>The total free amino acid was determined with ninhydrin reagent as per Yemm and Cocking (1955). The amount of total free amino acids was calculated and expressed in mg g</w:t>
      </w:r>
      <w:r w:rsidRPr="00487776">
        <w:rPr>
          <w:rFonts w:ascii="Arial" w:hAnsi="Arial" w:cs="Arial"/>
          <w:bCs/>
          <w:color w:val="000000" w:themeColor="text1"/>
          <w:vertAlign w:val="superscript"/>
          <w:lang w:val="en-US"/>
        </w:rPr>
        <w:t>-1</w:t>
      </w:r>
      <w:r w:rsidRPr="00487776">
        <w:rPr>
          <w:rFonts w:ascii="Arial" w:hAnsi="Arial" w:cs="Arial"/>
          <w:bCs/>
          <w:color w:val="000000" w:themeColor="text1"/>
          <w:lang w:val="en-US"/>
        </w:rPr>
        <w:t xml:space="preserve"> fr. wt. using a standard curve prepared from glycine.</w:t>
      </w:r>
    </w:p>
    <w:p w14:paraId="5D2B74D5" w14:textId="1A97CD9B" w:rsidR="00CC265A" w:rsidRPr="007E279F" w:rsidRDefault="005C56DE" w:rsidP="00233FED">
      <w:pPr>
        <w:spacing w:line="360" w:lineRule="auto"/>
        <w:jc w:val="both"/>
        <w:rPr>
          <w:rFonts w:ascii="Arial" w:hAnsi="Arial" w:cs="Arial"/>
          <w:b/>
          <w:color w:val="000000" w:themeColor="text1"/>
          <w:sz w:val="20"/>
          <w:szCs w:val="20"/>
        </w:rPr>
      </w:pPr>
      <w:r w:rsidRPr="007E279F">
        <w:rPr>
          <w:rFonts w:ascii="Arial" w:hAnsi="Arial" w:cs="Arial"/>
          <w:b/>
          <w:color w:val="000000" w:themeColor="text1"/>
          <w:sz w:val="20"/>
          <w:szCs w:val="20"/>
        </w:rPr>
        <w:lastRenderedPageBreak/>
        <w:t xml:space="preserve">2.3.5 </w:t>
      </w:r>
      <w:r w:rsidR="00CC265A" w:rsidRPr="007E279F">
        <w:rPr>
          <w:rFonts w:ascii="Arial" w:hAnsi="Arial" w:cs="Arial"/>
          <w:b/>
          <w:color w:val="000000" w:themeColor="text1"/>
          <w:sz w:val="20"/>
          <w:szCs w:val="20"/>
        </w:rPr>
        <w:t>Estimation of total proline content</w:t>
      </w:r>
    </w:p>
    <w:p w14:paraId="672DEC37" w14:textId="77777777" w:rsidR="00CC265A" w:rsidRPr="00487776" w:rsidRDefault="00CC265A" w:rsidP="00233FED">
      <w:pPr>
        <w:spacing w:line="360" w:lineRule="auto"/>
        <w:jc w:val="both"/>
        <w:rPr>
          <w:rFonts w:ascii="Arial" w:hAnsi="Arial" w:cs="Arial"/>
          <w:bCs/>
          <w:color w:val="000000" w:themeColor="text1"/>
          <w:lang w:val="en-US"/>
        </w:rPr>
      </w:pPr>
      <w:r w:rsidRPr="00487776">
        <w:rPr>
          <w:rFonts w:ascii="Arial" w:hAnsi="Arial" w:cs="Arial"/>
          <w:bCs/>
          <w:color w:val="000000" w:themeColor="text1"/>
          <w:lang w:val="en-US"/>
        </w:rPr>
        <w:t>The Proline accumulation in plant tissues was estimated according to Bates et al., (1973). The amount of proline in the samples were then calculated and expressed as mg g</w:t>
      </w:r>
      <w:r w:rsidRPr="00487776">
        <w:rPr>
          <w:rFonts w:ascii="Arial" w:hAnsi="Arial" w:cs="Arial"/>
          <w:bCs/>
          <w:color w:val="000000" w:themeColor="text1"/>
          <w:vertAlign w:val="superscript"/>
          <w:lang w:val="en-US"/>
        </w:rPr>
        <w:t>-1</w:t>
      </w:r>
      <w:r w:rsidRPr="00487776">
        <w:rPr>
          <w:rFonts w:ascii="Arial" w:hAnsi="Arial" w:cs="Arial"/>
          <w:bCs/>
          <w:color w:val="000000" w:themeColor="text1"/>
          <w:lang w:val="en-US"/>
        </w:rPr>
        <w:t xml:space="preserve"> fr. wt. using a standard curve prepared from analytical grade proline.</w:t>
      </w:r>
    </w:p>
    <w:p w14:paraId="262C721C" w14:textId="7CAA881E" w:rsidR="00CC265A" w:rsidRPr="007E279F" w:rsidRDefault="005C56DE" w:rsidP="00233FED">
      <w:pPr>
        <w:spacing w:line="360" w:lineRule="auto"/>
        <w:jc w:val="both"/>
        <w:rPr>
          <w:rFonts w:ascii="Arial" w:hAnsi="Arial" w:cs="Arial"/>
          <w:bCs/>
          <w:color w:val="000000" w:themeColor="text1"/>
          <w:sz w:val="20"/>
          <w:szCs w:val="20"/>
        </w:rPr>
      </w:pPr>
      <w:r w:rsidRPr="007E279F">
        <w:rPr>
          <w:rFonts w:ascii="Arial" w:eastAsia="Times New Roman" w:hAnsi="Arial" w:cs="Arial"/>
          <w:b/>
          <w:bCs/>
          <w:color w:val="000000" w:themeColor="text1"/>
          <w:sz w:val="20"/>
          <w:szCs w:val="20"/>
          <w:lang w:eastAsia="en-IN"/>
        </w:rPr>
        <w:t xml:space="preserve">2.3.8 </w:t>
      </w:r>
      <w:r w:rsidR="00CC265A" w:rsidRPr="007E279F">
        <w:rPr>
          <w:rFonts w:ascii="Arial" w:eastAsia="Times New Roman" w:hAnsi="Arial" w:cs="Arial"/>
          <w:b/>
          <w:bCs/>
          <w:color w:val="000000" w:themeColor="text1"/>
          <w:sz w:val="20"/>
          <w:szCs w:val="20"/>
          <w:lang w:eastAsia="en-IN"/>
        </w:rPr>
        <w:t>Panicle number</w:t>
      </w:r>
    </w:p>
    <w:p w14:paraId="122254E5" w14:textId="77777777" w:rsidR="00CC265A" w:rsidRPr="00487776" w:rsidRDefault="00CC265A" w:rsidP="00233FED">
      <w:pPr>
        <w:spacing w:line="360" w:lineRule="auto"/>
        <w:jc w:val="both"/>
        <w:rPr>
          <w:rFonts w:ascii="Arial" w:hAnsi="Arial" w:cs="Arial"/>
          <w:bCs/>
          <w:color w:val="000000" w:themeColor="text1"/>
        </w:rPr>
      </w:pPr>
      <w:r w:rsidRPr="00487776">
        <w:rPr>
          <w:rFonts w:ascii="Arial" w:eastAsia="Times New Roman" w:hAnsi="Arial" w:cs="Arial"/>
          <w:bCs/>
          <w:color w:val="000000" w:themeColor="text1"/>
          <w:lang w:eastAsia="en-IN"/>
        </w:rPr>
        <w:t xml:space="preserve">The number of panicles per hill, 3 pots in number for </w:t>
      </w:r>
      <w:proofErr w:type="spellStart"/>
      <w:r w:rsidRPr="00487776">
        <w:rPr>
          <w:rFonts w:ascii="Arial" w:eastAsia="Times New Roman" w:hAnsi="Arial" w:cs="Arial"/>
          <w:bCs/>
          <w:color w:val="000000" w:themeColor="text1"/>
          <w:lang w:eastAsia="en-IN"/>
        </w:rPr>
        <w:t>Phourel-amubi</w:t>
      </w:r>
      <w:proofErr w:type="spellEnd"/>
      <w:r w:rsidRPr="00487776">
        <w:rPr>
          <w:rFonts w:ascii="Arial" w:eastAsia="Times New Roman" w:hAnsi="Arial" w:cs="Arial"/>
          <w:bCs/>
          <w:color w:val="000000" w:themeColor="text1"/>
          <w:lang w:eastAsia="en-IN"/>
        </w:rPr>
        <w:t xml:space="preserve"> paddy cultivar was counted at 90 and 120 days after transplant i.e. at the reproductive stage of paddy cultivation.</w:t>
      </w:r>
    </w:p>
    <w:p w14:paraId="4A1F9BEC" w14:textId="64AEB228" w:rsidR="00CC265A" w:rsidRPr="007E279F" w:rsidRDefault="005C56DE" w:rsidP="00233FED">
      <w:pPr>
        <w:spacing w:line="360" w:lineRule="auto"/>
        <w:jc w:val="both"/>
        <w:rPr>
          <w:rFonts w:ascii="Arial" w:hAnsi="Arial" w:cs="Arial"/>
          <w:bCs/>
          <w:color w:val="000000" w:themeColor="text1"/>
          <w:sz w:val="20"/>
          <w:szCs w:val="20"/>
        </w:rPr>
      </w:pPr>
      <w:r w:rsidRPr="007E279F">
        <w:rPr>
          <w:rFonts w:ascii="Arial" w:eastAsia="Times New Roman" w:hAnsi="Arial" w:cs="Arial"/>
          <w:b/>
          <w:bCs/>
          <w:color w:val="000000" w:themeColor="text1"/>
          <w:sz w:val="20"/>
          <w:szCs w:val="20"/>
          <w:lang w:eastAsia="en-IN"/>
        </w:rPr>
        <w:t xml:space="preserve">2.3.9 </w:t>
      </w:r>
      <w:r w:rsidR="00CC265A" w:rsidRPr="007E279F">
        <w:rPr>
          <w:rFonts w:ascii="Arial" w:eastAsia="Times New Roman" w:hAnsi="Arial" w:cs="Arial"/>
          <w:b/>
          <w:bCs/>
          <w:color w:val="000000" w:themeColor="text1"/>
          <w:sz w:val="20"/>
          <w:szCs w:val="20"/>
          <w:lang w:eastAsia="en-IN"/>
        </w:rPr>
        <w:t>Number of filled grains</w:t>
      </w:r>
    </w:p>
    <w:p w14:paraId="39AD988F" w14:textId="77777777" w:rsidR="00CC265A" w:rsidRPr="00487776" w:rsidRDefault="00CC265A" w:rsidP="00233FED">
      <w:pPr>
        <w:spacing w:line="360" w:lineRule="auto"/>
        <w:jc w:val="both"/>
        <w:rPr>
          <w:rFonts w:ascii="Arial" w:hAnsi="Arial" w:cs="Arial"/>
          <w:color w:val="000000" w:themeColor="text1"/>
        </w:rPr>
      </w:pPr>
      <w:r w:rsidRPr="00487776">
        <w:rPr>
          <w:rFonts w:ascii="Arial" w:hAnsi="Arial" w:cs="Arial"/>
          <w:color w:val="000000" w:themeColor="text1"/>
        </w:rPr>
        <w:t>Filled grain was measured by physical examination manually, in the presence of tested and mature seed. The number of filled grains per paddy plant was counted on 120 days after transplantation.</w:t>
      </w:r>
    </w:p>
    <w:p w14:paraId="04CF69F3" w14:textId="77777777" w:rsidR="009C5470" w:rsidRPr="007E279F" w:rsidRDefault="009C5470" w:rsidP="00233FED">
      <w:pPr>
        <w:spacing w:line="360" w:lineRule="auto"/>
        <w:jc w:val="both"/>
        <w:rPr>
          <w:rFonts w:ascii="Arial" w:hAnsi="Arial" w:cs="Arial"/>
          <w:bCs/>
          <w:color w:val="000000" w:themeColor="text1"/>
          <w:sz w:val="20"/>
          <w:szCs w:val="20"/>
        </w:rPr>
      </w:pPr>
      <w:r w:rsidRPr="007E279F">
        <w:rPr>
          <w:rFonts w:ascii="Arial" w:eastAsia="Times New Roman" w:hAnsi="Arial" w:cs="Arial"/>
          <w:b/>
          <w:bCs/>
          <w:color w:val="000000" w:themeColor="text1"/>
          <w:sz w:val="20"/>
          <w:szCs w:val="20"/>
          <w:lang w:eastAsia="en-IN"/>
        </w:rPr>
        <w:t>2.3.11 Weight of 1000 grains</w:t>
      </w:r>
    </w:p>
    <w:p w14:paraId="242A4615" w14:textId="6EC26A74" w:rsidR="009C5470" w:rsidRPr="007E279F" w:rsidRDefault="009C5470" w:rsidP="00233FED">
      <w:pPr>
        <w:spacing w:line="360" w:lineRule="auto"/>
        <w:jc w:val="both"/>
        <w:rPr>
          <w:rFonts w:ascii="Arial" w:hAnsi="Arial" w:cs="Arial"/>
          <w:bCs/>
          <w:color w:val="000000" w:themeColor="text1"/>
        </w:rPr>
      </w:pPr>
      <w:r w:rsidRPr="00487776">
        <w:rPr>
          <w:rFonts w:ascii="Arial" w:hAnsi="Arial" w:cs="Arial"/>
          <w:color w:val="000000" w:themeColor="text1"/>
        </w:rPr>
        <w:t>One thousand cleaned and dried grains were counted from the collected seed stock after harvesting cultivation and weighed using an electronic balance.</w:t>
      </w:r>
    </w:p>
    <w:p w14:paraId="53C26809" w14:textId="39BB1935" w:rsidR="00CC265A" w:rsidRPr="007E279F" w:rsidRDefault="005C56DE" w:rsidP="00233FED">
      <w:pPr>
        <w:spacing w:line="360" w:lineRule="auto"/>
        <w:jc w:val="both"/>
        <w:rPr>
          <w:rFonts w:ascii="Arial" w:hAnsi="Arial" w:cs="Arial"/>
          <w:bCs/>
          <w:color w:val="000000" w:themeColor="text1"/>
          <w:sz w:val="20"/>
          <w:szCs w:val="20"/>
        </w:rPr>
      </w:pPr>
      <w:r w:rsidRPr="007E279F">
        <w:rPr>
          <w:rFonts w:ascii="Arial" w:eastAsia="Times New Roman" w:hAnsi="Arial" w:cs="Arial"/>
          <w:b/>
          <w:bCs/>
          <w:color w:val="000000" w:themeColor="text1"/>
          <w:sz w:val="20"/>
          <w:szCs w:val="20"/>
          <w:lang w:eastAsia="en-IN"/>
        </w:rPr>
        <w:t xml:space="preserve">2.3.10 </w:t>
      </w:r>
      <w:r w:rsidR="00CC265A" w:rsidRPr="007E279F">
        <w:rPr>
          <w:rFonts w:ascii="Arial" w:eastAsia="Times New Roman" w:hAnsi="Arial" w:cs="Arial"/>
          <w:b/>
          <w:bCs/>
          <w:color w:val="000000" w:themeColor="text1"/>
          <w:sz w:val="20"/>
          <w:szCs w:val="20"/>
          <w:lang w:eastAsia="en-IN"/>
        </w:rPr>
        <w:t>Grain yield per hill</w:t>
      </w:r>
    </w:p>
    <w:p w14:paraId="641E030D" w14:textId="77777777" w:rsidR="00CC265A" w:rsidRPr="00487776" w:rsidRDefault="00CC265A" w:rsidP="00233FED">
      <w:pPr>
        <w:spacing w:line="360" w:lineRule="auto"/>
        <w:jc w:val="both"/>
        <w:rPr>
          <w:rFonts w:ascii="Arial" w:hAnsi="Arial" w:cs="Arial"/>
          <w:bCs/>
          <w:color w:val="000000" w:themeColor="text1"/>
        </w:rPr>
      </w:pPr>
      <w:r w:rsidRPr="00487776">
        <w:rPr>
          <w:rFonts w:ascii="Arial" w:eastAsia="Times New Roman" w:hAnsi="Arial" w:cs="Arial"/>
          <w:bCs/>
          <w:color w:val="000000" w:themeColor="text1"/>
          <w:lang w:eastAsia="en-IN"/>
        </w:rPr>
        <w:t>The matured threshed paddy grains were collected per hill at 120 days after transplantation. These grains were collected and oven-dried at 80</w:t>
      </w:r>
      <w:r w:rsidRPr="00487776">
        <w:rPr>
          <w:rFonts w:ascii="Arial" w:eastAsia="Times New Roman" w:hAnsi="Arial" w:cs="Arial"/>
          <w:bCs/>
          <w:iCs/>
          <w:color w:val="000000" w:themeColor="text1"/>
          <w:kern w:val="28"/>
          <w:lang w:eastAsia="en-IN"/>
        </w:rPr>
        <w:t>º</w:t>
      </w:r>
      <w:r w:rsidRPr="00487776">
        <w:rPr>
          <w:rFonts w:ascii="Arial" w:eastAsia="Times New Roman" w:hAnsi="Arial" w:cs="Arial"/>
          <w:bCs/>
          <w:color w:val="000000" w:themeColor="text1"/>
          <w:lang w:eastAsia="en-IN"/>
        </w:rPr>
        <w:t xml:space="preserve"> C± for 48 h and weighed using an electronic balance.</w:t>
      </w:r>
    </w:p>
    <w:p w14:paraId="5C9E38B7" w14:textId="146351F5" w:rsidR="00CC265A" w:rsidRPr="00487776" w:rsidRDefault="005C56DE" w:rsidP="00233FED">
      <w:pPr>
        <w:spacing w:line="360" w:lineRule="auto"/>
        <w:jc w:val="both"/>
        <w:rPr>
          <w:rFonts w:ascii="Arial" w:hAnsi="Arial" w:cs="Arial"/>
          <w:bCs/>
          <w:color w:val="000000" w:themeColor="text1"/>
        </w:rPr>
      </w:pPr>
      <w:r w:rsidRPr="00487776">
        <w:rPr>
          <w:rFonts w:ascii="Arial" w:eastAsia="Times New Roman" w:hAnsi="Arial" w:cs="Arial"/>
          <w:b/>
          <w:color w:val="000000" w:themeColor="text1"/>
          <w:lang w:eastAsia="en-IN"/>
        </w:rPr>
        <w:t xml:space="preserve">3. </w:t>
      </w:r>
      <w:r w:rsidR="00CC265A" w:rsidRPr="00487776">
        <w:rPr>
          <w:rFonts w:ascii="Arial" w:eastAsia="Times New Roman" w:hAnsi="Arial" w:cs="Arial"/>
          <w:b/>
          <w:color w:val="000000" w:themeColor="text1"/>
          <w:lang w:eastAsia="en-IN"/>
        </w:rPr>
        <w:t>Statistical analysis</w:t>
      </w:r>
    </w:p>
    <w:p w14:paraId="432C1BE6" w14:textId="25E536C1" w:rsidR="00CC265A" w:rsidRPr="00487776" w:rsidRDefault="00CC265A" w:rsidP="00233FED">
      <w:pPr>
        <w:spacing w:line="360" w:lineRule="auto"/>
        <w:jc w:val="both"/>
        <w:rPr>
          <w:rFonts w:ascii="Arial" w:hAnsi="Arial" w:cs="Arial"/>
          <w:bCs/>
          <w:color w:val="000000" w:themeColor="text1"/>
        </w:rPr>
      </w:pPr>
      <w:r w:rsidRPr="00487776">
        <w:rPr>
          <w:rFonts w:ascii="Arial" w:hAnsi="Arial" w:cs="Arial"/>
          <w:color w:val="000000" w:themeColor="text1"/>
        </w:rPr>
        <w:t>The experimental data were analysed statistically by following</w:t>
      </w:r>
      <w:r w:rsidRPr="00487776">
        <w:rPr>
          <w:rFonts w:ascii="Arial" w:eastAsia="Times New Roman" w:hAnsi="Arial" w:cs="Arial"/>
          <w:b/>
          <w:color w:val="000000" w:themeColor="text1"/>
          <w:lang w:eastAsia="en-IN"/>
        </w:rPr>
        <w:t xml:space="preserve"> </w:t>
      </w:r>
      <w:r w:rsidRPr="00487776">
        <w:rPr>
          <w:rFonts w:ascii="Arial" w:eastAsia="Times New Roman" w:hAnsi="Arial" w:cs="Arial"/>
          <w:bCs/>
          <w:color w:val="000000" w:themeColor="text1"/>
          <w:lang w:eastAsia="en-IN"/>
        </w:rPr>
        <w:t xml:space="preserve">the </w:t>
      </w:r>
      <w:r w:rsidRPr="00487776">
        <w:rPr>
          <w:rFonts w:ascii="Arial" w:hAnsi="Arial" w:cs="Arial"/>
          <w:bCs/>
          <w:color w:val="000000" w:themeColor="text1"/>
        </w:rPr>
        <w:t>s</w:t>
      </w:r>
      <w:r w:rsidRPr="00487776">
        <w:rPr>
          <w:rFonts w:ascii="Arial" w:hAnsi="Arial" w:cs="Arial"/>
          <w:color w:val="000000" w:themeColor="text1"/>
        </w:rPr>
        <w:t>tandard procedure outlined by Gomez and Gomez (1984). Significance</w:t>
      </w:r>
      <w:r w:rsidRPr="00487776">
        <w:rPr>
          <w:rFonts w:ascii="Arial" w:eastAsia="Times New Roman" w:hAnsi="Arial" w:cs="Arial"/>
          <w:b/>
          <w:color w:val="000000" w:themeColor="text1"/>
          <w:lang w:eastAsia="en-IN"/>
        </w:rPr>
        <w:t xml:space="preserve"> </w:t>
      </w:r>
      <w:r w:rsidRPr="00487776">
        <w:rPr>
          <w:rFonts w:ascii="Arial" w:hAnsi="Arial" w:cs="Arial"/>
          <w:color w:val="000000" w:themeColor="text1"/>
        </w:rPr>
        <w:t xml:space="preserve">was tested by comparing the “F” value at </w:t>
      </w:r>
      <w:r w:rsidR="00E1252A" w:rsidRPr="00487776">
        <w:rPr>
          <w:rFonts w:ascii="Arial" w:hAnsi="Arial" w:cs="Arial"/>
          <w:color w:val="000000" w:themeColor="text1"/>
        </w:rPr>
        <w:t xml:space="preserve">a </w:t>
      </w:r>
      <w:r w:rsidRPr="00487776">
        <w:rPr>
          <w:rFonts w:ascii="Arial" w:hAnsi="Arial" w:cs="Arial"/>
          <w:color w:val="000000" w:themeColor="text1"/>
        </w:rPr>
        <w:t>5 percent level of probability and</w:t>
      </w:r>
      <w:r w:rsidRPr="00487776">
        <w:rPr>
          <w:rFonts w:ascii="Arial" w:eastAsia="Times New Roman" w:hAnsi="Arial" w:cs="Arial"/>
          <w:b/>
          <w:color w:val="000000" w:themeColor="text1"/>
          <w:lang w:eastAsia="en-IN"/>
        </w:rPr>
        <w:t xml:space="preserve"> </w:t>
      </w:r>
      <w:r w:rsidRPr="00487776">
        <w:rPr>
          <w:rFonts w:ascii="Arial" w:hAnsi="Arial" w:cs="Arial"/>
          <w:color w:val="000000" w:themeColor="text1"/>
        </w:rPr>
        <w:t>wherever the “F” values were found a significant, critical difference (CD) was</w:t>
      </w:r>
      <w:r w:rsidRPr="00487776">
        <w:rPr>
          <w:rFonts w:ascii="Arial" w:eastAsia="Times New Roman" w:hAnsi="Arial" w:cs="Arial"/>
          <w:b/>
          <w:color w:val="000000" w:themeColor="text1"/>
          <w:lang w:eastAsia="en-IN"/>
        </w:rPr>
        <w:t xml:space="preserve"> </w:t>
      </w:r>
      <w:r w:rsidRPr="00487776">
        <w:rPr>
          <w:rFonts w:ascii="Arial" w:hAnsi="Arial" w:cs="Arial"/>
          <w:color w:val="000000" w:themeColor="text1"/>
        </w:rPr>
        <w:t xml:space="preserve">worked out at </w:t>
      </w:r>
      <w:r w:rsidR="00E1252A" w:rsidRPr="00487776">
        <w:rPr>
          <w:rFonts w:ascii="Arial" w:hAnsi="Arial" w:cs="Arial"/>
          <w:color w:val="000000" w:themeColor="text1"/>
        </w:rPr>
        <w:t xml:space="preserve">a </w:t>
      </w:r>
      <w:r w:rsidRPr="00487776">
        <w:rPr>
          <w:rFonts w:ascii="Arial" w:hAnsi="Arial" w:cs="Arial"/>
          <w:color w:val="000000" w:themeColor="text1"/>
        </w:rPr>
        <w:t>5 percent level of probability, and the values were furnished</w:t>
      </w:r>
      <w:r w:rsidRPr="00487776">
        <w:rPr>
          <w:rFonts w:ascii="Arial" w:hAnsi="Arial" w:cs="Arial"/>
          <w:bCs/>
          <w:color w:val="000000" w:themeColor="text1"/>
        </w:rPr>
        <w:t>.</w:t>
      </w:r>
    </w:p>
    <w:p w14:paraId="3F4D5E8B" w14:textId="06DE86E2" w:rsidR="006434EC" w:rsidRPr="00487776" w:rsidRDefault="00D66773" w:rsidP="00233FED">
      <w:pPr>
        <w:spacing w:line="360" w:lineRule="auto"/>
        <w:jc w:val="both"/>
        <w:rPr>
          <w:rFonts w:ascii="Arial" w:hAnsi="Arial" w:cs="Arial"/>
          <w:b/>
          <w:bCs/>
          <w:color w:val="000000" w:themeColor="text1"/>
        </w:rPr>
      </w:pPr>
      <w:r w:rsidRPr="00487776">
        <w:rPr>
          <w:rFonts w:ascii="Arial" w:hAnsi="Arial" w:cs="Arial"/>
          <w:b/>
          <w:bCs/>
          <w:color w:val="000000" w:themeColor="text1"/>
        </w:rPr>
        <w:t>4</w:t>
      </w:r>
      <w:r w:rsidR="006434EC" w:rsidRPr="00487776">
        <w:rPr>
          <w:rFonts w:ascii="Arial" w:hAnsi="Arial" w:cs="Arial"/>
          <w:b/>
          <w:bCs/>
          <w:color w:val="000000" w:themeColor="text1"/>
        </w:rPr>
        <w:t>. Results and Discussion</w:t>
      </w:r>
    </w:p>
    <w:p w14:paraId="31F8BB19" w14:textId="495DC333" w:rsidR="00757E9A" w:rsidRPr="00487776" w:rsidRDefault="00757E9A" w:rsidP="00233FED">
      <w:pPr>
        <w:spacing w:line="360" w:lineRule="auto"/>
        <w:jc w:val="both"/>
        <w:rPr>
          <w:rFonts w:ascii="Arial" w:hAnsi="Arial" w:cs="Arial"/>
          <w:color w:val="000000" w:themeColor="text1"/>
        </w:rPr>
      </w:pPr>
      <w:r w:rsidRPr="00487776">
        <w:rPr>
          <w:rFonts w:ascii="Arial" w:hAnsi="Arial" w:cs="Arial"/>
          <w:color w:val="000000" w:themeColor="text1"/>
        </w:rPr>
        <w:t xml:space="preserve">Rice (Oryza sativa L.), a member of the </w:t>
      </w:r>
      <w:proofErr w:type="spellStart"/>
      <w:r w:rsidRPr="00487776">
        <w:rPr>
          <w:rFonts w:ascii="Arial" w:hAnsi="Arial" w:cs="Arial"/>
          <w:color w:val="000000" w:themeColor="text1"/>
        </w:rPr>
        <w:t>Poaceae</w:t>
      </w:r>
      <w:proofErr w:type="spellEnd"/>
      <w:r w:rsidRPr="00487776">
        <w:rPr>
          <w:rFonts w:ascii="Arial" w:hAnsi="Arial" w:cs="Arial"/>
          <w:color w:val="000000" w:themeColor="text1"/>
        </w:rPr>
        <w:t xml:space="preserve"> family, exhibits resilience to various abiotic stresses, including flooding. In this study, the impact of flooding stress on the </w:t>
      </w:r>
      <w:proofErr w:type="spellStart"/>
      <w:r w:rsidRPr="00487776">
        <w:rPr>
          <w:rFonts w:ascii="Arial" w:hAnsi="Arial" w:cs="Arial"/>
          <w:color w:val="000000" w:themeColor="text1"/>
        </w:rPr>
        <w:t>Phourel-amubi</w:t>
      </w:r>
      <w:proofErr w:type="spellEnd"/>
      <w:r w:rsidRPr="00487776">
        <w:rPr>
          <w:rFonts w:ascii="Arial" w:hAnsi="Arial" w:cs="Arial"/>
          <w:color w:val="000000" w:themeColor="text1"/>
        </w:rPr>
        <w:t xml:space="preserve"> rice cultivar was assessed by evaluating morphological, physiological, and biochemical responses after subjecting the plants to flooding conditions for 5, 10, and 15 days at different growth stages.</w:t>
      </w:r>
    </w:p>
    <w:p w14:paraId="74A50036" w14:textId="1A855225" w:rsidR="00D67145" w:rsidRPr="00487776" w:rsidRDefault="00D66773" w:rsidP="00233FED">
      <w:pPr>
        <w:spacing w:line="360" w:lineRule="auto"/>
        <w:jc w:val="both"/>
        <w:rPr>
          <w:rFonts w:ascii="Arial" w:hAnsi="Arial" w:cs="Arial"/>
        </w:rPr>
      </w:pPr>
      <w:r w:rsidRPr="00487776">
        <w:rPr>
          <w:rFonts w:ascii="Arial" w:hAnsi="Arial" w:cs="Arial"/>
          <w:b/>
          <w:bCs/>
        </w:rPr>
        <w:t>4</w:t>
      </w:r>
      <w:r w:rsidR="006434EC" w:rsidRPr="00487776">
        <w:rPr>
          <w:rFonts w:ascii="Arial" w:hAnsi="Arial" w:cs="Arial"/>
          <w:b/>
          <w:bCs/>
        </w:rPr>
        <w:t>.1 Plant Growth and Morphology</w:t>
      </w:r>
    </w:p>
    <w:p w14:paraId="2EBD8B09" w14:textId="4F18F696" w:rsidR="007E2E9A" w:rsidRPr="007E279F" w:rsidRDefault="00166020" w:rsidP="00233FED">
      <w:pPr>
        <w:spacing w:line="360" w:lineRule="auto"/>
        <w:jc w:val="both"/>
        <w:rPr>
          <w:rFonts w:ascii="Arial" w:hAnsi="Arial" w:cs="Arial"/>
          <w:b/>
          <w:bCs/>
          <w:sz w:val="20"/>
          <w:szCs w:val="20"/>
        </w:rPr>
      </w:pPr>
      <w:r w:rsidRPr="007E279F">
        <w:rPr>
          <w:rFonts w:ascii="Arial" w:hAnsi="Arial" w:cs="Arial"/>
          <w:b/>
          <w:bCs/>
          <w:sz w:val="20"/>
          <w:szCs w:val="20"/>
        </w:rPr>
        <w:lastRenderedPageBreak/>
        <w:t>4.1.</w:t>
      </w:r>
      <w:r w:rsidR="007E2E9A" w:rsidRPr="007E279F">
        <w:rPr>
          <w:rFonts w:ascii="Arial" w:hAnsi="Arial" w:cs="Arial"/>
          <w:b/>
          <w:bCs/>
          <w:sz w:val="20"/>
          <w:szCs w:val="20"/>
        </w:rPr>
        <w:t>1. Plant Height</w:t>
      </w:r>
    </w:p>
    <w:p w14:paraId="5EA4D73A" w14:textId="10211588" w:rsidR="007E2E9A" w:rsidRPr="00487776" w:rsidRDefault="007E2E9A" w:rsidP="00233FED">
      <w:pPr>
        <w:spacing w:line="360" w:lineRule="auto"/>
        <w:jc w:val="both"/>
        <w:rPr>
          <w:rFonts w:ascii="Arial" w:hAnsi="Arial" w:cs="Arial"/>
        </w:rPr>
      </w:pPr>
      <w:r w:rsidRPr="00487776">
        <w:rPr>
          <w:rFonts w:ascii="Arial" w:hAnsi="Arial" w:cs="Arial"/>
        </w:rPr>
        <w:t xml:space="preserve">A significant reduction in plant height was observed under flooding stress, with a progressive decline across all treatment durations (5, 10, and 15 days) at 30, 60, and 90 days after transplantation (DAT) (Table 1). This reduction aligns with findings from previous studies (Huo et al., 1997; Jackson, 2008; Anandan et al., 2012; Wang et al., 2014), which attributed it to oxygen deficiency, anaerobic conditions, reduced root activity, and inhibited synthesis and transport of photosynthetic assimilates (Bedi et al., 2009; </w:t>
      </w:r>
      <w:proofErr w:type="spellStart"/>
      <w:r w:rsidRPr="00487776">
        <w:rPr>
          <w:rFonts w:ascii="Arial" w:hAnsi="Arial" w:cs="Arial"/>
        </w:rPr>
        <w:t>Promokhambut</w:t>
      </w:r>
      <w:proofErr w:type="spellEnd"/>
      <w:r w:rsidRPr="00487776">
        <w:rPr>
          <w:rFonts w:ascii="Arial" w:hAnsi="Arial" w:cs="Arial"/>
        </w:rPr>
        <w:t xml:space="preserve"> et al., 2010). Similar results were reported by Colmer and </w:t>
      </w:r>
      <w:proofErr w:type="spellStart"/>
      <w:r w:rsidRPr="00487776">
        <w:rPr>
          <w:rFonts w:ascii="Arial" w:hAnsi="Arial" w:cs="Arial"/>
        </w:rPr>
        <w:t>Voesenek</w:t>
      </w:r>
      <w:proofErr w:type="spellEnd"/>
      <w:r w:rsidRPr="00487776">
        <w:rPr>
          <w:rFonts w:ascii="Arial" w:hAnsi="Arial" w:cs="Arial"/>
        </w:rPr>
        <w:t xml:space="preserve"> (2009), who found that flooding restricts root elongation and decreases shoot height in rice. Additionally, Das et al. (2009) demonstrated that flood-induced hypoxia reduces plant height by altering hormonal balance, particularly gibberellins and ethylene levels.</w:t>
      </w:r>
    </w:p>
    <w:p w14:paraId="11BD5544" w14:textId="237CDCCB" w:rsidR="007E2E9A" w:rsidRPr="007E279F" w:rsidRDefault="00166020" w:rsidP="00233FED">
      <w:pPr>
        <w:spacing w:line="360" w:lineRule="auto"/>
        <w:jc w:val="both"/>
        <w:rPr>
          <w:rFonts w:ascii="Arial" w:hAnsi="Arial" w:cs="Arial"/>
          <w:b/>
          <w:bCs/>
          <w:sz w:val="20"/>
          <w:szCs w:val="20"/>
        </w:rPr>
      </w:pPr>
      <w:r w:rsidRPr="007E279F">
        <w:rPr>
          <w:rFonts w:ascii="Arial" w:hAnsi="Arial" w:cs="Arial"/>
          <w:b/>
          <w:bCs/>
          <w:sz w:val="20"/>
          <w:szCs w:val="20"/>
        </w:rPr>
        <w:t>4.1.</w:t>
      </w:r>
      <w:r w:rsidR="007E2E9A" w:rsidRPr="007E279F">
        <w:rPr>
          <w:rFonts w:ascii="Arial" w:hAnsi="Arial" w:cs="Arial"/>
          <w:b/>
          <w:bCs/>
          <w:sz w:val="20"/>
          <w:szCs w:val="20"/>
        </w:rPr>
        <w:t>2. Chlorophyll Content</w:t>
      </w:r>
    </w:p>
    <w:p w14:paraId="78B0C6DD" w14:textId="2365B117" w:rsidR="007E2E9A" w:rsidRPr="00487776" w:rsidRDefault="007E2E9A" w:rsidP="00233FED">
      <w:pPr>
        <w:spacing w:line="360" w:lineRule="auto"/>
        <w:jc w:val="both"/>
        <w:rPr>
          <w:rFonts w:ascii="Arial" w:hAnsi="Arial" w:cs="Arial"/>
        </w:rPr>
      </w:pPr>
      <w:r w:rsidRPr="00487776">
        <w:rPr>
          <w:rFonts w:ascii="Arial" w:hAnsi="Arial" w:cs="Arial"/>
        </w:rPr>
        <w:t>Chlorophyll content was highest under control conditions and decreased with increasing flood duration, with the lowest content recorded in plants subjected to 15 days of flooding (Table 1). Similar reductions in chlorophyll content due to submergence stress have been reported in rice (Deka and Baruah, 2000; Adak and Das Gupta, 2000), wheat (Huang et al., 1994; Collaku and Harrison, 2002), and maize (Asha and Pandey, 2007). The decline in chlorophyll content under hypoxic conditions may be attributed to reduced synthesis and increased degradation of chlorophyll pigments (Ashraf, 2003). The extent and rate of chlorophyll degradation are closely associated with the severity of flooding stress (Yan et al., 1996). Recent studies by Fukao et al. (2019) and Ye et al. (2021) confirmed that chlorophyll degradation under submergence stress is regulated by oxidative stress and reactive oxygen species accumulation.</w:t>
      </w:r>
    </w:p>
    <w:p w14:paraId="30C9FB8E" w14:textId="3E363474" w:rsidR="007E2E9A" w:rsidRPr="007E279F" w:rsidRDefault="00166020" w:rsidP="00233FED">
      <w:pPr>
        <w:spacing w:line="360" w:lineRule="auto"/>
        <w:jc w:val="both"/>
        <w:rPr>
          <w:rFonts w:ascii="Arial" w:hAnsi="Arial" w:cs="Arial"/>
          <w:b/>
          <w:bCs/>
          <w:sz w:val="20"/>
          <w:szCs w:val="20"/>
        </w:rPr>
      </w:pPr>
      <w:r w:rsidRPr="007E279F">
        <w:rPr>
          <w:rFonts w:ascii="Arial" w:hAnsi="Arial" w:cs="Arial"/>
          <w:b/>
          <w:bCs/>
          <w:sz w:val="20"/>
          <w:szCs w:val="20"/>
        </w:rPr>
        <w:t>4.1.</w:t>
      </w:r>
      <w:r w:rsidR="007E2E9A" w:rsidRPr="007E279F">
        <w:rPr>
          <w:rFonts w:ascii="Arial" w:hAnsi="Arial" w:cs="Arial"/>
          <w:b/>
          <w:bCs/>
          <w:sz w:val="20"/>
          <w:szCs w:val="20"/>
        </w:rPr>
        <w:t>3. Total Soluble Sugar Content</w:t>
      </w:r>
    </w:p>
    <w:p w14:paraId="4FCFBE1B" w14:textId="0F478C89" w:rsidR="007E2E9A" w:rsidRPr="00487776" w:rsidRDefault="007E2E9A" w:rsidP="00233FED">
      <w:pPr>
        <w:spacing w:line="360" w:lineRule="auto"/>
        <w:jc w:val="both"/>
        <w:rPr>
          <w:rFonts w:ascii="Arial" w:hAnsi="Arial" w:cs="Arial"/>
        </w:rPr>
      </w:pPr>
      <w:r w:rsidRPr="00487776">
        <w:rPr>
          <w:rFonts w:ascii="Arial" w:hAnsi="Arial" w:cs="Arial"/>
        </w:rPr>
        <w:t xml:space="preserve">A decreasing trend in total soluble sugar content was observed with increasing flood duration, with the lowest values recorded under the 15-day flooding treatment (Table 1). This decline may result from an increased demand for carbohydrates to sustain cell division, elongation, and overall plant growth under hypoxic conditions (Setter and Laureles, 1996; </w:t>
      </w:r>
      <w:proofErr w:type="spellStart"/>
      <w:r w:rsidRPr="00487776">
        <w:rPr>
          <w:rFonts w:ascii="Arial" w:hAnsi="Arial" w:cs="Arial"/>
        </w:rPr>
        <w:t>Voesenek</w:t>
      </w:r>
      <w:proofErr w:type="spellEnd"/>
      <w:r w:rsidRPr="00487776">
        <w:rPr>
          <w:rFonts w:ascii="Arial" w:hAnsi="Arial" w:cs="Arial"/>
        </w:rPr>
        <w:t xml:space="preserve"> et al., 2006). Similar findings were reported by Yamada et al. (1995), who observed carbohydrate depletion in rice leaves under submergence stress. Kato et al. (2014) and Bailey-Serres et al. (2020) further noted that flooding disrupts carbohydrate metabolism, leading to altered sucrose and starch content, negatively impacting plant energy reserves.</w:t>
      </w:r>
    </w:p>
    <w:p w14:paraId="3FE5173E" w14:textId="0D3B18B4" w:rsidR="007E2E9A" w:rsidRPr="007E279F" w:rsidRDefault="00166020" w:rsidP="00233FED">
      <w:pPr>
        <w:spacing w:line="360" w:lineRule="auto"/>
        <w:jc w:val="both"/>
        <w:rPr>
          <w:rFonts w:ascii="Arial" w:hAnsi="Arial" w:cs="Arial"/>
          <w:b/>
          <w:bCs/>
          <w:sz w:val="20"/>
          <w:szCs w:val="20"/>
        </w:rPr>
      </w:pPr>
      <w:r w:rsidRPr="007E279F">
        <w:rPr>
          <w:rFonts w:ascii="Arial" w:hAnsi="Arial" w:cs="Arial"/>
          <w:b/>
          <w:bCs/>
          <w:sz w:val="20"/>
          <w:szCs w:val="20"/>
        </w:rPr>
        <w:t>4.1.</w:t>
      </w:r>
      <w:r w:rsidR="007E2E9A" w:rsidRPr="007E279F">
        <w:rPr>
          <w:rFonts w:ascii="Arial" w:hAnsi="Arial" w:cs="Arial"/>
          <w:b/>
          <w:bCs/>
          <w:sz w:val="20"/>
          <w:szCs w:val="20"/>
        </w:rPr>
        <w:t>4. Total Soluble Protein Content</w:t>
      </w:r>
    </w:p>
    <w:p w14:paraId="2F1EBE11" w14:textId="2AF7D79C" w:rsidR="007E2E9A" w:rsidRPr="00487776" w:rsidRDefault="007E2E9A" w:rsidP="00233FED">
      <w:pPr>
        <w:spacing w:line="360" w:lineRule="auto"/>
        <w:jc w:val="both"/>
        <w:rPr>
          <w:rFonts w:ascii="Arial" w:hAnsi="Arial" w:cs="Arial"/>
        </w:rPr>
      </w:pPr>
      <w:r w:rsidRPr="00487776">
        <w:rPr>
          <w:rFonts w:ascii="Arial" w:hAnsi="Arial" w:cs="Arial"/>
        </w:rPr>
        <w:lastRenderedPageBreak/>
        <w:t>Flooding stress led to a significant decline in total soluble protein content, with the lowest values recorded under the 15-day treatment (Table 1). This reduction may be attributed to enhanced proteolytic activity and the reduced incorporation of free amino acids into proteins in aging tissues. Furthermore, flooding conditions often induce the expression of anaerobic proteins, many of which are involved in carbohydrate metabolism and alcoholic fermentation (Sarkar et al., 2006). Induction of key cytosolic enzymes such as alcohol dehydrogenase, aldolase, glucose phosphate isomerase, sucrose synthase, pyruvate decarboxylase, and glyceraldehyde phosphate dehydrogenase has been documented in rice and other crops under flooding stress (Miro and Ismail, 2013). Studies by Loreti et al. (2016) and Xie et al. (2022) further support these findings, highlighting how flooding-induced hypoxia triggers anaerobic metabolism in plants.</w:t>
      </w:r>
    </w:p>
    <w:p w14:paraId="27EE5845" w14:textId="00A25E4D" w:rsidR="007E2E9A" w:rsidRPr="007E279F" w:rsidRDefault="00166020" w:rsidP="00233FED">
      <w:pPr>
        <w:spacing w:line="360" w:lineRule="auto"/>
        <w:jc w:val="both"/>
        <w:rPr>
          <w:rFonts w:ascii="Arial" w:hAnsi="Arial" w:cs="Arial"/>
          <w:b/>
          <w:bCs/>
          <w:sz w:val="20"/>
          <w:szCs w:val="20"/>
        </w:rPr>
      </w:pPr>
      <w:r w:rsidRPr="007E279F">
        <w:rPr>
          <w:rFonts w:ascii="Arial" w:hAnsi="Arial" w:cs="Arial"/>
          <w:b/>
          <w:bCs/>
          <w:sz w:val="20"/>
          <w:szCs w:val="20"/>
        </w:rPr>
        <w:t>4.1.</w:t>
      </w:r>
      <w:r w:rsidR="007E2E9A" w:rsidRPr="007E279F">
        <w:rPr>
          <w:rFonts w:ascii="Arial" w:hAnsi="Arial" w:cs="Arial"/>
          <w:b/>
          <w:bCs/>
          <w:sz w:val="20"/>
          <w:szCs w:val="20"/>
        </w:rPr>
        <w:t>5. Total Phenolic Content</w:t>
      </w:r>
    </w:p>
    <w:p w14:paraId="5BBD6AA0" w14:textId="777D5128" w:rsidR="007E2E9A" w:rsidRPr="00487776" w:rsidRDefault="007E2E9A" w:rsidP="00233FED">
      <w:pPr>
        <w:spacing w:line="360" w:lineRule="auto"/>
        <w:jc w:val="both"/>
        <w:rPr>
          <w:rFonts w:ascii="Arial" w:hAnsi="Arial" w:cs="Arial"/>
        </w:rPr>
      </w:pPr>
      <w:r w:rsidRPr="00487776">
        <w:rPr>
          <w:rFonts w:ascii="Arial" w:hAnsi="Arial" w:cs="Arial"/>
        </w:rPr>
        <w:t xml:space="preserve">An increase in phenolic compound accumulation was observed with prolonged flooding, with the highest levels recorded in the 15-day submergence treatment (Table 1). This increase may be attributed to incomplete oxidation of respiratory substrates under anaerobic conditions, as reported in previous studies (Mukherjee and Mondal, 1995). The accumulation of phenolic compounds under stress conditions suggests their role in mitigating oxidative damage and enhancing plant </w:t>
      </w:r>
      <w:proofErr w:type="spellStart"/>
      <w:r w:rsidRPr="00487776">
        <w:rPr>
          <w:rFonts w:ascii="Arial" w:hAnsi="Arial" w:cs="Arial"/>
        </w:rPr>
        <w:t>defense</w:t>
      </w:r>
      <w:proofErr w:type="spellEnd"/>
      <w:r w:rsidRPr="00487776">
        <w:rPr>
          <w:rFonts w:ascii="Arial" w:hAnsi="Arial" w:cs="Arial"/>
        </w:rPr>
        <w:t xml:space="preserve"> mechanisms. Recent research by Jaiswal et al. (2021) and Nghi et al. (2023) indicates that phenolic accumulation is linked to antioxidant </w:t>
      </w:r>
      <w:proofErr w:type="spellStart"/>
      <w:r w:rsidRPr="00487776">
        <w:rPr>
          <w:rFonts w:ascii="Arial" w:hAnsi="Arial" w:cs="Arial"/>
        </w:rPr>
        <w:t>defense</w:t>
      </w:r>
      <w:proofErr w:type="spellEnd"/>
      <w:r w:rsidRPr="00487776">
        <w:rPr>
          <w:rFonts w:ascii="Arial" w:hAnsi="Arial" w:cs="Arial"/>
        </w:rPr>
        <w:t xml:space="preserve"> activation under flooding conditions.</w:t>
      </w:r>
    </w:p>
    <w:p w14:paraId="66D59442" w14:textId="7C3D121B" w:rsidR="007E2E9A" w:rsidRPr="007E279F" w:rsidRDefault="00166020" w:rsidP="00233FED">
      <w:pPr>
        <w:spacing w:line="360" w:lineRule="auto"/>
        <w:jc w:val="both"/>
        <w:rPr>
          <w:rFonts w:ascii="Arial" w:hAnsi="Arial" w:cs="Arial"/>
          <w:b/>
          <w:bCs/>
          <w:sz w:val="20"/>
          <w:szCs w:val="20"/>
        </w:rPr>
      </w:pPr>
      <w:r w:rsidRPr="007E279F">
        <w:rPr>
          <w:rFonts w:ascii="Arial" w:hAnsi="Arial" w:cs="Arial"/>
          <w:b/>
          <w:bCs/>
          <w:sz w:val="20"/>
          <w:szCs w:val="20"/>
        </w:rPr>
        <w:t>4.1.</w:t>
      </w:r>
      <w:r w:rsidR="007E2E9A" w:rsidRPr="007E279F">
        <w:rPr>
          <w:rFonts w:ascii="Arial" w:hAnsi="Arial" w:cs="Arial"/>
          <w:b/>
          <w:bCs/>
          <w:sz w:val="20"/>
          <w:szCs w:val="20"/>
        </w:rPr>
        <w:t>6. Total Free Amino Acid Content</w:t>
      </w:r>
    </w:p>
    <w:p w14:paraId="2E0F96F5" w14:textId="0490CFA5" w:rsidR="007E2E9A" w:rsidRPr="00487776" w:rsidRDefault="007E2E9A" w:rsidP="00233FED">
      <w:pPr>
        <w:spacing w:line="360" w:lineRule="auto"/>
        <w:jc w:val="both"/>
        <w:rPr>
          <w:rFonts w:ascii="Arial" w:hAnsi="Arial" w:cs="Arial"/>
        </w:rPr>
      </w:pPr>
      <w:r w:rsidRPr="00487776">
        <w:rPr>
          <w:rFonts w:ascii="Arial" w:hAnsi="Arial" w:cs="Arial"/>
        </w:rPr>
        <w:t>Flooding stress resulted in a progressive increase in total free amino acid content, with the highest accumulation observed in the 15-day flooding treatment (Table 1). This increase may be due to the rapid degradation of stored proteins (Perata, 1993) and enhanced proteolytic activity as part of the plant’s stress response (</w:t>
      </w:r>
      <w:proofErr w:type="spellStart"/>
      <w:r w:rsidRPr="00487776">
        <w:rPr>
          <w:rFonts w:ascii="Arial" w:hAnsi="Arial" w:cs="Arial"/>
        </w:rPr>
        <w:t>Kamachi</w:t>
      </w:r>
      <w:proofErr w:type="spellEnd"/>
      <w:r w:rsidRPr="00487776">
        <w:rPr>
          <w:rFonts w:ascii="Arial" w:hAnsi="Arial" w:cs="Arial"/>
        </w:rPr>
        <w:t xml:space="preserve"> et al., 1991). The accumulation of free amino acids under flooding conditions highlights their role as </w:t>
      </w:r>
      <w:proofErr w:type="spellStart"/>
      <w:r w:rsidRPr="00487776">
        <w:rPr>
          <w:rFonts w:ascii="Arial" w:hAnsi="Arial" w:cs="Arial"/>
        </w:rPr>
        <w:t>osmoprotectants</w:t>
      </w:r>
      <w:proofErr w:type="spellEnd"/>
      <w:r w:rsidRPr="00487776">
        <w:rPr>
          <w:rFonts w:ascii="Arial" w:hAnsi="Arial" w:cs="Arial"/>
        </w:rPr>
        <w:t xml:space="preserve"> and metabolic intermediates, contributing to stress tolerance. Studies by Bailey-Serres and Colmer (2014) and Yang et al. (2020) also confirm that amino acid accumulation helps in osmotic balance under hypoxia.</w:t>
      </w:r>
    </w:p>
    <w:p w14:paraId="6A13EDF9" w14:textId="36E5706B" w:rsidR="007E2E9A" w:rsidRPr="007E279F" w:rsidRDefault="00166020" w:rsidP="00233FED">
      <w:pPr>
        <w:spacing w:line="360" w:lineRule="auto"/>
        <w:jc w:val="both"/>
        <w:rPr>
          <w:rFonts w:ascii="Arial" w:hAnsi="Arial" w:cs="Arial"/>
          <w:b/>
          <w:bCs/>
          <w:sz w:val="20"/>
          <w:szCs w:val="20"/>
        </w:rPr>
      </w:pPr>
      <w:r w:rsidRPr="007E279F">
        <w:rPr>
          <w:rFonts w:ascii="Arial" w:hAnsi="Arial" w:cs="Arial"/>
          <w:b/>
          <w:bCs/>
          <w:sz w:val="20"/>
          <w:szCs w:val="20"/>
        </w:rPr>
        <w:t>4.1.</w:t>
      </w:r>
      <w:r w:rsidR="007E2E9A" w:rsidRPr="007E279F">
        <w:rPr>
          <w:rFonts w:ascii="Arial" w:hAnsi="Arial" w:cs="Arial"/>
          <w:b/>
          <w:bCs/>
          <w:sz w:val="20"/>
          <w:szCs w:val="20"/>
        </w:rPr>
        <w:t>7. Total Proline Content</w:t>
      </w:r>
    </w:p>
    <w:p w14:paraId="4198C75E" w14:textId="55A64DF6" w:rsidR="007E2E9A" w:rsidRPr="00487776" w:rsidRDefault="007E2E9A" w:rsidP="00233FED">
      <w:pPr>
        <w:spacing w:line="360" w:lineRule="auto"/>
        <w:jc w:val="both"/>
        <w:rPr>
          <w:rFonts w:ascii="Arial" w:hAnsi="Arial" w:cs="Arial"/>
        </w:rPr>
      </w:pPr>
      <w:r w:rsidRPr="00487776">
        <w:rPr>
          <w:rFonts w:ascii="Arial" w:hAnsi="Arial" w:cs="Arial"/>
        </w:rPr>
        <w:t xml:space="preserve">Proline accumulation increased significantly across all flooding treatments, with the highest levels recorded in plants subjected to 15 days of flooding (Table 1). Proline plays a critical role in </w:t>
      </w:r>
      <w:proofErr w:type="spellStart"/>
      <w:r w:rsidRPr="00487776">
        <w:rPr>
          <w:rFonts w:ascii="Arial" w:hAnsi="Arial" w:cs="Arial"/>
        </w:rPr>
        <w:t>osmoprotection</w:t>
      </w:r>
      <w:proofErr w:type="spellEnd"/>
      <w:r w:rsidRPr="00487776">
        <w:rPr>
          <w:rFonts w:ascii="Arial" w:hAnsi="Arial" w:cs="Arial"/>
        </w:rPr>
        <w:t xml:space="preserve">, stabilizing cellular structures, protecting membranes, proteins, and nucleic acids, and scavenging reactive oxygen species (Hayat et al., 2012; </w:t>
      </w:r>
      <w:proofErr w:type="spellStart"/>
      <w:r w:rsidRPr="00487776">
        <w:rPr>
          <w:rFonts w:ascii="Arial" w:hAnsi="Arial" w:cs="Arial"/>
        </w:rPr>
        <w:t>Mohammadrezakhani</w:t>
      </w:r>
      <w:proofErr w:type="spellEnd"/>
      <w:r w:rsidRPr="00487776">
        <w:rPr>
          <w:rFonts w:ascii="Arial" w:hAnsi="Arial" w:cs="Arial"/>
        </w:rPr>
        <w:t xml:space="preserve"> et </w:t>
      </w:r>
      <w:r w:rsidRPr="00487776">
        <w:rPr>
          <w:rFonts w:ascii="Arial" w:hAnsi="Arial" w:cs="Arial"/>
        </w:rPr>
        <w:lastRenderedPageBreak/>
        <w:t>al., 2019). Additionally, proline serves as a source of nitrogen, carbon, and energy under stress conditions, facilitating plant adaptation (Matysik et al., 2002). Studies by Hossain et al. (2021) and Barickman et al. (2023) support these findings, highlighting the role of proline in enhancing rice stress tolerance.</w:t>
      </w:r>
    </w:p>
    <w:p w14:paraId="37CAD3CA" w14:textId="29C5A83C" w:rsidR="007E2E9A" w:rsidRPr="007E279F" w:rsidRDefault="00166020" w:rsidP="00233FED">
      <w:pPr>
        <w:spacing w:line="360" w:lineRule="auto"/>
        <w:jc w:val="both"/>
        <w:rPr>
          <w:rFonts w:ascii="Arial" w:hAnsi="Arial" w:cs="Arial"/>
          <w:b/>
          <w:bCs/>
          <w:sz w:val="20"/>
          <w:szCs w:val="20"/>
        </w:rPr>
      </w:pPr>
      <w:r w:rsidRPr="007E279F">
        <w:rPr>
          <w:rFonts w:ascii="Arial" w:hAnsi="Arial" w:cs="Arial"/>
          <w:b/>
          <w:bCs/>
          <w:sz w:val="20"/>
          <w:szCs w:val="20"/>
        </w:rPr>
        <w:t>4.1.</w:t>
      </w:r>
      <w:r w:rsidR="007E2E9A" w:rsidRPr="007E279F">
        <w:rPr>
          <w:rFonts w:ascii="Arial" w:hAnsi="Arial" w:cs="Arial"/>
          <w:b/>
          <w:bCs/>
          <w:sz w:val="20"/>
          <w:szCs w:val="20"/>
        </w:rPr>
        <w:t>8. Panicle Number, Number of Filled Grains per Panicle, and Thousand-Grain Weight</w:t>
      </w:r>
    </w:p>
    <w:p w14:paraId="5A3500CF" w14:textId="16CA652D" w:rsidR="007E2E9A" w:rsidRPr="00487776" w:rsidRDefault="007E2E9A" w:rsidP="00233FED">
      <w:pPr>
        <w:spacing w:line="360" w:lineRule="auto"/>
        <w:jc w:val="both"/>
        <w:rPr>
          <w:rFonts w:ascii="Arial" w:hAnsi="Arial" w:cs="Arial"/>
        </w:rPr>
      </w:pPr>
      <w:r w:rsidRPr="00487776">
        <w:rPr>
          <w:rFonts w:ascii="Arial" w:hAnsi="Arial" w:cs="Arial"/>
        </w:rPr>
        <w:t xml:space="preserve">Flooding stress resulted in a reduction in panicle number per hill, number of filled grains per panicle, and 1000-grain weight (Table 2). These reductions align with previous reports (Chaudhury and Das Gupta, 1985; </w:t>
      </w:r>
      <w:proofErr w:type="spellStart"/>
      <w:r w:rsidRPr="00487776">
        <w:rPr>
          <w:rFonts w:ascii="Arial" w:hAnsi="Arial" w:cs="Arial"/>
        </w:rPr>
        <w:t>Voesenek</w:t>
      </w:r>
      <w:proofErr w:type="spellEnd"/>
      <w:r w:rsidRPr="00487776">
        <w:rPr>
          <w:rFonts w:ascii="Arial" w:hAnsi="Arial" w:cs="Arial"/>
        </w:rPr>
        <w:t xml:space="preserve"> and Bailey-Serres, 2015; Sone et al., 2012; Setter et al., 1989). Hossain et al. (2013) and Yamauchi et al. (2020) found that flooding reduces spikelet fertility and grain filling by restricting assimilate translocation.</w:t>
      </w:r>
    </w:p>
    <w:p w14:paraId="71EED1B7" w14:textId="73E45B09" w:rsidR="007E2E9A" w:rsidRPr="007E279F" w:rsidRDefault="00166020" w:rsidP="00233FED">
      <w:pPr>
        <w:spacing w:line="360" w:lineRule="auto"/>
        <w:jc w:val="both"/>
        <w:rPr>
          <w:rFonts w:ascii="Arial" w:hAnsi="Arial" w:cs="Arial"/>
          <w:b/>
          <w:bCs/>
          <w:sz w:val="20"/>
          <w:szCs w:val="20"/>
        </w:rPr>
      </w:pPr>
      <w:r w:rsidRPr="007E279F">
        <w:rPr>
          <w:rFonts w:ascii="Arial" w:hAnsi="Arial" w:cs="Arial"/>
          <w:b/>
          <w:bCs/>
          <w:sz w:val="20"/>
          <w:szCs w:val="20"/>
        </w:rPr>
        <w:t>4.1.</w:t>
      </w:r>
      <w:r w:rsidR="007E2E9A" w:rsidRPr="007E279F">
        <w:rPr>
          <w:rFonts w:ascii="Arial" w:hAnsi="Arial" w:cs="Arial"/>
          <w:b/>
          <w:bCs/>
          <w:sz w:val="20"/>
          <w:szCs w:val="20"/>
        </w:rPr>
        <w:t>9. Grain Yield per Hill</w:t>
      </w:r>
    </w:p>
    <w:p w14:paraId="7D99F159" w14:textId="77777777" w:rsidR="00BF6264" w:rsidRPr="00487776" w:rsidRDefault="007E2E9A" w:rsidP="00233FED">
      <w:pPr>
        <w:spacing w:line="360" w:lineRule="auto"/>
        <w:jc w:val="both"/>
        <w:rPr>
          <w:rFonts w:ascii="Arial" w:hAnsi="Arial" w:cs="Arial"/>
        </w:rPr>
      </w:pPr>
      <w:r w:rsidRPr="00487776">
        <w:rPr>
          <w:rFonts w:ascii="Arial" w:hAnsi="Arial" w:cs="Arial"/>
        </w:rPr>
        <w:t>Flooding stress significantly affected grain yield per hill, with a progressive reduction observed as submergence duration increased (Table 2). The lowest yield was recorded under the 15-day flooding treatment. These findings agree with previous studies (</w:t>
      </w:r>
      <w:proofErr w:type="spellStart"/>
      <w:r w:rsidRPr="00487776">
        <w:rPr>
          <w:rFonts w:ascii="Arial" w:hAnsi="Arial" w:cs="Arial"/>
        </w:rPr>
        <w:t>Voesenek</w:t>
      </w:r>
      <w:proofErr w:type="spellEnd"/>
      <w:r w:rsidRPr="00487776">
        <w:rPr>
          <w:rFonts w:ascii="Arial" w:hAnsi="Arial" w:cs="Arial"/>
        </w:rPr>
        <w:t xml:space="preserve"> and Bailey-Serres, 2015; Grattan et al., 2002; Singh and Bhattacharjee, 1988; Chaudhury and Das Gupta, 1985). Luo et al. (2019) and Zhao et al. (2023) further reported that flooding stress limits grain yield by inhibiting carbohydrate partitioning, reducing grain filling, and decreasing spikelet fertility.</w:t>
      </w:r>
    </w:p>
    <w:p w14:paraId="44571C9A" w14:textId="57F8C492" w:rsidR="00CC265A" w:rsidRPr="00487776" w:rsidRDefault="00CC265A" w:rsidP="00233FED">
      <w:pPr>
        <w:spacing w:line="360" w:lineRule="auto"/>
        <w:jc w:val="both"/>
        <w:rPr>
          <w:rFonts w:ascii="Arial" w:hAnsi="Arial" w:cs="Arial"/>
        </w:rPr>
      </w:pPr>
      <w:r w:rsidRPr="00487776">
        <w:rPr>
          <w:rFonts w:ascii="Arial" w:hAnsi="Arial" w:cs="Arial"/>
          <w:b/>
          <w:color w:val="000000" w:themeColor="text1"/>
        </w:rPr>
        <w:t xml:space="preserve">Table 1: Effect of flood stress on </w:t>
      </w:r>
      <w:r w:rsidR="003157C0" w:rsidRPr="00487776">
        <w:rPr>
          <w:rFonts w:ascii="Arial" w:hAnsi="Arial" w:cs="Arial"/>
          <w:b/>
          <w:color w:val="000000" w:themeColor="text1"/>
        </w:rPr>
        <w:t>morpho-physiological and biochemical parameters of</w:t>
      </w:r>
      <w:r w:rsidRPr="00487776">
        <w:rPr>
          <w:rFonts w:ascii="Arial" w:hAnsi="Arial" w:cs="Arial"/>
          <w:b/>
          <w:bCs/>
          <w:color w:val="000000" w:themeColor="text1"/>
        </w:rPr>
        <w:t xml:space="preserve"> </w:t>
      </w:r>
      <w:proofErr w:type="spellStart"/>
      <w:r w:rsidRPr="00487776">
        <w:rPr>
          <w:rFonts w:ascii="Arial" w:hAnsi="Arial" w:cs="Arial"/>
          <w:b/>
          <w:bCs/>
          <w:color w:val="000000" w:themeColor="text1"/>
        </w:rPr>
        <w:t>Phourel-amubi</w:t>
      </w:r>
      <w:proofErr w:type="spellEnd"/>
      <w:r w:rsidRPr="00487776">
        <w:rPr>
          <w:rFonts w:ascii="Arial" w:hAnsi="Arial" w:cs="Arial"/>
          <w:b/>
          <w:bCs/>
          <w:color w:val="000000" w:themeColor="text1"/>
        </w:rPr>
        <w:t xml:space="preserve"> rice cultivar with 30, 60, and 90 days after transplant (DAT).</w:t>
      </w:r>
    </w:p>
    <w:tbl>
      <w:tblPr>
        <w:tblStyle w:val="TableGrid"/>
        <w:tblW w:w="9072" w:type="dxa"/>
        <w:tblInd w:w="108" w:type="dxa"/>
        <w:tblLayout w:type="fixed"/>
        <w:tblLook w:val="04A0" w:firstRow="1" w:lastRow="0" w:firstColumn="1" w:lastColumn="0" w:noHBand="0" w:noVBand="1"/>
      </w:tblPr>
      <w:tblGrid>
        <w:gridCol w:w="1701"/>
        <w:gridCol w:w="709"/>
        <w:gridCol w:w="992"/>
        <w:gridCol w:w="993"/>
        <w:gridCol w:w="992"/>
        <w:gridCol w:w="992"/>
        <w:gridCol w:w="992"/>
        <w:gridCol w:w="851"/>
        <w:gridCol w:w="850"/>
      </w:tblGrid>
      <w:tr w:rsidR="0092051F" w:rsidRPr="00487776" w14:paraId="36A8E8B8" w14:textId="77777777" w:rsidTr="003901B7">
        <w:trPr>
          <w:trHeight w:val="416"/>
        </w:trPr>
        <w:tc>
          <w:tcPr>
            <w:tcW w:w="1701" w:type="dxa"/>
          </w:tcPr>
          <w:p w14:paraId="5CF12540" w14:textId="77777777" w:rsidR="00CC265A" w:rsidRPr="00487776" w:rsidRDefault="00CC265A" w:rsidP="00233FED">
            <w:pPr>
              <w:spacing w:line="360" w:lineRule="auto"/>
              <w:jc w:val="both"/>
              <w:rPr>
                <w:rFonts w:ascii="Arial" w:hAnsi="Arial" w:cs="Arial"/>
                <w:b/>
                <w:color w:val="000000" w:themeColor="text1"/>
              </w:rPr>
            </w:pPr>
            <w:r w:rsidRPr="00487776">
              <w:rPr>
                <w:rFonts w:ascii="Arial" w:hAnsi="Arial" w:cs="Arial"/>
                <w:b/>
                <w:color w:val="000000" w:themeColor="text1"/>
              </w:rPr>
              <w:t>Parameters</w:t>
            </w:r>
          </w:p>
          <w:p w14:paraId="2A2EE8E9" w14:textId="77777777" w:rsidR="00CC265A" w:rsidRPr="00487776" w:rsidRDefault="00CC265A" w:rsidP="00233FED">
            <w:pPr>
              <w:spacing w:line="360" w:lineRule="auto"/>
              <w:jc w:val="both"/>
              <w:rPr>
                <w:rFonts w:ascii="Arial" w:hAnsi="Arial" w:cs="Arial"/>
                <w:b/>
                <w:color w:val="000000" w:themeColor="text1"/>
              </w:rPr>
            </w:pPr>
          </w:p>
        </w:tc>
        <w:tc>
          <w:tcPr>
            <w:tcW w:w="709" w:type="dxa"/>
          </w:tcPr>
          <w:p w14:paraId="64A9F242"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DAT</w:t>
            </w:r>
          </w:p>
          <w:p w14:paraId="66BFAFFB" w14:textId="77777777" w:rsidR="00CC265A" w:rsidRPr="00487776" w:rsidRDefault="00CC265A" w:rsidP="00233FED">
            <w:pPr>
              <w:spacing w:line="360" w:lineRule="auto"/>
              <w:jc w:val="both"/>
              <w:rPr>
                <w:rFonts w:ascii="Arial" w:hAnsi="Arial" w:cs="Arial"/>
                <w:b/>
                <w:color w:val="000000" w:themeColor="text1"/>
              </w:rPr>
            </w:pPr>
          </w:p>
        </w:tc>
        <w:tc>
          <w:tcPr>
            <w:tcW w:w="992" w:type="dxa"/>
          </w:tcPr>
          <w:p w14:paraId="62CF2080" w14:textId="0AB18E25" w:rsidR="00CC265A" w:rsidRPr="00487776" w:rsidRDefault="003157C0" w:rsidP="00233FED">
            <w:pPr>
              <w:spacing w:line="360" w:lineRule="auto"/>
              <w:jc w:val="both"/>
              <w:rPr>
                <w:rFonts w:ascii="Arial" w:hAnsi="Arial" w:cs="Arial"/>
                <w:b/>
                <w:color w:val="000000" w:themeColor="text1"/>
              </w:rPr>
            </w:pPr>
            <w:r w:rsidRPr="00487776">
              <w:rPr>
                <w:rFonts w:ascii="Arial" w:hAnsi="Arial" w:cs="Arial"/>
                <w:b/>
                <w:color w:val="000000" w:themeColor="text1"/>
              </w:rPr>
              <w:t>Control (</w:t>
            </w:r>
            <w:r w:rsidR="00CC265A" w:rsidRPr="00487776">
              <w:rPr>
                <w:rFonts w:ascii="Arial" w:hAnsi="Arial" w:cs="Arial"/>
                <w:b/>
                <w:color w:val="000000" w:themeColor="text1"/>
              </w:rPr>
              <w:t>CON</w:t>
            </w:r>
            <w:r w:rsidRPr="00487776">
              <w:rPr>
                <w:rFonts w:ascii="Arial" w:hAnsi="Arial" w:cs="Arial"/>
                <w:b/>
                <w:color w:val="000000" w:themeColor="text1"/>
              </w:rPr>
              <w:t>)</w:t>
            </w:r>
          </w:p>
        </w:tc>
        <w:tc>
          <w:tcPr>
            <w:tcW w:w="993" w:type="dxa"/>
          </w:tcPr>
          <w:p w14:paraId="3F1EB30E" w14:textId="00AEA7BF" w:rsidR="00CC265A" w:rsidRPr="00487776" w:rsidRDefault="00CC265A" w:rsidP="00233FED">
            <w:pPr>
              <w:spacing w:line="360" w:lineRule="auto"/>
              <w:jc w:val="both"/>
              <w:rPr>
                <w:rFonts w:ascii="Arial" w:hAnsi="Arial" w:cs="Arial"/>
                <w:b/>
                <w:color w:val="000000" w:themeColor="text1"/>
              </w:rPr>
            </w:pPr>
            <w:r w:rsidRPr="00487776">
              <w:rPr>
                <w:rFonts w:ascii="Arial" w:hAnsi="Arial" w:cs="Arial"/>
                <w:b/>
                <w:color w:val="000000" w:themeColor="text1"/>
              </w:rPr>
              <w:t>5</w:t>
            </w:r>
            <w:r w:rsidR="003157C0" w:rsidRPr="00487776">
              <w:rPr>
                <w:rFonts w:ascii="Arial" w:hAnsi="Arial" w:cs="Arial"/>
                <w:b/>
                <w:color w:val="000000" w:themeColor="text1"/>
              </w:rPr>
              <w:t xml:space="preserve"> </w:t>
            </w:r>
            <w:r w:rsidRPr="00487776">
              <w:rPr>
                <w:rFonts w:ascii="Arial" w:hAnsi="Arial" w:cs="Arial"/>
                <w:b/>
                <w:color w:val="000000" w:themeColor="text1"/>
              </w:rPr>
              <w:t>D</w:t>
            </w:r>
            <w:r w:rsidR="003157C0" w:rsidRPr="00487776">
              <w:rPr>
                <w:rFonts w:ascii="Arial" w:hAnsi="Arial" w:cs="Arial"/>
                <w:b/>
                <w:color w:val="000000" w:themeColor="text1"/>
              </w:rPr>
              <w:t>ays (5D)</w:t>
            </w:r>
          </w:p>
        </w:tc>
        <w:tc>
          <w:tcPr>
            <w:tcW w:w="992" w:type="dxa"/>
          </w:tcPr>
          <w:p w14:paraId="17C7F0C9" w14:textId="4D67D175" w:rsidR="00CC265A" w:rsidRPr="00487776" w:rsidRDefault="00CC265A" w:rsidP="00233FED">
            <w:pPr>
              <w:spacing w:line="360" w:lineRule="auto"/>
              <w:jc w:val="both"/>
              <w:rPr>
                <w:rFonts w:ascii="Arial" w:hAnsi="Arial" w:cs="Arial"/>
                <w:b/>
                <w:color w:val="000000" w:themeColor="text1"/>
              </w:rPr>
            </w:pPr>
            <w:r w:rsidRPr="00487776">
              <w:rPr>
                <w:rFonts w:ascii="Arial" w:hAnsi="Arial" w:cs="Arial"/>
                <w:b/>
                <w:color w:val="000000" w:themeColor="text1"/>
              </w:rPr>
              <w:t>10</w:t>
            </w:r>
            <w:r w:rsidR="00EF0343" w:rsidRPr="00487776">
              <w:rPr>
                <w:rFonts w:ascii="Arial" w:hAnsi="Arial" w:cs="Arial"/>
                <w:b/>
                <w:color w:val="000000" w:themeColor="text1"/>
              </w:rPr>
              <w:t xml:space="preserve"> </w:t>
            </w:r>
            <w:r w:rsidRPr="00487776">
              <w:rPr>
                <w:rFonts w:ascii="Arial" w:hAnsi="Arial" w:cs="Arial"/>
                <w:b/>
                <w:color w:val="000000" w:themeColor="text1"/>
              </w:rPr>
              <w:t>D</w:t>
            </w:r>
            <w:r w:rsidR="00EF0343" w:rsidRPr="00487776">
              <w:rPr>
                <w:rFonts w:ascii="Arial" w:hAnsi="Arial" w:cs="Arial"/>
                <w:b/>
                <w:color w:val="000000" w:themeColor="text1"/>
              </w:rPr>
              <w:t>ays (10D)</w:t>
            </w:r>
          </w:p>
        </w:tc>
        <w:tc>
          <w:tcPr>
            <w:tcW w:w="992" w:type="dxa"/>
          </w:tcPr>
          <w:p w14:paraId="6C6D1A8B" w14:textId="46921662" w:rsidR="00CC265A" w:rsidRPr="00487776" w:rsidRDefault="00CC265A" w:rsidP="00233FED">
            <w:pPr>
              <w:spacing w:line="360" w:lineRule="auto"/>
              <w:jc w:val="both"/>
              <w:rPr>
                <w:rFonts w:ascii="Arial" w:hAnsi="Arial" w:cs="Arial"/>
                <w:b/>
                <w:color w:val="000000" w:themeColor="text1"/>
              </w:rPr>
            </w:pPr>
            <w:r w:rsidRPr="00487776">
              <w:rPr>
                <w:rFonts w:ascii="Arial" w:hAnsi="Arial" w:cs="Arial"/>
                <w:b/>
                <w:color w:val="000000" w:themeColor="text1"/>
              </w:rPr>
              <w:t>15</w:t>
            </w:r>
            <w:r w:rsidR="00EF0343" w:rsidRPr="00487776">
              <w:rPr>
                <w:rFonts w:ascii="Arial" w:hAnsi="Arial" w:cs="Arial"/>
                <w:b/>
                <w:color w:val="000000" w:themeColor="text1"/>
              </w:rPr>
              <w:t xml:space="preserve"> </w:t>
            </w:r>
            <w:r w:rsidRPr="00487776">
              <w:rPr>
                <w:rFonts w:ascii="Arial" w:hAnsi="Arial" w:cs="Arial"/>
                <w:b/>
                <w:color w:val="000000" w:themeColor="text1"/>
              </w:rPr>
              <w:t>D</w:t>
            </w:r>
            <w:r w:rsidR="00EF0343" w:rsidRPr="00487776">
              <w:rPr>
                <w:rFonts w:ascii="Arial" w:hAnsi="Arial" w:cs="Arial"/>
                <w:b/>
                <w:color w:val="000000" w:themeColor="text1"/>
              </w:rPr>
              <w:t>ays (15D)</w:t>
            </w:r>
          </w:p>
        </w:tc>
        <w:tc>
          <w:tcPr>
            <w:tcW w:w="992" w:type="dxa"/>
          </w:tcPr>
          <w:p w14:paraId="30A04A4C" w14:textId="77777777" w:rsidR="00CC265A" w:rsidRPr="00487776" w:rsidRDefault="00CC265A" w:rsidP="00233FED">
            <w:pPr>
              <w:spacing w:line="360" w:lineRule="auto"/>
              <w:jc w:val="both"/>
              <w:rPr>
                <w:rFonts w:ascii="Arial" w:hAnsi="Arial" w:cs="Arial"/>
                <w:b/>
                <w:color w:val="000000" w:themeColor="text1"/>
              </w:rPr>
            </w:pPr>
            <w:r w:rsidRPr="00487776">
              <w:rPr>
                <w:rFonts w:ascii="Arial" w:hAnsi="Arial" w:cs="Arial"/>
                <w:b/>
                <w:color w:val="000000" w:themeColor="text1"/>
              </w:rPr>
              <w:t>*SE (m)</w:t>
            </w:r>
          </w:p>
        </w:tc>
        <w:tc>
          <w:tcPr>
            <w:tcW w:w="851" w:type="dxa"/>
          </w:tcPr>
          <w:p w14:paraId="104F0C92" w14:textId="77777777" w:rsidR="00CC265A" w:rsidRPr="00487776" w:rsidRDefault="00CC265A" w:rsidP="00233FED">
            <w:pPr>
              <w:spacing w:line="360" w:lineRule="auto"/>
              <w:jc w:val="both"/>
              <w:rPr>
                <w:rFonts w:ascii="Arial" w:hAnsi="Arial" w:cs="Arial"/>
                <w:b/>
                <w:color w:val="000000" w:themeColor="text1"/>
              </w:rPr>
            </w:pPr>
            <w:r w:rsidRPr="00487776">
              <w:rPr>
                <w:rFonts w:ascii="Arial" w:hAnsi="Arial" w:cs="Arial"/>
                <w:b/>
                <w:color w:val="000000" w:themeColor="text1"/>
              </w:rPr>
              <w:t>**SD±</w:t>
            </w:r>
          </w:p>
        </w:tc>
        <w:tc>
          <w:tcPr>
            <w:tcW w:w="850" w:type="dxa"/>
          </w:tcPr>
          <w:p w14:paraId="43A1F10A" w14:textId="77777777" w:rsidR="00CC265A" w:rsidRPr="00487776" w:rsidRDefault="00CC265A" w:rsidP="00233FED">
            <w:pPr>
              <w:spacing w:line="360" w:lineRule="auto"/>
              <w:jc w:val="both"/>
              <w:rPr>
                <w:rFonts w:ascii="Arial" w:hAnsi="Arial" w:cs="Arial"/>
                <w:b/>
                <w:color w:val="000000" w:themeColor="text1"/>
              </w:rPr>
            </w:pPr>
            <w:r w:rsidRPr="00487776">
              <w:rPr>
                <w:rFonts w:ascii="Arial" w:hAnsi="Arial" w:cs="Arial"/>
                <w:b/>
                <w:color w:val="000000" w:themeColor="text1"/>
              </w:rPr>
              <w:t>***CD at 5%</w:t>
            </w:r>
          </w:p>
        </w:tc>
      </w:tr>
      <w:tr w:rsidR="0092051F" w:rsidRPr="00487776" w14:paraId="098B1BA7" w14:textId="77777777" w:rsidTr="003901B7">
        <w:trPr>
          <w:trHeight w:val="399"/>
        </w:trPr>
        <w:tc>
          <w:tcPr>
            <w:tcW w:w="1701" w:type="dxa"/>
            <w:vMerge w:val="restart"/>
          </w:tcPr>
          <w:p w14:paraId="08F4BDC1"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Plant height (cm)</w:t>
            </w:r>
          </w:p>
        </w:tc>
        <w:tc>
          <w:tcPr>
            <w:tcW w:w="709" w:type="dxa"/>
          </w:tcPr>
          <w:p w14:paraId="30203F99"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30</w:t>
            </w:r>
          </w:p>
        </w:tc>
        <w:tc>
          <w:tcPr>
            <w:tcW w:w="992" w:type="dxa"/>
          </w:tcPr>
          <w:p w14:paraId="6034AA0B"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51.83</w:t>
            </w:r>
          </w:p>
        </w:tc>
        <w:tc>
          <w:tcPr>
            <w:tcW w:w="993" w:type="dxa"/>
          </w:tcPr>
          <w:p w14:paraId="5F6C638D"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49.33</w:t>
            </w:r>
          </w:p>
        </w:tc>
        <w:tc>
          <w:tcPr>
            <w:tcW w:w="992" w:type="dxa"/>
          </w:tcPr>
          <w:p w14:paraId="5C340637"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47.17</w:t>
            </w:r>
          </w:p>
        </w:tc>
        <w:tc>
          <w:tcPr>
            <w:tcW w:w="992" w:type="dxa"/>
          </w:tcPr>
          <w:p w14:paraId="52DF5EB2"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45.67</w:t>
            </w:r>
          </w:p>
        </w:tc>
        <w:tc>
          <w:tcPr>
            <w:tcW w:w="992" w:type="dxa"/>
          </w:tcPr>
          <w:p w14:paraId="5E40B006"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0.81</w:t>
            </w:r>
          </w:p>
        </w:tc>
        <w:tc>
          <w:tcPr>
            <w:tcW w:w="851" w:type="dxa"/>
          </w:tcPr>
          <w:p w14:paraId="72ADBC74"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2.80</w:t>
            </w:r>
          </w:p>
        </w:tc>
        <w:tc>
          <w:tcPr>
            <w:tcW w:w="850" w:type="dxa"/>
          </w:tcPr>
          <w:p w14:paraId="0E23AC06"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5.79</w:t>
            </w:r>
          </w:p>
        </w:tc>
      </w:tr>
      <w:tr w:rsidR="0092051F" w:rsidRPr="00487776" w14:paraId="486FB824" w14:textId="77777777" w:rsidTr="003901B7">
        <w:trPr>
          <w:trHeight w:val="386"/>
        </w:trPr>
        <w:tc>
          <w:tcPr>
            <w:tcW w:w="1701" w:type="dxa"/>
            <w:vMerge/>
          </w:tcPr>
          <w:p w14:paraId="38B0955C" w14:textId="77777777" w:rsidR="00CC265A" w:rsidRPr="00487776" w:rsidRDefault="00CC265A" w:rsidP="00233FED">
            <w:pPr>
              <w:spacing w:line="360" w:lineRule="auto"/>
              <w:rPr>
                <w:rFonts w:ascii="Arial" w:hAnsi="Arial" w:cs="Arial"/>
                <w:b/>
                <w:color w:val="000000" w:themeColor="text1"/>
              </w:rPr>
            </w:pPr>
          </w:p>
        </w:tc>
        <w:tc>
          <w:tcPr>
            <w:tcW w:w="709" w:type="dxa"/>
          </w:tcPr>
          <w:p w14:paraId="695EAD08"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60</w:t>
            </w:r>
          </w:p>
        </w:tc>
        <w:tc>
          <w:tcPr>
            <w:tcW w:w="992" w:type="dxa"/>
          </w:tcPr>
          <w:p w14:paraId="7020F81A"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108.30</w:t>
            </w:r>
          </w:p>
        </w:tc>
        <w:tc>
          <w:tcPr>
            <w:tcW w:w="993" w:type="dxa"/>
          </w:tcPr>
          <w:p w14:paraId="3BDAE260"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106.04</w:t>
            </w:r>
          </w:p>
        </w:tc>
        <w:tc>
          <w:tcPr>
            <w:tcW w:w="992" w:type="dxa"/>
          </w:tcPr>
          <w:p w14:paraId="572B4A20"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102.85</w:t>
            </w:r>
          </w:p>
        </w:tc>
        <w:tc>
          <w:tcPr>
            <w:tcW w:w="992" w:type="dxa"/>
          </w:tcPr>
          <w:p w14:paraId="32C791E1"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100.60</w:t>
            </w:r>
          </w:p>
        </w:tc>
        <w:tc>
          <w:tcPr>
            <w:tcW w:w="992" w:type="dxa"/>
          </w:tcPr>
          <w:p w14:paraId="2D343FED"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1.86</w:t>
            </w:r>
          </w:p>
        </w:tc>
        <w:tc>
          <w:tcPr>
            <w:tcW w:w="851" w:type="dxa"/>
          </w:tcPr>
          <w:p w14:paraId="4885431C"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2.63</w:t>
            </w:r>
          </w:p>
        </w:tc>
        <w:tc>
          <w:tcPr>
            <w:tcW w:w="850" w:type="dxa"/>
          </w:tcPr>
          <w:p w14:paraId="3B6C651C"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5.44</w:t>
            </w:r>
          </w:p>
        </w:tc>
      </w:tr>
      <w:tr w:rsidR="0092051F" w:rsidRPr="00487776" w14:paraId="2A48970A" w14:textId="77777777" w:rsidTr="003901B7">
        <w:trPr>
          <w:trHeight w:val="297"/>
        </w:trPr>
        <w:tc>
          <w:tcPr>
            <w:tcW w:w="1701" w:type="dxa"/>
            <w:vMerge/>
          </w:tcPr>
          <w:p w14:paraId="00F8162C" w14:textId="77777777" w:rsidR="00CC265A" w:rsidRPr="00487776" w:rsidRDefault="00CC265A" w:rsidP="00233FED">
            <w:pPr>
              <w:spacing w:line="360" w:lineRule="auto"/>
              <w:rPr>
                <w:rFonts w:ascii="Arial" w:hAnsi="Arial" w:cs="Arial"/>
                <w:b/>
                <w:color w:val="000000" w:themeColor="text1"/>
              </w:rPr>
            </w:pPr>
          </w:p>
        </w:tc>
        <w:tc>
          <w:tcPr>
            <w:tcW w:w="709" w:type="dxa"/>
          </w:tcPr>
          <w:p w14:paraId="48774856"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90</w:t>
            </w:r>
          </w:p>
        </w:tc>
        <w:tc>
          <w:tcPr>
            <w:tcW w:w="992" w:type="dxa"/>
          </w:tcPr>
          <w:p w14:paraId="231EE77B"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151.24</w:t>
            </w:r>
          </w:p>
        </w:tc>
        <w:tc>
          <w:tcPr>
            <w:tcW w:w="993" w:type="dxa"/>
          </w:tcPr>
          <w:p w14:paraId="73A32FA0"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150.79</w:t>
            </w:r>
          </w:p>
        </w:tc>
        <w:tc>
          <w:tcPr>
            <w:tcW w:w="992" w:type="dxa"/>
          </w:tcPr>
          <w:p w14:paraId="5666F413"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147.18</w:t>
            </w:r>
          </w:p>
        </w:tc>
        <w:tc>
          <w:tcPr>
            <w:tcW w:w="992" w:type="dxa"/>
          </w:tcPr>
          <w:p w14:paraId="46AE6CEC"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145.35</w:t>
            </w:r>
          </w:p>
        </w:tc>
        <w:tc>
          <w:tcPr>
            <w:tcW w:w="992" w:type="dxa"/>
          </w:tcPr>
          <w:p w14:paraId="2C95626B"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0.75</w:t>
            </w:r>
          </w:p>
        </w:tc>
        <w:tc>
          <w:tcPr>
            <w:tcW w:w="851" w:type="dxa"/>
          </w:tcPr>
          <w:p w14:paraId="79ED5DB0"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1.06</w:t>
            </w:r>
          </w:p>
        </w:tc>
        <w:tc>
          <w:tcPr>
            <w:tcW w:w="850" w:type="dxa"/>
          </w:tcPr>
          <w:p w14:paraId="22301955"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2.20</w:t>
            </w:r>
          </w:p>
        </w:tc>
      </w:tr>
      <w:tr w:rsidR="0092051F" w:rsidRPr="00487776" w14:paraId="729675ED" w14:textId="77777777" w:rsidTr="003901B7">
        <w:trPr>
          <w:trHeight w:val="377"/>
        </w:trPr>
        <w:tc>
          <w:tcPr>
            <w:tcW w:w="1701" w:type="dxa"/>
            <w:vMerge w:val="restart"/>
          </w:tcPr>
          <w:p w14:paraId="3DD72736" w14:textId="48E10ACD"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Total chlorophyll content (mgg</w:t>
            </w:r>
            <w:r w:rsidRPr="00487776">
              <w:rPr>
                <w:rFonts w:ascii="Arial" w:hAnsi="Arial" w:cs="Arial"/>
                <w:b/>
                <w:color w:val="000000" w:themeColor="text1"/>
                <w:vertAlign w:val="superscript"/>
              </w:rPr>
              <w:t>-1</w:t>
            </w:r>
            <w:r w:rsidRPr="00487776">
              <w:rPr>
                <w:rFonts w:ascii="Arial" w:hAnsi="Arial" w:cs="Arial"/>
                <w:b/>
                <w:color w:val="000000" w:themeColor="text1"/>
              </w:rPr>
              <w:t xml:space="preserve"> </w:t>
            </w:r>
            <w:r w:rsidR="00CE3BD8" w:rsidRPr="00487776">
              <w:rPr>
                <w:rFonts w:ascii="Arial" w:hAnsi="Arial" w:cs="Arial"/>
                <w:b/>
                <w:color w:val="000000" w:themeColor="text1"/>
              </w:rPr>
              <w:t>FW</w:t>
            </w:r>
            <w:r w:rsidRPr="00487776">
              <w:rPr>
                <w:rFonts w:ascii="Arial" w:hAnsi="Arial" w:cs="Arial"/>
                <w:b/>
                <w:color w:val="000000" w:themeColor="text1"/>
              </w:rPr>
              <w:t>)</w:t>
            </w:r>
          </w:p>
        </w:tc>
        <w:tc>
          <w:tcPr>
            <w:tcW w:w="709" w:type="dxa"/>
          </w:tcPr>
          <w:p w14:paraId="02080E86"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30</w:t>
            </w:r>
          </w:p>
        </w:tc>
        <w:tc>
          <w:tcPr>
            <w:tcW w:w="992" w:type="dxa"/>
            <w:shd w:val="clear" w:color="auto" w:fill="auto"/>
          </w:tcPr>
          <w:p w14:paraId="0A21DE3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2.60</w:t>
            </w:r>
          </w:p>
        </w:tc>
        <w:tc>
          <w:tcPr>
            <w:tcW w:w="993" w:type="dxa"/>
            <w:shd w:val="clear" w:color="auto" w:fill="auto"/>
          </w:tcPr>
          <w:p w14:paraId="50575613"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2.18</w:t>
            </w:r>
          </w:p>
        </w:tc>
        <w:tc>
          <w:tcPr>
            <w:tcW w:w="992" w:type="dxa"/>
            <w:shd w:val="clear" w:color="auto" w:fill="auto"/>
          </w:tcPr>
          <w:p w14:paraId="418E032A"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1.46</w:t>
            </w:r>
          </w:p>
        </w:tc>
        <w:tc>
          <w:tcPr>
            <w:tcW w:w="992" w:type="dxa"/>
            <w:shd w:val="clear" w:color="auto" w:fill="auto"/>
          </w:tcPr>
          <w:p w14:paraId="001C3EE0"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0.60</w:t>
            </w:r>
          </w:p>
        </w:tc>
        <w:tc>
          <w:tcPr>
            <w:tcW w:w="992" w:type="dxa"/>
            <w:shd w:val="clear" w:color="auto" w:fill="auto"/>
          </w:tcPr>
          <w:p w14:paraId="56A4B7F8"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0.21</w:t>
            </w:r>
          </w:p>
        </w:tc>
        <w:tc>
          <w:tcPr>
            <w:tcW w:w="851" w:type="dxa"/>
            <w:shd w:val="clear" w:color="auto" w:fill="auto"/>
          </w:tcPr>
          <w:p w14:paraId="08327F76"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0.29</w:t>
            </w:r>
          </w:p>
        </w:tc>
        <w:tc>
          <w:tcPr>
            <w:tcW w:w="850" w:type="dxa"/>
            <w:shd w:val="clear" w:color="auto" w:fill="auto"/>
          </w:tcPr>
          <w:p w14:paraId="145095F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0.61</w:t>
            </w:r>
          </w:p>
        </w:tc>
      </w:tr>
      <w:tr w:rsidR="0092051F" w:rsidRPr="00487776" w14:paraId="17663337" w14:textId="77777777" w:rsidTr="003901B7">
        <w:trPr>
          <w:trHeight w:val="386"/>
        </w:trPr>
        <w:tc>
          <w:tcPr>
            <w:tcW w:w="1701" w:type="dxa"/>
            <w:vMerge/>
          </w:tcPr>
          <w:p w14:paraId="11370AB3" w14:textId="77777777" w:rsidR="00CC265A" w:rsidRPr="00487776" w:rsidRDefault="00CC265A" w:rsidP="00233FED">
            <w:pPr>
              <w:spacing w:line="360" w:lineRule="auto"/>
              <w:rPr>
                <w:rFonts w:ascii="Arial" w:hAnsi="Arial" w:cs="Arial"/>
                <w:b/>
                <w:color w:val="000000" w:themeColor="text1"/>
              </w:rPr>
            </w:pPr>
          </w:p>
        </w:tc>
        <w:tc>
          <w:tcPr>
            <w:tcW w:w="709" w:type="dxa"/>
          </w:tcPr>
          <w:p w14:paraId="07A22369"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60</w:t>
            </w:r>
          </w:p>
        </w:tc>
        <w:tc>
          <w:tcPr>
            <w:tcW w:w="992" w:type="dxa"/>
            <w:shd w:val="clear" w:color="auto" w:fill="auto"/>
          </w:tcPr>
          <w:p w14:paraId="72353754"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1.59</w:t>
            </w:r>
          </w:p>
        </w:tc>
        <w:tc>
          <w:tcPr>
            <w:tcW w:w="993" w:type="dxa"/>
            <w:shd w:val="clear" w:color="auto" w:fill="auto"/>
          </w:tcPr>
          <w:p w14:paraId="7E987697"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1.15</w:t>
            </w:r>
          </w:p>
        </w:tc>
        <w:tc>
          <w:tcPr>
            <w:tcW w:w="992" w:type="dxa"/>
            <w:shd w:val="clear" w:color="auto" w:fill="auto"/>
          </w:tcPr>
          <w:p w14:paraId="3A0A8068"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0.94</w:t>
            </w:r>
          </w:p>
        </w:tc>
        <w:tc>
          <w:tcPr>
            <w:tcW w:w="992" w:type="dxa"/>
            <w:shd w:val="clear" w:color="auto" w:fill="auto"/>
          </w:tcPr>
          <w:p w14:paraId="3FECF1DE"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0.84</w:t>
            </w:r>
          </w:p>
        </w:tc>
        <w:tc>
          <w:tcPr>
            <w:tcW w:w="992" w:type="dxa"/>
            <w:shd w:val="clear" w:color="auto" w:fill="auto"/>
          </w:tcPr>
          <w:p w14:paraId="0007B48F"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0.001</w:t>
            </w:r>
          </w:p>
        </w:tc>
        <w:tc>
          <w:tcPr>
            <w:tcW w:w="851" w:type="dxa"/>
            <w:shd w:val="clear" w:color="auto" w:fill="auto"/>
          </w:tcPr>
          <w:p w14:paraId="42A67C6F"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0.001</w:t>
            </w:r>
          </w:p>
        </w:tc>
        <w:tc>
          <w:tcPr>
            <w:tcW w:w="850" w:type="dxa"/>
            <w:shd w:val="clear" w:color="auto" w:fill="auto"/>
          </w:tcPr>
          <w:p w14:paraId="080087C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0.003</w:t>
            </w:r>
          </w:p>
        </w:tc>
      </w:tr>
      <w:tr w:rsidR="0092051F" w:rsidRPr="00487776" w14:paraId="20886FF4" w14:textId="77777777" w:rsidTr="003901B7">
        <w:trPr>
          <w:trHeight w:val="293"/>
        </w:trPr>
        <w:tc>
          <w:tcPr>
            <w:tcW w:w="1701" w:type="dxa"/>
            <w:vMerge/>
          </w:tcPr>
          <w:p w14:paraId="46C78EDC" w14:textId="77777777" w:rsidR="00CC265A" w:rsidRPr="00487776" w:rsidRDefault="00CC265A" w:rsidP="00233FED">
            <w:pPr>
              <w:spacing w:line="360" w:lineRule="auto"/>
              <w:rPr>
                <w:rFonts w:ascii="Arial" w:hAnsi="Arial" w:cs="Arial"/>
                <w:b/>
                <w:color w:val="000000" w:themeColor="text1"/>
              </w:rPr>
            </w:pPr>
          </w:p>
        </w:tc>
        <w:tc>
          <w:tcPr>
            <w:tcW w:w="709" w:type="dxa"/>
          </w:tcPr>
          <w:p w14:paraId="70C06B81"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90</w:t>
            </w:r>
          </w:p>
        </w:tc>
        <w:tc>
          <w:tcPr>
            <w:tcW w:w="992" w:type="dxa"/>
            <w:shd w:val="clear" w:color="auto" w:fill="auto"/>
          </w:tcPr>
          <w:p w14:paraId="20E92F0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1.90</w:t>
            </w:r>
          </w:p>
        </w:tc>
        <w:tc>
          <w:tcPr>
            <w:tcW w:w="993" w:type="dxa"/>
            <w:shd w:val="clear" w:color="auto" w:fill="auto"/>
          </w:tcPr>
          <w:p w14:paraId="2CBEAA84"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1.63</w:t>
            </w:r>
          </w:p>
        </w:tc>
        <w:tc>
          <w:tcPr>
            <w:tcW w:w="992" w:type="dxa"/>
            <w:shd w:val="clear" w:color="auto" w:fill="auto"/>
          </w:tcPr>
          <w:p w14:paraId="29A0448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1.40</w:t>
            </w:r>
          </w:p>
        </w:tc>
        <w:tc>
          <w:tcPr>
            <w:tcW w:w="992" w:type="dxa"/>
            <w:shd w:val="clear" w:color="auto" w:fill="auto"/>
          </w:tcPr>
          <w:p w14:paraId="04728A5A"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1.24</w:t>
            </w:r>
          </w:p>
        </w:tc>
        <w:tc>
          <w:tcPr>
            <w:tcW w:w="992" w:type="dxa"/>
            <w:shd w:val="clear" w:color="auto" w:fill="auto"/>
          </w:tcPr>
          <w:p w14:paraId="393249D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0.05</w:t>
            </w:r>
          </w:p>
        </w:tc>
        <w:tc>
          <w:tcPr>
            <w:tcW w:w="851" w:type="dxa"/>
            <w:shd w:val="clear" w:color="auto" w:fill="auto"/>
          </w:tcPr>
          <w:p w14:paraId="59482203"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0.07</w:t>
            </w:r>
          </w:p>
        </w:tc>
        <w:tc>
          <w:tcPr>
            <w:tcW w:w="850" w:type="dxa"/>
            <w:shd w:val="clear" w:color="auto" w:fill="auto"/>
          </w:tcPr>
          <w:p w14:paraId="3F4DA38F"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0.14</w:t>
            </w:r>
          </w:p>
        </w:tc>
      </w:tr>
      <w:tr w:rsidR="0092051F" w:rsidRPr="00487776" w14:paraId="21323279" w14:textId="77777777" w:rsidTr="003901B7">
        <w:trPr>
          <w:trHeight w:val="360"/>
        </w:trPr>
        <w:tc>
          <w:tcPr>
            <w:tcW w:w="1701" w:type="dxa"/>
            <w:vMerge w:val="restart"/>
          </w:tcPr>
          <w:p w14:paraId="2D3BB6AA" w14:textId="770FEE1E"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Total soluble sugar (mgg</w:t>
            </w:r>
            <w:r w:rsidRPr="00487776">
              <w:rPr>
                <w:rFonts w:ascii="Arial" w:hAnsi="Arial" w:cs="Arial"/>
                <w:b/>
                <w:color w:val="000000" w:themeColor="text1"/>
                <w:vertAlign w:val="superscript"/>
              </w:rPr>
              <w:t>-1</w:t>
            </w:r>
            <w:r w:rsidRPr="00487776">
              <w:rPr>
                <w:rFonts w:ascii="Arial" w:hAnsi="Arial" w:cs="Arial"/>
                <w:b/>
                <w:color w:val="000000" w:themeColor="text1"/>
              </w:rPr>
              <w:t xml:space="preserve"> </w:t>
            </w:r>
            <w:r w:rsidR="00CE3BD8" w:rsidRPr="00487776">
              <w:rPr>
                <w:rFonts w:ascii="Arial" w:hAnsi="Arial" w:cs="Arial"/>
                <w:b/>
                <w:color w:val="000000" w:themeColor="text1"/>
              </w:rPr>
              <w:t>FW</w:t>
            </w:r>
            <w:r w:rsidRPr="00487776">
              <w:rPr>
                <w:rFonts w:ascii="Arial" w:hAnsi="Arial" w:cs="Arial"/>
                <w:b/>
                <w:color w:val="000000" w:themeColor="text1"/>
              </w:rPr>
              <w:t>)</w:t>
            </w:r>
          </w:p>
        </w:tc>
        <w:tc>
          <w:tcPr>
            <w:tcW w:w="709" w:type="dxa"/>
          </w:tcPr>
          <w:p w14:paraId="66DB551F"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30</w:t>
            </w:r>
          </w:p>
        </w:tc>
        <w:tc>
          <w:tcPr>
            <w:tcW w:w="992" w:type="dxa"/>
          </w:tcPr>
          <w:p w14:paraId="075D7D67"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16.29</w:t>
            </w:r>
          </w:p>
        </w:tc>
        <w:tc>
          <w:tcPr>
            <w:tcW w:w="993" w:type="dxa"/>
          </w:tcPr>
          <w:p w14:paraId="28A0848D"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12.20</w:t>
            </w:r>
          </w:p>
        </w:tc>
        <w:tc>
          <w:tcPr>
            <w:tcW w:w="992" w:type="dxa"/>
          </w:tcPr>
          <w:p w14:paraId="3109EE8A"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9.06</w:t>
            </w:r>
          </w:p>
        </w:tc>
        <w:tc>
          <w:tcPr>
            <w:tcW w:w="992" w:type="dxa"/>
          </w:tcPr>
          <w:p w14:paraId="6510EB63"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6.79</w:t>
            </w:r>
          </w:p>
        </w:tc>
        <w:tc>
          <w:tcPr>
            <w:tcW w:w="992" w:type="dxa"/>
          </w:tcPr>
          <w:p w14:paraId="55232B33"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0.21</w:t>
            </w:r>
          </w:p>
        </w:tc>
        <w:tc>
          <w:tcPr>
            <w:tcW w:w="851" w:type="dxa"/>
          </w:tcPr>
          <w:p w14:paraId="413D357E"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0.72</w:t>
            </w:r>
          </w:p>
        </w:tc>
        <w:tc>
          <w:tcPr>
            <w:tcW w:w="850" w:type="dxa"/>
          </w:tcPr>
          <w:p w14:paraId="643A072D"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1.48</w:t>
            </w:r>
          </w:p>
        </w:tc>
      </w:tr>
      <w:tr w:rsidR="0092051F" w:rsidRPr="00487776" w14:paraId="030536C8" w14:textId="77777777" w:rsidTr="003901B7">
        <w:trPr>
          <w:trHeight w:val="333"/>
        </w:trPr>
        <w:tc>
          <w:tcPr>
            <w:tcW w:w="1701" w:type="dxa"/>
            <w:vMerge/>
          </w:tcPr>
          <w:p w14:paraId="1DC71FBB" w14:textId="77777777" w:rsidR="00CC265A" w:rsidRPr="00487776" w:rsidRDefault="00CC265A" w:rsidP="00233FED">
            <w:pPr>
              <w:spacing w:line="360" w:lineRule="auto"/>
              <w:rPr>
                <w:rFonts w:ascii="Arial" w:hAnsi="Arial" w:cs="Arial"/>
                <w:b/>
                <w:color w:val="000000" w:themeColor="text1"/>
              </w:rPr>
            </w:pPr>
          </w:p>
        </w:tc>
        <w:tc>
          <w:tcPr>
            <w:tcW w:w="709" w:type="dxa"/>
          </w:tcPr>
          <w:p w14:paraId="7B18FF41"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60</w:t>
            </w:r>
          </w:p>
        </w:tc>
        <w:tc>
          <w:tcPr>
            <w:tcW w:w="992" w:type="dxa"/>
          </w:tcPr>
          <w:p w14:paraId="090554E8"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19.39</w:t>
            </w:r>
          </w:p>
        </w:tc>
        <w:tc>
          <w:tcPr>
            <w:tcW w:w="993" w:type="dxa"/>
          </w:tcPr>
          <w:p w14:paraId="2C96F829"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16.12</w:t>
            </w:r>
          </w:p>
        </w:tc>
        <w:tc>
          <w:tcPr>
            <w:tcW w:w="992" w:type="dxa"/>
          </w:tcPr>
          <w:p w14:paraId="36BB195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14.21</w:t>
            </w:r>
          </w:p>
        </w:tc>
        <w:tc>
          <w:tcPr>
            <w:tcW w:w="992" w:type="dxa"/>
          </w:tcPr>
          <w:p w14:paraId="42C89771"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11.49</w:t>
            </w:r>
          </w:p>
        </w:tc>
        <w:tc>
          <w:tcPr>
            <w:tcW w:w="992" w:type="dxa"/>
          </w:tcPr>
          <w:p w14:paraId="2466ACA9"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0.18</w:t>
            </w:r>
          </w:p>
        </w:tc>
        <w:tc>
          <w:tcPr>
            <w:tcW w:w="851" w:type="dxa"/>
          </w:tcPr>
          <w:p w14:paraId="11FA845F"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0.25</w:t>
            </w:r>
          </w:p>
        </w:tc>
        <w:tc>
          <w:tcPr>
            <w:tcW w:w="850" w:type="dxa"/>
          </w:tcPr>
          <w:p w14:paraId="52B4F419"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0.52</w:t>
            </w:r>
          </w:p>
        </w:tc>
      </w:tr>
      <w:tr w:rsidR="0092051F" w:rsidRPr="00487776" w14:paraId="565D926A" w14:textId="77777777" w:rsidTr="003901B7">
        <w:trPr>
          <w:trHeight w:val="265"/>
        </w:trPr>
        <w:tc>
          <w:tcPr>
            <w:tcW w:w="1701" w:type="dxa"/>
            <w:vMerge/>
          </w:tcPr>
          <w:p w14:paraId="7A134602" w14:textId="77777777" w:rsidR="00CC265A" w:rsidRPr="00487776" w:rsidRDefault="00CC265A" w:rsidP="00233FED">
            <w:pPr>
              <w:spacing w:line="360" w:lineRule="auto"/>
              <w:rPr>
                <w:rFonts w:ascii="Arial" w:hAnsi="Arial" w:cs="Arial"/>
                <w:b/>
                <w:color w:val="000000" w:themeColor="text1"/>
              </w:rPr>
            </w:pPr>
          </w:p>
        </w:tc>
        <w:tc>
          <w:tcPr>
            <w:tcW w:w="709" w:type="dxa"/>
          </w:tcPr>
          <w:p w14:paraId="5071B323"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90</w:t>
            </w:r>
          </w:p>
        </w:tc>
        <w:tc>
          <w:tcPr>
            <w:tcW w:w="992" w:type="dxa"/>
          </w:tcPr>
          <w:p w14:paraId="34F23296"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39.49</w:t>
            </w:r>
          </w:p>
        </w:tc>
        <w:tc>
          <w:tcPr>
            <w:tcW w:w="993" w:type="dxa"/>
          </w:tcPr>
          <w:p w14:paraId="4A8B7B69"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36.31</w:t>
            </w:r>
          </w:p>
        </w:tc>
        <w:tc>
          <w:tcPr>
            <w:tcW w:w="992" w:type="dxa"/>
          </w:tcPr>
          <w:p w14:paraId="640A3998"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34.29</w:t>
            </w:r>
          </w:p>
        </w:tc>
        <w:tc>
          <w:tcPr>
            <w:tcW w:w="992" w:type="dxa"/>
          </w:tcPr>
          <w:p w14:paraId="77505CE0"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31.71</w:t>
            </w:r>
          </w:p>
        </w:tc>
        <w:tc>
          <w:tcPr>
            <w:tcW w:w="992" w:type="dxa"/>
          </w:tcPr>
          <w:p w14:paraId="6107E35A"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0.06</w:t>
            </w:r>
          </w:p>
        </w:tc>
        <w:tc>
          <w:tcPr>
            <w:tcW w:w="851" w:type="dxa"/>
          </w:tcPr>
          <w:p w14:paraId="06A9D5C8"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0.08</w:t>
            </w:r>
          </w:p>
        </w:tc>
        <w:tc>
          <w:tcPr>
            <w:tcW w:w="850" w:type="dxa"/>
          </w:tcPr>
          <w:p w14:paraId="3C7B0437"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0.17</w:t>
            </w:r>
          </w:p>
        </w:tc>
      </w:tr>
      <w:tr w:rsidR="0092051F" w:rsidRPr="00487776" w14:paraId="31109283" w14:textId="77777777" w:rsidTr="003901B7">
        <w:trPr>
          <w:trHeight w:val="377"/>
        </w:trPr>
        <w:tc>
          <w:tcPr>
            <w:tcW w:w="1701" w:type="dxa"/>
            <w:vMerge w:val="restart"/>
          </w:tcPr>
          <w:p w14:paraId="5EC6BD94" w14:textId="41979FAC"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Total soluble protein (mgg</w:t>
            </w:r>
            <w:r w:rsidRPr="00487776">
              <w:rPr>
                <w:rFonts w:ascii="Arial" w:hAnsi="Arial" w:cs="Arial"/>
                <w:b/>
                <w:color w:val="000000" w:themeColor="text1"/>
                <w:vertAlign w:val="superscript"/>
              </w:rPr>
              <w:t>-1</w:t>
            </w:r>
            <w:r w:rsidRPr="00487776">
              <w:rPr>
                <w:rFonts w:ascii="Arial" w:hAnsi="Arial" w:cs="Arial"/>
                <w:b/>
                <w:color w:val="000000" w:themeColor="text1"/>
              </w:rPr>
              <w:t xml:space="preserve"> </w:t>
            </w:r>
            <w:r w:rsidR="00CE3BD8" w:rsidRPr="00487776">
              <w:rPr>
                <w:rFonts w:ascii="Arial" w:hAnsi="Arial" w:cs="Arial"/>
                <w:b/>
                <w:color w:val="000000" w:themeColor="text1"/>
              </w:rPr>
              <w:t>FW</w:t>
            </w:r>
            <w:r w:rsidRPr="00487776">
              <w:rPr>
                <w:rFonts w:ascii="Arial" w:hAnsi="Arial" w:cs="Arial"/>
                <w:b/>
                <w:color w:val="000000" w:themeColor="text1"/>
              </w:rPr>
              <w:t>)</w:t>
            </w:r>
          </w:p>
        </w:tc>
        <w:tc>
          <w:tcPr>
            <w:tcW w:w="709" w:type="dxa"/>
          </w:tcPr>
          <w:p w14:paraId="0963C523"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30</w:t>
            </w:r>
          </w:p>
        </w:tc>
        <w:tc>
          <w:tcPr>
            <w:tcW w:w="992" w:type="dxa"/>
          </w:tcPr>
          <w:p w14:paraId="538E988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1.92</w:t>
            </w:r>
          </w:p>
        </w:tc>
        <w:tc>
          <w:tcPr>
            <w:tcW w:w="993" w:type="dxa"/>
          </w:tcPr>
          <w:p w14:paraId="207EFB9E"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1.77</w:t>
            </w:r>
          </w:p>
        </w:tc>
        <w:tc>
          <w:tcPr>
            <w:tcW w:w="992" w:type="dxa"/>
          </w:tcPr>
          <w:p w14:paraId="42879E30"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1.42</w:t>
            </w:r>
          </w:p>
        </w:tc>
        <w:tc>
          <w:tcPr>
            <w:tcW w:w="992" w:type="dxa"/>
          </w:tcPr>
          <w:p w14:paraId="67CC5D58"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1.25</w:t>
            </w:r>
          </w:p>
        </w:tc>
        <w:tc>
          <w:tcPr>
            <w:tcW w:w="992" w:type="dxa"/>
          </w:tcPr>
          <w:p w14:paraId="2625E4DE"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0.09</w:t>
            </w:r>
          </w:p>
        </w:tc>
        <w:tc>
          <w:tcPr>
            <w:tcW w:w="851" w:type="dxa"/>
          </w:tcPr>
          <w:p w14:paraId="16C9E1B5"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0.30</w:t>
            </w:r>
          </w:p>
        </w:tc>
        <w:tc>
          <w:tcPr>
            <w:tcW w:w="850" w:type="dxa"/>
          </w:tcPr>
          <w:p w14:paraId="59E4940D"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0.61</w:t>
            </w:r>
          </w:p>
        </w:tc>
      </w:tr>
      <w:tr w:rsidR="0092051F" w:rsidRPr="00487776" w14:paraId="34EE135A" w14:textId="77777777" w:rsidTr="003901B7">
        <w:trPr>
          <w:trHeight w:val="281"/>
        </w:trPr>
        <w:tc>
          <w:tcPr>
            <w:tcW w:w="1701" w:type="dxa"/>
            <w:vMerge/>
          </w:tcPr>
          <w:p w14:paraId="63D1729F" w14:textId="77777777" w:rsidR="00CC265A" w:rsidRPr="00487776" w:rsidRDefault="00CC265A" w:rsidP="00233FED">
            <w:pPr>
              <w:spacing w:line="360" w:lineRule="auto"/>
              <w:rPr>
                <w:rFonts w:ascii="Arial" w:hAnsi="Arial" w:cs="Arial"/>
                <w:b/>
                <w:color w:val="000000" w:themeColor="text1"/>
              </w:rPr>
            </w:pPr>
          </w:p>
        </w:tc>
        <w:tc>
          <w:tcPr>
            <w:tcW w:w="709" w:type="dxa"/>
          </w:tcPr>
          <w:p w14:paraId="75271F17"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60</w:t>
            </w:r>
          </w:p>
        </w:tc>
        <w:tc>
          <w:tcPr>
            <w:tcW w:w="992" w:type="dxa"/>
          </w:tcPr>
          <w:p w14:paraId="78E0B3AE"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2.65</w:t>
            </w:r>
          </w:p>
        </w:tc>
        <w:tc>
          <w:tcPr>
            <w:tcW w:w="993" w:type="dxa"/>
          </w:tcPr>
          <w:p w14:paraId="5F5A2401"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2.51</w:t>
            </w:r>
          </w:p>
        </w:tc>
        <w:tc>
          <w:tcPr>
            <w:tcW w:w="992" w:type="dxa"/>
          </w:tcPr>
          <w:p w14:paraId="202415B4"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2.36</w:t>
            </w:r>
          </w:p>
        </w:tc>
        <w:tc>
          <w:tcPr>
            <w:tcW w:w="992" w:type="dxa"/>
          </w:tcPr>
          <w:p w14:paraId="23615DFA"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2.09</w:t>
            </w:r>
          </w:p>
        </w:tc>
        <w:tc>
          <w:tcPr>
            <w:tcW w:w="992" w:type="dxa"/>
          </w:tcPr>
          <w:p w14:paraId="695F1383"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0.05</w:t>
            </w:r>
          </w:p>
        </w:tc>
        <w:tc>
          <w:tcPr>
            <w:tcW w:w="851" w:type="dxa"/>
          </w:tcPr>
          <w:p w14:paraId="7F7C84A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0.17</w:t>
            </w:r>
          </w:p>
        </w:tc>
        <w:tc>
          <w:tcPr>
            <w:tcW w:w="850" w:type="dxa"/>
          </w:tcPr>
          <w:p w14:paraId="66FA8C87"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0.35</w:t>
            </w:r>
          </w:p>
        </w:tc>
      </w:tr>
      <w:tr w:rsidR="0092051F" w:rsidRPr="00487776" w14:paraId="72558C5B" w14:textId="77777777" w:rsidTr="003901B7">
        <w:trPr>
          <w:trHeight w:val="490"/>
        </w:trPr>
        <w:tc>
          <w:tcPr>
            <w:tcW w:w="1701" w:type="dxa"/>
            <w:vMerge/>
          </w:tcPr>
          <w:p w14:paraId="2C692449" w14:textId="77777777" w:rsidR="00CC265A" w:rsidRPr="00487776" w:rsidRDefault="00CC265A" w:rsidP="00233FED">
            <w:pPr>
              <w:spacing w:line="360" w:lineRule="auto"/>
              <w:rPr>
                <w:rFonts w:ascii="Arial" w:hAnsi="Arial" w:cs="Arial"/>
                <w:b/>
                <w:color w:val="000000" w:themeColor="text1"/>
              </w:rPr>
            </w:pPr>
          </w:p>
        </w:tc>
        <w:tc>
          <w:tcPr>
            <w:tcW w:w="709" w:type="dxa"/>
          </w:tcPr>
          <w:p w14:paraId="58A1CE06"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90</w:t>
            </w:r>
          </w:p>
        </w:tc>
        <w:tc>
          <w:tcPr>
            <w:tcW w:w="992" w:type="dxa"/>
          </w:tcPr>
          <w:p w14:paraId="52699D49"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3.83</w:t>
            </w:r>
          </w:p>
        </w:tc>
        <w:tc>
          <w:tcPr>
            <w:tcW w:w="993" w:type="dxa"/>
          </w:tcPr>
          <w:p w14:paraId="38C3E2F2"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3.60</w:t>
            </w:r>
          </w:p>
        </w:tc>
        <w:tc>
          <w:tcPr>
            <w:tcW w:w="992" w:type="dxa"/>
          </w:tcPr>
          <w:p w14:paraId="4DE62732"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3.32</w:t>
            </w:r>
          </w:p>
        </w:tc>
        <w:tc>
          <w:tcPr>
            <w:tcW w:w="992" w:type="dxa"/>
          </w:tcPr>
          <w:p w14:paraId="117A755F"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2.91</w:t>
            </w:r>
          </w:p>
        </w:tc>
        <w:tc>
          <w:tcPr>
            <w:tcW w:w="992" w:type="dxa"/>
          </w:tcPr>
          <w:p w14:paraId="21F56693"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0.08</w:t>
            </w:r>
          </w:p>
        </w:tc>
        <w:tc>
          <w:tcPr>
            <w:tcW w:w="851" w:type="dxa"/>
          </w:tcPr>
          <w:p w14:paraId="5E6CDD8F"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0.27</w:t>
            </w:r>
          </w:p>
        </w:tc>
        <w:tc>
          <w:tcPr>
            <w:tcW w:w="850" w:type="dxa"/>
          </w:tcPr>
          <w:p w14:paraId="117C8DB8"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0.56</w:t>
            </w:r>
          </w:p>
        </w:tc>
      </w:tr>
      <w:tr w:rsidR="0092051F" w:rsidRPr="00487776" w14:paraId="21B58C31" w14:textId="77777777" w:rsidTr="003901B7">
        <w:trPr>
          <w:trHeight w:val="396"/>
        </w:trPr>
        <w:tc>
          <w:tcPr>
            <w:tcW w:w="1701" w:type="dxa"/>
            <w:vMerge w:val="restart"/>
          </w:tcPr>
          <w:p w14:paraId="56F667F5" w14:textId="308C2833"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Total phenols (mgg</w:t>
            </w:r>
            <w:r w:rsidRPr="00487776">
              <w:rPr>
                <w:rFonts w:ascii="Arial" w:hAnsi="Arial" w:cs="Arial"/>
                <w:b/>
                <w:color w:val="000000" w:themeColor="text1"/>
                <w:vertAlign w:val="superscript"/>
              </w:rPr>
              <w:t>-1</w:t>
            </w:r>
            <w:r w:rsidRPr="00487776">
              <w:rPr>
                <w:rFonts w:ascii="Arial" w:hAnsi="Arial" w:cs="Arial"/>
                <w:b/>
                <w:color w:val="000000" w:themeColor="text1"/>
              </w:rPr>
              <w:t xml:space="preserve"> </w:t>
            </w:r>
            <w:r w:rsidR="00CE3BD8" w:rsidRPr="00487776">
              <w:rPr>
                <w:rFonts w:ascii="Arial" w:hAnsi="Arial" w:cs="Arial"/>
                <w:b/>
                <w:color w:val="000000" w:themeColor="text1"/>
              </w:rPr>
              <w:t>FW</w:t>
            </w:r>
            <w:r w:rsidRPr="00487776">
              <w:rPr>
                <w:rFonts w:ascii="Arial" w:hAnsi="Arial" w:cs="Arial"/>
                <w:b/>
                <w:color w:val="000000" w:themeColor="text1"/>
              </w:rPr>
              <w:t>)</w:t>
            </w:r>
          </w:p>
        </w:tc>
        <w:tc>
          <w:tcPr>
            <w:tcW w:w="709" w:type="dxa"/>
          </w:tcPr>
          <w:p w14:paraId="45FF073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30</w:t>
            </w:r>
          </w:p>
        </w:tc>
        <w:tc>
          <w:tcPr>
            <w:tcW w:w="992" w:type="dxa"/>
          </w:tcPr>
          <w:p w14:paraId="63C54B7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0.68</w:t>
            </w:r>
          </w:p>
        </w:tc>
        <w:tc>
          <w:tcPr>
            <w:tcW w:w="993" w:type="dxa"/>
          </w:tcPr>
          <w:p w14:paraId="22EDA0DA"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2.07</w:t>
            </w:r>
          </w:p>
        </w:tc>
        <w:tc>
          <w:tcPr>
            <w:tcW w:w="992" w:type="dxa"/>
          </w:tcPr>
          <w:p w14:paraId="114085A4"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3.98</w:t>
            </w:r>
          </w:p>
        </w:tc>
        <w:tc>
          <w:tcPr>
            <w:tcW w:w="992" w:type="dxa"/>
          </w:tcPr>
          <w:p w14:paraId="7353B220"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5.64</w:t>
            </w:r>
          </w:p>
        </w:tc>
        <w:tc>
          <w:tcPr>
            <w:tcW w:w="992" w:type="dxa"/>
          </w:tcPr>
          <w:p w14:paraId="6CE575C0"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0.15</w:t>
            </w:r>
          </w:p>
        </w:tc>
        <w:tc>
          <w:tcPr>
            <w:tcW w:w="851" w:type="dxa"/>
          </w:tcPr>
          <w:p w14:paraId="39E337F8"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0.52</w:t>
            </w:r>
          </w:p>
        </w:tc>
        <w:tc>
          <w:tcPr>
            <w:tcW w:w="850" w:type="dxa"/>
          </w:tcPr>
          <w:p w14:paraId="5CE6EA40"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1.07</w:t>
            </w:r>
          </w:p>
        </w:tc>
      </w:tr>
      <w:tr w:rsidR="0092051F" w:rsidRPr="00487776" w14:paraId="754884C8" w14:textId="77777777" w:rsidTr="003901B7">
        <w:trPr>
          <w:trHeight w:val="315"/>
        </w:trPr>
        <w:tc>
          <w:tcPr>
            <w:tcW w:w="1701" w:type="dxa"/>
            <w:vMerge/>
          </w:tcPr>
          <w:p w14:paraId="4CCFFFB4" w14:textId="77777777" w:rsidR="00CC265A" w:rsidRPr="00487776" w:rsidRDefault="00CC265A" w:rsidP="00233FED">
            <w:pPr>
              <w:spacing w:line="360" w:lineRule="auto"/>
              <w:rPr>
                <w:rFonts w:ascii="Arial" w:hAnsi="Arial" w:cs="Arial"/>
                <w:b/>
                <w:color w:val="000000" w:themeColor="text1"/>
              </w:rPr>
            </w:pPr>
          </w:p>
        </w:tc>
        <w:tc>
          <w:tcPr>
            <w:tcW w:w="709" w:type="dxa"/>
          </w:tcPr>
          <w:p w14:paraId="6291764E"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60</w:t>
            </w:r>
          </w:p>
        </w:tc>
        <w:tc>
          <w:tcPr>
            <w:tcW w:w="992" w:type="dxa"/>
          </w:tcPr>
          <w:p w14:paraId="017466F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2.31</w:t>
            </w:r>
          </w:p>
        </w:tc>
        <w:tc>
          <w:tcPr>
            <w:tcW w:w="993" w:type="dxa"/>
          </w:tcPr>
          <w:p w14:paraId="699F5A16"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3.22</w:t>
            </w:r>
          </w:p>
        </w:tc>
        <w:tc>
          <w:tcPr>
            <w:tcW w:w="992" w:type="dxa"/>
          </w:tcPr>
          <w:p w14:paraId="214FF2F5"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5.19</w:t>
            </w:r>
          </w:p>
        </w:tc>
        <w:tc>
          <w:tcPr>
            <w:tcW w:w="992" w:type="dxa"/>
          </w:tcPr>
          <w:p w14:paraId="132874B4"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6.14</w:t>
            </w:r>
          </w:p>
        </w:tc>
        <w:tc>
          <w:tcPr>
            <w:tcW w:w="992" w:type="dxa"/>
          </w:tcPr>
          <w:p w14:paraId="1211CCC0"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0.14</w:t>
            </w:r>
          </w:p>
        </w:tc>
        <w:tc>
          <w:tcPr>
            <w:tcW w:w="851" w:type="dxa"/>
          </w:tcPr>
          <w:p w14:paraId="4FE88D6F"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0.49</w:t>
            </w:r>
          </w:p>
        </w:tc>
        <w:tc>
          <w:tcPr>
            <w:tcW w:w="850" w:type="dxa"/>
          </w:tcPr>
          <w:p w14:paraId="2786B132"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1.01</w:t>
            </w:r>
          </w:p>
        </w:tc>
      </w:tr>
      <w:tr w:rsidR="0092051F" w:rsidRPr="00487776" w14:paraId="098BEEB1" w14:textId="77777777" w:rsidTr="003901B7">
        <w:trPr>
          <w:trHeight w:val="437"/>
        </w:trPr>
        <w:tc>
          <w:tcPr>
            <w:tcW w:w="1701" w:type="dxa"/>
            <w:vMerge/>
          </w:tcPr>
          <w:p w14:paraId="7A1AE0A4" w14:textId="77777777" w:rsidR="00CC265A" w:rsidRPr="00487776" w:rsidRDefault="00CC265A" w:rsidP="00233FED">
            <w:pPr>
              <w:spacing w:line="360" w:lineRule="auto"/>
              <w:rPr>
                <w:rFonts w:ascii="Arial" w:hAnsi="Arial" w:cs="Arial"/>
                <w:b/>
                <w:color w:val="000000" w:themeColor="text1"/>
              </w:rPr>
            </w:pPr>
          </w:p>
        </w:tc>
        <w:tc>
          <w:tcPr>
            <w:tcW w:w="709" w:type="dxa"/>
          </w:tcPr>
          <w:p w14:paraId="7428FAA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90</w:t>
            </w:r>
          </w:p>
        </w:tc>
        <w:tc>
          <w:tcPr>
            <w:tcW w:w="992" w:type="dxa"/>
          </w:tcPr>
          <w:p w14:paraId="63258581"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3.06</w:t>
            </w:r>
          </w:p>
        </w:tc>
        <w:tc>
          <w:tcPr>
            <w:tcW w:w="993" w:type="dxa"/>
          </w:tcPr>
          <w:p w14:paraId="317F8AC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3.80</w:t>
            </w:r>
          </w:p>
        </w:tc>
        <w:tc>
          <w:tcPr>
            <w:tcW w:w="992" w:type="dxa"/>
          </w:tcPr>
          <w:p w14:paraId="04FC5AED"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5.65</w:t>
            </w:r>
          </w:p>
        </w:tc>
        <w:tc>
          <w:tcPr>
            <w:tcW w:w="992" w:type="dxa"/>
          </w:tcPr>
          <w:p w14:paraId="6038ED05"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6.56</w:t>
            </w:r>
          </w:p>
        </w:tc>
        <w:tc>
          <w:tcPr>
            <w:tcW w:w="992" w:type="dxa"/>
          </w:tcPr>
          <w:p w14:paraId="02E9B821"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0.11</w:t>
            </w:r>
          </w:p>
        </w:tc>
        <w:tc>
          <w:tcPr>
            <w:tcW w:w="851" w:type="dxa"/>
          </w:tcPr>
          <w:p w14:paraId="5B497F43"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0.39</w:t>
            </w:r>
          </w:p>
        </w:tc>
        <w:tc>
          <w:tcPr>
            <w:tcW w:w="850" w:type="dxa"/>
          </w:tcPr>
          <w:p w14:paraId="2DA40CCD"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0.81</w:t>
            </w:r>
          </w:p>
        </w:tc>
      </w:tr>
      <w:tr w:rsidR="0092051F" w:rsidRPr="00487776" w14:paraId="0DBEB6AF" w14:textId="77777777" w:rsidTr="003901B7">
        <w:trPr>
          <w:trHeight w:val="272"/>
        </w:trPr>
        <w:tc>
          <w:tcPr>
            <w:tcW w:w="1701" w:type="dxa"/>
            <w:vMerge w:val="restart"/>
          </w:tcPr>
          <w:p w14:paraId="5850A416" w14:textId="7CDA268A"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Total free amino acid µgg</w:t>
            </w:r>
            <w:r w:rsidRPr="00487776">
              <w:rPr>
                <w:rFonts w:ascii="Arial" w:hAnsi="Arial" w:cs="Arial"/>
                <w:b/>
                <w:color w:val="000000" w:themeColor="text1"/>
                <w:vertAlign w:val="superscript"/>
              </w:rPr>
              <w:t>-1</w:t>
            </w:r>
            <w:r w:rsidRPr="00487776">
              <w:rPr>
                <w:rFonts w:ascii="Arial" w:hAnsi="Arial" w:cs="Arial"/>
                <w:b/>
                <w:color w:val="000000" w:themeColor="text1"/>
              </w:rPr>
              <w:t xml:space="preserve"> </w:t>
            </w:r>
            <w:r w:rsidR="00CE3BD8" w:rsidRPr="00487776">
              <w:rPr>
                <w:rFonts w:ascii="Arial" w:hAnsi="Arial" w:cs="Arial"/>
                <w:b/>
                <w:color w:val="000000" w:themeColor="text1"/>
              </w:rPr>
              <w:t>FW</w:t>
            </w:r>
            <w:r w:rsidRPr="00487776">
              <w:rPr>
                <w:rFonts w:ascii="Arial" w:hAnsi="Arial" w:cs="Arial"/>
                <w:b/>
                <w:color w:val="000000" w:themeColor="text1"/>
              </w:rPr>
              <w:t>)</w:t>
            </w:r>
          </w:p>
        </w:tc>
        <w:tc>
          <w:tcPr>
            <w:tcW w:w="709" w:type="dxa"/>
          </w:tcPr>
          <w:p w14:paraId="28B3CB24"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30</w:t>
            </w:r>
          </w:p>
        </w:tc>
        <w:tc>
          <w:tcPr>
            <w:tcW w:w="992" w:type="dxa"/>
          </w:tcPr>
          <w:p w14:paraId="1484F42E"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240</w:t>
            </w:r>
          </w:p>
        </w:tc>
        <w:tc>
          <w:tcPr>
            <w:tcW w:w="993" w:type="dxa"/>
          </w:tcPr>
          <w:p w14:paraId="4B9842D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278</w:t>
            </w:r>
          </w:p>
        </w:tc>
        <w:tc>
          <w:tcPr>
            <w:tcW w:w="992" w:type="dxa"/>
          </w:tcPr>
          <w:p w14:paraId="2B49A39A"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295</w:t>
            </w:r>
          </w:p>
        </w:tc>
        <w:tc>
          <w:tcPr>
            <w:tcW w:w="992" w:type="dxa"/>
          </w:tcPr>
          <w:p w14:paraId="43160ED5"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300</w:t>
            </w:r>
          </w:p>
        </w:tc>
        <w:tc>
          <w:tcPr>
            <w:tcW w:w="992" w:type="dxa"/>
          </w:tcPr>
          <w:p w14:paraId="4043CA96"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10.0</w:t>
            </w:r>
          </w:p>
        </w:tc>
        <w:tc>
          <w:tcPr>
            <w:tcW w:w="851" w:type="dxa"/>
          </w:tcPr>
          <w:p w14:paraId="03BFA1B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20.0</w:t>
            </w:r>
          </w:p>
        </w:tc>
        <w:tc>
          <w:tcPr>
            <w:tcW w:w="850" w:type="dxa"/>
          </w:tcPr>
          <w:p w14:paraId="69AC301D"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40.0</w:t>
            </w:r>
          </w:p>
        </w:tc>
      </w:tr>
      <w:tr w:rsidR="0092051F" w:rsidRPr="00487776" w14:paraId="7C503CDF" w14:textId="77777777" w:rsidTr="003901B7">
        <w:trPr>
          <w:trHeight w:val="403"/>
        </w:trPr>
        <w:tc>
          <w:tcPr>
            <w:tcW w:w="1701" w:type="dxa"/>
            <w:vMerge/>
          </w:tcPr>
          <w:p w14:paraId="68730B7F" w14:textId="77777777" w:rsidR="00CC265A" w:rsidRPr="00487776" w:rsidRDefault="00CC265A" w:rsidP="00233FED">
            <w:pPr>
              <w:spacing w:line="360" w:lineRule="auto"/>
              <w:rPr>
                <w:rFonts w:ascii="Arial" w:hAnsi="Arial" w:cs="Arial"/>
                <w:b/>
                <w:color w:val="000000" w:themeColor="text1"/>
              </w:rPr>
            </w:pPr>
          </w:p>
        </w:tc>
        <w:tc>
          <w:tcPr>
            <w:tcW w:w="709" w:type="dxa"/>
          </w:tcPr>
          <w:p w14:paraId="208D029F"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60</w:t>
            </w:r>
          </w:p>
        </w:tc>
        <w:tc>
          <w:tcPr>
            <w:tcW w:w="992" w:type="dxa"/>
          </w:tcPr>
          <w:p w14:paraId="5CAA4E6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310</w:t>
            </w:r>
          </w:p>
        </w:tc>
        <w:tc>
          <w:tcPr>
            <w:tcW w:w="993" w:type="dxa"/>
          </w:tcPr>
          <w:p w14:paraId="0C8F7C13"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364</w:t>
            </w:r>
          </w:p>
        </w:tc>
        <w:tc>
          <w:tcPr>
            <w:tcW w:w="992" w:type="dxa"/>
          </w:tcPr>
          <w:p w14:paraId="77979B86"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395</w:t>
            </w:r>
          </w:p>
        </w:tc>
        <w:tc>
          <w:tcPr>
            <w:tcW w:w="992" w:type="dxa"/>
          </w:tcPr>
          <w:p w14:paraId="0E364D7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399</w:t>
            </w:r>
          </w:p>
        </w:tc>
        <w:tc>
          <w:tcPr>
            <w:tcW w:w="992" w:type="dxa"/>
          </w:tcPr>
          <w:p w14:paraId="54472D71"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10.0</w:t>
            </w:r>
          </w:p>
        </w:tc>
        <w:tc>
          <w:tcPr>
            <w:tcW w:w="851" w:type="dxa"/>
          </w:tcPr>
          <w:p w14:paraId="49A72603"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30.0</w:t>
            </w:r>
          </w:p>
        </w:tc>
        <w:tc>
          <w:tcPr>
            <w:tcW w:w="850" w:type="dxa"/>
          </w:tcPr>
          <w:p w14:paraId="2C6A1263"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60.0</w:t>
            </w:r>
          </w:p>
        </w:tc>
      </w:tr>
      <w:tr w:rsidR="0092051F" w:rsidRPr="00487776" w14:paraId="6A7931AF" w14:textId="77777777" w:rsidTr="003901B7">
        <w:trPr>
          <w:trHeight w:val="420"/>
        </w:trPr>
        <w:tc>
          <w:tcPr>
            <w:tcW w:w="1701" w:type="dxa"/>
            <w:vMerge/>
          </w:tcPr>
          <w:p w14:paraId="2D3C4035" w14:textId="77777777" w:rsidR="00CC265A" w:rsidRPr="00487776" w:rsidRDefault="00CC265A" w:rsidP="00233FED">
            <w:pPr>
              <w:spacing w:line="360" w:lineRule="auto"/>
              <w:rPr>
                <w:rFonts w:ascii="Arial" w:hAnsi="Arial" w:cs="Arial"/>
                <w:b/>
                <w:color w:val="000000" w:themeColor="text1"/>
              </w:rPr>
            </w:pPr>
          </w:p>
        </w:tc>
        <w:tc>
          <w:tcPr>
            <w:tcW w:w="709" w:type="dxa"/>
          </w:tcPr>
          <w:p w14:paraId="7B77FB34"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90</w:t>
            </w:r>
          </w:p>
        </w:tc>
        <w:tc>
          <w:tcPr>
            <w:tcW w:w="992" w:type="dxa"/>
          </w:tcPr>
          <w:p w14:paraId="44ED04CF"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390</w:t>
            </w:r>
          </w:p>
        </w:tc>
        <w:tc>
          <w:tcPr>
            <w:tcW w:w="993" w:type="dxa"/>
          </w:tcPr>
          <w:p w14:paraId="53DE4A0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449</w:t>
            </w:r>
          </w:p>
        </w:tc>
        <w:tc>
          <w:tcPr>
            <w:tcW w:w="992" w:type="dxa"/>
          </w:tcPr>
          <w:p w14:paraId="11CB87D4"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473</w:t>
            </w:r>
          </w:p>
        </w:tc>
        <w:tc>
          <w:tcPr>
            <w:tcW w:w="992" w:type="dxa"/>
          </w:tcPr>
          <w:p w14:paraId="48267ED8"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480</w:t>
            </w:r>
          </w:p>
        </w:tc>
        <w:tc>
          <w:tcPr>
            <w:tcW w:w="992" w:type="dxa"/>
          </w:tcPr>
          <w:p w14:paraId="07DD1278"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10.0</w:t>
            </w:r>
          </w:p>
        </w:tc>
        <w:tc>
          <w:tcPr>
            <w:tcW w:w="851" w:type="dxa"/>
          </w:tcPr>
          <w:p w14:paraId="471A2B95"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20.0</w:t>
            </w:r>
          </w:p>
        </w:tc>
        <w:tc>
          <w:tcPr>
            <w:tcW w:w="850" w:type="dxa"/>
          </w:tcPr>
          <w:p w14:paraId="5206D07D"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50.0</w:t>
            </w:r>
          </w:p>
        </w:tc>
      </w:tr>
      <w:tr w:rsidR="0092051F" w:rsidRPr="00487776" w14:paraId="4624896A" w14:textId="77777777" w:rsidTr="003901B7">
        <w:trPr>
          <w:trHeight w:val="396"/>
        </w:trPr>
        <w:tc>
          <w:tcPr>
            <w:tcW w:w="1701" w:type="dxa"/>
            <w:vMerge w:val="restart"/>
          </w:tcPr>
          <w:p w14:paraId="46740474" w14:textId="4D718FF5"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Total proline (µgg</w:t>
            </w:r>
            <w:r w:rsidRPr="00487776">
              <w:rPr>
                <w:rFonts w:ascii="Arial" w:hAnsi="Arial" w:cs="Arial"/>
                <w:b/>
                <w:color w:val="000000" w:themeColor="text1"/>
                <w:vertAlign w:val="superscript"/>
              </w:rPr>
              <w:t>-1</w:t>
            </w:r>
            <w:r w:rsidRPr="00487776">
              <w:rPr>
                <w:rFonts w:ascii="Arial" w:hAnsi="Arial" w:cs="Arial"/>
                <w:b/>
                <w:color w:val="000000" w:themeColor="text1"/>
              </w:rPr>
              <w:t xml:space="preserve"> </w:t>
            </w:r>
            <w:r w:rsidR="00CE3BD8" w:rsidRPr="00487776">
              <w:rPr>
                <w:rFonts w:ascii="Arial" w:hAnsi="Arial" w:cs="Arial"/>
                <w:b/>
                <w:color w:val="000000" w:themeColor="text1"/>
              </w:rPr>
              <w:t>FW</w:t>
            </w:r>
            <w:r w:rsidRPr="00487776">
              <w:rPr>
                <w:rFonts w:ascii="Arial" w:hAnsi="Arial" w:cs="Arial"/>
                <w:b/>
                <w:color w:val="000000" w:themeColor="text1"/>
              </w:rPr>
              <w:t>)</w:t>
            </w:r>
          </w:p>
        </w:tc>
        <w:tc>
          <w:tcPr>
            <w:tcW w:w="709" w:type="dxa"/>
          </w:tcPr>
          <w:p w14:paraId="6BDBB5F9"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30</w:t>
            </w:r>
          </w:p>
        </w:tc>
        <w:tc>
          <w:tcPr>
            <w:tcW w:w="992" w:type="dxa"/>
          </w:tcPr>
          <w:p w14:paraId="66E0F782"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68.00</w:t>
            </w:r>
          </w:p>
        </w:tc>
        <w:tc>
          <w:tcPr>
            <w:tcW w:w="993" w:type="dxa"/>
          </w:tcPr>
          <w:p w14:paraId="5F841F59"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81.50</w:t>
            </w:r>
          </w:p>
        </w:tc>
        <w:tc>
          <w:tcPr>
            <w:tcW w:w="992" w:type="dxa"/>
          </w:tcPr>
          <w:p w14:paraId="6AB39376"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98.90</w:t>
            </w:r>
          </w:p>
        </w:tc>
        <w:tc>
          <w:tcPr>
            <w:tcW w:w="992" w:type="dxa"/>
          </w:tcPr>
          <w:p w14:paraId="062D18E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113.80</w:t>
            </w:r>
          </w:p>
        </w:tc>
        <w:tc>
          <w:tcPr>
            <w:tcW w:w="992" w:type="dxa"/>
          </w:tcPr>
          <w:p w14:paraId="0B21BD4D"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3.60</w:t>
            </w:r>
          </w:p>
        </w:tc>
        <w:tc>
          <w:tcPr>
            <w:tcW w:w="851" w:type="dxa"/>
          </w:tcPr>
          <w:p w14:paraId="2867E2D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12.50</w:t>
            </w:r>
          </w:p>
        </w:tc>
        <w:tc>
          <w:tcPr>
            <w:tcW w:w="850" w:type="dxa"/>
          </w:tcPr>
          <w:p w14:paraId="3476A1A8"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25.90</w:t>
            </w:r>
          </w:p>
        </w:tc>
      </w:tr>
      <w:tr w:rsidR="0092051F" w:rsidRPr="00487776" w14:paraId="6A00F854" w14:textId="77777777" w:rsidTr="003901B7">
        <w:trPr>
          <w:trHeight w:val="350"/>
        </w:trPr>
        <w:tc>
          <w:tcPr>
            <w:tcW w:w="1701" w:type="dxa"/>
            <w:vMerge/>
          </w:tcPr>
          <w:p w14:paraId="02B88A1E" w14:textId="77777777" w:rsidR="00CC265A" w:rsidRPr="00487776" w:rsidRDefault="00CC265A" w:rsidP="00233FED">
            <w:pPr>
              <w:spacing w:line="360" w:lineRule="auto"/>
              <w:rPr>
                <w:rFonts w:ascii="Arial" w:hAnsi="Arial" w:cs="Arial"/>
                <w:b/>
                <w:color w:val="000000" w:themeColor="text1"/>
              </w:rPr>
            </w:pPr>
          </w:p>
        </w:tc>
        <w:tc>
          <w:tcPr>
            <w:tcW w:w="709" w:type="dxa"/>
          </w:tcPr>
          <w:p w14:paraId="7C9755DF"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60</w:t>
            </w:r>
          </w:p>
        </w:tc>
        <w:tc>
          <w:tcPr>
            <w:tcW w:w="992" w:type="dxa"/>
          </w:tcPr>
          <w:p w14:paraId="54C635F6"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90.20</w:t>
            </w:r>
          </w:p>
        </w:tc>
        <w:tc>
          <w:tcPr>
            <w:tcW w:w="993" w:type="dxa"/>
          </w:tcPr>
          <w:p w14:paraId="53110924"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94.40</w:t>
            </w:r>
          </w:p>
        </w:tc>
        <w:tc>
          <w:tcPr>
            <w:tcW w:w="992" w:type="dxa"/>
          </w:tcPr>
          <w:p w14:paraId="4F987DB3"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100.70</w:t>
            </w:r>
          </w:p>
        </w:tc>
        <w:tc>
          <w:tcPr>
            <w:tcW w:w="992" w:type="dxa"/>
          </w:tcPr>
          <w:p w14:paraId="281B0AC7"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113.50</w:t>
            </w:r>
          </w:p>
        </w:tc>
        <w:tc>
          <w:tcPr>
            <w:tcW w:w="992" w:type="dxa"/>
          </w:tcPr>
          <w:p w14:paraId="30794A76"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2.10</w:t>
            </w:r>
          </w:p>
        </w:tc>
        <w:tc>
          <w:tcPr>
            <w:tcW w:w="851" w:type="dxa"/>
          </w:tcPr>
          <w:p w14:paraId="382A665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7.30</w:t>
            </w:r>
          </w:p>
        </w:tc>
        <w:tc>
          <w:tcPr>
            <w:tcW w:w="850" w:type="dxa"/>
          </w:tcPr>
          <w:p w14:paraId="4DA5BAED"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15.20</w:t>
            </w:r>
          </w:p>
        </w:tc>
      </w:tr>
      <w:tr w:rsidR="00CC265A" w:rsidRPr="00487776" w14:paraId="67BD74F6" w14:textId="77777777" w:rsidTr="003901B7">
        <w:trPr>
          <w:trHeight w:val="403"/>
        </w:trPr>
        <w:tc>
          <w:tcPr>
            <w:tcW w:w="1701" w:type="dxa"/>
            <w:vMerge/>
          </w:tcPr>
          <w:p w14:paraId="42438D60" w14:textId="77777777" w:rsidR="00CC265A" w:rsidRPr="00487776" w:rsidRDefault="00CC265A" w:rsidP="00233FED">
            <w:pPr>
              <w:spacing w:line="360" w:lineRule="auto"/>
              <w:rPr>
                <w:rFonts w:ascii="Arial" w:hAnsi="Arial" w:cs="Arial"/>
                <w:b/>
                <w:color w:val="000000" w:themeColor="text1"/>
              </w:rPr>
            </w:pPr>
          </w:p>
        </w:tc>
        <w:tc>
          <w:tcPr>
            <w:tcW w:w="709" w:type="dxa"/>
          </w:tcPr>
          <w:p w14:paraId="34937411"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90</w:t>
            </w:r>
          </w:p>
        </w:tc>
        <w:tc>
          <w:tcPr>
            <w:tcW w:w="992" w:type="dxa"/>
          </w:tcPr>
          <w:p w14:paraId="17D88200"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95.20</w:t>
            </w:r>
          </w:p>
        </w:tc>
        <w:tc>
          <w:tcPr>
            <w:tcW w:w="993" w:type="dxa"/>
          </w:tcPr>
          <w:p w14:paraId="67FFFAF6"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120.90</w:t>
            </w:r>
          </w:p>
        </w:tc>
        <w:tc>
          <w:tcPr>
            <w:tcW w:w="992" w:type="dxa"/>
          </w:tcPr>
          <w:p w14:paraId="624B9BB6"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141.50</w:t>
            </w:r>
          </w:p>
        </w:tc>
        <w:tc>
          <w:tcPr>
            <w:tcW w:w="992" w:type="dxa"/>
          </w:tcPr>
          <w:p w14:paraId="09A187F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154.00</w:t>
            </w:r>
          </w:p>
        </w:tc>
        <w:tc>
          <w:tcPr>
            <w:tcW w:w="992" w:type="dxa"/>
          </w:tcPr>
          <w:p w14:paraId="14EA937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0.10</w:t>
            </w:r>
          </w:p>
        </w:tc>
        <w:tc>
          <w:tcPr>
            <w:tcW w:w="851" w:type="dxa"/>
          </w:tcPr>
          <w:p w14:paraId="0628B3B9"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0.10</w:t>
            </w:r>
          </w:p>
        </w:tc>
        <w:tc>
          <w:tcPr>
            <w:tcW w:w="850" w:type="dxa"/>
          </w:tcPr>
          <w:p w14:paraId="6283721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0.30</w:t>
            </w:r>
          </w:p>
        </w:tc>
      </w:tr>
    </w:tbl>
    <w:p w14:paraId="44F0E626" w14:textId="77777777" w:rsidR="00BF6264" w:rsidRPr="00487776" w:rsidRDefault="00BF6264" w:rsidP="00233FED">
      <w:pPr>
        <w:spacing w:line="360" w:lineRule="auto"/>
        <w:jc w:val="both"/>
        <w:rPr>
          <w:rFonts w:ascii="Arial" w:hAnsi="Arial" w:cs="Arial"/>
          <w:bCs/>
          <w:color w:val="000000" w:themeColor="text1"/>
        </w:rPr>
      </w:pPr>
    </w:p>
    <w:p w14:paraId="1B5F7ED3" w14:textId="1DCC62A4" w:rsidR="00CC265A" w:rsidRPr="00487776" w:rsidRDefault="00CC265A" w:rsidP="00233FED">
      <w:pPr>
        <w:spacing w:line="360" w:lineRule="auto"/>
        <w:jc w:val="both"/>
        <w:rPr>
          <w:rFonts w:ascii="Arial" w:hAnsi="Arial" w:cs="Arial"/>
          <w:bCs/>
          <w:color w:val="000000" w:themeColor="text1"/>
        </w:rPr>
      </w:pPr>
      <w:r w:rsidRPr="00487776">
        <w:rPr>
          <w:rFonts w:ascii="Arial" w:hAnsi="Arial" w:cs="Arial"/>
          <w:bCs/>
          <w:color w:val="000000" w:themeColor="text1"/>
        </w:rPr>
        <w:t>*SE(m)=Standard error mean, **SD=Standard deviation, *** CD=Critical difference</w:t>
      </w:r>
    </w:p>
    <w:p w14:paraId="399114FB" w14:textId="684D3CFC" w:rsidR="00CC265A" w:rsidRPr="00487776" w:rsidRDefault="00CC265A" w:rsidP="00233FED">
      <w:pPr>
        <w:spacing w:line="360" w:lineRule="auto"/>
        <w:jc w:val="both"/>
        <w:rPr>
          <w:rFonts w:ascii="Arial" w:hAnsi="Arial" w:cs="Arial"/>
          <w:b/>
          <w:color w:val="000000" w:themeColor="text1"/>
        </w:rPr>
      </w:pPr>
      <w:r w:rsidRPr="00487776">
        <w:rPr>
          <w:rFonts w:ascii="Arial" w:hAnsi="Arial" w:cs="Arial"/>
          <w:b/>
          <w:color w:val="000000" w:themeColor="text1"/>
        </w:rPr>
        <w:t>Table 2: Effect of flood stress on yield</w:t>
      </w:r>
      <w:r w:rsidR="00EF0343" w:rsidRPr="00487776">
        <w:rPr>
          <w:rFonts w:ascii="Arial" w:hAnsi="Arial" w:cs="Arial"/>
          <w:b/>
          <w:color w:val="000000" w:themeColor="text1"/>
        </w:rPr>
        <w:t xml:space="preserve"> parameters </w:t>
      </w:r>
      <w:r w:rsidRPr="00487776">
        <w:rPr>
          <w:rFonts w:ascii="Arial" w:hAnsi="Arial" w:cs="Arial"/>
          <w:b/>
          <w:color w:val="000000" w:themeColor="text1"/>
        </w:rPr>
        <w:t xml:space="preserve">of </w:t>
      </w:r>
      <w:proofErr w:type="spellStart"/>
      <w:r w:rsidRPr="00487776">
        <w:rPr>
          <w:rFonts w:ascii="Arial" w:hAnsi="Arial" w:cs="Arial"/>
          <w:b/>
          <w:color w:val="000000" w:themeColor="text1"/>
        </w:rPr>
        <w:t>Phourel-amubi</w:t>
      </w:r>
      <w:proofErr w:type="spellEnd"/>
      <w:r w:rsidRPr="00487776">
        <w:rPr>
          <w:rFonts w:ascii="Arial" w:hAnsi="Arial" w:cs="Arial"/>
          <w:b/>
          <w:color w:val="000000" w:themeColor="text1"/>
        </w:rPr>
        <w:t xml:space="preserve"> rice cultivar </w:t>
      </w:r>
      <w:r w:rsidR="00EF0343" w:rsidRPr="00487776">
        <w:rPr>
          <w:rFonts w:ascii="Arial" w:hAnsi="Arial" w:cs="Arial"/>
          <w:b/>
          <w:color w:val="000000" w:themeColor="text1"/>
        </w:rPr>
        <w:t>at</w:t>
      </w:r>
      <w:r w:rsidRPr="00487776">
        <w:rPr>
          <w:rFonts w:ascii="Arial" w:hAnsi="Arial" w:cs="Arial"/>
          <w:b/>
          <w:color w:val="000000" w:themeColor="text1"/>
        </w:rPr>
        <w:t xml:space="preserve"> 90 and 120 days after transplant (DAT).</w:t>
      </w:r>
    </w:p>
    <w:tbl>
      <w:tblPr>
        <w:tblStyle w:val="TableGrid"/>
        <w:tblW w:w="9072" w:type="dxa"/>
        <w:tblInd w:w="108" w:type="dxa"/>
        <w:tblLook w:val="04A0" w:firstRow="1" w:lastRow="0" w:firstColumn="1" w:lastColumn="0" w:noHBand="0" w:noVBand="1"/>
      </w:tblPr>
      <w:tblGrid>
        <w:gridCol w:w="1694"/>
        <w:gridCol w:w="929"/>
        <w:gridCol w:w="999"/>
        <w:gridCol w:w="889"/>
        <w:gridCol w:w="919"/>
        <w:gridCol w:w="902"/>
        <w:gridCol w:w="951"/>
        <w:gridCol w:w="821"/>
        <w:gridCol w:w="968"/>
      </w:tblGrid>
      <w:tr w:rsidR="0092051F" w:rsidRPr="00487776" w14:paraId="6D23E7EA" w14:textId="77777777" w:rsidTr="005930A9">
        <w:trPr>
          <w:trHeight w:val="596"/>
        </w:trPr>
        <w:tc>
          <w:tcPr>
            <w:tcW w:w="1730" w:type="dxa"/>
          </w:tcPr>
          <w:p w14:paraId="0DDEC118" w14:textId="77777777" w:rsidR="00CC265A" w:rsidRPr="00487776" w:rsidRDefault="00CC265A" w:rsidP="00233FED">
            <w:pPr>
              <w:spacing w:line="360" w:lineRule="auto"/>
              <w:jc w:val="both"/>
              <w:rPr>
                <w:rFonts w:ascii="Arial" w:hAnsi="Arial" w:cs="Arial"/>
                <w:b/>
                <w:color w:val="000000" w:themeColor="text1"/>
              </w:rPr>
            </w:pPr>
            <w:r w:rsidRPr="00487776">
              <w:rPr>
                <w:rFonts w:ascii="Arial" w:hAnsi="Arial" w:cs="Arial"/>
                <w:b/>
                <w:color w:val="000000" w:themeColor="text1"/>
              </w:rPr>
              <w:t>Parameters</w:t>
            </w:r>
          </w:p>
          <w:p w14:paraId="35A27C61" w14:textId="77777777" w:rsidR="00CC265A" w:rsidRPr="00487776" w:rsidRDefault="00CC265A" w:rsidP="00233FED">
            <w:pPr>
              <w:spacing w:line="360" w:lineRule="auto"/>
              <w:rPr>
                <w:rFonts w:ascii="Arial" w:hAnsi="Arial" w:cs="Arial"/>
                <w:b/>
                <w:color w:val="000000" w:themeColor="text1"/>
              </w:rPr>
            </w:pPr>
          </w:p>
        </w:tc>
        <w:tc>
          <w:tcPr>
            <w:tcW w:w="964" w:type="dxa"/>
          </w:tcPr>
          <w:p w14:paraId="358A53B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DAT</w:t>
            </w:r>
          </w:p>
          <w:p w14:paraId="16BAF325" w14:textId="77777777" w:rsidR="00CC265A" w:rsidRPr="00487776" w:rsidRDefault="00CC265A" w:rsidP="00233FED">
            <w:pPr>
              <w:spacing w:line="360" w:lineRule="auto"/>
              <w:rPr>
                <w:rFonts w:ascii="Arial" w:hAnsi="Arial" w:cs="Arial"/>
                <w:b/>
                <w:color w:val="000000" w:themeColor="text1"/>
              </w:rPr>
            </w:pPr>
          </w:p>
        </w:tc>
        <w:tc>
          <w:tcPr>
            <w:tcW w:w="940" w:type="dxa"/>
          </w:tcPr>
          <w:p w14:paraId="1D0E8D7D" w14:textId="51E5C68F" w:rsidR="00CC265A" w:rsidRPr="00487776" w:rsidRDefault="005930A9" w:rsidP="00233FED">
            <w:pPr>
              <w:spacing w:line="360" w:lineRule="auto"/>
              <w:rPr>
                <w:rFonts w:ascii="Arial" w:hAnsi="Arial" w:cs="Arial"/>
                <w:b/>
                <w:color w:val="000000" w:themeColor="text1"/>
              </w:rPr>
            </w:pPr>
            <w:r w:rsidRPr="00487776">
              <w:rPr>
                <w:rFonts w:ascii="Arial" w:hAnsi="Arial" w:cs="Arial"/>
                <w:b/>
                <w:color w:val="000000" w:themeColor="text1"/>
              </w:rPr>
              <w:t>Control (CON)</w:t>
            </w:r>
          </w:p>
        </w:tc>
        <w:tc>
          <w:tcPr>
            <w:tcW w:w="789" w:type="dxa"/>
          </w:tcPr>
          <w:p w14:paraId="5256ACFB" w14:textId="16197C75" w:rsidR="00CC265A" w:rsidRPr="00487776" w:rsidRDefault="005930A9" w:rsidP="00233FED">
            <w:pPr>
              <w:spacing w:line="360" w:lineRule="auto"/>
              <w:rPr>
                <w:rFonts w:ascii="Arial" w:hAnsi="Arial" w:cs="Arial"/>
                <w:b/>
                <w:color w:val="000000" w:themeColor="text1"/>
              </w:rPr>
            </w:pPr>
            <w:r w:rsidRPr="00487776">
              <w:rPr>
                <w:rFonts w:ascii="Arial" w:hAnsi="Arial" w:cs="Arial"/>
                <w:b/>
                <w:color w:val="000000" w:themeColor="text1"/>
              </w:rPr>
              <w:t>5 Days (5D)</w:t>
            </w:r>
          </w:p>
        </w:tc>
        <w:tc>
          <w:tcPr>
            <w:tcW w:w="923" w:type="dxa"/>
          </w:tcPr>
          <w:p w14:paraId="6236F857" w14:textId="7941152E" w:rsidR="00CC265A" w:rsidRPr="00487776" w:rsidRDefault="005930A9" w:rsidP="00233FED">
            <w:pPr>
              <w:spacing w:line="360" w:lineRule="auto"/>
              <w:rPr>
                <w:rFonts w:ascii="Arial" w:hAnsi="Arial" w:cs="Arial"/>
                <w:b/>
                <w:color w:val="000000" w:themeColor="text1"/>
              </w:rPr>
            </w:pPr>
            <w:r w:rsidRPr="00487776">
              <w:rPr>
                <w:rFonts w:ascii="Arial" w:hAnsi="Arial" w:cs="Arial"/>
                <w:b/>
                <w:color w:val="000000" w:themeColor="text1"/>
              </w:rPr>
              <w:t>10 Days (10D)</w:t>
            </w:r>
          </w:p>
        </w:tc>
        <w:tc>
          <w:tcPr>
            <w:tcW w:w="920" w:type="dxa"/>
          </w:tcPr>
          <w:p w14:paraId="71E215AB" w14:textId="6E33F5DC" w:rsidR="00CC265A" w:rsidRPr="00487776" w:rsidRDefault="005930A9" w:rsidP="00233FED">
            <w:pPr>
              <w:spacing w:line="360" w:lineRule="auto"/>
              <w:rPr>
                <w:rFonts w:ascii="Arial" w:hAnsi="Arial" w:cs="Arial"/>
                <w:b/>
                <w:color w:val="000000" w:themeColor="text1"/>
              </w:rPr>
            </w:pPr>
            <w:r w:rsidRPr="00487776">
              <w:rPr>
                <w:rFonts w:ascii="Arial" w:hAnsi="Arial" w:cs="Arial"/>
                <w:b/>
                <w:color w:val="000000" w:themeColor="text1"/>
              </w:rPr>
              <w:t>15 Days (15D)</w:t>
            </w:r>
          </w:p>
        </w:tc>
        <w:tc>
          <w:tcPr>
            <w:tcW w:w="992" w:type="dxa"/>
          </w:tcPr>
          <w:p w14:paraId="096628D3"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*SE (m)</w:t>
            </w:r>
          </w:p>
        </w:tc>
        <w:tc>
          <w:tcPr>
            <w:tcW w:w="822" w:type="dxa"/>
          </w:tcPr>
          <w:p w14:paraId="2F38E91D"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**SD±</w:t>
            </w:r>
          </w:p>
        </w:tc>
        <w:tc>
          <w:tcPr>
            <w:tcW w:w="992" w:type="dxa"/>
          </w:tcPr>
          <w:p w14:paraId="3553DBC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***CD at 5%</w:t>
            </w:r>
          </w:p>
        </w:tc>
      </w:tr>
      <w:tr w:rsidR="0092051F" w:rsidRPr="00487776" w14:paraId="747C65DF" w14:textId="77777777" w:rsidTr="005930A9">
        <w:trPr>
          <w:trHeight w:val="241"/>
        </w:trPr>
        <w:tc>
          <w:tcPr>
            <w:tcW w:w="1730" w:type="dxa"/>
            <w:vMerge w:val="restart"/>
          </w:tcPr>
          <w:p w14:paraId="1584EECD"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Panicle number</w:t>
            </w:r>
          </w:p>
        </w:tc>
        <w:tc>
          <w:tcPr>
            <w:tcW w:w="964" w:type="dxa"/>
          </w:tcPr>
          <w:p w14:paraId="27C9EC71"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90</w:t>
            </w:r>
          </w:p>
        </w:tc>
        <w:tc>
          <w:tcPr>
            <w:tcW w:w="940" w:type="dxa"/>
          </w:tcPr>
          <w:p w14:paraId="088066D9"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6.83</w:t>
            </w:r>
          </w:p>
        </w:tc>
        <w:tc>
          <w:tcPr>
            <w:tcW w:w="789" w:type="dxa"/>
          </w:tcPr>
          <w:p w14:paraId="40F6445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6.00</w:t>
            </w:r>
          </w:p>
        </w:tc>
        <w:tc>
          <w:tcPr>
            <w:tcW w:w="923" w:type="dxa"/>
          </w:tcPr>
          <w:p w14:paraId="42A959B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5.16</w:t>
            </w:r>
          </w:p>
        </w:tc>
        <w:tc>
          <w:tcPr>
            <w:tcW w:w="920" w:type="dxa"/>
          </w:tcPr>
          <w:p w14:paraId="75E452BE"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3.00</w:t>
            </w:r>
          </w:p>
        </w:tc>
        <w:tc>
          <w:tcPr>
            <w:tcW w:w="992" w:type="dxa"/>
          </w:tcPr>
          <w:p w14:paraId="53472DDF"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0.16</w:t>
            </w:r>
          </w:p>
        </w:tc>
        <w:tc>
          <w:tcPr>
            <w:tcW w:w="822" w:type="dxa"/>
          </w:tcPr>
          <w:p w14:paraId="6CB79EBF"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0.55</w:t>
            </w:r>
          </w:p>
        </w:tc>
        <w:tc>
          <w:tcPr>
            <w:tcW w:w="992" w:type="dxa"/>
          </w:tcPr>
          <w:p w14:paraId="5B520450"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1.13</w:t>
            </w:r>
          </w:p>
        </w:tc>
      </w:tr>
      <w:tr w:rsidR="0092051F" w:rsidRPr="00487776" w14:paraId="5234814C" w14:textId="77777777" w:rsidTr="005930A9">
        <w:trPr>
          <w:trHeight w:val="276"/>
        </w:trPr>
        <w:tc>
          <w:tcPr>
            <w:tcW w:w="1730" w:type="dxa"/>
            <w:vMerge/>
          </w:tcPr>
          <w:p w14:paraId="635D2308" w14:textId="77777777" w:rsidR="00CC265A" w:rsidRPr="00487776" w:rsidRDefault="00CC265A" w:rsidP="00233FED">
            <w:pPr>
              <w:spacing w:line="360" w:lineRule="auto"/>
              <w:rPr>
                <w:rFonts w:ascii="Arial" w:hAnsi="Arial" w:cs="Arial"/>
                <w:b/>
                <w:color w:val="000000" w:themeColor="text1"/>
              </w:rPr>
            </w:pPr>
          </w:p>
        </w:tc>
        <w:tc>
          <w:tcPr>
            <w:tcW w:w="964" w:type="dxa"/>
          </w:tcPr>
          <w:p w14:paraId="0715D00A"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120</w:t>
            </w:r>
          </w:p>
        </w:tc>
        <w:tc>
          <w:tcPr>
            <w:tcW w:w="940" w:type="dxa"/>
          </w:tcPr>
          <w:p w14:paraId="6ADAB2D9"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8.00</w:t>
            </w:r>
          </w:p>
        </w:tc>
        <w:tc>
          <w:tcPr>
            <w:tcW w:w="789" w:type="dxa"/>
          </w:tcPr>
          <w:p w14:paraId="630C16E8"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7.17</w:t>
            </w:r>
          </w:p>
        </w:tc>
        <w:tc>
          <w:tcPr>
            <w:tcW w:w="923" w:type="dxa"/>
          </w:tcPr>
          <w:p w14:paraId="61D7A7A8"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5.83</w:t>
            </w:r>
          </w:p>
        </w:tc>
        <w:tc>
          <w:tcPr>
            <w:tcW w:w="920" w:type="dxa"/>
          </w:tcPr>
          <w:p w14:paraId="2947CF05"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4.17</w:t>
            </w:r>
          </w:p>
        </w:tc>
        <w:tc>
          <w:tcPr>
            <w:tcW w:w="992" w:type="dxa"/>
          </w:tcPr>
          <w:p w14:paraId="42DDB760"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0.14</w:t>
            </w:r>
          </w:p>
        </w:tc>
        <w:tc>
          <w:tcPr>
            <w:tcW w:w="822" w:type="dxa"/>
          </w:tcPr>
          <w:p w14:paraId="4ED0BF6E"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0.50</w:t>
            </w:r>
          </w:p>
        </w:tc>
        <w:tc>
          <w:tcPr>
            <w:tcW w:w="992" w:type="dxa"/>
          </w:tcPr>
          <w:p w14:paraId="394CCBD5"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1.03</w:t>
            </w:r>
          </w:p>
        </w:tc>
      </w:tr>
      <w:tr w:rsidR="0092051F" w:rsidRPr="00487776" w14:paraId="6C656866" w14:textId="77777777" w:rsidTr="005930A9">
        <w:trPr>
          <w:trHeight w:val="545"/>
        </w:trPr>
        <w:tc>
          <w:tcPr>
            <w:tcW w:w="1730" w:type="dxa"/>
          </w:tcPr>
          <w:p w14:paraId="43510F0F" w14:textId="3764D33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 xml:space="preserve">Number of </w:t>
            </w:r>
            <w:r w:rsidR="005A1605" w:rsidRPr="00487776">
              <w:rPr>
                <w:rFonts w:ascii="Arial" w:hAnsi="Arial" w:cs="Arial"/>
                <w:b/>
                <w:color w:val="000000" w:themeColor="text1"/>
              </w:rPr>
              <w:t xml:space="preserve">filled </w:t>
            </w:r>
            <w:r w:rsidRPr="00487776">
              <w:rPr>
                <w:rFonts w:ascii="Arial" w:hAnsi="Arial" w:cs="Arial"/>
                <w:b/>
                <w:color w:val="000000" w:themeColor="text1"/>
              </w:rPr>
              <w:t>grains per panicle</w:t>
            </w:r>
          </w:p>
        </w:tc>
        <w:tc>
          <w:tcPr>
            <w:tcW w:w="964" w:type="dxa"/>
          </w:tcPr>
          <w:p w14:paraId="17BB931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120</w:t>
            </w:r>
          </w:p>
        </w:tc>
        <w:tc>
          <w:tcPr>
            <w:tcW w:w="940" w:type="dxa"/>
          </w:tcPr>
          <w:p w14:paraId="120758CA"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135.83</w:t>
            </w:r>
          </w:p>
        </w:tc>
        <w:tc>
          <w:tcPr>
            <w:tcW w:w="789" w:type="dxa"/>
          </w:tcPr>
          <w:p w14:paraId="3EE5F907"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117.17</w:t>
            </w:r>
          </w:p>
        </w:tc>
        <w:tc>
          <w:tcPr>
            <w:tcW w:w="923" w:type="dxa"/>
          </w:tcPr>
          <w:p w14:paraId="178F4B80"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102.83</w:t>
            </w:r>
          </w:p>
        </w:tc>
        <w:tc>
          <w:tcPr>
            <w:tcW w:w="920" w:type="dxa"/>
          </w:tcPr>
          <w:p w14:paraId="6F502BB0"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95.17</w:t>
            </w:r>
          </w:p>
        </w:tc>
        <w:tc>
          <w:tcPr>
            <w:tcW w:w="992" w:type="dxa"/>
          </w:tcPr>
          <w:p w14:paraId="71A8F5FF"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1.52</w:t>
            </w:r>
          </w:p>
        </w:tc>
        <w:tc>
          <w:tcPr>
            <w:tcW w:w="822" w:type="dxa"/>
          </w:tcPr>
          <w:p w14:paraId="79F22999"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5.27</w:t>
            </w:r>
          </w:p>
        </w:tc>
        <w:tc>
          <w:tcPr>
            <w:tcW w:w="992" w:type="dxa"/>
          </w:tcPr>
          <w:p w14:paraId="5A32DD6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10.89</w:t>
            </w:r>
          </w:p>
        </w:tc>
      </w:tr>
      <w:tr w:rsidR="0092051F" w:rsidRPr="00487776" w14:paraId="77FED8CC" w14:textId="77777777" w:rsidTr="005930A9">
        <w:trPr>
          <w:trHeight w:val="545"/>
        </w:trPr>
        <w:tc>
          <w:tcPr>
            <w:tcW w:w="1730" w:type="dxa"/>
          </w:tcPr>
          <w:p w14:paraId="09630E0A" w14:textId="5AC67212"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 xml:space="preserve">1000 grain weight </w:t>
            </w:r>
            <w:r w:rsidR="005A1605" w:rsidRPr="00487776">
              <w:rPr>
                <w:rFonts w:ascii="Arial" w:hAnsi="Arial" w:cs="Arial"/>
                <w:b/>
                <w:color w:val="000000" w:themeColor="text1"/>
              </w:rPr>
              <w:t>(</w:t>
            </w:r>
            <w:r w:rsidRPr="00487776">
              <w:rPr>
                <w:rFonts w:ascii="Arial" w:hAnsi="Arial" w:cs="Arial"/>
                <w:b/>
                <w:color w:val="000000" w:themeColor="text1"/>
              </w:rPr>
              <w:t>g</w:t>
            </w:r>
            <w:r w:rsidR="005A1605" w:rsidRPr="00487776">
              <w:rPr>
                <w:rFonts w:ascii="Arial" w:hAnsi="Arial" w:cs="Arial"/>
                <w:b/>
                <w:color w:val="000000" w:themeColor="text1"/>
              </w:rPr>
              <w:t>)</w:t>
            </w:r>
          </w:p>
        </w:tc>
        <w:tc>
          <w:tcPr>
            <w:tcW w:w="964" w:type="dxa"/>
          </w:tcPr>
          <w:p w14:paraId="381E4836"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120</w:t>
            </w:r>
          </w:p>
        </w:tc>
        <w:tc>
          <w:tcPr>
            <w:tcW w:w="940" w:type="dxa"/>
          </w:tcPr>
          <w:p w14:paraId="7CC50A64"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29.69</w:t>
            </w:r>
          </w:p>
        </w:tc>
        <w:tc>
          <w:tcPr>
            <w:tcW w:w="789" w:type="dxa"/>
          </w:tcPr>
          <w:p w14:paraId="2E2CA92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24.86</w:t>
            </w:r>
          </w:p>
        </w:tc>
        <w:tc>
          <w:tcPr>
            <w:tcW w:w="923" w:type="dxa"/>
          </w:tcPr>
          <w:p w14:paraId="0262C6C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19.79</w:t>
            </w:r>
          </w:p>
        </w:tc>
        <w:tc>
          <w:tcPr>
            <w:tcW w:w="920" w:type="dxa"/>
          </w:tcPr>
          <w:p w14:paraId="22710A01"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16.19</w:t>
            </w:r>
          </w:p>
        </w:tc>
        <w:tc>
          <w:tcPr>
            <w:tcW w:w="992" w:type="dxa"/>
          </w:tcPr>
          <w:p w14:paraId="65997AF1"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0.62</w:t>
            </w:r>
          </w:p>
        </w:tc>
        <w:tc>
          <w:tcPr>
            <w:tcW w:w="822" w:type="dxa"/>
          </w:tcPr>
          <w:p w14:paraId="4C0E5155"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2.15</w:t>
            </w:r>
          </w:p>
        </w:tc>
        <w:tc>
          <w:tcPr>
            <w:tcW w:w="992" w:type="dxa"/>
          </w:tcPr>
          <w:p w14:paraId="5C53054A"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4.45</w:t>
            </w:r>
          </w:p>
        </w:tc>
      </w:tr>
      <w:tr w:rsidR="000F6F22" w:rsidRPr="00487776" w14:paraId="7B85BCA8" w14:textId="77777777" w:rsidTr="005930A9">
        <w:trPr>
          <w:trHeight w:val="523"/>
        </w:trPr>
        <w:tc>
          <w:tcPr>
            <w:tcW w:w="1730" w:type="dxa"/>
          </w:tcPr>
          <w:p w14:paraId="06D0000D" w14:textId="18962D6F"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Grain yield per hill</w:t>
            </w:r>
            <w:r w:rsidR="005A1605" w:rsidRPr="00487776">
              <w:rPr>
                <w:rFonts w:ascii="Arial" w:hAnsi="Arial" w:cs="Arial"/>
                <w:b/>
                <w:color w:val="000000" w:themeColor="text1"/>
              </w:rPr>
              <w:t xml:space="preserve"> (g)</w:t>
            </w:r>
          </w:p>
        </w:tc>
        <w:tc>
          <w:tcPr>
            <w:tcW w:w="964" w:type="dxa"/>
          </w:tcPr>
          <w:p w14:paraId="749EA299"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120</w:t>
            </w:r>
          </w:p>
        </w:tc>
        <w:tc>
          <w:tcPr>
            <w:tcW w:w="940" w:type="dxa"/>
          </w:tcPr>
          <w:p w14:paraId="04D0CA69"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25.08</w:t>
            </w:r>
          </w:p>
        </w:tc>
        <w:tc>
          <w:tcPr>
            <w:tcW w:w="789" w:type="dxa"/>
          </w:tcPr>
          <w:p w14:paraId="58F1D750"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23.49</w:t>
            </w:r>
          </w:p>
        </w:tc>
        <w:tc>
          <w:tcPr>
            <w:tcW w:w="923" w:type="dxa"/>
          </w:tcPr>
          <w:p w14:paraId="50DE089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16.18</w:t>
            </w:r>
          </w:p>
        </w:tc>
        <w:tc>
          <w:tcPr>
            <w:tcW w:w="920" w:type="dxa"/>
          </w:tcPr>
          <w:p w14:paraId="70FCF567"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11.67</w:t>
            </w:r>
          </w:p>
        </w:tc>
        <w:tc>
          <w:tcPr>
            <w:tcW w:w="992" w:type="dxa"/>
          </w:tcPr>
          <w:p w14:paraId="335F5B1E"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0.64</w:t>
            </w:r>
          </w:p>
        </w:tc>
        <w:tc>
          <w:tcPr>
            <w:tcW w:w="822" w:type="dxa"/>
          </w:tcPr>
          <w:p w14:paraId="6C375A8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2.21</w:t>
            </w:r>
          </w:p>
        </w:tc>
        <w:tc>
          <w:tcPr>
            <w:tcW w:w="992" w:type="dxa"/>
          </w:tcPr>
          <w:p w14:paraId="2299A618"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4.57</w:t>
            </w:r>
          </w:p>
        </w:tc>
      </w:tr>
    </w:tbl>
    <w:p w14:paraId="3A5FC934" w14:textId="77777777" w:rsidR="00C3230C" w:rsidRPr="00487776" w:rsidRDefault="00C3230C" w:rsidP="00233FED">
      <w:pPr>
        <w:spacing w:line="360" w:lineRule="auto"/>
        <w:jc w:val="both"/>
        <w:rPr>
          <w:rFonts w:ascii="Arial" w:hAnsi="Arial" w:cs="Arial"/>
          <w:bCs/>
          <w:color w:val="000000" w:themeColor="text1"/>
        </w:rPr>
      </w:pPr>
    </w:p>
    <w:p w14:paraId="33B80A77" w14:textId="5CD389F1" w:rsidR="00D66773" w:rsidRPr="00487776" w:rsidRDefault="00CC265A" w:rsidP="00233FED">
      <w:pPr>
        <w:spacing w:line="360" w:lineRule="auto"/>
        <w:jc w:val="both"/>
        <w:rPr>
          <w:rFonts w:ascii="Arial" w:hAnsi="Arial" w:cs="Arial"/>
          <w:bCs/>
          <w:color w:val="000000" w:themeColor="text1"/>
        </w:rPr>
      </w:pPr>
      <w:r w:rsidRPr="00487776">
        <w:rPr>
          <w:rFonts w:ascii="Arial" w:hAnsi="Arial" w:cs="Arial"/>
          <w:bCs/>
          <w:color w:val="000000" w:themeColor="text1"/>
        </w:rPr>
        <w:t>*SE(m)=Standard error mean, **SD=Standard deviation, *** CD=Critical difference</w:t>
      </w:r>
    </w:p>
    <w:p w14:paraId="3E1CE0B1" w14:textId="07CBFD7C" w:rsidR="005B6714" w:rsidRPr="00487776" w:rsidRDefault="00D66773" w:rsidP="00233FED">
      <w:pPr>
        <w:spacing w:line="360" w:lineRule="auto"/>
        <w:jc w:val="both"/>
        <w:rPr>
          <w:rFonts w:ascii="Arial" w:hAnsi="Arial" w:cs="Arial"/>
          <w:b/>
          <w:bCs/>
          <w:color w:val="000000" w:themeColor="text1"/>
        </w:rPr>
      </w:pPr>
      <w:r w:rsidRPr="00487776">
        <w:rPr>
          <w:rFonts w:ascii="Arial" w:hAnsi="Arial" w:cs="Arial"/>
          <w:b/>
          <w:bCs/>
          <w:color w:val="000000" w:themeColor="text1"/>
        </w:rPr>
        <w:t>5</w:t>
      </w:r>
      <w:r w:rsidR="006434EC" w:rsidRPr="00487776">
        <w:rPr>
          <w:rFonts w:ascii="Arial" w:hAnsi="Arial" w:cs="Arial"/>
          <w:b/>
          <w:bCs/>
          <w:color w:val="000000" w:themeColor="text1"/>
        </w:rPr>
        <w:t>. Conclusion</w:t>
      </w:r>
    </w:p>
    <w:p w14:paraId="5B8B4F62" w14:textId="1228370C" w:rsidR="00073AAC" w:rsidRPr="00487776" w:rsidRDefault="006434EC" w:rsidP="00233FED">
      <w:pPr>
        <w:spacing w:line="360" w:lineRule="auto"/>
        <w:jc w:val="both"/>
        <w:rPr>
          <w:rFonts w:ascii="Arial" w:hAnsi="Arial" w:cs="Arial"/>
          <w:color w:val="000000" w:themeColor="text1"/>
        </w:rPr>
      </w:pPr>
      <w:r w:rsidRPr="00487776">
        <w:rPr>
          <w:rFonts w:ascii="Arial" w:hAnsi="Arial" w:cs="Arial"/>
          <w:color w:val="000000" w:themeColor="text1"/>
        </w:rPr>
        <w:t xml:space="preserve">The findings of this study demonstrate that flash flooding severely affects the growth, physiological processes, and yield performance of </w:t>
      </w:r>
      <w:proofErr w:type="spellStart"/>
      <w:r w:rsidRPr="00487776">
        <w:rPr>
          <w:rFonts w:ascii="Arial" w:hAnsi="Arial" w:cs="Arial"/>
          <w:color w:val="000000" w:themeColor="text1"/>
        </w:rPr>
        <w:t>Phourel</w:t>
      </w:r>
      <w:proofErr w:type="spellEnd"/>
      <w:r w:rsidRPr="00487776">
        <w:rPr>
          <w:rFonts w:ascii="Arial" w:hAnsi="Arial" w:cs="Arial"/>
          <w:color w:val="000000" w:themeColor="text1"/>
        </w:rPr>
        <w:t xml:space="preserve">-Amubi rice. Reduced chlorophyll </w:t>
      </w:r>
      <w:r w:rsidRPr="00487776">
        <w:rPr>
          <w:rFonts w:ascii="Arial" w:hAnsi="Arial" w:cs="Arial"/>
          <w:color w:val="000000" w:themeColor="text1"/>
        </w:rPr>
        <w:lastRenderedPageBreak/>
        <w:t>content, soluble sugars, and proteins</w:t>
      </w:r>
      <w:r w:rsidR="00B15CA2" w:rsidRPr="00487776">
        <w:rPr>
          <w:rFonts w:ascii="Arial" w:hAnsi="Arial" w:cs="Arial"/>
          <w:color w:val="000000" w:themeColor="text1"/>
        </w:rPr>
        <w:t xml:space="preserve"> and increased proline and phenolic accumulation </w:t>
      </w:r>
      <w:r w:rsidRPr="00487776">
        <w:rPr>
          <w:rFonts w:ascii="Arial" w:hAnsi="Arial" w:cs="Arial"/>
          <w:color w:val="000000" w:themeColor="text1"/>
        </w:rPr>
        <w:t>indicate a biochemical stress response. Yield losses were substantial under prolonged submergence, emphasizing the need for flood-resilient rice varieties and improved water management strategies. Further research on breeding and agronomic interventions can aid in sustaining rice production in flood-prone areas.</w:t>
      </w:r>
    </w:p>
    <w:p w14:paraId="61ED08A4" w14:textId="77777777" w:rsidR="00A17EF4" w:rsidRDefault="00A17EF4" w:rsidP="00233FED">
      <w:pPr>
        <w:tabs>
          <w:tab w:val="left" w:pos="1740"/>
        </w:tabs>
        <w:spacing w:line="360" w:lineRule="auto"/>
        <w:jc w:val="both"/>
        <w:rPr>
          <w:rFonts w:ascii="Arial" w:eastAsia="Times New Roman" w:hAnsi="Arial" w:cs="Arial"/>
          <w:b/>
          <w:bCs/>
          <w:color w:val="000000" w:themeColor="text1"/>
          <w:lang w:eastAsia="en-IN"/>
        </w:rPr>
      </w:pPr>
    </w:p>
    <w:p w14:paraId="4C1880A3" w14:textId="0834855D" w:rsidR="000273F9" w:rsidRPr="00487776" w:rsidRDefault="00C657CB" w:rsidP="00233FED">
      <w:pPr>
        <w:tabs>
          <w:tab w:val="left" w:pos="1740"/>
        </w:tabs>
        <w:spacing w:line="360" w:lineRule="auto"/>
        <w:jc w:val="both"/>
        <w:rPr>
          <w:rFonts w:ascii="Arial" w:eastAsia="Times New Roman" w:hAnsi="Arial" w:cs="Arial"/>
          <w:b/>
          <w:bCs/>
          <w:color w:val="000000" w:themeColor="text1"/>
          <w:lang w:eastAsia="en-IN"/>
        </w:rPr>
      </w:pPr>
      <w:r w:rsidRPr="00487776">
        <w:rPr>
          <w:rFonts w:ascii="Arial" w:eastAsia="Times New Roman" w:hAnsi="Arial" w:cs="Arial"/>
          <w:b/>
          <w:bCs/>
          <w:color w:val="000000" w:themeColor="text1"/>
          <w:lang w:eastAsia="en-IN"/>
        </w:rPr>
        <w:t>REFERENCES:</w:t>
      </w:r>
    </w:p>
    <w:p w14:paraId="23D6D27C" w14:textId="50428570"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Adak, M. K., &amp; Das Gupta, D. K. (2000). Prolonged waterlogging on photosynthesis and related characters in rice. Indian Journal of Plant Physiology, 5(4), 380–382.</w:t>
      </w:r>
    </w:p>
    <w:p w14:paraId="6CD6B083" w14:textId="23F0105C"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Anandan, A., Rajiv, G., Ramarao, A., &amp; Prakash, M. (2012). Internode elongation pattern and differential response of rice genotypes to varying levels of flood water. Functional Plant Biology, 39, 137–145.</w:t>
      </w:r>
    </w:p>
    <w:p w14:paraId="05522C8D" w14:textId="7E31EC40"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Asha, K., &amp; Pandey, O. P. (2007). Effect of waterlogging on metabolic constituents in maize. Indian Journal of Plant Physiology, 24, 1–15.</w:t>
      </w:r>
    </w:p>
    <w:p w14:paraId="3C83CE87" w14:textId="3BE97483"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 xml:space="preserve">Ashraf, M. (2003). Relationships between leaf gas exchange characteristics and growth of differently adapted populations of blue </w:t>
      </w:r>
      <w:proofErr w:type="spellStart"/>
      <w:r w:rsidRPr="00487776">
        <w:rPr>
          <w:rFonts w:ascii="Arial" w:eastAsia="Times New Roman" w:hAnsi="Arial" w:cs="Arial"/>
          <w:color w:val="000000" w:themeColor="text1"/>
          <w:lang w:eastAsia="en-IN"/>
        </w:rPr>
        <w:t>panicgrass</w:t>
      </w:r>
      <w:proofErr w:type="spellEnd"/>
      <w:r w:rsidRPr="00487776">
        <w:rPr>
          <w:rFonts w:ascii="Arial" w:eastAsia="Times New Roman" w:hAnsi="Arial" w:cs="Arial"/>
          <w:color w:val="000000" w:themeColor="text1"/>
          <w:lang w:eastAsia="en-IN"/>
        </w:rPr>
        <w:t xml:space="preserve"> (Panicum </w:t>
      </w:r>
      <w:proofErr w:type="spellStart"/>
      <w:r w:rsidRPr="00487776">
        <w:rPr>
          <w:rFonts w:ascii="Arial" w:eastAsia="Times New Roman" w:hAnsi="Arial" w:cs="Arial"/>
          <w:color w:val="000000" w:themeColor="text1"/>
          <w:lang w:eastAsia="en-IN"/>
        </w:rPr>
        <w:t>antidotale</w:t>
      </w:r>
      <w:proofErr w:type="spellEnd"/>
      <w:r w:rsidRPr="00487776">
        <w:rPr>
          <w:rFonts w:ascii="Arial" w:eastAsia="Times New Roman" w:hAnsi="Arial" w:cs="Arial"/>
          <w:color w:val="000000" w:themeColor="text1"/>
          <w:lang w:eastAsia="en-IN"/>
        </w:rPr>
        <w:t xml:space="preserve"> Retz.) under salinity or waterlogging. Plant Science, 165, 69–75.</w:t>
      </w:r>
    </w:p>
    <w:p w14:paraId="2796D874" w14:textId="27EBE23F"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Bailey-Serres, J., &amp; Colmer, T. D. (2014). Plant tolerance of flooding stress—recent advances. Plant, Cell &amp; Environment, 37(10), 2211–2215.</w:t>
      </w:r>
    </w:p>
    <w:p w14:paraId="60FA9196" w14:textId="2704C9DE"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Bailey-Serres, J., Fukao, T., Ronald, P., Ismail, A., Heuer, S., &amp; Mackill, D. (2010). Submergence tolerance rice: SUB1’s journey from landrace to modern cultivar. Rice, 3, 138–147.</w:t>
      </w:r>
    </w:p>
    <w:p w14:paraId="07B01138" w14:textId="292BBEBA"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 xml:space="preserve">Bailey-Serres, J., </w:t>
      </w:r>
      <w:proofErr w:type="spellStart"/>
      <w:r w:rsidRPr="00487776">
        <w:rPr>
          <w:rFonts w:ascii="Arial" w:eastAsia="Times New Roman" w:hAnsi="Arial" w:cs="Arial"/>
          <w:color w:val="000000" w:themeColor="text1"/>
          <w:lang w:eastAsia="en-IN"/>
        </w:rPr>
        <w:t>Voesenek</w:t>
      </w:r>
      <w:proofErr w:type="spellEnd"/>
      <w:r w:rsidRPr="00487776">
        <w:rPr>
          <w:rFonts w:ascii="Arial" w:eastAsia="Times New Roman" w:hAnsi="Arial" w:cs="Arial"/>
          <w:color w:val="000000" w:themeColor="text1"/>
          <w:lang w:eastAsia="en-IN"/>
        </w:rPr>
        <w:t>, L. A., &amp; Pierik, R. (2020). Plant responses to flooding stress. Annual Review of Plant Biology, 71, 413–436.</w:t>
      </w:r>
    </w:p>
    <w:p w14:paraId="08915023" w14:textId="659E3AC0"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 xml:space="preserve">Barickman, T. C., </w:t>
      </w:r>
      <w:proofErr w:type="spellStart"/>
      <w:r w:rsidRPr="00487776">
        <w:rPr>
          <w:rFonts w:ascii="Arial" w:eastAsia="Times New Roman" w:hAnsi="Arial" w:cs="Arial"/>
          <w:color w:val="000000" w:themeColor="text1"/>
          <w:lang w:eastAsia="en-IN"/>
        </w:rPr>
        <w:t>Kopsell</w:t>
      </w:r>
      <w:proofErr w:type="spellEnd"/>
      <w:r w:rsidRPr="00487776">
        <w:rPr>
          <w:rFonts w:ascii="Arial" w:eastAsia="Times New Roman" w:hAnsi="Arial" w:cs="Arial"/>
          <w:color w:val="000000" w:themeColor="text1"/>
          <w:lang w:eastAsia="en-IN"/>
        </w:rPr>
        <w:t>, D. A., Sams, C. E., &amp; Schwartz, S. J. (2023). Proline accumulation and stress adaptation in plants. Environmental and Experimental Botany, 206, 105164.</w:t>
      </w:r>
    </w:p>
    <w:p w14:paraId="49BC0A6F" w14:textId="23127F94"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 xml:space="preserve">Bates, L. S., </w:t>
      </w:r>
      <w:proofErr w:type="spellStart"/>
      <w:r w:rsidRPr="00487776">
        <w:rPr>
          <w:rFonts w:ascii="Arial" w:eastAsia="Times New Roman" w:hAnsi="Arial" w:cs="Arial"/>
          <w:color w:val="000000" w:themeColor="text1"/>
          <w:lang w:eastAsia="en-IN"/>
        </w:rPr>
        <w:t>Waldeen</w:t>
      </w:r>
      <w:proofErr w:type="spellEnd"/>
      <w:r w:rsidRPr="00487776">
        <w:rPr>
          <w:rFonts w:ascii="Arial" w:eastAsia="Times New Roman" w:hAnsi="Arial" w:cs="Arial"/>
          <w:color w:val="000000" w:themeColor="text1"/>
          <w:lang w:eastAsia="en-IN"/>
        </w:rPr>
        <w:t>, R. P., &amp; Teare, I. D. (1973). Rapid determination of free proline for water stress studies. Plant and Soil, 39, 205–207.</w:t>
      </w:r>
    </w:p>
    <w:p w14:paraId="4DE9153F" w14:textId="6A264413"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Bedi, S., Kaur, H., &amp; Gill, G. K. (2009). Effect of flooding stress on growth and protein profile of roots in maize. Indian Journal of Plant Physiology, 14(2), 135–141.</w:t>
      </w:r>
    </w:p>
    <w:p w14:paraId="01E0F253" w14:textId="27D4DFE4"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lastRenderedPageBreak/>
        <w:t>Boyer, J. S. (1982). Plant productivity and environment potential for increasing crop plant productivity, genotypic selection. Science, 218, 443–448.</w:t>
      </w:r>
    </w:p>
    <w:p w14:paraId="2DBD04DD" w14:textId="0574F362"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Catling, D. (1992). Rice in deep water. London: MacMillan Press.</w:t>
      </w:r>
    </w:p>
    <w:p w14:paraId="47705A4B" w14:textId="767B4202"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Chaudhury, P. B., &amp; Das Gupta, D. K. (1985). NC-492, a promising rice for waterlogging field in West Bengal. International Rice Research Newsletter, 18(2), 8–9.</w:t>
      </w:r>
    </w:p>
    <w:p w14:paraId="3C44CF14" w14:textId="7A1A767D"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Collaku, H. J., &amp; Harrison, S. A. (2002). Losses in wheat due to waterlogging. Crop Science, 42, 444–450.</w:t>
      </w:r>
    </w:p>
    <w:p w14:paraId="36C91852" w14:textId="7ADEB390"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Das, K., Dang, R., &amp; Shrestha, A. (2009). Flood-induced hypoxia and its impact on rice growth and development. Journal of Plant Physiology, 166(9), 970–979.</w:t>
      </w:r>
    </w:p>
    <w:p w14:paraId="5BB6C466" w14:textId="72429E36"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De San Celedonio, R. P., Abeledo, L. G., &amp; Miralles, D. J. (2014). Identifying the critical period for waterlogging on yield and its components in wheat and barley. Plant and Soil, 378, 265–277.</w:t>
      </w:r>
    </w:p>
    <w:p w14:paraId="0D996941" w14:textId="799C6A14"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Deka, M., &amp; Baruah, K. K. (2000). Comparable studies of rainfed upland winter rice (Oryza sativa) cultivars for drought tolerance. Indian Journal of Agricultural Sciences, 70, 135–139.</w:t>
      </w:r>
    </w:p>
    <w:p w14:paraId="5167A12D" w14:textId="1781A271"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 xml:space="preserve">Donald, M. S., Prenzler, P. D., </w:t>
      </w:r>
      <w:proofErr w:type="spellStart"/>
      <w:r w:rsidRPr="00487776">
        <w:rPr>
          <w:rFonts w:ascii="Arial" w:eastAsia="Times New Roman" w:hAnsi="Arial" w:cs="Arial"/>
          <w:color w:val="000000" w:themeColor="text1"/>
          <w:lang w:eastAsia="en-IN"/>
        </w:rPr>
        <w:t>Autolich</w:t>
      </w:r>
      <w:proofErr w:type="spellEnd"/>
      <w:r w:rsidRPr="00487776">
        <w:rPr>
          <w:rFonts w:ascii="Arial" w:eastAsia="Times New Roman" w:hAnsi="Arial" w:cs="Arial"/>
          <w:color w:val="000000" w:themeColor="text1"/>
          <w:lang w:eastAsia="en-IN"/>
        </w:rPr>
        <w:t>, M., &amp; Roberts, K. (2001). Phenolic contents and antioxidant activities of olive extracts. Food Chemistry, 7, 73–84.</w:t>
      </w:r>
    </w:p>
    <w:p w14:paraId="0F9F2EE4" w14:textId="5F2A1204"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Drew, M. C., &amp; Lynch, J. M. (1980). Soil anaerobiosis, microorganisms, and root function. Annual Review of Phytology, 18, 37–66.</w:t>
      </w:r>
    </w:p>
    <w:p w14:paraId="674FFEB9" w14:textId="215CC360"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 xml:space="preserve">Fukao, T., Barrera-Figueroa, B. E., </w:t>
      </w:r>
      <w:proofErr w:type="spellStart"/>
      <w:r w:rsidRPr="00487776">
        <w:rPr>
          <w:rFonts w:ascii="Arial" w:eastAsia="Times New Roman" w:hAnsi="Arial" w:cs="Arial"/>
          <w:color w:val="000000" w:themeColor="text1"/>
          <w:lang w:eastAsia="en-IN"/>
        </w:rPr>
        <w:t>Juntawong</w:t>
      </w:r>
      <w:proofErr w:type="spellEnd"/>
      <w:r w:rsidRPr="00487776">
        <w:rPr>
          <w:rFonts w:ascii="Arial" w:eastAsia="Times New Roman" w:hAnsi="Arial" w:cs="Arial"/>
          <w:color w:val="000000" w:themeColor="text1"/>
          <w:lang w:eastAsia="en-IN"/>
        </w:rPr>
        <w:t>, P., &amp; Pena-Castro, J. M. (2019). Submergence and waterlogging stress in plants: A review highlighting research opportunities. Frontiers in Plant Science, 10, 340.</w:t>
      </w:r>
    </w:p>
    <w:p w14:paraId="2335F124" w14:textId="39A242C5"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Gomez, K. A., &amp; Gomez, A. A. (1984). Statistical procedure for agricultural research. New York: John Wiley and Sons.</w:t>
      </w:r>
    </w:p>
    <w:p w14:paraId="0EA59B17" w14:textId="484456ED"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Grattan, S. R., Zeng, L., Shannon, M. C., &amp; Roberts, S. R. (2002). Rice is more sensitive to salinity than previously thought. California Agriculture, 56, 189–195.</w:t>
      </w:r>
    </w:p>
    <w:p w14:paraId="023B7A74" w14:textId="57F9670B"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Greenway, H., &amp; Setter, T. L. (1996). Is there anaerobic metabolism in submerged rice plants? A viewpoint. In Singh, V. P. et al. (Eds.), Physiology of stress tolerance in rice: Proceedings of the international conference on stress physiology of rice (pp. 11–30). IRRI.</w:t>
      </w:r>
    </w:p>
    <w:p w14:paraId="3ED5775A" w14:textId="65C72638"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 xml:space="preserve">Hattori, Y., Nagai, K., &amp; </w:t>
      </w:r>
      <w:proofErr w:type="spellStart"/>
      <w:r w:rsidRPr="00487776">
        <w:rPr>
          <w:rFonts w:ascii="Arial" w:eastAsia="Times New Roman" w:hAnsi="Arial" w:cs="Arial"/>
          <w:color w:val="000000" w:themeColor="text1"/>
          <w:lang w:eastAsia="en-IN"/>
        </w:rPr>
        <w:t>Ashikari</w:t>
      </w:r>
      <w:proofErr w:type="spellEnd"/>
      <w:r w:rsidRPr="00487776">
        <w:rPr>
          <w:rFonts w:ascii="Arial" w:eastAsia="Times New Roman" w:hAnsi="Arial" w:cs="Arial"/>
          <w:color w:val="000000" w:themeColor="text1"/>
          <w:lang w:eastAsia="en-IN"/>
        </w:rPr>
        <w:t>, M. (2011). Rice growth adapting to deep water. Current Opinion in Plant Biology, 14, 100–105.</w:t>
      </w:r>
    </w:p>
    <w:p w14:paraId="1E508EEB" w14:textId="17D7FA59"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lastRenderedPageBreak/>
        <w:t xml:space="preserve">Hayat, S., et al. (2012). Role of proline under changing environments: A review. Plant </w:t>
      </w:r>
      <w:proofErr w:type="spellStart"/>
      <w:r w:rsidRPr="00487776">
        <w:rPr>
          <w:rFonts w:ascii="Arial" w:eastAsia="Times New Roman" w:hAnsi="Arial" w:cs="Arial"/>
          <w:color w:val="000000" w:themeColor="text1"/>
          <w:lang w:eastAsia="en-IN"/>
        </w:rPr>
        <w:t>Signaling</w:t>
      </w:r>
      <w:proofErr w:type="spellEnd"/>
      <w:r w:rsidRPr="00487776">
        <w:rPr>
          <w:rFonts w:ascii="Arial" w:eastAsia="Times New Roman" w:hAnsi="Arial" w:cs="Arial"/>
          <w:color w:val="000000" w:themeColor="text1"/>
          <w:lang w:eastAsia="en-IN"/>
        </w:rPr>
        <w:t xml:space="preserve"> &amp; </w:t>
      </w:r>
      <w:proofErr w:type="spellStart"/>
      <w:r w:rsidRPr="00487776">
        <w:rPr>
          <w:rFonts w:ascii="Arial" w:eastAsia="Times New Roman" w:hAnsi="Arial" w:cs="Arial"/>
          <w:color w:val="000000" w:themeColor="text1"/>
          <w:lang w:eastAsia="en-IN"/>
        </w:rPr>
        <w:t>Behavior</w:t>
      </w:r>
      <w:proofErr w:type="spellEnd"/>
      <w:r w:rsidRPr="00487776">
        <w:rPr>
          <w:rFonts w:ascii="Arial" w:eastAsia="Times New Roman" w:hAnsi="Arial" w:cs="Arial"/>
          <w:color w:val="000000" w:themeColor="text1"/>
          <w:lang w:eastAsia="en-IN"/>
        </w:rPr>
        <w:t>.</w:t>
      </w:r>
    </w:p>
    <w:p w14:paraId="138781F9" w14:textId="63CDEB32"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 xml:space="preserve">Hedge, J. E., &amp; </w:t>
      </w:r>
      <w:proofErr w:type="spellStart"/>
      <w:r w:rsidRPr="00487776">
        <w:rPr>
          <w:rFonts w:ascii="Arial" w:eastAsia="Times New Roman" w:hAnsi="Arial" w:cs="Arial"/>
          <w:color w:val="000000" w:themeColor="text1"/>
          <w:lang w:eastAsia="en-IN"/>
        </w:rPr>
        <w:t>Hofreiter</w:t>
      </w:r>
      <w:proofErr w:type="spellEnd"/>
      <w:r w:rsidRPr="00487776">
        <w:rPr>
          <w:rFonts w:ascii="Arial" w:eastAsia="Times New Roman" w:hAnsi="Arial" w:cs="Arial"/>
          <w:color w:val="000000" w:themeColor="text1"/>
          <w:lang w:eastAsia="en-IN"/>
        </w:rPr>
        <w:t>, B. T. (1962). In R. L. Whistler &amp; J. N. Be Miller (Eds.), Carbohydrates chemistry (Vol. 17). New York: Academic Press.</w:t>
      </w:r>
    </w:p>
    <w:p w14:paraId="5091F490" w14:textId="46D7C8F1"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Hossain, M. A., Uddin, S. N., &amp; Burritt, D. J. (2021). Proline accumulation and stress tolerance in plants. International Journal of Molecular Sciences, 22(21), 12022.</w:t>
      </w:r>
    </w:p>
    <w:p w14:paraId="0A60209E" w14:textId="43E8BE45"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Huang, B., Johnson, J. W., Nesmith, D. S., &amp; Bridges, D. C. (1994). Growth, physiological and anatomical responses of two wheat cultivars to waterlogging and nutrient supply. Journal of Experimental Botany, 271, 193–202.</w:t>
      </w:r>
    </w:p>
    <w:p w14:paraId="24CFFAE2" w14:textId="1724C04F"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Jackson, M. B. (2008). Ethylene promoted elongation: An adaptation to submergence stress. Annals of Botany, 101, 229–248.</w:t>
      </w:r>
    </w:p>
    <w:p w14:paraId="59D86D64" w14:textId="36C79DD1"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Jackson, M. B., &amp; Ram, P. C. (2003). Physiological and molecular basis of susceptibility and tolerance of rice plant to complete submergence. Annals of Botany, 91, 221–241.</w:t>
      </w:r>
    </w:p>
    <w:p w14:paraId="66708179" w14:textId="2315312E"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 xml:space="preserve">Jaiswal, D. K., Pandey, D., &amp; Singh, D. (2021). Phenolic compounds and antioxidant </w:t>
      </w:r>
      <w:proofErr w:type="spellStart"/>
      <w:r w:rsidRPr="00487776">
        <w:rPr>
          <w:rFonts w:ascii="Arial" w:eastAsia="Times New Roman" w:hAnsi="Arial" w:cs="Arial"/>
          <w:color w:val="000000" w:themeColor="text1"/>
          <w:lang w:eastAsia="en-IN"/>
        </w:rPr>
        <w:t>defense</w:t>
      </w:r>
      <w:proofErr w:type="spellEnd"/>
      <w:r w:rsidRPr="00487776">
        <w:rPr>
          <w:rFonts w:ascii="Arial" w:eastAsia="Times New Roman" w:hAnsi="Arial" w:cs="Arial"/>
          <w:color w:val="000000" w:themeColor="text1"/>
          <w:lang w:eastAsia="en-IN"/>
        </w:rPr>
        <w:t xml:space="preserve"> under stress conditions in rice. Plant Stress, 2, 100045.</w:t>
      </w:r>
    </w:p>
    <w:p w14:paraId="0523DC06" w14:textId="0D903268"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proofErr w:type="spellStart"/>
      <w:r w:rsidRPr="00487776">
        <w:rPr>
          <w:rFonts w:ascii="Arial" w:eastAsia="Times New Roman" w:hAnsi="Arial" w:cs="Arial"/>
          <w:color w:val="000000" w:themeColor="text1"/>
          <w:lang w:eastAsia="en-IN"/>
        </w:rPr>
        <w:t>Kamachi</w:t>
      </w:r>
      <w:proofErr w:type="spellEnd"/>
      <w:r w:rsidRPr="00487776">
        <w:rPr>
          <w:rFonts w:ascii="Arial" w:eastAsia="Times New Roman" w:hAnsi="Arial" w:cs="Arial"/>
          <w:color w:val="000000" w:themeColor="text1"/>
          <w:lang w:eastAsia="en-IN"/>
        </w:rPr>
        <w:t>, K., Yamaya, T., Hayakawa, T., Mae, T., &amp; Ojima, K. (1991). Changes in cytosolic glutamine synthetase polypeptide and its mRNA in response to flooding of roots of rice seedlings. Plant Physiology, 96(3), 411–416.</w:t>
      </w:r>
    </w:p>
    <w:p w14:paraId="4BBC7638" w14:textId="31D80946"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 xml:space="preserve">Kato, Y., Collard, B. C. Y., </w:t>
      </w:r>
      <w:proofErr w:type="spellStart"/>
      <w:r w:rsidRPr="00487776">
        <w:rPr>
          <w:rFonts w:ascii="Arial" w:eastAsia="Times New Roman" w:hAnsi="Arial" w:cs="Arial"/>
          <w:color w:val="000000" w:themeColor="text1"/>
          <w:lang w:eastAsia="en-IN"/>
        </w:rPr>
        <w:t>Septiningsih</w:t>
      </w:r>
      <w:proofErr w:type="spellEnd"/>
      <w:r w:rsidRPr="00487776">
        <w:rPr>
          <w:rFonts w:ascii="Arial" w:eastAsia="Times New Roman" w:hAnsi="Arial" w:cs="Arial"/>
          <w:color w:val="000000" w:themeColor="text1"/>
          <w:lang w:eastAsia="en-IN"/>
        </w:rPr>
        <w:t>, E. M., &amp; Ismail, A. M. (2014). Physiological responses and genetic improvements for tolerance to flooding stress in rice. Rice, 7, 2.</w:t>
      </w:r>
    </w:p>
    <w:p w14:paraId="18102A59" w14:textId="4826DE42"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 xml:space="preserve">Lafitte, H. R., </w:t>
      </w:r>
      <w:proofErr w:type="spellStart"/>
      <w:r w:rsidRPr="00487776">
        <w:rPr>
          <w:rFonts w:ascii="Arial" w:eastAsia="Times New Roman" w:hAnsi="Arial" w:cs="Arial"/>
          <w:color w:val="000000" w:themeColor="text1"/>
          <w:lang w:eastAsia="en-IN"/>
        </w:rPr>
        <w:t>Yongsheng</w:t>
      </w:r>
      <w:proofErr w:type="spellEnd"/>
      <w:r w:rsidRPr="00487776">
        <w:rPr>
          <w:rFonts w:ascii="Arial" w:eastAsia="Times New Roman" w:hAnsi="Arial" w:cs="Arial"/>
          <w:color w:val="000000" w:themeColor="text1"/>
          <w:lang w:eastAsia="en-IN"/>
        </w:rPr>
        <w:t>, G., Yan, S., &amp; Li, Z. K. (2006). Whole plant responses, key processes, and adaptation to drought stress: The case of rice. Journal of Experimental Botany, 57(7), 1025–1036.</w:t>
      </w:r>
    </w:p>
    <w:p w14:paraId="3F35504E" w14:textId="6A6F6B4A"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Lee, K. H., &amp; La, J. H. (2005). Role of ethylene in regulating plant responses to flooding stress. Journal of Plant Physiology, 162, 1197–1203.</w:t>
      </w:r>
    </w:p>
    <w:p w14:paraId="7B568E1C" w14:textId="13884F02"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 xml:space="preserve">Loreti, E., Perata, P., &amp; </w:t>
      </w:r>
      <w:proofErr w:type="spellStart"/>
      <w:r w:rsidRPr="00487776">
        <w:rPr>
          <w:rFonts w:ascii="Arial" w:eastAsia="Times New Roman" w:hAnsi="Arial" w:cs="Arial"/>
          <w:color w:val="000000" w:themeColor="text1"/>
          <w:lang w:eastAsia="en-IN"/>
        </w:rPr>
        <w:t>Pucciariello</w:t>
      </w:r>
      <w:proofErr w:type="spellEnd"/>
      <w:r w:rsidRPr="00487776">
        <w:rPr>
          <w:rFonts w:ascii="Arial" w:eastAsia="Times New Roman" w:hAnsi="Arial" w:cs="Arial"/>
          <w:color w:val="000000" w:themeColor="text1"/>
          <w:lang w:eastAsia="en-IN"/>
        </w:rPr>
        <w:t>, C. (2016). Anaerobic metabolic adaptation in plants during submergence. Cellular and Molecular Life Sciences, 73(21), 3691–3702.</w:t>
      </w:r>
    </w:p>
    <w:p w14:paraId="4296B6D7" w14:textId="425A99CF"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Luo, F., Deng, H., &amp; Liu, X. (2019). Carbohydrate partitioning and grain yield in rice under flooding stress. Plant Physiology and Biochemistry, 143, 265–273.</w:t>
      </w:r>
    </w:p>
    <w:p w14:paraId="2AF13AE3" w14:textId="0B2AC6E8"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lastRenderedPageBreak/>
        <w:t>Matysik, J., Alia, Bhalu, B., &amp; Mohanty, P. (2002). Molecular mechanisms of proline-mediated stress tolerance in plants. Biochemical and Biophysical Research Communications, 290(2), 497–512.</w:t>
      </w:r>
    </w:p>
    <w:p w14:paraId="036CD5B5" w14:textId="4DB877A6"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Miro, B., &amp; Ismail, A. M. (2013). Tolerance of anaerobic conditions caused by flooding during germination and early growth in rice (Oryza sativa L.). Frontiers in Plant Science, 4, 269.</w:t>
      </w:r>
    </w:p>
    <w:p w14:paraId="014F3FEC" w14:textId="1BA245AD"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proofErr w:type="spellStart"/>
      <w:r w:rsidRPr="00487776">
        <w:rPr>
          <w:rFonts w:ascii="Arial" w:eastAsia="Times New Roman" w:hAnsi="Arial" w:cs="Arial"/>
          <w:color w:val="000000" w:themeColor="text1"/>
          <w:lang w:eastAsia="en-IN"/>
        </w:rPr>
        <w:t>Mohammadrezakhani</w:t>
      </w:r>
      <w:proofErr w:type="spellEnd"/>
      <w:r w:rsidRPr="00487776">
        <w:rPr>
          <w:rFonts w:ascii="Arial" w:eastAsia="Times New Roman" w:hAnsi="Arial" w:cs="Arial"/>
          <w:color w:val="000000" w:themeColor="text1"/>
          <w:lang w:eastAsia="en-IN"/>
        </w:rPr>
        <w:t>, S., Tian, X., &amp; Li, M. (2019). Proline metabolism and its regulatory pathways in response to various abiotic stresses in plants. International Journal of Molecular Sciences, 20(2), 377.</w:t>
      </w:r>
    </w:p>
    <w:p w14:paraId="5853F8EE" w14:textId="75942023"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Mukherjee, S. P., &amp; Mondal, A. K. (1995). Phenolic metabolism and oxidative stress under waterlogging conditions in rice. Plant Physiology and Biochemistry, 33(1), 109–114.</w:t>
      </w:r>
    </w:p>
    <w:p w14:paraId="2881A525" w14:textId="6D5A7A9D"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Nghi, T. T., Thanh, N. T., &amp; Pham, H. H. (2023). Role of phenolic compounds in plant stress adaptation: A review. Journal of Plant Research, 136(1), 45–62.</w:t>
      </w:r>
    </w:p>
    <w:p w14:paraId="10A943DA" w14:textId="43F413FC"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Perata, P. (1993). Plant responses to flooding stress: Metabolic and physiological adaptations. Trends in Plant Science, 8(5), 162–167.</w:t>
      </w:r>
    </w:p>
    <w:p w14:paraId="489CB9A4" w14:textId="2A0186B7"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proofErr w:type="spellStart"/>
      <w:r w:rsidRPr="00487776">
        <w:rPr>
          <w:rFonts w:ascii="Arial" w:eastAsia="Times New Roman" w:hAnsi="Arial" w:cs="Arial"/>
          <w:color w:val="000000" w:themeColor="text1"/>
          <w:lang w:eastAsia="en-IN"/>
        </w:rPr>
        <w:t>Promokhambut</w:t>
      </w:r>
      <w:proofErr w:type="spellEnd"/>
      <w:r w:rsidRPr="00487776">
        <w:rPr>
          <w:rFonts w:ascii="Arial" w:eastAsia="Times New Roman" w:hAnsi="Arial" w:cs="Arial"/>
          <w:color w:val="000000" w:themeColor="text1"/>
          <w:lang w:eastAsia="en-IN"/>
        </w:rPr>
        <w:t xml:space="preserve">, A., Fukai, S., Fischer, K. S., &amp; </w:t>
      </w:r>
      <w:proofErr w:type="spellStart"/>
      <w:r w:rsidRPr="00487776">
        <w:rPr>
          <w:rFonts w:ascii="Arial" w:eastAsia="Times New Roman" w:hAnsi="Arial" w:cs="Arial"/>
          <w:color w:val="000000" w:themeColor="text1"/>
          <w:lang w:eastAsia="en-IN"/>
        </w:rPr>
        <w:t>Chanphengsay</w:t>
      </w:r>
      <w:proofErr w:type="spellEnd"/>
      <w:r w:rsidRPr="00487776">
        <w:rPr>
          <w:rFonts w:ascii="Arial" w:eastAsia="Times New Roman" w:hAnsi="Arial" w:cs="Arial"/>
          <w:color w:val="000000" w:themeColor="text1"/>
          <w:lang w:eastAsia="en-IN"/>
        </w:rPr>
        <w:t>, M. (2010). Growth and yield of contrasting rice cultivars in response to flooding stress. Field Crops Research, 118(1), 45–55.</w:t>
      </w:r>
    </w:p>
    <w:p w14:paraId="3F8AB24D" w14:textId="16AB7E88"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Sarkar, R. K., Bhattacharjee, B., &amp; Banerjee, S. (2006). Proteomic analysis of rice under submergence stress. Journal of Proteome Research, 5(8), 1935–1941.</w:t>
      </w:r>
    </w:p>
    <w:p w14:paraId="46E71920" w14:textId="5E9C929D"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Shao, G. C., Deng, S., Liu, N., Yu, S. E., Wang, M. H., &amp; She, D. L. (2014). Effects of controlled irrigation and drainage on growth, grain yield, and water use in paddy rice. European Journal of Agronomy, 53, 1–9.</w:t>
      </w:r>
    </w:p>
    <w:p w14:paraId="2ABBC2B5" w14:textId="07F6E724"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 xml:space="preserve">Sone, C., </w:t>
      </w:r>
      <w:proofErr w:type="spellStart"/>
      <w:r w:rsidRPr="00487776">
        <w:rPr>
          <w:rFonts w:ascii="Arial" w:eastAsia="Times New Roman" w:hAnsi="Arial" w:cs="Arial"/>
          <w:color w:val="000000" w:themeColor="text1"/>
          <w:lang w:eastAsia="en-IN"/>
        </w:rPr>
        <w:t>Kuroha</w:t>
      </w:r>
      <w:proofErr w:type="spellEnd"/>
      <w:r w:rsidRPr="00487776">
        <w:rPr>
          <w:rFonts w:ascii="Arial" w:eastAsia="Times New Roman" w:hAnsi="Arial" w:cs="Arial"/>
          <w:color w:val="000000" w:themeColor="text1"/>
          <w:lang w:eastAsia="en-IN"/>
        </w:rPr>
        <w:t xml:space="preserve">, T., &amp; </w:t>
      </w:r>
      <w:proofErr w:type="spellStart"/>
      <w:r w:rsidRPr="00487776">
        <w:rPr>
          <w:rFonts w:ascii="Arial" w:eastAsia="Times New Roman" w:hAnsi="Arial" w:cs="Arial"/>
          <w:color w:val="000000" w:themeColor="text1"/>
          <w:lang w:eastAsia="en-IN"/>
        </w:rPr>
        <w:t>Ashikari</w:t>
      </w:r>
      <w:proofErr w:type="spellEnd"/>
      <w:r w:rsidRPr="00487776">
        <w:rPr>
          <w:rFonts w:ascii="Arial" w:eastAsia="Times New Roman" w:hAnsi="Arial" w:cs="Arial"/>
          <w:color w:val="000000" w:themeColor="text1"/>
          <w:lang w:eastAsia="en-IN"/>
        </w:rPr>
        <w:t>, M. (2012). Spikelet fertility in rice under flooding stress. Plant Molecular Biology, 80(4), 317–329.</w:t>
      </w:r>
    </w:p>
    <w:p w14:paraId="00296AAE" w14:textId="2130C57D"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proofErr w:type="spellStart"/>
      <w:r w:rsidRPr="00487776">
        <w:rPr>
          <w:rFonts w:ascii="Arial" w:eastAsia="Times New Roman" w:hAnsi="Arial" w:cs="Arial"/>
          <w:color w:val="000000" w:themeColor="text1"/>
          <w:lang w:eastAsia="en-IN"/>
        </w:rPr>
        <w:t>Voesenek</w:t>
      </w:r>
      <w:proofErr w:type="spellEnd"/>
      <w:r w:rsidRPr="00487776">
        <w:rPr>
          <w:rFonts w:ascii="Arial" w:eastAsia="Times New Roman" w:hAnsi="Arial" w:cs="Arial"/>
          <w:color w:val="000000" w:themeColor="text1"/>
          <w:lang w:eastAsia="en-IN"/>
        </w:rPr>
        <w:t>, L. A. C. J., &amp; Bailey-Serres, J. (2015). Flood adaptive traits and processes: An overview. New Phytologist, 206(1), 57–73.</w:t>
      </w:r>
    </w:p>
    <w:p w14:paraId="4FEE4F48" w14:textId="00267D3B"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Wang, Z., Wang, Y., &amp; Wang, X. (2014). Influence of flooding stress on morphological and physiological traits in rice. Environmental and Experimental Botany, 102, 32–41.</w:t>
      </w:r>
    </w:p>
    <w:p w14:paraId="04644E3C" w14:textId="3EDAFC21"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Xie, Y., Chen, J., &amp; Wang, Y. (2022). Hypoxia-induced anaerobic metabolism and its impact on plant survival under flooding. Plant Physiology, 190(1), 77–89.</w:t>
      </w:r>
    </w:p>
    <w:p w14:paraId="171A03D4" w14:textId="6B74701F"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Yamada, Y., Kiyohara, H., &amp; Terashima, I. (1995). Carbohydrate metabolism and flooding tolerance in rice. Plant and Cell Physiology, 36(8), 1255–1261.</w:t>
      </w:r>
    </w:p>
    <w:p w14:paraId="5C11A00D" w14:textId="0B1528B1"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lastRenderedPageBreak/>
        <w:t>Yang, J., An, D., &amp; Zhang, P. (2020). Free amino acid accumulation and stress adaptation in plants under flooding stress. Frontiers in Plant Science, 11, 568698.</w:t>
      </w:r>
    </w:p>
    <w:p w14:paraId="2B35E9DE" w14:textId="346F4FE6"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 xml:space="preserve">Yan, B., Dai, Q., Liu, X., &amp; Huang, S. (1996). Effects of flooding stress on chlorophyll content and photosynthetic efficiency in rice. </w:t>
      </w:r>
      <w:proofErr w:type="spellStart"/>
      <w:r w:rsidRPr="00487776">
        <w:rPr>
          <w:rFonts w:ascii="Arial" w:eastAsia="Times New Roman" w:hAnsi="Arial" w:cs="Arial"/>
          <w:color w:val="000000" w:themeColor="text1"/>
          <w:lang w:eastAsia="en-IN"/>
        </w:rPr>
        <w:t>Photosynthetica</w:t>
      </w:r>
      <w:proofErr w:type="spellEnd"/>
      <w:r w:rsidRPr="00487776">
        <w:rPr>
          <w:rFonts w:ascii="Arial" w:eastAsia="Times New Roman" w:hAnsi="Arial" w:cs="Arial"/>
          <w:color w:val="000000" w:themeColor="text1"/>
          <w:lang w:eastAsia="en-IN"/>
        </w:rPr>
        <w:t>, 32(1), 131–136.</w:t>
      </w:r>
    </w:p>
    <w:p w14:paraId="4E59A6A4" w14:textId="53E83D92"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 xml:space="preserve">Yamauchi, T., Pedersen, O., &amp; </w:t>
      </w:r>
      <w:proofErr w:type="spellStart"/>
      <w:r w:rsidRPr="00487776">
        <w:rPr>
          <w:rFonts w:ascii="Arial" w:eastAsia="Times New Roman" w:hAnsi="Arial" w:cs="Arial"/>
          <w:color w:val="000000" w:themeColor="text1"/>
          <w:lang w:eastAsia="en-IN"/>
        </w:rPr>
        <w:t>Nakazono</w:t>
      </w:r>
      <w:proofErr w:type="spellEnd"/>
      <w:r w:rsidRPr="00487776">
        <w:rPr>
          <w:rFonts w:ascii="Arial" w:eastAsia="Times New Roman" w:hAnsi="Arial" w:cs="Arial"/>
          <w:color w:val="000000" w:themeColor="text1"/>
          <w:lang w:eastAsia="en-IN"/>
        </w:rPr>
        <w:t>, M. (2020). Regulation of root growth and development under flooding stress in rice. Plant Cell &amp; Environment, 43(8), 1971–1985.</w:t>
      </w:r>
    </w:p>
    <w:p w14:paraId="605AB5DF" w14:textId="4D1B70A8"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Ye, W., Ma, L., &amp; Wang, R. (2021). Oxidative stress and chlorophyll degradation under submergence stress in rice. Journal of Plant Physiology, 258, 153392.</w:t>
      </w:r>
    </w:p>
    <w:p w14:paraId="24842D66" w14:textId="7E7FFB8A"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Zhao, L., Wu, X., &amp; Li, Y. (2023). The impact of flooding stress on grain yield and spikelet fertility in rice. Plant Growth Regulation, 109(2), 349–365.</w:t>
      </w:r>
    </w:p>
    <w:p w14:paraId="46E6FCD2" w14:textId="77777777"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p>
    <w:p w14:paraId="3CBE2478" w14:textId="77777777" w:rsidR="00164726" w:rsidRPr="00487776" w:rsidRDefault="00164726" w:rsidP="00233FED">
      <w:pPr>
        <w:spacing w:line="360" w:lineRule="auto"/>
        <w:rPr>
          <w:rFonts w:ascii="Arial" w:eastAsia="Times New Roman" w:hAnsi="Arial" w:cs="Arial"/>
          <w:lang w:eastAsia="en-IN"/>
        </w:rPr>
      </w:pPr>
    </w:p>
    <w:p w14:paraId="75EA0336" w14:textId="77777777" w:rsidR="00164726" w:rsidRPr="00487776" w:rsidRDefault="00164726" w:rsidP="00233FED">
      <w:pPr>
        <w:spacing w:line="360" w:lineRule="auto"/>
        <w:rPr>
          <w:rFonts w:ascii="Arial" w:eastAsia="Times New Roman" w:hAnsi="Arial" w:cs="Arial"/>
          <w:lang w:eastAsia="en-IN"/>
        </w:rPr>
      </w:pPr>
    </w:p>
    <w:p w14:paraId="262DC2E7" w14:textId="77777777" w:rsidR="00164726" w:rsidRPr="00487776" w:rsidRDefault="00164726" w:rsidP="00233FED">
      <w:pPr>
        <w:spacing w:line="360" w:lineRule="auto"/>
        <w:rPr>
          <w:rFonts w:ascii="Arial" w:eastAsia="Times New Roman" w:hAnsi="Arial" w:cs="Arial"/>
          <w:lang w:eastAsia="en-IN"/>
        </w:rPr>
      </w:pPr>
    </w:p>
    <w:p w14:paraId="02E6C2F1" w14:textId="77777777" w:rsidR="00164726" w:rsidRPr="00487776" w:rsidRDefault="00164726" w:rsidP="00233FED">
      <w:pPr>
        <w:spacing w:line="360" w:lineRule="auto"/>
        <w:rPr>
          <w:rFonts w:ascii="Arial" w:eastAsia="Times New Roman" w:hAnsi="Arial" w:cs="Arial"/>
          <w:lang w:eastAsia="en-IN"/>
        </w:rPr>
      </w:pPr>
    </w:p>
    <w:p w14:paraId="793B49A5" w14:textId="23F25E1F" w:rsidR="00164726" w:rsidRPr="00487776" w:rsidRDefault="00164726" w:rsidP="00233FED">
      <w:pPr>
        <w:tabs>
          <w:tab w:val="left" w:pos="2100"/>
        </w:tabs>
        <w:spacing w:line="360" w:lineRule="auto"/>
        <w:rPr>
          <w:rFonts w:ascii="Arial" w:eastAsia="Times New Roman" w:hAnsi="Arial" w:cs="Arial"/>
          <w:lang w:eastAsia="en-IN"/>
        </w:rPr>
      </w:pPr>
    </w:p>
    <w:sectPr w:rsidR="00164726" w:rsidRPr="0048777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D7DC4" w14:textId="77777777" w:rsidR="00F4474A" w:rsidRDefault="00F4474A" w:rsidP="009F5692">
      <w:pPr>
        <w:spacing w:after="0" w:line="240" w:lineRule="auto"/>
      </w:pPr>
      <w:r>
        <w:separator/>
      </w:r>
    </w:p>
  </w:endnote>
  <w:endnote w:type="continuationSeparator" w:id="0">
    <w:p w14:paraId="3F790F49" w14:textId="77777777" w:rsidR="00F4474A" w:rsidRDefault="00F4474A" w:rsidP="009F5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37C95" w14:textId="77777777" w:rsidR="00A17EF4" w:rsidRDefault="00A17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37ABE" w14:textId="77777777" w:rsidR="00A17EF4" w:rsidRDefault="00A17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7A144" w14:textId="77777777" w:rsidR="00A17EF4" w:rsidRDefault="00A1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31A47" w14:textId="77777777" w:rsidR="00F4474A" w:rsidRDefault="00F4474A" w:rsidP="009F5692">
      <w:pPr>
        <w:spacing w:after="0" w:line="240" w:lineRule="auto"/>
      </w:pPr>
      <w:r>
        <w:separator/>
      </w:r>
    </w:p>
  </w:footnote>
  <w:footnote w:type="continuationSeparator" w:id="0">
    <w:p w14:paraId="69AD2796" w14:textId="77777777" w:rsidR="00F4474A" w:rsidRDefault="00F4474A" w:rsidP="009F5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62A26" w14:textId="702CE092" w:rsidR="00A17EF4" w:rsidRDefault="00A17EF4">
    <w:pPr>
      <w:pStyle w:val="Header"/>
    </w:pPr>
    <w:r>
      <w:rPr>
        <w:noProof/>
      </w:rPr>
      <w:pict w14:anchorId="5C277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4341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BA007" w14:textId="55887D4B" w:rsidR="00A17EF4" w:rsidRDefault="00A17EF4">
    <w:pPr>
      <w:pStyle w:val="Header"/>
    </w:pPr>
    <w:r>
      <w:rPr>
        <w:noProof/>
      </w:rPr>
      <w:pict w14:anchorId="0707E9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4341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DA935" w14:textId="768BD95E" w:rsidR="00A17EF4" w:rsidRDefault="00A17EF4">
    <w:pPr>
      <w:pStyle w:val="Header"/>
    </w:pPr>
    <w:r>
      <w:rPr>
        <w:noProof/>
      </w:rPr>
      <w:pict w14:anchorId="2959D6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4341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B4"/>
    <w:rsid w:val="00025FD0"/>
    <w:rsid w:val="000273F9"/>
    <w:rsid w:val="000714E4"/>
    <w:rsid w:val="00073AAC"/>
    <w:rsid w:val="000A53B4"/>
    <w:rsid w:val="000D2706"/>
    <w:rsid w:val="000D311F"/>
    <w:rsid w:val="000E2BCB"/>
    <w:rsid w:val="000E5D79"/>
    <w:rsid w:val="000F6F22"/>
    <w:rsid w:val="00103554"/>
    <w:rsid w:val="001169A8"/>
    <w:rsid w:val="00132B48"/>
    <w:rsid w:val="00164726"/>
    <w:rsid w:val="00166020"/>
    <w:rsid w:val="001963D1"/>
    <w:rsid w:val="001C7BE4"/>
    <w:rsid w:val="00217125"/>
    <w:rsid w:val="00233FED"/>
    <w:rsid w:val="0025668B"/>
    <w:rsid w:val="002B335A"/>
    <w:rsid w:val="002C0157"/>
    <w:rsid w:val="002D5DCE"/>
    <w:rsid w:val="002F50CD"/>
    <w:rsid w:val="003157C0"/>
    <w:rsid w:val="00322F4B"/>
    <w:rsid w:val="00333283"/>
    <w:rsid w:val="00340F12"/>
    <w:rsid w:val="003D6B3C"/>
    <w:rsid w:val="00483EBB"/>
    <w:rsid w:val="00487776"/>
    <w:rsid w:val="004D5B8F"/>
    <w:rsid w:val="004F4B5E"/>
    <w:rsid w:val="00567068"/>
    <w:rsid w:val="005930A9"/>
    <w:rsid w:val="005A1605"/>
    <w:rsid w:val="005B6714"/>
    <w:rsid w:val="005C56DE"/>
    <w:rsid w:val="00641335"/>
    <w:rsid w:val="00641E03"/>
    <w:rsid w:val="006434EC"/>
    <w:rsid w:val="0064623D"/>
    <w:rsid w:val="00676344"/>
    <w:rsid w:val="006B7EA0"/>
    <w:rsid w:val="006C31B4"/>
    <w:rsid w:val="006D3B23"/>
    <w:rsid w:val="00731BC2"/>
    <w:rsid w:val="00736782"/>
    <w:rsid w:val="0074616D"/>
    <w:rsid w:val="00757E9A"/>
    <w:rsid w:val="007E279F"/>
    <w:rsid w:val="007E2E9A"/>
    <w:rsid w:val="00810A37"/>
    <w:rsid w:val="00815469"/>
    <w:rsid w:val="008270D1"/>
    <w:rsid w:val="008434A6"/>
    <w:rsid w:val="008A6AC1"/>
    <w:rsid w:val="008C2AA3"/>
    <w:rsid w:val="008D76EA"/>
    <w:rsid w:val="008E6DDD"/>
    <w:rsid w:val="008F598E"/>
    <w:rsid w:val="008F6FE7"/>
    <w:rsid w:val="0092051F"/>
    <w:rsid w:val="00926A13"/>
    <w:rsid w:val="0097415B"/>
    <w:rsid w:val="009C5470"/>
    <w:rsid w:val="009F5692"/>
    <w:rsid w:val="00A059FB"/>
    <w:rsid w:val="00A17325"/>
    <w:rsid w:val="00A17EF4"/>
    <w:rsid w:val="00A47785"/>
    <w:rsid w:val="00A720CB"/>
    <w:rsid w:val="00A750F7"/>
    <w:rsid w:val="00B11171"/>
    <w:rsid w:val="00B15CA2"/>
    <w:rsid w:val="00B203A6"/>
    <w:rsid w:val="00B5451E"/>
    <w:rsid w:val="00B758BB"/>
    <w:rsid w:val="00B918FE"/>
    <w:rsid w:val="00BA32CC"/>
    <w:rsid w:val="00BE5718"/>
    <w:rsid w:val="00BF6264"/>
    <w:rsid w:val="00C00B98"/>
    <w:rsid w:val="00C104A6"/>
    <w:rsid w:val="00C2530A"/>
    <w:rsid w:val="00C3230C"/>
    <w:rsid w:val="00C347D0"/>
    <w:rsid w:val="00C657CB"/>
    <w:rsid w:val="00CA11EB"/>
    <w:rsid w:val="00CC265A"/>
    <w:rsid w:val="00CE3BD8"/>
    <w:rsid w:val="00D60FBA"/>
    <w:rsid w:val="00D66773"/>
    <w:rsid w:val="00D67145"/>
    <w:rsid w:val="00D676F1"/>
    <w:rsid w:val="00D75CDA"/>
    <w:rsid w:val="00D84BED"/>
    <w:rsid w:val="00D87D0E"/>
    <w:rsid w:val="00DD6CA4"/>
    <w:rsid w:val="00DF65D3"/>
    <w:rsid w:val="00E05591"/>
    <w:rsid w:val="00E1252A"/>
    <w:rsid w:val="00E315E4"/>
    <w:rsid w:val="00E37898"/>
    <w:rsid w:val="00E616DE"/>
    <w:rsid w:val="00E65188"/>
    <w:rsid w:val="00E871F2"/>
    <w:rsid w:val="00EF0343"/>
    <w:rsid w:val="00EF4544"/>
    <w:rsid w:val="00F300EC"/>
    <w:rsid w:val="00F4474A"/>
    <w:rsid w:val="00F70791"/>
    <w:rsid w:val="00F71D53"/>
    <w:rsid w:val="00F87257"/>
    <w:rsid w:val="00FA5261"/>
    <w:rsid w:val="00FE70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9FE63"/>
  <w15:chartTrackingRefBased/>
  <w15:docId w15:val="{9A1A3E04-793F-4C15-B0B6-C47B290A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3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53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53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53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53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53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3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3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3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3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53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53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53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53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53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3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3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3B4"/>
    <w:rPr>
      <w:rFonts w:eastAsiaTheme="majorEastAsia" w:cstheme="majorBidi"/>
      <w:color w:val="272727" w:themeColor="text1" w:themeTint="D8"/>
    </w:rPr>
  </w:style>
  <w:style w:type="paragraph" w:styleId="Title">
    <w:name w:val="Title"/>
    <w:basedOn w:val="Normal"/>
    <w:next w:val="Normal"/>
    <w:link w:val="TitleChar"/>
    <w:uiPriority w:val="10"/>
    <w:qFormat/>
    <w:rsid w:val="000A53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3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3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3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3B4"/>
    <w:pPr>
      <w:spacing w:before="160"/>
      <w:jc w:val="center"/>
    </w:pPr>
    <w:rPr>
      <w:i/>
      <w:iCs/>
      <w:color w:val="404040" w:themeColor="text1" w:themeTint="BF"/>
    </w:rPr>
  </w:style>
  <w:style w:type="character" w:customStyle="1" w:styleId="QuoteChar">
    <w:name w:val="Quote Char"/>
    <w:basedOn w:val="DefaultParagraphFont"/>
    <w:link w:val="Quote"/>
    <w:uiPriority w:val="29"/>
    <w:rsid w:val="000A53B4"/>
    <w:rPr>
      <w:i/>
      <w:iCs/>
      <w:color w:val="404040" w:themeColor="text1" w:themeTint="BF"/>
    </w:rPr>
  </w:style>
  <w:style w:type="paragraph" w:styleId="ListParagraph">
    <w:name w:val="List Paragraph"/>
    <w:basedOn w:val="Normal"/>
    <w:uiPriority w:val="34"/>
    <w:qFormat/>
    <w:rsid w:val="000A53B4"/>
    <w:pPr>
      <w:ind w:left="720"/>
      <w:contextualSpacing/>
    </w:pPr>
  </w:style>
  <w:style w:type="character" w:styleId="IntenseEmphasis">
    <w:name w:val="Intense Emphasis"/>
    <w:basedOn w:val="DefaultParagraphFont"/>
    <w:uiPriority w:val="21"/>
    <w:qFormat/>
    <w:rsid w:val="000A53B4"/>
    <w:rPr>
      <w:i/>
      <w:iCs/>
      <w:color w:val="2F5496" w:themeColor="accent1" w:themeShade="BF"/>
    </w:rPr>
  </w:style>
  <w:style w:type="paragraph" w:styleId="IntenseQuote">
    <w:name w:val="Intense Quote"/>
    <w:basedOn w:val="Normal"/>
    <w:next w:val="Normal"/>
    <w:link w:val="IntenseQuoteChar"/>
    <w:uiPriority w:val="30"/>
    <w:qFormat/>
    <w:rsid w:val="000A53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53B4"/>
    <w:rPr>
      <w:i/>
      <w:iCs/>
      <w:color w:val="2F5496" w:themeColor="accent1" w:themeShade="BF"/>
    </w:rPr>
  </w:style>
  <w:style w:type="character" w:styleId="IntenseReference">
    <w:name w:val="Intense Reference"/>
    <w:basedOn w:val="DefaultParagraphFont"/>
    <w:uiPriority w:val="32"/>
    <w:qFormat/>
    <w:rsid w:val="000A53B4"/>
    <w:rPr>
      <w:b/>
      <w:bCs/>
      <w:smallCaps/>
      <w:color w:val="2F5496" w:themeColor="accent1" w:themeShade="BF"/>
      <w:spacing w:val="5"/>
    </w:rPr>
  </w:style>
  <w:style w:type="table" w:styleId="TableGrid">
    <w:name w:val="Table Grid"/>
    <w:basedOn w:val="TableNormal"/>
    <w:uiPriority w:val="59"/>
    <w:rsid w:val="00CC265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57CB"/>
    <w:rPr>
      <w:color w:val="0563C1" w:themeColor="hyperlink"/>
      <w:u w:val="single"/>
    </w:rPr>
  </w:style>
  <w:style w:type="character" w:customStyle="1" w:styleId="apple-converted-space">
    <w:name w:val="apple-converted-space"/>
    <w:basedOn w:val="DefaultParagraphFont"/>
    <w:rsid w:val="00C657CB"/>
  </w:style>
  <w:style w:type="character" w:customStyle="1" w:styleId="mixed-citation">
    <w:name w:val="mixed-citation"/>
    <w:basedOn w:val="DefaultParagraphFont"/>
    <w:rsid w:val="00C657CB"/>
  </w:style>
  <w:style w:type="character" w:customStyle="1" w:styleId="ref-title">
    <w:name w:val="ref-title"/>
    <w:basedOn w:val="DefaultParagraphFont"/>
    <w:rsid w:val="00C657CB"/>
  </w:style>
  <w:style w:type="character" w:customStyle="1" w:styleId="ref-journal">
    <w:name w:val="ref-journal"/>
    <w:basedOn w:val="DefaultParagraphFont"/>
    <w:rsid w:val="00C657CB"/>
  </w:style>
  <w:style w:type="character" w:customStyle="1" w:styleId="ref-vol">
    <w:name w:val="ref-vol"/>
    <w:basedOn w:val="DefaultParagraphFont"/>
    <w:rsid w:val="00C657CB"/>
  </w:style>
  <w:style w:type="paragraph" w:styleId="Header">
    <w:name w:val="header"/>
    <w:basedOn w:val="Normal"/>
    <w:link w:val="HeaderChar"/>
    <w:uiPriority w:val="99"/>
    <w:unhideWhenUsed/>
    <w:rsid w:val="009F5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692"/>
  </w:style>
  <w:style w:type="paragraph" w:styleId="Footer">
    <w:name w:val="footer"/>
    <w:basedOn w:val="Normal"/>
    <w:link w:val="FooterChar"/>
    <w:uiPriority w:val="99"/>
    <w:unhideWhenUsed/>
    <w:rsid w:val="009F5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692"/>
  </w:style>
  <w:style w:type="character" w:styleId="UnresolvedMention">
    <w:name w:val="Unresolved Mention"/>
    <w:basedOn w:val="DefaultParagraphFont"/>
    <w:uiPriority w:val="99"/>
    <w:semiHidden/>
    <w:unhideWhenUsed/>
    <w:rsid w:val="000D2706"/>
    <w:rPr>
      <w:color w:val="605E5C"/>
      <w:shd w:val="clear" w:color="auto" w:fill="E1DFDD"/>
    </w:rPr>
  </w:style>
  <w:style w:type="character" w:styleId="LineNumber">
    <w:name w:val="line number"/>
    <w:basedOn w:val="DefaultParagraphFont"/>
    <w:uiPriority w:val="99"/>
    <w:semiHidden/>
    <w:unhideWhenUsed/>
    <w:rsid w:val="008D7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177049">
      <w:bodyDiv w:val="1"/>
      <w:marLeft w:val="0"/>
      <w:marRight w:val="0"/>
      <w:marTop w:val="0"/>
      <w:marBottom w:val="0"/>
      <w:divBdr>
        <w:top w:val="none" w:sz="0" w:space="0" w:color="auto"/>
        <w:left w:val="none" w:sz="0" w:space="0" w:color="auto"/>
        <w:bottom w:val="none" w:sz="0" w:space="0" w:color="auto"/>
        <w:right w:val="none" w:sz="0" w:space="0" w:color="auto"/>
      </w:divBdr>
      <w:divsChild>
        <w:div w:id="2032341849">
          <w:marLeft w:val="0"/>
          <w:marRight w:val="0"/>
          <w:marTop w:val="0"/>
          <w:marBottom w:val="0"/>
          <w:divBdr>
            <w:top w:val="none" w:sz="0" w:space="0" w:color="auto"/>
            <w:left w:val="none" w:sz="0" w:space="0" w:color="auto"/>
            <w:bottom w:val="none" w:sz="0" w:space="0" w:color="auto"/>
            <w:right w:val="none" w:sz="0" w:space="0" w:color="auto"/>
          </w:divBdr>
          <w:divsChild>
            <w:div w:id="2020110877">
              <w:marLeft w:val="0"/>
              <w:marRight w:val="0"/>
              <w:marTop w:val="0"/>
              <w:marBottom w:val="0"/>
              <w:divBdr>
                <w:top w:val="none" w:sz="0" w:space="0" w:color="auto"/>
                <w:left w:val="none" w:sz="0" w:space="0" w:color="auto"/>
                <w:bottom w:val="none" w:sz="0" w:space="0" w:color="auto"/>
                <w:right w:val="none" w:sz="0" w:space="0" w:color="auto"/>
              </w:divBdr>
            </w:div>
            <w:div w:id="1517311595">
              <w:marLeft w:val="0"/>
              <w:marRight w:val="0"/>
              <w:marTop w:val="0"/>
              <w:marBottom w:val="0"/>
              <w:divBdr>
                <w:top w:val="none" w:sz="0" w:space="0" w:color="auto"/>
                <w:left w:val="none" w:sz="0" w:space="0" w:color="auto"/>
                <w:bottom w:val="none" w:sz="0" w:space="0" w:color="auto"/>
                <w:right w:val="none" w:sz="0" w:space="0" w:color="auto"/>
              </w:divBdr>
            </w:div>
          </w:divsChild>
        </w:div>
        <w:div w:id="1361927899">
          <w:marLeft w:val="0"/>
          <w:marRight w:val="0"/>
          <w:marTop w:val="0"/>
          <w:marBottom w:val="0"/>
          <w:divBdr>
            <w:top w:val="none" w:sz="0" w:space="0" w:color="auto"/>
            <w:left w:val="none" w:sz="0" w:space="0" w:color="auto"/>
            <w:bottom w:val="none" w:sz="0" w:space="0" w:color="auto"/>
            <w:right w:val="none" w:sz="0" w:space="0" w:color="auto"/>
          </w:divBdr>
        </w:div>
      </w:divsChild>
    </w:div>
    <w:div w:id="1456676859">
      <w:bodyDiv w:val="1"/>
      <w:marLeft w:val="0"/>
      <w:marRight w:val="0"/>
      <w:marTop w:val="0"/>
      <w:marBottom w:val="0"/>
      <w:divBdr>
        <w:top w:val="none" w:sz="0" w:space="0" w:color="auto"/>
        <w:left w:val="none" w:sz="0" w:space="0" w:color="auto"/>
        <w:bottom w:val="none" w:sz="0" w:space="0" w:color="auto"/>
        <w:right w:val="none" w:sz="0" w:space="0" w:color="auto"/>
      </w:divBdr>
      <w:divsChild>
        <w:div w:id="1137528565">
          <w:marLeft w:val="0"/>
          <w:marRight w:val="0"/>
          <w:marTop w:val="0"/>
          <w:marBottom w:val="0"/>
          <w:divBdr>
            <w:top w:val="none" w:sz="0" w:space="0" w:color="auto"/>
            <w:left w:val="none" w:sz="0" w:space="0" w:color="auto"/>
            <w:bottom w:val="none" w:sz="0" w:space="0" w:color="auto"/>
            <w:right w:val="none" w:sz="0" w:space="0" w:color="auto"/>
          </w:divBdr>
          <w:divsChild>
            <w:div w:id="851798436">
              <w:marLeft w:val="0"/>
              <w:marRight w:val="0"/>
              <w:marTop w:val="0"/>
              <w:marBottom w:val="0"/>
              <w:divBdr>
                <w:top w:val="none" w:sz="0" w:space="0" w:color="auto"/>
                <w:left w:val="none" w:sz="0" w:space="0" w:color="auto"/>
                <w:bottom w:val="none" w:sz="0" w:space="0" w:color="auto"/>
                <w:right w:val="none" w:sz="0" w:space="0" w:color="auto"/>
              </w:divBdr>
            </w:div>
            <w:div w:id="1564020342">
              <w:marLeft w:val="0"/>
              <w:marRight w:val="0"/>
              <w:marTop w:val="0"/>
              <w:marBottom w:val="0"/>
              <w:divBdr>
                <w:top w:val="none" w:sz="0" w:space="0" w:color="auto"/>
                <w:left w:val="none" w:sz="0" w:space="0" w:color="auto"/>
                <w:bottom w:val="none" w:sz="0" w:space="0" w:color="auto"/>
                <w:right w:val="none" w:sz="0" w:space="0" w:color="auto"/>
              </w:divBdr>
            </w:div>
          </w:divsChild>
        </w:div>
        <w:div w:id="1034235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13</Pages>
  <Words>4149</Words>
  <Characters>23653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Wangkhem Sandhya Chanu</dc:creator>
  <cp:keywords/>
  <dc:description/>
  <cp:lastModifiedBy>Editor-22</cp:lastModifiedBy>
  <cp:revision>240</cp:revision>
  <cp:lastPrinted>2025-03-27T07:41:00Z</cp:lastPrinted>
  <dcterms:created xsi:type="dcterms:W3CDTF">2025-03-24T04:52:00Z</dcterms:created>
  <dcterms:modified xsi:type="dcterms:W3CDTF">2025-05-30T13:41:00Z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98ea2c7dc295e460cb7469a49651a76b26d1775d633603cae3f0e750c0f9d3c9</vt:lpwstr>
  </property>
</Properties>
</file>