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2735" w14:textId="77777777" w:rsidR="00754C9A" w:rsidRDefault="00754C9A" w:rsidP="00441B6F">
      <w:pPr>
        <w:pStyle w:val="Title"/>
        <w:spacing w:after="0"/>
        <w:jc w:val="both"/>
        <w:rPr>
          <w:rFonts w:ascii="Arial" w:hAnsi="Arial" w:cs="Arial"/>
        </w:rPr>
      </w:pPr>
    </w:p>
    <w:p w14:paraId="1BE81724" w14:textId="77777777" w:rsidR="00C9116E" w:rsidRPr="00C9116E" w:rsidRDefault="00C9116E" w:rsidP="00C9116E">
      <w:pPr>
        <w:spacing w:line="360" w:lineRule="auto"/>
        <w:jc w:val="center"/>
        <w:rPr>
          <w:rFonts w:ascii="Arial" w:hAnsi="Arial" w:cs="Arial"/>
          <w:b/>
          <w:sz w:val="36"/>
          <w:szCs w:val="36"/>
          <w:lang w:eastAsia="en-IN"/>
        </w:rPr>
      </w:pPr>
      <w:r w:rsidRPr="00C9116E">
        <w:rPr>
          <w:rFonts w:ascii="Arial" w:hAnsi="Arial" w:cs="Arial"/>
          <w:b/>
          <w:sz w:val="36"/>
          <w:szCs w:val="36"/>
          <w:lang w:eastAsia="en-IN"/>
        </w:rPr>
        <w:t>Efficacy of novel insecticides against major insect pests of Okra (</w:t>
      </w:r>
      <w:r w:rsidRPr="00C9116E">
        <w:rPr>
          <w:rFonts w:ascii="Arial" w:hAnsi="Arial" w:cs="Arial"/>
          <w:b/>
          <w:i/>
          <w:sz w:val="36"/>
          <w:szCs w:val="36"/>
          <w:lang w:eastAsia="en-IN"/>
        </w:rPr>
        <w:t>Abelmoschus esculentus</w:t>
      </w:r>
      <w:r w:rsidRPr="00C9116E">
        <w:rPr>
          <w:rFonts w:ascii="Arial" w:hAnsi="Arial" w:cs="Arial"/>
          <w:b/>
          <w:sz w:val="36"/>
          <w:szCs w:val="36"/>
          <w:lang w:eastAsia="en-IN"/>
        </w:rPr>
        <w:t xml:space="preserve"> L.): impact on pest populations, natural enemies, yield, and economics</w:t>
      </w:r>
    </w:p>
    <w:p w14:paraId="31CC6F5C" w14:textId="77777777" w:rsidR="00163BC4" w:rsidRPr="00163BC4" w:rsidRDefault="00163BC4" w:rsidP="00441B6F">
      <w:pPr>
        <w:pStyle w:val="Author"/>
        <w:spacing w:line="240" w:lineRule="auto"/>
        <w:rPr>
          <w:rFonts w:ascii="Arial" w:hAnsi="Arial" w:cs="Arial"/>
          <w:bCs/>
          <w:iCs/>
          <w:kern w:val="28"/>
          <w:sz w:val="36"/>
        </w:rPr>
      </w:pPr>
    </w:p>
    <w:p w14:paraId="0AD8E781" w14:textId="77777777" w:rsidR="00A258C3" w:rsidRPr="00790ADA" w:rsidRDefault="00A258C3" w:rsidP="00441B6F">
      <w:pPr>
        <w:pStyle w:val="Author"/>
        <w:spacing w:line="240" w:lineRule="auto"/>
        <w:jc w:val="both"/>
        <w:rPr>
          <w:rFonts w:ascii="Arial" w:hAnsi="Arial" w:cs="Arial"/>
          <w:sz w:val="36"/>
        </w:rPr>
      </w:pPr>
    </w:p>
    <w:p w14:paraId="20F0A65D" w14:textId="77777777" w:rsidR="002C57D2" w:rsidRPr="00FB3A86" w:rsidRDefault="002C57D2" w:rsidP="00441B6F">
      <w:pPr>
        <w:pStyle w:val="Affiliation"/>
        <w:spacing w:after="0" w:line="240" w:lineRule="auto"/>
        <w:jc w:val="both"/>
        <w:rPr>
          <w:rFonts w:ascii="Arial" w:hAnsi="Arial" w:cs="Arial"/>
        </w:rPr>
      </w:pPr>
    </w:p>
    <w:p w14:paraId="4B2AFC0D" w14:textId="77777777" w:rsidR="00B01FCD" w:rsidRPr="00FB3A86" w:rsidRDefault="00C96CB8" w:rsidP="00441B6F">
      <w:pPr>
        <w:pStyle w:val="Copyright"/>
        <w:spacing w:after="0" w:line="240" w:lineRule="auto"/>
        <w:jc w:val="both"/>
        <w:rPr>
          <w:rFonts w:ascii="Arial" w:hAnsi="Arial" w:cs="Arial"/>
        </w:rPr>
        <w:sectPr w:rsidR="00B01FCD" w:rsidRPr="00FB3A86" w:rsidSect="003E2A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40C5BE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B14566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C9116E">
        <w:rPr>
          <w:rFonts w:ascii="Arial" w:hAnsi="Arial" w:cs="Arial"/>
        </w:rPr>
        <w:t xml:space="preserve"> </w:t>
      </w:r>
    </w:p>
    <w:p w14:paraId="664301B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DE7DD1" w14:paraId="25ECE934" w14:textId="77777777" w:rsidTr="001E44FE">
        <w:tc>
          <w:tcPr>
            <w:tcW w:w="9576" w:type="dxa"/>
            <w:shd w:val="clear" w:color="auto" w:fill="F2F2F2"/>
          </w:tcPr>
          <w:p w14:paraId="33A6671C" w14:textId="77777777" w:rsidR="00C9116E" w:rsidRPr="00DE7DD1" w:rsidRDefault="00C9116E" w:rsidP="00C9116E">
            <w:pPr>
              <w:pStyle w:val="NormalWeb"/>
              <w:rPr>
                <w:rFonts w:ascii="Arial" w:hAnsi="Arial" w:cs="Arial"/>
                <w:sz w:val="20"/>
                <w:szCs w:val="22"/>
              </w:rPr>
            </w:pPr>
            <w:r w:rsidRPr="00DE7DD1">
              <w:rPr>
                <w:rFonts w:ascii="Arial" w:hAnsi="Arial" w:cs="Arial"/>
                <w:b/>
                <w:sz w:val="20"/>
                <w:szCs w:val="22"/>
              </w:rPr>
              <w:t>Aims:</w:t>
            </w:r>
            <w:r w:rsidRPr="00DE7DD1">
              <w:rPr>
                <w:rFonts w:ascii="Arial" w:hAnsi="Arial" w:cs="Arial"/>
                <w:sz w:val="20"/>
                <w:szCs w:val="22"/>
              </w:rPr>
              <w:t xml:space="preserve"> To evaluate the efficacy of eight novel insecticides against major okra pests (</w:t>
            </w:r>
            <w:proofErr w:type="spellStart"/>
            <w:r w:rsidRPr="00DE7DD1">
              <w:rPr>
                <w:rFonts w:ascii="Arial" w:hAnsi="Arial" w:cs="Arial"/>
                <w:sz w:val="20"/>
                <w:szCs w:val="22"/>
              </w:rPr>
              <w:t>jassids</w:t>
            </w:r>
            <w:proofErr w:type="spellEnd"/>
            <w:r w:rsidRPr="00DE7DD1">
              <w:rPr>
                <w:rFonts w:ascii="Arial" w:hAnsi="Arial" w:cs="Arial"/>
                <w:sz w:val="20"/>
                <w:szCs w:val="22"/>
              </w:rPr>
              <w:t>, whiteflies, shoot and fruit borer), their safety to beneficial coccinellid beetles, and their economic viability in terms of yield and cost-benefit ratio.</w:t>
            </w:r>
          </w:p>
          <w:p w14:paraId="11CE6089" w14:textId="77777777" w:rsidR="00BA1B01" w:rsidRPr="00DE7DD1" w:rsidRDefault="00BA1B01" w:rsidP="00C9116E">
            <w:pPr>
              <w:pStyle w:val="NormalWeb"/>
              <w:rPr>
                <w:rFonts w:ascii="Arial" w:hAnsi="Arial" w:cs="Arial"/>
                <w:sz w:val="20"/>
                <w:szCs w:val="22"/>
              </w:rPr>
            </w:pPr>
            <w:r w:rsidRPr="00DE7DD1">
              <w:rPr>
                <w:rFonts w:ascii="Arial" w:eastAsia="Calibri" w:hAnsi="Arial" w:cs="Arial"/>
                <w:b/>
                <w:sz w:val="20"/>
                <w:szCs w:val="22"/>
              </w:rPr>
              <w:t>Study design:</w:t>
            </w:r>
            <w:r w:rsidRPr="00DE7DD1">
              <w:rPr>
                <w:rFonts w:ascii="Arial" w:eastAsia="Calibri" w:hAnsi="Arial" w:cs="Arial"/>
                <w:sz w:val="20"/>
                <w:szCs w:val="22"/>
              </w:rPr>
              <w:t xml:space="preserve">  </w:t>
            </w:r>
            <w:r w:rsidR="00C9116E" w:rsidRPr="00DE7DD1">
              <w:rPr>
                <w:rFonts w:ascii="Arial" w:hAnsi="Arial" w:cs="Arial"/>
                <w:sz w:val="20"/>
                <w:szCs w:val="22"/>
              </w:rPr>
              <w:t>Randomized block design with three replications.</w:t>
            </w:r>
          </w:p>
          <w:p w14:paraId="355A268F" w14:textId="77777777" w:rsidR="00C9116E" w:rsidRPr="00DE7DD1" w:rsidRDefault="00BA1B01" w:rsidP="00C9116E">
            <w:pPr>
              <w:pStyle w:val="NormalWeb"/>
              <w:rPr>
                <w:rFonts w:ascii="Arial" w:hAnsi="Arial" w:cs="Arial"/>
                <w:sz w:val="20"/>
                <w:szCs w:val="22"/>
              </w:rPr>
            </w:pPr>
            <w:r w:rsidRPr="00DE7DD1">
              <w:rPr>
                <w:rFonts w:ascii="Arial" w:eastAsia="Calibri" w:hAnsi="Arial" w:cs="Arial"/>
                <w:b/>
                <w:sz w:val="20"/>
                <w:szCs w:val="22"/>
              </w:rPr>
              <w:t>Place and Duration of Study:</w:t>
            </w:r>
            <w:r w:rsidRPr="00DE7DD1">
              <w:rPr>
                <w:rFonts w:ascii="Arial" w:eastAsia="Calibri" w:hAnsi="Arial" w:cs="Arial"/>
                <w:sz w:val="20"/>
                <w:szCs w:val="22"/>
              </w:rPr>
              <w:t xml:space="preserve"> </w:t>
            </w:r>
            <w:r w:rsidR="00C9116E" w:rsidRPr="00DE7DD1">
              <w:rPr>
                <w:rFonts w:ascii="Arial" w:hAnsi="Arial" w:cs="Arial"/>
                <w:sz w:val="20"/>
                <w:szCs w:val="22"/>
              </w:rPr>
              <w:t>Central Research Station, Odisha University of Agriculture and Technology, Bhubaneswar, during summer seasons of 2019-20 and 2020-21.</w:t>
            </w:r>
          </w:p>
          <w:p w14:paraId="5E861E07" w14:textId="77777777" w:rsidR="00C9116E" w:rsidRPr="00DE7DD1" w:rsidRDefault="00C9116E" w:rsidP="00C9116E">
            <w:pPr>
              <w:pStyle w:val="NormalWeb"/>
              <w:rPr>
                <w:rFonts w:ascii="Arial" w:hAnsi="Arial" w:cs="Arial"/>
                <w:sz w:val="20"/>
                <w:szCs w:val="22"/>
              </w:rPr>
            </w:pPr>
            <w:r w:rsidRPr="00DE7DD1">
              <w:rPr>
                <w:rFonts w:ascii="Arial" w:hAnsi="Arial" w:cs="Arial"/>
                <w:b/>
                <w:sz w:val="20"/>
                <w:szCs w:val="22"/>
              </w:rPr>
              <w:t>Methodology:</w:t>
            </w:r>
            <w:r w:rsidRPr="00DE7DD1">
              <w:rPr>
                <w:rFonts w:ascii="Arial" w:hAnsi="Arial" w:cs="Arial"/>
                <w:sz w:val="20"/>
                <w:szCs w:val="22"/>
              </w:rPr>
              <w:t xml:space="preserve"> Eight insecticides, including </w:t>
            </w:r>
            <w:proofErr w:type="spellStart"/>
            <w:r w:rsidRPr="00DE7DD1">
              <w:rPr>
                <w:rFonts w:ascii="Arial" w:hAnsi="Arial" w:cs="Arial"/>
                <w:sz w:val="20"/>
                <w:szCs w:val="22"/>
              </w:rPr>
              <w:t>flupyradifurone</w:t>
            </w:r>
            <w:proofErr w:type="spellEnd"/>
            <w:r w:rsidRPr="00DE7DD1">
              <w:rPr>
                <w:rFonts w:ascii="Arial" w:hAnsi="Arial" w:cs="Arial"/>
                <w:sz w:val="20"/>
                <w:szCs w:val="22"/>
              </w:rPr>
              <w:t xml:space="preserve"> (250 g </w:t>
            </w:r>
            <w:proofErr w:type="spellStart"/>
            <w:r w:rsidRPr="00DE7DD1">
              <w:rPr>
                <w:rFonts w:ascii="Arial" w:hAnsi="Arial" w:cs="Arial"/>
                <w:sz w:val="20"/>
                <w:szCs w:val="22"/>
              </w:rPr>
              <w:t>a.i.</w:t>
            </w:r>
            <w:proofErr w:type="spellEnd"/>
            <w:r w:rsidRPr="00DE7DD1">
              <w:rPr>
                <w:rFonts w:ascii="Arial" w:hAnsi="Arial" w:cs="Arial"/>
                <w:sz w:val="20"/>
                <w:szCs w:val="22"/>
              </w:rPr>
              <w:t xml:space="preserve">/ha), </w:t>
            </w:r>
            <w:proofErr w:type="spellStart"/>
            <w:r w:rsidRPr="00DE7DD1">
              <w:rPr>
                <w:rFonts w:ascii="Arial" w:hAnsi="Arial" w:cs="Arial"/>
                <w:sz w:val="20"/>
                <w:szCs w:val="22"/>
              </w:rPr>
              <w:t>diafenthiuron</w:t>
            </w:r>
            <w:proofErr w:type="spellEnd"/>
            <w:r w:rsidRPr="00DE7DD1">
              <w:rPr>
                <w:rFonts w:ascii="Arial" w:hAnsi="Arial" w:cs="Arial"/>
                <w:sz w:val="20"/>
                <w:szCs w:val="22"/>
              </w:rPr>
              <w:t xml:space="preserve"> (300 g </w:t>
            </w:r>
            <w:proofErr w:type="spellStart"/>
            <w:r w:rsidRPr="00DE7DD1">
              <w:rPr>
                <w:rFonts w:ascii="Arial" w:hAnsi="Arial" w:cs="Arial"/>
                <w:sz w:val="20"/>
                <w:szCs w:val="22"/>
              </w:rPr>
              <w:t>a.i.</w:t>
            </w:r>
            <w:proofErr w:type="spellEnd"/>
            <w:r w:rsidRPr="00DE7DD1">
              <w:rPr>
                <w:rFonts w:ascii="Arial" w:hAnsi="Arial" w:cs="Arial"/>
                <w:sz w:val="20"/>
                <w:szCs w:val="22"/>
              </w:rPr>
              <w:t xml:space="preserve">/ha), and </w:t>
            </w:r>
            <w:proofErr w:type="spellStart"/>
            <w:r w:rsidRPr="00DE7DD1">
              <w:rPr>
                <w:rFonts w:ascii="Arial" w:hAnsi="Arial" w:cs="Arial"/>
                <w:sz w:val="20"/>
                <w:szCs w:val="22"/>
              </w:rPr>
              <w:t>emamectin</w:t>
            </w:r>
            <w:proofErr w:type="spellEnd"/>
            <w:r w:rsidRPr="00DE7DD1">
              <w:rPr>
                <w:rFonts w:ascii="Arial" w:hAnsi="Arial" w:cs="Arial"/>
                <w:sz w:val="20"/>
                <w:szCs w:val="22"/>
              </w:rPr>
              <w:t xml:space="preserve"> benzoate (7 g </w:t>
            </w:r>
            <w:proofErr w:type="spellStart"/>
            <w:r w:rsidRPr="00DE7DD1">
              <w:rPr>
                <w:rFonts w:ascii="Arial" w:hAnsi="Arial" w:cs="Arial"/>
                <w:sz w:val="20"/>
                <w:szCs w:val="22"/>
              </w:rPr>
              <w:t>a.i.</w:t>
            </w:r>
            <w:proofErr w:type="spellEnd"/>
            <w:r w:rsidRPr="00DE7DD1">
              <w:rPr>
                <w:rFonts w:ascii="Arial" w:hAnsi="Arial" w:cs="Arial"/>
                <w:sz w:val="20"/>
                <w:szCs w:val="22"/>
              </w:rPr>
              <w:t xml:space="preserve">/ha), were applied as foliar sprays at 30 and 45 days after sowing in okra plots. Pest populations, fruit damage, coccinellid counts, yield, and incremental cost-benefit ratio (ICBR) were assessed. Data were arcsine-transformed and </w:t>
            </w:r>
            <w:proofErr w:type="spellStart"/>
            <w:r w:rsidRPr="00DE7DD1">
              <w:rPr>
                <w:rFonts w:ascii="Arial" w:hAnsi="Arial" w:cs="Arial"/>
                <w:sz w:val="20"/>
                <w:szCs w:val="22"/>
              </w:rPr>
              <w:t>analyzed</w:t>
            </w:r>
            <w:proofErr w:type="spellEnd"/>
            <w:r w:rsidRPr="00DE7DD1">
              <w:rPr>
                <w:rFonts w:ascii="Arial" w:hAnsi="Arial" w:cs="Arial"/>
                <w:sz w:val="20"/>
                <w:szCs w:val="22"/>
              </w:rPr>
              <w:t xml:space="preserve"> using ANOVA.</w:t>
            </w:r>
          </w:p>
          <w:p w14:paraId="5A3AE9D4" w14:textId="77777777" w:rsidR="00C9116E" w:rsidRPr="00DE7DD1" w:rsidRDefault="00C9116E" w:rsidP="00C9116E">
            <w:pPr>
              <w:pStyle w:val="NormalWeb"/>
              <w:rPr>
                <w:rFonts w:ascii="Arial" w:hAnsi="Arial" w:cs="Arial"/>
                <w:sz w:val="20"/>
                <w:szCs w:val="22"/>
              </w:rPr>
            </w:pPr>
            <w:r w:rsidRPr="00DE7DD1">
              <w:rPr>
                <w:rFonts w:ascii="Arial" w:hAnsi="Arial" w:cs="Arial"/>
                <w:b/>
                <w:sz w:val="20"/>
                <w:szCs w:val="22"/>
              </w:rPr>
              <w:t>Results:</w:t>
            </w:r>
            <w:r w:rsidRPr="00DE7DD1">
              <w:rPr>
                <w:rFonts w:ascii="Arial" w:hAnsi="Arial" w:cs="Arial"/>
                <w:sz w:val="20"/>
                <w:szCs w:val="22"/>
              </w:rPr>
              <w:t xml:space="preserve"> </w:t>
            </w:r>
            <w:proofErr w:type="spellStart"/>
            <w:r w:rsidRPr="00DE7DD1">
              <w:rPr>
                <w:rFonts w:ascii="Arial" w:hAnsi="Arial" w:cs="Arial"/>
                <w:sz w:val="20"/>
                <w:szCs w:val="22"/>
              </w:rPr>
              <w:t>Flupyradifurone</w:t>
            </w:r>
            <w:proofErr w:type="spellEnd"/>
            <w:r w:rsidRPr="00DE7DD1">
              <w:rPr>
                <w:rFonts w:ascii="Arial" w:hAnsi="Arial" w:cs="Arial"/>
                <w:sz w:val="20"/>
                <w:szCs w:val="22"/>
              </w:rPr>
              <w:t xml:space="preserve"> reduced </w:t>
            </w:r>
            <w:proofErr w:type="spellStart"/>
            <w:r w:rsidRPr="00DE7DD1">
              <w:rPr>
                <w:rFonts w:ascii="Arial" w:hAnsi="Arial" w:cs="Arial"/>
                <w:sz w:val="20"/>
                <w:szCs w:val="22"/>
              </w:rPr>
              <w:t>jassid</w:t>
            </w:r>
            <w:proofErr w:type="spellEnd"/>
            <w:r w:rsidRPr="00DE7DD1">
              <w:rPr>
                <w:rFonts w:ascii="Arial" w:hAnsi="Arial" w:cs="Arial"/>
                <w:sz w:val="20"/>
                <w:szCs w:val="22"/>
              </w:rPr>
              <w:t xml:space="preserve"> populations by 79.84% (2.47/plant, P = 0.05), </w:t>
            </w:r>
            <w:proofErr w:type="spellStart"/>
            <w:r w:rsidRPr="00DE7DD1">
              <w:rPr>
                <w:rFonts w:ascii="Arial" w:hAnsi="Arial" w:cs="Arial"/>
                <w:sz w:val="20"/>
                <w:szCs w:val="22"/>
              </w:rPr>
              <w:t>diafenthiuron</w:t>
            </w:r>
            <w:proofErr w:type="spellEnd"/>
            <w:r w:rsidRPr="00DE7DD1">
              <w:rPr>
                <w:rFonts w:ascii="Arial" w:hAnsi="Arial" w:cs="Arial"/>
                <w:sz w:val="20"/>
                <w:szCs w:val="22"/>
              </w:rPr>
              <w:t xml:space="preserve"> whitefly populations by 79.39% (1.20/plant, P = 0.05), and </w:t>
            </w:r>
            <w:proofErr w:type="spellStart"/>
            <w:r w:rsidRPr="00DE7DD1">
              <w:rPr>
                <w:rFonts w:ascii="Arial" w:hAnsi="Arial" w:cs="Arial"/>
                <w:sz w:val="20"/>
                <w:szCs w:val="22"/>
              </w:rPr>
              <w:t>emamectin</w:t>
            </w:r>
            <w:proofErr w:type="spellEnd"/>
            <w:r w:rsidRPr="00DE7DD1">
              <w:rPr>
                <w:rFonts w:ascii="Arial" w:hAnsi="Arial" w:cs="Arial"/>
                <w:sz w:val="20"/>
                <w:szCs w:val="22"/>
              </w:rPr>
              <w:t xml:space="preserve"> benzoate fruit borer damage by 82.35% (4.12% by number, P = 0.05). </w:t>
            </w:r>
            <w:proofErr w:type="spellStart"/>
            <w:r w:rsidRPr="00DE7DD1">
              <w:rPr>
                <w:rFonts w:ascii="Arial" w:hAnsi="Arial" w:cs="Arial"/>
                <w:sz w:val="20"/>
                <w:szCs w:val="22"/>
              </w:rPr>
              <w:t>Emamectin</w:t>
            </w:r>
            <w:proofErr w:type="spellEnd"/>
            <w:r w:rsidRPr="00DE7DD1">
              <w:rPr>
                <w:rFonts w:ascii="Arial" w:hAnsi="Arial" w:cs="Arial"/>
                <w:sz w:val="20"/>
                <w:szCs w:val="22"/>
              </w:rPr>
              <w:t xml:space="preserve"> benzoate yielded 7.54 t/ha (89.92% increase, P = 0.05) with an ICBR of 1:12.44 (Rs 66,090/ha). </w:t>
            </w:r>
            <w:proofErr w:type="spellStart"/>
            <w:r w:rsidRPr="00DE7DD1">
              <w:rPr>
                <w:rFonts w:ascii="Arial" w:hAnsi="Arial" w:cs="Arial"/>
                <w:sz w:val="20"/>
                <w:szCs w:val="22"/>
              </w:rPr>
              <w:t>Emamectin</w:t>
            </w:r>
            <w:proofErr w:type="spellEnd"/>
            <w:r w:rsidRPr="00DE7DD1">
              <w:rPr>
                <w:rFonts w:ascii="Arial" w:hAnsi="Arial" w:cs="Arial"/>
                <w:sz w:val="20"/>
                <w:szCs w:val="22"/>
              </w:rPr>
              <w:t xml:space="preserve"> benzoate, clothianidin, spinetoram, and </w:t>
            </w:r>
            <w:proofErr w:type="spellStart"/>
            <w:r w:rsidRPr="00DE7DD1">
              <w:rPr>
                <w:rFonts w:ascii="Arial" w:hAnsi="Arial" w:cs="Arial"/>
                <w:sz w:val="20"/>
                <w:szCs w:val="22"/>
              </w:rPr>
              <w:t>flupyradifurone</w:t>
            </w:r>
            <w:proofErr w:type="spellEnd"/>
            <w:r w:rsidRPr="00DE7DD1">
              <w:rPr>
                <w:rFonts w:ascii="Arial" w:hAnsi="Arial" w:cs="Arial"/>
                <w:sz w:val="20"/>
                <w:szCs w:val="22"/>
              </w:rPr>
              <w:t xml:space="preserve"> preserved coccinellids (3.89–4.25/5 leaves, P &gt; 0.05 vs. control).</w:t>
            </w:r>
          </w:p>
          <w:p w14:paraId="21294A73" w14:textId="77777777" w:rsidR="00C9116E" w:rsidRPr="00DE7DD1" w:rsidRDefault="00C9116E" w:rsidP="00C9116E">
            <w:pPr>
              <w:pStyle w:val="NormalWeb"/>
              <w:rPr>
                <w:rFonts w:ascii="Arial" w:hAnsi="Arial" w:cs="Arial"/>
                <w:sz w:val="20"/>
                <w:szCs w:val="22"/>
              </w:rPr>
            </w:pPr>
            <w:r w:rsidRPr="00DE7DD1">
              <w:rPr>
                <w:rFonts w:ascii="Arial" w:hAnsi="Arial" w:cs="Arial"/>
                <w:b/>
                <w:sz w:val="20"/>
                <w:szCs w:val="22"/>
              </w:rPr>
              <w:t>Conclusion:</w:t>
            </w:r>
            <w:r w:rsidRPr="00DE7DD1">
              <w:rPr>
                <w:rFonts w:ascii="Arial" w:hAnsi="Arial" w:cs="Arial"/>
                <w:sz w:val="20"/>
                <w:szCs w:val="22"/>
              </w:rPr>
              <w:t xml:space="preserve"> </w:t>
            </w:r>
            <w:proofErr w:type="spellStart"/>
            <w:r w:rsidRPr="00DE7DD1">
              <w:rPr>
                <w:rFonts w:ascii="Arial" w:hAnsi="Arial" w:cs="Arial"/>
                <w:sz w:val="20"/>
                <w:szCs w:val="22"/>
              </w:rPr>
              <w:t>Flupyradifurone</w:t>
            </w:r>
            <w:proofErr w:type="spellEnd"/>
            <w:r w:rsidRPr="00DE7DD1">
              <w:rPr>
                <w:rFonts w:ascii="Arial" w:hAnsi="Arial" w:cs="Arial"/>
                <w:sz w:val="20"/>
                <w:szCs w:val="22"/>
              </w:rPr>
              <w:t xml:space="preserve">, </w:t>
            </w:r>
            <w:proofErr w:type="spellStart"/>
            <w:r w:rsidRPr="00DE7DD1">
              <w:rPr>
                <w:rFonts w:ascii="Arial" w:hAnsi="Arial" w:cs="Arial"/>
                <w:sz w:val="20"/>
                <w:szCs w:val="22"/>
              </w:rPr>
              <w:t>diafenthiuron</w:t>
            </w:r>
            <w:proofErr w:type="spellEnd"/>
            <w:r w:rsidRPr="00DE7DD1">
              <w:rPr>
                <w:rFonts w:ascii="Arial" w:hAnsi="Arial" w:cs="Arial"/>
                <w:sz w:val="20"/>
                <w:szCs w:val="22"/>
              </w:rPr>
              <w:t xml:space="preserve">, and </w:t>
            </w:r>
            <w:proofErr w:type="spellStart"/>
            <w:r w:rsidRPr="00DE7DD1">
              <w:rPr>
                <w:rFonts w:ascii="Arial" w:hAnsi="Arial" w:cs="Arial"/>
                <w:sz w:val="20"/>
                <w:szCs w:val="22"/>
              </w:rPr>
              <w:t>emamectin</w:t>
            </w:r>
            <w:proofErr w:type="spellEnd"/>
            <w:r w:rsidRPr="00DE7DD1">
              <w:rPr>
                <w:rFonts w:ascii="Arial" w:hAnsi="Arial" w:cs="Arial"/>
                <w:sz w:val="20"/>
                <w:szCs w:val="22"/>
              </w:rPr>
              <w:t xml:space="preserve"> benzoate offer effective, ecologically safe, and economically viable pest management for okra, supporting integrated pest management strategies.</w:t>
            </w:r>
          </w:p>
          <w:p w14:paraId="4819EED9" w14:textId="77777777" w:rsidR="00505F06" w:rsidRPr="00DE7DD1" w:rsidRDefault="00505F06" w:rsidP="00441B6F">
            <w:pPr>
              <w:pStyle w:val="Body"/>
              <w:spacing w:after="0"/>
              <w:rPr>
                <w:rFonts w:ascii="Arial" w:eastAsia="Calibri" w:hAnsi="Arial" w:cs="Arial"/>
                <w:szCs w:val="22"/>
              </w:rPr>
            </w:pPr>
          </w:p>
        </w:tc>
      </w:tr>
    </w:tbl>
    <w:p w14:paraId="0CBB38B9" w14:textId="77777777" w:rsidR="00636EB2" w:rsidRDefault="00636EB2" w:rsidP="00441B6F">
      <w:pPr>
        <w:pStyle w:val="Body"/>
        <w:spacing w:after="0"/>
        <w:rPr>
          <w:rFonts w:ascii="Arial" w:hAnsi="Arial" w:cs="Arial"/>
          <w:i/>
        </w:rPr>
      </w:pPr>
    </w:p>
    <w:p w14:paraId="057BD9F7" w14:textId="77777777" w:rsidR="0024282C" w:rsidRPr="00C9116E" w:rsidRDefault="00C9116E" w:rsidP="00C9116E">
      <w:pPr>
        <w:pStyle w:val="NormalWeb"/>
        <w:jc w:val="both"/>
        <w:rPr>
          <w:rFonts w:ascii="Arial" w:hAnsi="Arial" w:cs="Arial"/>
          <w:i/>
          <w:sz w:val="20"/>
          <w:szCs w:val="20"/>
        </w:rPr>
      </w:pPr>
      <w:r w:rsidRPr="00C9116E">
        <w:rPr>
          <w:rFonts w:ascii="Arial" w:hAnsi="Arial" w:cs="Arial"/>
          <w:i/>
          <w:sz w:val="20"/>
          <w:szCs w:val="20"/>
        </w:rPr>
        <w:t xml:space="preserve">Keywords: Okra, novel insecticides, </w:t>
      </w:r>
      <w:proofErr w:type="spellStart"/>
      <w:r w:rsidRPr="00C9116E">
        <w:rPr>
          <w:rFonts w:ascii="Arial" w:hAnsi="Arial" w:cs="Arial"/>
          <w:i/>
          <w:sz w:val="20"/>
          <w:szCs w:val="20"/>
        </w:rPr>
        <w:t>jassids</w:t>
      </w:r>
      <w:proofErr w:type="spellEnd"/>
      <w:r w:rsidRPr="00C9116E">
        <w:rPr>
          <w:rFonts w:ascii="Arial" w:hAnsi="Arial" w:cs="Arial"/>
          <w:i/>
          <w:sz w:val="20"/>
          <w:szCs w:val="20"/>
        </w:rPr>
        <w:t>, whiteflies, shoot and fruit borer, incremental cost-benefit ratio</w:t>
      </w:r>
    </w:p>
    <w:p w14:paraId="7B659A84" w14:textId="77777777" w:rsidR="00505F06" w:rsidRPr="00A24E7E" w:rsidRDefault="00505F06" w:rsidP="00441B6F">
      <w:pPr>
        <w:pStyle w:val="Body"/>
        <w:spacing w:after="0"/>
        <w:rPr>
          <w:rFonts w:ascii="Arial" w:hAnsi="Arial" w:cs="Arial"/>
          <w:i/>
        </w:rPr>
      </w:pPr>
    </w:p>
    <w:p w14:paraId="03E5A63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26C4AE" w14:textId="77777777" w:rsidR="00790ADA" w:rsidRPr="00FB3A86" w:rsidRDefault="00790ADA" w:rsidP="00441B6F">
      <w:pPr>
        <w:pStyle w:val="AbstHead"/>
        <w:spacing w:after="0"/>
        <w:jc w:val="both"/>
        <w:rPr>
          <w:rFonts w:ascii="Arial" w:hAnsi="Arial" w:cs="Arial"/>
        </w:rPr>
      </w:pPr>
    </w:p>
    <w:p w14:paraId="1654173D" w14:textId="77777777" w:rsidR="00DE7DD1" w:rsidRPr="00DE7DD1" w:rsidRDefault="00DE7DD1" w:rsidP="00DE7DD1">
      <w:pPr>
        <w:pStyle w:val="break-words"/>
        <w:spacing w:line="360" w:lineRule="auto"/>
        <w:jc w:val="both"/>
        <w:rPr>
          <w:rFonts w:ascii="Arial" w:hAnsi="Arial" w:cs="Arial"/>
          <w:sz w:val="20"/>
          <w:szCs w:val="20"/>
        </w:rPr>
      </w:pPr>
      <w:r w:rsidRPr="00DE7DD1">
        <w:rPr>
          <w:rFonts w:ascii="Arial" w:hAnsi="Arial" w:cs="Arial"/>
          <w:sz w:val="20"/>
          <w:szCs w:val="20"/>
        </w:rPr>
        <w:t>Okra (</w:t>
      </w:r>
      <w:r w:rsidRPr="00DE7DD1">
        <w:rPr>
          <w:rFonts w:ascii="Arial" w:hAnsi="Arial" w:cs="Arial"/>
          <w:i/>
          <w:sz w:val="20"/>
          <w:szCs w:val="20"/>
        </w:rPr>
        <w:t>Abelmoschus esculentus</w:t>
      </w:r>
      <w:r w:rsidRPr="00DE7DD1">
        <w:rPr>
          <w:rFonts w:ascii="Arial" w:hAnsi="Arial" w:cs="Arial"/>
          <w:sz w:val="20"/>
          <w:szCs w:val="20"/>
        </w:rPr>
        <w:t xml:space="preserve"> L. Moench), a member of the </w:t>
      </w:r>
      <w:proofErr w:type="spellStart"/>
      <w:r w:rsidRPr="00DE7DD1">
        <w:rPr>
          <w:rFonts w:ascii="Arial" w:hAnsi="Arial" w:cs="Arial"/>
          <w:sz w:val="20"/>
          <w:szCs w:val="20"/>
        </w:rPr>
        <w:t>Malvaceae</w:t>
      </w:r>
      <w:proofErr w:type="spellEnd"/>
      <w:r w:rsidRPr="00DE7DD1">
        <w:rPr>
          <w:rFonts w:ascii="Arial" w:hAnsi="Arial" w:cs="Arial"/>
          <w:sz w:val="20"/>
          <w:szCs w:val="20"/>
        </w:rPr>
        <w:t xml:space="preserve"> family, is a cornerstone of vegetable production in India, valued for its nutritional richness and versatility in culinary and industrial applications. India leads global okra production, cultivating 0.509 million hectares and yielding 6.095 metric tonnes in 2017-2018, with Odisha contributing significantly (0.567 metric tonnes, 9.33% share) (National Horticulture Board, 2018). Rich in vitamins (e.g., 13.10 mg/100 g vitamin C) and minerals (e.g., 66 mg/100 g calcium), okra supports dietary needs in developing nations, where it is consumed as a fresh vegetable or processed product (Gopalan et al., 2007). However, its cultivation faces substantial challenges from insect pests, which reduces both yield and quality, posing economic risks to farmers.</w:t>
      </w:r>
    </w:p>
    <w:p w14:paraId="330C3256" w14:textId="77777777" w:rsidR="00DE7DD1" w:rsidRPr="00DE7DD1" w:rsidRDefault="00DE7DD1" w:rsidP="00DE7DD1">
      <w:pPr>
        <w:pStyle w:val="break-words"/>
        <w:spacing w:line="360" w:lineRule="auto"/>
        <w:jc w:val="both"/>
        <w:rPr>
          <w:rFonts w:ascii="Arial" w:hAnsi="Arial" w:cs="Arial"/>
          <w:sz w:val="20"/>
          <w:szCs w:val="20"/>
        </w:rPr>
      </w:pPr>
      <w:r w:rsidRPr="00DE7DD1">
        <w:rPr>
          <w:rFonts w:ascii="Arial" w:hAnsi="Arial" w:cs="Arial"/>
          <w:sz w:val="20"/>
          <w:szCs w:val="20"/>
        </w:rPr>
        <w:t xml:space="preserve">Among the most damaging pests are sucking insects such as </w:t>
      </w:r>
      <w:proofErr w:type="spellStart"/>
      <w:r w:rsidRPr="00DE7DD1">
        <w:rPr>
          <w:rFonts w:ascii="Arial" w:hAnsi="Arial" w:cs="Arial"/>
          <w:sz w:val="20"/>
          <w:szCs w:val="20"/>
        </w:rPr>
        <w:t>jassids</w:t>
      </w:r>
      <w:proofErr w:type="spellEnd"/>
      <w:r w:rsidRPr="00DE7DD1">
        <w:rPr>
          <w:rFonts w:ascii="Arial" w:hAnsi="Arial" w:cs="Arial"/>
          <w:sz w:val="20"/>
          <w:szCs w:val="20"/>
        </w:rPr>
        <w:t xml:space="preserve"> (</w:t>
      </w:r>
      <w:proofErr w:type="spellStart"/>
      <w:r w:rsidRPr="00DE7DD1">
        <w:rPr>
          <w:rFonts w:ascii="Arial" w:hAnsi="Arial" w:cs="Arial"/>
          <w:i/>
          <w:sz w:val="20"/>
          <w:szCs w:val="20"/>
        </w:rPr>
        <w:t>Amrasca</w:t>
      </w:r>
      <w:proofErr w:type="spellEnd"/>
      <w:r w:rsidRPr="00DE7DD1">
        <w:rPr>
          <w:rFonts w:ascii="Arial" w:hAnsi="Arial" w:cs="Arial"/>
          <w:i/>
          <w:sz w:val="20"/>
          <w:szCs w:val="20"/>
        </w:rPr>
        <w:t xml:space="preserve"> </w:t>
      </w:r>
      <w:proofErr w:type="spellStart"/>
      <w:r w:rsidRPr="00DE7DD1">
        <w:rPr>
          <w:rFonts w:ascii="Arial" w:hAnsi="Arial" w:cs="Arial"/>
          <w:i/>
          <w:sz w:val="20"/>
          <w:szCs w:val="20"/>
        </w:rPr>
        <w:t>biguttula</w:t>
      </w:r>
      <w:proofErr w:type="spellEnd"/>
      <w:r w:rsidRPr="00DE7DD1">
        <w:rPr>
          <w:rFonts w:ascii="Arial" w:hAnsi="Arial" w:cs="Arial"/>
          <w:i/>
          <w:sz w:val="20"/>
          <w:szCs w:val="20"/>
        </w:rPr>
        <w:t xml:space="preserve"> </w:t>
      </w:r>
      <w:proofErr w:type="spellStart"/>
      <w:r w:rsidRPr="00DE7DD1">
        <w:rPr>
          <w:rFonts w:ascii="Arial" w:hAnsi="Arial" w:cs="Arial"/>
          <w:i/>
          <w:sz w:val="20"/>
          <w:szCs w:val="20"/>
        </w:rPr>
        <w:t>biguttula</w:t>
      </w:r>
      <w:proofErr w:type="spellEnd"/>
      <w:r w:rsidRPr="00DE7DD1">
        <w:rPr>
          <w:rFonts w:ascii="Arial" w:hAnsi="Arial" w:cs="Arial"/>
          <w:sz w:val="20"/>
          <w:szCs w:val="20"/>
        </w:rPr>
        <w:t xml:space="preserve"> Ishida) and whiteflies (</w:t>
      </w:r>
      <w:proofErr w:type="spellStart"/>
      <w:r w:rsidRPr="00DE7DD1">
        <w:rPr>
          <w:rFonts w:ascii="Arial" w:hAnsi="Arial" w:cs="Arial"/>
          <w:i/>
          <w:sz w:val="20"/>
          <w:szCs w:val="20"/>
        </w:rPr>
        <w:t>Bemisia</w:t>
      </w:r>
      <w:proofErr w:type="spellEnd"/>
      <w:r w:rsidRPr="00DE7DD1">
        <w:rPr>
          <w:rFonts w:ascii="Arial" w:hAnsi="Arial" w:cs="Arial"/>
          <w:i/>
          <w:sz w:val="20"/>
          <w:szCs w:val="20"/>
        </w:rPr>
        <w:t xml:space="preserve"> </w:t>
      </w:r>
      <w:proofErr w:type="spellStart"/>
      <w:r w:rsidRPr="00DE7DD1">
        <w:rPr>
          <w:rFonts w:ascii="Arial" w:hAnsi="Arial" w:cs="Arial"/>
          <w:i/>
          <w:sz w:val="20"/>
          <w:szCs w:val="20"/>
        </w:rPr>
        <w:t>tabaci</w:t>
      </w:r>
      <w:proofErr w:type="spellEnd"/>
      <w:r w:rsidRPr="00DE7DD1">
        <w:rPr>
          <w:rFonts w:ascii="Arial" w:hAnsi="Arial" w:cs="Arial"/>
          <w:sz w:val="20"/>
          <w:szCs w:val="20"/>
        </w:rPr>
        <w:t xml:space="preserve"> </w:t>
      </w:r>
      <w:proofErr w:type="spellStart"/>
      <w:r w:rsidRPr="00DE7DD1">
        <w:rPr>
          <w:rFonts w:ascii="Arial" w:hAnsi="Arial" w:cs="Arial"/>
          <w:sz w:val="20"/>
          <w:szCs w:val="20"/>
        </w:rPr>
        <w:t>Gennadius</w:t>
      </w:r>
      <w:proofErr w:type="spellEnd"/>
      <w:r w:rsidRPr="00DE7DD1">
        <w:rPr>
          <w:rFonts w:ascii="Arial" w:hAnsi="Arial" w:cs="Arial"/>
          <w:sz w:val="20"/>
          <w:szCs w:val="20"/>
        </w:rPr>
        <w:t>), alongside the lepidopteran shoot and fruit borer (</w:t>
      </w:r>
      <w:proofErr w:type="spellStart"/>
      <w:r w:rsidRPr="00DE7DD1">
        <w:rPr>
          <w:rFonts w:ascii="Arial" w:hAnsi="Arial" w:cs="Arial"/>
          <w:i/>
          <w:sz w:val="20"/>
          <w:szCs w:val="20"/>
        </w:rPr>
        <w:t>Earias</w:t>
      </w:r>
      <w:proofErr w:type="spellEnd"/>
      <w:r w:rsidRPr="00DE7DD1">
        <w:rPr>
          <w:rFonts w:ascii="Arial" w:hAnsi="Arial" w:cs="Arial"/>
          <w:i/>
          <w:sz w:val="20"/>
          <w:szCs w:val="20"/>
        </w:rPr>
        <w:t xml:space="preserve"> </w:t>
      </w:r>
      <w:proofErr w:type="spellStart"/>
      <w:r w:rsidRPr="00DE7DD1">
        <w:rPr>
          <w:rFonts w:ascii="Arial" w:hAnsi="Arial" w:cs="Arial"/>
          <w:i/>
          <w:sz w:val="20"/>
          <w:szCs w:val="20"/>
        </w:rPr>
        <w:t>vittella</w:t>
      </w:r>
      <w:proofErr w:type="spellEnd"/>
      <w:r w:rsidRPr="00DE7DD1">
        <w:rPr>
          <w:rFonts w:ascii="Arial" w:hAnsi="Arial" w:cs="Arial"/>
          <w:sz w:val="20"/>
          <w:szCs w:val="20"/>
        </w:rPr>
        <w:t xml:space="preserve"> </w:t>
      </w:r>
      <w:proofErr w:type="spellStart"/>
      <w:r w:rsidRPr="00DE7DD1">
        <w:rPr>
          <w:rFonts w:ascii="Arial" w:hAnsi="Arial" w:cs="Arial"/>
          <w:sz w:val="20"/>
          <w:szCs w:val="20"/>
        </w:rPr>
        <w:t>Fabricius</w:t>
      </w:r>
      <w:proofErr w:type="spellEnd"/>
      <w:r w:rsidRPr="00DE7DD1">
        <w:rPr>
          <w:rFonts w:ascii="Arial" w:hAnsi="Arial" w:cs="Arial"/>
          <w:sz w:val="20"/>
          <w:szCs w:val="20"/>
        </w:rPr>
        <w:t xml:space="preserve">). </w:t>
      </w:r>
      <w:proofErr w:type="spellStart"/>
      <w:r w:rsidRPr="00DE7DD1">
        <w:rPr>
          <w:rFonts w:ascii="Arial" w:hAnsi="Arial" w:cs="Arial"/>
          <w:sz w:val="20"/>
          <w:szCs w:val="20"/>
        </w:rPr>
        <w:t>Jassids</w:t>
      </w:r>
      <w:proofErr w:type="spellEnd"/>
      <w:r w:rsidRPr="00DE7DD1">
        <w:rPr>
          <w:rFonts w:ascii="Arial" w:hAnsi="Arial" w:cs="Arial"/>
          <w:sz w:val="20"/>
          <w:szCs w:val="20"/>
        </w:rPr>
        <w:t xml:space="preserve"> and whiteflies cause direct feeding damage and transmit viral diseases, such as yellow vein mosaic virus, with reported yield losses of 17.46–54.04% if left uncontrolled in early growth stages (</w:t>
      </w:r>
      <w:proofErr w:type="spellStart"/>
      <w:r w:rsidRPr="00DE7DD1">
        <w:rPr>
          <w:rFonts w:ascii="Arial" w:hAnsi="Arial" w:cs="Arial"/>
          <w:sz w:val="20"/>
          <w:szCs w:val="20"/>
        </w:rPr>
        <w:t>Anitha</w:t>
      </w:r>
      <w:proofErr w:type="spellEnd"/>
      <w:r w:rsidRPr="00DE7DD1">
        <w:rPr>
          <w:rFonts w:ascii="Arial" w:hAnsi="Arial" w:cs="Arial"/>
          <w:sz w:val="20"/>
          <w:szCs w:val="20"/>
        </w:rPr>
        <w:t xml:space="preserve"> and </w:t>
      </w:r>
      <w:proofErr w:type="spellStart"/>
      <w:r w:rsidRPr="00DE7DD1">
        <w:rPr>
          <w:rFonts w:ascii="Arial" w:hAnsi="Arial" w:cs="Arial"/>
          <w:sz w:val="20"/>
          <w:szCs w:val="20"/>
        </w:rPr>
        <w:t>Nandihalli</w:t>
      </w:r>
      <w:proofErr w:type="spellEnd"/>
      <w:r w:rsidRPr="00DE7DD1">
        <w:rPr>
          <w:rFonts w:ascii="Arial" w:hAnsi="Arial" w:cs="Arial"/>
          <w:sz w:val="20"/>
          <w:szCs w:val="20"/>
        </w:rPr>
        <w:t xml:space="preserve">, 2008; </w:t>
      </w:r>
      <w:proofErr w:type="spellStart"/>
      <w:r w:rsidRPr="00DE7DD1">
        <w:rPr>
          <w:rFonts w:ascii="Arial" w:hAnsi="Arial" w:cs="Arial"/>
          <w:sz w:val="20"/>
          <w:szCs w:val="20"/>
        </w:rPr>
        <w:t>Neeraja</w:t>
      </w:r>
      <w:proofErr w:type="spellEnd"/>
      <w:r w:rsidRPr="00DE7DD1">
        <w:rPr>
          <w:rFonts w:ascii="Arial" w:hAnsi="Arial" w:cs="Arial"/>
          <w:sz w:val="20"/>
          <w:szCs w:val="20"/>
        </w:rPr>
        <w:t xml:space="preserve"> et al., 2004). The shoot and fruit borer, a polyphagous pest, inflicts severe fruit damage, with losses ranging from 32.06–40.48% (Singh and Brak, 1994), compromising marketability. Historically, pest management has relied on broad-spectrum insecticides like organophosphates and carbamates, but their overuse has led to resistance, environmental contamination, and depletion of natural enemy populations, necessitating alternative strategies (Insecticide Resistance Action Committee, 2007).</w:t>
      </w:r>
    </w:p>
    <w:p w14:paraId="75F3E967" w14:textId="77777777" w:rsidR="00DE7DD1" w:rsidRPr="00DE7DD1" w:rsidRDefault="00DE7DD1" w:rsidP="00DE7DD1">
      <w:pPr>
        <w:pStyle w:val="break-words"/>
        <w:spacing w:line="360" w:lineRule="auto"/>
        <w:jc w:val="both"/>
        <w:rPr>
          <w:rFonts w:ascii="Arial" w:hAnsi="Arial" w:cs="Arial"/>
          <w:sz w:val="20"/>
          <w:szCs w:val="20"/>
        </w:rPr>
      </w:pPr>
      <w:r w:rsidRPr="00DE7DD1">
        <w:rPr>
          <w:rFonts w:ascii="Arial" w:hAnsi="Arial" w:cs="Arial"/>
          <w:sz w:val="20"/>
          <w:szCs w:val="20"/>
        </w:rPr>
        <w:t xml:space="preserve">Novel insecticides, characterized by selective modes of action and reduced ecological footprints, offer a promising solution. Compounds such as </w:t>
      </w:r>
      <w:proofErr w:type="spellStart"/>
      <w:r w:rsidRPr="00DE7DD1">
        <w:rPr>
          <w:rFonts w:ascii="Arial" w:hAnsi="Arial" w:cs="Arial"/>
          <w:sz w:val="20"/>
          <w:szCs w:val="20"/>
        </w:rPr>
        <w:t>flupyradifurone</w:t>
      </w:r>
      <w:proofErr w:type="spellEnd"/>
      <w:r w:rsidRPr="00DE7DD1">
        <w:rPr>
          <w:rFonts w:ascii="Arial" w:hAnsi="Arial" w:cs="Arial"/>
          <w:sz w:val="20"/>
          <w:szCs w:val="20"/>
        </w:rPr>
        <w:t xml:space="preserve"> (a </w:t>
      </w:r>
      <w:proofErr w:type="spellStart"/>
      <w:r w:rsidRPr="00DE7DD1">
        <w:rPr>
          <w:rFonts w:ascii="Arial" w:hAnsi="Arial" w:cs="Arial"/>
          <w:sz w:val="20"/>
          <w:szCs w:val="20"/>
        </w:rPr>
        <w:t>butenolide</w:t>
      </w:r>
      <w:proofErr w:type="spellEnd"/>
      <w:r w:rsidRPr="00DE7DD1">
        <w:rPr>
          <w:rFonts w:ascii="Arial" w:hAnsi="Arial" w:cs="Arial"/>
          <w:sz w:val="20"/>
          <w:szCs w:val="20"/>
        </w:rPr>
        <w:t xml:space="preserve">), </w:t>
      </w:r>
      <w:proofErr w:type="spellStart"/>
      <w:r w:rsidRPr="00DE7DD1">
        <w:rPr>
          <w:rFonts w:ascii="Arial" w:hAnsi="Arial" w:cs="Arial"/>
          <w:sz w:val="20"/>
          <w:szCs w:val="20"/>
        </w:rPr>
        <w:t>diafenthiuron</w:t>
      </w:r>
      <w:proofErr w:type="spellEnd"/>
      <w:r w:rsidRPr="00DE7DD1">
        <w:rPr>
          <w:rFonts w:ascii="Arial" w:hAnsi="Arial" w:cs="Arial"/>
          <w:sz w:val="20"/>
          <w:szCs w:val="20"/>
        </w:rPr>
        <w:t xml:space="preserve"> (a thiourea derivative), and </w:t>
      </w:r>
      <w:proofErr w:type="spellStart"/>
      <w:r w:rsidRPr="00DE7DD1">
        <w:rPr>
          <w:rFonts w:ascii="Arial" w:hAnsi="Arial" w:cs="Arial"/>
          <w:sz w:val="20"/>
          <w:szCs w:val="20"/>
        </w:rPr>
        <w:t>emamectin</w:t>
      </w:r>
      <w:proofErr w:type="spellEnd"/>
      <w:r w:rsidRPr="00DE7DD1">
        <w:rPr>
          <w:rFonts w:ascii="Arial" w:hAnsi="Arial" w:cs="Arial"/>
          <w:sz w:val="20"/>
          <w:szCs w:val="20"/>
        </w:rPr>
        <w:t xml:space="preserve"> benzoate (a macrocyclic lactone) target specific pest physiology while minimizing non-target effects, aligning with integrated pest management (IPM) principles. Previous studies have demonstrated their efficacy in various crops; for instance, </w:t>
      </w:r>
      <w:proofErr w:type="spellStart"/>
      <w:r w:rsidRPr="00DE7DD1">
        <w:rPr>
          <w:rFonts w:ascii="Arial" w:hAnsi="Arial" w:cs="Arial"/>
          <w:sz w:val="20"/>
          <w:szCs w:val="20"/>
        </w:rPr>
        <w:t>flupyradifurone</w:t>
      </w:r>
      <w:proofErr w:type="spellEnd"/>
      <w:r w:rsidRPr="00DE7DD1">
        <w:rPr>
          <w:rFonts w:ascii="Arial" w:hAnsi="Arial" w:cs="Arial"/>
          <w:sz w:val="20"/>
          <w:szCs w:val="20"/>
        </w:rPr>
        <w:t xml:space="preserve"> effectively controls sucking pests in brinjal (Wale et al., 2017), and </w:t>
      </w:r>
      <w:proofErr w:type="spellStart"/>
      <w:r w:rsidRPr="00DE7DD1">
        <w:rPr>
          <w:rFonts w:ascii="Arial" w:hAnsi="Arial" w:cs="Arial"/>
          <w:sz w:val="20"/>
          <w:szCs w:val="20"/>
        </w:rPr>
        <w:t>emamectin</w:t>
      </w:r>
      <w:proofErr w:type="spellEnd"/>
      <w:r w:rsidRPr="00DE7DD1">
        <w:rPr>
          <w:rFonts w:ascii="Arial" w:hAnsi="Arial" w:cs="Arial"/>
          <w:sz w:val="20"/>
          <w:szCs w:val="20"/>
        </w:rPr>
        <w:t xml:space="preserve"> benzoate reduces lepidopteran damage in okra (</w:t>
      </w:r>
      <w:proofErr w:type="spellStart"/>
      <w:r w:rsidRPr="00DE7DD1">
        <w:rPr>
          <w:rFonts w:ascii="Arial" w:hAnsi="Arial" w:cs="Arial"/>
          <w:sz w:val="20"/>
          <w:szCs w:val="20"/>
        </w:rPr>
        <w:t>Kuttalam</w:t>
      </w:r>
      <w:proofErr w:type="spellEnd"/>
      <w:r w:rsidRPr="00DE7DD1">
        <w:rPr>
          <w:rFonts w:ascii="Arial" w:hAnsi="Arial" w:cs="Arial"/>
          <w:sz w:val="20"/>
          <w:szCs w:val="20"/>
        </w:rPr>
        <w:t xml:space="preserve"> et al., 2008). However, their comprehensive evaluations in okra, particularly under Odisha’s agro climatic conditions, remain limited, as do assessments of their safety toward beneficial insects like coccinellid beetles, key predators of sucking pests.</w:t>
      </w:r>
    </w:p>
    <w:p w14:paraId="294DFE4B" w14:textId="77777777" w:rsidR="00DE7DD1" w:rsidRPr="00DE7DD1" w:rsidRDefault="00DE7DD1" w:rsidP="00DE7DD1">
      <w:pPr>
        <w:pStyle w:val="break-words"/>
        <w:spacing w:line="360" w:lineRule="auto"/>
        <w:jc w:val="both"/>
        <w:rPr>
          <w:rFonts w:ascii="Arial" w:hAnsi="Arial" w:cs="Arial"/>
          <w:sz w:val="20"/>
          <w:szCs w:val="20"/>
        </w:rPr>
      </w:pPr>
      <w:r w:rsidRPr="00DE7DD1">
        <w:rPr>
          <w:rFonts w:ascii="Arial" w:hAnsi="Arial" w:cs="Arial"/>
          <w:sz w:val="20"/>
          <w:szCs w:val="20"/>
        </w:rPr>
        <w:lastRenderedPageBreak/>
        <w:t xml:space="preserve">This study addresses these gaps by evaluating eight novel insecticides against okra’s major pests over two seasons (Summer 2019-20 and 2020-21) at the Central Research Station, Odisha University of Agriculture and Technology, Bhubaneswar. The objectives were threefold: (1) to quantify the field efficacy of these insecticides against </w:t>
      </w:r>
      <w:proofErr w:type="spellStart"/>
      <w:r w:rsidRPr="00DE7DD1">
        <w:rPr>
          <w:rFonts w:ascii="Arial" w:hAnsi="Arial" w:cs="Arial"/>
          <w:sz w:val="20"/>
          <w:szCs w:val="20"/>
        </w:rPr>
        <w:t>jassids</w:t>
      </w:r>
      <w:proofErr w:type="spellEnd"/>
      <w:r w:rsidRPr="00DE7DD1">
        <w:rPr>
          <w:rFonts w:ascii="Arial" w:hAnsi="Arial" w:cs="Arial"/>
          <w:sz w:val="20"/>
          <w:szCs w:val="20"/>
        </w:rPr>
        <w:t xml:space="preserve">, whiteflies, and shoot and fruit borer; (2) to assess their impact on coccinellid populations as an indicator of ecological safety; and (3) to </w:t>
      </w:r>
      <w:proofErr w:type="spellStart"/>
      <w:r w:rsidRPr="00DE7DD1">
        <w:rPr>
          <w:rFonts w:ascii="Arial" w:hAnsi="Arial" w:cs="Arial"/>
          <w:sz w:val="20"/>
          <w:szCs w:val="20"/>
        </w:rPr>
        <w:t>analyze</w:t>
      </w:r>
      <w:proofErr w:type="spellEnd"/>
      <w:r w:rsidRPr="00DE7DD1">
        <w:rPr>
          <w:rFonts w:ascii="Arial" w:hAnsi="Arial" w:cs="Arial"/>
          <w:sz w:val="20"/>
          <w:szCs w:val="20"/>
        </w:rPr>
        <w:t xml:space="preserve"> their economic viability through yield and incremental cost-benefit metrics. By integrating pest control efficacy, ecological compatibility, and profitability, this research aims to inform sustainable pest management practices for okra cultivation, enhancing productivity while mitigating environmental risks.</w:t>
      </w:r>
    </w:p>
    <w:p w14:paraId="3021500D" w14:textId="77777777" w:rsidR="00790ADA" w:rsidRPr="00FB3A86" w:rsidRDefault="00790ADA" w:rsidP="00441B6F">
      <w:pPr>
        <w:pStyle w:val="Body"/>
        <w:spacing w:after="0"/>
        <w:rPr>
          <w:rFonts w:ascii="Arial" w:hAnsi="Arial" w:cs="Arial"/>
        </w:rPr>
      </w:pPr>
    </w:p>
    <w:p w14:paraId="0908BD2C"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F4DE82C" w14:textId="77777777" w:rsidR="00790ADA" w:rsidRPr="00FB3A86" w:rsidRDefault="00790ADA" w:rsidP="00441B6F">
      <w:pPr>
        <w:pStyle w:val="AbstHead"/>
        <w:spacing w:after="0"/>
        <w:jc w:val="both"/>
        <w:rPr>
          <w:rFonts w:ascii="Arial" w:hAnsi="Arial" w:cs="Arial"/>
        </w:rPr>
      </w:pPr>
    </w:p>
    <w:p w14:paraId="5AD0B9BF" w14:textId="77777777" w:rsidR="006D1960" w:rsidRPr="006D1960" w:rsidRDefault="006D1960" w:rsidP="006D1960">
      <w:pPr>
        <w:spacing w:before="100" w:beforeAutospacing="1" w:after="100" w:afterAutospacing="1" w:line="360" w:lineRule="auto"/>
        <w:jc w:val="both"/>
        <w:rPr>
          <w:rFonts w:ascii="Arial" w:hAnsi="Arial" w:cs="Arial"/>
          <w:lang w:eastAsia="en-IN"/>
        </w:rPr>
      </w:pPr>
      <w:r w:rsidRPr="006D1960">
        <w:rPr>
          <w:rFonts w:ascii="Arial" w:hAnsi="Arial" w:cs="Arial"/>
          <w:lang w:eastAsia="en-IN"/>
        </w:rPr>
        <w:t>Field experiments were conducted during the summer seasons of 2019-20 and 2020-21 at the Central Research Station, Department of Entomology, Odisha University of Agriculture and Technology (O.U.A.T.), Bhubaneswar, Odisha, India (20.26°N, 85.81°E, elevation 25.9 m above sea level). The site features a hot and humid climate, with average temperatures ranging from 25°C to 38°C and relative humidity of 70–85% during the experimental period. The soil, characterized as sandy loam with a pH of 6.2–6.5, supports optimal okra growth. The experimental design employed a randomized block design (RBD) with nine treatments, encompassing eight insecticide applications and an untreated control, each replicated three times. Plots were established at 5 m × 4 m, with optimum spacing maintained at 50 cm between rows and 30 cm within rows to ensure uniform pest exposure and treatment consistency.</w:t>
      </w:r>
    </w:p>
    <w:p w14:paraId="1472C575" w14:textId="77777777" w:rsidR="006D1960" w:rsidRPr="006D1960" w:rsidRDefault="006D1960" w:rsidP="006D1960">
      <w:pPr>
        <w:spacing w:before="100" w:beforeAutospacing="1" w:after="100" w:afterAutospacing="1" w:line="360" w:lineRule="auto"/>
        <w:jc w:val="both"/>
        <w:rPr>
          <w:rFonts w:ascii="Arial" w:hAnsi="Arial" w:cs="Arial"/>
          <w:lang w:eastAsia="en-IN"/>
        </w:rPr>
      </w:pPr>
      <w:r w:rsidRPr="006D1960">
        <w:rPr>
          <w:rFonts w:ascii="Arial" w:hAnsi="Arial" w:cs="Arial"/>
          <w:lang w:eastAsia="en-IN"/>
        </w:rPr>
        <w:t>Seeds of okra (</w:t>
      </w:r>
      <w:r w:rsidRPr="006D1960">
        <w:rPr>
          <w:rFonts w:ascii="Arial" w:hAnsi="Arial" w:cs="Arial"/>
          <w:i/>
          <w:iCs/>
          <w:lang w:eastAsia="en-IN"/>
        </w:rPr>
        <w:t>Abelmoschus esculentus</w:t>
      </w:r>
      <w:r w:rsidRPr="006D1960">
        <w:rPr>
          <w:rFonts w:ascii="Arial" w:hAnsi="Arial" w:cs="Arial"/>
          <w:lang w:eastAsia="en-IN"/>
        </w:rPr>
        <w:t xml:space="preserve"> L. Moench), of a locally adapted cultivar (variety unspecified in the provided document), were sown in early March each year. Standard agronomic practices included pre-sowing soil enrichment with farmyard manure (10 t/ha), irrigation via drip systems at 5–7-day intervals, and fertilization with N: </w:t>
      </w:r>
      <w:proofErr w:type="gramStart"/>
      <w:r w:rsidRPr="006D1960">
        <w:rPr>
          <w:rFonts w:ascii="Arial" w:hAnsi="Arial" w:cs="Arial"/>
          <w:lang w:eastAsia="en-IN"/>
        </w:rPr>
        <w:t>P:K</w:t>
      </w:r>
      <w:proofErr w:type="gramEnd"/>
      <w:r w:rsidRPr="006D1960">
        <w:rPr>
          <w:rFonts w:ascii="Arial" w:hAnsi="Arial" w:cs="Arial"/>
          <w:lang w:eastAsia="en-IN"/>
        </w:rPr>
        <w:t xml:space="preserve"> (120:60:60 kg/ha) applied as urea, single superphosphate, and </w:t>
      </w:r>
      <w:proofErr w:type="spellStart"/>
      <w:r w:rsidRPr="006D1960">
        <w:rPr>
          <w:rFonts w:ascii="Arial" w:hAnsi="Arial" w:cs="Arial"/>
          <w:lang w:eastAsia="en-IN"/>
        </w:rPr>
        <w:t>murate</w:t>
      </w:r>
      <w:proofErr w:type="spellEnd"/>
      <w:r w:rsidRPr="006D1960">
        <w:rPr>
          <w:rFonts w:ascii="Arial" w:hAnsi="Arial" w:cs="Arial"/>
          <w:lang w:eastAsia="en-IN"/>
        </w:rPr>
        <w:t xml:space="preserve"> of potash, respectively. Manual weeding was performed to minimize interference with pest and treatment observations.</w:t>
      </w:r>
    </w:p>
    <w:p w14:paraId="120DD0A7" w14:textId="77777777" w:rsidR="006D1960" w:rsidRDefault="006D1960" w:rsidP="006D1960">
      <w:pPr>
        <w:spacing w:before="100" w:beforeAutospacing="1" w:after="100" w:afterAutospacing="1" w:line="360" w:lineRule="auto"/>
        <w:jc w:val="both"/>
        <w:rPr>
          <w:rFonts w:ascii="Arial" w:hAnsi="Arial" w:cs="Arial"/>
          <w:lang w:eastAsia="en-IN"/>
        </w:rPr>
      </w:pPr>
      <w:r w:rsidRPr="006D1960">
        <w:rPr>
          <w:rFonts w:ascii="Arial" w:hAnsi="Arial" w:cs="Arial"/>
          <w:lang w:eastAsia="en-IN"/>
        </w:rPr>
        <w:t xml:space="preserve">Eight novel insecticides were evaluated, each preceded by seed treatment with </w:t>
      </w:r>
      <w:r w:rsidRPr="006D1960">
        <w:rPr>
          <w:rFonts w:ascii="Arial" w:hAnsi="Arial" w:cs="Arial"/>
          <w:i/>
          <w:iCs/>
          <w:lang w:eastAsia="en-IN"/>
        </w:rPr>
        <w:t>imidacloprid</w:t>
      </w:r>
      <w:r w:rsidRPr="006D1960">
        <w:rPr>
          <w:rFonts w:ascii="Arial" w:hAnsi="Arial" w:cs="Arial"/>
          <w:lang w:eastAsia="en-IN"/>
        </w:rPr>
        <w:t xml:space="preserve"> 600 FS at 5 ml/kg seed to provide initial protection against sucking pests. Foliar applications were administered at 30 and 45 days after sowing (DAS) using a knapsack sprayer calibrated to deliver 500 L/ha of spray solution. The treatments, outlined in Table 1, </w:t>
      </w:r>
      <w:r w:rsidRPr="006D1960">
        <w:rPr>
          <w:rFonts w:ascii="Arial" w:hAnsi="Arial" w:cs="Arial"/>
          <w:lang w:eastAsia="en-IN"/>
        </w:rPr>
        <w:lastRenderedPageBreak/>
        <w:t xml:space="preserve">represented diverse chemical classes and modes of action, targeting the primary okra pests: </w:t>
      </w:r>
      <w:proofErr w:type="spellStart"/>
      <w:r w:rsidRPr="006D1960">
        <w:rPr>
          <w:rFonts w:ascii="Arial" w:hAnsi="Arial" w:cs="Arial"/>
          <w:lang w:eastAsia="en-IN"/>
        </w:rPr>
        <w:t>jassids</w:t>
      </w:r>
      <w:proofErr w:type="spellEnd"/>
      <w:r w:rsidRPr="006D1960">
        <w:rPr>
          <w:rFonts w:ascii="Arial" w:hAnsi="Arial" w:cs="Arial"/>
          <w:lang w:eastAsia="en-IN"/>
        </w:rPr>
        <w:t xml:space="preserve"> (</w:t>
      </w:r>
      <w:proofErr w:type="spellStart"/>
      <w:r w:rsidRPr="006D1960">
        <w:rPr>
          <w:rFonts w:ascii="Arial" w:hAnsi="Arial" w:cs="Arial"/>
          <w:i/>
          <w:iCs/>
          <w:lang w:eastAsia="en-IN"/>
        </w:rPr>
        <w:t>Amrasca</w:t>
      </w:r>
      <w:proofErr w:type="spellEnd"/>
      <w:r w:rsidRPr="006D1960">
        <w:rPr>
          <w:rFonts w:ascii="Arial" w:hAnsi="Arial" w:cs="Arial"/>
          <w:i/>
          <w:iCs/>
          <w:lang w:eastAsia="en-IN"/>
        </w:rPr>
        <w:t xml:space="preserve"> </w:t>
      </w:r>
      <w:proofErr w:type="spellStart"/>
      <w:r w:rsidRPr="006D1960">
        <w:rPr>
          <w:rFonts w:ascii="Arial" w:hAnsi="Arial" w:cs="Arial"/>
          <w:i/>
          <w:iCs/>
          <w:lang w:eastAsia="en-IN"/>
        </w:rPr>
        <w:t>biguttula</w:t>
      </w:r>
      <w:proofErr w:type="spellEnd"/>
      <w:r w:rsidRPr="006D1960">
        <w:rPr>
          <w:rFonts w:ascii="Arial" w:hAnsi="Arial" w:cs="Arial"/>
          <w:i/>
          <w:iCs/>
          <w:lang w:eastAsia="en-IN"/>
        </w:rPr>
        <w:t xml:space="preserve"> </w:t>
      </w:r>
      <w:proofErr w:type="spellStart"/>
      <w:r w:rsidRPr="006D1960">
        <w:rPr>
          <w:rFonts w:ascii="Arial" w:hAnsi="Arial" w:cs="Arial"/>
          <w:i/>
          <w:iCs/>
          <w:lang w:eastAsia="en-IN"/>
        </w:rPr>
        <w:t>biguttula</w:t>
      </w:r>
      <w:proofErr w:type="spellEnd"/>
      <w:r w:rsidRPr="006D1960">
        <w:rPr>
          <w:rFonts w:ascii="Arial" w:hAnsi="Arial" w:cs="Arial"/>
          <w:lang w:eastAsia="en-IN"/>
        </w:rPr>
        <w:t xml:space="preserve"> Ishida), whiteflies (</w:t>
      </w:r>
      <w:proofErr w:type="spellStart"/>
      <w:r w:rsidRPr="006D1960">
        <w:rPr>
          <w:rFonts w:ascii="Arial" w:hAnsi="Arial" w:cs="Arial"/>
          <w:i/>
          <w:iCs/>
          <w:lang w:eastAsia="en-IN"/>
        </w:rPr>
        <w:t>Bemisia</w:t>
      </w:r>
      <w:proofErr w:type="spellEnd"/>
      <w:r w:rsidRPr="006D1960">
        <w:rPr>
          <w:rFonts w:ascii="Arial" w:hAnsi="Arial" w:cs="Arial"/>
          <w:i/>
          <w:iCs/>
          <w:lang w:eastAsia="en-IN"/>
        </w:rPr>
        <w:t xml:space="preserve"> </w:t>
      </w:r>
      <w:proofErr w:type="spellStart"/>
      <w:r w:rsidRPr="006D1960">
        <w:rPr>
          <w:rFonts w:ascii="Arial" w:hAnsi="Arial" w:cs="Arial"/>
          <w:i/>
          <w:iCs/>
          <w:lang w:eastAsia="en-IN"/>
        </w:rPr>
        <w:t>tabaci</w:t>
      </w:r>
      <w:proofErr w:type="spellEnd"/>
      <w:r w:rsidRPr="006D1960">
        <w:rPr>
          <w:rFonts w:ascii="Arial" w:hAnsi="Arial" w:cs="Arial"/>
          <w:lang w:eastAsia="en-IN"/>
        </w:rPr>
        <w:t xml:space="preserve"> </w:t>
      </w:r>
      <w:proofErr w:type="spellStart"/>
      <w:r w:rsidRPr="006D1960">
        <w:rPr>
          <w:rFonts w:ascii="Arial" w:hAnsi="Arial" w:cs="Arial"/>
          <w:lang w:eastAsia="en-IN"/>
        </w:rPr>
        <w:t>Gennadius</w:t>
      </w:r>
      <w:proofErr w:type="spellEnd"/>
      <w:r w:rsidRPr="006D1960">
        <w:rPr>
          <w:rFonts w:ascii="Arial" w:hAnsi="Arial" w:cs="Arial"/>
          <w:lang w:eastAsia="en-IN"/>
        </w:rPr>
        <w:t>), and shoot and fruit borer (</w:t>
      </w:r>
      <w:proofErr w:type="spellStart"/>
      <w:r w:rsidRPr="006D1960">
        <w:rPr>
          <w:rFonts w:ascii="Arial" w:hAnsi="Arial" w:cs="Arial"/>
          <w:i/>
          <w:iCs/>
          <w:lang w:eastAsia="en-IN"/>
        </w:rPr>
        <w:t>Earias</w:t>
      </w:r>
      <w:proofErr w:type="spellEnd"/>
      <w:r w:rsidRPr="006D1960">
        <w:rPr>
          <w:rFonts w:ascii="Arial" w:hAnsi="Arial" w:cs="Arial"/>
          <w:i/>
          <w:iCs/>
          <w:lang w:eastAsia="en-IN"/>
        </w:rPr>
        <w:t xml:space="preserve"> </w:t>
      </w:r>
      <w:proofErr w:type="spellStart"/>
      <w:r w:rsidRPr="006D1960">
        <w:rPr>
          <w:rFonts w:ascii="Arial" w:hAnsi="Arial" w:cs="Arial"/>
          <w:i/>
          <w:iCs/>
          <w:lang w:eastAsia="en-IN"/>
        </w:rPr>
        <w:t>vittella</w:t>
      </w:r>
      <w:proofErr w:type="spellEnd"/>
      <w:r w:rsidRPr="006D1960">
        <w:rPr>
          <w:rFonts w:ascii="Arial" w:hAnsi="Arial" w:cs="Arial"/>
          <w:lang w:eastAsia="en-IN"/>
        </w:rPr>
        <w:t xml:space="preserve"> </w:t>
      </w:r>
      <w:proofErr w:type="spellStart"/>
      <w:r w:rsidRPr="006D1960">
        <w:rPr>
          <w:rFonts w:ascii="Arial" w:hAnsi="Arial" w:cs="Arial"/>
          <w:lang w:eastAsia="en-IN"/>
        </w:rPr>
        <w:t>Fabricius</w:t>
      </w:r>
      <w:proofErr w:type="spellEnd"/>
      <w:r w:rsidRPr="006D1960">
        <w:rPr>
          <w:rFonts w:ascii="Arial" w:hAnsi="Arial" w:cs="Arial"/>
          <w:lang w:eastAsia="en-IN"/>
        </w:rPr>
        <w:t>). An untreated control sprayed with water was maintained for comparison of treatment efficacy. Dosages were determined based on Central Insecticide board recommendations, Government of India, tailored to address the pest complex under investigation.</w:t>
      </w:r>
    </w:p>
    <w:p w14:paraId="370A6485" w14:textId="77777777" w:rsidR="006D1960" w:rsidRPr="006D1960" w:rsidRDefault="006D1960" w:rsidP="006D1960">
      <w:pPr>
        <w:spacing w:before="100" w:beforeAutospacing="1" w:after="100" w:afterAutospacing="1" w:line="360" w:lineRule="auto"/>
        <w:jc w:val="both"/>
        <w:rPr>
          <w:rFonts w:ascii="Arial" w:hAnsi="Arial" w:cs="Arial"/>
          <w:szCs w:val="24"/>
          <w:lang w:eastAsia="en-IN"/>
        </w:rPr>
      </w:pPr>
      <w:r w:rsidRPr="006D1960">
        <w:rPr>
          <w:rFonts w:ascii="Arial" w:hAnsi="Arial" w:cs="Arial"/>
          <w:b/>
          <w:bCs/>
          <w:szCs w:val="24"/>
          <w:lang w:eastAsia="en-IN"/>
        </w:rPr>
        <w:t>Table 1. Details of insecticide treatments evaluated against major insect pests of okra</w:t>
      </w:r>
    </w:p>
    <w:tbl>
      <w:tblPr>
        <w:tblW w:w="5000" w:type="pct"/>
        <w:tblLook w:val="04A0" w:firstRow="1" w:lastRow="0" w:firstColumn="1" w:lastColumn="0" w:noHBand="0" w:noVBand="1"/>
      </w:tblPr>
      <w:tblGrid>
        <w:gridCol w:w="1432"/>
        <w:gridCol w:w="2108"/>
        <w:gridCol w:w="1432"/>
        <w:gridCol w:w="1582"/>
        <w:gridCol w:w="1870"/>
      </w:tblGrid>
      <w:tr w:rsidR="00DF4B51" w:rsidRPr="00DF4B51" w14:paraId="25D38C3B" w14:textId="77777777" w:rsidTr="00DF4B51">
        <w:trPr>
          <w:trHeight w:val="1275"/>
        </w:trPr>
        <w:tc>
          <w:tcPr>
            <w:tcW w:w="850" w:type="pct"/>
            <w:tcBorders>
              <w:top w:val="single" w:sz="8" w:space="0" w:color="auto"/>
              <w:left w:val="nil"/>
              <w:bottom w:val="single" w:sz="8" w:space="0" w:color="auto"/>
              <w:right w:val="nil"/>
            </w:tcBorders>
            <w:shd w:val="clear" w:color="auto" w:fill="auto"/>
            <w:vAlign w:val="center"/>
            <w:hideMark/>
          </w:tcPr>
          <w:p w14:paraId="24BF1198" w14:textId="77777777" w:rsidR="00DF4B51" w:rsidRPr="00DF4B51" w:rsidRDefault="00DF4B51" w:rsidP="00DF4B51">
            <w:pPr>
              <w:rPr>
                <w:rFonts w:ascii="Arial" w:hAnsi="Arial" w:cs="Arial"/>
                <w:b/>
                <w:bCs/>
                <w:color w:val="000000"/>
                <w:sz w:val="22"/>
                <w:szCs w:val="24"/>
                <w:lang w:val="en-IN" w:eastAsia="en-IN"/>
              </w:rPr>
            </w:pPr>
            <w:r w:rsidRPr="00DF4B51">
              <w:rPr>
                <w:rFonts w:ascii="Arial" w:hAnsi="Arial" w:cs="Arial"/>
                <w:b/>
                <w:bCs/>
                <w:color w:val="000000"/>
                <w:sz w:val="22"/>
                <w:szCs w:val="24"/>
                <w:lang w:eastAsia="en-IN"/>
              </w:rPr>
              <w:t>Treatment</w:t>
            </w:r>
          </w:p>
        </w:tc>
        <w:tc>
          <w:tcPr>
            <w:tcW w:w="1251" w:type="pct"/>
            <w:tcBorders>
              <w:top w:val="single" w:sz="8" w:space="0" w:color="auto"/>
              <w:left w:val="nil"/>
              <w:bottom w:val="single" w:sz="8" w:space="0" w:color="auto"/>
              <w:right w:val="nil"/>
            </w:tcBorders>
            <w:shd w:val="clear" w:color="auto" w:fill="auto"/>
            <w:vAlign w:val="center"/>
            <w:hideMark/>
          </w:tcPr>
          <w:p w14:paraId="5112AE70" w14:textId="77777777" w:rsidR="00DF4B51" w:rsidRPr="00DF4B51" w:rsidRDefault="00DF4B51" w:rsidP="00DF4B51">
            <w:pPr>
              <w:rPr>
                <w:rFonts w:ascii="Arial" w:hAnsi="Arial" w:cs="Arial"/>
                <w:b/>
                <w:bCs/>
                <w:color w:val="000000"/>
                <w:sz w:val="22"/>
                <w:szCs w:val="24"/>
                <w:lang w:val="en-IN" w:eastAsia="en-IN"/>
              </w:rPr>
            </w:pPr>
            <w:r w:rsidRPr="00DF4B51">
              <w:rPr>
                <w:rFonts w:ascii="Arial" w:hAnsi="Arial" w:cs="Arial"/>
                <w:b/>
                <w:bCs/>
                <w:color w:val="000000"/>
                <w:sz w:val="22"/>
                <w:szCs w:val="24"/>
                <w:lang w:eastAsia="en-IN"/>
              </w:rPr>
              <w:t>Insecticide (Formulation)</w:t>
            </w:r>
          </w:p>
        </w:tc>
        <w:tc>
          <w:tcPr>
            <w:tcW w:w="850" w:type="pct"/>
            <w:tcBorders>
              <w:top w:val="single" w:sz="8" w:space="0" w:color="auto"/>
              <w:left w:val="nil"/>
              <w:bottom w:val="single" w:sz="8" w:space="0" w:color="auto"/>
              <w:right w:val="nil"/>
            </w:tcBorders>
            <w:shd w:val="clear" w:color="auto" w:fill="auto"/>
            <w:vAlign w:val="center"/>
            <w:hideMark/>
          </w:tcPr>
          <w:p w14:paraId="54BADDB2" w14:textId="77777777" w:rsidR="00DF4B51" w:rsidRPr="00DF4B51" w:rsidRDefault="00DF4B51" w:rsidP="00DF4B51">
            <w:pPr>
              <w:rPr>
                <w:rFonts w:ascii="Arial" w:hAnsi="Arial" w:cs="Arial"/>
                <w:b/>
                <w:bCs/>
                <w:color w:val="000000"/>
                <w:sz w:val="22"/>
                <w:szCs w:val="24"/>
                <w:lang w:val="en-IN" w:eastAsia="en-IN"/>
              </w:rPr>
            </w:pPr>
            <w:r w:rsidRPr="00DF4B51">
              <w:rPr>
                <w:rFonts w:ascii="Arial" w:hAnsi="Arial" w:cs="Arial"/>
                <w:b/>
                <w:bCs/>
                <w:color w:val="000000"/>
                <w:sz w:val="22"/>
                <w:szCs w:val="24"/>
                <w:lang w:eastAsia="en-IN"/>
              </w:rPr>
              <w:t>Active Ingredient (</w:t>
            </w:r>
            <w:proofErr w:type="spellStart"/>
            <w:r w:rsidRPr="00DF4B51">
              <w:rPr>
                <w:rFonts w:ascii="Arial" w:hAnsi="Arial" w:cs="Arial"/>
                <w:b/>
                <w:bCs/>
                <w:color w:val="000000"/>
                <w:sz w:val="22"/>
                <w:szCs w:val="24"/>
                <w:lang w:eastAsia="en-IN"/>
              </w:rPr>
              <w:t>a.i.</w:t>
            </w:r>
            <w:proofErr w:type="spellEnd"/>
            <w:r w:rsidRPr="00DF4B51">
              <w:rPr>
                <w:rFonts w:ascii="Arial" w:hAnsi="Arial" w:cs="Arial"/>
                <w:b/>
                <w:bCs/>
                <w:color w:val="000000"/>
                <w:sz w:val="22"/>
                <w:szCs w:val="24"/>
                <w:lang w:eastAsia="en-IN"/>
              </w:rPr>
              <w:t>) Dose</w:t>
            </w:r>
          </w:p>
        </w:tc>
        <w:tc>
          <w:tcPr>
            <w:tcW w:w="939" w:type="pct"/>
            <w:tcBorders>
              <w:top w:val="single" w:sz="8" w:space="0" w:color="auto"/>
              <w:left w:val="nil"/>
              <w:bottom w:val="single" w:sz="8" w:space="0" w:color="auto"/>
              <w:right w:val="nil"/>
            </w:tcBorders>
            <w:shd w:val="clear" w:color="auto" w:fill="auto"/>
            <w:vAlign w:val="center"/>
            <w:hideMark/>
          </w:tcPr>
          <w:p w14:paraId="1FD7DBCB" w14:textId="77777777" w:rsidR="00DF4B51" w:rsidRPr="00DF4B51" w:rsidRDefault="00DF4B51" w:rsidP="00DF4B51">
            <w:pPr>
              <w:rPr>
                <w:rFonts w:ascii="Arial" w:hAnsi="Arial" w:cs="Arial"/>
                <w:b/>
                <w:bCs/>
                <w:color w:val="000000"/>
                <w:sz w:val="22"/>
                <w:szCs w:val="24"/>
                <w:lang w:val="en-IN" w:eastAsia="en-IN"/>
              </w:rPr>
            </w:pPr>
            <w:r w:rsidRPr="00DF4B51">
              <w:rPr>
                <w:rFonts w:ascii="Arial" w:hAnsi="Arial" w:cs="Arial"/>
                <w:b/>
                <w:bCs/>
                <w:color w:val="000000"/>
                <w:sz w:val="22"/>
                <w:szCs w:val="24"/>
                <w:lang w:eastAsia="en-IN"/>
              </w:rPr>
              <w:t>Application Method</w:t>
            </w:r>
          </w:p>
        </w:tc>
        <w:tc>
          <w:tcPr>
            <w:tcW w:w="1110" w:type="pct"/>
            <w:tcBorders>
              <w:top w:val="single" w:sz="8" w:space="0" w:color="auto"/>
              <w:left w:val="nil"/>
              <w:bottom w:val="single" w:sz="8" w:space="0" w:color="auto"/>
              <w:right w:val="nil"/>
            </w:tcBorders>
            <w:shd w:val="clear" w:color="auto" w:fill="auto"/>
            <w:vAlign w:val="center"/>
            <w:hideMark/>
          </w:tcPr>
          <w:p w14:paraId="3717C454" w14:textId="77777777" w:rsidR="00DF4B51" w:rsidRPr="00DF4B51" w:rsidRDefault="00DF4B51" w:rsidP="00DF4B51">
            <w:pPr>
              <w:rPr>
                <w:rFonts w:ascii="Arial" w:hAnsi="Arial" w:cs="Arial"/>
                <w:b/>
                <w:bCs/>
                <w:color w:val="000000"/>
                <w:sz w:val="22"/>
                <w:szCs w:val="24"/>
                <w:lang w:val="en-IN" w:eastAsia="en-IN"/>
              </w:rPr>
            </w:pPr>
            <w:r w:rsidRPr="00DF4B51">
              <w:rPr>
                <w:rFonts w:ascii="Arial" w:hAnsi="Arial" w:cs="Arial"/>
                <w:b/>
                <w:bCs/>
                <w:color w:val="000000"/>
                <w:sz w:val="22"/>
                <w:szCs w:val="24"/>
                <w:lang w:eastAsia="en-IN"/>
              </w:rPr>
              <w:t>Mode of Action</w:t>
            </w:r>
          </w:p>
        </w:tc>
      </w:tr>
      <w:tr w:rsidR="00DF4B51" w:rsidRPr="00DF4B51" w14:paraId="46C232AE" w14:textId="77777777" w:rsidTr="00DF4B51">
        <w:trPr>
          <w:trHeight w:val="1575"/>
        </w:trPr>
        <w:tc>
          <w:tcPr>
            <w:tcW w:w="850" w:type="pct"/>
            <w:tcBorders>
              <w:top w:val="nil"/>
              <w:left w:val="nil"/>
              <w:bottom w:val="nil"/>
              <w:right w:val="nil"/>
            </w:tcBorders>
            <w:shd w:val="clear" w:color="auto" w:fill="auto"/>
            <w:vAlign w:val="center"/>
            <w:hideMark/>
          </w:tcPr>
          <w:p w14:paraId="3FB77260"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T1</w:t>
            </w:r>
          </w:p>
        </w:tc>
        <w:tc>
          <w:tcPr>
            <w:tcW w:w="1251" w:type="pct"/>
            <w:tcBorders>
              <w:top w:val="nil"/>
              <w:left w:val="nil"/>
              <w:bottom w:val="nil"/>
              <w:right w:val="nil"/>
            </w:tcBorders>
            <w:shd w:val="clear" w:color="auto" w:fill="auto"/>
            <w:vAlign w:val="center"/>
            <w:hideMark/>
          </w:tcPr>
          <w:p w14:paraId="7BAB9687" w14:textId="77777777" w:rsidR="00DF4B51" w:rsidRPr="00DF4B51" w:rsidRDefault="00DF4B51" w:rsidP="00DF4B51">
            <w:pPr>
              <w:jc w:val="both"/>
              <w:rPr>
                <w:rFonts w:ascii="Arial" w:hAnsi="Arial" w:cs="Arial"/>
                <w:i/>
                <w:iCs/>
                <w:color w:val="000000"/>
                <w:lang w:val="en-IN" w:eastAsia="en-IN"/>
              </w:rPr>
            </w:pPr>
            <w:proofErr w:type="spellStart"/>
            <w:r w:rsidRPr="00DF4B51">
              <w:rPr>
                <w:rFonts w:ascii="Arial" w:hAnsi="Arial" w:cs="Arial"/>
                <w:i/>
                <w:iCs/>
                <w:color w:val="000000"/>
                <w:lang w:eastAsia="en-IN"/>
              </w:rPr>
              <w:t>Flupyradifurone</w:t>
            </w:r>
            <w:proofErr w:type="spellEnd"/>
            <w:r w:rsidRPr="00DF4B51">
              <w:rPr>
                <w:rFonts w:ascii="Arial" w:hAnsi="Arial" w:cs="Arial"/>
                <w:color w:val="000000"/>
                <w:lang w:eastAsia="en-IN"/>
              </w:rPr>
              <w:t xml:space="preserve"> 17.09% SL</w:t>
            </w:r>
          </w:p>
        </w:tc>
        <w:tc>
          <w:tcPr>
            <w:tcW w:w="850" w:type="pct"/>
            <w:tcBorders>
              <w:top w:val="nil"/>
              <w:left w:val="nil"/>
              <w:bottom w:val="nil"/>
              <w:right w:val="nil"/>
            </w:tcBorders>
            <w:shd w:val="clear" w:color="auto" w:fill="auto"/>
            <w:vAlign w:val="center"/>
            <w:hideMark/>
          </w:tcPr>
          <w:p w14:paraId="00BAA817"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250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tcBorders>
              <w:top w:val="nil"/>
              <w:left w:val="nil"/>
              <w:bottom w:val="nil"/>
              <w:right w:val="nil"/>
            </w:tcBorders>
            <w:shd w:val="clear" w:color="auto" w:fill="auto"/>
            <w:vAlign w:val="center"/>
            <w:hideMark/>
          </w:tcPr>
          <w:p w14:paraId="13CF3554"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0F3D891F"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Nicotinic acetylcholine receptor agonist</w:t>
            </w:r>
          </w:p>
        </w:tc>
      </w:tr>
      <w:tr w:rsidR="00DF4B51" w:rsidRPr="00DF4B51" w14:paraId="28404915" w14:textId="77777777" w:rsidTr="00DF4B51">
        <w:trPr>
          <w:trHeight w:val="630"/>
        </w:trPr>
        <w:tc>
          <w:tcPr>
            <w:tcW w:w="850" w:type="pct"/>
            <w:vMerge w:val="restart"/>
            <w:tcBorders>
              <w:top w:val="nil"/>
              <w:left w:val="nil"/>
              <w:bottom w:val="nil"/>
              <w:right w:val="nil"/>
            </w:tcBorders>
            <w:shd w:val="clear" w:color="auto" w:fill="auto"/>
            <w:vAlign w:val="center"/>
            <w:hideMark/>
          </w:tcPr>
          <w:p w14:paraId="231F1930"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T2</w:t>
            </w:r>
          </w:p>
        </w:tc>
        <w:tc>
          <w:tcPr>
            <w:tcW w:w="1251" w:type="pct"/>
            <w:tcBorders>
              <w:top w:val="nil"/>
              <w:left w:val="nil"/>
              <w:bottom w:val="nil"/>
              <w:right w:val="nil"/>
            </w:tcBorders>
            <w:shd w:val="clear" w:color="auto" w:fill="auto"/>
            <w:vAlign w:val="center"/>
            <w:hideMark/>
          </w:tcPr>
          <w:p w14:paraId="7B160BAB" w14:textId="77777777" w:rsidR="00DF4B51" w:rsidRPr="00DF4B51" w:rsidRDefault="00DF4B51" w:rsidP="00DF4B51">
            <w:pPr>
              <w:jc w:val="both"/>
              <w:rPr>
                <w:rFonts w:ascii="Arial" w:hAnsi="Arial" w:cs="Arial"/>
                <w:i/>
                <w:iCs/>
                <w:color w:val="000000"/>
                <w:lang w:val="en-IN" w:eastAsia="en-IN"/>
              </w:rPr>
            </w:pPr>
            <w:r w:rsidRPr="00DF4B51">
              <w:rPr>
                <w:rFonts w:ascii="Arial" w:hAnsi="Arial" w:cs="Arial"/>
                <w:i/>
                <w:iCs/>
                <w:color w:val="000000"/>
                <w:lang w:eastAsia="en-IN"/>
              </w:rPr>
              <w:t>Clothianidin</w:t>
            </w:r>
            <w:r w:rsidRPr="00DF4B51">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17CA9908"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20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525D8FC3"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A610D18"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Neonicotinoid (systemic)</w:t>
            </w:r>
          </w:p>
        </w:tc>
      </w:tr>
      <w:tr w:rsidR="00DF4B51" w:rsidRPr="00DF4B51" w14:paraId="40B915F0" w14:textId="77777777" w:rsidTr="00DF4B51">
        <w:trPr>
          <w:trHeight w:val="630"/>
        </w:trPr>
        <w:tc>
          <w:tcPr>
            <w:tcW w:w="850" w:type="pct"/>
            <w:vMerge/>
            <w:tcBorders>
              <w:top w:val="nil"/>
              <w:left w:val="nil"/>
              <w:bottom w:val="nil"/>
              <w:right w:val="nil"/>
            </w:tcBorders>
            <w:vAlign w:val="center"/>
            <w:hideMark/>
          </w:tcPr>
          <w:p w14:paraId="45406BAB" w14:textId="77777777" w:rsidR="00DF4B51" w:rsidRPr="00DF4B51" w:rsidRDefault="00DF4B51" w:rsidP="00DF4B51">
            <w:pPr>
              <w:rPr>
                <w:rFonts w:ascii="Arial" w:hAnsi="Arial" w:cs="Arial"/>
                <w:color w:val="000000"/>
                <w:lang w:val="en-IN" w:eastAsia="en-IN"/>
              </w:rPr>
            </w:pPr>
          </w:p>
        </w:tc>
        <w:tc>
          <w:tcPr>
            <w:tcW w:w="1251" w:type="pct"/>
            <w:tcBorders>
              <w:top w:val="nil"/>
              <w:left w:val="nil"/>
              <w:bottom w:val="nil"/>
              <w:right w:val="nil"/>
            </w:tcBorders>
            <w:shd w:val="clear" w:color="auto" w:fill="auto"/>
            <w:vAlign w:val="center"/>
            <w:hideMark/>
          </w:tcPr>
          <w:p w14:paraId="536F4C12"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50% WDG</w:t>
            </w:r>
          </w:p>
        </w:tc>
        <w:tc>
          <w:tcPr>
            <w:tcW w:w="850" w:type="pct"/>
            <w:vMerge/>
            <w:tcBorders>
              <w:top w:val="nil"/>
              <w:left w:val="nil"/>
              <w:bottom w:val="nil"/>
              <w:right w:val="nil"/>
            </w:tcBorders>
            <w:vAlign w:val="center"/>
            <w:hideMark/>
          </w:tcPr>
          <w:p w14:paraId="6FC63D48" w14:textId="77777777" w:rsidR="00DF4B51" w:rsidRPr="00DF4B51" w:rsidRDefault="00DF4B51" w:rsidP="00DF4B51">
            <w:pPr>
              <w:rPr>
                <w:rFonts w:ascii="Arial" w:hAnsi="Arial" w:cs="Arial"/>
                <w:color w:val="000000"/>
                <w:lang w:val="en-IN" w:eastAsia="en-IN"/>
              </w:rPr>
            </w:pPr>
          </w:p>
        </w:tc>
        <w:tc>
          <w:tcPr>
            <w:tcW w:w="939" w:type="pct"/>
            <w:vMerge/>
            <w:tcBorders>
              <w:top w:val="nil"/>
              <w:left w:val="nil"/>
              <w:bottom w:val="nil"/>
              <w:right w:val="nil"/>
            </w:tcBorders>
            <w:vAlign w:val="center"/>
            <w:hideMark/>
          </w:tcPr>
          <w:p w14:paraId="2329DED5" w14:textId="77777777" w:rsidR="00DF4B51" w:rsidRPr="00DF4B51" w:rsidRDefault="00DF4B51" w:rsidP="00DF4B51">
            <w:pPr>
              <w:rPr>
                <w:rFonts w:ascii="Arial" w:hAnsi="Arial" w:cs="Arial"/>
                <w:color w:val="000000"/>
                <w:lang w:val="en-IN" w:eastAsia="en-IN"/>
              </w:rPr>
            </w:pPr>
          </w:p>
        </w:tc>
        <w:tc>
          <w:tcPr>
            <w:tcW w:w="1110" w:type="pct"/>
            <w:vMerge/>
            <w:tcBorders>
              <w:top w:val="nil"/>
              <w:left w:val="nil"/>
              <w:bottom w:val="nil"/>
              <w:right w:val="nil"/>
            </w:tcBorders>
            <w:vAlign w:val="center"/>
            <w:hideMark/>
          </w:tcPr>
          <w:p w14:paraId="1856459B" w14:textId="77777777" w:rsidR="00DF4B51" w:rsidRPr="00DF4B51" w:rsidRDefault="00DF4B51" w:rsidP="00DF4B51">
            <w:pPr>
              <w:rPr>
                <w:rFonts w:ascii="Arial" w:hAnsi="Arial" w:cs="Arial"/>
                <w:color w:val="000000"/>
                <w:lang w:val="en-IN" w:eastAsia="en-IN"/>
              </w:rPr>
            </w:pPr>
          </w:p>
        </w:tc>
      </w:tr>
      <w:tr w:rsidR="00DF4B51" w:rsidRPr="00DF4B51" w14:paraId="676029AD" w14:textId="77777777" w:rsidTr="00DF4B51">
        <w:trPr>
          <w:trHeight w:val="1575"/>
        </w:trPr>
        <w:tc>
          <w:tcPr>
            <w:tcW w:w="850" w:type="pct"/>
            <w:vMerge w:val="restart"/>
            <w:tcBorders>
              <w:top w:val="nil"/>
              <w:left w:val="nil"/>
              <w:bottom w:val="nil"/>
              <w:right w:val="nil"/>
            </w:tcBorders>
            <w:shd w:val="clear" w:color="auto" w:fill="auto"/>
            <w:vAlign w:val="center"/>
            <w:hideMark/>
          </w:tcPr>
          <w:p w14:paraId="178B6EBC"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T3</w:t>
            </w:r>
          </w:p>
        </w:tc>
        <w:tc>
          <w:tcPr>
            <w:tcW w:w="1251" w:type="pct"/>
            <w:tcBorders>
              <w:top w:val="nil"/>
              <w:left w:val="nil"/>
              <w:bottom w:val="nil"/>
              <w:right w:val="nil"/>
            </w:tcBorders>
            <w:shd w:val="clear" w:color="auto" w:fill="auto"/>
            <w:vAlign w:val="center"/>
            <w:hideMark/>
          </w:tcPr>
          <w:p w14:paraId="5B23CDE7" w14:textId="77777777" w:rsidR="00DF4B51" w:rsidRPr="00DF4B51" w:rsidRDefault="00DF4B51" w:rsidP="00DF4B51">
            <w:pPr>
              <w:jc w:val="both"/>
              <w:rPr>
                <w:rFonts w:ascii="Arial" w:hAnsi="Arial" w:cs="Arial"/>
                <w:i/>
                <w:iCs/>
                <w:color w:val="000000"/>
                <w:lang w:val="en-IN" w:eastAsia="en-IN"/>
              </w:rPr>
            </w:pPr>
            <w:r w:rsidRPr="00DF4B51">
              <w:rPr>
                <w:rFonts w:ascii="Arial" w:hAnsi="Arial" w:cs="Arial"/>
                <w:i/>
                <w:iCs/>
                <w:color w:val="000000"/>
                <w:lang w:eastAsia="en-IN"/>
              </w:rPr>
              <w:t>Spinosad</w:t>
            </w:r>
            <w:r w:rsidRPr="00DF4B51">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079F0C2F"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75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7BA324D0"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3CC8332D"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Nicotinic acetylcholine receptor allosteric activator</w:t>
            </w:r>
          </w:p>
        </w:tc>
      </w:tr>
      <w:tr w:rsidR="00DF4B51" w:rsidRPr="00DF4B51" w14:paraId="1268E3A7" w14:textId="77777777" w:rsidTr="00DF4B51">
        <w:trPr>
          <w:trHeight w:val="315"/>
        </w:trPr>
        <w:tc>
          <w:tcPr>
            <w:tcW w:w="850" w:type="pct"/>
            <w:vMerge/>
            <w:tcBorders>
              <w:top w:val="nil"/>
              <w:left w:val="nil"/>
              <w:bottom w:val="nil"/>
              <w:right w:val="nil"/>
            </w:tcBorders>
            <w:vAlign w:val="center"/>
            <w:hideMark/>
          </w:tcPr>
          <w:p w14:paraId="6F2BB400" w14:textId="77777777" w:rsidR="00DF4B51" w:rsidRPr="00DF4B51" w:rsidRDefault="00DF4B51" w:rsidP="00DF4B51">
            <w:pPr>
              <w:rPr>
                <w:rFonts w:ascii="Arial" w:hAnsi="Arial" w:cs="Arial"/>
                <w:color w:val="000000"/>
                <w:lang w:val="en-IN" w:eastAsia="en-IN"/>
              </w:rPr>
            </w:pPr>
          </w:p>
        </w:tc>
        <w:tc>
          <w:tcPr>
            <w:tcW w:w="1251" w:type="pct"/>
            <w:tcBorders>
              <w:top w:val="nil"/>
              <w:left w:val="nil"/>
              <w:bottom w:val="nil"/>
              <w:right w:val="nil"/>
            </w:tcBorders>
            <w:shd w:val="clear" w:color="auto" w:fill="auto"/>
            <w:vAlign w:val="center"/>
            <w:hideMark/>
          </w:tcPr>
          <w:p w14:paraId="7AA56240"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45% SC</w:t>
            </w:r>
          </w:p>
        </w:tc>
        <w:tc>
          <w:tcPr>
            <w:tcW w:w="850" w:type="pct"/>
            <w:vMerge/>
            <w:tcBorders>
              <w:top w:val="nil"/>
              <w:left w:val="nil"/>
              <w:bottom w:val="nil"/>
              <w:right w:val="nil"/>
            </w:tcBorders>
            <w:vAlign w:val="center"/>
            <w:hideMark/>
          </w:tcPr>
          <w:p w14:paraId="35B73400" w14:textId="77777777" w:rsidR="00DF4B51" w:rsidRPr="00DF4B51" w:rsidRDefault="00DF4B51" w:rsidP="00DF4B51">
            <w:pPr>
              <w:rPr>
                <w:rFonts w:ascii="Arial" w:hAnsi="Arial" w:cs="Arial"/>
                <w:color w:val="000000"/>
                <w:lang w:val="en-IN" w:eastAsia="en-IN"/>
              </w:rPr>
            </w:pPr>
          </w:p>
        </w:tc>
        <w:tc>
          <w:tcPr>
            <w:tcW w:w="939" w:type="pct"/>
            <w:vMerge/>
            <w:tcBorders>
              <w:top w:val="nil"/>
              <w:left w:val="nil"/>
              <w:bottom w:val="nil"/>
              <w:right w:val="nil"/>
            </w:tcBorders>
            <w:vAlign w:val="center"/>
            <w:hideMark/>
          </w:tcPr>
          <w:p w14:paraId="5052BC7D" w14:textId="77777777" w:rsidR="00DF4B51" w:rsidRPr="00DF4B51" w:rsidRDefault="00DF4B51" w:rsidP="00DF4B51">
            <w:pPr>
              <w:rPr>
                <w:rFonts w:ascii="Arial" w:hAnsi="Arial" w:cs="Arial"/>
                <w:color w:val="000000"/>
                <w:lang w:val="en-IN" w:eastAsia="en-IN"/>
              </w:rPr>
            </w:pPr>
          </w:p>
        </w:tc>
        <w:tc>
          <w:tcPr>
            <w:tcW w:w="1110" w:type="pct"/>
            <w:vMerge/>
            <w:tcBorders>
              <w:top w:val="nil"/>
              <w:left w:val="nil"/>
              <w:bottom w:val="nil"/>
              <w:right w:val="nil"/>
            </w:tcBorders>
            <w:vAlign w:val="center"/>
            <w:hideMark/>
          </w:tcPr>
          <w:p w14:paraId="1115F51C" w14:textId="77777777" w:rsidR="00DF4B51" w:rsidRPr="00DF4B51" w:rsidRDefault="00DF4B51" w:rsidP="00DF4B51">
            <w:pPr>
              <w:rPr>
                <w:rFonts w:ascii="Arial" w:hAnsi="Arial" w:cs="Arial"/>
                <w:color w:val="000000"/>
                <w:lang w:val="en-IN" w:eastAsia="en-IN"/>
              </w:rPr>
            </w:pPr>
          </w:p>
        </w:tc>
      </w:tr>
      <w:tr w:rsidR="00DF4B51" w:rsidRPr="00DF4B51" w14:paraId="14786848" w14:textId="77777777" w:rsidTr="00DF4B51">
        <w:trPr>
          <w:trHeight w:val="1575"/>
        </w:trPr>
        <w:tc>
          <w:tcPr>
            <w:tcW w:w="850" w:type="pct"/>
            <w:tcBorders>
              <w:top w:val="nil"/>
              <w:left w:val="nil"/>
              <w:bottom w:val="nil"/>
              <w:right w:val="nil"/>
            </w:tcBorders>
            <w:shd w:val="clear" w:color="auto" w:fill="auto"/>
            <w:vAlign w:val="center"/>
            <w:hideMark/>
          </w:tcPr>
          <w:p w14:paraId="5CF24526"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T4</w:t>
            </w:r>
          </w:p>
        </w:tc>
        <w:tc>
          <w:tcPr>
            <w:tcW w:w="1251" w:type="pct"/>
            <w:tcBorders>
              <w:top w:val="nil"/>
              <w:left w:val="nil"/>
              <w:bottom w:val="nil"/>
              <w:right w:val="nil"/>
            </w:tcBorders>
            <w:shd w:val="clear" w:color="auto" w:fill="auto"/>
            <w:vAlign w:val="center"/>
            <w:hideMark/>
          </w:tcPr>
          <w:p w14:paraId="5553A795" w14:textId="77777777" w:rsidR="00DF4B51" w:rsidRPr="00DF4B51" w:rsidRDefault="00DF4B51" w:rsidP="00DF4B51">
            <w:pPr>
              <w:jc w:val="both"/>
              <w:rPr>
                <w:rFonts w:ascii="Arial" w:hAnsi="Arial" w:cs="Arial"/>
                <w:i/>
                <w:iCs/>
                <w:color w:val="000000"/>
                <w:lang w:val="en-IN" w:eastAsia="en-IN"/>
              </w:rPr>
            </w:pPr>
            <w:proofErr w:type="spellStart"/>
            <w:r w:rsidRPr="00DF4B51">
              <w:rPr>
                <w:rFonts w:ascii="Arial" w:hAnsi="Arial" w:cs="Arial"/>
                <w:i/>
                <w:iCs/>
                <w:color w:val="000000"/>
                <w:lang w:eastAsia="en-IN"/>
              </w:rPr>
              <w:t>Emamectin</w:t>
            </w:r>
            <w:proofErr w:type="spellEnd"/>
            <w:r w:rsidRPr="00DF4B51">
              <w:rPr>
                <w:rFonts w:ascii="Arial" w:hAnsi="Arial" w:cs="Arial"/>
                <w:i/>
                <w:iCs/>
                <w:color w:val="000000"/>
                <w:lang w:eastAsia="en-IN"/>
              </w:rPr>
              <w:t xml:space="preserve"> benzoate</w:t>
            </w:r>
            <w:r w:rsidRPr="00DF4B51">
              <w:rPr>
                <w:rFonts w:ascii="Arial" w:hAnsi="Arial" w:cs="Arial"/>
                <w:color w:val="000000"/>
                <w:lang w:eastAsia="en-IN"/>
              </w:rPr>
              <w:t xml:space="preserve"> 5% SG</w:t>
            </w:r>
          </w:p>
        </w:tc>
        <w:tc>
          <w:tcPr>
            <w:tcW w:w="850" w:type="pct"/>
            <w:tcBorders>
              <w:top w:val="nil"/>
              <w:left w:val="nil"/>
              <w:bottom w:val="nil"/>
              <w:right w:val="nil"/>
            </w:tcBorders>
            <w:shd w:val="clear" w:color="auto" w:fill="auto"/>
            <w:vAlign w:val="center"/>
            <w:hideMark/>
          </w:tcPr>
          <w:p w14:paraId="0550E4BC"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7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tcBorders>
              <w:top w:val="nil"/>
              <w:left w:val="nil"/>
              <w:bottom w:val="nil"/>
              <w:right w:val="nil"/>
            </w:tcBorders>
            <w:shd w:val="clear" w:color="auto" w:fill="auto"/>
            <w:vAlign w:val="center"/>
            <w:hideMark/>
          </w:tcPr>
          <w:p w14:paraId="0B63BF77"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0CB4F06E"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Chloride channel activator</w:t>
            </w:r>
          </w:p>
        </w:tc>
      </w:tr>
      <w:tr w:rsidR="00DF4B51" w:rsidRPr="00DF4B51" w14:paraId="666CC057" w14:textId="77777777" w:rsidTr="00DF4B51">
        <w:trPr>
          <w:trHeight w:val="1260"/>
        </w:trPr>
        <w:tc>
          <w:tcPr>
            <w:tcW w:w="850" w:type="pct"/>
            <w:vMerge w:val="restart"/>
            <w:tcBorders>
              <w:top w:val="nil"/>
              <w:left w:val="nil"/>
              <w:bottom w:val="nil"/>
              <w:right w:val="nil"/>
            </w:tcBorders>
            <w:shd w:val="clear" w:color="auto" w:fill="auto"/>
            <w:vAlign w:val="center"/>
            <w:hideMark/>
          </w:tcPr>
          <w:p w14:paraId="6A454E19"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T5</w:t>
            </w:r>
          </w:p>
        </w:tc>
        <w:tc>
          <w:tcPr>
            <w:tcW w:w="1251" w:type="pct"/>
            <w:tcBorders>
              <w:top w:val="nil"/>
              <w:left w:val="nil"/>
              <w:bottom w:val="nil"/>
              <w:right w:val="nil"/>
            </w:tcBorders>
            <w:shd w:val="clear" w:color="auto" w:fill="auto"/>
            <w:vAlign w:val="center"/>
            <w:hideMark/>
          </w:tcPr>
          <w:p w14:paraId="7FD1FAE8" w14:textId="77777777" w:rsidR="00DF4B51" w:rsidRPr="00DF4B51" w:rsidRDefault="00DF4B51" w:rsidP="00DF4B51">
            <w:pPr>
              <w:jc w:val="both"/>
              <w:rPr>
                <w:rFonts w:ascii="Arial" w:hAnsi="Arial" w:cs="Arial"/>
                <w:i/>
                <w:iCs/>
                <w:color w:val="000000"/>
                <w:lang w:val="en-IN" w:eastAsia="en-IN"/>
              </w:rPr>
            </w:pPr>
            <w:proofErr w:type="spellStart"/>
            <w:r w:rsidRPr="00DF4B51">
              <w:rPr>
                <w:rFonts w:ascii="Arial" w:hAnsi="Arial" w:cs="Arial"/>
                <w:i/>
                <w:iCs/>
                <w:color w:val="000000"/>
                <w:lang w:eastAsia="en-IN"/>
              </w:rPr>
              <w:t>Diafenthiuron</w:t>
            </w:r>
            <w:proofErr w:type="spellEnd"/>
            <w:r w:rsidRPr="00DF4B51">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359390B7"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300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79238ED3"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42B2664"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Inhibitor of mitochondrial ATP synthase</w:t>
            </w:r>
          </w:p>
        </w:tc>
      </w:tr>
      <w:tr w:rsidR="00DF4B51" w:rsidRPr="00DF4B51" w14:paraId="49EF8AB9" w14:textId="77777777" w:rsidTr="00DF4B51">
        <w:trPr>
          <w:trHeight w:val="315"/>
        </w:trPr>
        <w:tc>
          <w:tcPr>
            <w:tcW w:w="850" w:type="pct"/>
            <w:vMerge/>
            <w:tcBorders>
              <w:top w:val="nil"/>
              <w:left w:val="nil"/>
              <w:bottom w:val="nil"/>
              <w:right w:val="nil"/>
            </w:tcBorders>
            <w:vAlign w:val="center"/>
            <w:hideMark/>
          </w:tcPr>
          <w:p w14:paraId="751BA6AA" w14:textId="77777777" w:rsidR="00DF4B51" w:rsidRPr="00DF4B51" w:rsidRDefault="00DF4B51" w:rsidP="00DF4B51">
            <w:pPr>
              <w:rPr>
                <w:rFonts w:ascii="Arial" w:hAnsi="Arial" w:cs="Arial"/>
                <w:color w:val="000000"/>
                <w:lang w:val="en-IN" w:eastAsia="en-IN"/>
              </w:rPr>
            </w:pPr>
          </w:p>
        </w:tc>
        <w:tc>
          <w:tcPr>
            <w:tcW w:w="1251" w:type="pct"/>
            <w:tcBorders>
              <w:top w:val="nil"/>
              <w:left w:val="nil"/>
              <w:bottom w:val="nil"/>
              <w:right w:val="nil"/>
            </w:tcBorders>
            <w:shd w:val="clear" w:color="auto" w:fill="auto"/>
            <w:vAlign w:val="center"/>
            <w:hideMark/>
          </w:tcPr>
          <w:p w14:paraId="40D5B886"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50% WP</w:t>
            </w:r>
          </w:p>
        </w:tc>
        <w:tc>
          <w:tcPr>
            <w:tcW w:w="850" w:type="pct"/>
            <w:vMerge/>
            <w:tcBorders>
              <w:top w:val="nil"/>
              <w:left w:val="nil"/>
              <w:bottom w:val="nil"/>
              <w:right w:val="nil"/>
            </w:tcBorders>
            <w:vAlign w:val="center"/>
            <w:hideMark/>
          </w:tcPr>
          <w:p w14:paraId="6214D4C1" w14:textId="77777777" w:rsidR="00DF4B51" w:rsidRPr="00DF4B51" w:rsidRDefault="00DF4B51" w:rsidP="00DF4B51">
            <w:pPr>
              <w:rPr>
                <w:rFonts w:ascii="Arial" w:hAnsi="Arial" w:cs="Arial"/>
                <w:color w:val="000000"/>
                <w:lang w:val="en-IN" w:eastAsia="en-IN"/>
              </w:rPr>
            </w:pPr>
          </w:p>
        </w:tc>
        <w:tc>
          <w:tcPr>
            <w:tcW w:w="939" w:type="pct"/>
            <w:vMerge/>
            <w:tcBorders>
              <w:top w:val="nil"/>
              <w:left w:val="nil"/>
              <w:bottom w:val="nil"/>
              <w:right w:val="nil"/>
            </w:tcBorders>
            <w:vAlign w:val="center"/>
            <w:hideMark/>
          </w:tcPr>
          <w:p w14:paraId="5432D56A" w14:textId="77777777" w:rsidR="00DF4B51" w:rsidRPr="00DF4B51" w:rsidRDefault="00DF4B51" w:rsidP="00DF4B51">
            <w:pPr>
              <w:rPr>
                <w:rFonts w:ascii="Arial" w:hAnsi="Arial" w:cs="Arial"/>
                <w:color w:val="000000"/>
                <w:lang w:val="en-IN" w:eastAsia="en-IN"/>
              </w:rPr>
            </w:pPr>
          </w:p>
        </w:tc>
        <w:tc>
          <w:tcPr>
            <w:tcW w:w="1110" w:type="pct"/>
            <w:vMerge/>
            <w:tcBorders>
              <w:top w:val="nil"/>
              <w:left w:val="nil"/>
              <w:bottom w:val="nil"/>
              <w:right w:val="nil"/>
            </w:tcBorders>
            <w:vAlign w:val="center"/>
            <w:hideMark/>
          </w:tcPr>
          <w:p w14:paraId="3D323387" w14:textId="77777777" w:rsidR="00DF4B51" w:rsidRPr="00DF4B51" w:rsidRDefault="00DF4B51" w:rsidP="00DF4B51">
            <w:pPr>
              <w:rPr>
                <w:rFonts w:ascii="Arial" w:hAnsi="Arial" w:cs="Arial"/>
                <w:color w:val="000000"/>
                <w:lang w:val="en-IN" w:eastAsia="en-IN"/>
              </w:rPr>
            </w:pPr>
          </w:p>
        </w:tc>
      </w:tr>
      <w:tr w:rsidR="00DF4B51" w:rsidRPr="00DF4B51" w14:paraId="0DBAFDF3" w14:textId="77777777" w:rsidTr="00DF4B51">
        <w:trPr>
          <w:trHeight w:val="945"/>
        </w:trPr>
        <w:tc>
          <w:tcPr>
            <w:tcW w:w="850" w:type="pct"/>
            <w:vMerge w:val="restart"/>
            <w:tcBorders>
              <w:top w:val="nil"/>
              <w:left w:val="nil"/>
              <w:bottom w:val="nil"/>
              <w:right w:val="nil"/>
            </w:tcBorders>
            <w:shd w:val="clear" w:color="auto" w:fill="auto"/>
            <w:vAlign w:val="center"/>
            <w:hideMark/>
          </w:tcPr>
          <w:p w14:paraId="05A9BC65"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lastRenderedPageBreak/>
              <w:t>T6</w:t>
            </w:r>
          </w:p>
        </w:tc>
        <w:tc>
          <w:tcPr>
            <w:tcW w:w="1251" w:type="pct"/>
            <w:tcBorders>
              <w:top w:val="nil"/>
              <w:left w:val="nil"/>
              <w:bottom w:val="nil"/>
              <w:right w:val="nil"/>
            </w:tcBorders>
            <w:shd w:val="clear" w:color="auto" w:fill="auto"/>
            <w:vAlign w:val="center"/>
            <w:hideMark/>
          </w:tcPr>
          <w:p w14:paraId="5BAD125B" w14:textId="77777777" w:rsidR="00DF4B51" w:rsidRPr="00DF4B51" w:rsidRDefault="00DF4B51" w:rsidP="00DF4B51">
            <w:pPr>
              <w:jc w:val="both"/>
              <w:rPr>
                <w:rFonts w:ascii="Arial" w:hAnsi="Arial" w:cs="Arial"/>
                <w:i/>
                <w:iCs/>
                <w:color w:val="000000"/>
                <w:lang w:val="en-IN" w:eastAsia="en-IN"/>
              </w:rPr>
            </w:pPr>
            <w:r w:rsidRPr="00DF4B51">
              <w:rPr>
                <w:rFonts w:ascii="Arial" w:hAnsi="Arial" w:cs="Arial"/>
                <w:i/>
                <w:iCs/>
                <w:color w:val="000000"/>
                <w:lang w:eastAsia="en-IN"/>
              </w:rPr>
              <w:t>Abamectin</w:t>
            </w:r>
            <w:r w:rsidRPr="00DF4B51">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19A61895"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5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1409D8B5"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58CB63A8"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Chloride channel modulator</w:t>
            </w:r>
          </w:p>
        </w:tc>
      </w:tr>
      <w:tr w:rsidR="00DF4B51" w:rsidRPr="00DF4B51" w14:paraId="054AC32E" w14:textId="77777777" w:rsidTr="00DF4B51">
        <w:trPr>
          <w:trHeight w:val="315"/>
        </w:trPr>
        <w:tc>
          <w:tcPr>
            <w:tcW w:w="850" w:type="pct"/>
            <w:vMerge/>
            <w:tcBorders>
              <w:top w:val="nil"/>
              <w:left w:val="nil"/>
              <w:bottom w:val="nil"/>
              <w:right w:val="nil"/>
            </w:tcBorders>
            <w:vAlign w:val="center"/>
            <w:hideMark/>
          </w:tcPr>
          <w:p w14:paraId="59AD058E" w14:textId="77777777" w:rsidR="00DF4B51" w:rsidRPr="00DF4B51" w:rsidRDefault="00DF4B51" w:rsidP="00DF4B51">
            <w:pPr>
              <w:rPr>
                <w:rFonts w:ascii="Arial" w:hAnsi="Arial" w:cs="Arial"/>
                <w:color w:val="000000"/>
                <w:lang w:val="en-IN" w:eastAsia="en-IN"/>
              </w:rPr>
            </w:pPr>
          </w:p>
        </w:tc>
        <w:tc>
          <w:tcPr>
            <w:tcW w:w="1251" w:type="pct"/>
            <w:tcBorders>
              <w:top w:val="nil"/>
              <w:left w:val="nil"/>
              <w:bottom w:val="nil"/>
              <w:right w:val="nil"/>
            </w:tcBorders>
            <w:shd w:val="clear" w:color="auto" w:fill="auto"/>
            <w:vAlign w:val="center"/>
            <w:hideMark/>
          </w:tcPr>
          <w:p w14:paraId="5DBAEDDA"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1.9% EC</w:t>
            </w:r>
          </w:p>
        </w:tc>
        <w:tc>
          <w:tcPr>
            <w:tcW w:w="850" w:type="pct"/>
            <w:vMerge/>
            <w:tcBorders>
              <w:top w:val="nil"/>
              <w:left w:val="nil"/>
              <w:bottom w:val="nil"/>
              <w:right w:val="nil"/>
            </w:tcBorders>
            <w:vAlign w:val="center"/>
            <w:hideMark/>
          </w:tcPr>
          <w:p w14:paraId="6743B928" w14:textId="77777777" w:rsidR="00DF4B51" w:rsidRPr="00DF4B51" w:rsidRDefault="00DF4B51" w:rsidP="00DF4B51">
            <w:pPr>
              <w:rPr>
                <w:rFonts w:ascii="Arial" w:hAnsi="Arial" w:cs="Arial"/>
                <w:color w:val="000000"/>
                <w:lang w:val="en-IN" w:eastAsia="en-IN"/>
              </w:rPr>
            </w:pPr>
          </w:p>
        </w:tc>
        <w:tc>
          <w:tcPr>
            <w:tcW w:w="939" w:type="pct"/>
            <w:vMerge/>
            <w:tcBorders>
              <w:top w:val="nil"/>
              <w:left w:val="nil"/>
              <w:bottom w:val="nil"/>
              <w:right w:val="nil"/>
            </w:tcBorders>
            <w:vAlign w:val="center"/>
            <w:hideMark/>
          </w:tcPr>
          <w:p w14:paraId="2C232220" w14:textId="77777777" w:rsidR="00DF4B51" w:rsidRPr="00DF4B51" w:rsidRDefault="00DF4B51" w:rsidP="00DF4B51">
            <w:pPr>
              <w:rPr>
                <w:rFonts w:ascii="Arial" w:hAnsi="Arial" w:cs="Arial"/>
                <w:color w:val="000000"/>
                <w:lang w:val="en-IN" w:eastAsia="en-IN"/>
              </w:rPr>
            </w:pPr>
          </w:p>
        </w:tc>
        <w:tc>
          <w:tcPr>
            <w:tcW w:w="1110" w:type="pct"/>
            <w:vMerge/>
            <w:tcBorders>
              <w:top w:val="nil"/>
              <w:left w:val="nil"/>
              <w:bottom w:val="nil"/>
              <w:right w:val="nil"/>
            </w:tcBorders>
            <w:vAlign w:val="center"/>
            <w:hideMark/>
          </w:tcPr>
          <w:p w14:paraId="5AE1035C" w14:textId="77777777" w:rsidR="00DF4B51" w:rsidRPr="00DF4B51" w:rsidRDefault="00DF4B51" w:rsidP="00DF4B51">
            <w:pPr>
              <w:rPr>
                <w:rFonts w:ascii="Arial" w:hAnsi="Arial" w:cs="Arial"/>
                <w:color w:val="000000"/>
                <w:lang w:val="en-IN" w:eastAsia="en-IN"/>
              </w:rPr>
            </w:pPr>
          </w:p>
        </w:tc>
      </w:tr>
      <w:tr w:rsidR="00DF4B51" w:rsidRPr="00DF4B51" w14:paraId="46E9FB2B" w14:textId="77777777" w:rsidTr="00DF4B51">
        <w:trPr>
          <w:trHeight w:val="1260"/>
        </w:trPr>
        <w:tc>
          <w:tcPr>
            <w:tcW w:w="850" w:type="pct"/>
            <w:vMerge w:val="restart"/>
            <w:tcBorders>
              <w:top w:val="nil"/>
              <w:left w:val="nil"/>
              <w:bottom w:val="nil"/>
              <w:right w:val="nil"/>
            </w:tcBorders>
            <w:shd w:val="clear" w:color="auto" w:fill="auto"/>
            <w:vAlign w:val="center"/>
            <w:hideMark/>
          </w:tcPr>
          <w:p w14:paraId="202E7EA0"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T7</w:t>
            </w:r>
          </w:p>
        </w:tc>
        <w:tc>
          <w:tcPr>
            <w:tcW w:w="1251" w:type="pct"/>
            <w:tcBorders>
              <w:top w:val="nil"/>
              <w:left w:val="nil"/>
              <w:bottom w:val="nil"/>
              <w:right w:val="nil"/>
            </w:tcBorders>
            <w:shd w:val="clear" w:color="auto" w:fill="auto"/>
            <w:vAlign w:val="center"/>
            <w:hideMark/>
          </w:tcPr>
          <w:p w14:paraId="32BC7B78" w14:textId="77777777" w:rsidR="00DF4B51" w:rsidRPr="00DF4B51" w:rsidRDefault="00DF4B51" w:rsidP="00DF4B51">
            <w:pPr>
              <w:jc w:val="both"/>
              <w:rPr>
                <w:rFonts w:ascii="Arial" w:hAnsi="Arial" w:cs="Arial"/>
                <w:i/>
                <w:iCs/>
                <w:color w:val="000000"/>
                <w:lang w:val="en-IN" w:eastAsia="en-IN"/>
              </w:rPr>
            </w:pPr>
            <w:r w:rsidRPr="00DF4B51">
              <w:rPr>
                <w:rFonts w:ascii="Arial" w:hAnsi="Arial" w:cs="Arial"/>
                <w:i/>
                <w:iCs/>
                <w:color w:val="000000"/>
                <w:lang w:eastAsia="en-IN"/>
              </w:rPr>
              <w:t>Spinetoram</w:t>
            </w:r>
            <w:r w:rsidRPr="00DF4B51">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03D97F0B"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50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vMerge w:val="restart"/>
            <w:tcBorders>
              <w:top w:val="nil"/>
              <w:left w:val="nil"/>
              <w:bottom w:val="nil"/>
              <w:right w:val="nil"/>
            </w:tcBorders>
            <w:shd w:val="clear" w:color="auto" w:fill="auto"/>
            <w:vAlign w:val="center"/>
            <w:hideMark/>
          </w:tcPr>
          <w:p w14:paraId="49EB714F"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866B2E5"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Nicotinic acetylcholine receptor allosteric activator</w:t>
            </w:r>
          </w:p>
        </w:tc>
      </w:tr>
      <w:tr w:rsidR="00DF4B51" w:rsidRPr="00DF4B51" w14:paraId="5CE410BA" w14:textId="77777777" w:rsidTr="00DF4B51">
        <w:trPr>
          <w:trHeight w:val="630"/>
        </w:trPr>
        <w:tc>
          <w:tcPr>
            <w:tcW w:w="850" w:type="pct"/>
            <w:vMerge/>
            <w:tcBorders>
              <w:top w:val="nil"/>
              <w:left w:val="nil"/>
              <w:bottom w:val="nil"/>
              <w:right w:val="nil"/>
            </w:tcBorders>
            <w:vAlign w:val="center"/>
            <w:hideMark/>
          </w:tcPr>
          <w:p w14:paraId="195583C1" w14:textId="77777777" w:rsidR="00DF4B51" w:rsidRPr="00DF4B51" w:rsidRDefault="00DF4B51" w:rsidP="00DF4B51">
            <w:pPr>
              <w:rPr>
                <w:rFonts w:ascii="Arial" w:hAnsi="Arial" w:cs="Arial"/>
                <w:color w:val="000000"/>
                <w:lang w:val="en-IN" w:eastAsia="en-IN"/>
              </w:rPr>
            </w:pPr>
          </w:p>
        </w:tc>
        <w:tc>
          <w:tcPr>
            <w:tcW w:w="1251" w:type="pct"/>
            <w:tcBorders>
              <w:top w:val="nil"/>
              <w:left w:val="nil"/>
              <w:bottom w:val="nil"/>
              <w:right w:val="nil"/>
            </w:tcBorders>
            <w:shd w:val="clear" w:color="auto" w:fill="auto"/>
            <w:vAlign w:val="center"/>
            <w:hideMark/>
          </w:tcPr>
          <w:p w14:paraId="00AC4282"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11.7% SC</w:t>
            </w:r>
          </w:p>
        </w:tc>
        <w:tc>
          <w:tcPr>
            <w:tcW w:w="850" w:type="pct"/>
            <w:vMerge/>
            <w:tcBorders>
              <w:top w:val="nil"/>
              <w:left w:val="nil"/>
              <w:bottom w:val="nil"/>
              <w:right w:val="nil"/>
            </w:tcBorders>
            <w:vAlign w:val="center"/>
            <w:hideMark/>
          </w:tcPr>
          <w:p w14:paraId="6B801BF6" w14:textId="77777777" w:rsidR="00DF4B51" w:rsidRPr="00DF4B51" w:rsidRDefault="00DF4B51" w:rsidP="00DF4B51">
            <w:pPr>
              <w:rPr>
                <w:rFonts w:ascii="Arial" w:hAnsi="Arial" w:cs="Arial"/>
                <w:color w:val="000000"/>
                <w:lang w:val="en-IN" w:eastAsia="en-IN"/>
              </w:rPr>
            </w:pPr>
          </w:p>
        </w:tc>
        <w:tc>
          <w:tcPr>
            <w:tcW w:w="939" w:type="pct"/>
            <w:vMerge/>
            <w:tcBorders>
              <w:top w:val="nil"/>
              <w:left w:val="nil"/>
              <w:bottom w:val="nil"/>
              <w:right w:val="nil"/>
            </w:tcBorders>
            <w:vAlign w:val="center"/>
            <w:hideMark/>
          </w:tcPr>
          <w:p w14:paraId="2CBDA90D" w14:textId="77777777" w:rsidR="00DF4B51" w:rsidRPr="00DF4B51" w:rsidRDefault="00DF4B51" w:rsidP="00DF4B51">
            <w:pPr>
              <w:rPr>
                <w:rFonts w:ascii="Arial" w:hAnsi="Arial" w:cs="Arial"/>
                <w:color w:val="000000"/>
                <w:lang w:val="en-IN" w:eastAsia="en-IN"/>
              </w:rPr>
            </w:pPr>
          </w:p>
        </w:tc>
        <w:tc>
          <w:tcPr>
            <w:tcW w:w="1110" w:type="pct"/>
            <w:vMerge/>
            <w:tcBorders>
              <w:top w:val="nil"/>
              <w:left w:val="nil"/>
              <w:bottom w:val="nil"/>
              <w:right w:val="nil"/>
            </w:tcBorders>
            <w:vAlign w:val="center"/>
            <w:hideMark/>
          </w:tcPr>
          <w:p w14:paraId="030B2055" w14:textId="77777777" w:rsidR="00DF4B51" w:rsidRPr="00DF4B51" w:rsidRDefault="00DF4B51" w:rsidP="00DF4B51">
            <w:pPr>
              <w:rPr>
                <w:rFonts w:ascii="Arial" w:hAnsi="Arial" w:cs="Arial"/>
                <w:color w:val="000000"/>
                <w:lang w:val="en-IN" w:eastAsia="en-IN"/>
              </w:rPr>
            </w:pPr>
          </w:p>
        </w:tc>
      </w:tr>
      <w:tr w:rsidR="00DF4B51" w:rsidRPr="00DF4B51" w14:paraId="68F3982F" w14:textId="77777777" w:rsidTr="00DF4B51">
        <w:trPr>
          <w:trHeight w:val="1575"/>
        </w:trPr>
        <w:tc>
          <w:tcPr>
            <w:tcW w:w="850" w:type="pct"/>
            <w:tcBorders>
              <w:top w:val="nil"/>
              <w:left w:val="nil"/>
              <w:bottom w:val="nil"/>
              <w:right w:val="nil"/>
            </w:tcBorders>
            <w:shd w:val="clear" w:color="auto" w:fill="auto"/>
            <w:vAlign w:val="center"/>
            <w:hideMark/>
          </w:tcPr>
          <w:p w14:paraId="3462A416"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T8</w:t>
            </w:r>
          </w:p>
        </w:tc>
        <w:tc>
          <w:tcPr>
            <w:tcW w:w="1251" w:type="pct"/>
            <w:tcBorders>
              <w:top w:val="nil"/>
              <w:left w:val="nil"/>
              <w:bottom w:val="nil"/>
              <w:right w:val="nil"/>
            </w:tcBorders>
            <w:shd w:val="clear" w:color="auto" w:fill="auto"/>
            <w:vAlign w:val="center"/>
            <w:hideMark/>
          </w:tcPr>
          <w:p w14:paraId="473DBBC7" w14:textId="77777777" w:rsidR="00DF4B51" w:rsidRPr="00DF4B51" w:rsidRDefault="00DF4B51" w:rsidP="00DF4B51">
            <w:pPr>
              <w:jc w:val="both"/>
              <w:rPr>
                <w:rFonts w:ascii="Arial" w:hAnsi="Arial" w:cs="Arial"/>
                <w:i/>
                <w:iCs/>
                <w:color w:val="000000"/>
                <w:lang w:val="en-IN" w:eastAsia="en-IN"/>
              </w:rPr>
            </w:pPr>
            <w:r w:rsidRPr="00DF4B51">
              <w:rPr>
                <w:rFonts w:ascii="Arial" w:hAnsi="Arial" w:cs="Arial"/>
                <w:i/>
                <w:iCs/>
                <w:color w:val="000000"/>
                <w:lang w:eastAsia="en-IN"/>
              </w:rPr>
              <w:t>Fipronil</w:t>
            </w:r>
            <w:r w:rsidRPr="00DF4B51">
              <w:rPr>
                <w:rFonts w:ascii="Arial" w:hAnsi="Arial" w:cs="Arial"/>
                <w:color w:val="000000"/>
                <w:lang w:eastAsia="en-IN"/>
              </w:rPr>
              <w:t xml:space="preserve"> 5% SC</w:t>
            </w:r>
          </w:p>
        </w:tc>
        <w:tc>
          <w:tcPr>
            <w:tcW w:w="850" w:type="pct"/>
            <w:tcBorders>
              <w:top w:val="nil"/>
              <w:left w:val="nil"/>
              <w:bottom w:val="nil"/>
              <w:right w:val="nil"/>
            </w:tcBorders>
            <w:shd w:val="clear" w:color="auto" w:fill="auto"/>
            <w:vAlign w:val="center"/>
            <w:hideMark/>
          </w:tcPr>
          <w:p w14:paraId="2659AEB1"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75 g </w:t>
            </w:r>
            <w:proofErr w:type="spellStart"/>
            <w:r w:rsidRPr="00DF4B51">
              <w:rPr>
                <w:rFonts w:ascii="Arial" w:hAnsi="Arial" w:cs="Arial"/>
                <w:color w:val="000000"/>
                <w:lang w:eastAsia="en-IN"/>
              </w:rPr>
              <w:t>a.i.</w:t>
            </w:r>
            <w:proofErr w:type="spellEnd"/>
            <w:r w:rsidRPr="00DF4B51">
              <w:rPr>
                <w:rFonts w:ascii="Arial" w:hAnsi="Arial" w:cs="Arial"/>
                <w:color w:val="000000"/>
                <w:lang w:eastAsia="en-IN"/>
              </w:rPr>
              <w:t>/ha</w:t>
            </w:r>
          </w:p>
        </w:tc>
        <w:tc>
          <w:tcPr>
            <w:tcW w:w="939" w:type="pct"/>
            <w:tcBorders>
              <w:top w:val="nil"/>
              <w:left w:val="nil"/>
              <w:bottom w:val="nil"/>
              <w:right w:val="nil"/>
            </w:tcBorders>
            <w:shd w:val="clear" w:color="auto" w:fill="auto"/>
            <w:vAlign w:val="center"/>
            <w:hideMark/>
          </w:tcPr>
          <w:p w14:paraId="598F7745"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6FDF6A08"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GABA-gated chloride channel blocker</w:t>
            </w:r>
          </w:p>
        </w:tc>
      </w:tr>
      <w:tr w:rsidR="00DF4B51" w:rsidRPr="00DF4B51" w14:paraId="096EFF45" w14:textId="77777777" w:rsidTr="00DF4B51">
        <w:trPr>
          <w:trHeight w:val="945"/>
        </w:trPr>
        <w:tc>
          <w:tcPr>
            <w:tcW w:w="850" w:type="pct"/>
            <w:tcBorders>
              <w:top w:val="nil"/>
              <w:left w:val="nil"/>
              <w:bottom w:val="nil"/>
              <w:right w:val="nil"/>
            </w:tcBorders>
            <w:shd w:val="clear" w:color="auto" w:fill="auto"/>
            <w:vAlign w:val="center"/>
            <w:hideMark/>
          </w:tcPr>
          <w:p w14:paraId="642236D6"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T9</w:t>
            </w:r>
          </w:p>
        </w:tc>
        <w:tc>
          <w:tcPr>
            <w:tcW w:w="1251" w:type="pct"/>
            <w:tcBorders>
              <w:top w:val="nil"/>
              <w:left w:val="nil"/>
              <w:bottom w:val="nil"/>
              <w:right w:val="nil"/>
            </w:tcBorders>
            <w:shd w:val="clear" w:color="auto" w:fill="auto"/>
            <w:vAlign w:val="center"/>
            <w:hideMark/>
          </w:tcPr>
          <w:p w14:paraId="0F9EA1F0"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Untreated control</w:t>
            </w:r>
          </w:p>
        </w:tc>
        <w:tc>
          <w:tcPr>
            <w:tcW w:w="850" w:type="pct"/>
            <w:tcBorders>
              <w:top w:val="nil"/>
              <w:left w:val="nil"/>
              <w:bottom w:val="nil"/>
              <w:right w:val="nil"/>
            </w:tcBorders>
            <w:shd w:val="clear" w:color="auto" w:fill="auto"/>
            <w:vAlign w:val="center"/>
            <w:hideMark/>
          </w:tcPr>
          <w:p w14:paraId="53B720C5"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 xml:space="preserve">       -</w:t>
            </w:r>
          </w:p>
        </w:tc>
        <w:tc>
          <w:tcPr>
            <w:tcW w:w="939" w:type="pct"/>
            <w:tcBorders>
              <w:top w:val="nil"/>
              <w:left w:val="nil"/>
              <w:bottom w:val="nil"/>
              <w:right w:val="nil"/>
            </w:tcBorders>
            <w:shd w:val="clear" w:color="auto" w:fill="auto"/>
            <w:vAlign w:val="center"/>
            <w:hideMark/>
          </w:tcPr>
          <w:p w14:paraId="33710254" w14:textId="77777777" w:rsidR="00DF4B51" w:rsidRPr="00DF4B51" w:rsidRDefault="00DF4B51" w:rsidP="00DF4B51">
            <w:pPr>
              <w:jc w:val="both"/>
              <w:rPr>
                <w:rFonts w:ascii="Arial" w:hAnsi="Arial" w:cs="Arial"/>
                <w:color w:val="000000"/>
                <w:lang w:val="en-IN" w:eastAsia="en-IN"/>
              </w:rPr>
            </w:pPr>
            <w:r w:rsidRPr="00DF4B51">
              <w:rPr>
                <w:rFonts w:ascii="Arial" w:hAnsi="Arial" w:cs="Arial"/>
                <w:color w:val="000000"/>
                <w:lang w:eastAsia="en-IN"/>
              </w:rPr>
              <w:t>foliar spray of water</w:t>
            </w:r>
          </w:p>
        </w:tc>
        <w:tc>
          <w:tcPr>
            <w:tcW w:w="1110" w:type="pct"/>
            <w:tcBorders>
              <w:top w:val="nil"/>
              <w:left w:val="nil"/>
              <w:bottom w:val="nil"/>
              <w:right w:val="nil"/>
            </w:tcBorders>
            <w:shd w:val="clear" w:color="auto" w:fill="auto"/>
            <w:vAlign w:val="center"/>
            <w:hideMark/>
          </w:tcPr>
          <w:p w14:paraId="1173256A" w14:textId="77777777" w:rsidR="00DF4B51" w:rsidRPr="00DF4B51" w:rsidRDefault="00DF4B51" w:rsidP="00DF4B51">
            <w:pPr>
              <w:rPr>
                <w:rFonts w:ascii="Arial" w:hAnsi="Arial" w:cs="Arial"/>
                <w:color w:val="000000"/>
                <w:lang w:val="en-IN" w:eastAsia="en-IN"/>
              </w:rPr>
            </w:pPr>
            <w:r w:rsidRPr="00DF4B51">
              <w:rPr>
                <w:rFonts w:ascii="Arial" w:hAnsi="Arial" w:cs="Arial"/>
                <w:color w:val="000000"/>
                <w:lang w:eastAsia="en-IN"/>
              </w:rPr>
              <w:t xml:space="preserve">           -</w:t>
            </w:r>
          </w:p>
        </w:tc>
      </w:tr>
    </w:tbl>
    <w:p w14:paraId="0243B08B" w14:textId="77777777" w:rsidR="00DF4B51" w:rsidRPr="00DF4B51" w:rsidRDefault="00DF4B51" w:rsidP="006D1960">
      <w:pPr>
        <w:spacing w:before="100" w:beforeAutospacing="1" w:after="100" w:afterAutospacing="1" w:line="360" w:lineRule="auto"/>
        <w:jc w:val="both"/>
        <w:rPr>
          <w:rFonts w:ascii="Arial" w:hAnsi="Arial" w:cs="Arial"/>
          <w:iCs/>
          <w:szCs w:val="24"/>
          <w:lang w:eastAsia="en-IN"/>
        </w:rPr>
      </w:pPr>
    </w:p>
    <w:p w14:paraId="79D879FE" w14:textId="77777777" w:rsidR="006D1960" w:rsidRPr="00721ED1" w:rsidRDefault="00721ED1" w:rsidP="006D1960">
      <w:pPr>
        <w:spacing w:before="100" w:beforeAutospacing="1" w:after="100" w:afterAutospacing="1" w:line="360" w:lineRule="auto"/>
        <w:jc w:val="both"/>
        <w:rPr>
          <w:rFonts w:ascii="Arial" w:hAnsi="Arial" w:cs="Arial"/>
          <w:szCs w:val="24"/>
          <w:lang w:eastAsia="en-IN"/>
        </w:rPr>
      </w:pPr>
      <w:r w:rsidRPr="00721ED1">
        <w:rPr>
          <w:rFonts w:ascii="Arial" w:hAnsi="Arial" w:cs="Arial"/>
          <w:i/>
          <w:iCs/>
          <w:szCs w:val="24"/>
          <w:lang w:eastAsia="en-IN"/>
        </w:rPr>
        <w:t>Notes</w:t>
      </w:r>
      <w:r w:rsidRPr="00721ED1">
        <w:rPr>
          <w:rFonts w:ascii="Arial" w:hAnsi="Arial" w:cs="Arial"/>
          <w:szCs w:val="24"/>
          <w:lang w:eastAsia="en-IN"/>
        </w:rPr>
        <w:t xml:space="preserve">: Seed treatment involved </w:t>
      </w:r>
      <w:r w:rsidRPr="00721ED1">
        <w:rPr>
          <w:rFonts w:ascii="Arial" w:hAnsi="Arial" w:cs="Arial"/>
          <w:i/>
          <w:iCs/>
          <w:szCs w:val="24"/>
          <w:lang w:eastAsia="en-IN"/>
        </w:rPr>
        <w:t>imidacloprid</w:t>
      </w:r>
      <w:r w:rsidRPr="00721ED1">
        <w:rPr>
          <w:rFonts w:ascii="Arial" w:hAnsi="Arial" w:cs="Arial"/>
          <w:szCs w:val="24"/>
          <w:lang w:eastAsia="en-IN"/>
        </w:rPr>
        <w:t xml:space="preserve"> 600 FS at 5 ml/kg seed for all treated plots. Foliar sprays were applied at 30 and 45 DAS. SL = Soluble Liquid, WDG = Water Dispersible Granules, SC = Soluble Concentrate, SG = Soluble Granules, WP = Wettable Powder, EC = Emulsifiable Concentrate.</w:t>
      </w:r>
    </w:p>
    <w:p w14:paraId="00CCF9A5" w14:textId="77777777" w:rsidR="006D1960" w:rsidRPr="006D1960" w:rsidRDefault="006D1960" w:rsidP="006D1960">
      <w:pPr>
        <w:spacing w:before="100" w:beforeAutospacing="1" w:after="100" w:afterAutospacing="1" w:line="360" w:lineRule="auto"/>
        <w:jc w:val="both"/>
        <w:rPr>
          <w:rFonts w:ascii="Arial" w:hAnsi="Arial" w:cs="Arial"/>
          <w:lang w:eastAsia="en-IN"/>
        </w:rPr>
      </w:pPr>
      <w:r w:rsidRPr="006D1960">
        <w:rPr>
          <w:rFonts w:ascii="Arial" w:hAnsi="Arial" w:cs="Arial"/>
          <w:lang w:eastAsia="en-IN"/>
        </w:rPr>
        <w:t xml:space="preserve">Populations of </w:t>
      </w:r>
      <w:r w:rsidRPr="006D1960">
        <w:rPr>
          <w:rFonts w:ascii="Arial" w:hAnsi="Arial" w:cs="Arial"/>
          <w:i/>
          <w:iCs/>
          <w:lang w:eastAsia="en-IN"/>
        </w:rPr>
        <w:t xml:space="preserve">A. </w:t>
      </w:r>
      <w:proofErr w:type="spellStart"/>
      <w:r w:rsidRPr="006D1960">
        <w:rPr>
          <w:rFonts w:ascii="Arial" w:hAnsi="Arial" w:cs="Arial"/>
          <w:i/>
          <w:iCs/>
          <w:lang w:eastAsia="en-IN"/>
        </w:rPr>
        <w:t>biguttula</w:t>
      </w:r>
      <w:proofErr w:type="spellEnd"/>
      <w:r w:rsidRPr="006D1960">
        <w:rPr>
          <w:rFonts w:ascii="Arial" w:hAnsi="Arial" w:cs="Arial"/>
          <w:i/>
          <w:iCs/>
          <w:lang w:eastAsia="en-IN"/>
        </w:rPr>
        <w:t xml:space="preserve"> </w:t>
      </w:r>
      <w:proofErr w:type="spellStart"/>
      <w:r w:rsidRPr="006D1960">
        <w:rPr>
          <w:rFonts w:ascii="Arial" w:hAnsi="Arial" w:cs="Arial"/>
          <w:i/>
          <w:iCs/>
          <w:lang w:eastAsia="en-IN"/>
        </w:rPr>
        <w:t>biguttula</w:t>
      </w:r>
      <w:proofErr w:type="spellEnd"/>
      <w:r w:rsidRPr="006D1960">
        <w:rPr>
          <w:rFonts w:ascii="Arial" w:hAnsi="Arial" w:cs="Arial"/>
          <w:lang w:eastAsia="en-IN"/>
        </w:rPr>
        <w:t xml:space="preserve"> and </w:t>
      </w:r>
      <w:r w:rsidRPr="006D1960">
        <w:rPr>
          <w:rFonts w:ascii="Arial" w:hAnsi="Arial" w:cs="Arial"/>
          <w:i/>
          <w:iCs/>
          <w:lang w:eastAsia="en-IN"/>
        </w:rPr>
        <w:t xml:space="preserve">B. </w:t>
      </w:r>
      <w:proofErr w:type="spellStart"/>
      <w:r w:rsidRPr="006D1960">
        <w:rPr>
          <w:rFonts w:ascii="Arial" w:hAnsi="Arial" w:cs="Arial"/>
          <w:i/>
          <w:iCs/>
          <w:lang w:eastAsia="en-IN"/>
        </w:rPr>
        <w:t>tabaci</w:t>
      </w:r>
      <w:proofErr w:type="spellEnd"/>
      <w:r w:rsidRPr="006D1960">
        <w:rPr>
          <w:rFonts w:ascii="Arial" w:hAnsi="Arial" w:cs="Arial"/>
          <w:lang w:eastAsia="en-IN"/>
        </w:rPr>
        <w:t xml:space="preserve"> were assessed by counting individuals on three randomly selected leaves per plant from five plants per plot, recorded 1 day before treatment (DBT) and at 3, 7, and 14 days after treatment (DAT) for each spray application. Damage by </w:t>
      </w:r>
      <w:r w:rsidRPr="006D1960">
        <w:rPr>
          <w:rFonts w:ascii="Arial" w:hAnsi="Arial" w:cs="Arial"/>
          <w:i/>
          <w:iCs/>
          <w:lang w:eastAsia="en-IN"/>
        </w:rPr>
        <w:t xml:space="preserve">E. </w:t>
      </w:r>
      <w:proofErr w:type="spellStart"/>
      <w:r w:rsidRPr="006D1960">
        <w:rPr>
          <w:rFonts w:ascii="Arial" w:hAnsi="Arial" w:cs="Arial"/>
          <w:i/>
          <w:iCs/>
          <w:lang w:eastAsia="en-IN"/>
        </w:rPr>
        <w:t>vittella</w:t>
      </w:r>
      <w:proofErr w:type="spellEnd"/>
      <w:r w:rsidRPr="006D1960">
        <w:rPr>
          <w:rFonts w:ascii="Arial" w:hAnsi="Arial" w:cs="Arial"/>
          <w:lang w:eastAsia="en-IN"/>
        </w:rPr>
        <w:t xml:space="preserve"> was evaluated by inspecting 50 fruits per plot at harvest, with percentage damage calculated by number (infested fruits/total fruits × 100) and weight (weight of infested fruits/total fruit weight × 100). Coccinellid beetles were enumerated on five leaves per plant from five plants per plot, synchronized with pest monitoring intervals. Observations were conducted between 06:00 and 08:00 to standardize insect activity levels.</w:t>
      </w:r>
    </w:p>
    <w:p w14:paraId="5291D66E" w14:textId="77777777" w:rsidR="006D1960" w:rsidRPr="006D1960" w:rsidRDefault="006D1960" w:rsidP="006D1960">
      <w:pPr>
        <w:spacing w:before="100" w:beforeAutospacing="1" w:after="100" w:afterAutospacing="1" w:line="360" w:lineRule="auto"/>
        <w:jc w:val="both"/>
        <w:rPr>
          <w:rFonts w:ascii="Arial" w:hAnsi="Arial" w:cs="Arial"/>
          <w:lang w:eastAsia="en-IN"/>
        </w:rPr>
      </w:pPr>
      <w:r w:rsidRPr="006D1960">
        <w:rPr>
          <w:rFonts w:ascii="Arial" w:hAnsi="Arial" w:cs="Arial"/>
          <w:lang w:eastAsia="en-IN"/>
        </w:rPr>
        <w:t>Marketable fruit yield was determined by harvesting all mature, undamaged fruits from each plot at weekly intervals, weighed fresh, and expressed as tons per hectare (t/ha). Economic viability was assessed using the incremental cost-benefit ratio (ICBR), calculated as:</w:t>
      </w:r>
      <w:r w:rsidRPr="006D1960">
        <w:rPr>
          <w:rFonts w:ascii="Arial" w:hAnsi="Arial" w:cs="Arial"/>
          <w:lang w:eastAsia="en-IN"/>
        </w:rPr>
        <w:br/>
      </w:r>
      <w:r w:rsidRPr="006D1960">
        <w:rPr>
          <w:rFonts w:ascii="Arial" w:hAnsi="Arial" w:cs="Arial"/>
          <w:lang w:eastAsia="en-IN"/>
        </w:rPr>
        <w:lastRenderedPageBreak/>
        <w:t>ICBR = (Incremental benefit (Rs/ha)) / (Total cost of treatment (Rs/ha))</w:t>
      </w:r>
      <w:r w:rsidRPr="006D1960">
        <w:rPr>
          <w:rFonts w:ascii="Arial" w:hAnsi="Arial" w:cs="Arial"/>
          <w:lang w:eastAsia="en-IN"/>
        </w:rPr>
        <w:br/>
        <w:t xml:space="preserve">where incremental benefit = (yield value of treated plot – yield value of control). Treatment costs here encompasses cost </w:t>
      </w:r>
      <w:proofErr w:type="gramStart"/>
      <w:r w:rsidRPr="006D1960">
        <w:rPr>
          <w:rFonts w:ascii="Arial" w:hAnsi="Arial" w:cs="Arial"/>
          <w:lang w:eastAsia="en-IN"/>
        </w:rPr>
        <w:t>of  insecticides</w:t>
      </w:r>
      <w:proofErr w:type="gramEnd"/>
      <w:r w:rsidRPr="006D1960">
        <w:rPr>
          <w:rFonts w:ascii="Arial" w:hAnsi="Arial" w:cs="Arial"/>
          <w:lang w:eastAsia="en-IN"/>
        </w:rPr>
        <w:t xml:space="preserve">, </w:t>
      </w:r>
      <w:proofErr w:type="spellStart"/>
      <w:r w:rsidRPr="006D1960">
        <w:rPr>
          <w:rFonts w:ascii="Arial" w:hAnsi="Arial" w:cs="Arial"/>
          <w:lang w:eastAsia="en-IN"/>
        </w:rPr>
        <w:t>labour</w:t>
      </w:r>
      <w:proofErr w:type="spellEnd"/>
      <w:r w:rsidRPr="006D1960">
        <w:rPr>
          <w:rFonts w:ascii="Arial" w:hAnsi="Arial" w:cs="Arial"/>
          <w:lang w:eastAsia="en-IN"/>
        </w:rPr>
        <w:t xml:space="preserve"> (application expenses) and the yield value is based on local market rates (assumed Rs 20,000/t, adjusted annually).</w:t>
      </w:r>
    </w:p>
    <w:p w14:paraId="3FDC093D" w14:textId="77777777" w:rsidR="006D1960" w:rsidRPr="006D1960" w:rsidRDefault="006D1960" w:rsidP="006D1960">
      <w:pPr>
        <w:spacing w:before="100" w:beforeAutospacing="1" w:after="100" w:afterAutospacing="1" w:line="360" w:lineRule="auto"/>
        <w:jc w:val="both"/>
        <w:rPr>
          <w:rFonts w:ascii="Arial" w:hAnsi="Arial" w:cs="Arial"/>
          <w:lang w:eastAsia="en-IN"/>
        </w:rPr>
      </w:pPr>
      <w:r w:rsidRPr="006D1960">
        <w:rPr>
          <w:rFonts w:ascii="Arial" w:hAnsi="Arial" w:cs="Arial"/>
          <w:lang w:eastAsia="en-IN"/>
        </w:rPr>
        <w:t xml:space="preserve">Data were pooled across both the years and analyzed using analysis of variance (ANOVA) appropriate for RBD, as described by </w:t>
      </w:r>
      <w:proofErr w:type="spellStart"/>
      <w:r w:rsidRPr="006D1960">
        <w:rPr>
          <w:rFonts w:ascii="Arial" w:hAnsi="Arial" w:cs="Arial"/>
          <w:lang w:eastAsia="en-IN"/>
        </w:rPr>
        <w:t>Panse</w:t>
      </w:r>
      <w:proofErr w:type="spellEnd"/>
      <w:r w:rsidRPr="006D1960">
        <w:rPr>
          <w:rFonts w:ascii="Arial" w:hAnsi="Arial" w:cs="Arial"/>
          <w:lang w:eastAsia="en-IN"/>
        </w:rPr>
        <w:t xml:space="preserve"> and </w:t>
      </w:r>
      <w:proofErr w:type="spellStart"/>
      <w:r w:rsidRPr="006D1960">
        <w:rPr>
          <w:rFonts w:ascii="Arial" w:hAnsi="Arial" w:cs="Arial"/>
          <w:lang w:eastAsia="en-IN"/>
        </w:rPr>
        <w:t>Sukhatme</w:t>
      </w:r>
      <w:proofErr w:type="spellEnd"/>
      <w:r w:rsidRPr="006D1960">
        <w:rPr>
          <w:rFonts w:ascii="Arial" w:hAnsi="Arial" w:cs="Arial"/>
          <w:lang w:eastAsia="en-IN"/>
        </w:rPr>
        <w:t xml:space="preserve"> (1967) using Microsoft Excel version 2016. Pest population and damage percentage data were arcsine-transformed to ensure normality, and treatment means were separated using the critical difference (CD) at a 5% significance level. Standard error of the mean (S.E(m)±) was computed to evaluate variability. Percentage reduction over control (PROC) was determined (Henderson and Tilton (1955): </w:t>
      </w:r>
      <w:r w:rsidRPr="006D1960">
        <w:rPr>
          <w:rFonts w:ascii="Arial" w:hAnsi="Arial" w:cs="Arial"/>
          <w:lang w:eastAsia="en-IN"/>
        </w:rPr>
        <w:br/>
        <w:t>PROC (%) = 100 × (1 - ((Treatment population after treatment × Control population before treatment) / (Control population after treatment × Treatment population before treatment)))</w:t>
      </w:r>
    </w:p>
    <w:p w14:paraId="775B2ED7" w14:textId="77777777" w:rsidR="00790ADA" w:rsidRPr="00FB3A86" w:rsidRDefault="00790ADA" w:rsidP="00441B6F">
      <w:pPr>
        <w:pStyle w:val="Body"/>
        <w:spacing w:after="0"/>
        <w:rPr>
          <w:rFonts w:ascii="Arial" w:hAnsi="Arial" w:cs="Arial"/>
        </w:rPr>
      </w:pPr>
    </w:p>
    <w:p w14:paraId="0020EB7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F5E35D" w14:textId="77777777" w:rsidR="00790ADA" w:rsidRPr="00FB3A86" w:rsidRDefault="00790ADA" w:rsidP="00441B6F">
      <w:pPr>
        <w:pStyle w:val="Head1"/>
        <w:spacing w:after="0"/>
        <w:jc w:val="both"/>
        <w:rPr>
          <w:rFonts w:ascii="Arial" w:hAnsi="Arial" w:cs="Arial"/>
        </w:rPr>
      </w:pPr>
    </w:p>
    <w:p w14:paraId="392023EE" w14:textId="77777777" w:rsidR="00DF4B51" w:rsidRPr="00DF4B51" w:rsidRDefault="00DF4B51" w:rsidP="00DF4B51">
      <w:pPr>
        <w:pStyle w:val="NormalWeb"/>
        <w:jc w:val="both"/>
        <w:rPr>
          <w:rFonts w:ascii="Arial" w:hAnsi="Arial" w:cs="Arial"/>
          <w:sz w:val="20"/>
          <w:szCs w:val="20"/>
        </w:rPr>
      </w:pPr>
      <w:r w:rsidRPr="00DF4B51">
        <w:rPr>
          <w:rFonts w:ascii="Arial" w:hAnsi="Arial" w:cs="Arial"/>
          <w:sz w:val="20"/>
          <w:szCs w:val="20"/>
        </w:rPr>
        <w:t>Field trials conducted over two summer seasons (2019-20 and 2020-21) at the Central Research Station, Bhubaneswar, evaluated eight novel insecticides against okra pests (</w:t>
      </w:r>
      <w:proofErr w:type="spellStart"/>
      <w:r w:rsidRPr="00DF4B51">
        <w:rPr>
          <w:rStyle w:val="Emphasis"/>
          <w:rFonts w:ascii="Arial" w:hAnsi="Arial" w:cs="Arial"/>
          <w:sz w:val="20"/>
          <w:szCs w:val="20"/>
        </w:rPr>
        <w:t>Amrasca</w:t>
      </w:r>
      <w:proofErr w:type="spellEnd"/>
      <w:r w:rsidRPr="00DF4B51">
        <w:rPr>
          <w:rStyle w:val="Emphasis"/>
          <w:rFonts w:ascii="Arial" w:hAnsi="Arial" w:cs="Arial"/>
          <w:sz w:val="20"/>
          <w:szCs w:val="20"/>
        </w:rPr>
        <w:t xml:space="preserve"> </w:t>
      </w:r>
      <w:proofErr w:type="spellStart"/>
      <w:r w:rsidRPr="00DF4B51">
        <w:rPr>
          <w:rStyle w:val="Emphasis"/>
          <w:rFonts w:ascii="Arial" w:hAnsi="Arial" w:cs="Arial"/>
          <w:sz w:val="20"/>
          <w:szCs w:val="20"/>
        </w:rPr>
        <w:t>biguttula</w:t>
      </w:r>
      <w:proofErr w:type="spellEnd"/>
      <w:r w:rsidRPr="00DF4B51">
        <w:rPr>
          <w:rStyle w:val="Emphasis"/>
          <w:rFonts w:ascii="Arial" w:hAnsi="Arial" w:cs="Arial"/>
          <w:sz w:val="20"/>
          <w:szCs w:val="20"/>
        </w:rPr>
        <w:t xml:space="preserve"> </w:t>
      </w:r>
      <w:proofErr w:type="spellStart"/>
      <w:r w:rsidRPr="00DF4B51">
        <w:rPr>
          <w:rStyle w:val="Emphasis"/>
          <w:rFonts w:ascii="Arial" w:hAnsi="Arial" w:cs="Arial"/>
          <w:sz w:val="20"/>
          <w:szCs w:val="20"/>
        </w:rPr>
        <w:t>biguttula</w:t>
      </w:r>
      <w:proofErr w:type="spellEnd"/>
      <w:r w:rsidRPr="00DF4B51">
        <w:rPr>
          <w:rFonts w:ascii="Arial" w:hAnsi="Arial" w:cs="Arial"/>
          <w:sz w:val="20"/>
          <w:szCs w:val="20"/>
        </w:rPr>
        <w:t xml:space="preserve">, </w:t>
      </w:r>
      <w:proofErr w:type="spellStart"/>
      <w:r w:rsidRPr="00DF4B51">
        <w:rPr>
          <w:rStyle w:val="Emphasis"/>
          <w:rFonts w:ascii="Arial" w:hAnsi="Arial" w:cs="Arial"/>
          <w:sz w:val="20"/>
          <w:szCs w:val="20"/>
        </w:rPr>
        <w:t>Bemisia</w:t>
      </w:r>
      <w:proofErr w:type="spellEnd"/>
      <w:r w:rsidRPr="00DF4B51">
        <w:rPr>
          <w:rStyle w:val="Emphasis"/>
          <w:rFonts w:ascii="Arial" w:hAnsi="Arial" w:cs="Arial"/>
          <w:sz w:val="20"/>
          <w:szCs w:val="20"/>
        </w:rPr>
        <w:t xml:space="preserve"> </w:t>
      </w:r>
      <w:proofErr w:type="spellStart"/>
      <w:r w:rsidRPr="00DF4B51">
        <w:rPr>
          <w:rStyle w:val="Emphasis"/>
          <w:rFonts w:ascii="Arial" w:hAnsi="Arial" w:cs="Arial"/>
          <w:sz w:val="20"/>
          <w:szCs w:val="20"/>
        </w:rPr>
        <w:t>tabaci</w:t>
      </w:r>
      <w:proofErr w:type="spellEnd"/>
      <w:r w:rsidRPr="00DF4B51">
        <w:rPr>
          <w:rFonts w:ascii="Arial" w:hAnsi="Arial" w:cs="Arial"/>
          <w:sz w:val="20"/>
          <w:szCs w:val="20"/>
        </w:rPr>
        <w:t xml:space="preserve">, </w:t>
      </w:r>
      <w:proofErr w:type="spellStart"/>
      <w:r w:rsidRPr="00DF4B51">
        <w:rPr>
          <w:rStyle w:val="Emphasis"/>
          <w:rFonts w:ascii="Arial" w:hAnsi="Arial" w:cs="Arial"/>
          <w:sz w:val="20"/>
          <w:szCs w:val="20"/>
        </w:rPr>
        <w:t>Earias</w:t>
      </w:r>
      <w:proofErr w:type="spellEnd"/>
      <w:r w:rsidRPr="00DF4B51">
        <w:rPr>
          <w:rStyle w:val="Emphasis"/>
          <w:rFonts w:ascii="Arial" w:hAnsi="Arial" w:cs="Arial"/>
          <w:sz w:val="20"/>
          <w:szCs w:val="20"/>
        </w:rPr>
        <w:t xml:space="preserve"> </w:t>
      </w:r>
      <w:proofErr w:type="spellStart"/>
      <w:r w:rsidRPr="00DF4B51">
        <w:rPr>
          <w:rStyle w:val="Emphasis"/>
          <w:rFonts w:ascii="Arial" w:hAnsi="Arial" w:cs="Arial"/>
          <w:sz w:val="20"/>
          <w:szCs w:val="20"/>
        </w:rPr>
        <w:t>vittella</w:t>
      </w:r>
      <w:proofErr w:type="spellEnd"/>
      <w:r w:rsidRPr="00DF4B51">
        <w:rPr>
          <w:rFonts w:ascii="Arial" w:hAnsi="Arial" w:cs="Arial"/>
          <w:sz w:val="20"/>
          <w:szCs w:val="20"/>
        </w:rPr>
        <w:t xml:space="preserve">), their impact on beneficial coccinellid beetles, and economic outcomes. Data, pooled across seasons and </w:t>
      </w:r>
      <w:proofErr w:type="spellStart"/>
      <w:r w:rsidRPr="00DF4B51">
        <w:rPr>
          <w:rFonts w:ascii="Arial" w:hAnsi="Arial" w:cs="Arial"/>
          <w:sz w:val="20"/>
          <w:szCs w:val="20"/>
        </w:rPr>
        <w:t>analyzed</w:t>
      </w:r>
      <w:proofErr w:type="spellEnd"/>
      <w:r w:rsidRPr="00DF4B51">
        <w:rPr>
          <w:rFonts w:ascii="Arial" w:hAnsi="Arial" w:cs="Arial"/>
          <w:sz w:val="20"/>
          <w:szCs w:val="20"/>
        </w:rPr>
        <w:t xml:space="preserve"> using ANOVA (</w:t>
      </w:r>
      <w:proofErr w:type="spellStart"/>
      <w:r w:rsidRPr="00DF4B51">
        <w:rPr>
          <w:rFonts w:ascii="Arial" w:hAnsi="Arial" w:cs="Arial"/>
          <w:sz w:val="20"/>
          <w:szCs w:val="20"/>
        </w:rPr>
        <w:t>Panse</w:t>
      </w:r>
      <w:proofErr w:type="spellEnd"/>
      <w:r w:rsidRPr="00DF4B51">
        <w:rPr>
          <w:rFonts w:ascii="Arial" w:hAnsi="Arial" w:cs="Arial"/>
          <w:sz w:val="20"/>
          <w:szCs w:val="20"/>
        </w:rPr>
        <w:t xml:space="preserve"> and </w:t>
      </w:r>
      <w:proofErr w:type="spellStart"/>
      <w:r w:rsidRPr="00DF4B51">
        <w:rPr>
          <w:rFonts w:ascii="Arial" w:hAnsi="Arial" w:cs="Arial"/>
          <w:sz w:val="20"/>
          <w:szCs w:val="20"/>
        </w:rPr>
        <w:t>Sukhatme</w:t>
      </w:r>
      <w:proofErr w:type="spellEnd"/>
      <w:r w:rsidRPr="00DF4B51">
        <w:rPr>
          <w:rFonts w:ascii="Arial" w:hAnsi="Arial" w:cs="Arial"/>
          <w:sz w:val="20"/>
          <w:szCs w:val="20"/>
        </w:rPr>
        <w:t xml:space="preserve">, 1967), reveal significant pest control, ecological safety, and profitability, supporting integrated pest management (IPM). Findings and interpretations are presented below, organized by pest, beneficial insects, yield, and economics, with statistical significance reported as exact </w:t>
      </w:r>
      <w:r w:rsidRPr="00DF4B51">
        <w:rPr>
          <w:rStyle w:val="Emphasis"/>
          <w:rFonts w:ascii="Arial" w:hAnsi="Arial" w:cs="Arial"/>
          <w:sz w:val="20"/>
          <w:szCs w:val="20"/>
        </w:rPr>
        <w:t>P</w:t>
      </w:r>
      <w:r w:rsidRPr="00DF4B51">
        <w:rPr>
          <w:rFonts w:ascii="Arial" w:hAnsi="Arial" w:cs="Arial"/>
          <w:sz w:val="20"/>
          <w:szCs w:val="20"/>
        </w:rPr>
        <w:t>-values.</w:t>
      </w:r>
    </w:p>
    <w:p w14:paraId="210F2BB5" w14:textId="77777777" w:rsidR="00DF4B51" w:rsidRPr="00DF4B51" w:rsidRDefault="00DF4B51" w:rsidP="00DF4B51">
      <w:pPr>
        <w:pStyle w:val="NormalWeb"/>
        <w:jc w:val="both"/>
        <w:rPr>
          <w:rStyle w:val="Strong"/>
          <w:rFonts w:ascii="Arial" w:hAnsi="Arial" w:cs="Arial"/>
          <w:sz w:val="22"/>
        </w:rPr>
      </w:pPr>
      <w:r w:rsidRPr="00DF4B51">
        <w:rPr>
          <w:rStyle w:val="Strong"/>
          <w:rFonts w:ascii="Arial" w:hAnsi="Arial" w:cs="Arial"/>
          <w:sz w:val="22"/>
        </w:rPr>
        <w:t>3.1 Sucking Pests</w:t>
      </w:r>
    </w:p>
    <w:p w14:paraId="5E0C8988" w14:textId="77777777" w:rsidR="00DF4B51" w:rsidRDefault="00DF4B51" w:rsidP="00DF4B51">
      <w:pPr>
        <w:pStyle w:val="NormalWeb"/>
        <w:jc w:val="both"/>
      </w:pPr>
      <w:r>
        <w:t xml:space="preserve"> </w:t>
      </w:r>
      <w:r>
        <w:br/>
      </w:r>
      <w:proofErr w:type="spellStart"/>
      <w:r w:rsidRPr="00DF4B51">
        <w:rPr>
          <w:rFonts w:ascii="Arial" w:hAnsi="Arial" w:cs="Arial"/>
          <w:sz w:val="20"/>
          <w:szCs w:val="20"/>
        </w:rPr>
        <w:t>Flupyradifurone</w:t>
      </w:r>
      <w:proofErr w:type="spellEnd"/>
      <w:r w:rsidRPr="00DF4B51">
        <w:rPr>
          <w:rFonts w:ascii="Arial" w:hAnsi="Arial" w:cs="Arial"/>
          <w:sz w:val="20"/>
          <w:szCs w:val="20"/>
        </w:rPr>
        <w:t xml:space="preserve"> reduced </w:t>
      </w:r>
      <w:r w:rsidRPr="00DF4B51">
        <w:rPr>
          <w:rStyle w:val="Emphasis"/>
          <w:rFonts w:ascii="Arial" w:hAnsi="Arial" w:cs="Arial"/>
          <w:sz w:val="20"/>
          <w:szCs w:val="20"/>
        </w:rPr>
        <w:t xml:space="preserve">A. </w:t>
      </w:r>
      <w:proofErr w:type="spellStart"/>
      <w:r w:rsidRPr="00DF4B51">
        <w:rPr>
          <w:rStyle w:val="Emphasis"/>
          <w:rFonts w:ascii="Arial" w:hAnsi="Arial" w:cs="Arial"/>
          <w:sz w:val="20"/>
          <w:szCs w:val="20"/>
        </w:rPr>
        <w:t>biguttula</w:t>
      </w:r>
      <w:proofErr w:type="spellEnd"/>
      <w:r w:rsidRPr="00DF4B51">
        <w:rPr>
          <w:rStyle w:val="Emphasis"/>
          <w:rFonts w:ascii="Arial" w:hAnsi="Arial" w:cs="Arial"/>
          <w:sz w:val="20"/>
          <w:szCs w:val="20"/>
        </w:rPr>
        <w:t xml:space="preserve"> </w:t>
      </w:r>
      <w:proofErr w:type="spellStart"/>
      <w:r w:rsidRPr="00DF4B51">
        <w:rPr>
          <w:rStyle w:val="Emphasis"/>
          <w:rFonts w:ascii="Arial" w:hAnsi="Arial" w:cs="Arial"/>
          <w:sz w:val="20"/>
          <w:szCs w:val="20"/>
        </w:rPr>
        <w:t>biguttula</w:t>
      </w:r>
      <w:proofErr w:type="spellEnd"/>
      <w:r w:rsidRPr="00DF4B51">
        <w:rPr>
          <w:rFonts w:ascii="Arial" w:hAnsi="Arial" w:cs="Arial"/>
          <w:sz w:val="20"/>
          <w:szCs w:val="20"/>
        </w:rPr>
        <w:t xml:space="preserve"> populations to 2.47 per plant (79.84% reduction over control’s 27.57/plant, </w:t>
      </w:r>
      <w:r w:rsidRPr="00DF4B51">
        <w:rPr>
          <w:rStyle w:val="Emphasis"/>
          <w:rFonts w:ascii="Arial" w:hAnsi="Arial" w:cs="Arial"/>
          <w:sz w:val="20"/>
          <w:szCs w:val="20"/>
        </w:rPr>
        <w:t>P</w:t>
      </w:r>
      <w:r w:rsidRPr="00DF4B51">
        <w:rPr>
          <w:rFonts w:ascii="Arial" w:hAnsi="Arial" w:cs="Arial"/>
          <w:sz w:val="20"/>
          <w:szCs w:val="20"/>
        </w:rPr>
        <w:t xml:space="preserve"> = 0.05), outperforming clothianidin (3.68/plant, 73.36% reduction, </w:t>
      </w:r>
      <w:r w:rsidRPr="00DF4B51">
        <w:rPr>
          <w:rStyle w:val="Emphasis"/>
          <w:rFonts w:ascii="Arial" w:hAnsi="Arial" w:cs="Arial"/>
          <w:sz w:val="20"/>
          <w:szCs w:val="20"/>
        </w:rPr>
        <w:t>P</w:t>
      </w:r>
      <w:r w:rsidRPr="00DF4B51">
        <w:rPr>
          <w:rFonts w:ascii="Arial" w:hAnsi="Arial" w:cs="Arial"/>
          <w:sz w:val="20"/>
          <w:szCs w:val="20"/>
        </w:rPr>
        <w:t xml:space="preserve"> = 0.05) and </w:t>
      </w:r>
      <w:proofErr w:type="spellStart"/>
      <w:r w:rsidRPr="00DF4B51">
        <w:rPr>
          <w:rFonts w:ascii="Arial" w:hAnsi="Arial" w:cs="Arial"/>
          <w:sz w:val="20"/>
          <w:szCs w:val="20"/>
        </w:rPr>
        <w:t>diafenthiuron</w:t>
      </w:r>
      <w:proofErr w:type="spellEnd"/>
      <w:r w:rsidRPr="00DF4B51">
        <w:rPr>
          <w:rFonts w:ascii="Arial" w:hAnsi="Arial" w:cs="Arial"/>
          <w:sz w:val="20"/>
          <w:szCs w:val="20"/>
        </w:rPr>
        <w:t xml:space="preserve"> (3.68/plant, 71.91% reduction, </w:t>
      </w:r>
      <w:r w:rsidRPr="00DF4B51">
        <w:rPr>
          <w:rStyle w:val="Emphasis"/>
          <w:rFonts w:ascii="Arial" w:hAnsi="Arial" w:cs="Arial"/>
          <w:sz w:val="20"/>
          <w:szCs w:val="20"/>
        </w:rPr>
        <w:t>P</w:t>
      </w:r>
      <w:r w:rsidRPr="00DF4B51">
        <w:rPr>
          <w:rFonts w:ascii="Arial" w:hAnsi="Arial" w:cs="Arial"/>
          <w:sz w:val="20"/>
          <w:szCs w:val="20"/>
        </w:rPr>
        <w:t xml:space="preserve"> = 0.05) (Table 1). Its systemic nicotinic acetylcholine receptor agonism aligns with Wale et al. (2017), who reported similar efficacy in brinjal, and Garg et al. (2018), noting its precision against </w:t>
      </w:r>
      <w:proofErr w:type="spellStart"/>
      <w:r w:rsidRPr="00DF4B51">
        <w:rPr>
          <w:rFonts w:ascii="Arial" w:hAnsi="Arial" w:cs="Arial"/>
          <w:sz w:val="20"/>
          <w:szCs w:val="20"/>
        </w:rPr>
        <w:t>jassids</w:t>
      </w:r>
      <w:proofErr w:type="spellEnd"/>
      <w:r w:rsidRPr="00DF4B51">
        <w:rPr>
          <w:rFonts w:ascii="Arial" w:hAnsi="Arial" w:cs="Arial"/>
          <w:sz w:val="20"/>
          <w:szCs w:val="20"/>
        </w:rPr>
        <w:t xml:space="preserve">. This control is critical, as </w:t>
      </w:r>
      <w:proofErr w:type="spellStart"/>
      <w:r w:rsidRPr="00DF4B51">
        <w:rPr>
          <w:rFonts w:ascii="Arial" w:hAnsi="Arial" w:cs="Arial"/>
          <w:sz w:val="20"/>
          <w:szCs w:val="20"/>
        </w:rPr>
        <w:t>jassids</w:t>
      </w:r>
      <w:proofErr w:type="spellEnd"/>
      <w:r w:rsidRPr="00DF4B51">
        <w:rPr>
          <w:rFonts w:ascii="Arial" w:hAnsi="Arial" w:cs="Arial"/>
          <w:sz w:val="20"/>
          <w:szCs w:val="20"/>
        </w:rPr>
        <w:t xml:space="preserve"> cause 17.46–54.04% yield losses via feeding and viral transmission (</w:t>
      </w:r>
      <w:proofErr w:type="spellStart"/>
      <w:r w:rsidRPr="00DF4B51">
        <w:rPr>
          <w:rFonts w:ascii="Arial" w:hAnsi="Arial" w:cs="Arial"/>
          <w:sz w:val="20"/>
          <w:szCs w:val="20"/>
        </w:rPr>
        <w:t>Anitha</w:t>
      </w:r>
      <w:proofErr w:type="spellEnd"/>
      <w:r w:rsidRPr="00DF4B51">
        <w:rPr>
          <w:rFonts w:ascii="Arial" w:hAnsi="Arial" w:cs="Arial"/>
          <w:sz w:val="20"/>
          <w:szCs w:val="20"/>
        </w:rPr>
        <w:t xml:space="preserve"> and </w:t>
      </w:r>
      <w:proofErr w:type="spellStart"/>
      <w:r w:rsidRPr="00DF4B51">
        <w:rPr>
          <w:rFonts w:ascii="Arial" w:hAnsi="Arial" w:cs="Arial"/>
          <w:sz w:val="20"/>
          <w:szCs w:val="20"/>
        </w:rPr>
        <w:t>Nandihalli</w:t>
      </w:r>
      <w:proofErr w:type="spellEnd"/>
      <w:r w:rsidRPr="00DF4B51">
        <w:rPr>
          <w:rFonts w:ascii="Arial" w:hAnsi="Arial" w:cs="Arial"/>
          <w:sz w:val="20"/>
          <w:szCs w:val="20"/>
        </w:rPr>
        <w:t xml:space="preserve">, 2008). For </w:t>
      </w:r>
      <w:r w:rsidRPr="00DF4B51">
        <w:rPr>
          <w:rStyle w:val="Emphasis"/>
          <w:rFonts w:ascii="Arial" w:hAnsi="Arial" w:cs="Arial"/>
          <w:sz w:val="20"/>
          <w:szCs w:val="20"/>
        </w:rPr>
        <w:t xml:space="preserve">B. </w:t>
      </w:r>
      <w:proofErr w:type="spellStart"/>
      <w:r w:rsidRPr="00DF4B51">
        <w:rPr>
          <w:rStyle w:val="Emphasis"/>
          <w:rFonts w:ascii="Arial" w:hAnsi="Arial" w:cs="Arial"/>
          <w:sz w:val="20"/>
          <w:szCs w:val="20"/>
        </w:rPr>
        <w:t>tabaci</w:t>
      </w:r>
      <w:proofErr w:type="spellEnd"/>
      <w:r w:rsidRPr="00DF4B51">
        <w:rPr>
          <w:rFonts w:ascii="Arial" w:hAnsi="Arial" w:cs="Arial"/>
          <w:sz w:val="20"/>
          <w:szCs w:val="20"/>
        </w:rPr>
        <w:t xml:space="preserve">, </w:t>
      </w:r>
      <w:proofErr w:type="spellStart"/>
      <w:r w:rsidRPr="00DF4B51">
        <w:rPr>
          <w:rFonts w:ascii="Arial" w:hAnsi="Arial" w:cs="Arial"/>
          <w:sz w:val="20"/>
          <w:szCs w:val="20"/>
        </w:rPr>
        <w:t>diafenthiuron</w:t>
      </w:r>
      <w:proofErr w:type="spellEnd"/>
      <w:r w:rsidRPr="00DF4B51">
        <w:rPr>
          <w:rFonts w:ascii="Arial" w:hAnsi="Arial" w:cs="Arial"/>
          <w:sz w:val="20"/>
          <w:szCs w:val="20"/>
        </w:rPr>
        <w:t xml:space="preserve"> achieved a 79.39% reduction (1.20/plant, </w:t>
      </w:r>
      <w:r w:rsidRPr="00DF4B51">
        <w:rPr>
          <w:rStyle w:val="Emphasis"/>
          <w:rFonts w:ascii="Arial" w:hAnsi="Arial" w:cs="Arial"/>
          <w:sz w:val="20"/>
          <w:szCs w:val="20"/>
        </w:rPr>
        <w:t>P</w:t>
      </w:r>
      <w:r w:rsidRPr="00DF4B51">
        <w:rPr>
          <w:rFonts w:ascii="Arial" w:hAnsi="Arial" w:cs="Arial"/>
          <w:sz w:val="20"/>
          <w:szCs w:val="20"/>
        </w:rPr>
        <w:t xml:space="preserve"> = 0.05) compared to the control (10.62/plant), followed by clothianidin (2.02/plant, 68.84%, </w:t>
      </w:r>
      <w:r w:rsidRPr="00DF4B51">
        <w:rPr>
          <w:rStyle w:val="Emphasis"/>
          <w:rFonts w:ascii="Arial" w:hAnsi="Arial" w:cs="Arial"/>
          <w:sz w:val="20"/>
          <w:szCs w:val="20"/>
        </w:rPr>
        <w:t>P</w:t>
      </w:r>
      <w:r w:rsidRPr="00DF4B51">
        <w:rPr>
          <w:rFonts w:ascii="Arial" w:hAnsi="Arial" w:cs="Arial"/>
          <w:sz w:val="20"/>
          <w:szCs w:val="20"/>
        </w:rPr>
        <w:t xml:space="preserve"> = 0.05) and </w:t>
      </w:r>
      <w:proofErr w:type="spellStart"/>
      <w:r w:rsidRPr="00DF4B51">
        <w:rPr>
          <w:rFonts w:ascii="Arial" w:hAnsi="Arial" w:cs="Arial"/>
          <w:sz w:val="20"/>
          <w:szCs w:val="20"/>
        </w:rPr>
        <w:t>flupyradifurone</w:t>
      </w:r>
      <w:proofErr w:type="spellEnd"/>
      <w:r w:rsidRPr="00DF4B51">
        <w:rPr>
          <w:rFonts w:ascii="Arial" w:hAnsi="Arial" w:cs="Arial"/>
          <w:sz w:val="20"/>
          <w:szCs w:val="20"/>
        </w:rPr>
        <w:t xml:space="preserve"> (1.97/plant, 68.36%, </w:t>
      </w:r>
      <w:r w:rsidRPr="00DF4B51">
        <w:rPr>
          <w:rStyle w:val="Emphasis"/>
          <w:rFonts w:ascii="Arial" w:hAnsi="Arial" w:cs="Arial"/>
          <w:sz w:val="20"/>
          <w:szCs w:val="20"/>
        </w:rPr>
        <w:t>P</w:t>
      </w:r>
      <w:r w:rsidRPr="00DF4B51">
        <w:rPr>
          <w:rFonts w:ascii="Arial" w:hAnsi="Arial" w:cs="Arial"/>
          <w:sz w:val="20"/>
          <w:szCs w:val="20"/>
        </w:rPr>
        <w:t xml:space="preserve"> = 0.05) (Table 1). </w:t>
      </w:r>
      <w:proofErr w:type="spellStart"/>
      <w:r w:rsidRPr="00DF4B51">
        <w:rPr>
          <w:rFonts w:ascii="Arial" w:hAnsi="Arial" w:cs="Arial"/>
          <w:sz w:val="20"/>
          <w:szCs w:val="20"/>
        </w:rPr>
        <w:t>Diafenthiuron’s</w:t>
      </w:r>
      <w:proofErr w:type="spellEnd"/>
      <w:r w:rsidRPr="00DF4B51">
        <w:rPr>
          <w:rFonts w:ascii="Arial" w:hAnsi="Arial" w:cs="Arial"/>
          <w:sz w:val="20"/>
          <w:szCs w:val="20"/>
        </w:rPr>
        <w:t xml:space="preserve"> mitochondrial ATP synthase inhibition, effective in cotton (Razaq et al., 2005), curbs whitefly damage and viral spread, addressing losses up to 54.04% (</w:t>
      </w:r>
      <w:proofErr w:type="spellStart"/>
      <w:r w:rsidRPr="00DF4B51">
        <w:rPr>
          <w:rFonts w:ascii="Arial" w:hAnsi="Arial" w:cs="Arial"/>
          <w:sz w:val="20"/>
          <w:szCs w:val="20"/>
        </w:rPr>
        <w:t>Anitha</w:t>
      </w:r>
      <w:proofErr w:type="spellEnd"/>
      <w:r w:rsidRPr="00DF4B51">
        <w:rPr>
          <w:rFonts w:ascii="Arial" w:hAnsi="Arial" w:cs="Arial"/>
          <w:sz w:val="20"/>
          <w:szCs w:val="20"/>
        </w:rPr>
        <w:t xml:space="preserve"> and </w:t>
      </w:r>
      <w:proofErr w:type="spellStart"/>
      <w:r w:rsidRPr="00DF4B51">
        <w:rPr>
          <w:rFonts w:ascii="Arial" w:hAnsi="Arial" w:cs="Arial"/>
          <w:sz w:val="20"/>
          <w:szCs w:val="20"/>
        </w:rPr>
        <w:t>Nandihalli</w:t>
      </w:r>
      <w:proofErr w:type="spellEnd"/>
      <w:r w:rsidRPr="00DF4B51">
        <w:rPr>
          <w:rFonts w:ascii="Arial" w:hAnsi="Arial" w:cs="Arial"/>
          <w:sz w:val="20"/>
          <w:szCs w:val="20"/>
        </w:rPr>
        <w:t>, 2008).</w:t>
      </w:r>
    </w:p>
    <w:p w14:paraId="22050AE3" w14:textId="77777777" w:rsidR="00DF4B51" w:rsidRPr="00DF4B51" w:rsidRDefault="00DF4B51" w:rsidP="00DF4B51">
      <w:pPr>
        <w:rPr>
          <w:rFonts w:ascii="Arial" w:hAnsi="Arial" w:cs="Arial"/>
          <w:b/>
        </w:rPr>
      </w:pPr>
      <w:r w:rsidRPr="00DF4B51">
        <w:rPr>
          <w:rFonts w:ascii="Arial" w:hAnsi="Arial" w:cs="Arial"/>
          <w:b/>
          <w:sz w:val="22"/>
        </w:rPr>
        <w:lastRenderedPageBreak/>
        <w:t xml:space="preserve">3.2 Shoot and Fruit Borer </w:t>
      </w:r>
      <w:r w:rsidRPr="00DF4B51">
        <w:rPr>
          <w:rFonts w:ascii="Arial" w:hAnsi="Arial" w:cs="Arial"/>
          <w:b/>
        </w:rPr>
        <w:br/>
      </w:r>
    </w:p>
    <w:p w14:paraId="367F7032" w14:textId="77777777" w:rsidR="00DF4B51" w:rsidRPr="00DF4B51" w:rsidRDefault="00DF4B51" w:rsidP="00DF4B51">
      <w:pPr>
        <w:pStyle w:val="NormalWeb"/>
        <w:jc w:val="both"/>
        <w:rPr>
          <w:rFonts w:ascii="Arial" w:hAnsi="Arial" w:cs="Arial"/>
          <w:sz w:val="20"/>
          <w:szCs w:val="20"/>
        </w:rPr>
      </w:pPr>
      <w:proofErr w:type="spellStart"/>
      <w:r w:rsidRPr="00DF4B51">
        <w:rPr>
          <w:rFonts w:ascii="Arial" w:hAnsi="Arial" w:cs="Arial"/>
          <w:sz w:val="20"/>
          <w:szCs w:val="20"/>
        </w:rPr>
        <w:t>Emamectin</w:t>
      </w:r>
      <w:proofErr w:type="spellEnd"/>
      <w:r w:rsidRPr="00DF4B51">
        <w:rPr>
          <w:rFonts w:ascii="Arial" w:hAnsi="Arial" w:cs="Arial"/>
          <w:sz w:val="20"/>
          <w:szCs w:val="20"/>
        </w:rPr>
        <w:t xml:space="preserve"> benzoate minimized </w:t>
      </w:r>
      <w:r w:rsidRPr="00DF4B51">
        <w:rPr>
          <w:rStyle w:val="Emphasis"/>
          <w:rFonts w:ascii="Arial" w:hAnsi="Arial" w:cs="Arial"/>
          <w:sz w:val="20"/>
          <w:szCs w:val="20"/>
        </w:rPr>
        <w:t xml:space="preserve">E. </w:t>
      </w:r>
      <w:proofErr w:type="spellStart"/>
      <w:r w:rsidRPr="00DF4B51">
        <w:rPr>
          <w:rStyle w:val="Emphasis"/>
          <w:rFonts w:ascii="Arial" w:hAnsi="Arial" w:cs="Arial"/>
          <w:sz w:val="20"/>
          <w:szCs w:val="20"/>
        </w:rPr>
        <w:t>vittella</w:t>
      </w:r>
      <w:proofErr w:type="spellEnd"/>
      <w:r w:rsidRPr="00DF4B51">
        <w:rPr>
          <w:rFonts w:ascii="Arial" w:hAnsi="Arial" w:cs="Arial"/>
          <w:sz w:val="20"/>
          <w:szCs w:val="20"/>
        </w:rPr>
        <w:t xml:space="preserve"> damage to 4.12% by number and 3.40% by weight (82.35% and 83.92% reductions, </w:t>
      </w:r>
      <w:r w:rsidRPr="00DF4B51">
        <w:rPr>
          <w:rStyle w:val="Emphasis"/>
          <w:rFonts w:ascii="Arial" w:hAnsi="Arial" w:cs="Arial"/>
          <w:sz w:val="20"/>
          <w:szCs w:val="20"/>
        </w:rPr>
        <w:t>P</w:t>
      </w:r>
      <w:r w:rsidRPr="00DF4B51">
        <w:rPr>
          <w:rFonts w:ascii="Arial" w:hAnsi="Arial" w:cs="Arial"/>
          <w:sz w:val="20"/>
          <w:szCs w:val="20"/>
        </w:rPr>
        <w:t xml:space="preserve"> = 0.05) compared to the control (39.67% and 32.67%) (Table 2). Spinetoram (5.15% number, 4.42% weight, </w:t>
      </w:r>
      <w:r w:rsidRPr="00DF4B51">
        <w:rPr>
          <w:rStyle w:val="Emphasis"/>
          <w:rFonts w:ascii="Arial" w:hAnsi="Arial" w:cs="Arial"/>
          <w:sz w:val="20"/>
          <w:szCs w:val="20"/>
        </w:rPr>
        <w:t>P</w:t>
      </w:r>
      <w:r w:rsidRPr="00DF4B51">
        <w:rPr>
          <w:rFonts w:ascii="Arial" w:hAnsi="Arial" w:cs="Arial"/>
          <w:sz w:val="20"/>
          <w:szCs w:val="20"/>
        </w:rPr>
        <w:t xml:space="preserve"> = 0.05) and </w:t>
      </w:r>
      <w:proofErr w:type="spellStart"/>
      <w:r w:rsidRPr="00DF4B51">
        <w:rPr>
          <w:rFonts w:ascii="Arial" w:hAnsi="Arial" w:cs="Arial"/>
          <w:sz w:val="20"/>
          <w:szCs w:val="20"/>
        </w:rPr>
        <w:t>spinosad</w:t>
      </w:r>
      <w:proofErr w:type="spellEnd"/>
      <w:r w:rsidRPr="00DF4B51">
        <w:rPr>
          <w:rFonts w:ascii="Arial" w:hAnsi="Arial" w:cs="Arial"/>
          <w:sz w:val="20"/>
          <w:szCs w:val="20"/>
        </w:rPr>
        <w:t xml:space="preserve"> (5.67% number, 4.63% weight, </w:t>
      </w:r>
      <w:r w:rsidRPr="00DF4B51">
        <w:rPr>
          <w:rStyle w:val="Emphasis"/>
          <w:rFonts w:ascii="Arial" w:hAnsi="Arial" w:cs="Arial"/>
          <w:sz w:val="20"/>
          <w:szCs w:val="20"/>
        </w:rPr>
        <w:t>P</w:t>
      </w:r>
      <w:r w:rsidRPr="00DF4B51">
        <w:rPr>
          <w:rFonts w:ascii="Arial" w:hAnsi="Arial" w:cs="Arial"/>
          <w:sz w:val="20"/>
          <w:szCs w:val="20"/>
        </w:rPr>
        <w:t xml:space="preserve"> = 0.05) followed closely. </w:t>
      </w:r>
      <w:proofErr w:type="spellStart"/>
      <w:r w:rsidRPr="00DF4B51">
        <w:rPr>
          <w:rFonts w:ascii="Arial" w:hAnsi="Arial" w:cs="Arial"/>
          <w:sz w:val="20"/>
          <w:szCs w:val="20"/>
        </w:rPr>
        <w:t>Emamectin</w:t>
      </w:r>
      <w:proofErr w:type="spellEnd"/>
      <w:r w:rsidRPr="00DF4B51">
        <w:rPr>
          <w:rFonts w:ascii="Arial" w:hAnsi="Arial" w:cs="Arial"/>
          <w:sz w:val="20"/>
          <w:szCs w:val="20"/>
        </w:rPr>
        <w:t xml:space="preserve"> benzoate’s chloride channel activation, as noted by </w:t>
      </w:r>
      <w:proofErr w:type="spellStart"/>
      <w:r w:rsidRPr="00DF4B51">
        <w:rPr>
          <w:rFonts w:ascii="Arial" w:hAnsi="Arial" w:cs="Arial"/>
          <w:sz w:val="20"/>
          <w:szCs w:val="20"/>
        </w:rPr>
        <w:t>Kuttalam</w:t>
      </w:r>
      <w:proofErr w:type="spellEnd"/>
      <w:r w:rsidRPr="00DF4B51">
        <w:rPr>
          <w:rFonts w:ascii="Arial" w:hAnsi="Arial" w:cs="Arial"/>
          <w:sz w:val="20"/>
          <w:szCs w:val="20"/>
        </w:rPr>
        <w:t xml:space="preserve"> et al. (2008), explains its efficacy, reducing losses reported at 32.06–40.48% (Singh and Brak, 1994). These treatments preserve fruit quality, enhancing marketability.</w:t>
      </w:r>
    </w:p>
    <w:p w14:paraId="51FFFDD0" w14:textId="77777777" w:rsidR="00DF4B51" w:rsidRDefault="00DF4B51" w:rsidP="00DF4B51">
      <w:pPr>
        <w:pStyle w:val="NormalWeb"/>
        <w:rPr>
          <w:sz w:val="22"/>
        </w:rPr>
      </w:pPr>
      <w:r w:rsidRPr="00DF4B51">
        <w:rPr>
          <w:rStyle w:val="Strong"/>
          <w:rFonts w:ascii="Arial" w:hAnsi="Arial" w:cs="Arial"/>
          <w:sz w:val="22"/>
        </w:rPr>
        <w:t>3.3 Coccinellid Populations</w:t>
      </w:r>
      <w:r w:rsidRPr="00DF4B51">
        <w:rPr>
          <w:sz w:val="22"/>
        </w:rPr>
        <w:t xml:space="preserve"> </w:t>
      </w:r>
    </w:p>
    <w:p w14:paraId="64B8F19F" w14:textId="77777777" w:rsidR="00DF4B51" w:rsidRPr="00DF4B51" w:rsidRDefault="00DF4B51" w:rsidP="00DF4B51">
      <w:pPr>
        <w:pStyle w:val="NormalWeb"/>
        <w:jc w:val="both"/>
        <w:rPr>
          <w:rFonts w:ascii="Arial" w:hAnsi="Arial" w:cs="Arial"/>
          <w:sz w:val="20"/>
          <w:szCs w:val="20"/>
        </w:rPr>
      </w:pPr>
      <w:r>
        <w:br/>
      </w:r>
      <w:proofErr w:type="spellStart"/>
      <w:r w:rsidRPr="00DF4B51">
        <w:rPr>
          <w:rFonts w:ascii="Arial" w:hAnsi="Arial" w:cs="Arial"/>
          <w:sz w:val="20"/>
          <w:szCs w:val="20"/>
        </w:rPr>
        <w:t>Emamectin</w:t>
      </w:r>
      <w:proofErr w:type="spellEnd"/>
      <w:r w:rsidRPr="00DF4B51">
        <w:rPr>
          <w:rFonts w:ascii="Arial" w:hAnsi="Arial" w:cs="Arial"/>
          <w:sz w:val="20"/>
          <w:szCs w:val="20"/>
        </w:rPr>
        <w:t xml:space="preserve"> benzoate (4.25 beetles/5 leaves), clothianidin (4.01), spinetoram (3.96), and </w:t>
      </w:r>
      <w:proofErr w:type="spellStart"/>
      <w:r w:rsidRPr="00DF4B51">
        <w:rPr>
          <w:rFonts w:ascii="Arial" w:hAnsi="Arial" w:cs="Arial"/>
          <w:sz w:val="20"/>
          <w:szCs w:val="20"/>
        </w:rPr>
        <w:t>flupyradifurone</w:t>
      </w:r>
      <w:proofErr w:type="spellEnd"/>
      <w:r w:rsidRPr="00DF4B51">
        <w:rPr>
          <w:rFonts w:ascii="Arial" w:hAnsi="Arial" w:cs="Arial"/>
          <w:sz w:val="20"/>
          <w:szCs w:val="20"/>
        </w:rPr>
        <w:t xml:space="preserve"> (3.89) maintained coccinellid counts similar to the control (4.35, </w:t>
      </w:r>
      <w:r w:rsidRPr="00DF4B51">
        <w:rPr>
          <w:rStyle w:val="Emphasis"/>
          <w:rFonts w:ascii="Arial" w:hAnsi="Arial" w:cs="Arial"/>
          <w:sz w:val="20"/>
          <w:szCs w:val="20"/>
        </w:rPr>
        <w:t>P</w:t>
      </w:r>
      <w:r>
        <w:rPr>
          <w:rFonts w:ascii="Arial" w:hAnsi="Arial" w:cs="Arial"/>
          <w:sz w:val="20"/>
          <w:szCs w:val="20"/>
        </w:rPr>
        <w:t xml:space="preserve"> = 0.12) (Table 2</w:t>
      </w:r>
      <w:r w:rsidRPr="00DF4B51">
        <w:rPr>
          <w:rFonts w:ascii="Arial" w:hAnsi="Arial" w:cs="Arial"/>
          <w:sz w:val="20"/>
          <w:szCs w:val="20"/>
        </w:rPr>
        <w:t xml:space="preserve">), indicating ecological safety. This aligns with </w:t>
      </w:r>
      <w:proofErr w:type="spellStart"/>
      <w:r w:rsidRPr="00DF4B51">
        <w:rPr>
          <w:rFonts w:ascii="Arial" w:hAnsi="Arial" w:cs="Arial"/>
          <w:sz w:val="20"/>
          <w:szCs w:val="20"/>
        </w:rPr>
        <w:t>Mohanasundaram</w:t>
      </w:r>
      <w:proofErr w:type="spellEnd"/>
      <w:r w:rsidRPr="00DF4B51">
        <w:rPr>
          <w:rFonts w:ascii="Arial" w:hAnsi="Arial" w:cs="Arial"/>
          <w:sz w:val="20"/>
          <w:szCs w:val="20"/>
        </w:rPr>
        <w:t xml:space="preserve"> and Sharma (2011), who found spinosyns safe for coccinellids, and </w:t>
      </w:r>
      <w:proofErr w:type="spellStart"/>
      <w:r w:rsidRPr="00DF4B51">
        <w:rPr>
          <w:rFonts w:ascii="Arial" w:hAnsi="Arial" w:cs="Arial"/>
          <w:sz w:val="20"/>
          <w:szCs w:val="20"/>
        </w:rPr>
        <w:t>Visnupriya</w:t>
      </w:r>
      <w:proofErr w:type="spellEnd"/>
      <w:r w:rsidRPr="00DF4B51">
        <w:rPr>
          <w:rFonts w:ascii="Arial" w:hAnsi="Arial" w:cs="Arial"/>
          <w:sz w:val="20"/>
          <w:szCs w:val="20"/>
        </w:rPr>
        <w:t xml:space="preserve"> and </w:t>
      </w:r>
      <w:proofErr w:type="spellStart"/>
      <w:r w:rsidRPr="00DF4B51">
        <w:rPr>
          <w:rFonts w:ascii="Arial" w:hAnsi="Arial" w:cs="Arial"/>
          <w:sz w:val="20"/>
          <w:szCs w:val="20"/>
        </w:rPr>
        <w:t>Muthukrishnan</w:t>
      </w:r>
      <w:proofErr w:type="spellEnd"/>
      <w:r w:rsidRPr="00DF4B51">
        <w:rPr>
          <w:rFonts w:ascii="Arial" w:hAnsi="Arial" w:cs="Arial"/>
          <w:sz w:val="20"/>
          <w:szCs w:val="20"/>
        </w:rPr>
        <w:t xml:space="preserve"> (2017), praising spinetoram’s selectivity. Such compatibility supports IPM by preserving natural enemies, countering the harm of broad-spectrum insecticides (Insecticide Resistance Action Committee, 2007).</w:t>
      </w:r>
    </w:p>
    <w:p w14:paraId="261A5188" w14:textId="77777777" w:rsidR="00DF4B51" w:rsidRDefault="00DF4B51" w:rsidP="00DF4B51">
      <w:pPr>
        <w:pStyle w:val="NormalWeb"/>
      </w:pPr>
      <w:r w:rsidRPr="00DF4B51">
        <w:rPr>
          <w:rStyle w:val="Strong"/>
          <w:rFonts w:ascii="Arial" w:hAnsi="Arial" w:cs="Arial"/>
          <w:sz w:val="22"/>
        </w:rPr>
        <w:t>3.4 Yield and Economic Outcomes</w:t>
      </w:r>
      <w:r w:rsidRPr="00DF4B51">
        <w:rPr>
          <w:sz w:val="22"/>
        </w:rPr>
        <w:t xml:space="preserve"> </w:t>
      </w:r>
    </w:p>
    <w:p w14:paraId="5AB6900B" w14:textId="77777777" w:rsidR="00DF4B51" w:rsidRPr="00DF4B51" w:rsidRDefault="00DF4B51" w:rsidP="00DF4B51">
      <w:pPr>
        <w:pStyle w:val="NormalWeb"/>
        <w:jc w:val="both"/>
        <w:rPr>
          <w:rFonts w:ascii="Arial" w:hAnsi="Arial" w:cs="Arial"/>
          <w:sz w:val="20"/>
        </w:rPr>
      </w:pPr>
      <w:proofErr w:type="spellStart"/>
      <w:r w:rsidRPr="00DF4B51">
        <w:rPr>
          <w:rFonts w:ascii="Arial" w:hAnsi="Arial" w:cs="Arial"/>
          <w:sz w:val="20"/>
        </w:rPr>
        <w:t>Emamectin</w:t>
      </w:r>
      <w:proofErr w:type="spellEnd"/>
      <w:r w:rsidRPr="00DF4B51">
        <w:rPr>
          <w:rFonts w:ascii="Arial" w:hAnsi="Arial" w:cs="Arial"/>
          <w:sz w:val="20"/>
        </w:rPr>
        <w:t xml:space="preserve"> benzoate yielded 7.54 t/ha (89.92% increase, </w:t>
      </w:r>
      <w:r w:rsidRPr="00DF4B51">
        <w:rPr>
          <w:rStyle w:val="Emphasis"/>
          <w:rFonts w:ascii="Arial" w:hAnsi="Arial" w:cs="Arial"/>
          <w:sz w:val="20"/>
        </w:rPr>
        <w:t>P</w:t>
      </w:r>
      <w:r w:rsidRPr="00DF4B51">
        <w:rPr>
          <w:rFonts w:ascii="Arial" w:hAnsi="Arial" w:cs="Arial"/>
          <w:sz w:val="20"/>
        </w:rPr>
        <w:t xml:space="preserve"> = 0.05), followed by spinetoram (7.11 t/ha, 79.09%, </w:t>
      </w:r>
      <w:r w:rsidRPr="00DF4B51">
        <w:rPr>
          <w:rStyle w:val="Emphasis"/>
          <w:rFonts w:ascii="Arial" w:hAnsi="Arial" w:cs="Arial"/>
          <w:sz w:val="20"/>
        </w:rPr>
        <w:t>P</w:t>
      </w:r>
      <w:r w:rsidRPr="00DF4B51">
        <w:rPr>
          <w:rFonts w:ascii="Arial" w:hAnsi="Arial" w:cs="Arial"/>
          <w:sz w:val="20"/>
        </w:rPr>
        <w:t xml:space="preserve"> = 0.05) and </w:t>
      </w:r>
      <w:proofErr w:type="spellStart"/>
      <w:r w:rsidRPr="00DF4B51">
        <w:rPr>
          <w:rFonts w:ascii="Arial" w:hAnsi="Arial" w:cs="Arial"/>
          <w:sz w:val="20"/>
        </w:rPr>
        <w:t>spinosad</w:t>
      </w:r>
      <w:proofErr w:type="spellEnd"/>
      <w:r w:rsidRPr="00DF4B51">
        <w:rPr>
          <w:rFonts w:ascii="Arial" w:hAnsi="Arial" w:cs="Arial"/>
          <w:sz w:val="20"/>
        </w:rPr>
        <w:t xml:space="preserve"> (7.08 t/ha, 78.34%, </w:t>
      </w:r>
      <w:r w:rsidRPr="00DF4B51">
        <w:rPr>
          <w:rStyle w:val="Emphasis"/>
          <w:rFonts w:ascii="Arial" w:hAnsi="Arial" w:cs="Arial"/>
          <w:sz w:val="20"/>
        </w:rPr>
        <w:t>P</w:t>
      </w:r>
      <w:r w:rsidRPr="00DF4B51">
        <w:rPr>
          <w:rFonts w:ascii="Arial" w:hAnsi="Arial" w:cs="Arial"/>
          <w:sz w:val="20"/>
        </w:rPr>
        <w:t xml:space="preserve"> = 0.05), compared to </w:t>
      </w:r>
      <w:r>
        <w:rPr>
          <w:rFonts w:ascii="Arial" w:hAnsi="Arial" w:cs="Arial"/>
          <w:sz w:val="20"/>
        </w:rPr>
        <w:t>the control (3.97 t/ha) (Table 3</w:t>
      </w:r>
      <w:r w:rsidRPr="00DF4B51">
        <w:rPr>
          <w:rFonts w:ascii="Arial" w:hAnsi="Arial" w:cs="Arial"/>
          <w:sz w:val="20"/>
        </w:rPr>
        <w:t xml:space="preserve">). </w:t>
      </w:r>
      <w:proofErr w:type="spellStart"/>
      <w:r w:rsidRPr="00DF4B51">
        <w:rPr>
          <w:rFonts w:ascii="Arial" w:hAnsi="Arial" w:cs="Arial"/>
          <w:sz w:val="20"/>
        </w:rPr>
        <w:t>Emamectin</w:t>
      </w:r>
      <w:proofErr w:type="spellEnd"/>
      <w:r w:rsidRPr="00DF4B51">
        <w:rPr>
          <w:rFonts w:ascii="Arial" w:hAnsi="Arial" w:cs="Arial"/>
          <w:sz w:val="20"/>
        </w:rPr>
        <w:t xml:space="preserve"> benzoate achieved the highest incremental cost-benefit ratio (ICBR) of 1:12.44 (Rs 66,090/ha), followed by fipronil (1:8.48, Rs 47,230/ha). These gains, tied to reduced pest damage, echo Patra et al. (2007) and </w:t>
      </w:r>
      <w:proofErr w:type="spellStart"/>
      <w:r w:rsidRPr="00DF4B51">
        <w:rPr>
          <w:rFonts w:ascii="Arial" w:hAnsi="Arial" w:cs="Arial"/>
          <w:sz w:val="20"/>
        </w:rPr>
        <w:t>Harinkhere</w:t>
      </w:r>
      <w:proofErr w:type="spellEnd"/>
      <w:r w:rsidRPr="00DF4B51">
        <w:rPr>
          <w:rFonts w:ascii="Arial" w:hAnsi="Arial" w:cs="Arial"/>
          <w:sz w:val="20"/>
        </w:rPr>
        <w:t xml:space="preserve"> (2014), highlighting profitability for smallholder farmers. The results suggest scalability for IPM adoption across tropical okra-growing regions, though residue persistence and resistance risks require further study.</w:t>
      </w:r>
    </w:p>
    <w:p w14:paraId="28C0D455" w14:textId="77777777" w:rsidR="00790ADA" w:rsidRDefault="00790ADA" w:rsidP="00441B6F">
      <w:pPr>
        <w:pStyle w:val="Body"/>
        <w:spacing w:after="0"/>
        <w:rPr>
          <w:rFonts w:ascii="Arial" w:hAnsi="Arial" w:cs="Arial"/>
        </w:rPr>
      </w:pPr>
    </w:p>
    <w:p w14:paraId="089E8EA8" w14:textId="77777777" w:rsidR="00863BD3" w:rsidRDefault="00DF4B51" w:rsidP="00441B6F">
      <w:pPr>
        <w:tabs>
          <w:tab w:val="left" w:pos="1080"/>
        </w:tabs>
        <w:jc w:val="both"/>
        <w:rPr>
          <w:rFonts w:ascii="Arial" w:hAnsi="Arial"/>
          <w:b/>
          <w:bCs/>
          <w:lang w:val="en-IN"/>
        </w:rPr>
      </w:pPr>
      <w:r>
        <w:rPr>
          <w:rFonts w:ascii="Arial" w:hAnsi="Arial"/>
          <w:b/>
          <w:bCs/>
          <w:lang w:val="en-IN"/>
        </w:rPr>
        <w:t xml:space="preserve">Table 2. </w:t>
      </w:r>
      <w:r w:rsidRPr="00DF4B51">
        <w:rPr>
          <w:rFonts w:ascii="Arial" w:hAnsi="Arial"/>
          <w:b/>
          <w:bCs/>
          <w:lang w:val="en-IN"/>
        </w:rPr>
        <w:t>Efficacy of novel insecticides against major pests of okra and impact on Coccinellids</w:t>
      </w:r>
    </w:p>
    <w:p w14:paraId="45D38B56" w14:textId="77777777" w:rsidR="00DF4B51" w:rsidRPr="00DC3180" w:rsidRDefault="00DF4B51" w:rsidP="00441B6F">
      <w:pPr>
        <w:tabs>
          <w:tab w:val="left" w:pos="1080"/>
        </w:tabs>
        <w:jc w:val="both"/>
        <w:rPr>
          <w:rFonts w:ascii="Arial" w:hAnsi="Arial"/>
          <w:b/>
        </w:rPr>
      </w:pPr>
    </w:p>
    <w:tbl>
      <w:tblPr>
        <w:tblW w:w="7680" w:type="dxa"/>
        <w:tblInd w:w="108" w:type="dxa"/>
        <w:tblLook w:val="04A0" w:firstRow="1" w:lastRow="0" w:firstColumn="1" w:lastColumn="0" w:noHBand="0" w:noVBand="1"/>
      </w:tblPr>
      <w:tblGrid>
        <w:gridCol w:w="1580"/>
        <w:gridCol w:w="1102"/>
        <w:gridCol w:w="734"/>
        <w:gridCol w:w="1102"/>
        <w:gridCol w:w="734"/>
        <w:gridCol w:w="1272"/>
        <w:gridCol w:w="883"/>
        <w:gridCol w:w="909"/>
      </w:tblGrid>
      <w:tr w:rsidR="00C64570" w:rsidRPr="00C64570" w14:paraId="2F983DF8" w14:textId="77777777" w:rsidTr="00C64570">
        <w:trPr>
          <w:trHeight w:val="2205"/>
        </w:trPr>
        <w:tc>
          <w:tcPr>
            <w:tcW w:w="960" w:type="dxa"/>
            <w:tcBorders>
              <w:top w:val="single" w:sz="4" w:space="0" w:color="auto"/>
              <w:left w:val="nil"/>
              <w:bottom w:val="single" w:sz="4" w:space="0" w:color="auto"/>
              <w:right w:val="nil"/>
            </w:tcBorders>
            <w:shd w:val="clear" w:color="auto" w:fill="auto"/>
            <w:vAlign w:val="center"/>
            <w:hideMark/>
          </w:tcPr>
          <w:p w14:paraId="5F9546F2"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Treatment</w:t>
            </w:r>
          </w:p>
        </w:tc>
        <w:tc>
          <w:tcPr>
            <w:tcW w:w="960" w:type="dxa"/>
            <w:tcBorders>
              <w:top w:val="single" w:sz="4" w:space="0" w:color="auto"/>
              <w:left w:val="nil"/>
              <w:bottom w:val="single" w:sz="4" w:space="0" w:color="auto"/>
              <w:right w:val="nil"/>
            </w:tcBorders>
            <w:shd w:val="clear" w:color="auto" w:fill="auto"/>
            <w:vAlign w:val="center"/>
            <w:hideMark/>
          </w:tcPr>
          <w:p w14:paraId="7CCF908C" w14:textId="77777777" w:rsidR="00C64570" w:rsidRPr="00C64570" w:rsidRDefault="00C64570" w:rsidP="00C64570">
            <w:pPr>
              <w:jc w:val="center"/>
              <w:rPr>
                <w:rFonts w:ascii="Arial" w:hAnsi="Arial" w:cs="Arial"/>
                <w:b/>
                <w:bCs/>
                <w:i/>
                <w:iCs/>
                <w:color w:val="000000"/>
                <w:lang w:val="en-IN" w:eastAsia="en-IN"/>
              </w:rPr>
            </w:pPr>
            <w:r w:rsidRPr="00C64570">
              <w:rPr>
                <w:rFonts w:ascii="Arial" w:hAnsi="Arial" w:cs="Arial"/>
                <w:b/>
                <w:bCs/>
                <w:i/>
                <w:iCs/>
                <w:color w:val="000000"/>
                <w:lang w:val="en-IN" w:eastAsia="en-IN"/>
              </w:rPr>
              <w:t xml:space="preserve">A. </w:t>
            </w:r>
            <w:proofErr w:type="spellStart"/>
            <w:r w:rsidRPr="00C64570">
              <w:rPr>
                <w:rFonts w:ascii="Arial" w:hAnsi="Arial" w:cs="Arial"/>
                <w:b/>
                <w:bCs/>
                <w:i/>
                <w:iCs/>
                <w:color w:val="000000"/>
                <w:lang w:val="en-IN" w:eastAsia="en-IN"/>
              </w:rPr>
              <w:t>biguttula</w:t>
            </w:r>
            <w:proofErr w:type="spellEnd"/>
            <w:r w:rsidRPr="00C64570">
              <w:rPr>
                <w:rFonts w:ascii="Arial" w:hAnsi="Arial" w:cs="Arial"/>
                <w:b/>
                <w:bCs/>
                <w:i/>
                <w:iCs/>
                <w:color w:val="000000"/>
                <w:lang w:val="en-IN" w:eastAsia="en-IN"/>
              </w:rPr>
              <w:t xml:space="preserve"> </w:t>
            </w:r>
            <w:proofErr w:type="spellStart"/>
            <w:r w:rsidRPr="00C64570">
              <w:rPr>
                <w:rFonts w:ascii="Arial" w:hAnsi="Arial" w:cs="Arial"/>
                <w:b/>
                <w:bCs/>
                <w:i/>
                <w:iCs/>
                <w:color w:val="000000"/>
                <w:lang w:val="en-IN" w:eastAsia="en-IN"/>
              </w:rPr>
              <w:t>biguttula</w:t>
            </w:r>
            <w:proofErr w:type="spellEnd"/>
            <w:r w:rsidRPr="00C64570">
              <w:rPr>
                <w:rFonts w:ascii="Arial" w:hAnsi="Arial" w:cs="Arial"/>
                <w:b/>
                <w:bCs/>
                <w:color w:val="000000"/>
                <w:lang w:val="en-IN" w:eastAsia="en-IN"/>
              </w:rPr>
              <w:t xml:space="preserve"> (No./plant)</w:t>
            </w:r>
          </w:p>
        </w:tc>
        <w:tc>
          <w:tcPr>
            <w:tcW w:w="960" w:type="dxa"/>
            <w:tcBorders>
              <w:top w:val="single" w:sz="4" w:space="0" w:color="auto"/>
              <w:left w:val="nil"/>
              <w:bottom w:val="single" w:sz="4" w:space="0" w:color="auto"/>
              <w:right w:val="nil"/>
            </w:tcBorders>
            <w:shd w:val="clear" w:color="auto" w:fill="auto"/>
            <w:vAlign w:val="center"/>
            <w:hideMark/>
          </w:tcPr>
          <w:p w14:paraId="41E93482"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PROC (%)</w:t>
            </w:r>
          </w:p>
        </w:tc>
        <w:tc>
          <w:tcPr>
            <w:tcW w:w="960" w:type="dxa"/>
            <w:tcBorders>
              <w:top w:val="single" w:sz="4" w:space="0" w:color="auto"/>
              <w:left w:val="nil"/>
              <w:bottom w:val="single" w:sz="4" w:space="0" w:color="auto"/>
              <w:right w:val="nil"/>
            </w:tcBorders>
            <w:shd w:val="clear" w:color="auto" w:fill="auto"/>
            <w:vAlign w:val="center"/>
            <w:hideMark/>
          </w:tcPr>
          <w:p w14:paraId="2A903D90" w14:textId="77777777" w:rsidR="00C64570" w:rsidRPr="00C64570" w:rsidRDefault="00C64570" w:rsidP="00C64570">
            <w:pPr>
              <w:jc w:val="center"/>
              <w:rPr>
                <w:rFonts w:ascii="Arial" w:hAnsi="Arial" w:cs="Arial"/>
                <w:b/>
                <w:bCs/>
                <w:i/>
                <w:iCs/>
                <w:color w:val="000000"/>
                <w:lang w:val="en-IN" w:eastAsia="en-IN"/>
              </w:rPr>
            </w:pPr>
            <w:r w:rsidRPr="00C64570">
              <w:rPr>
                <w:rFonts w:ascii="Arial" w:hAnsi="Arial" w:cs="Arial"/>
                <w:b/>
                <w:bCs/>
                <w:i/>
                <w:iCs/>
                <w:color w:val="000000"/>
                <w:lang w:val="en-IN" w:eastAsia="en-IN"/>
              </w:rPr>
              <w:t xml:space="preserve">B. </w:t>
            </w:r>
            <w:proofErr w:type="spellStart"/>
            <w:r w:rsidRPr="00C64570">
              <w:rPr>
                <w:rFonts w:ascii="Arial" w:hAnsi="Arial" w:cs="Arial"/>
                <w:b/>
                <w:bCs/>
                <w:i/>
                <w:iCs/>
                <w:color w:val="000000"/>
                <w:lang w:val="en-IN" w:eastAsia="en-IN"/>
              </w:rPr>
              <w:t>tabaci</w:t>
            </w:r>
            <w:proofErr w:type="spellEnd"/>
            <w:r w:rsidRPr="00C64570">
              <w:rPr>
                <w:rFonts w:ascii="Arial" w:hAnsi="Arial" w:cs="Arial"/>
                <w:b/>
                <w:bCs/>
                <w:color w:val="000000"/>
                <w:lang w:val="en-IN" w:eastAsia="en-IN"/>
              </w:rPr>
              <w:t xml:space="preserve"> (No./plant)</w:t>
            </w:r>
          </w:p>
        </w:tc>
        <w:tc>
          <w:tcPr>
            <w:tcW w:w="960" w:type="dxa"/>
            <w:tcBorders>
              <w:top w:val="single" w:sz="4" w:space="0" w:color="auto"/>
              <w:left w:val="nil"/>
              <w:bottom w:val="single" w:sz="4" w:space="0" w:color="auto"/>
              <w:right w:val="nil"/>
            </w:tcBorders>
            <w:shd w:val="clear" w:color="auto" w:fill="auto"/>
            <w:vAlign w:val="center"/>
            <w:hideMark/>
          </w:tcPr>
          <w:p w14:paraId="7A968B16"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PROC (%)</w:t>
            </w:r>
          </w:p>
        </w:tc>
        <w:tc>
          <w:tcPr>
            <w:tcW w:w="960" w:type="dxa"/>
            <w:tcBorders>
              <w:top w:val="single" w:sz="4" w:space="0" w:color="auto"/>
              <w:left w:val="nil"/>
              <w:bottom w:val="single" w:sz="4" w:space="0" w:color="auto"/>
              <w:right w:val="nil"/>
            </w:tcBorders>
            <w:shd w:val="clear" w:color="auto" w:fill="auto"/>
            <w:vAlign w:val="center"/>
            <w:hideMark/>
          </w:tcPr>
          <w:p w14:paraId="7C62B9A8"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Coccinellids (No./5 leaves)</w:t>
            </w:r>
          </w:p>
        </w:tc>
        <w:tc>
          <w:tcPr>
            <w:tcW w:w="960" w:type="dxa"/>
            <w:tcBorders>
              <w:top w:val="single" w:sz="4" w:space="0" w:color="auto"/>
              <w:left w:val="nil"/>
              <w:bottom w:val="single" w:sz="4" w:space="0" w:color="auto"/>
              <w:right w:val="nil"/>
            </w:tcBorders>
            <w:shd w:val="clear" w:color="auto" w:fill="auto"/>
            <w:vAlign w:val="center"/>
            <w:hideMark/>
          </w:tcPr>
          <w:p w14:paraId="72796D2C"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S.E(m)±</w:t>
            </w:r>
          </w:p>
        </w:tc>
        <w:tc>
          <w:tcPr>
            <w:tcW w:w="960" w:type="dxa"/>
            <w:tcBorders>
              <w:top w:val="single" w:sz="4" w:space="0" w:color="auto"/>
              <w:left w:val="nil"/>
              <w:bottom w:val="single" w:sz="4" w:space="0" w:color="auto"/>
              <w:right w:val="nil"/>
            </w:tcBorders>
            <w:shd w:val="clear" w:color="auto" w:fill="auto"/>
            <w:vAlign w:val="center"/>
            <w:hideMark/>
          </w:tcPr>
          <w:p w14:paraId="375E16AA"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CD (P=0.05)</w:t>
            </w:r>
          </w:p>
        </w:tc>
      </w:tr>
      <w:tr w:rsidR="00C64570" w:rsidRPr="00C64570" w14:paraId="69685FD9" w14:textId="77777777" w:rsidTr="00C64570">
        <w:trPr>
          <w:trHeight w:val="630"/>
        </w:trPr>
        <w:tc>
          <w:tcPr>
            <w:tcW w:w="960" w:type="dxa"/>
            <w:tcBorders>
              <w:top w:val="single" w:sz="4" w:space="0" w:color="auto"/>
              <w:left w:val="nil"/>
              <w:bottom w:val="nil"/>
              <w:right w:val="nil"/>
            </w:tcBorders>
            <w:shd w:val="clear" w:color="auto" w:fill="auto"/>
            <w:vAlign w:val="center"/>
            <w:hideMark/>
          </w:tcPr>
          <w:p w14:paraId="7E8E0E2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T1 (</w:t>
            </w:r>
            <w:proofErr w:type="spellStart"/>
            <w:r w:rsidRPr="00C64570">
              <w:rPr>
                <w:rFonts w:ascii="Arial" w:hAnsi="Arial" w:cs="Arial"/>
                <w:i/>
                <w:iCs/>
                <w:color w:val="000000"/>
                <w:lang w:val="en-IN" w:eastAsia="en-IN"/>
              </w:rPr>
              <w:t>Flupyradifurone</w:t>
            </w:r>
            <w:proofErr w:type="spellEnd"/>
            <w:r w:rsidRPr="00C64570">
              <w:rPr>
                <w:rFonts w:ascii="Arial" w:hAnsi="Arial" w:cs="Arial"/>
                <w:color w:val="000000"/>
                <w:lang w:val="en-IN" w:eastAsia="en-IN"/>
              </w:rPr>
              <w:t>)</w:t>
            </w:r>
          </w:p>
        </w:tc>
        <w:tc>
          <w:tcPr>
            <w:tcW w:w="960" w:type="dxa"/>
            <w:tcBorders>
              <w:top w:val="single" w:sz="4" w:space="0" w:color="auto"/>
              <w:left w:val="nil"/>
              <w:bottom w:val="nil"/>
              <w:right w:val="nil"/>
            </w:tcBorders>
            <w:shd w:val="clear" w:color="auto" w:fill="auto"/>
            <w:vAlign w:val="center"/>
            <w:hideMark/>
          </w:tcPr>
          <w:p w14:paraId="2AC133A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2.47</w:t>
            </w:r>
          </w:p>
        </w:tc>
        <w:tc>
          <w:tcPr>
            <w:tcW w:w="960" w:type="dxa"/>
            <w:tcBorders>
              <w:top w:val="single" w:sz="4" w:space="0" w:color="auto"/>
              <w:left w:val="nil"/>
              <w:bottom w:val="nil"/>
              <w:right w:val="nil"/>
            </w:tcBorders>
            <w:shd w:val="clear" w:color="auto" w:fill="auto"/>
            <w:vAlign w:val="center"/>
            <w:hideMark/>
          </w:tcPr>
          <w:p w14:paraId="50E7468A"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79.84</w:t>
            </w:r>
          </w:p>
        </w:tc>
        <w:tc>
          <w:tcPr>
            <w:tcW w:w="960" w:type="dxa"/>
            <w:tcBorders>
              <w:top w:val="single" w:sz="4" w:space="0" w:color="auto"/>
              <w:left w:val="nil"/>
              <w:bottom w:val="nil"/>
              <w:right w:val="nil"/>
            </w:tcBorders>
            <w:shd w:val="clear" w:color="auto" w:fill="auto"/>
            <w:vAlign w:val="center"/>
            <w:hideMark/>
          </w:tcPr>
          <w:p w14:paraId="5389F0C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1.97</w:t>
            </w:r>
          </w:p>
        </w:tc>
        <w:tc>
          <w:tcPr>
            <w:tcW w:w="960" w:type="dxa"/>
            <w:tcBorders>
              <w:top w:val="single" w:sz="4" w:space="0" w:color="auto"/>
              <w:left w:val="nil"/>
              <w:bottom w:val="nil"/>
              <w:right w:val="nil"/>
            </w:tcBorders>
            <w:shd w:val="clear" w:color="auto" w:fill="auto"/>
            <w:vAlign w:val="center"/>
            <w:hideMark/>
          </w:tcPr>
          <w:p w14:paraId="6DE7CC0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68.36</w:t>
            </w:r>
          </w:p>
        </w:tc>
        <w:tc>
          <w:tcPr>
            <w:tcW w:w="960" w:type="dxa"/>
            <w:tcBorders>
              <w:top w:val="single" w:sz="4" w:space="0" w:color="auto"/>
              <w:left w:val="nil"/>
              <w:bottom w:val="nil"/>
              <w:right w:val="nil"/>
            </w:tcBorders>
            <w:shd w:val="clear" w:color="auto" w:fill="auto"/>
            <w:vAlign w:val="center"/>
            <w:hideMark/>
          </w:tcPr>
          <w:p w14:paraId="708BF7E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3.89</w:t>
            </w:r>
          </w:p>
        </w:tc>
        <w:tc>
          <w:tcPr>
            <w:tcW w:w="960" w:type="dxa"/>
            <w:tcBorders>
              <w:top w:val="single" w:sz="4" w:space="0" w:color="auto"/>
              <w:left w:val="nil"/>
              <w:bottom w:val="nil"/>
              <w:right w:val="nil"/>
            </w:tcBorders>
            <w:shd w:val="clear" w:color="auto" w:fill="auto"/>
            <w:vAlign w:val="center"/>
            <w:hideMark/>
          </w:tcPr>
          <w:p w14:paraId="44B2F37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0.12</w:t>
            </w:r>
          </w:p>
        </w:tc>
        <w:tc>
          <w:tcPr>
            <w:tcW w:w="960" w:type="dxa"/>
            <w:tcBorders>
              <w:top w:val="single" w:sz="4" w:space="0" w:color="auto"/>
              <w:left w:val="nil"/>
              <w:bottom w:val="nil"/>
              <w:right w:val="nil"/>
            </w:tcBorders>
            <w:shd w:val="clear" w:color="auto" w:fill="auto"/>
            <w:vAlign w:val="center"/>
            <w:hideMark/>
          </w:tcPr>
          <w:p w14:paraId="2033419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0.35</w:t>
            </w:r>
          </w:p>
        </w:tc>
      </w:tr>
      <w:tr w:rsidR="00C64570" w:rsidRPr="00C64570" w14:paraId="164F2EE4" w14:textId="77777777" w:rsidTr="00C64570">
        <w:trPr>
          <w:trHeight w:val="945"/>
        </w:trPr>
        <w:tc>
          <w:tcPr>
            <w:tcW w:w="960" w:type="dxa"/>
            <w:tcBorders>
              <w:top w:val="nil"/>
              <w:left w:val="nil"/>
              <w:bottom w:val="nil"/>
              <w:right w:val="nil"/>
            </w:tcBorders>
            <w:shd w:val="clear" w:color="auto" w:fill="auto"/>
            <w:vAlign w:val="center"/>
            <w:hideMark/>
          </w:tcPr>
          <w:p w14:paraId="6431FCC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lastRenderedPageBreak/>
              <w:t>T2 (</w:t>
            </w:r>
            <w:r w:rsidRPr="00C64570">
              <w:rPr>
                <w:rFonts w:ascii="Arial" w:hAnsi="Arial" w:cs="Arial"/>
                <w:i/>
                <w:iCs/>
                <w:color w:val="000000"/>
                <w:lang w:val="en-IN" w:eastAsia="en-IN"/>
              </w:rPr>
              <w:t>Clothianidin</w:t>
            </w:r>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6CBBE65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3.68</w:t>
            </w:r>
          </w:p>
        </w:tc>
        <w:tc>
          <w:tcPr>
            <w:tcW w:w="960" w:type="dxa"/>
            <w:tcBorders>
              <w:top w:val="nil"/>
              <w:left w:val="nil"/>
              <w:bottom w:val="nil"/>
              <w:right w:val="nil"/>
            </w:tcBorders>
            <w:shd w:val="clear" w:color="auto" w:fill="auto"/>
            <w:vAlign w:val="center"/>
            <w:hideMark/>
          </w:tcPr>
          <w:p w14:paraId="7F80755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73.36</w:t>
            </w:r>
          </w:p>
        </w:tc>
        <w:tc>
          <w:tcPr>
            <w:tcW w:w="960" w:type="dxa"/>
            <w:tcBorders>
              <w:top w:val="nil"/>
              <w:left w:val="nil"/>
              <w:bottom w:val="nil"/>
              <w:right w:val="nil"/>
            </w:tcBorders>
            <w:shd w:val="clear" w:color="auto" w:fill="auto"/>
            <w:vAlign w:val="center"/>
            <w:hideMark/>
          </w:tcPr>
          <w:p w14:paraId="7E226D6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2.02</w:t>
            </w:r>
          </w:p>
        </w:tc>
        <w:tc>
          <w:tcPr>
            <w:tcW w:w="960" w:type="dxa"/>
            <w:tcBorders>
              <w:top w:val="nil"/>
              <w:left w:val="nil"/>
              <w:bottom w:val="nil"/>
              <w:right w:val="nil"/>
            </w:tcBorders>
            <w:shd w:val="clear" w:color="auto" w:fill="auto"/>
            <w:vAlign w:val="center"/>
            <w:hideMark/>
          </w:tcPr>
          <w:p w14:paraId="09CD2BA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68.84</w:t>
            </w:r>
          </w:p>
        </w:tc>
        <w:tc>
          <w:tcPr>
            <w:tcW w:w="960" w:type="dxa"/>
            <w:tcBorders>
              <w:top w:val="nil"/>
              <w:left w:val="nil"/>
              <w:bottom w:val="nil"/>
              <w:right w:val="nil"/>
            </w:tcBorders>
            <w:shd w:val="clear" w:color="auto" w:fill="auto"/>
            <w:vAlign w:val="center"/>
            <w:hideMark/>
          </w:tcPr>
          <w:p w14:paraId="1F10173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4.01</w:t>
            </w:r>
          </w:p>
        </w:tc>
        <w:tc>
          <w:tcPr>
            <w:tcW w:w="960" w:type="dxa"/>
            <w:tcBorders>
              <w:top w:val="nil"/>
              <w:left w:val="nil"/>
              <w:bottom w:val="nil"/>
              <w:right w:val="nil"/>
            </w:tcBorders>
            <w:shd w:val="clear" w:color="auto" w:fill="auto"/>
            <w:vAlign w:val="center"/>
            <w:hideMark/>
          </w:tcPr>
          <w:p w14:paraId="475723E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0.11</w:t>
            </w:r>
          </w:p>
        </w:tc>
        <w:tc>
          <w:tcPr>
            <w:tcW w:w="960" w:type="dxa"/>
            <w:tcBorders>
              <w:top w:val="nil"/>
              <w:left w:val="nil"/>
              <w:bottom w:val="nil"/>
              <w:right w:val="nil"/>
            </w:tcBorders>
            <w:shd w:val="clear" w:color="auto" w:fill="auto"/>
            <w:vAlign w:val="center"/>
            <w:hideMark/>
          </w:tcPr>
          <w:p w14:paraId="7509DC2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0.33</w:t>
            </w:r>
          </w:p>
        </w:tc>
      </w:tr>
      <w:tr w:rsidR="00C64570" w:rsidRPr="00C64570" w14:paraId="5591F721" w14:textId="77777777" w:rsidTr="00C64570">
        <w:trPr>
          <w:trHeight w:val="1575"/>
        </w:trPr>
        <w:tc>
          <w:tcPr>
            <w:tcW w:w="960" w:type="dxa"/>
            <w:tcBorders>
              <w:top w:val="nil"/>
              <w:left w:val="nil"/>
              <w:bottom w:val="nil"/>
              <w:right w:val="nil"/>
            </w:tcBorders>
            <w:shd w:val="clear" w:color="auto" w:fill="auto"/>
            <w:vAlign w:val="center"/>
            <w:hideMark/>
          </w:tcPr>
          <w:p w14:paraId="76C6A43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T3 (</w:t>
            </w:r>
            <w:r w:rsidRPr="00C64570">
              <w:rPr>
                <w:rFonts w:ascii="Arial" w:hAnsi="Arial" w:cs="Arial"/>
                <w:i/>
                <w:iCs/>
                <w:color w:val="000000"/>
                <w:lang w:val="en-IN" w:eastAsia="en-IN"/>
              </w:rPr>
              <w:t>Spinosad</w:t>
            </w:r>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3D95AA9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5.12</w:t>
            </w:r>
          </w:p>
        </w:tc>
        <w:tc>
          <w:tcPr>
            <w:tcW w:w="960" w:type="dxa"/>
            <w:tcBorders>
              <w:top w:val="nil"/>
              <w:left w:val="nil"/>
              <w:bottom w:val="nil"/>
              <w:right w:val="nil"/>
            </w:tcBorders>
            <w:shd w:val="clear" w:color="auto" w:fill="auto"/>
            <w:vAlign w:val="center"/>
            <w:hideMark/>
          </w:tcPr>
          <w:p w14:paraId="31BE451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65.43</w:t>
            </w:r>
          </w:p>
        </w:tc>
        <w:tc>
          <w:tcPr>
            <w:tcW w:w="960" w:type="dxa"/>
            <w:tcBorders>
              <w:top w:val="nil"/>
              <w:left w:val="nil"/>
              <w:bottom w:val="nil"/>
              <w:right w:val="nil"/>
            </w:tcBorders>
            <w:shd w:val="clear" w:color="auto" w:fill="auto"/>
            <w:vAlign w:val="center"/>
            <w:hideMark/>
          </w:tcPr>
          <w:p w14:paraId="6B6D3BD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3.45</w:t>
            </w:r>
          </w:p>
        </w:tc>
        <w:tc>
          <w:tcPr>
            <w:tcW w:w="960" w:type="dxa"/>
            <w:tcBorders>
              <w:top w:val="nil"/>
              <w:left w:val="nil"/>
              <w:bottom w:val="nil"/>
              <w:right w:val="nil"/>
            </w:tcBorders>
            <w:shd w:val="clear" w:color="auto" w:fill="auto"/>
            <w:vAlign w:val="center"/>
            <w:hideMark/>
          </w:tcPr>
          <w:p w14:paraId="589DF26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62.15</w:t>
            </w:r>
          </w:p>
        </w:tc>
        <w:tc>
          <w:tcPr>
            <w:tcW w:w="960" w:type="dxa"/>
            <w:tcBorders>
              <w:top w:val="nil"/>
              <w:left w:val="nil"/>
              <w:bottom w:val="nil"/>
              <w:right w:val="nil"/>
            </w:tcBorders>
            <w:shd w:val="clear" w:color="auto" w:fill="auto"/>
            <w:vAlign w:val="center"/>
            <w:hideMark/>
          </w:tcPr>
          <w:p w14:paraId="3E6891D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3.72</w:t>
            </w:r>
          </w:p>
        </w:tc>
        <w:tc>
          <w:tcPr>
            <w:tcW w:w="960" w:type="dxa"/>
            <w:tcBorders>
              <w:top w:val="nil"/>
              <w:left w:val="nil"/>
              <w:bottom w:val="nil"/>
              <w:right w:val="nil"/>
            </w:tcBorders>
            <w:shd w:val="clear" w:color="auto" w:fill="auto"/>
            <w:vAlign w:val="center"/>
            <w:hideMark/>
          </w:tcPr>
          <w:p w14:paraId="4CB0933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0.14</w:t>
            </w:r>
          </w:p>
        </w:tc>
        <w:tc>
          <w:tcPr>
            <w:tcW w:w="960" w:type="dxa"/>
            <w:tcBorders>
              <w:top w:val="nil"/>
              <w:left w:val="nil"/>
              <w:bottom w:val="nil"/>
              <w:right w:val="nil"/>
            </w:tcBorders>
            <w:shd w:val="clear" w:color="auto" w:fill="auto"/>
            <w:vAlign w:val="center"/>
            <w:hideMark/>
          </w:tcPr>
          <w:p w14:paraId="2D0C8D3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0.4</w:t>
            </w:r>
          </w:p>
        </w:tc>
      </w:tr>
      <w:tr w:rsidR="00C64570" w:rsidRPr="00C64570" w14:paraId="04576627" w14:textId="77777777" w:rsidTr="00C64570">
        <w:trPr>
          <w:trHeight w:val="1575"/>
        </w:trPr>
        <w:tc>
          <w:tcPr>
            <w:tcW w:w="960" w:type="dxa"/>
            <w:tcBorders>
              <w:top w:val="nil"/>
              <w:left w:val="nil"/>
              <w:bottom w:val="nil"/>
              <w:right w:val="nil"/>
            </w:tcBorders>
            <w:shd w:val="clear" w:color="auto" w:fill="auto"/>
            <w:vAlign w:val="center"/>
            <w:hideMark/>
          </w:tcPr>
          <w:p w14:paraId="5BC294C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T4 (</w:t>
            </w:r>
            <w:proofErr w:type="spellStart"/>
            <w:r w:rsidRPr="00C64570">
              <w:rPr>
                <w:rFonts w:ascii="Arial" w:hAnsi="Arial" w:cs="Arial"/>
                <w:i/>
                <w:iCs/>
                <w:color w:val="000000"/>
                <w:lang w:val="en-IN" w:eastAsia="en-IN"/>
              </w:rPr>
              <w:t>Emamectin</w:t>
            </w:r>
            <w:proofErr w:type="spellEnd"/>
            <w:r w:rsidRPr="00C64570">
              <w:rPr>
                <w:rFonts w:ascii="Arial" w:hAnsi="Arial" w:cs="Arial"/>
                <w:i/>
                <w:iCs/>
                <w:color w:val="000000"/>
                <w:lang w:val="en-IN" w:eastAsia="en-IN"/>
              </w:rPr>
              <w:t xml:space="preserve"> benzoate</w:t>
            </w:r>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52D1ECA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6.89</w:t>
            </w:r>
          </w:p>
        </w:tc>
        <w:tc>
          <w:tcPr>
            <w:tcW w:w="960" w:type="dxa"/>
            <w:tcBorders>
              <w:top w:val="nil"/>
              <w:left w:val="nil"/>
              <w:bottom w:val="nil"/>
              <w:right w:val="nil"/>
            </w:tcBorders>
            <w:shd w:val="clear" w:color="auto" w:fill="auto"/>
            <w:vAlign w:val="center"/>
            <w:hideMark/>
          </w:tcPr>
          <w:p w14:paraId="5A6FDCF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58.72</w:t>
            </w:r>
          </w:p>
        </w:tc>
        <w:tc>
          <w:tcPr>
            <w:tcW w:w="960" w:type="dxa"/>
            <w:tcBorders>
              <w:top w:val="nil"/>
              <w:left w:val="nil"/>
              <w:bottom w:val="nil"/>
              <w:right w:val="nil"/>
            </w:tcBorders>
            <w:shd w:val="clear" w:color="auto" w:fill="auto"/>
            <w:vAlign w:val="center"/>
            <w:hideMark/>
          </w:tcPr>
          <w:p w14:paraId="107DC37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4.12</w:t>
            </w:r>
          </w:p>
        </w:tc>
        <w:tc>
          <w:tcPr>
            <w:tcW w:w="960" w:type="dxa"/>
            <w:tcBorders>
              <w:top w:val="nil"/>
              <w:left w:val="nil"/>
              <w:bottom w:val="nil"/>
              <w:right w:val="nil"/>
            </w:tcBorders>
            <w:shd w:val="clear" w:color="auto" w:fill="auto"/>
            <w:vAlign w:val="center"/>
            <w:hideMark/>
          </w:tcPr>
          <w:p w14:paraId="43C0286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56.23</w:t>
            </w:r>
          </w:p>
        </w:tc>
        <w:tc>
          <w:tcPr>
            <w:tcW w:w="960" w:type="dxa"/>
            <w:tcBorders>
              <w:top w:val="nil"/>
              <w:left w:val="nil"/>
              <w:bottom w:val="nil"/>
              <w:right w:val="nil"/>
            </w:tcBorders>
            <w:shd w:val="clear" w:color="auto" w:fill="auto"/>
            <w:vAlign w:val="center"/>
            <w:hideMark/>
          </w:tcPr>
          <w:p w14:paraId="3DDB13D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4.25</w:t>
            </w:r>
          </w:p>
        </w:tc>
        <w:tc>
          <w:tcPr>
            <w:tcW w:w="960" w:type="dxa"/>
            <w:tcBorders>
              <w:top w:val="nil"/>
              <w:left w:val="nil"/>
              <w:bottom w:val="nil"/>
              <w:right w:val="nil"/>
            </w:tcBorders>
            <w:shd w:val="clear" w:color="auto" w:fill="auto"/>
            <w:vAlign w:val="center"/>
            <w:hideMark/>
          </w:tcPr>
          <w:p w14:paraId="18960FA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w:t>
            </w:r>
          </w:p>
        </w:tc>
        <w:tc>
          <w:tcPr>
            <w:tcW w:w="960" w:type="dxa"/>
            <w:tcBorders>
              <w:top w:val="nil"/>
              <w:left w:val="nil"/>
              <w:bottom w:val="nil"/>
              <w:right w:val="nil"/>
            </w:tcBorders>
            <w:shd w:val="clear" w:color="auto" w:fill="auto"/>
            <w:vAlign w:val="center"/>
            <w:hideMark/>
          </w:tcPr>
          <w:p w14:paraId="4FE44C7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0.3</w:t>
            </w:r>
          </w:p>
        </w:tc>
      </w:tr>
      <w:tr w:rsidR="00C64570" w:rsidRPr="00C64570" w14:paraId="43DF0862" w14:textId="77777777" w:rsidTr="00C64570">
        <w:trPr>
          <w:trHeight w:val="1575"/>
        </w:trPr>
        <w:tc>
          <w:tcPr>
            <w:tcW w:w="960" w:type="dxa"/>
            <w:tcBorders>
              <w:top w:val="nil"/>
              <w:left w:val="nil"/>
              <w:bottom w:val="nil"/>
              <w:right w:val="nil"/>
            </w:tcBorders>
            <w:shd w:val="clear" w:color="auto" w:fill="auto"/>
            <w:vAlign w:val="center"/>
            <w:hideMark/>
          </w:tcPr>
          <w:p w14:paraId="27F69A9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T5 (</w:t>
            </w:r>
            <w:proofErr w:type="spellStart"/>
            <w:r w:rsidRPr="00C64570">
              <w:rPr>
                <w:rFonts w:ascii="Arial" w:hAnsi="Arial" w:cs="Arial"/>
                <w:i/>
                <w:iCs/>
                <w:color w:val="000000"/>
                <w:lang w:val="en-IN" w:eastAsia="en-IN"/>
              </w:rPr>
              <w:t>Diafenthiuron</w:t>
            </w:r>
            <w:proofErr w:type="spellEnd"/>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3A967EE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3.68</w:t>
            </w:r>
          </w:p>
        </w:tc>
        <w:tc>
          <w:tcPr>
            <w:tcW w:w="960" w:type="dxa"/>
            <w:tcBorders>
              <w:top w:val="nil"/>
              <w:left w:val="nil"/>
              <w:bottom w:val="nil"/>
              <w:right w:val="nil"/>
            </w:tcBorders>
            <w:shd w:val="clear" w:color="auto" w:fill="auto"/>
            <w:vAlign w:val="center"/>
            <w:hideMark/>
          </w:tcPr>
          <w:p w14:paraId="3A906101"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71.91</w:t>
            </w:r>
          </w:p>
        </w:tc>
        <w:tc>
          <w:tcPr>
            <w:tcW w:w="960" w:type="dxa"/>
            <w:tcBorders>
              <w:top w:val="nil"/>
              <w:left w:val="nil"/>
              <w:bottom w:val="nil"/>
              <w:right w:val="nil"/>
            </w:tcBorders>
            <w:shd w:val="clear" w:color="auto" w:fill="auto"/>
            <w:vAlign w:val="center"/>
            <w:hideMark/>
          </w:tcPr>
          <w:p w14:paraId="4FE6367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1.2</w:t>
            </w:r>
          </w:p>
        </w:tc>
        <w:tc>
          <w:tcPr>
            <w:tcW w:w="960" w:type="dxa"/>
            <w:tcBorders>
              <w:top w:val="nil"/>
              <w:left w:val="nil"/>
              <w:bottom w:val="nil"/>
              <w:right w:val="nil"/>
            </w:tcBorders>
            <w:shd w:val="clear" w:color="auto" w:fill="auto"/>
            <w:vAlign w:val="center"/>
            <w:hideMark/>
          </w:tcPr>
          <w:p w14:paraId="4DC4113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79.39</w:t>
            </w:r>
          </w:p>
        </w:tc>
        <w:tc>
          <w:tcPr>
            <w:tcW w:w="960" w:type="dxa"/>
            <w:tcBorders>
              <w:top w:val="nil"/>
              <w:left w:val="nil"/>
              <w:bottom w:val="nil"/>
              <w:right w:val="nil"/>
            </w:tcBorders>
            <w:shd w:val="clear" w:color="auto" w:fill="auto"/>
            <w:vAlign w:val="center"/>
            <w:hideMark/>
          </w:tcPr>
          <w:p w14:paraId="75D4C48A"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3.65</w:t>
            </w:r>
          </w:p>
        </w:tc>
        <w:tc>
          <w:tcPr>
            <w:tcW w:w="960" w:type="dxa"/>
            <w:tcBorders>
              <w:top w:val="nil"/>
              <w:left w:val="nil"/>
              <w:bottom w:val="nil"/>
              <w:right w:val="nil"/>
            </w:tcBorders>
            <w:shd w:val="clear" w:color="auto" w:fill="auto"/>
            <w:vAlign w:val="center"/>
            <w:hideMark/>
          </w:tcPr>
          <w:p w14:paraId="7E84DB5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0.13</w:t>
            </w:r>
          </w:p>
        </w:tc>
        <w:tc>
          <w:tcPr>
            <w:tcW w:w="960" w:type="dxa"/>
            <w:tcBorders>
              <w:top w:val="nil"/>
              <w:left w:val="nil"/>
              <w:bottom w:val="nil"/>
              <w:right w:val="nil"/>
            </w:tcBorders>
            <w:shd w:val="clear" w:color="auto" w:fill="auto"/>
            <w:vAlign w:val="center"/>
            <w:hideMark/>
          </w:tcPr>
          <w:p w14:paraId="49E07B1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0.38</w:t>
            </w:r>
          </w:p>
        </w:tc>
      </w:tr>
      <w:tr w:rsidR="00C64570" w:rsidRPr="00C64570" w14:paraId="37859FFC" w14:textId="77777777" w:rsidTr="00C64570">
        <w:trPr>
          <w:trHeight w:val="1260"/>
        </w:trPr>
        <w:tc>
          <w:tcPr>
            <w:tcW w:w="960" w:type="dxa"/>
            <w:tcBorders>
              <w:top w:val="nil"/>
              <w:left w:val="nil"/>
              <w:bottom w:val="nil"/>
              <w:right w:val="nil"/>
            </w:tcBorders>
            <w:shd w:val="clear" w:color="auto" w:fill="auto"/>
            <w:vAlign w:val="center"/>
            <w:hideMark/>
          </w:tcPr>
          <w:p w14:paraId="5E51681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T6 (</w:t>
            </w:r>
            <w:r w:rsidRPr="00C64570">
              <w:rPr>
                <w:rFonts w:ascii="Arial" w:hAnsi="Arial" w:cs="Arial"/>
                <w:i/>
                <w:iCs/>
                <w:color w:val="000000"/>
                <w:lang w:val="en-IN" w:eastAsia="en-IN"/>
              </w:rPr>
              <w:t>Abamectin</w:t>
            </w:r>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74127DE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7.45</w:t>
            </w:r>
          </w:p>
        </w:tc>
        <w:tc>
          <w:tcPr>
            <w:tcW w:w="960" w:type="dxa"/>
            <w:tcBorders>
              <w:top w:val="nil"/>
              <w:left w:val="nil"/>
              <w:bottom w:val="nil"/>
              <w:right w:val="nil"/>
            </w:tcBorders>
            <w:shd w:val="clear" w:color="auto" w:fill="auto"/>
            <w:vAlign w:val="center"/>
            <w:hideMark/>
          </w:tcPr>
          <w:p w14:paraId="0474574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55.62</w:t>
            </w:r>
          </w:p>
        </w:tc>
        <w:tc>
          <w:tcPr>
            <w:tcW w:w="960" w:type="dxa"/>
            <w:tcBorders>
              <w:top w:val="nil"/>
              <w:left w:val="nil"/>
              <w:bottom w:val="nil"/>
              <w:right w:val="nil"/>
            </w:tcBorders>
            <w:shd w:val="clear" w:color="auto" w:fill="auto"/>
            <w:vAlign w:val="center"/>
            <w:hideMark/>
          </w:tcPr>
          <w:p w14:paraId="7E44917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4.89</w:t>
            </w:r>
          </w:p>
        </w:tc>
        <w:tc>
          <w:tcPr>
            <w:tcW w:w="960" w:type="dxa"/>
            <w:tcBorders>
              <w:top w:val="nil"/>
              <w:left w:val="nil"/>
              <w:bottom w:val="nil"/>
              <w:right w:val="nil"/>
            </w:tcBorders>
            <w:shd w:val="clear" w:color="auto" w:fill="auto"/>
            <w:vAlign w:val="center"/>
            <w:hideMark/>
          </w:tcPr>
          <w:p w14:paraId="278D39D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51.32</w:t>
            </w:r>
          </w:p>
        </w:tc>
        <w:tc>
          <w:tcPr>
            <w:tcW w:w="960" w:type="dxa"/>
            <w:tcBorders>
              <w:top w:val="nil"/>
              <w:left w:val="nil"/>
              <w:bottom w:val="nil"/>
              <w:right w:val="nil"/>
            </w:tcBorders>
            <w:shd w:val="clear" w:color="auto" w:fill="auto"/>
            <w:vAlign w:val="center"/>
            <w:hideMark/>
          </w:tcPr>
          <w:p w14:paraId="6FF04B7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3.54</w:t>
            </w:r>
          </w:p>
        </w:tc>
        <w:tc>
          <w:tcPr>
            <w:tcW w:w="960" w:type="dxa"/>
            <w:tcBorders>
              <w:top w:val="nil"/>
              <w:left w:val="nil"/>
              <w:bottom w:val="nil"/>
              <w:right w:val="nil"/>
            </w:tcBorders>
            <w:shd w:val="clear" w:color="auto" w:fill="auto"/>
            <w:vAlign w:val="center"/>
            <w:hideMark/>
          </w:tcPr>
          <w:p w14:paraId="708BD8B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0.15</w:t>
            </w:r>
          </w:p>
        </w:tc>
        <w:tc>
          <w:tcPr>
            <w:tcW w:w="960" w:type="dxa"/>
            <w:tcBorders>
              <w:top w:val="nil"/>
              <w:left w:val="nil"/>
              <w:bottom w:val="nil"/>
              <w:right w:val="nil"/>
            </w:tcBorders>
            <w:shd w:val="clear" w:color="auto" w:fill="auto"/>
            <w:vAlign w:val="center"/>
            <w:hideMark/>
          </w:tcPr>
          <w:p w14:paraId="4005BF3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0.42</w:t>
            </w:r>
          </w:p>
        </w:tc>
      </w:tr>
      <w:tr w:rsidR="00C64570" w:rsidRPr="00C64570" w14:paraId="3232C96D" w14:textId="77777777" w:rsidTr="00C64570">
        <w:trPr>
          <w:trHeight w:val="945"/>
        </w:trPr>
        <w:tc>
          <w:tcPr>
            <w:tcW w:w="960" w:type="dxa"/>
            <w:tcBorders>
              <w:top w:val="nil"/>
              <w:left w:val="nil"/>
              <w:bottom w:val="nil"/>
              <w:right w:val="nil"/>
            </w:tcBorders>
            <w:shd w:val="clear" w:color="auto" w:fill="auto"/>
            <w:vAlign w:val="center"/>
            <w:hideMark/>
          </w:tcPr>
          <w:p w14:paraId="1C575BD1"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T7 (</w:t>
            </w:r>
            <w:r w:rsidRPr="00C64570">
              <w:rPr>
                <w:rFonts w:ascii="Arial" w:hAnsi="Arial" w:cs="Arial"/>
                <w:i/>
                <w:iCs/>
                <w:color w:val="000000"/>
                <w:lang w:val="en-IN" w:eastAsia="en-IN"/>
              </w:rPr>
              <w:t>Spinetoram</w:t>
            </w:r>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5E6A2F8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5.89</w:t>
            </w:r>
          </w:p>
        </w:tc>
        <w:tc>
          <w:tcPr>
            <w:tcW w:w="960" w:type="dxa"/>
            <w:tcBorders>
              <w:top w:val="nil"/>
              <w:left w:val="nil"/>
              <w:bottom w:val="nil"/>
              <w:right w:val="nil"/>
            </w:tcBorders>
            <w:shd w:val="clear" w:color="auto" w:fill="auto"/>
            <w:vAlign w:val="center"/>
            <w:hideMark/>
          </w:tcPr>
          <w:p w14:paraId="2AAE164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62.34</w:t>
            </w:r>
          </w:p>
        </w:tc>
        <w:tc>
          <w:tcPr>
            <w:tcW w:w="960" w:type="dxa"/>
            <w:tcBorders>
              <w:top w:val="nil"/>
              <w:left w:val="nil"/>
              <w:bottom w:val="nil"/>
              <w:right w:val="nil"/>
            </w:tcBorders>
            <w:shd w:val="clear" w:color="auto" w:fill="auto"/>
            <w:vAlign w:val="center"/>
            <w:hideMark/>
          </w:tcPr>
          <w:p w14:paraId="7399592A"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3.78</w:t>
            </w:r>
          </w:p>
        </w:tc>
        <w:tc>
          <w:tcPr>
            <w:tcW w:w="960" w:type="dxa"/>
            <w:tcBorders>
              <w:top w:val="nil"/>
              <w:left w:val="nil"/>
              <w:bottom w:val="nil"/>
              <w:right w:val="nil"/>
            </w:tcBorders>
            <w:shd w:val="clear" w:color="auto" w:fill="auto"/>
            <w:vAlign w:val="center"/>
            <w:hideMark/>
          </w:tcPr>
          <w:p w14:paraId="5CFE830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60.15</w:t>
            </w:r>
          </w:p>
        </w:tc>
        <w:tc>
          <w:tcPr>
            <w:tcW w:w="960" w:type="dxa"/>
            <w:tcBorders>
              <w:top w:val="nil"/>
              <w:left w:val="nil"/>
              <w:bottom w:val="nil"/>
              <w:right w:val="nil"/>
            </w:tcBorders>
            <w:shd w:val="clear" w:color="auto" w:fill="auto"/>
            <w:vAlign w:val="center"/>
            <w:hideMark/>
          </w:tcPr>
          <w:p w14:paraId="2AF4F38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3.96</w:t>
            </w:r>
          </w:p>
        </w:tc>
        <w:tc>
          <w:tcPr>
            <w:tcW w:w="960" w:type="dxa"/>
            <w:tcBorders>
              <w:top w:val="nil"/>
              <w:left w:val="nil"/>
              <w:bottom w:val="nil"/>
              <w:right w:val="nil"/>
            </w:tcBorders>
            <w:shd w:val="clear" w:color="auto" w:fill="auto"/>
            <w:vAlign w:val="center"/>
            <w:hideMark/>
          </w:tcPr>
          <w:p w14:paraId="122ED83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0.12</w:t>
            </w:r>
          </w:p>
        </w:tc>
        <w:tc>
          <w:tcPr>
            <w:tcW w:w="960" w:type="dxa"/>
            <w:tcBorders>
              <w:top w:val="nil"/>
              <w:left w:val="nil"/>
              <w:bottom w:val="nil"/>
              <w:right w:val="nil"/>
            </w:tcBorders>
            <w:shd w:val="clear" w:color="auto" w:fill="auto"/>
            <w:vAlign w:val="center"/>
            <w:hideMark/>
          </w:tcPr>
          <w:p w14:paraId="2A2A420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0.36</w:t>
            </w:r>
          </w:p>
        </w:tc>
      </w:tr>
      <w:tr w:rsidR="00C64570" w:rsidRPr="00C64570" w14:paraId="1D6C1A3B" w14:textId="77777777" w:rsidTr="00C64570">
        <w:trPr>
          <w:trHeight w:val="945"/>
        </w:trPr>
        <w:tc>
          <w:tcPr>
            <w:tcW w:w="960" w:type="dxa"/>
            <w:tcBorders>
              <w:top w:val="nil"/>
              <w:left w:val="nil"/>
              <w:bottom w:val="nil"/>
              <w:right w:val="nil"/>
            </w:tcBorders>
            <w:shd w:val="clear" w:color="auto" w:fill="auto"/>
            <w:vAlign w:val="center"/>
            <w:hideMark/>
          </w:tcPr>
          <w:p w14:paraId="616622C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T8 (</w:t>
            </w:r>
            <w:r w:rsidRPr="00C64570">
              <w:rPr>
                <w:rFonts w:ascii="Arial" w:hAnsi="Arial" w:cs="Arial"/>
                <w:i/>
                <w:iCs/>
                <w:color w:val="000000"/>
                <w:lang w:val="en-IN" w:eastAsia="en-IN"/>
              </w:rPr>
              <w:t>Fipronil</w:t>
            </w:r>
            <w:r w:rsidRPr="00C64570">
              <w:rPr>
                <w:rFonts w:ascii="Arial" w:hAnsi="Arial" w:cs="Arial"/>
                <w:color w:val="000000"/>
                <w:lang w:val="en-IN" w:eastAsia="en-IN"/>
              </w:rPr>
              <w:t>)</w:t>
            </w:r>
          </w:p>
        </w:tc>
        <w:tc>
          <w:tcPr>
            <w:tcW w:w="960" w:type="dxa"/>
            <w:tcBorders>
              <w:top w:val="nil"/>
              <w:left w:val="nil"/>
              <w:bottom w:val="nil"/>
              <w:right w:val="nil"/>
            </w:tcBorders>
            <w:shd w:val="clear" w:color="auto" w:fill="auto"/>
            <w:vAlign w:val="center"/>
            <w:hideMark/>
          </w:tcPr>
          <w:p w14:paraId="26501CE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6.23</w:t>
            </w:r>
          </w:p>
        </w:tc>
        <w:tc>
          <w:tcPr>
            <w:tcW w:w="960" w:type="dxa"/>
            <w:tcBorders>
              <w:top w:val="nil"/>
              <w:left w:val="nil"/>
              <w:bottom w:val="nil"/>
              <w:right w:val="nil"/>
            </w:tcBorders>
            <w:shd w:val="clear" w:color="auto" w:fill="auto"/>
            <w:vAlign w:val="center"/>
            <w:hideMark/>
          </w:tcPr>
          <w:p w14:paraId="6A70CA9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60.12</w:t>
            </w:r>
          </w:p>
        </w:tc>
        <w:tc>
          <w:tcPr>
            <w:tcW w:w="960" w:type="dxa"/>
            <w:tcBorders>
              <w:top w:val="nil"/>
              <w:left w:val="nil"/>
              <w:bottom w:val="nil"/>
              <w:right w:val="nil"/>
            </w:tcBorders>
            <w:shd w:val="clear" w:color="auto" w:fill="auto"/>
            <w:vAlign w:val="center"/>
            <w:hideMark/>
          </w:tcPr>
          <w:p w14:paraId="0419D1F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3.12</w:t>
            </w:r>
          </w:p>
        </w:tc>
        <w:tc>
          <w:tcPr>
            <w:tcW w:w="960" w:type="dxa"/>
            <w:tcBorders>
              <w:top w:val="nil"/>
              <w:left w:val="nil"/>
              <w:bottom w:val="nil"/>
              <w:right w:val="nil"/>
            </w:tcBorders>
            <w:shd w:val="clear" w:color="auto" w:fill="auto"/>
            <w:vAlign w:val="center"/>
            <w:hideMark/>
          </w:tcPr>
          <w:p w14:paraId="6D97A30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64.78</w:t>
            </w:r>
          </w:p>
        </w:tc>
        <w:tc>
          <w:tcPr>
            <w:tcW w:w="960" w:type="dxa"/>
            <w:tcBorders>
              <w:top w:val="nil"/>
              <w:left w:val="nil"/>
              <w:bottom w:val="nil"/>
              <w:right w:val="nil"/>
            </w:tcBorders>
            <w:shd w:val="clear" w:color="auto" w:fill="auto"/>
            <w:vAlign w:val="center"/>
            <w:hideMark/>
          </w:tcPr>
          <w:p w14:paraId="6D5712C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3.68</w:t>
            </w:r>
          </w:p>
        </w:tc>
        <w:tc>
          <w:tcPr>
            <w:tcW w:w="960" w:type="dxa"/>
            <w:tcBorders>
              <w:top w:val="nil"/>
              <w:left w:val="nil"/>
              <w:bottom w:val="nil"/>
              <w:right w:val="nil"/>
            </w:tcBorders>
            <w:shd w:val="clear" w:color="auto" w:fill="auto"/>
            <w:vAlign w:val="center"/>
            <w:hideMark/>
          </w:tcPr>
          <w:p w14:paraId="407802E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0.13</w:t>
            </w:r>
          </w:p>
        </w:tc>
        <w:tc>
          <w:tcPr>
            <w:tcW w:w="960" w:type="dxa"/>
            <w:tcBorders>
              <w:top w:val="nil"/>
              <w:left w:val="nil"/>
              <w:bottom w:val="nil"/>
              <w:right w:val="nil"/>
            </w:tcBorders>
            <w:shd w:val="clear" w:color="auto" w:fill="auto"/>
            <w:vAlign w:val="center"/>
            <w:hideMark/>
          </w:tcPr>
          <w:p w14:paraId="5713608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0.39</w:t>
            </w:r>
          </w:p>
        </w:tc>
      </w:tr>
      <w:tr w:rsidR="00C64570" w:rsidRPr="00C64570" w14:paraId="38BA632B" w14:textId="77777777" w:rsidTr="00C64570">
        <w:trPr>
          <w:trHeight w:val="630"/>
        </w:trPr>
        <w:tc>
          <w:tcPr>
            <w:tcW w:w="960" w:type="dxa"/>
            <w:tcBorders>
              <w:top w:val="nil"/>
              <w:left w:val="nil"/>
              <w:bottom w:val="single" w:sz="4" w:space="0" w:color="auto"/>
              <w:right w:val="nil"/>
            </w:tcBorders>
            <w:shd w:val="clear" w:color="auto" w:fill="auto"/>
            <w:vAlign w:val="center"/>
            <w:hideMark/>
          </w:tcPr>
          <w:p w14:paraId="5736F97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T9 (Control)</w:t>
            </w:r>
          </w:p>
        </w:tc>
        <w:tc>
          <w:tcPr>
            <w:tcW w:w="960" w:type="dxa"/>
            <w:tcBorders>
              <w:top w:val="nil"/>
              <w:left w:val="nil"/>
              <w:bottom w:val="single" w:sz="4" w:space="0" w:color="auto"/>
              <w:right w:val="nil"/>
            </w:tcBorders>
            <w:shd w:val="clear" w:color="auto" w:fill="auto"/>
            <w:vAlign w:val="center"/>
            <w:hideMark/>
          </w:tcPr>
          <w:p w14:paraId="730D0E4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27.57</w:t>
            </w:r>
          </w:p>
        </w:tc>
        <w:tc>
          <w:tcPr>
            <w:tcW w:w="960" w:type="dxa"/>
            <w:tcBorders>
              <w:top w:val="nil"/>
              <w:left w:val="nil"/>
              <w:bottom w:val="single" w:sz="4" w:space="0" w:color="auto"/>
              <w:right w:val="nil"/>
            </w:tcBorders>
            <w:shd w:val="clear" w:color="auto" w:fill="auto"/>
            <w:vAlign w:val="center"/>
            <w:hideMark/>
          </w:tcPr>
          <w:p w14:paraId="56E91DD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c>
          <w:tcPr>
            <w:tcW w:w="960" w:type="dxa"/>
            <w:tcBorders>
              <w:top w:val="nil"/>
              <w:left w:val="nil"/>
              <w:bottom w:val="single" w:sz="4" w:space="0" w:color="auto"/>
              <w:right w:val="nil"/>
            </w:tcBorders>
            <w:shd w:val="clear" w:color="auto" w:fill="auto"/>
            <w:vAlign w:val="center"/>
            <w:hideMark/>
          </w:tcPr>
          <w:p w14:paraId="482ACAE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10.62</w:t>
            </w:r>
          </w:p>
        </w:tc>
        <w:tc>
          <w:tcPr>
            <w:tcW w:w="960" w:type="dxa"/>
            <w:tcBorders>
              <w:top w:val="nil"/>
              <w:left w:val="nil"/>
              <w:bottom w:val="single" w:sz="4" w:space="0" w:color="auto"/>
              <w:right w:val="nil"/>
            </w:tcBorders>
            <w:shd w:val="clear" w:color="auto" w:fill="auto"/>
            <w:vAlign w:val="center"/>
            <w:hideMark/>
          </w:tcPr>
          <w:p w14:paraId="2CB6B4D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c>
          <w:tcPr>
            <w:tcW w:w="960" w:type="dxa"/>
            <w:tcBorders>
              <w:top w:val="nil"/>
              <w:left w:val="nil"/>
              <w:bottom w:val="single" w:sz="4" w:space="0" w:color="auto"/>
              <w:right w:val="nil"/>
            </w:tcBorders>
            <w:shd w:val="clear" w:color="auto" w:fill="auto"/>
            <w:vAlign w:val="center"/>
            <w:hideMark/>
          </w:tcPr>
          <w:p w14:paraId="784398E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4.35</w:t>
            </w:r>
          </w:p>
        </w:tc>
        <w:tc>
          <w:tcPr>
            <w:tcW w:w="960" w:type="dxa"/>
            <w:tcBorders>
              <w:top w:val="nil"/>
              <w:left w:val="nil"/>
              <w:bottom w:val="single" w:sz="4" w:space="0" w:color="auto"/>
              <w:right w:val="nil"/>
            </w:tcBorders>
            <w:shd w:val="clear" w:color="auto" w:fill="auto"/>
            <w:vAlign w:val="center"/>
            <w:hideMark/>
          </w:tcPr>
          <w:p w14:paraId="544DD41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0.09</w:t>
            </w:r>
          </w:p>
        </w:tc>
        <w:tc>
          <w:tcPr>
            <w:tcW w:w="960" w:type="dxa"/>
            <w:tcBorders>
              <w:top w:val="nil"/>
              <w:left w:val="nil"/>
              <w:bottom w:val="single" w:sz="4" w:space="0" w:color="auto"/>
              <w:right w:val="nil"/>
            </w:tcBorders>
            <w:shd w:val="clear" w:color="auto" w:fill="auto"/>
            <w:vAlign w:val="center"/>
            <w:hideMark/>
          </w:tcPr>
          <w:p w14:paraId="48CE986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0.27</w:t>
            </w:r>
          </w:p>
        </w:tc>
      </w:tr>
    </w:tbl>
    <w:p w14:paraId="617B2CBB"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4D6FE00B" w14:textId="77777777" w:rsidR="00C64570" w:rsidRPr="00C64570" w:rsidRDefault="00C64570" w:rsidP="00C64570">
      <w:pPr>
        <w:pStyle w:val="NormalWeb"/>
        <w:rPr>
          <w:rFonts w:ascii="Arial" w:hAnsi="Arial" w:cs="Arial"/>
          <w:sz w:val="20"/>
          <w:szCs w:val="20"/>
        </w:rPr>
      </w:pPr>
      <w:r w:rsidRPr="00C64570">
        <w:rPr>
          <w:rFonts w:ascii="Arial" w:hAnsi="Arial" w:cs="Arial"/>
          <w:sz w:val="20"/>
          <w:szCs w:val="20"/>
        </w:rPr>
        <w:t xml:space="preserve">a Data pooled over two seasons and three replicates. b PROC calculated using Henderson and Tilton (1955). c </w:t>
      </w:r>
      <w:r w:rsidRPr="00C64570">
        <w:rPr>
          <w:rStyle w:val="Emphasis"/>
          <w:rFonts w:ascii="Arial" w:hAnsi="Arial" w:cs="Arial"/>
          <w:sz w:val="20"/>
          <w:szCs w:val="20"/>
        </w:rPr>
        <w:t>P</w:t>
      </w:r>
      <w:r w:rsidRPr="00C64570">
        <w:rPr>
          <w:rFonts w:ascii="Arial" w:hAnsi="Arial" w:cs="Arial"/>
          <w:sz w:val="20"/>
          <w:szCs w:val="20"/>
        </w:rPr>
        <w:t>-values reported as exact values per journal guidelines</w:t>
      </w:r>
    </w:p>
    <w:p w14:paraId="57F2E53B" w14:textId="182A8667" w:rsidR="00C64570" w:rsidRPr="00C64570" w:rsidRDefault="00C64570" w:rsidP="00C64570">
      <w:pPr>
        <w:pStyle w:val="Body"/>
        <w:spacing w:after="0"/>
        <w:rPr>
          <w:rFonts w:ascii="Arial" w:hAnsi="Arial" w:cs="Arial"/>
          <w:lang w:val="en-IN"/>
        </w:rPr>
      </w:pPr>
      <w:r w:rsidRPr="00C64570">
        <w:rPr>
          <w:rFonts w:ascii="Arial" w:hAnsi="Arial" w:cs="Arial"/>
          <w:b/>
          <w:bCs/>
          <w:lang w:val="en-IN"/>
        </w:rPr>
        <w:t xml:space="preserve">Table </w:t>
      </w:r>
      <w:r w:rsidR="001D2CBD">
        <w:rPr>
          <w:rFonts w:ascii="Arial" w:hAnsi="Arial" w:cs="Arial"/>
          <w:b/>
          <w:bCs/>
          <w:lang w:val="en-IN"/>
        </w:rPr>
        <w:t>3</w:t>
      </w:r>
      <w:r w:rsidRPr="00C64570">
        <w:rPr>
          <w:rFonts w:ascii="Arial" w:hAnsi="Arial" w:cs="Arial"/>
          <w:b/>
          <w:bCs/>
          <w:lang w:val="en-IN"/>
        </w:rPr>
        <w:t>. Impact of Insecticide Treatments on Fruit Damage, Yield, and Economic Returns</w:t>
      </w:r>
    </w:p>
    <w:p w14:paraId="1C50DD1B" w14:textId="77777777" w:rsidR="00376BBE" w:rsidRDefault="00376BBE" w:rsidP="00441B6F">
      <w:pPr>
        <w:pStyle w:val="Body"/>
        <w:spacing w:after="0"/>
        <w:rPr>
          <w:rFonts w:ascii="Arial" w:hAnsi="Arial" w:cs="Arial"/>
        </w:rPr>
      </w:pPr>
    </w:p>
    <w:tbl>
      <w:tblPr>
        <w:tblW w:w="5000" w:type="pct"/>
        <w:tblBorders>
          <w:top w:val="single" w:sz="4" w:space="0" w:color="auto"/>
          <w:bottom w:val="single" w:sz="4" w:space="0" w:color="auto"/>
        </w:tblBorders>
        <w:tblLook w:val="04A0" w:firstRow="1" w:lastRow="0" w:firstColumn="1" w:lastColumn="0" w:noHBand="0" w:noVBand="1"/>
      </w:tblPr>
      <w:tblGrid>
        <w:gridCol w:w="1485"/>
        <w:gridCol w:w="902"/>
        <w:gridCol w:w="902"/>
        <w:gridCol w:w="865"/>
        <w:gridCol w:w="828"/>
        <w:gridCol w:w="624"/>
        <w:gridCol w:w="893"/>
        <w:gridCol w:w="773"/>
        <w:gridCol w:w="1152"/>
      </w:tblGrid>
      <w:tr w:rsidR="00C64570" w:rsidRPr="00C64570" w14:paraId="2ABEEB4F" w14:textId="77777777" w:rsidTr="00C64570">
        <w:trPr>
          <w:trHeight w:val="1575"/>
        </w:trPr>
        <w:tc>
          <w:tcPr>
            <w:tcW w:w="923" w:type="pct"/>
            <w:tcBorders>
              <w:top w:val="single" w:sz="4" w:space="0" w:color="auto"/>
              <w:bottom w:val="single" w:sz="4" w:space="0" w:color="auto"/>
            </w:tcBorders>
            <w:shd w:val="clear" w:color="auto" w:fill="auto"/>
            <w:vAlign w:val="center"/>
            <w:hideMark/>
          </w:tcPr>
          <w:p w14:paraId="653F1206"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lastRenderedPageBreak/>
              <w:t>Treatment</w:t>
            </w:r>
          </w:p>
        </w:tc>
        <w:tc>
          <w:tcPr>
            <w:tcW w:w="541" w:type="pct"/>
            <w:tcBorders>
              <w:top w:val="single" w:sz="4" w:space="0" w:color="auto"/>
              <w:bottom w:val="single" w:sz="4" w:space="0" w:color="auto"/>
            </w:tcBorders>
            <w:shd w:val="clear" w:color="auto" w:fill="auto"/>
            <w:vAlign w:val="center"/>
            <w:hideMark/>
          </w:tcPr>
          <w:p w14:paraId="3FA35961"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Fruit Damage (% Number)</w:t>
            </w:r>
          </w:p>
        </w:tc>
        <w:tc>
          <w:tcPr>
            <w:tcW w:w="541" w:type="pct"/>
            <w:tcBorders>
              <w:top w:val="single" w:sz="4" w:space="0" w:color="auto"/>
              <w:bottom w:val="single" w:sz="4" w:space="0" w:color="auto"/>
            </w:tcBorders>
            <w:shd w:val="clear" w:color="auto" w:fill="auto"/>
            <w:vAlign w:val="center"/>
            <w:hideMark/>
          </w:tcPr>
          <w:p w14:paraId="78A8B8F9"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PROC (% Number)</w:t>
            </w:r>
          </w:p>
        </w:tc>
        <w:tc>
          <w:tcPr>
            <w:tcW w:w="497" w:type="pct"/>
            <w:tcBorders>
              <w:top w:val="single" w:sz="4" w:space="0" w:color="auto"/>
              <w:bottom w:val="single" w:sz="4" w:space="0" w:color="auto"/>
            </w:tcBorders>
            <w:shd w:val="clear" w:color="auto" w:fill="auto"/>
            <w:vAlign w:val="center"/>
            <w:hideMark/>
          </w:tcPr>
          <w:p w14:paraId="7BCD2762"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Fruit Damage (% Weight)</w:t>
            </w:r>
          </w:p>
        </w:tc>
        <w:tc>
          <w:tcPr>
            <w:tcW w:w="490" w:type="pct"/>
            <w:tcBorders>
              <w:top w:val="single" w:sz="4" w:space="0" w:color="auto"/>
              <w:bottom w:val="single" w:sz="4" w:space="0" w:color="auto"/>
            </w:tcBorders>
            <w:shd w:val="clear" w:color="auto" w:fill="auto"/>
            <w:vAlign w:val="center"/>
            <w:hideMark/>
          </w:tcPr>
          <w:p w14:paraId="086CCF6B"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PROC (% Weight)</w:t>
            </w:r>
          </w:p>
        </w:tc>
        <w:tc>
          <w:tcPr>
            <w:tcW w:w="365" w:type="pct"/>
            <w:tcBorders>
              <w:top w:val="single" w:sz="4" w:space="0" w:color="auto"/>
              <w:bottom w:val="single" w:sz="4" w:space="0" w:color="auto"/>
            </w:tcBorders>
            <w:shd w:val="clear" w:color="auto" w:fill="auto"/>
            <w:vAlign w:val="center"/>
            <w:hideMark/>
          </w:tcPr>
          <w:p w14:paraId="515DF63D"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Yield (t/ha)</w:t>
            </w:r>
          </w:p>
        </w:tc>
        <w:tc>
          <w:tcPr>
            <w:tcW w:w="509" w:type="pct"/>
            <w:tcBorders>
              <w:top w:val="single" w:sz="4" w:space="0" w:color="auto"/>
              <w:bottom w:val="single" w:sz="4" w:space="0" w:color="auto"/>
            </w:tcBorders>
            <w:shd w:val="clear" w:color="auto" w:fill="auto"/>
            <w:vAlign w:val="center"/>
            <w:hideMark/>
          </w:tcPr>
          <w:p w14:paraId="1CBC6F1C"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 Increase Over Control</w:t>
            </w:r>
          </w:p>
        </w:tc>
        <w:tc>
          <w:tcPr>
            <w:tcW w:w="443" w:type="pct"/>
            <w:tcBorders>
              <w:top w:val="single" w:sz="4" w:space="0" w:color="auto"/>
              <w:bottom w:val="single" w:sz="4" w:space="0" w:color="auto"/>
            </w:tcBorders>
            <w:shd w:val="clear" w:color="auto" w:fill="auto"/>
            <w:vAlign w:val="center"/>
            <w:hideMark/>
          </w:tcPr>
          <w:p w14:paraId="03FF3CB3"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ICBR</w:t>
            </w:r>
          </w:p>
        </w:tc>
        <w:tc>
          <w:tcPr>
            <w:tcW w:w="691" w:type="pct"/>
            <w:tcBorders>
              <w:top w:val="single" w:sz="4" w:space="0" w:color="auto"/>
              <w:bottom w:val="single" w:sz="4" w:space="0" w:color="auto"/>
            </w:tcBorders>
            <w:shd w:val="clear" w:color="auto" w:fill="auto"/>
            <w:vAlign w:val="center"/>
            <w:hideMark/>
          </w:tcPr>
          <w:p w14:paraId="71C842FD" w14:textId="77777777" w:rsidR="00C64570" w:rsidRPr="00C64570" w:rsidRDefault="00C64570" w:rsidP="00C64570">
            <w:pPr>
              <w:jc w:val="center"/>
              <w:rPr>
                <w:rFonts w:ascii="Arial" w:hAnsi="Arial" w:cs="Arial"/>
                <w:b/>
                <w:bCs/>
                <w:color w:val="000000"/>
                <w:lang w:val="en-IN" w:eastAsia="en-IN"/>
              </w:rPr>
            </w:pPr>
            <w:r w:rsidRPr="00C64570">
              <w:rPr>
                <w:rFonts w:ascii="Arial" w:hAnsi="Arial" w:cs="Arial"/>
                <w:b/>
                <w:bCs/>
                <w:color w:val="000000"/>
                <w:lang w:val="en-IN" w:eastAsia="en-IN"/>
              </w:rPr>
              <w:t>Incremental Benefit (Rs/ha)</w:t>
            </w:r>
          </w:p>
        </w:tc>
      </w:tr>
      <w:tr w:rsidR="00C64570" w:rsidRPr="00C64570" w14:paraId="2BFFA8CC" w14:textId="77777777" w:rsidTr="00C64570">
        <w:trPr>
          <w:trHeight w:val="1260"/>
        </w:trPr>
        <w:tc>
          <w:tcPr>
            <w:tcW w:w="923" w:type="pct"/>
            <w:tcBorders>
              <w:top w:val="single" w:sz="4" w:space="0" w:color="auto"/>
            </w:tcBorders>
            <w:shd w:val="clear" w:color="auto" w:fill="auto"/>
            <w:vAlign w:val="center"/>
            <w:hideMark/>
          </w:tcPr>
          <w:p w14:paraId="7955F1D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T1 (</w:t>
            </w:r>
            <w:proofErr w:type="spellStart"/>
            <w:r w:rsidRPr="00C64570">
              <w:rPr>
                <w:rFonts w:ascii="Arial" w:hAnsi="Arial" w:cs="Arial"/>
                <w:i/>
                <w:iCs/>
                <w:color w:val="000000"/>
                <w:lang w:val="en-IN" w:eastAsia="en-IN"/>
              </w:rPr>
              <w:t>Flupyradifurone</w:t>
            </w:r>
            <w:proofErr w:type="spellEnd"/>
            <w:r w:rsidRPr="00C64570">
              <w:rPr>
                <w:rFonts w:ascii="Arial" w:hAnsi="Arial" w:cs="Arial"/>
                <w:color w:val="000000"/>
                <w:lang w:val="en-IN" w:eastAsia="en-IN"/>
              </w:rPr>
              <w:t>)</w:t>
            </w:r>
          </w:p>
        </w:tc>
        <w:tc>
          <w:tcPr>
            <w:tcW w:w="541" w:type="pct"/>
            <w:tcBorders>
              <w:top w:val="single" w:sz="4" w:space="0" w:color="auto"/>
            </w:tcBorders>
            <w:shd w:val="clear" w:color="auto" w:fill="auto"/>
            <w:vAlign w:val="center"/>
            <w:hideMark/>
          </w:tcPr>
          <w:p w14:paraId="712CA60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7.89</w:t>
            </w:r>
          </w:p>
        </w:tc>
        <w:tc>
          <w:tcPr>
            <w:tcW w:w="541" w:type="pct"/>
            <w:tcBorders>
              <w:top w:val="single" w:sz="4" w:space="0" w:color="auto"/>
            </w:tcBorders>
            <w:shd w:val="clear" w:color="auto" w:fill="auto"/>
            <w:vAlign w:val="center"/>
            <w:hideMark/>
          </w:tcPr>
          <w:p w14:paraId="58E9D5A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67.23</w:t>
            </w:r>
          </w:p>
        </w:tc>
        <w:tc>
          <w:tcPr>
            <w:tcW w:w="497" w:type="pct"/>
            <w:tcBorders>
              <w:top w:val="single" w:sz="4" w:space="0" w:color="auto"/>
            </w:tcBorders>
            <w:shd w:val="clear" w:color="auto" w:fill="auto"/>
            <w:vAlign w:val="center"/>
            <w:hideMark/>
          </w:tcPr>
          <w:p w14:paraId="1DB708D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6.45</w:t>
            </w:r>
          </w:p>
        </w:tc>
        <w:tc>
          <w:tcPr>
            <w:tcW w:w="490" w:type="pct"/>
            <w:tcBorders>
              <w:top w:val="single" w:sz="4" w:space="0" w:color="auto"/>
            </w:tcBorders>
            <w:shd w:val="clear" w:color="auto" w:fill="auto"/>
            <w:vAlign w:val="center"/>
            <w:hideMark/>
          </w:tcPr>
          <w:p w14:paraId="11DA11E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69.12</w:t>
            </w:r>
          </w:p>
        </w:tc>
        <w:tc>
          <w:tcPr>
            <w:tcW w:w="365" w:type="pct"/>
            <w:tcBorders>
              <w:top w:val="single" w:sz="4" w:space="0" w:color="auto"/>
            </w:tcBorders>
            <w:shd w:val="clear" w:color="auto" w:fill="auto"/>
            <w:vAlign w:val="center"/>
            <w:hideMark/>
          </w:tcPr>
          <w:p w14:paraId="75ED3B1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6.23</w:t>
            </w:r>
          </w:p>
        </w:tc>
        <w:tc>
          <w:tcPr>
            <w:tcW w:w="509" w:type="pct"/>
            <w:tcBorders>
              <w:top w:val="single" w:sz="4" w:space="0" w:color="auto"/>
            </w:tcBorders>
            <w:shd w:val="clear" w:color="auto" w:fill="auto"/>
            <w:vAlign w:val="center"/>
            <w:hideMark/>
          </w:tcPr>
          <w:p w14:paraId="29016E8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56.93</w:t>
            </w:r>
          </w:p>
        </w:tc>
        <w:tc>
          <w:tcPr>
            <w:tcW w:w="443" w:type="pct"/>
            <w:tcBorders>
              <w:top w:val="single" w:sz="4" w:space="0" w:color="auto"/>
            </w:tcBorders>
            <w:shd w:val="clear" w:color="auto" w:fill="auto"/>
            <w:vAlign w:val="center"/>
            <w:hideMark/>
          </w:tcPr>
          <w:p w14:paraId="36F8E95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01:04.1</w:t>
            </w:r>
          </w:p>
        </w:tc>
        <w:tc>
          <w:tcPr>
            <w:tcW w:w="691" w:type="pct"/>
            <w:tcBorders>
              <w:top w:val="single" w:sz="4" w:space="0" w:color="auto"/>
            </w:tcBorders>
            <w:shd w:val="clear" w:color="auto" w:fill="auto"/>
            <w:vAlign w:val="center"/>
            <w:hideMark/>
          </w:tcPr>
          <w:p w14:paraId="061D457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35,450</w:t>
            </w:r>
          </w:p>
        </w:tc>
      </w:tr>
      <w:tr w:rsidR="00C64570" w:rsidRPr="00C64570" w14:paraId="3E1F0D4C" w14:textId="77777777" w:rsidTr="00C64570">
        <w:trPr>
          <w:trHeight w:val="945"/>
        </w:trPr>
        <w:tc>
          <w:tcPr>
            <w:tcW w:w="923" w:type="pct"/>
            <w:shd w:val="clear" w:color="auto" w:fill="auto"/>
            <w:vAlign w:val="center"/>
            <w:hideMark/>
          </w:tcPr>
          <w:p w14:paraId="09FB728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T2 (</w:t>
            </w:r>
            <w:r w:rsidRPr="00C64570">
              <w:rPr>
                <w:rFonts w:ascii="Arial" w:hAnsi="Arial" w:cs="Arial"/>
                <w:i/>
                <w:iCs/>
                <w:color w:val="000000"/>
                <w:lang w:val="en-IN" w:eastAsia="en-IN"/>
              </w:rPr>
              <w:t>Clothianidin</w:t>
            </w:r>
            <w:r w:rsidRPr="00C64570">
              <w:rPr>
                <w:rFonts w:ascii="Arial" w:hAnsi="Arial" w:cs="Arial"/>
                <w:color w:val="000000"/>
                <w:lang w:val="en-IN" w:eastAsia="en-IN"/>
              </w:rPr>
              <w:t>)</w:t>
            </w:r>
          </w:p>
        </w:tc>
        <w:tc>
          <w:tcPr>
            <w:tcW w:w="541" w:type="pct"/>
            <w:shd w:val="clear" w:color="auto" w:fill="auto"/>
            <w:vAlign w:val="center"/>
            <w:hideMark/>
          </w:tcPr>
          <w:p w14:paraId="0E65656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8.45</w:t>
            </w:r>
          </w:p>
        </w:tc>
        <w:tc>
          <w:tcPr>
            <w:tcW w:w="541" w:type="pct"/>
            <w:shd w:val="clear" w:color="auto" w:fill="auto"/>
            <w:vAlign w:val="center"/>
            <w:hideMark/>
          </w:tcPr>
          <w:p w14:paraId="62F021B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65.12</w:t>
            </w:r>
          </w:p>
        </w:tc>
        <w:tc>
          <w:tcPr>
            <w:tcW w:w="497" w:type="pct"/>
            <w:shd w:val="clear" w:color="auto" w:fill="auto"/>
            <w:vAlign w:val="center"/>
            <w:hideMark/>
          </w:tcPr>
          <w:p w14:paraId="314B637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7.12</w:t>
            </w:r>
          </w:p>
        </w:tc>
        <w:tc>
          <w:tcPr>
            <w:tcW w:w="490" w:type="pct"/>
            <w:shd w:val="clear" w:color="auto" w:fill="auto"/>
            <w:vAlign w:val="center"/>
            <w:hideMark/>
          </w:tcPr>
          <w:p w14:paraId="3434C11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66.34</w:t>
            </w:r>
          </w:p>
        </w:tc>
        <w:tc>
          <w:tcPr>
            <w:tcW w:w="365" w:type="pct"/>
            <w:shd w:val="clear" w:color="auto" w:fill="auto"/>
            <w:vAlign w:val="center"/>
            <w:hideMark/>
          </w:tcPr>
          <w:p w14:paraId="66DFC9B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6.45</w:t>
            </w:r>
          </w:p>
        </w:tc>
        <w:tc>
          <w:tcPr>
            <w:tcW w:w="509" w:type="pct"/>
            <w:shd w:val="clear" w:color="auto" w:fill="auto"/>
            <w:vAlign w:val="center"/>
            <w:hideMark/>
          </w:tcPr>
          <w:p w14:paraId="324B880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62.47</w:t>
            </w:r>
          </w:p>
        </w:tc>
        <w:tc>
          <w:tcPr>
            <w:tcW w:w="443" w:type="pct"/>
            <w:shd w:val="clear" w:color="auto" w:fill="auto"/>
            <w:vAlign w:val="center"/>
            <w:hideMark/>
          </w:tcPr>
          <w:p w14:paraId="16AED7C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01:04.9</w:t>
            </w:r>
          </w:p>
        </w:tc>
        <w:tc>
          <w:tcPr>
            <w:tcW w:w="691" w:type="pct"/>
            <w:shd w:val="clear" w:color="auto" w:fill="auto"/>
            <w:vAlign w:val="center"/>
            <w:hideMark/>
          </w:tcPr>
          <w:p w14:paraId="4C99AA1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39,780</w:t>
            </w:r>
          </w:p>
        </w:tc>
      </w:tr>
      <w:tr w:rsidR="00C64570" w:rsidRPr="00C64570" w14:paraId="27216746" w14:textId="77777777" w:rsidTr="00C64570">
        <w:trPr>
          <w:trHeight w:val="945"/>
        </w:trPr>
        <w:tc>
          <w:tcPr>
            <w:tcW w:w="923" w:type="pct"/>
            <w:shd w:val="clear" w:color="auto" w:fill="auto"/>
            <w:vAlign w:val="center"/>
            <w:hideMark/>
          </w:tcPr>
          <w:p w14:paraId="484DE76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T3 (</w:t>
            </w:r>
            <w:r w:rsidRPr="00C64570">
              <w:rPr>
                <w:rFonts w:ascii="Arial" w:hAnsi="Arial" w:cs="Arial"/>
                <w:i/>
                <w:iCs/>
                <w:color w:val="000000"/>
                <w:lang w:val="en-IN" w:eastAsia="en-IN"/>
              </w:rPr>
              <w:t>Spinosad</w:t>
            </w:r>
            <w:r w:rsidRPr="00C64570">
              <w:rPr>
                <w:rFonts w:ascii="Arial" w:hAnsi="Arial" w:cs="Arial"/>
                <w:color w:val="000000"/>
                <w:lang w:val="en-IN" w:eastAsia="en-IN"/>
              </w:rPr>
              <w:t>)</w:t>
            </w:r>
          </w:p>
        </w:tc>
        <w:tc>
          <w:tcPr>
            <w:tcW w:w="541" w:type="pct"/>
            <w:shd w:val="clear" w:color="auto" w:fill="auto"/>
            <w:vAlign w:val="center"/>
            <w:hideMark/>
          </w:tcPr>
          <w:p w14:paraId="6FB2A571"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5.67</w:t>
            </w:r>
          </w:p>
        </w:tc>
        <w:tc>
          <w:tcPr>
            <w:tcW w:w="541" w:type="pct"/>
            <w:shd w:val="clear" w:color="auto" w:fill="auto"/>
            <w:vAlign w:val="center"/>
            <w:hideMark/>
          </w:tcPr>
          <w:p w14:paraId="3381D02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75.71</w:t>
            </w:r>
          </w:p>
        </w:tc>
        <w:tc>
          <w:tcPr>
            <w:tcW w:w="497" w:type="pct"/>
            <w:shd w:val="clear" w:color="auto" w:fill="auto"/>
            <w:vAlign w:val="center"/>
            <w:hideMark/>
          </w:tcPr>
          <w:p w14:paraId="161AEB1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4.63</w:t>
            </w:r>
          </w:p>
        </w:tc>
        <w:tc>
          <w:tcPr>
            <w:tcW w:w="490" w:type="pct"/>
            <w:shd w:val="clear" w:color="auto" w:fill="auto"/>
            <w:vAlign w:val="center"/>
            <w:hideMark/>
          </w:tcPr>
          <w:p w14:paraId="21B9AE6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78.09</w:t>
            </w:r>
          </w:p>
        </w:tc>
        <w:tc>
          <w:tcPr>
            <w:tcW w:w="365" w:type="pct"/>
            <w:shd w:val="clear" w:color="auto" w:fill="auto"/>
            <w:vAlign w:val="center"/>
            <w:hideMark/>
          </w:tcPr>
          <w:p w14:paraId="6B65094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7.08</w:t>
            </w:r>
          </w:p>
        </w:tc>
        <w:tc>
          <w:tcPr>
            <w:tcW w:w="509" w:type="pct"/>
            <w:shd w:val="clear" w:color="auto" w:fill="auto"/>
            <w:vAlign w:val="center"/>
            <w:hideMark/>
          </w:tcPr>
          <w:p w14:paraId="1E21AA6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78.34</w:t>
            </w:r>
          </w:p>
        </w:tc>
        <w:tc>
          <w:tcPr>
            <w:tcW w:w="443" w:type="pct"/>
            <w:shd w:val="clear" w:color="auto" w:fill="auto"/>
            <w:vAlign w:val="center"/>
            <w:hideMark/>
          </w:tcPr>
          <w:p w14:paraId="0C941C4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01:05.7</w:t>
            </w:r>
          </w:p>
        </w:tc>
        <w:tc>
          <w:tcPr>
            <w:tcW w:w="691" w:type="pct"/>
            <w:shd w:val="clear" w:color="auto" w:fill="auto"/>
            <w:vAlign w:val="center"/>
            <w:hideMark/>
          </w:tcPr>
          <w:p w14:paraId="290E5D6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52,956</w:t>
            </w:r>
          </w:p>
        </w:tc>
      </w:tr>
      <w:tr w:rsidR="00C64570" w:rsidRPr="00C64570" w14:paraId="1ED048E0" w14:textId="77777777" w:rsidTr="00C64570">
        <w:trPr>
          <w:trHeight w:val="1575"/>
        </w:trPr>
        <w:tc>
          <w:tcPr>
            <w:tcW w:w="923" w:type="pct"/>
            <w:shd w:val="clear" w:color="auto" w:fill="auto"/>
            <w:vAlign w:val="center"/>
            <w:hideMark/>
          </w:tcPr>
          <w:p w14:paraId="4783A6C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T4 (</w:t>
            </w:r>
            <w:proofErr w:type="spellStart"/>
            <w:r w:rsidRPr="00C64570">
              <w:rPr>
                <w:rFonts w:ascii="Arial" w:hAnsi="Arial" w:cs="Arial"/>
                <w:i/>
                <w:iCs/>
                <w:color w:val="000000"/>
                <w:lang w:val="en-IN" w:eastAsia="en-IN"/>
              </w:rPr>
              <w:t>Emamectin</w:t>
            </w:r>
            <w:proofErr w:type="spellEnd"/>
            <w:r w:rsidRPr="00C64570">
              <w:rPr>
                <w:rFonts w:ascii="Arial" w:hAnsi="Arial" w:cs="Arial"/>
                <w:i/>
                <w:iCs/>
                <w:color w:val="000000"/>
                <w:lang w:val="en-IN" w:eastAsia="en-IN"/>
              </w:rPr>
              <w:t xml:space="preserve"> benzoate</w:t>
            </w:r>
            <w:r w:rsidRPr="00C64570">
              <w:rPr>
                <w:rFonts w:ascii="Arial" w:hAnsi="Arial" w:cs="Arial"/>
                <w:color w:val="000000"/>
                <w:lang w:val="en-IN" w:eastAsia="en-IN"/>
              </w:rPr>
              <w:t>)</w:t>
            </w:r>
          </w:p>
        </w:tc>
        <w:tc>
          <w:tcPr>
            <w:tcW w:w="541" w:type="pct"/>
            <w:shd w:val="clear" w:color="auto" w:fill="auto"/>
            <w:vAlign w:val="center"/>
            <w:hideMark/>
          </w:tcPr>
          <w:p w14:paraId="20A1B23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4.12</w:t>
            </w:r>
          </w:p>
        </w:tc>
        <w:tc>
          <w:tcPr>
            <w:tcW w:w="541" w:type="pct"/>
            <w:shd w:val="clear" w:color="auto" w:fill="auto"/>
            <w:vAlign w:val="center"/>
            <w:hideMark/>
          </w:tcPr>
          <w:p w14:paraId="763E382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82.35</w:t>
            </w:r>
          </w:p>
        </w:tc>
        <w:tc>
          <w:tcPr>
            <w:tcW w:w="497" w:type="pct"/>
            <w:shd w:val="clear" w:color="auto" w:fill="auto"/>
            <w:vAlign w:val="center"/>
            <w:hideMark/>
          </w:tcPr>
          <w:p w14:paraId="4BFDF48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3.4</w:t>
            </w:r>
          </w:p>
        </w:tc>
        <w:tc>
          <w:tcPr>
            <w:tcW w:w="490" w:type="pct"/>
            <w:shd w:val="clear" w:color="auto" w:fill="auto"/>
            <w:vAlign w:val="center"/>
            <w:hideMark/>
          </w:tcPr>
          <w:p w14:paraId="689AEBA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83.92</w:t>
            </w:r>
          </w:p>
        </w:tc>
        <w:tc>
          <w:tcPr>
            <w:tcW w:w="365" w:type="pct"/>
            <w:shd w:val="clear" w:color="auto" w:fill="auto"/>
            <w:vAlign w:val="center"/>
            <w:hideMark/>
          </w:tcPr>
          <w:p w14:paraId="1A50701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7.54</w:t>
            </w:r>
          </w:p>
        </w:tc>
        <w:tc>
          <w:tcPr>
            <w:tcW w:w="509" w:type="pct"/>
            <w:shd w:val="clear" w:color="auto" w:fill="auto"/>
            <w:vAlign w:val="center"/>
            <w:hideMark/>
          </w:tcPr>
          <w:p w14:paraId="1AE90231"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89.92</w:t>
            </w:r>
          </w:p>
        </w:tc>
        <w:tc>
          <w:tcPr>
            <w:tcW w:w="443" w:type="pct"/>
            <w:shd w:val="clear" w:color="auto" w:fill="auto"/>
            <w:vAlign w:val="center"/>
            <w:hideMark/>
          </w:tcPr>
          <w:p w14:paraId="7805D17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01:12.4</w:t>
            </w:r>
          </w:p>
        </w:tc>
        <w:tc>
          <w:tcPr>
            <w:tcW w:w="691" w:type="pct"/>
            <w:shd w:val="clear" w:color="auto" w:fill="auto"/>
            <w:vAlign w:val="center"/>
            <w:hideMark/>
          </w:tcPr>
          <w:p w14:paraId="1242916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66,090</w:t>
            </w:r>
          </w:p>
        </w:tc>
      </w:tr>
      <w:tr w:rsidR="00C64570" w:rsidRPr="00C64570" w14:paraId="1FD32D7D" w14:textId="77777777" w:rsidTr="00C64570">
        <w:trPr>
          <w:trHeight w:val="945"/>
        </w:trPr>
        <w:tc>
          <w:tcPr>
            <w:tcW w:w="923" w:type="pct"/>
            <w:shd w:val="clear" w:color="auto" w:fill="auto"/>
            <w:vAlign w:val="center"/>
            <w:hideMark/>
          </w:tcPr>
          <w:p w14:paraId="37887EE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T5 (</w:t>
            </w:r>
            <w:proofErr w:type="spellStart"/>
            <w:r w:rsidRPr="00C64570">
              <w:rPr>
                <w:rFonts w:ascii="Arial" w:hAnsi="Arial" w:cs="Arial"/>
                <w:i/>
                <w:iCs/>
                <w:color w:val="000000"/>
                <w:lang w:val="en-IN" w:eastAsia="en-IN"/>
              </w:rPr>
              <w:t>Diafenthiuron</w:t>
            </w:r>
            <w:proofErr w:type="spellEnd"/>
            <w:r w:rsidRPr="00C64570">
              <w:rPr>
                <w:rFonts w:ascii="Arial" w:hAnsi="Arial" w:cs="Arial"/>
                <w:color w:val="000000"/>
                <w:lang w:val="en-IN" w:eastAsia="en-IN"/>
              </w:rPr>
              <w:t>)</w:t>
            </w:r>
          </w:p>
        </w:tc>
        <w:tc>
          <w:tcPr>
            <w:tcW w:w="541" w:type="pct"/>
            <w:shd w:val="clear" w:color="auto" w:fill="auto"/>
            <w:vAlign w:val="center"/>
            <w:hideMark/>
          </w:tcPr>
          <w:p w14:paraId="0A7979B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9.12</w:t>
            </w:r>
          </w:p>
        </w:tc>
        <w:tc>
          <w:tcPr>
            <w:tcW w:w="541" w:type="pct"/>
            <w:shd w:val="clear" w:color="auto" w:fill="auto"/>
            <w:vAlign w:val="center"/>
            <w:hideMark/>
          </w:tcPr>
          <w:p w14:paraId="713EA5A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62.34</w:t>
            </w:r>
          </w:p>
        </w:tc>
        <w:tc>
          <w:tcPr>
            <w:tcW w:w="497" w:type="pct"/>
            <w:shd w:val="clear" w:color="auto" w:fill="auto"/>
            <w:vAlign w:val="center"/>
            <w:hideMark/>
          </w:tcPr>
          <w:p w14:paraId="0B672CBA"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8.01</w:t>
            </w:r>
          </w:p>
        </w:tc>
        <w:tc>
          <w:tcPr>
            <w:tcW w:w="490" w:type="pct"/>
            <w:shd w:val="clear" w:color="auto" w:fill="auto"/>
            <w:vAlign w:val="center"/>
            <w:hideMark/>
          </w:tcPr>
          <w:p w14:paraId="102BA2A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63.45</w:t>
            </w:r>
          </w:p>
        </w:tc>
        <w:tc>
          <w:tcPr>
            <w:tcW w:w="365" w:type="pct"/>
            <w:shd w:val="clear" w:color="auto" w:fill="auto"/>
            <w:vAlign w:val="center"/>
            <w:hideMark/>
          </w:tcPr>
          <w:p w14:paraId="750CAF2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6.12</w:t>
            </w:r>
          </w:p>
        </w:tc>
        <w:tc>
          <w:tcPr>
            <w:tcW w:w="509" w:type="pct"/>
            <w:shd w:val="clear" w:color="auto" w:fill="auto"/>
            <w:vAlign w:val="center"/>
            <w:hideMark/>
          </w:tcPr>
          <w:p w14:paraId="02A818A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54.16</w:t>
            </w:r>
          </w:p>
        </w:tc>
        <w:tc>
          <w:tcPr>
            <w:tcW w:w="443" w:type="pct"/>
            <w:shd w:val="clear" w:color="auto" w:fill="auto"/>
            <w:vAlign w:val="center"/>
            <w:hideMark/>
          </w:tcPr>
          <w:p w14:paraId="05C67C0A"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01:04.0</w:t>
            </w:r>
          </w:p>
        </w:tc>
        <w:tc>
          <w:tcPr>
            <w:tcW w:w="691" w:type="pct"/>
            <w:shd w:val="clear" w:color="auto" w:fill="auto"/>
            <w:vAlign w:val="center"/>
            <w:hideMark/>
          </w:tcPr>
          <w:p w14:paraId="2A91360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33,120</w:t>
            </w:r>
          </w:p>
        </w:tc>
      </w:tr>
      <w:tr w:rsidR="00C64570" w:rsidRPr="00C64570" w14:paraId="3DB6C6B0" w14:textId="77777777" w:rsidTr="00C64570">
        <w:trPr>
          <w:trHeight w:val="945"/>
        </w:trPr>
        <w:tc>
          <w:tcPr>
            <w:tcW w:w="923" w:type="pct"/>
            <w:shd w:val="clear" w:color="auto" w:fill="auto"/>
            <w:vAlign w:val="center"/>
            <w:hideMark/>
          </w:tcPr>
          <w:p w14:paraId="0384D56A"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T6 (</w:t>
            </w:r>
            <w:r w:rsidRPr="00C64570">
              <w:rPr>
                <w:rFonts w:ascii="Arial" w:hAnsi="Arial" w:cs="Arial"/>
                <w:i/>
                <w:iCs/>
                <w:color w:val="000000"/>
                <w:lang w:val="en-IN" w:eastAsia="en-IN"/>
              </w:rPr>
              <w:t>Abamectin</w:t>
            </w:r>
            <w:r w:rsidRPr="00C64570">
              <w:rPr>
                <w:rFonts w:ascii="Arial" w:hAnsi="Arial" w:cs="Arial"/>
                <w:color w:val="000000"/>
                <w:lang w:val="en-IN" w:eastAsia="en-IN"/>
              </w:rPr>
              <w:t>)</w:t>
            </w:r>
          </w:p>
        </w:tc>
        <w:tc>
          <w:tcPr>
            <w:tcW w:w="541" w:type="pct"/>
            <w:shd w:val="clear" w:color="auto" w:fill="auto"/>
            <w:vAlign w:val="center"/>
            <w:hideMark/>
          </w:tcPr>
          <w:p w14:paraId="19FBF9C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10.34</w:t>
            </w:r>
          </w:p>
        </w:tc>
        <w:tc>
          <w:tcPr>
            <w:tcW w:w="541" w:type="pct"/>
            <w:shd w:val="clear" w:color="auto" w:fill="auto"/>
            <w:vAlign w:val="center"/>
            <w:hideMark/>
          </w:tcPr>
          <w:p w14:paraId="72AABE5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58.12</w:t>
            </w:r>
          </w:p>
        </w:tc>
        <w:tc>
          <w:tcPr>
            <w:tcW w:w="497" w:type="pct"/>
            <w:shd w:val="clear" w:color="auto" w:fill="auto"/>
            <w:vAlign w:val="center"/>
            <w:hideMark/>
          </w:tcPr>
          <w:p w14:paraId="1B5607A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9.23</w:t>
            </w:r>
          </w:p>
        </w:tc>
        <w:tc>
          <w:tcPr>
            <w:tcW w:w="490" w:type="pct"/>
            <w:shd w:val="clear" w:color="auto" w:fill="auto"/>
            <w:vAlign w:val="center"/>
            <w:hideMark/>
          </w:tcPr>
          <w:p w14:paraId="4E6FAE3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59.78</w:t>
            </w:r>
          </w:p>
        </w:tc>
        <w:tc>
          <w:tcPr>
            <w:tcW w:w="365" w:type="pct"/>
            <w:shd w:val="clear" w:color="auto" w:fill="auto"/>
            <w:vAlign w:val="center"/>
            <w:hideMark/>
          </w:tcPr>
          <w:p w14:paraId="2D7C329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5.67</w:t>
            </w:r>
          </w:p>
        </w:tc>
        <w:tc>
          <w:tcPr>
            <w:tcW w:w="509" w:type="pct"/>
            <w:shd w:val="clear" w:color="auto" w:fill="auto"/>
            <w:vAlign w:val="center"/>
            <w:hideMark/>
          </w:tcPr>
          <w:p w14:paraId="10AD1822"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42.82</w:t>
            </w:r>
          </w:p>
        </w:tc>
        <w:tc>
          <w:tcPr>
            <w:tcW w:w="443" w:type="pct"/>
            <w:shd w:val="clear" w:color="auto" w:fill="auto"/>
            <w:vAlign w:val="center"/>
            <w:hideMark/>
          </w:tcPr>
          <w:p w14:paraId="5B8384F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01:03.5</w:t>
            </w:r>
          </w:p>
        </w:tc>
        <w:tc>
          <w:tcPr>
            <w:tcW w:w="691" w:type="pct"/>
            <w:shd w:val="clear" w:color="auto" w:fill="auto"/>
            <w:vAlign w:val="center"/>
            <w:hideMark/>
          </w:tcPr>
          <w:p w14:paraId="5F904BB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28,340</w:t>
            </w:r>
          </w:p>
        </w:tc>
      </w:tr>
      <w:tr w:rsidR="00C64570" w:rsidRPr="00C64570" w14:paraId="039A02D1" w14:textId="77777777" w:rsidTr="00C64570">
        <w:trPr>
          <w:trHeight w:val="945"/>
        </w:trPr>
        <w:tc>
          <w:tcPr>
            <w:tcW w:w="923" w:type="pct"/>
            <w:shd w:val="clear" w:color="auto" w:fill="auto"/>
            <w:vAlign w:val="center"/>
            <w:hideMark/>
          </w:tcPr>
          <w:p w14:paraId="27F121C9"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T7 (</w:t>
            </w:r>
            <w:r w:rsidRPr="00C64570">
              <w:rPr>
                <w:rFonts w:ascii="Arial" w:hAnsi="Arial" w:cs="Arial"/>
                <w:i/>
                <w:iCs/>
                <w:color w:val="000000"/>
                <w:lang w:val="en-IN" w:eastAsia="en-IN"/>
              </w:rPr>
              <w:t>Spinetoram</w:t>
            </w:r>
            <w:r w:rsidRPr="00C64570">
              <w:rPr>
                <w:rFonts w:ascii="Arial" w:hAnsi="Arial" w:cs="Arial"/>
                <w:color w:val="000000"/>
                <w:lang w:val="en-IN" w:eastAsia="en-IN"/>
              </w:rPr>
              <w:t>)</w:t>
            </w:r>
          </w:p>
        </w:tc>
        <w:tc>
          <w:tcPr>
            <w:tcW w:w="541" w:type="pct"/>
            <w:shd w:val="clear" w:color="auto" w:fill="auto"/>
            <w:vAlign w:val="center"/>
            <w:hideMark/>
          </w:tcPr>
          <w:p w14:paraId="68A9D94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5.15</w:t>
            </w:r>
          </w:p>
        </w:tc>
        <w:tc>
          <w:tcPr>
            <w:tcW w:w="541" w:type="pct"/>
            <w:shd w:val="clear" w:color="auto" w:fill="auto"/>
            <w:vAlign w:val="center"/>
            <w:hideMark/>
          </w:tcPr>
          <w:p w14:paraId="57029BDE"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77.94</w:t>
            </w:r>
          </w:p>
        </w:tc>
        <w:tc>
          <w:tcPr>
            <w:tcW w:w="497" w:type="pct"/>
            <w:shd w:val="clear" w:color="auto" w:fill="auto"/>
            <w:vAlign w:val="center"/>
            <w:hideMark/>
          </w:tcPr>
          <w:p w14:paraId="1A226A4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4.42</w:t>
            </w:r>
          </w:p>
        </w:tc>
        <w:tc>
          <w:tcPr>
            <w:tcW w:w="490" w:type="pct"/>
            <w:shd w:val="clear" w:color="auto" w:fill="auto"/>
            <w:vAlign w:val="center"/>
            <w:hideMark/>
          </w:tcPr>
          <w:p w14:paraId="35538BA5"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79.09</w:t>
            </w:r>
          </w:p>
        </w:tc>
        <w:tc>
          <w:tcPr>
            <w:tcW w:w="365" w:type="pct"/>
            <w:shd w:val="clear" w:color="auto" w:fill="auto"/>
            <w:vAlign w:val="center"/>
            <w:hideMark/>
          </w:tcPr>
          <w:p w14:paraId="612103B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7.11</w:t>
            </w:r>
          </w:p>
        </w:tc>
        <w:tc>
          <w:tcPr>
            <w:tcW w:w="509" w:type="pct"/>
            <w:shd w:val="clear" w:color="auto" w:fill="auto"/>
            <w:vAlign w:val="center"/>
            <w:hideMark/>
          </w:tcPr>
          <w:p w14:paraId="4A988E5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79.09</w:t>
            </w:r>
          </w:p>
        </w:tc>
        <w:tc>
          <w:tcPr>
            <w:tcW w:w="443" w:type="pct"/>
            <w:shd w:val="clear" w:color="auto" w:fill="auto"/>
            <w:vAlign w:val="center"/>
            <w:hideMark/>
          </w:tcPr>
          <w:p w14:paraId="5998CFE1"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01:06.1</w:t>
            </w:r>
          </w:p>
        </w:tc>
        <w:tc>
          <w:tcPr>
            <w:tcW w:w="691" w:type="pct"/>
            <w:shd w:val="clear" w:color="auto" w:fill="auto"/>
            <w:vAlign w:val="center"/>
            <w:hideMark/>
          </w:tcPr>
          <w:p w14:paraId="566BE0C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54,230</w:t>
            </w:r>
          </w:p>
        </w:tc>
      </w:tr>
      <w:tr w:rsidR="00C64570" w:rsidRPr="00C64570" w14:paraId="5ACECA85" w14:textId="77777777" w:rsidTr="00C64570">
        <w:trPr>
          <w:trHeight w:val="945"/>
        </w:trPr>
        <w:tc>
          <w:tcPr>
            <w:tcW w:w="923" w:type="pct"/>
            <w:shd w:val="clear" w:color="auto" w:fill="auto"/>
            <w:vAlign w:val="center"/>
            <w:hideMark/>
          </w:tcPr>
          <w:p w14:paraId="466AAFF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T8 (</w:t>
            </w:r>
            <w:r w:rsidRPr="00C64570">
              <w:rPr>
                <w:rFonts w:ascii="Arial" w:hAnsi="Arial" w:cs="Arial"/>
                <w:i/>
                <w:iCs/>
                <w:color w:val="000000"/>
                <w:lang w:val="en-IN" w:eastAsia="en-IN"/>
              </w:rPr>
              <w:t>Fipronil</w:t>
            </w:r>
            <w:r w:rsidRPr="00C64570">
              <w:rPr>
                <w:rFonts w:ascii="Arial" w:hAnsi="Arial" w:cs="Arial"/>
                <w:color w:val="000000"/>
                <w:lang w:val="en-IN" w:eastAsia="en-IN"/>
              </w:rPr>
              <w:t>)</w:t>
            </w:r>
          </w:p>
        </w:tc>
        <w:tc>
          <w:tcPr>
            <w:tcW w:w="541" w:type="pct"/>
            <w:shd w:val="clear" w:color="auto" w:fill="auto"/>
            <w:vAlign w:val="center"/>
            <w:hideMark/>
          </w:tcPr>
          <w:p w14:paraId="05ED7EB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6.78</w:t>
            </w:r>
          </w:p>
        </w:tc>
        <w:tc>
          <w:tcPr>
            <w:tcW w:w="541" w:type="pct"/>
            <w:shd w:val="clear" w:color="auto" w:fill="auto"/>
            <w:vAlign w:val="center"/>
            <w:hideMark/>
          </w:tcPr>
          <w:p w14:paraId="0323AA4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70.23</w:t>
            </w:r>
          </w:p>
        </w:tc>
        <w:tc>
          <w:tcPr>
            <w:tcW w:w="497" w:type="pct"/>
            <w:shd w:val="clear" w:color="auto" w:fill="auto"/>
            <w:vAlign w:val="center"/>
            <w:hideMark/>
          </w:tcPr>
          <w:p w14:paraId="0A47E6D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5.89</w:t>
            </w:r>
          </w:p>
        </w:tc>
        <w:tc>
          <w:tcPr>
            <w:tcW w:w="490" w:type="pct"/>
            <w:shd w:val="clear" w:color="auto" w:fill="auto"/>
            <w:vAlign w:val="center"/>
            <w:hideMark/>
          </w:tcPr>
          <w:p w14:paraId="036FB4C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71.34</w:t>
            </w:r>
          </w:p>
        </w:tc>
        <w:tc>
          <w:tcPr>
            <w:tcW w:w="365" w:type="pct"/>
            <w:shd w:val="clear" w:color="auto" w:fill="auto"/>
            <w:vAlign w:val="center"/>
            <w:hideMark/>
          </w:tcPr>
          <w:p w14:paraId="6F770BA0"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6.61</w:t>
            </w:r>
          </w:p>
        </w:tc>
        <w:tc>
          <w:tcPr>
            <w:tcW w:w="509" w:type="pct"/>
            <w:shd w:val="clear" w:color="auto" w:fill="auto"/>
            <w:vAlign w:val="center"/>
            <w:hideMark/>
          </w:tcPr>
          <w:p w14:paraId="4505E5C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66.5</w:t>
            </w:r>
          </w:p>
        </w:tc>
        <w:tc>
          <w:tcPr>
            <w:tcW w:w="443" w:type="pct"/>
            <w:shd w:val="clear" w:color="auto" w:fill="auto"/>
            <w:vAlign w:val="center"/>
            <w:hideMark/>
          </w:tcPr>
          <w:p w14:paraId="0E4DB2FB"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01:08.5</w:t>
            </w:r>
          </w:p>
        </w:tc>
        <w:tc>
          <w:tcPr>
            <w:tcW w:w="691" w:type="pct"/>
            <w:shd w:val="clear" w:color="auto" w:fill="auto"/>
            <w:vAlign w:val="center"/>
            <w:hideMark/>
          </w:tcPr>
          <w:p w14:paraId="55D801ED"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47,230</w:t>
            </w:r>
          </w:p>
        </w:tc>
      </w:tr>
      <w:tr w:rsidR="00C64570" w:rsidRPr="00C64570" w14:paraId="3F1AF86C" w14:textId="77777777" w:rsidTr="00C64570">
        <w:trPr>
          <w:trHeight w:val="630"/>
        </w:trPr>
        <w:tc>
          <w:tcPr>
            <w:tcW w:w="923" w:type="pct"/>
            <w:shd w:val="clear" w:color="auto" w:fill="auto"/>
            <w:vAlign w:val="center"/>
            <w:hideMark/>
          </w:tcPr>
          <w:p w14:paraId="4A3C3FF6"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T9 (Control)</w:t>
            </w:r>
          </w:p>
        </w:tc>
        <w:tc>
          <w:tcPr>
            <w:tcW w:w="541" w:type="pct"/>
            <w:shd w:val="clear" w:color="auto" w:fill="auto"/>
            <w:vAlign w:val="center"/>
            <w:hideMark/>
          </w:tcPr>
          <w:p w14:paraId="046E8C9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39.67</w:t>
            </w:r>
          </w:p>
        </w:tc>
        <w:tc>
          <w:tcPr>
            <w:tcW w:w="541" w:type="pct"/>
            <w:shd w:val="clear" w:color="auto" w:fill="auto"/>
            <w:vAlign w:val="center"/>
            <w:hideMark/>
          </w:tcPr>
          <w:p w14:paraId="20138C77"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c>
          <w:tcPr>
            <w:tcW w:w="497" w:type="pct"/>
            <w:shd w:val="clear" w:color="auto" w:fill="auto"/>
            <w:vAlign w:val="center"/>
            <w:hideMark/>
          </w:tcPr>
          <w:p w14:paraId="29007963"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32.67</w:t>
            </w:r>
          </w:p>
        </w:tc>
        <w:tc>
          <w:tcPr>
            <w:tcW w:w="490" w:type="pct"/>
            <w:shd w:val="clear" w:color="auto" w:fill="auto"/>
            <w:vAlign w:val="center"/>
            <w:hideMark/>
          </w:tcPr>
          <w:p w14:paraId="123DA1BC"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c>
          <w:tcPr>
            <w:tcW w:w="365" w:type="pct"/>
            <w:shd w:val="clear" w:color="auto" w:fill="auto"/>
            <w:vAlign w:val="center"/>
            <w:hideMark/>
          </w:tcPr>
          <w:p w14:paraId="617269C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3.97</w:t>
            </w:r>
          </w:p>
        </w:tc>
        <w:tc>
          <w:tcPr>
            <w:tcW w:w="509" w:type="pct"/>
            <w:shd w:val="clear" w:color="auto" w:fill="auto"/>
            <w:vAlign w:val="center"/>
            <w:hideMark/>
          </w:tcPr>
          <w:p w14:paraId="7D521318"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c>
          <w:tcPr>
            <w:tcW w:w="443" w:type="pct"/>
            <w:shd w:val="clear" w:color="auto" w:fill="auto"/>
            <w:vAlign w:val="center"/>
            <w:hideMark/>
          </w:tcPr>
          <w:p w14:paraId="50B38B4F"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c>
          <w:tcPr>
            <w:tcW w:w="691" w:type="pct"/>
            <w:shd w:val="clear" w:color="auto" w:fill="auto"/>
            <w:vAlign w:val="center"/>
            <w:hideMark/>
          </w:tcPr>
          <w:p w14:paraId="12F43ED4" w14:textId="77777777" w:rsidR="00C64570" w:rsidRPr="00C64570" w:rsidRDefault="00C64570" w:rsidP="00C64570">
            <w:pPr>
              <w:jc w:val="center"/>
              <w:rPr>
                <w:rFonts w:ascii="Arial" w:hAnsi="Arial" w:cs="Arial"/>
                <w:color w:val="000000"/>
                <w:lang w:val="en-IN" w:eastAsia="en-IN"/>
              </w:rPr>
            </w:pPr>
            <w:r w:rsidRPr="00C64570">
              <w:rPr>
                <w:rFonts w:ascii="Arial" w:hAnsi="Arial" w:cs="Arial"/>
                <w:color w:val="000000"/>
                <w:lang w:val="en-IN" w:eastAsia="en-IN"/>
              </w:rPr>
              <w:t>-</w:t>
            </w:r>
          </w:p>
        </w:tc>
      </w:tr>
    </w:tbl>
    <w:p w14:paraId="08B923ED" w14:textId="77777777" w:rsidR="00C64570" w:rsidRDefault="00C64570" w:rsidP="00441B6F">
      <w:pPr>
        <w:pStyle w:val="Body"/>
        <w:spacing w:after="0"/>
        <w:rPr>
          <w:rFonts w:ascii="Arial" w:hAnsi="Arial" w:cs="Arial"/>
        </w:rPr>
      </w:pPr>
    </w:p>
    <w:p w14:paraId="41A3E2A9" w14:textId="77777777" w:rsidR="00C64570" w:rsidRPr="00C64570" w:rsidRDefault="00C64570" w:rsidP="00C64570">
      <w:pPr>
        <w:spacing w:before="100" w:beforeAutospacing="1" w:after="100" w:afterAutospacing="1" w:line="360" w:lineRule="auto"/>
        <w:jc w:val="both"/>
        <w:rPr>
          <w:rFonts w:ascii="Arial" w:hAnsi="Arial" w:cs="Arial"/>
          <w:szCs w:val="24"/>
          <w:lang w:eastAsia="en-IN"/>
        </w:rPr>
      </w:pPr>
      <w:r w:rsidRPr="00C64570">
        <w:rPr>
          <w:rFonts w:ascii="Arial" w:hAnsi="Arial" w:cs="Arial"/>
          <w:i/>
          <w:iCs/>
          <w:szCs w:val="24"/>
          <w:lang w:eastAsia="en-IN"/>
        </w:rPr>
        <w:t>Notes</w:t>
      </w:r>
      <w:r w:rsidRPr="00C64570">
        <w:rPr>
          <w:rFonts w:ascii="Arial" w:hAnsi="Arial" w:cs="Arial"/>
          <w:szCs w:val="24"/>
          <w:lang w:eastAsia="en-IN"/>
        </w:rPr>
        <w:t>: Fruit damage assessed on 50 fruits/plot; PROC = Reduction over control (%); ICBR = Incremental cost-benefit ratio; yield and economic data pooled over two seasons. Market price assumed at Rs 20,000/t.</w:t>
      </w:r>
    </w:p>
    <w:p w14:paraId="473B43A3" w14:textId="77777777" w:rsidR="00790ADA" w:rsidRPr="00FB3A86" w:rsidRDefault="00790ADA" w:rsidP="00441B6F">
      <w:pPr>
        <w:pStyle w:val="Body"/>
        <w:spacing w:after="0"/>
        <w:rPr>
          <w:rFonts w:ascii="Arial" w:hAnsi="Arial" w:cs="Arial"/>
        </w:rPr>
      </w:pPr>
    </w:p>
    <w:p w14:paraId="479EA0A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B86EC3C" w14:textId="77777777" w:rsidR="00790ADA" w:rsidRPr="00FB3A86" w:rsidRDefault="00790ADA" w:rsidP="00441B6F">
      <w:pPr>
        <w:pStyle w:val="ConcHead"/>
        <w:spacing w:after="0"/>
        <w:jc w:val="both"/>
        <w:rPr>
          <w:rFonts w:ascii="Arial" w:hAnsi="Arial" w:cs="Arial"/>
        </w:rPr>
      </w:pPr>
    </w:p>
    <w:p w14:paraId="72217609" w14:textId="77777777" w:rsidR="00C64570" w:rsidRPr="00C64570" w:rsidRDefault="00C64570" w:rsidP="00C64570">
      <w:pPr>
        <w:pStyle w:val="NormalWeb"/>
        <w:jc w:val="both"/>
        <w:rPr>
          <w:rFonts w:ascii="Arial" w:hAnsi="Arial" w:cs="Arial"/>
          <w:sz w:val="20"/>
        </w:rPr>
      </w:pPr>
      <w:proofErr w:type="spellStart"/>
      <w:r w:rsidRPr="00C64570">
        <w:rPr>
          <w:rFonts w:ascii="Arial" w:hAnsi="Arial" w:cs="Arial"/>
          <w:sz w:val="20"/>
        </w:rPr>
        <w:t>Flupyradifurone</w:t>
      </w:r>
      <w:proofErr w:type="spellEnd"/>
      <w:r w:rsidRPr="00C64570">
        <w:rPr>
          <w:rFonts w:ascii="Arial" w:hAnsi="Arial" w:cs="Arial"/>
          <w:sz w:val="20"/>
        </w:rPr>
        <w:t xml:space="preserve"> reduced </w:t>
      </w:r>
      <w:proofErr w:type="spellStart"/>
      <w:r w:rsidRPr="00C64570">
        <w:rPr>
          <w:rFonts w:ascii="Arial" w:hAnsi="Arial" w:cs="Arial"/>
          <w:sz w:val="20"/>
        </w:rPr>
        <w:t>Amrasca</w:t>
      </w:r>
      <w:proofErr w:type="spellEnd"/>
      <w:r w:rsidRPr="00C64570">
        <w:rPr>
          <w:rFonts w:ascii="Arial" w:hAnsi="Arial" w:cs="Arial"/>
          <w:sz w:val="20"/>
        </w:rPr>
        <w:t xml:space="preserve"> </w:t>
      </w:r>
      <w:proofErr w:type="spellStart"/>
      <w:r w:rsidRPr="00C64570">
        <w:rPr>
          <w:rFonts w:ascii="Arial" w:hAnsi="Arial" w:cs="Arial"/>
          <w:sz w:val="20"/>
        </w:rPr>
        <w:t>biguttula</w:t>
      </w:r>
      <w:proofErr w:type="spellEnd"/>
      <w:r w:rsidRPr="00C64570">
        <w:rPr>
          <w:rFonts w:ascii="Arial" w:hAnsi="Arial" w:cs="Arial"/>
          <w:sz w:val="20"/>
        </w:rPr>
        <w:t xml:space="preserve"> </w:t>
      </w:r>
      <w:proofErr w:type="spellStart"/>
      <w:r w:rsidRPr="00C64570">
        <w:rPr>
          <w:rFonts w:ascii="Arial" w:hAnsi="Arial" w:cs="Arial"/>
          <w:sz w:val="20"/>
        </w:rPr>
        <w:t>biguttula</w:t>
      </w:r>
      <w:proofErr w:type="spellEnd"/>
      <w:r w:rsidRPr="00C64570">
        <w:rPr>
          <w:rFonts w:ascii="Arial" w:hAnsi="Arial" w:cs="Arial"/>
          <w:sz w:val="20"/>
        </w:rPr>
        <w:t xml:space="preserve"> populations by 79.84% (2.47/plant, P = 0.05), </w:t>
      </w:r>
      <w:proofErr w:type="spellStart"/>
      <w:r w:rsidRPr="00C64570">
        <w:rPr>
          <w:rFonts w:ascii="Arial" w:hAnsi="Arial" w:cs="Arial"/>
          <w:sz w:val="20"/>
        </w:rPr>
        <w:t>diafenthiuron</w:t>
      </w:r>
      <w:proofErr w:type="spellEnd"/>
      <w:r w:rsidRPr="00C64570">
        <w:rPr>
          <w:rFonts w:ascii="Arial" w:hAnsi="Arial" w:cs="Arial"/>
          <w:sz w:val="20"/>
        </w:rPr>
        <w:t xml:space="preserve"> </w:t>
      </w:r>
      <w:proofErr w:type="spellStart"/>
      <w:r w:rsidRPr="00C64570">
        <w:rPr>
          <w:rFonts w:ascii="Arial" w:hAnsi="Arial" w:cs="Arial"/>
          <w:sz w:val="20"/>
        </w:rPr>
        <w:t>Bemisia</w:t>
      </w:r>
      <w:proofErr w:type="spellEnd"/>
      <w:r w:rsidRPr="00C64570">
        <w:rPr>
          <w:rFonts w:ascii="Arial" w:hAnsi="Arial" w:cs="Arial"/>
          <w:sz w:val="20"/>
        </w:rPr>
        <w:t xml:space="preserve"> </w:t>
      </w:r>
      <w:proofErr w:type="spellStart"/>
      <w:r w:rsidRPr="00C64570">
        <w:rPr>
          <w:rFonts w:ascii="Arial" w:hAnsi="Arial" w:cs="Arial"/>
          <w:sz w:val="20"/>
        </w:rPr>
        <w:t>tabaci</w:t>
      </w:r>
      <w:proofErr w:type="spellEnd"/>
      <w:r w:rsidRPr="00C64570">
        <w:rPr>
          <w:rFonts w:ascii="Arial" w:hAnsi="Arial" w:cs="Arial"/>
          <w:sz w:val="20"/>
        </w:rPr>
        <w:t xml:space="preserve"> by 79.39% (1.20/plant, P = 0.05), and </w:t>
      </w:r>
      <w:proofErr w:type="spellStart"/>
      <w:r w:rsidRPr="00C64570">
        <w:rPr>
          <w:rFonts w:ascii="Arial" w:hAnsi="Arial" w:cs="Arial"/>
          <w:sz w:val="20"/>
        </w:rPr>
        <w:t>emamectin</w:t>
      </w:r>
      <w:proofErr w:type="spellEnd"/>
      <w:r w:rsidRPr="00C64570">
        <w:rPr>
          <w:rFonts w:ascii="Arial" w:hAnsi="Arial" w:cs="Arial"/>
          <w:sz w:val="20"/>
        </w:rPr>
        <w:t xml:space="preserve"> benzoate </w:t>
      </w:r>
      <w:proofErr w:type="spellStart"/>
      <w:r w:rsidRPr="00C64570">
        <w:rPr>
          <w:rFonts w:ascii="Arial" w:hAnsi="Arial" w:cs="Arial"/>
          <w:sz w:val="20"/>
        </w:rPr>
        <w:t>Earias</w:t>
      </w:r>
      <w:proofErr w:type="spellEnd"/>
      <w:r w:rsidRPr="00C64570">
        <w:rPr>
          <w:rFonts w:ascii="Arial" w:hAnsi="Arial" w:cs="Arial"/>
          <w:sz w:val="20"/>
        </w:rPr>
        <w:t xml:space="preserve"> </w:t>
      </w:r>
      <w:proofErr w:type="spellStart"/>
      <w:r w:rsidRPr="00C64570">
        <w:rPr>
          <w:rFonts w:ascii="Arial" w:hAnsi="Arial" w:cs="Arial"/>
          <w:sz w:val="20"/>
        </w:rPr>
        <w:t>vittella</w:t>
      </w:r>
      <w:proofErr w:type="spellEnd"/>
      <w:r w:rsidRPr="00C64570">
        <w:rPr>
          <w:rFonts w:ascii="Arial" w:hAnsi="Arial" w:cs="Arial"/>
          <w:sz w:val="20"/>
        </w:rPr>
        <w:t xml:space="preserve"> damage by 82.35–83.92% (4.12% number, 3.40% weight, P = 0.05). </w:t>
      </w:r>
      <w:proofErr w:type="spellStart"/>
      <w:r w:rsidRPr="00C64570">
        <w:rPr>
          <w:rFonts w:ascii="Arial" w:hAnsi="Arial" w:cs="Arial"/>
          <w:sz w:val="20"/>
        </w:rPr>
        <w:t>Emamectin</w:t>
      </w:r>
      <w:proofErr w:type="spellEnd"/>
      <w:r w:rsidRPr="00C64570">
        <w:rPr>
          <w:rFonts w:ascii="Arial" w:hAnsi="Arial" w:cs="Arial"/>
          <w:sz w:val="20"/>
        </w:rPr>
        <w:t xml:space="preserve"> benzoate achieved the highest yield (7.54 t/ha, 89.92% increase, P = 0.05) and incremental cost-benefit ratio (1:12.44, Rs 66,090/ha). These insecticides preserved coccinellid populations (3.89–4.25/5 leaves, P = 0.12 vs. control), supporting their efficacy and ecological safety for integrated pest management in okra cultivation.</w:t>
      </w:r>
    </w:p>
    <w:p w14:paraId="6BF2BD13" w14:textId="77777777" w:rsidR="002B685A" w:rsidRDefault="002B685A" w:rsidP="00441B6F">
      <w:pPr>
        <w:pStyle w:val="ReferHead"/>
        <w:spacing w:after="0"/>
        <w:jc w:val="both"/>
        <w:rPr>
          <w:rFonts w:ascii="Arial" w:hAnsi="Arial" w:cs="Arial"/>
          <w:b w:val="0"/>
          <w:caps w:val="0"/>
          <w:sz w:val="20"/>
        </w:rPr>
      </w:pPr>
    </w:p>
    <w:p w14:paraId="5A4C6AE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0ACFFA6" w14:textId="77777777" w:rsidR="00790ADA" w:rsidRPr="00FB3A86" w:rsidRDefault="00790ADA" w:rsidP="00441B6F">
      <w:pPr>
        <w:pStyle w:val="ReferHead"/>
        <w:spacing w:after="0"/>
        <w:jc w:val="both"/>
        <w:rPr>
          <w:rFonts w:ascii="Arial" w:hAnsi="Arial" w:cs="Arial"/>
        </w:rPr>
      </w:pPr>
    </w:p>
    <w:p w14:paraId="47D848D7"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National Horticulture Board. </w:t>
      </w:r>
      <w:r w:rsidRPr="00A119F8">
        <w:rPr>
          <w:rStyle w:val="Emphasis"/>
          <w:rFonts w:ascii="Arial" w:hAnsi="Arial" w:cs="Arial"/>
          <w:sz w:val="20"/>
        </w:rPr>
        <w:t>Horticultural Statistics at a Glance 2018</w:t>
      </w:r>
      <w:r w:rsidRPr="00A119F8">
        <w:rPr>
          <w:rFonts w:ascii="Arial" w:hAnsi="Arial" w:cs="Arial"/>
          <w:sz w:val="20"/>
        </w:rPr>
        <w:t>. Ministry of Agriculture, Government of India, 2018. http://www.nhb.gov.in/statistics.</w:t>
      </w:r>
    </w:p>
    <w:p w14:paraId="4F6F2929"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Gopalan, C., Rama Sastri, B. V. &amp; Balasubramanian, S. C. </w:t>
      </w:r>
      <w:r w:rsidRPr="00A119F8">
        <w:rPr>
          <w:rStyle w:val="Emphasis"/>
          <w:rFonts w:ascii="Arial" w:hAnsi="Arial" w:cs="Arial"/>
          <w:sz w:val="20"/>
        </w:rPr>
        <w:t>Nutritive Value of Indian Foods</w:t>
      </w:r>
      <w:r w:rsidRPr="00A119F8">
        <w:rPr>
          <w:rFonts w:ascii="Arial" w:hAnsi="Arial" w:cs="Arial"/>
          <w:sz w:val="20"/>
        </w:rPr>
        <w:t>. National Institute of Nutrition, Indian Counc</w:t>
      </w:r>
      <w:bookmarkStart w:id="0" w:name="_GoBack"/>
      <w:bookmarkEnd w:id="0"/>
      <w:r w:rsidRPr="00A119F8">
        <w:rPr>
          <w:rFonts w:ascii="Arial" w:hAnsi="Arial" w:cs="Arial"/>
          <w:sz w:val="20"/>
        </w:rPr>
        <w:t>il of Medical Research, Hyderabad, 2007; 47–58.</w:t>
      </w:r>
    </w:p>
    <w:p w14:paraId="768AE78D"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Anitha, K. R. &amp; </w:t>
      </w:r>
      <w:proofErr w:type="spellStart"/>
      <w:r w:rsidRPr="00A119F8">
        <w:rPr>
          <w:rFonts w:ascii="Arial" w:hAnsi="Arial" w:cs="Arial"/>
          <w:sz w:val="20"/>
        </w:rPr>
        <w:t>Nandihalli</w:t>
      </w:r>
      <w:proofErr w:type="spellEnd"/>
      <w:r w:rsidRPr="00A119F8">
        <w:rPr>
          <w:rFonts w:ascii="Arial" w:hAnsi="Arial" w:cs="Arial"/>
          <w:sz w:val="20"/>
        </w:rPr>
        <w:t xml:space="preserve">, B. S. Seasonal incidence and management of sucking pests of okra. </w:t>
      </w:r>
      <w:r w:rsidRPr="00A119F8">
        <w:rPr>
          <w:rStyle w:val="Emphasis"/>
          <w:rFonts w:ascii="Arial" w:hAnsi="Arial" w:cs="Arial"/>
          <w:sz w:val="20"/>
        </w:rPr>
        <w:t>Karnataka J. Agric. Sci.</w:t>
      </w:r>
      <w:r w:rsidRPr="00A119F8">
        <w:rPr>
          <w:rFonts w:ascii="Arial" w:hAnsi="Arial" w:cs="Arial"/>
          <w:sz w:val="20"/>
        </w:rPr>
        <w:t>, 2008; 21(2): 290–292.</w:t>
      </w:r>
    </w:p>
    <w:p w14:paraId="49E20E5F"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Singh, D. K. &amp; Brak, R. S. Assessment of yield losses due to shoot and fruit borer in okra. </w:t>
      </w:r>
      <w:r w:rsidRPr="00A119F8">
        <w:rPr>
          <w:rStyle w:val="Emphasis"/>
          <w:rFonts w:ascii="Arial" w:hAnsi="Arial" w:cs="Arial"/>
          <w:sz w:val="20"/>
        </w:rPr>
        <w:t xml:space="preserve">Indian J. </w:t>
      </w:r>
      <w:proofErr w:type="spellStart"/>
      <w:r w:rsidRPr="00A119F8">
        <w:rPr>
          <w:rStyle w:val="Emphasis"/>
          <w:rFonts w:ascii="Arial" w:hAnsi="Arial" w:cs="Arial"/>
          <w:sz w:val="20"/>
        </w:rPr>
        <w:t>Entomol</w:t>
      </w:r>
      <w:proofErr w:type="spellEnd"/>
      <w:r w:rsidRPr="00A119F8">
        <w:rPr>
          <w:rStyle w:val="Emphasis"/>
          <w:rFonts w:ascii="Arial" w:hAnsi="Arial" w:cs="Arial"/>
          <w:sz w:val="20"/>
        </w:rPr>
        <w:t>.</w:t>
      </w:r>
      <w:r w:rsidRPr="00A119F8">
        <w:rPr>
          <w:rFonts w:ascii="Arial" w:hAnsi="Arial" w:cs="Arial"/>
          <w:sz w:val="20"/>
        </w:rPr>
        <w:t>, 1994; 56(3): 212–218.</w:t>
      </w:r>
    </w:p>
    <w:p w14:paraId="004E3FFC"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Insecticide Resistance Action Committee. </w:t>
      </w:r>
      <w:r w:rsidRPr="00A119F8">
        <w:rPr>
          <w:rStyle w:val="Emphasis"/>
          <w:rFonts w:ascii="Arial" w:hAnsi="Arial" w:cs="Arial"/>
          <w:sz w:val="20"/>
        </w:rPr>
        <w:t>IRAC Mode of Action Classification</w:t>
      </w:r>
      <w:r w:rsidRPr="00A119F8">
        <w:rPr>
          <w:rFonts w:ascii="Arial" w:hAnsi="Arial" w:cs="Arial"/>
          <w:sz w:val="20"/>
        </w:rPr>
        <w:t>. 2007. https://www.irac-online.org/documents/moa-classification.</w:t>
      </w:r>
    </w:p>
    <w:p w14:paraId="54F9687C"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Wale, M., Sharma, R. &amp; Kumar, S. Efficacy of </w:t>
      </w:r>
      <w:proofErr w:type="spellStart"/>
      <w:r w:rsidRPr="00A119F8">
        <w:rPr>
          <w:rFonts w:ascii="Arial" w:hAnsi="Arial" w:cs="Arial"/>
          <w:sz w:val="20"/>
        </w:rPr>
        <w:t>flupyradifurone</w:t>
      </w:r>
      <w:proofErr w:type="spellEnd"/>
      <w:r w:rsidRPr="00A119F8">
        <w:rPr>
          <w:rFonts w:ascii="Arial" w:hAnsi="Arial" w:cs="Arial"/>
          <w:sz w:val="20"/>
        </w:rPr>
        <w:t xml:space="preserve"> against sucking pests in brinjal. </w:t>
      </w:r>
      <w:r w:rsidRPr="00A119F8">
        <w:rPr>
          <w:rStyle w:val="Emphasis"/>
          <w:rFonts w:ascii="Arial" w:hAnsi="Arial" w:cs="Arial"/>
          <w:sz w:val="20"/>
        </w:rPr>
        <w:t xml:space="preserve">J. </w:t>
      </w:r>
      <w:proofErr w:type="spellStart"/>
      <w:r w:rsidRPr="00A119F8">
        <w:rPr>
          <w:rStyle w:val="Emphasis"/>
          <w:rFonts w:ascii="Arial" w:hAnsi="Arial" w:cs="Arial"/>
          <w:sz w:val="20"/>
        </w:rPr>
        <w:t>Entomol</w:t>
      </w:r>
      <w:proofErr w:type="spellEnd"/>
      <w:r w:rsidRPr="00A119F8">
        <w:rPr>
          <w:rStyle w:val="Emphasis"/>
          <w:rFonts w:ascii="Arial" w:hAnsi="Arial" w:cs="Arial"/>
          <w:sz w:val="20"/>
        </w:rPr>
        <w:t>. Res.</w:t>
      </w:r>
      <w:r w:rsidRPr="00A119F8">
        <w:rPr>
          <w:rFonts w:ascii="Arial" w:hAnsi="Arial" w:cs="Arial"/>
          <w:sz w:val="20"/>
        </w:rPr>
        <w:t>, 2017; 41(2): 123–130. https://doi.org/10.5958/0974-4576.2017.00023.4.</w:t>
      </w:r>
    </w:p>
    <w:p w14:paraId="7F2A30E4"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Razaq, M., Aslam, M. &amp; Shad, S. A. Efficacy of </w:t>
      </w:r>
      <w:proofErr w:type="spellStart"/>
      <w:r w:rsidRPr="00A119F8">
        <w:rPr>
          <w:rFonts w:ascii="Arial" w:hAnsi="Arial" w:cs="Arial"/>
          <w:sz w:val="20"/>
        </w:rPr>
        <w:t>diafenthiuron</w:t>
      </w:r>
      <w:proofErr w:type="spellEnd"/>
      <w:r w:rsidRPr="00A119F8">
        <w:rPr>
          <w:rFonts w:ascii="Arial" w:hAnsi="Arial" w:cs="Arial"/>
          <w:sz w:val="20"/>
        </w:rPr>
        <w:t xml:space="preserve"> against whitefly in cotton. </w:t>
      </w:r>
      <w:r w:rsidRPr="00A119F8">
        <w:rPr>
          <w:rStyle w:val="Emphasis"/>
          <w:rFonts w:ascii="Arial" w:hAnsi="Arial" w:cs="Arial"/>
          <w:sz w:val="20"/>
        </w:rPr>
        <w:t>Pak. J. Zool.</w:t>
      </w:r>
      <w:r w:rsidRPr="00A119F8">
        <w:rPr>
          <w:rFonts w:ascii="Arial" w:hAnsi="Arial" w:cs="Arial"/>
          <w:sz w:val="20"/>
        </w:rPr>
        <w:t>, 2005; 37(4): 297–302.</w:t>
      </w:r>
    </w:p>
    <w:p w14:paraId="10A28CDF"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Panse, V. G. &amp; </w:t>
      </w:r>
      <w:proofErr w:type="spellStart"/>
      <w:r w:rsidRPr="00A119F8">
        <w:rPr>
          <w:rFonts w:ascii="Arial" w:hAnsi="Arial" w:cs="Arial"/>
          <w:sz w:val="20"/>
        </w:rPr>
        <w:t>Sukhatme</w:t>
      </w:r>
      <w:proofErr w:type="spellEnd"/>
      <w:r w:rsidRPr="00A119F8">
        <w:rPr>
          <w:rFonts w:ascii="Arial" w:hAnsi="Arial" w:cs="Arial"/>
          <w:sz w:val="20"/>
        </w:rPr>
        <w:t xml:space="preserve">, P. V. </w:t>
      </w:r>
      <w:r w:rsidRPr="00A119F8">
        <w:rPr>
          <w:rStyle w:val="Emphasis"/>
          <w:rFonts w:ascii="Arial" w:hAnsi="Arial" w:cs="Arial"/>
          <w:sz w:val="20"/>
        </w:rPr>
        <w:t>Statistical Methods for Agricultural Workers</w:t>
      </w:r>
      <w:r w:rsidRPr="00A119F8">
        <w:rPr>
          <w:rFonts w:ascii="Arial" w:hAnsi="Arial" w:cs="Arial"/>
          <w:sz w:val="20"/>
        </w:rPr>
        <w:t>. 2nd ed. Indian Council of Agricultural Research, New Delhi, 1967; 150–157.</w:t>
      </w:r>
    </w:p>
    <w:p w14:paraId="47030C2C"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Garg, D. K., Singh, H. M. &amp; Sharma, A. K. </w:t>
      </w:r>
      <w:proofErr w:type="spellStart"/>
      <w:r w:rsidRPr="00A119F8">
        <w:rPr>
          <w:rFonts w:ascii="Arial" w:hAnsi="Arial" w:cs="Arial"/>
          <w:sz w:val="20"/>
        </w:rPr>
        <w:t>Bioefficacy</w:t>
      </w:r>
      <w:proofErr w:type="spellEnd"/>
      <w:r w:rsidRPr="00A119F8">
        <w:rPr>
          <w:rFonts w:ascii="Arial" w:hAnsi="Arial" w:cs="Arial"/>
          <w:sz w:val="20"/>
        </w:rPr>
        <w:t xml:space="preserve"> of clothianidin against </w:t>
      </w:r>
      <w:proofErr w:type="spellStart"/>
      <w:r w:rsidRPr="00A119F8">
        <w:rPr>
          <w:rFonts w:ascii="Arial" w:hAnsi="Arial" w:cs="Arial"/>
          <w:sz w:val="20"/>
        </w:rPr>
        <w:t>jassids</w:t>
      </w:r>
      <w:proofErr w:type="spellEnd"/>
      <w:r w:rsidRPr="00A119F8">
        <w:rPr>
          <w:rFonts w:ascii="Arial" w:hAnsi="Arial" w:cs="Arial"/>
          <w:sz w:val="20"/>
        </w:rPr>
        <w:t xml:space="preserve"> in okra. </w:t>
      </w:r>
      <w:r w:rsidRPr="00A119F8">
        <w:rPr>
          <w:rStyle w:val="Emphasis"/>
          <w:rFonts w:ascii="Arial" w:hAnsi="Arial" w:cs="Arial"/>
          <w:sz w:val="20"/>
        </w:rPr>
        <w:t>J. Insect Sci.</w:t>
      </w:r>
      <w:r w:rsidRPr="00A119F8">
        <w:rPr>
          <w:rFonts w:ascii="Arial" w:hAnsi="Arial" w:cs="Arial"/>
          <w:sz w:val="20"/>
        </w:rPr>
        <w:t>, 2018; 31(1): 45–50.</w:t>
      </w:r>
    </w:p>
    <w:p w14:paraId="5AF6C08F" w14:textId="77777777" w:rsidR="00A119F8" w:rsidRPr="00A119F8" w:rsidRDefault="00A119F8" w:rsidP="00A119F8">
      <w:pPr>
        <w:pStyle w:val="NormalWeb"/>
        <w:jc w:val="both"/>
        <w:rPr>
          <w:rFonts w:ascii="Arial" w:hAnsi="Arial" w:cs="Arial"/>
          <w:sz w:val="20"/>
        </w:rPr>
      </w:pPr>
      <w:proofErr w:type="spellStart"/>
      <w:r w:rsidRPr="00A119F8">
        <w:rPr>
          <w:rFonts w:ascii="Arial" w:hAnsi="Arial" w:cs="Arial"/>
          <w:sz w:val="20"/>
        </w:rPr>
        <w:t>Kuttalam</w:t>
      </w:r>
      <w:proofErr w:type="spellEnd"/>
      <w:r w:rsidRPr="00A119F8">
        <w:rPr>
          <w:rFonts w:ascii="Arial" w:hAnsi="Arial" w:cs="Arial"/>
          <w:sz w:val="20"/>
        </w:rPr>
        <w:t xml:space="preserve">, S., </w:t>
      </w:r>
      <w:proofErr w:type="spellStart"/>
      <w:r w:rsidRPr="00A119F8">
        <w:rPr>
          <w:rFonts w:ascii="Arial" w:hAnsi="Arial" w:cs="Arial"/>
          <w:sz w:val="20"/>
        </w:rPr>
        <w:t>Boomathi</w:t>
      </w:r>
      <w:proofErr w:type="spellEnd"/>
      <w:r w:rsidRPr="00A119F8">
        <w:rPr>
          <w:rFonts w:ascii="Arial" w:hAnsi="Arial" w:cs="Arial"/>
          <w:sz w:val="20"/>
        </w:rPr>
        <w:t xml:space="preserve">, N. &amp; Kumar, M. Field efficacy of </w:t>
      </w:r>
      <w:proofErr w:type="spellStart"/>
      <w:r w:rsidRPr="00A119F8">
        <w:rPr>
          <w:rFonts w:ascii="Arial" w:hAnsi="Arial" w:cs="Arial"/>
          <w:sz w:val="20"/>
        </w:rPr>
        <w:t>emamectin</w:t>
      </w:r>
      <w:proofErr w:type="spellEnd"/>
      <w:r w:rsidRPr="00A119F8">
        <w:rPr>
          <w:rFonts w:ascii="Arial" w:hAnsi="Arial" w:cs="Arial"/>
          <w:sz w:val="20"/>
        </w:rPr>
        <w:t xml:space="preserve"> benzoate against fruit borer in okra. </w:t>
      </w:r>
      <w:proofErr w:type="spellStart"/>
      <w:r w:rsidRPr="00A119F8">
        <w:rPr>
          <w:rStyle w:val="Emphasis"/>
          <w:rFonts w:ascii="Arial" w:hAnsi="Arial" w:cs="Arial"/>
          <w:sz w:val="20"/>
        </w:rPr>
        <w:t>Pestic</w:t>
      </w:r>
      <w:proofErr w:type="spellEnd"/>
      <w:r w:rsidRPr="00A119F8">
        <w:rPr>
          <w:rStyle w:val="Emphasis"/>
          <w:rFonts w:ascii="Arial" w:hAnsi="Arial" w:cs="Arial"/>
          <w:sz w:val="20"/>
        </w:rPr>
        <w:t>. Res. J.</w:t>
      </w:r>
      <w:r w:rsidRPr="00A119F8">
        <w:rPr>
          <w:rFonts w:ascii="Arial" w:hAnsi="Arial" w:cs="Arial"/>
          <w:sz w:val="20"/>
        </w:rPr>
        <w:t>, 2008; 20(2): 223–227.</w:t>
      </w:r>
    </w:p>
    <w:p w14:paraId="47462037" w14:textId="77777777" w:rsidR="00A119F8" w:rsidRPr="00A119F8" w:rsidRDefault="00A119F8" w:rsidP="00A119F8">
      <w:pPr>
        <w:pStyle w:val="NormalWeb"/>
        <w:jc w:val="both"/>
        <w:rPr>
          <w:rFonts w:ascii="Arial" w:hAnsi="Arial" w:cs="Arial"/>
          <w:sz w:val="20"/>
        </w:rPr>
      </w:pPr>
      <w:proofErr w:type="spellStart"/>
      <w:r w:rsidRPr="00A119F8">
        <w:rPr>
          <w:rFonts w:ascii="Arial" w:hAnsi="Arial" w:cs="Arial"/>
          <w:sz w:val="20"/>
        </w:rPr>
        <w:t>Mohanasundaram</w:t>
      </w:r>
      <w:proofErr w:type="spellEnd"/>
      <w:r w:rsidRPr="00A119F8">
        <w:rPr>
          <w:rFonts w:ascii="Arial" w:hAnsi="Arial" w:cs="Arial"/>
          <w:sz w:val="20"/>
        </w:rPr>
        <w:t xml:space="preserve">, A. &amp; Sharma, R. N. Safety of spinosyns to natural enemies in okra ecosystem. </w:t>
      </w:r>
      <w:r w:rsidRPr="00A119F8">
        <w:rPr>
          <w:rStyle w:val="Emphasis"/>
          <w:rFonts w:ascii="Arial" w:hAnsi="Arial" w:cs="Arial"/>
          <w:sz w:val="20"/>
        </w:rPr>
        <w:t>Indian J. Agric. Sci.</w:t>
      </w:r>
      <w:r w:rsidRPr="00A119F8">
        <w:rPr>
          <w:rFonts w:ascii="Arial" w:hAnsi="Arial" w:cs="Arial"/>
          <w:sz w:val="20"/>
        </w:rPr>
        <w:t>, 2011; 81(6): 543–547.</w:t>
      </w:r>
    </w:p>
    <w:p w14:paraId="684EB7E4" w14:textId="77777777" w:rsidR="00A119F8" w:rsidRPr="00A119F8" w:rsidRDefault="00A119F8" w:rsidP="00A119F8">
      <w:pPr>
        <w:pStyle w:val="NormalWeb"/>
        <w:jc w:val="both"/>
        <w:rPr>
          <w:rFonts w:ascii="Arial" w:hAnsi="Arial" w:cs="Arial"/>
          <w:sz w:val="20"/>
        </w:rPr>
      </w:pPr>
      <w:proofErr w:type="spellStart"/>
      <w:r w:rsidRPr="00A119F8">
        <w:rPr>
          <w:rFonts w:ascii="Arial" w:hAnsi="Arial" w:cs="Arial"/>
          <w:sz w:val="20"/>
        </w:rPr>
        <w:lastRenderedPageBreak/>
        <w:t>Visnupriya</w:t>
      </w:r>
      <w:proofErr w:type="spellEnd"/>
      <w:r w:rsidRPr="00A119F8">
        <w:rPr>
          <w:rFonts w:ascii="Arial" w:hAnsi="Arial" w:cs="Arial"/>
          <w:sz w:val="20"/>
        </w:rPr>
        <w:t xml:space="preserve">, M. &amp; Muthukrishnan, N. Safety of spinetoram to coccinellids in vegetable crops. </w:t>
      </w:r>
      <w:r w:rsidRPr="00A119F8">
        <w:rPr>
          <w:rStyle w:val="Emphasis"/>
          <w:rFonts w:ascii="Arial" w:hAnsi="Arial" w:cs="Arial"/>
          <w:sz w:val="20"/>
        </w:rPr>
        <w:t xml:space="preserve">J. </w:t>
      </w:r>
      <w:proofErr w:type="spellStart"/>
      <w:r w:rsidRPr="00A119F8">
        <w:rPr>
          <w:rStyle w:val="Emphasis"/>
          <w:rFonts w:ascii="Arial" w:hAnsi="Arial" w:cs="Arial"/>
          <w:sz w:val="20"/>
        </w:rPr>
        <w:t>Biopestic</w:t>
      </w:r>
      <w:proofErr w:type="spellEnd"/>
      <w:r w:rsidRPr="00A119F8">
        <w:rPr>
          <w:rStyle w:val="Emphasis"/>
          <w:rFonts w:ascii="Arial" w:hAnsi="Arial" w:cs="Arial"/>
          <w:sz w:val="20"/>
        </w:rPr>
        <w:t>.</w:t>
      </w:r>
      <w:r w:rsidRPr="00A119F8">
        <w:rPr>
          <w:rFonts w:ascii="Arial" w:hAnsi="Arial" w:cs="Arial"/>
          <w:sz w:val="20"/>
        </w:rPr>
        <w:t>, 2017; 10(2): 93–98. https://doi.org/10.57182/jbiopestic.10.2.93-98.</w:t>
      </w:r>
    </w:p>
    <w:p w14:paraId="2EF1A4D5" w14:textId="77777777" w:rsidR="00A119F8" w:rsidRPr="00A119F8" w:rsidRDefault="00A119F8" w:rsidP="00A119F8">
      <w:pPr>
        <w:pStyle w:val="NormalWeb"/>
        <w:jc w:val="both"/>
        <w:rPr>
          <w:rFonts w:ascii="Arial" w:hAnsi="Arial" w:cs="Arial"/>
          <w:sz w:val="20"/>
        </w:rPr>
      </w:pPr>
      <w:r w:rsidRPr="00A119F8">
        <w:rPr>
          <w:rFonts w:ascii="Arial" w:hAnsi="Arial" w:cs="Arial"/>
          <w:sz w:val="20"/>
        </w:rPr>
        <w:t xml:space="preserve">Patra, S., Chatterjee, M. L. &amp; Mondal, S. </w:t>
      </w:r>
      <w:proofErr w:type="spellStart"/>
      <w:r w:rsidRPr="00A119F8">
        <w:rPr>
          <w:rFonts w:ascii="Arial" w:hAnsi="Arial" w:cs="Arial"/>
          <w:sz w:val="20"/>
        </w:rPr>
        <w:t>Bioefficacy</w:t>
      </w:r>
      <w:proofErr w:type="spellEnd"/>
      <w:r w:rsidRPr="00A119F8">
        <w:rPr>
          <w:rFonts w:ascii="Arial" w:hAnsi="Arial" w:cs="Arial"/>
          <w:sz w:val="20"/>
        </w:rPr>
        <w:t xml:space="preserve"> and economics of insecticides in okra pest management. </w:t>
      </w:r>
      <w:r w:rsidRPr="00A119F8">
        <w:rPr>
          <w:rStyle w:val="Emphasis"/>
          <w:rFonts w:ascii="Arial" w:hAnsi="Arial" w:cs="Arial"/>
          <w:sz w:val="20"/>
        </w:rPr>
        <w:t>J. Crop Weed</w:t>
      </w:r>
      <w:r w:rsidRPr="00A119F8">
        <w:rPr>
          <w:rFonts w:ascii="Arial" w:hAnsi="Arial" w:cs="Arial"/>
          <w:sz w:val="20"/>
        </w:rPr>
        <w:t>, 2007; 3(2): 35–38.</w:t>
      </w:r>
    </w:p>
    <w:p w14:paraId="074D54A7" w14:textId="77777777" w:rsidR="00A119F8" w:rsidRPr="00A119F8" w:rsidRDefault="00A119F8" w:rsidP="00A119F8">
      <w:pPr>
        <w:pStyle w:val="NormalWeb"/>
        <w:jc w:val="both"/>
        <w:rPr>
          <w:rFonts w:ascii="Arial" w:hAnsi="Arial" w:cs="Arial"/>
          <w:sz w:val="20"/>
        </w:rPr>
      </w:pPr>
      <w:proofErr w:type="spellStart"/>
      <w:r w:rsidRPr="00A119F8">
        <w:rPr>
          <w:rFonts w:ascii="Arial" w:hAnsi="Arial" w:cs="Arial"/>
          <w:sz w:val="20"/>
        </w:rPr>
        <w:t>Harinkhere</w:t>
      </w:r>
      <w:proofErr w:type="spellEnd"/>
      <w:r w:rsidRPr="00A119F8">
        <w:rPr>
          <w:rFonts w:ascii="Arial" w:hAnsi="Arial" w:cs="Arial"/>
          <w:sz w:val="20"/>
        </w:rPr>
        <w:t xml:space="preserve">, J. P. Economic viability of novel insecticides in okra cultivation. </w:t>
      </w:r>
      <w:r w:rsidRPr="00A119F8">
        <w:rPr>
          <w:rStyle w:val="Emphasis"/>
          <w:rFonts w:ascii="Arial" w:hAnsi="Arial" w:cs="Arial"/>
          <w:sz w:val="20"/>
        </w:rPr>
        <w:t>Agric. Econ. Res. Rev.</w:t>
      </w:r>
      <w:r w:rsidRPr="00A119F8">
        <w:rPr>
          <w:rFonts w:ascii="Arial" w:hAnsi="Arial" w:cs="Arial"/>
          <w:sz w:val="20"/>
        </w:rPr>
        <w:t>, 2014; 27(1): 89–95. https://doi.org/10.5958/j.0974-0279.27.1.010.</w:t>
      </w:r>
    </w:p>
    <w:p w14:paraId="3CB532E8" w14:textId="77777777" w:rsidR="004D4277" w:rsidRPr="00FB3A86" w:rsidRDefault="004D4277" w:rsidP="00441B6F">
      <w:pPr>
        <w:pStyle w:val="Appendix"/>
        <w:spacing w:after="0"/>
        <w:jc w:val="both"/>
        <w:rPr>
          <w:rFonts w:ascii="Arial" w:hAnsi="Arial" w:cs="Arial"/>
          <w:b w:val="0"/>
        </w:rPr>
        <w:sectPr w:rsidR="004D4277" w:rsidRPr="00FB3A86" w:rsidSect="003E2A2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E6EB684" w14:textId="77777777" w:rsidR="00B01FCD" w:rsidRPr="00FB3A86" w:rsidRDefault="00B01FCD" w:rsidP="00441B6F">
      <w:pPr>
        <w:pStyle w:val="Appendix"/>
        <w:spacing w:after="0"/>
        <w:jc w:val="both"/>
        <w:rPr>
          <w:rFonts w:ascii="Arial" w:hAnsi="Arial" w:cs="Arial"/>
          <w:b w:val="0"/>
        </w:rPr>
      </w:pPr>
    </w:p>
    <w:sectPr w:rsidR="00B01FCD" w:rsidRPr="00FB3A86" w:rsidSect="003E2A2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3381" w14:textId="77777777" w:rsidR="00C96CB8" w:rsidRDefault="00C96CB8" w:rsidP="00C37E61">
      <w:r>
        <w:separator/>
      </w:r>
    </w:p>
  </w:endnote>
  <w:endnote w:type="continuationSeparator" w:id="0">
    <w:p w14:paraId="173861B9" w14:textId="77777777" w:rsidR="00C96CB8" w:rsidRDefault="00C96C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9601" w14:textId="77777777" w:rsidR="009D0D0C" w:rsidRDefault="009D0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6281" w14:textId="77777777" w:rsidR="009D0D0C" w:rsidRDefault="009D0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3FF8" w14:textId="77777777" w:rsidR="009E048A" w:rsidRDefault="009E048A">
    <w:pPr>
      <w:pStyle w:val="Footer"/>
      <w:rPr>
        <w:rFonts w:ascii="Arial" w:hAnsi="Arial" w:cs="Arial"/>
        <w:sz w:val="16"/>
      </w:rPr>
    </w:pPr>
  </w:p>
  <w:p w14:paraId="4D22EFA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04FA17E" w14:textId="77777777" w:rsidR="009E048A" w:rsidRDefault="009E048A">
    <w:pPr>
      <w:pStyle w:val="Footer"/>
      <w:rPr>
        <w:rFonts w:ascii="Arial" w:hAnsi="Arial" w:cs="Arial"/>
        <w:sz w:val="16"/>
      </w:rPr>
    </w:pPr>
  </w:p>
  <w:p w14:paraId="19F34CD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979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CC48" w14:textId="77777777" w:rsidR="00C96CB8" w:rsidRDefault="00C96CB8" w:rsidP="00C37E61">
      <w:r>
        <w:separator/>
      </w:r>
    </w:p>
  </w:footnote>
  <w:footnote w:type="continuationSeparator" w:id="0">
    <w:p w14:paraId="181A142E" w14:textId="77777777" w:rsidR="00C96CB8" w:rsidRDefault="00C96C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ED19" w14:textId="119E935F" w:rsidR="009D0D0C" w:rsidRDefault="009D0D0C">
    <w:pPr>
      <w:pStyle w:val="Header"/>
    </w:pPr>
    <w:r>
      <w:rPr>
        <w:noProof/>
      </w:rPr>
      <w:pict w14:anchorId="6154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E61B" w14:textId="0EA18479" w:rsidR="009D0D0C" w:rsidRDefault="009D0D0C">
    <w:pPr>
      <w:pStyle w:val="Header"/>
    </w:pPr>
    <w:r>
      <w:rPr>
        <w:noProof/>
      </w:rPr>
      <w:pict w14:anchorId="2FB6B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6AA0" w14:textId="102A78D7" w:rsidR="00296529" w:rsidRPr="00296529" w:rsidRDefault="009D0D0C" w:rsidP="00296529">
    <w:pPr>
      <w:ind w:left="2160"/>
      <w:jc w:val="center"/>
      <w:rPr>
        <w:rFonts w:ascii="Times New Roman" w:eastAsia="Calibri" w:hAnsi="Times New Roman"/>
        <w:i/>
        <w:sz w:val="18"/>
        <w:szCs w:val="22"/>
      </w:rPr>
    </w:pPr>
    <w:r>
      <w:rPr>
        <w:noProof/>
      </w:rPr>
      <w:pict w14:anchorId="6710F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1C946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9251D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59B5F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A776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77842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014868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573A" w14:textId="2C494206" w:rsidR="009D0D0C" w:rsidRDefault="009D0D0C">
    <w:pPr>
      <w:pStyle w:val="Header"/>
    </w:pPr>
    <w:r>
      <w:rPr>
        <w:noProof/>
      </w:rPr>
      <w:pict w14:anchorId="2DFF0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3F7B" w14:textId="728526C2" w:rsidR="009D0D0C" w:rsidRDefault="009D0D0C">
    <w:pPr>
      <w:pStyle w:val="Header"/>
    </w:pPr>
    <w:r>
      <w:rPr>
        <w:noProof/>
      </w:rPr>
      <w:pict w14:anchorId="5747A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0705" w14:textId="28CD8145" w:rsidR="009D0D0C" w:rsidRDefault="009D0D0C">
    <w:pPr>
      <w:pStyle w:val="Header"/>
    </w:pPr>
    <w:r>
      <w:rPr>
        <w:noProof/>
      </w:rPr>
      <w:pict w14:anchorId="79F7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30D09"/>
    <w:multiLevelType w:val="multilevel"/>
    <w:tmpl w:val="79EA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2CBD"/>
    <w:rsid w:val="001D3A51"/>
    <w:rsid w:val="001E10D2"/>
    <w:rsid w:val="001E25B4"/>
    <w:rsid w:val="001E44FE"/>
    <w:rsid w:val="00200595"/>
    <w:rsid w:val="00204835"/>
    <w:rsid w:val="00231920"/>
    <w:rsid w:val="0023195C"/>
    <w:rsid w:val="0024282C"/>
    <w:rsid w:val="002460DC"/>
    <w:rsid w:val="00250985"/>
    <w:rsid w:val="002556F6"/>
    <w:rsid w:val="002701B3"/>
    <w:rsid w:val="00283105"/>
    <w:rsid w:val="00284C4C"/>
    <w:rsid w:val="00287E68"/>
    <w:rsid w:val="00296529"/>
    <w:rsid w:val="002B27FB"/>
    <w:rsid w:val="002B685A"/>
    <w:rsid w:val="002C57D2"/>
    <w:rsid w:val="002E0D56"/>
    <w:rsid w:val="002F06A0"/>
    <w:rsid w:val="00315186"/>
    <w:rsid w:val="0033343E"/>
    <w:rsid w:val="0035019D"/>
    <w:rsid w:val="003512C2"/>
    <w:rsid w:val="00371FB6"/>
    <w:rsid w:val="003763C1"/>
    <w:rsid w:val="00376BBE"/>
    <w:rsid w:val="0039224F"/>
    <w:rsid w:val="003A43A4"/>
    <w:rsid w:val="003A7E18"/>
    <w:rsid w:val="003C4C86"/>
    <w:rsid w:val="003C6258"/>
    <w:rsid w:val="003E2904"/>
    <w:rsid w:val="003E2A2E"/>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22D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1960"/>
    <w:rsid w:val="006D30FF"/>
    <w:rsid w:val="006D6940"/>
    <w:rsid w:val="006F11EC"/>
    <w:rsid w:val="0070082C"/>
    <w:rsid w:val="00721ED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36DF"/>
    <w:rsid w:val="00875803"/>
    <w:rsid w:val="008B459E"/>
    <w:rsid w:val="008C516B"/>
    <w:rsid w:val="008E13AE"/>
    <w:rsid w:val="008E1506"/>
    <w:rsid w:val="008E710C"/>
    <w:rsid w:val="008F69D6"/>
    <w:rsid w:val="00902823"/>
    <w:rsid w:val="00905F9B"/>
    <w:rsid w:val="00915CA6"/>
    <w:rsid w:val="00927834"/>
    <w:rsid w:val="009500A6"/>
    <w:rsid w:val="00957C18"/>
    <w:rsid w:val="009659BA"/>
    <w:rsid w:val="00983040"/>
    <w:rsid w:val="00985ACA"/>
    <w:rsid w:val="009B3FB9"/>
    <w:rsid w:val="009C1622"/>
    <w:rsid w:val="009C2465"/>
    <w:rsid w:val="009D0D0C"/>
    <w:rsid w:val="009D35A0"/>
    <w:rsid w:val="009D7EB7"/>
    <w:rsid w:val="009E048A"/>
    <w:rsid w:val="009E08E9"/>
    <w:rsid w:val="009E3DB9"/>
    <w:rsid w:val="009E6E35"/>
    <w:rsid w:val="009F0EDA"/>
    <w:rsid w:val="00A03B96"/>
    <w:rsid w:val="00A05B19"/>
    <w:rsid w:val="00A1134E"/>
    <w:rsid w:val="00A119F8"/>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4570"/>
    <w:rsid w:val="00C70F1B"/>
    <w:rsid w:val="00C71A47"/>
    <w:rsid w:val="00C7464C"/>
    <w:rsid w:val="00C85588"/>
    <w:rsid w:val="00C9116E"/>
    <w:rsid w:val="00C96CB8"/>
    <w:rsid w:val="00CD6755"/>
    <w:rsid w:val="00CD6856"/>
    <w:rsid w:val="00CE0089"/>
    <w:rsid w:val="00CE793C"/>
    <w:rsid w:val="00CF193C"/>
    <w:rsid w:val="00D173F1"/>
    <w:rsid w:val="00D74CB0"/>
    <w:rsid w:val="00D8295D"/>
    <w:rsid w:val="00D850A1"/>
    <w:rsid w:val="00DC2A65"/>
    <w:rsid w:val="00DE15F0"/>
    <w:rsid w:val="00DE5663"/>
    <w:rsid w:val="00DE78AA"/>
    <w:rsid w:val="00DE7DD1"/>
    <w:rsid w:val="00DF4B51"/>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806C94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9116E"/>
    <w:pPr>
      <w:spacing w:before="100" w:beforeAutospacing="1" w:after="100" w:afterAutospacing="1"/>
    </w:pPr>
    <w:rPr>
      <w:rFonts w:ascii="Times New Roman" w:hAnsi="Times New Roman"/>
      <w:sz w:val="24"/>
      <w:szCs w:val="24"/>
      <w:lang w:val="en-IN" w:eastAsia="en-IN"/>
    </w:rPr>
  </w:style>
  <w:style w:type="paragraph" w:customStyle="1" w:styleId="break-words">
    <w:name w:val="break-words"/>
    <w:basedOn w:val="Normal"/>
    <w:rsid w:val="00DE7DD1"/>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DF4B51"/>
    <w:rPr>
      <w:b/>
      <w:bCs/>
    </w:rPr>
  </w:style>
  <w:style w:type="character" w:styleId="UnresolvedMention">
    <w:name w:val="Unresolved Mention"/>
    <w:basedOn w:val="DefaultParagraphFont"/>
    <w:uiPriority w:val="99"/>
    <w:semiHidden/>
    <w:unhideWhenUsed/>
    <w:rsid w:val="0027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328712">
      <w:bodyDiv w:val="1"/>
      <w:marLeft w:val="0"/>
      <w:marRight w:val="0"/>
      <w:marTop w:val="0"/>
      <w:marBottom w:val="0"/>
      <w:divBdr>
        <w:top w:val="none" w:sz="0" w:space="0" w:color="auto"/>
        <w:left w:val="none" w:sz="0" w:space="0" w:color="auto"/>
        <w:bottom w:val="none" w:sz="0" w:space="0" w:color="auto"/>
        <w:right w:val="none" w:sz="0" w:space="0" w:color="auto"/>
      </w:divBdr>
    </w:div>
    <w:div w:id="1099803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7684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635478">
      <w:bodyDiv w:val="1"/>
      <w:marLeft w:val="0"/>
      <w:marRight w:val="0"/>
      <w:marTop w:val="0"/>
      <w:marBottom w:val="0"/>
      <w:divBdr>
        <w:top w:val="none" w:sz="0" w:space="0" w:color="auto"/>
        <w:left w:val="none" w:sz="0" w:space="0" w:color="auto"/>
        <w:bottom w:val="none" w:sz="0" w:space="0" w:color="auto"/>
        <w:right w:val="none" w:sz="0" w:space="0" w:color="auto"/>
      </w:divBdr>
    </w:div>
    <w:div w:id="329333128">
      <w:bodyDiv w:val="1"/>
      <w:marLeft w:val="0"/>
      <w:marRight w:val="0"/>
      <w:marTop w:val="0"/>
      <w:marBottom w:val="0"/>
      <w:divBdr>
        <w:top w:val="none" w:sz="0" w:space="0" w:color="auto"/>
        <w:left w:val="none" w:sz="0" w:space="0" w:color="auto"/>
        <w:bottom w:val="none" w:sz="0" w:space="0" w:color="auto"/>
        <w:right w:val="none" w:sz="0" w:space="0" w:color="auto"/>
      </w:divBdr>
    </w:div>
    <w:div w:id="421344871">
      <w:bodyDiv w:val="1"/>
      <w:marLeft w:val="0"/>
      <w:marRight w:val="0"/>
      <w:marTop w:val="0"/>
      <w:marBottom w:val="0"/>
      <w:divBdr>
        <w:top w:val="none" w:sz="0" w:space="0" w:color="auto"/>
        <w:left w:val="none" w:sz="0" w:space="0" w:color="auto"/>
        <w:bottom w:val="none" w:sz="0" w:space="0" w:color="auto"/>
        <w:right w:val="none" w:sz="0" w:space="0" w:color="auto"/>
      </w:divBdr>
    </w:div>
    <w:div w:id="544608489">
      <w:bodyDiv w:val="1"/>
      <w:marLeft w:val="0"/>
      <w:marRight w:val="0"/>
      <w:marTop w:val="0"/>
      <w:marBottom w:val="0"/>
      <w:divBdr>
        <w:top w:val="none" w:sz="0" w:space="0" w:color="auto"/>
        <w:left w:val="none" w:sz="0" w:space="0" w:color="auto"/>
        <w:bottom w:val="none" w:sz="0" w:space="0" w:color="auto"/>
        <w:right w:val="none" w:sz="0" w:space="0" w:color="auto"/>
      </w:divBdr>
    </w:div>
    <w:div w:id="5885870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16788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272512">
      <w:bodyDiv w:val="1"/>
      <w:marLeft w:val="0"/>
      <w:marRight w:val="0"/>
      <w:marTop w:val="0"/>
      <w:marBottom w:val="0"/>
      <w:divBdr>
        <w:top w:val="none" w:sz="0" w:space="0" w:color="auto"/>
        <w:left w:val="none" w:sz="0" w:space="0" w:color="auto"/>
        <w:bottom w:val="none" w:sz="0" w:space="0" w:color="auto"/>
        <w:right w:val="none" w:sz="0" w:space="0" w:color="auto"/>
      </w:divBdr>
    </w:div>
    <w:div w:id="1402947680">
      <w:bodyDiv w:val="1"/>
      <w:marLeft w:val="0"/>
      <w:marRight w:val="0"/>
      <w:marTop w:val="0"/>
      <w:marBottom w:val="0"/>
      <w:divBdr>
        <w:top w:val="none" w:sz="0" w:space="0" w:color="auto"/>
        <w:left w:val="none" w:sz="0" w:space="0" w:color="auto"/>
        <w:bottom w:val="none" w:sz="0" w:space="0" w:color="auto"/>
        <w:right w:val="none" w:sz="0" w:space="0" w:color="auto"/>
      </w:divBdr>
    </w:div>
    <w:div w:id="1634559679">
      <w:bodyDiv w:val="1"/>
      <w:marLeft w:val="0"/>
      <w:marRight w:val="0"/>
      <w:marTop w:val="0"/>
      <w:marBottom w:val="0"/>
      <w:divBdr>
        <w:top w:val="none" w:sz="0" w:space="0" w:color="auto"/>
        <w:left w:val="none" w:sz="0" w:space="0" w:color="auto"/>
        <w:bottom w:val="none" w:sz="0" w:space="0" w:color="auto"/>
        <w:right w:val="none" w:sz="0" w:space="0" w:color="auto"/>
      </w:divBdr>
    </w:div>
    <w:div w:id="1644043404">
      <w:bodyDiv w:val="1"/>
      <w:marLeft w:val="0"/>
      <w:marRight w:val="0"/>
      <w:marTop w:val="0"/>
      <w:marBottom w:val="0"/>
      <w:divBdr>
        <w:top w:val="none" w:sz="0" w:space="0" w:color="auto"/>
        <w:left w:val="none" w:sz="0" w:space="0" w:color="auto"/>
        <w:bottom w:val="none" w:sz="0" w:space="0" w:color="auto"/>
        <w:right w:val="none" w:sz="0" w:space="0" w:color="auto"/>
      </w:divBdr>
    </w:div>
    <w:div w:id="17061702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
    <w:div w:id="19167471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6193991">
      <w:bodyDiv w:val="1"/>
      <w:marLeft w:val="0"/>
      <w:marRight w:val="0"/>
      <w:marTop w:val="0"/>
      <w:marBottom w:val="0"/>
      <w:divBdr>
        <w:top w:val="none" w:sz="0" w:space="0" w:color="auto"/>
        <w:left w:val="none" w:sz="0" w:space="0" w:color="auto"/>
        <w:bottom w:val="none" w:sz="0" w:space="0" w:color="auto"/>
        <w:right w:val="none" w:sz="0" w:space="0" w:color="auto"/>
      </w:divBdr>
    </w:div>
    <w:div w:id="21357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AD6F-035B-4315-B8AF-7E4D6077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11</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19357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2025-05-28T11:04:00Z</dcterms:modified>
</cp:coreProperties>
</file>