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0036" w14:textId="77777777" w:rsidR="00997293" w:rsidRDefault="00997293" w:rsidP="004D6005">
      <w:pPr>
        <w:pStyle w:val="Title"/>
        <w:framePr w:w="0" w:hSpace="0" w:vSpace="0" w:wrap="auto" w:vAnchor="margin" w:hAnchor="text" w:xAlign="left" w:yAlign="inline"/>
        <w:spacing w:after="240"/>
        <w:rPr>
          <w:rFonts w:ascii="Calibri" w:hAnsi="Calibri" w:cs="Calibri"/>
          <w:b/>
          <w:sz w:val="28"/>
          <w:szCs w:val="24"/>
        </w:rPr>
      </w:pPr>
      <w:r w:rsidRPr="00EA6582">
        <w:rPr>
          <w:rFonts w:ascii="Calibri" w:hAnsi="Calibri" w:cs="Calibri"/>
          <w:b/>
          <w:sz w:val="28"/>
          <w:szCs w:val="24"/>
        </w:rPr>
        <w:t>Exploration of Local Shallot Rhizobacteria with IAA Production and Phosphate Solubilization Ability for Improving Shallot Growth in Saline Soil</w:t>
      </w:r>
    </w:p>
    <w:p w14:paraId="7C3503C6" w14:textId="77777777" w:rsidR="005B7EE7" w:rsidRPr="005B7EE7" w:rsidRDefault="005B7EE7" w:rsidP="005B7EE7"/>
    <w:p w14:paraId="7E77BC62" w14:textId="77777777" w:rsidR="00F649E0" w:rsidRDefault="00F649E0" w:rsidP="00997293">
      <w:pPr>
        <w:jc w:val="center"/>
        <w:rPr>
          <w:rFonts w:ascii="Calibri" w:hAnsi="Calibri" w:cs="Calibri"/>
          <w:bCs/>
          <w:iCs/>
          <w:sz w:val="24"/>
          <w:szCs w:val="24"/>
          <w:lang w:val="en"/>
        </w:rPr>
      </w:pPr>
    </w:p>
    <w:p w14:paraId="56093751" w14:textId="4FFB8059" w:rsidR="005D4374" w:rsidRPr="00EA6582" w:rsidRDefault="005D4374" w:rsidP="00997293">
      <w:pPr>
        <w:jc w:val="center"/>
        <w:rPr>
          <w:rFonts w:ascii="Calibri" w:hAnsi="Calibri" w:cs="Calibri"/>
          <w:sz w:val="24"/>
          <w:szCs w:val="24"/>
        </w:rPr>
      </w:pPr>
      <w:r>
        <w:rPr>
          <w:rFonts w:ascii="Calibri" w:hAnsi="Calibri" w:cs="Calibri"/>
          <w:bCs/>
          <w:iCs/>
          <w:sz w:val="24"/>
          <w:szCs w:val="24"/>
          <w:lang w:val="en"/>
        </w:rPr>
        <w:t>Abstract</w:t>
      </w:r>
    </w:p>
    <w:p w14:paraId="2F66229F" w14:textId="77777777" w:rsidR="00997293" w:rsidRPr="00EA6582" w:rsidRDefault="00997293" w:rsidP="00997293">
      <w:pPr>
        <w:jc w:val="both"/>
        <w:rPr>
          <w:rFonts w:ascii="Calibri" w:hAnsi="Calibri" w:cs="Calibri"/>
          <w:bCs/>
          <w:sz w:val="24"/>
          <w:szCs w:val="24"/>
        </w:rPr>
      </w:pPr>
      <w:bookmarkStart w:id="0" w:name="PointTmp"/>
      <w:r w:rsidRPr="00EA6582">
        <w:rPr>
          <w:rFonts w:ascii="Calibri" w:hAnsi="Calibri" w:cs="Calibri"/>
          <w:bCs/>
          <w:sz w:val="24"/>
          <w:szCs w:val="24"/>
        </w:rPr>
        <w:t>Shallot (</w:t>
      </w:r>
      <w:r w:rsidRPr="00EA6582">
        <w:rPr>
          <w:rFonts w:ascii="Calibri" w:hAnsi="Calibri" w:cs="Calibri"/>
          <w:bCs/>
          <w:i/>
          <w:iCs/>
          <w:sz w:val="24"/>
          <w:szCs w:val="24"/>
        </w:rPr>
        <w:t>Allium ascalonicum</w:t>
      </w:r>
      <w:r w:rsidRPr="00EA6582">
        <w:rPr>
          <w:rFonts w:ascii="Calibri" w:hAnsi="Calibri" w:cs="Calibri"/>
          <w:bCs/>
          <w:sz w:val="24"/>
          <w:szCs w:val="24"/>
        </w:rPr>
        <w:t xml:space="preserve"> L.) is an important commodity with a growing global demand. However, the expansion of shallot cultivation is limited by the decreasing availability of fertile land and increasing soil salinity</w:t>
      </w:r>
      <w:r w:rsidR="006B0138">
        <w:rPr>
          <w:rFonts w:ascii="Calibri" w:hAnsi="Calibri" w:cs="Calibri"/>
          <w:bCs/>
          <w:sz w:val="24"/>
          <w:szCs w:val="24"/>
        </w:rPr>
        <w:t xml:space="preserve">. </w:t>
      </w:r>
      <w:r w:rsidRPr="00EA6582">
        <w:rPr>
          <w:rFonts w:ascii="Calibri" w:hAnsi="Calibri" w:cs="Calibri"/>
          <w:bCs/>
          <w:sz w:val="24"/>
          <w:szCs w:val="24"/>
        </w:rPr>
        <w:t xml:space="preserve">This study investigated the potential of rhizosphere bacteria as plant growth-promoting rhizobacteria (PGPR) to improve shallot growth in salinity-affected soils. This research aims to find bacteria that have the ability to produce indole-3-acetic acid (IAA), dissolve phosphate, and are able to grow at high salinity levels. </w:t>
      </w:r>
      <w:r w:rsidR="006B0138">
        <w:rPr>
          <w:rFonts w:ascii="Calibri" w:hAnsi="Calibri" w:cs="Calibri"/>
          <w:bCs/>
          <w:sz w:val="24"/>
          <w:szCs w:val="24"/>
        </w:rPr>
        <w:t>R</w:t>
      </w:r>
      <w:r w:rsidRPr="00EA6582">
        <w:rPr>
          <w:rFonts w:ascii="Calibri" w:hAnsi="Calibri" w:cs="Calibri"/>
          <w:bCs/>
          <w:sz w:val="24"/>
          <w:szCs w:val="24"/>
        </w:rPr>
        <w:t>esearch was conducted in Brebes Regency, Indonesia, using a survey method and purposive sampling technique. A total of ten isolates were successfully selected based on their characteristics as PGPR capable of producing IAA and solubilizing phosphate. The results showed that the highest IAA productio</w:t>
      </w:r>
      <w:r w:rsidR="006B0138">
        <w:rPr>
          <w:rFonts w:ascii="Calibri" w:hAnsi="Calibri" w:cs="Calibri"/>
          <w:bCs/>
          <w:sz w:val="24"/>
          <w:szCs w:val="24"/>
        </w:rPr>
        <w:t xml:space="preserve">n was observed in isolate KL1K2, </w:t>
      </w:r>
      <w:r w:rsidRPr="00EA6582">
        <w:rPr>
          <w:rFonts w:ascii="Calibri" w:hAnsi="Calibri" w:cs="Calibri"/>
          <w:bCs/>
          <w:sz w:val="24"/>
          <w:szCs w:val="24"/>
        </w:rPr>
        <w:t xml:space="preserve">while the highest amount of phosphate dissolution </w:t>
      </w:r>
      <w:r w:rsidR="006B0138">
        <w:rPr>
          <w:rFonts w:ascii="Calibri" w:hAnsi="Calibri" w:cs="Calibri"/>
          <w:bCs/>
          <w:sz w:val="24"/>
          <w:szCs w:val="24"/>
        </w:rPr>
        <w:t xml:space="preserve">was recorded in isolate KL3ASH1. </w:t>
      </w:r>
      <w:r w:rsidRPr="00EA6582">
        <w:rPr>
          <w:rFonts w:ascii="Calibri" w:hAnsi="Calibri" w:cs="Calibri"/>
          <w:bCs/>
          <w:sz w:val="24"/>
          <w:szCs w:val="24"/>
        </w:rPr>
        <w:t xml:space="preserve">In addition, isolates KL1K2, KL4ASH3, K4K1, K4P1, K4RZ3, K4RZ6, K3RZ1, K3IS4, KL3ASH1, KL1K2, and K4RZ6 showed nitrogen fixation ability. Isolates KL1K2, K3RZ1, K4RZ3, K4P1, and KL4ASH3 can also produce siderophores. </w:t>
      </w:r>
    </w:p>
    <w:p w14:paraId="7C4AECA0" w14:textId="77777777" w:rsidR="00DC539A" w:rsidRPr="00EA6582" w:rsidRDefault="00997293" w:rsidP="00997293">
      <w:pPr>
        <w:rPr>
          <w:rFonts w:ascii="Calibri" w:hAnsi="Calibri" w:cs="Calibri"/>
          <w:bCs/>
          <w:sz w:val="24"/>
          <w:szCs w:val="24"/>
        </w:rPr>
      </w:pPr>
      <w:r w:rsidRPr="009E1770">
        <w:rPr>
          <w:rFonts w:ascii="Calibri" w:hAnsi="Calibri" w:cs="Calibri"/>
          <w:bCs/>
          <w:i/>
          <w:iCs/>
          <w:sz w:val="24"/>
          <w:szCs w:val="24"/>
        </w:rPr>
        <w:t>Keyword</w:t>
      </w:r>
      <w:bookmarkEnd w:id="0"/>
      <w:r w:rsidRPr="009E1770">
        <w:rPr>
          <w:rFonts w:ascii="Calibri" w:hAnsi="Calibri" w:cs="Calibri"/>
          <w:bCs/>
          <w:i/>
          <w:iCs/>
          <w:sz w:val="24"/>
          <w:szCs w:val="24"/>
        </w:rPr>
        <w:t>s</w:t>
      </w:r>
      <w:r w:rsidRPr="00CF221A">
        <w:rPr>
          <w:rFonts w:ascii="Calibri" w:hAnsi="Calibri" w:cs="Calibri"/>
          <w:bCs/>
          <w:iCs/>
          <w:sz w:val="24"/>
          <w:szCs w:val="24"/>
        </w:rPr>
        <w:t>:</w:t>
      </w:r>
      <w:r w:rsidRPr="00CF221A">
        <w:rPr>
          <w:rFonts w:ascii="Calibri" w:hAnsi="Calibri" w:cs="Calibri"/>
          <w:bCs/>
          <w:sz w:val="24"/>
          <w:szCs w:val="24"/>
        </w:rPr>
        <w:t xml:space="preserve"> Shallot, PGPR</w:t>
      </w:r>
      <w:r w:rsidRPr="00EA6582">
        <w:rPr>
          <w:rFonts w:ascii="Calibri" w:hAnsi="Calibri" w:cs="Calibri"/>
          <w:bCs/>
          <w:sz w:val="24"/>
          <w:szCs w:val="24"/>
        </w:rPr>
        <w:t xml:space="preserve">, IAA, </w:t>
      </w:r>
      <w:r w:rsidR="001A238C" w:rsidRPr="00EA6582">
        <w:rPr>
          <w:rFonts w:ascii="Calibri" w:hAnsi="Calibri" w:cs="Calibri"/>
          <w:bCs/>
          <w:sz w:val="24"/>
          <w:szCs w:val="24"/>
        </w:rPr>
        <w:t>phosphate solubilization, saline soil.</w:t>
      </w:r>
    </w:p>
    <w:p w14:paraId="61649F2C" w14:textId="77777777" w:rsidR="00997293" w:rsidRPr="00EA6582" w:rsidRDefault="00997293" w:rsidP="00997293">
      <w:pPr>
        <w:rPr>
          <w:rFonts w:ascii="Calibri" w:hAnsi="Calibri" w:cs="Calibri"/>
          <w:bCs/>
          <w:sz w:val="24"/>
          <w:szCs w:val="24"/>
        </w:rPr>
      </w:pPr>
    </w:p>
    <w:p w14:paraId="6C3B4E4C" w14:textId="77777777" w:rsidR="00997293" w:rsidRPr="00EA6582" w:rsidRDefault="00997293" w:rsidP="00CF221A">
      <w:pPr>
        <w:jc w:val="center"/>
        <w:rPr>
          <w:rFonts w:ascii="Calibri" w:hAnsi="Calibri" w:cs="Calibri"/>
          <w:b/>
          <w:bCs/>
          <w:sz w:val="24"/>
          <w:szCs w:val="24"/>
        </w:rPr>
      </w:pPr>
      <w:r w:rsidRPr="00EA6582">
        <w:rPr>
          <w:rFonts w:ascii="Calibri" w:hAnsi="Calibri" w:cs="Calibri"/>
          <w:b/>
          <w:bCs/>
          <w:sz w:val="24"/>
          <w:szCs w:val="24"/>
        </w:rPr>
        <w:t>Introduction</w:t>
      </w:r>
    </w:p>
    <w:p w14:paraId="3A37A85B"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Shallots (</w:t>
      </w:r>
      <w:r w:rsidRPr="00EA6582">
        <w:rPr>
          <w:rFonts w:ascii="Calibri" w:hAnsi="Calibri" w:cs="Calibri"/>
          <w:bCs/>
          <w:i/>
          <w:iCs/>
          <w:sz w:val="24"/>
          <w:szCs w:val="24"/>
        </w:rPr>
        <w:t xml:space="preserve">Allium ascalonicum </w:t>
      </w:r>
      <w:r w:rsidRPr="00EA6582">
        <w:rPr>
          <w:rFonts w:ascii="Calibri" w:hAnsi="Calibri" w:cs="Calibri"/>
          <w:bCs/>
          <w:sz w:val="24"/>
          <w:szCs w:val="24"/>
        </w:rPr>
        <w:t xml:space="preserve">L.) are a vital horticultural commodity in many developing countries, including Indonesia. In Indonesia, shallots are also considered a national strategic crop, where they are not only essential for culinary use but also play a significant role in the </w:t>
      </w:r>
      <w:proofErr w:type="spellStart"/>
      <w:r w:rsidRPr="00EA6582">
        <w:rPr>
          <w:rFonts w:ascii="Calibri" w:hAnsi="Calibri" w:cs="Calibri"/>
          <w:bCs/>
          <w:sz w:val="24"/>
          <w:szCs w:val="24"/>
        </w:rPr>
        <w:t>agro</w:t>
      </w:r>
      <w:proofErr w:type="spellEnd"/>
      <w:r w:rsidRPr="00EA6582">
        <w:rPr>
          <w:rFonts w:ascii="Calibri" w:hAnsi="Calibri" w:cs="Calibri"/>
          <w:bCs/>
          <w:sz w:val="24"/>
          <w:szCs w:val="24"/>
        </w:rPr>
        <w:t>-economy and socio-economy (</w:t>
      </w:r>
      <w:proofErr w:type="spellStart"/>
      <w:r w:rsidRPr="00EA6582">
        <w:rPr>
          <w:rFonts w:ascii="Calibri" w:hAnsi="Calibri" w:cs="Calibri"/>
          <w:bCs/>
          <w:sz w:val="24"/>
          <w:szCs w:val="24"/>
        </w:rPr>
        <w:t>Saptana</w:t>
      </w:r>
      <w:proofErr w:type="spellEnd"/>
      <w:r w:rsidRPr="00EA6582">
        <w:rPr>
          <w:rFonts w:ascii="Calibri" w:hAnsi="Calibri" w:cs="Calibri"/>
          <w:bCs/>
          <w:sz w:val="24"/>
          <w:szCs w:val="24"/>
        </w:rPr>
        <w:t xml:space="preserve"> et al., 2021). </w:t>
      </w:r>
    </w:p>
    <w:p w14:paraId="04427085"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However, the sustainability of shallot production is increasingly threatened by several problems, including land degradation and the presence of unfit agricultural prospective land nearby the coastal area, which is high in salt concentration. These challenges are further compounded by climate change, which alters precipitation patterns and intensifies drought and seawater intrusion. Salinity stress adversely affects plant physiology, leading to a reduction in water uptake, inhibition of nutrient absorption, and, consequently, a decline in crop productivity. The sensitivity of shallots to these abiotic stressors has been well-documented, often resulting in substantial yield reductions, as evidenced by research conducted by </w:t>
      </w:r>
      <w:proofErr w:type="spellStart"/>
      <w:r w:rsidRPr="00EA6582">
        <w:rPr>
          <w:rFonts w:ascii="Calibri" w:hAnsi="Calibri" w:cs="Calibri"/>
          <w:bCs/>
          <w:sz w:val="24"/>
          <w:szCs w:val="24"/>
        </w:rPr>
        <w:t>Trisnaningsih</w:t>
      </w:r>
      <w:proofErr w:type="spellEnd"/>
      <w:r w:rsidRPr="00EA6582">
        <w:rPr>
          <w:rFonts w:ascii="Calibri" w:hAnsi="Calibri" w:cs="Calibri"/>
          <w:bCs/>
          <w:sz w:val="24"/>
          <w:szCs w:val="24"/>
        </w:rPr>
        <w:t xml:space="preserve"> et al. (2023). The impact of salt concentration in soils on shallot growth and yield is a salient example of this sensitivity.</w:t>
      </w:r>
    </w:p>
    <w:p w14:paraId="03E36068"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Traditionally, farmers have relied on synthetic chemical fertilizers to enhance crop productivity. While these inputs can yield immediate gains, their prolonged utilization frequently results in deleterious effects such as soil acidification, nutrient imbalances, and a decline in soil microbial diversity. The escalating costs of agrochemicals impose financial </w:t>
      </w:r>
      <w:r w:rsidRPr="00EA6582">
        <w:rPr>
          <w:rFonts w:ascii="Calibri" w:hAnsi="Calibri" w:cs="Calibri"/>
          <w:bCs/>
          <w:sz w:val="24"/>
          <w:szCs w:val="24"/>
        </w:rPr>
        <w:lastRenderedPageBreak/>
        <w:t>constraints on small-scale farmers, while environmental concerns surrounding groundwater contamination and greenhouse gas emissions underscore the need for more sustainable agricultural practices.</w:t>
      </w:r>
    </w:p>
    <w:p w14:paraId="44F63133"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In this context, plant growth-promoting rhizobacteria (PGPR) have emerged as a promising eco-friendly alternative. PGPR are beneficial soil microorganisms that colonize plant roots and enhance plant growth. These bacteria facilitate plant growth through various mechanisms, including increasing the availability of essential nutrients like nitrogen (N), phosphorus (P), and potassium (K) (Amalia et al., 2025). These microbial traits enhance nutrient availability and help plants better tolerate abiotic stress, such as salinity. This makes PGPR a potential tool for sustainable shallot cultivation under changing climatic conditions.</w:t>
      </w:r>
    </w:p>
    <w:p w14:paraId="33CA4CF1"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Previous studies on PGPR have largely focused on isolates obtained from non-saline environments or relied on commercial microbial strains, which may not be well-adapted to saline soils or specific agroecological conditions found in Indonesia (</w:t>
      </w:r>
      <w:proofErr w:type="spellStart"/>
      <w:r w:rsidRPr="00EA6582">
        <w:rPr>
          <w:rFonts w:ascii="Calibri" w:hAnsi="Calibri" w:cs="Calibri"/>
          <w:bCs/>
          <w:sz w:val="24"/>
          <w:szCs w:val="24"/>
        </w:rPr>
        <w:t>Egamberdieva</w:t>
      </w:r>
      <w:proofErr w:type="spellEnd"/>
      <w:r w:rsidRPr="00EA6582">
        <w:rPr>
          <w:rFonts w:ascii="Calibri" w:hAnsi="Calibri" w:cs="Calibri"/>
          <w:bCs/>
          <w:sz w:val="24"/>
          <w:szCs w:val="24"/>
        </w:rPr>
        <w:t xml:space="preserve"> et al., 2017). There remains a significant knowledge gap regarding the potential of native PGPR strains isolated from saline soils, particularly in key shallot-producing regions such as Brebes, Central Java.</w:t>
      </w:r>
    </w:p>
    <w:p w14:paraId="72F6841A"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The objective of this study is to explore, investigate and describe local shallot rhizosphere bacterial isolates that possess potential as plant growth-promoting rhizobacteria (PGPR), exhibiting characteristics such as indole acetic acid (IAA) production, phosphate solubilization, nitrogen fixation, and siderophore production for improving </w:t>
      </w:r>
      <w:proofErr w:type="spellStart"/>
      <w:r w:rsidRPr="00EA6582">
        <w:rPr>
          <w:rFonts w:ascii="Calibri" w:hAnsi="Calibri" w:cs="Calibri"/>
          <w:bCs/>
          <w:sz w:val="24"/>
          <w:szCs w:val="24"/>
        </w:rPr>
        <w:t>shallots’s</w:t>
      </w:r>
      <w:proofErr w:type="spellEnd"/>
      <w:r w:rsidRPr="00EA6582">
        <w:rPr>
          <w:rFonts w:ascii="Calibri" w:hAnsi="Calibri" w:cs="Calibri"/>
          <w:bCs/>
          <w:sz w:val="24"/>
          <w:szCs w:val="24"/>
        </w:rPr>
        <w:t xml:space="preserve"> growth.</w:t>
      </w:r>
    </w:p>
    <w:p w14:paraId="7636CF61" w14:textId="77777777" w:rsidR="0060429F" w:rsidRDefault="0060429F" w:rsidP="00C0145A">
      <w:pPr>
        <w:jc w:val="center"/>
        <w:rPr>
          <w:rFonts w:ascii="Calibri" w:hAnsi="Calibri" w:cs="Calibri"/>
          <w:b/>
          <w:bCs/>
          <w:sz w:val="24"/>
          <w:szCs w:val="24"/>
        </w:rPr>
      </w:pPr>
    </w:p>
    <w:p w14:paraId="2FBEB8D8" w14:textId="77777777" w:rsidR="00997293" w:rsidRPr="00EA6582" w:rsidRDefault="00254B6A" w:rsidP="00C0145A">
      <w:pPr>
        <w:jc w:val="center"/>
        <w:rPr>
          <w:rFonts w:ascii="Calibri" w:hAnsi="Calibri" w:cs="Calibri"/>
          <w:b/>
          <w:bCs/>
          <w:sz w:val="24"/>
          <w:szCs w:val="24"/>
        </w:rPr>
      </w:pPr>
      <w:r>
        <w:rPr>
          <w:rFonts w:ascii="Calibri" w:hAnsi="Calibri" w:cs="Calibri"/>
          <w:b/>
          <w:bCs/>
          <w:sz w:val="24"/>
          <w:szCs w:val="24"/>
        </w:rPr>
        <w:t>Methods</w:t>
      </w:r>
    </w:p>
    <w:p w14:paraId="42C61301" w14:textId="77777777" w:rsidR="000E0280" w:rsidRDefault="00CC612D" w:rsidP="00C0145A">
      <w:pPr>
        <w:jc w:val="center"/>
        <w:rPr>
          <w:rFonts w:ascii="Calibri" w:hAnsi="Calibri" w:cs="Calibri"/>
          <w:bCs/>
          <w:sz w:val="24"/>
          <w:szCs w:val="24"/>
        </w:rPr>
      </w:pPr>
      <w:r w:rsidRPr="00EA6582">
        <w:rPr>
          <w:rFonts w:ascii="Calibri" w:hAnsi="Calibri" w:cs="Calibri"/>
          <w:bCs/>
          <w:sz w:val="24"/>
          <w:szCs w:val="24"/>
        </w:rPr>
        <w:t xml:space="preserve">Study Site and Sampling </w:t>
      </w:r>
      <w:r w:rsidR="00E27C8C">
        <w:rPr>
          <w:rFonts w:ascii="Calibri" w:hAnsi="Calibri" w:cs="Calibri"/>
          <w:bCs/>
          <w:sz w:val="24"/>
          <w:szCs w:val="24"/>
        </w:rPr>
        <w:t>Method</w:t>
      </w:r>
      <w:r w:rsidRPr="00EA6582">
        <w:rPr>
          <w:rFonts w:ascii="Calibri" w:hAnsi="Calibri" w:cs="Calibri"/>
          <w:bCs/>
          <w:sz w:val="24"/>
          <w:szCs w:val="24"/>
        </w:rPr>
        <w:t xml:space="preserve"> </w:t>
      </w:r>
    </w:p>
    <w:p w14:paraId="43D3F3B7"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This study was conducted from August 2024 to December 2025 in the coastal agricultural area of Brebes Regency, Central Java, Indonesia. The region is known for shallot cultivation under saline soil conditions. Rhizosphere soil samples were collected from the root zone (10–15 cm depth) of healthy shallot plants using purposive sampling. During sampling, in situ measurements of soil parameters were taken, including soil pH, moisture content, and temperature</w:t>
      </w:r>
      <w:r w:rsidR="000E0280">
        <w:rPr>
          <w:rFonts w:ascii="Calibri" w:hAnsi="Calibri" w:cs="Calibri"/>
          <w:bCs/>
          <w:sz w:val="24"/>
          <w:szCs w:val="24"/>
        </w:rPr>
        <w:t>,</w:t>
      </w:r>
      <w:r w:rsidRPr="00EA6582">
        <w:rPr>
          <w:rFonts w:ascii="Calibri" w:hAnsi="Calibri" w:cs="Calibri"/>
          <w:bCs/>
          <w:sz w:val="24"/>
          <w:szCs w:val="24"/>
        </w:rPr>
        <w:t xml:space="preserve"> using portable sensors. Soil electrical conductivity (EC) was measured later in the laboratory using a digital EC meter</w:t>
      </w:r>
      <w:r w:rsidR="002D1672">
        <w:rPr>
          <w:rFonts w:ascii="Calibri" w:hAnsi="Calibri" w:cs="Calibri"/>
          <w:bCs/>
          <w:sz w:val="24"/>
          <w:szCs w:val="24"/>
        </w:rPr>
        <w:t xml:space="preserve"> </w:t>
      </w:r>
      <w:r w:rsidR="002D1672" w:rsidRPr="002D1672">
        <w:rPr>
          <w:rFonts w:ascii="Calibri" w:hAnsi="Calibri" w:cs="Calibri"/>
          <w:bCs/>
          <w:sz w:val="24"/>
          <w:szCs w:val="24"/>
        </w:rPr>
        <w:t>(modifi</w:t>
      </w:r>
      <w:r w:rsidR="002D1672">
        <w:rPr>
          <w:rFonts w:ascii="Calibri" w:hAnsi="Calibri" w:cs="Calibri"/>
          <w:bCs/>
          <w:sz w:val="24"/>
          <w:szCs w:val="24"/>
        </w:rPr>
        <w:t>cation from Joshi et al., 2021)</w:t>
      </w:r>
      <w:r w:rsidRPr="00EA6582">
        <w:rPr>
          <w:rFonts w:ascii="Calibri" w:hAnsi="Calibri" w:cs="Calibri"/>
          <w:bCs/>
          <w:sz w:val="24"/>
          <w:szCs w:val="24"/>
        </w:rPr>
        <w:t>.</w:t>
      </w:r>
    </w:p>
    <w:p w14:paraId="353991F7" w14:textId="77777777" w:rsidR="002D1672" w:rsidRDefault="00C0145A" w:rsidP="00C0145A">
      <w:pPr>
        <w:jc w:val="center"/>
        <w:rPr>
          <w:rFonts w:ascii="Calibri" w:hAnsi="Calibri" w:cs="Calibri"/>
          <w:bCs/>
          <w:sz w:val="24"/>
          <w:szCs w:val="24"/>
        </w:rPr>
      </w:pPr>
      <w:r>
        <w:rPr>
          <w:rFonts w:ascii="Calibri" w:hAnsi="Calibri" w:cs="Calibri"/>
          <w:bCs/>
          <w:sz w:val="24"/>
          <w:szCs w:val="24"/>
        </w:rPr>
        <w:t>Isolation of Rhizobacteria</w:t>
      </w:r>
    </w:p>
    <w:p w14:paraId="7CA18C70" w14:textId="77777777" w:rsidR="002D1672" w:rsidRPr="002D1672" w:rsidRDefault="002D1672" w:rsidP="002D1672">
      <w:pPr>
        <w:jc w:val="both"/>
        <w:rPr>
          <w:rFonts w:ascii="Calibri" w:hAnsi="Calibri" w:cs="Calibri"/>
          <w:bCs/>
          <w:sz w:val="24"/>
          <w:szCs w:val="24"/>
        </w:rPr>
      </w:pPr>
      <w:r w:rsidRPr="002D1672">
        <w:rPr>
          <w:rFonts w:ascii="Calibri" w:hAnsi="Calibri" w:cs="Calibri"/>
          <w:bCs/>
          <w:sz w:val="24"/>
          <w:szCs w:val="24"/>
        </w:rPr>
        <w:t>Rhizobacteria were isolated using serial dilution and spread plate techniques. One gram of rhizosphere soil was suspended in 9 mL of sterile distilled water and serially diluted up to 10⁻⁶. Each dilution was plated on Nutrient Agar (NA) supplemented with NaCl (5 mS/cm) to simulate saline soil conditions, Yeast Mannitol Agar (YMA) supplemented with Congo red, and Ashby. Plates were incubated at room temperature (~28°C) for 3-7 days. Distinct colonies were purified through repeated streaking and maintained as pure cultures</w:t>
      </w:r>
      <w:r>
        <w:rPr>
          <w:rFonts w:ascii="Calibri" w:hAnsi="Calibri" w:cs="Calibri"/>
          <w:bCs/>
          <w:sz w:val="24"/>
          <w:szCs w:val="24"/>
        </w:rPr>
        <w:t xml:space="preserve"> </w:t>
      </w:r>
      <w:r w:rsidRPr="002D1672">
        <w:rPr>
          <w:rFonts w:ascii="Calibri" w:hAnsi="Calibri" w:cs="Calibri"/>
          <w:bCs/>
          <w:sz w:val="24"/>
          <w:szCs w:val="24"/>
        </w:rPr>
        <w:t>(modification from Joshi et al., 2021).</w:t>
      </w:r>
    </w:p>
    <w:p w14:paraId="5C95B17A" w14:textId="77777777" w:rsidR="002D1672" w:rsidRDefault="00CC612D" w:rsidP="00C0145A">
      <w:pPr>
        <w:jc w:val="center"/>
        <w:rPr>
          <w:rFonts w:ascii="Calibri" w:hAnsi="Calibri" w:cs="Calibri"/>
          <w:bCs/>
          <w:sz w:val="24"/>
          <w:szCs w:val="24"/>
        </w:rPr>
      </w:pPr>
      <w:r w:rsidRPr="00C0145A">
        <w:rPr>
          <w:rFonts w:ascii="Calibri" w:hAnsi="Calibri" w:cs="Calibri"/>
          <w:bCs/>
          <w:sz w:val="24"/>
          <w:szCs w:val="24"/>
        </w:rPr>
        <w:t xml:space="preserve">Salinity Tolerance Test </w:t>
      </w:r>
    </w:p>
    <w:p w14:paraId="75C67AD8" w14:textId="77777777" w:rsidR="00CC612D" w:rsidRPr="00EA6582" w:rsidRDefault="00DF286B" w:rsidP="00CC612D">
      <w:pPr>
        <w:jc w:val="both"/>
        <w:rPr>
          <w:rFonts w:ascii="Calibri" w:hAnsi="Calibri" w:cs="Calibri"/>
          <w:bCs/>
          <w:sz w:val="24"/>
          <w:szCs w:val="24"/>
        </w:rPr>
      </w:pPr>
      <w:r w:rsidRPr="00DF286B">
        <w:rPr>
          <w:rFonts w:ascii="Calibri" w:hAnsi="Calibri" w:cs="Calibri"/>
          <w:bCs/>
          <w:sz w:val="24"/>
          <w:szCs w:val="24"/>
        </w:rPr>
        <w:lastRenderedPageBreak/>
        <w:t>To evaluate the salinity tolerance of the isolates, cultures were inoculated into nutrient broth media supplemented with NaCl at concentrations of 3%, 7%, and 8% (w/v). The tubes were incubated at room temperature for 72 hours under static conditions. Bacterial growth was monitored visually and measured s</w:t>
      </w:r>
      <w:r>
        <w:rPr>
          <w:rFonts w:ascii="Calibri" w:hAnsi="Calibri" w:cs="Calibri"/>
          <w:bCs/>
          <w:sz w:val="24"/>
          <w:szCs w:val="24"/>
        </w:rPr>
        <w:t xml:space="preserve">pectrophotometrically at 600 nm </w:t>
      </w:r>
      <w:r w:rsidR="002D1672" w:rsidRPr="002D1672">
        <w:rPr>
          <w:rFonts w:ascii="Calibri" w:hAnsi="Calibri" w:cs="Calibri"/>
          <w:bCs/>
          <w:sz w:val="24"/>
          <w:szCs w:val="24"/>
        </w:rPr>
        <w:t>(</w:t>
      </w:r>
      <w:proofErr w:type="spellStart"/>
      <w:r w:rsidR="002D1672" w:rsidRPr="002D1672">
        <w:rPr>
          <w:rFonts w:ascii="Calibri" w:hAnsi="Calibri" w:cs="Calibri"/>
          <w:bCs/>
          <w:sz w:val="24"/>
          <w:szCs w:val="24"/>
        </w:rPr>
        <w:t>Manshur</w:t>
      </w:r>
      <w:proofErr w:type="spellEnd"/>
      <w:r w:rsidR="002D1672" w:rsidRPr="002D1672">
        <w:rPr>
          <w:rFonts w:ascii="Calibri" w:hAnsi="Calibri" w:cs="Calibri"/>
          <w:bCs/>
          <w:sz w:val="24"/>
          <w:szCs w:val="24"/>
        </w:rPr>
        <w:t xml:space="preserve"> et al., 2020)</w:t>
      </w:r>
      <w:r w:rsidR="00CC612D" w:rsidRPr="00EA6582">
        <w:rPr>
          <w:rFonts w:ascii="Calibri" w:hAnsi="Calibri" w:cs="Calibri"/>
          <w:bCs/>
          <w:sz w:val="24"/>
          <w:szCs w:val="24"/>
        </w:rPr>
        <w:t>.</w:t>
      </w:r>
    </w:p>
    <w:p w14:paraId="5A63B564" w14:textId="77777777" w:rsidR="00CC612D" w:rsidRPr="00EA6582" w:rsidRDefault="002D1672" w:rsidP="00883027">
      <w:pPr>
        <w:jc w:val="center"/>
        <w:rPr>
          <w:rFonts w:ascii="Calibri" w:hAnsi="Calibri" w:cs="Calibri"/>
          <w:bCs/>
          <w:sz w:val="24"/>
          <w:szCs w:val="24"/>
        </w:rPr>
      </w:pPr>
      <w:r>
        <w:rPr>
          <w:rFonts w:ascii="Calibri" w:hAnsi="Calibri" w:cs="Calibri"/>
          <w:bCs/>
          <w:sz w:val="24"/>
          <w:szCs w:val="24"/>
        </w:rPr>
        <w:t>Phosphate Solubilization</w:t>
      </w:r>
      <w:r w:rsidR="00B74DC2">
        <w:rPr>
          <w:rFonts w:ascii="Calibri" w:hAnsi="Calibri" w:cs="Calibri"/>
          <w:bCs/>
          <w:sz w:val="24"/>
          <w:szCs w:val="24"/>
        </w:rPr>
        <w:t xml:space="preserve"> Test</w:t>
      </w:r>
    </w:p>
    <w:p w14:paraId="3E32A029"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 xml:space="preserve">Qualitative phosphate solubilization was assessed on </w:t>
      </w:r>
      <w:proofErr w:type="spellStart"/>
      <w:r w:rsidRPr="00EA6582">
        <w:rPr>
          <w:rFonts w:ascii="Calibri" w:hAnsi="Calibri" w:cs="Calibri"/>
          <w:bCs/>
          <w:sz w:val="24"/>
          <w:szCs w:val="24"/>
        </w:rPr>
        <w:t>Pikovskaya’s</w:t>
      </w:r>
      <w:proofErr w:type="spellEnd"/>
      <w:r w:rsidRPr="00EA6582">
        <w:rPr>
          <w:rFonts w:ascii="Calibri" w:hAnsi="Calibri" w:cs="Calibri"/>
          <w:bCs/>
          <w:sz w:val="24"/>
          <w:szCs w:val="24"/>
        </w:rPr>
        <w:t xml:space="preserve"> agar by observing halo formation after 7 days of incubation.</w:t>
      </w:r>
      <w:r w:rsidR="00D66237">
        <w:rPr>
          <w:rFonts w:ascii="Calibri" w:hAnsi="Calibri" w:cs="Calibri"/>
          <w:bCs/>
          <w:sz w:val="24"/>
          <w:szCs w:val="24"/>
        </w:rPr>
        <w:t xml:space="preserve"> </w:t>
      </w:r>
      <w:r w:rsidRPr="00EA6582">
        <w:rPr>
          <w:rFonts w:ascii="Calibri" w:hAnsi="Calibri" w:cs="Calibri"/>
          <w:bCs/>
          <w:sz w:val="24"/>
          <w:szCs w:val="24"/>
        </w:rPr>
        <w:t xml:space="preserve">For quantitative analysis, isolates were cultured in 10 mL of </w:t>
      </w:r>
      <w:proofErr w:type="spellStart"/>
      <w:r w:rsidRPr="00EA6582">
        <w:rPr>
          <w:rFonts w:ascii="Calibri" w:hAnsi="Calibri" w:cs="Calibri"/>
          <w:bCs/>
          <w:sz w:val="24"/>
          <w:szCs w:val="24"/>
        </w:rPr>
        <w:t>Pikovskaya’s</w:t>
      </w:r>
      <w:proofErr w:type="spellEnd"/>
      <w:r w:rsidRPr="00EA6582">
        <w:rPr>
          <w:rFonts w:ascii="Calibri" w:hAnsi="Calibri" w:cs="Calibri"/>
          <w:bCs/>
          <w:sz w:val="24"/>
          <w:szCs w:val="24"/>
        </w:rPr>
        <w:t xml:space="preserve"> broth and incubated at room temperature for 7 days under shaking conditions. After centrifugation, the soluble phosphate content in the supernatant was determined using the molybdenum blue method. Briefly, 1 mL of filtrate was mixed with ammonium molybdate and stannous chloride reagents, and the absorbance was measured at 693 nm. Phosphate concentration was calculated based on a KH₂PO₄ standard curve</w:t>
      </w:r>
      <w:r w:rsidR="002D1672">
        <w:rPr>
          <w:rFonts w:ascii="Calibri" w:hAnsi="Calibri" w:cs="Calibri"/>
          <w:bCs/>
          <w:sz w:val="24"/>
          <w:szCs w:val="24"/>
        </w:rPr>
        <w:t xml:space="preserve"> </w:t>
      </w:r>
      <w:r w:rsidR="002D1672" w:rsidRPr="002D1672">
        <w:rPr>
          <w:rFonts w:ascii="Calibri" w:hAnsi="Calibri" w:cs="Calibri"/>
          <w:bCs/>
          <w:sz w:val="24"/>
          <w:szCs w:val="24"/>
        </w:rPr>
        <w:t>(Amri et al., 2023; Larasati, 2018)</w:t>
      </w:r>
      <w:r w:rsidRPr="00EA6582">
        <w:rPr>
          <w:rFonts w:ascii="Calibri" w:hAnsi="Calibri" w:cs="Calibri"/>
          <w:bCs/>
          <w:sz w:val="24"/>
          <w:szCs w:val="24"/>
        </w:rPr>
        <w:t>.</w:t>
      </w:r>
    </w:p>
    <w:p w14:paraId="37370EC6" w14:textId="77777777" w:rsidR="00CC612D" w:rsidRPr="00EA6582" w:rsidRDefault="00CC612D" w:rsidP="00883027">
      <w:pPr>
        <w:jc w:val="center"/>
        <w:rPr>
          <w:rFonts w:ascii="Calibri" w:hAnsi="Calibri" w:cs="Calibri"/>
          <w:bCs/>
          <w:sz w:val="24"/>
          <w:szCs w:val="24"/>
        </w:rPr>
      </w:pPr>
      <w:r w:rsidRPr="00EA6582">
        <w:rPr>
          <w:rFonts w:ascii="Calibri" w:hAnsi="Calibri" w:cs="Calibri"/>
          <w:bCs/>
          <w:sz w:val="24"/>
          <w:szCs w:val="24"/>
        </w:rPr>
        <w:t>Indole-3-Acetic Acid (IA</w:t>
      </w:r>
      <w:r w:rsidR="00D66237">
        <w:rPr>
          <w:rFonts w:ascii="Calibri" w:hAnsi="Calibri" w:cs="Calibri"/>
          <w:bCs/>
          <w:sz w:val="24"/>
          <w:szCs w:val="24"/>
        </w:rPr>
        <w:t>A) Production</w:t>
      </w:r>
      <w:r w:rsidR="00B74DC2">
        <w:rPr>
          <w:rFonts w:ascii="Calibri" w:hAnsi="Calibri" w:cs="Calibri"/>
          <w:bCs/>
          <w:sz w:val="24"/>
          <w:szCs w:val="24"/>
        </w:rPr>
        <w:t xml:space="preserve"> Test</w:t>
      </w:r>
    </w:p>
    <w:p w14:paraId="563E9F84"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 xml:space="preserve">Isolates were grown in </w:t>
      </w:r>
      <w:r w:rsidR="00D66237" w:rsidRPr="00EA6582">
        <w:rPr>
          <w:rFonts w:ascii="Calibri" w:hAnsi="Calibri" w:cs="Calibri"/>
          <w:bCs/>
          <w:sz w:val="24"/>
          <w:szCs w:val="24"/>
        </w:rPr>
        <w:t xml:space="preserve">nutrient broth </w:t>
      </w:r>
      <w:r w:rsidRPr="00EA6582">
        <w:rPr>
          <w:rFonts w:ascii="Calibri" w:hAnsi="Calibri" w:cs="Calibri"/>
          <w:bCs/>
          <w:sz w:val="24"/>
          <w:szCs w:val="24"/>
        </w:rPr>
        <w:t>supplemented with 0.2% L-tryptophan and incubated at room temperature for 48 hours under shaking conditions. After centrifugation, 1 mL of the supernatant was reacted with 2 mL of Salkowski reagent and incubated in the dark for 30 minutes. Development of a pink coloration was quantified at 530 nm using a spectrophotometer, and IAA concentration was determined from a standard curve</w:t>
      </w:r>
      <w:r w:rsidR="00D66237">
        <w:rPr>
          <w:rFonts w:ascii="Calibri" w:hAnsi="Calibri" w:cs="Calibri"/>
          <w:bCs/>
          <w:sz w:val="24"/>
          <w:szCs w:val="24"/>
        </w:rPr>
        <w:t xml:space="preserve"> </w:t>
      </w:r>
      <w:r w:rsidR="00D66237" w:rsidRPr="00EA6582">
        <w:rPr>
          <w:rFonts w:ascii="Calibri" w:hAnsi="Calibri" w:cs="Calibri"/>
          <w:bCs/>
          <w:sz w:val="24"/>
          <w:szCs w:val="24"/>
        </w:rPr>
        <w:t>(Amalia et al., 2020)</w:t>
      </w:r>
      <w:r w:rsidRPr="00EA6582">
        <w:rPr>
          <w:rFonts w:ascii="Calibri" w:hAnsi="Calibri" w:cs="Calibri"/>
          <w:bCs/>
          <w:sz w:val="24"/>
          <w:szCs w:val="24"/>
        </w:rPr>
        <w:t>.</w:t>
      </w:r>
    </w:p>
    <w:p w14:paraId="3B7A5FC6" w14:textId="77777777" w:rsidR="00CC612D" w:rsidRPr="00EA6582" w:rsidRDefault="00D66237" w:rsidP="00883027">
      <w:pPr>
        <w:jc w:val="center"/>
        <w:rPr>
          <w:rFonts w:ascii="Calibri" w:hAnsi="Calibri" w:cs="Calibri"/>
          <w:bCs/>
          <w:sz w:val="24"/>
          <w:szCs w:val="24"/>
        </w:rPr>
      </w:pPr>
      <w:r>
        <w:rPr>
          <w:rFonts w:ascii="Calibri" w:hAnsi="Calibri" w:cs="Calibri"/>
          <w:bCs/>
          <w:sz w:val="24"/>
          <w:szCs w:val="24"/>
        </w:rPr>
        <w:t>Siderophore Production</w:t>
      </w:r>
      <w:r w:rsidR="00B74DC2">
        <w:rPr>
          <w:rFonts w:ascii="Calibri" w:hAnsi="Calibri" w:cs="Calibri"/>
          <w:bCs/>
          <w:sz w:val="24"/>
          <w:szCs w:val="24"/>
        </w:rPr>
        <w:t xml:space="preserve"> Test</w:t>
      </w:r>
    </w:p>
    <w:p w14:paraId="60B8FA15"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 xml:space="preserve">Siderophore production was assessed qualitatively on Chrome </w:t>
      </w:r>
      <w:proofErr w:type="spellStart"/>
      <w:r w:rsidRPr="00EA6582">
        <w:rPr>
          <w:rFonts w:ascii="Calibri" w:hAnsi="Calibri" w:cs="Calibri"/>
          <w:bCs/>
          <w:sz w:val="24"/>
          <w:szCs w:val="24"/>
        </w:rPr>
        <w:t>Azurol</w:t>
      </w:r>
      <w:proofErr w:type="spellEnd"/>
      <w:r w:rsidRPr="00EA6582">
        <w:rPr>
          <w:rFonts w:ascii="Calibri" w:hAnsi="Calibri" w:cs="Calibri"/>
          <w:bCs/>
          <w:sz w:val="24"/>
          <w:szCs w:val="24"/>
        </w:rPr>
        <w:t xml:space="preserve"> S (CAS) agar. Cultures were spot-inoculated and incubated at room temperature for 3 days. Orange or yellow halos around the colonies were indicative of siderophore synthesis</w:t>
      </w:r>
      <w:r w:rsidR="00D66237">
        <w:rPr>
          <w:rFonts w:ascii="Calibri" w:hAnsi="Calibri" w:cs="Calibri"/>
          <w:bCs/>
          <w:sz w:val="24"/>
          <w:szCs w:val="24"/>
        </w:rPr>
        <w:t xml:space="preserve"> </w:t>
      </w:r>
      <w:r w:rsidR="00D66237" w:rsidRPr="00EA6582">
        <w:rPr>
          <w:rFonts w:ascii="Calibri" w:hAnsi="Calibri" w:cs="Calibri"/>
          <w:bCs/>
          <w:sz w:val="24"/>
          <w:szCs w:val="24"/>
        </w:rPr>
        <w:t>(Agunbiade et</w:t>
      </w:r>
      <w:r w:rsidR="00D66237" w:rsidRPr="00EA6582">
        <w:rPr>
          <w:rFonts w:ascii="Calibri" w:hAnsi="Calibri" w:cs="Calibri"/>
          <w:bCs/>
          <w:i/>
          <w:iCs/>
          <w:sz w:val="24"/>
          <w:szCs w:val="24"/>
        </w:rPr>
        <w:t xml:space="preserve"> al</w:t>
      </w:r>
      <w:r w:rsidR="00D66237" w:rsidRPr="00EA6582">
        <w:rPr>
          <w:rFonts w:ascii="Calibri" w:hAnsi="Calibri" w:cs="Calibri"/>
          <w:bCs/>
          <w:sz w:val="24"/>
          <w:szCs w:val="24"/>
        </w:rPr>
        <w:t>., 2024)</w:t>
      </w:r>
      <w:r w:rsidRPr="00EA6582">
        <w:rPr>
          <w:rFonts w:ascii="Calibri" w:hAnsi="Calibri" w:cs="Calibri"/>
          <w:bCs/>
          <w:sz w:val="24"/>
          <w:szCs w:val="24"/>
        </w:rPr>
        <w:t>.</w:t>
      </w:r>
    </w:p>
    <w:p w14:paraId="335ED896" w14:textId="77777777" w:rsidR="00CC612D" w:rsidRPr="00EA6582" w:rsidRDefault="00CC612D" w:rsidP="00883027">
      <w:pPr>
        <w:jc w:val="center"/>
        <w:rPr>
          <w:rFonts w:ascii="Calibri" w:hAnsi="Calibri" w:cs="Calibri"/>
          <w:bCs/>
          <w:sz w:val="24"/>
          <w:szCs w:val="24"/>
        </w:rPr>
      </w:pPr>
      <w:r w:rsidRPr="00EA6582">
        <w:rPr>
          <w:rFonts w:ascii="Calibri" w:hAnsi="Calibri" w:cs="Calibri"/>
          <w:bCs/>
          <w:sz w:val="24"/>
          <w:szCs w:val="24"/>
        </w:rPr>
        <w:t>Nitro</w:t>
      </w:r>
      <w:r w:rsidR="007D7FFA" w:rsidRPr="00EA6582">
        <w:rPr>
          <w:rFonts w:ascii="Calibri" w:hAnsi="Calibri" w:cs="Calibri"/>
          <w:bCs/>
          <w:sz w:val="24"/>
          <w:szCs w:val="24"/>
        </w:rPr>
        <w:t>gen Fixation Ability </w:t>
      </w:r>
      <w:r w:rsidR="00B74DC2">
        <w:rPr>
          <w:rFonts w:ascii="Calibri" w:hAnsi="Calibri" w:cs="Calibri"/>
          <w:bCs/>
          <w:sz w:val="24"/>
          <w:szCs w:val="24"/>
        </w:rPr>
        <w:t>Test</w:t>
      </w:r>
    </w:p>
    <w:p w14:paraId="58A7CDFA" w14:textId="77777777" w:rsidR="00941C6E" w:rsidRPr="00941C6E" w:rsidRDefault="00941C6E" w:rsidP="00941C6E">
      <w:pPr>
        <w:jc w:val="both"/>
        <w:rPr>
          <w:rFonts w:ascii="Calibri" w:hAnsi="Calibri" w:cs="Calibri"/>
          <w:bCs/>
          <w:sz w:val="24"/>
          <w:szCs w:val="24"/>
        </w:rPr>
      </w:pPr>
      <w:r w:rsidRPr="00941C6E">
        <w:rPr>
          <w:rFonts w:ascii="Calibri" w:hAnsi="Calibri" w:cs="Calibri"/>
          <w:bCs/>
          <w:sz w:val="24"/>
          <w:szCs w:val="24"/>
        </w:rPr>
        <w:t xml:space="preserve">Isolates were streaked onto Nitrogen-Free </w:t>
      </w:r>
      <w:proofErr w:type="spellStart"/>
      <w:r w:rsidRPr="00941C6E">
        <w:rPr>
          <w:rFonts w:ascii="Calibri" w:hAnsi="Calibri" w:cs="Calibri"/>
          <w:bCs/>
          <w:sz w:val="24"/>
          <w:szCs w:val="24"/>
        </w:rPr>
        <w:t>Bromthymol</w:t>
      </w:r>
      <w:proofErr w:type="spellEnd"/>
      <w:r w:rsidRPr="00941C6E">
        <w:rPr>
          <w:rFonts w:ascii="Calibri" w:hAnsi="Calibri" w:cs="Calibri"/>
          <w:bCs/>
          <w:sz w:val="24"/>
          <w:szCs w:val="24"/>
        </w:rPr>
        <w:t xml:space="preserve"> Blue (</w:t>
      </w:r>
      <w:proofErr w:type="spellStart"/>
      <w:r w:rsidRPr="00941C6E">
        <w:rPr>
          <w:rFonts w:ascii="Calibri" w:hAnsi="Calibri" w:cs="Calibri"/>
          <w:bCs/>
          <w:sz w:val="24"/>
          <w:szCs w:val="24"/>
        </w:rPr>
        <w:t>NfB</w:t>
      </w:r>
      <w:proofErr w:type="spellEnd"/>
      <w:r w:rsidRPr="00941C6E">
        <w:rPr>
          <w:rFonts w:ascii="Calibri" w:hAnsi="Calibri" w:cs="Calibri"/>
          <w:bCs/>
          <w:sz w:val="24"/>
          <w:szCs w:val="24"/>
        </w:rPr>
        <w:t xml:space="preserve">) and incubated for 7 days. Growth on </w:t>
      </w:r>
      <w:proofErr w:type="spellStart"/>
      <w:r w:rsidRPr="00941C6E">
        <w:rPr>
          <w:rFonts w:ascii="Calibri" w:hAnsi="Calibri" w:cs="Calibri"/>
          <w:bCs/>
          <w:sz w:val="24"/>
          <w:szCs w:val="24"/>
        </w:rPr>
        <w:t>Nfb</w:t>
      </w:r>
      <w:proofErr w:type="spellEnd"/>
      <w:r w:rsidRPr="00941C6E">
        <w:rPr>
          <w:rFonts w:ascii="Calibri" w:hAnsi="Calibri" w:cs="Calibri"/>
          <w:bCs/>
          <w:sz w:val="24"/>
          <w:szCs w:val="24"/>
        </w:rPr>
        <w:t xml:space="preserve"> indicated atmospheric nitrogen fixation potential. Nitrogenase activity was measured using the Acetylene Reduction Assay (ARA). Bacterial isolates were inoculated into tubes containing nitrogen-free liquid medium (</w:t>
      </w:r>
      <w:proofErr w:type="spellStart"/>
      <w:r w:rsidRPr="00941C6E">
        <w:rPr>
          <w:rFonts w:ascii="Calibri" w:hAnsi="Calibri" w:cs="Calibri"/>
          <w:bCs/>
          <w:sz w:val="24"/>
          <w:szCs w:val="24"/>
        </w:rPr>
        <w:t>NFb</w:t>
      </w:r>
      <w:proofErr w:type="spellEnd"/>
      <w:r w:rsidRPr="00941C6E">
        <w:rPr>
          <w:rFonts w:ascii="Calibri" w:hAnsi="Calibri" w:cs="Calibri"/>
          <w:bCs/>
          <w:sz w:val="24"/>
          <w:szCs w:val="24"/>
        </w:rPr>
        <w:t xml:space="preserve"> broth) and incubated at room temperature for 48 hours. After incubation, 10% of the headspace air in each tube was replaced with acetylene gas (C₂H₂), and the tubes were sealed tightly and incubated for an additional 24 hours. The production of ethylene (C₂H₄), resulting from the reduction of acetylene by the nitrogenase enzyme, was measured using gas chromatography (GC). The results were expressed in units of </w:t>
      </w:r>
      <w:proofErr w:type="spellStart"/>
      <w:r w:rsidRPr="00941C6E">
        <w:rPr>
          <w:rFonts w:ascii="Calibri" w:hAnsi="Calibri" w:cs="Calibri"/>
          <w:bCs/>
          <w:sz w:val="24"/>
          <w:szCs w:val="24"/>
        </w:rPr>
        <w:t>μmol</w:t>
      </w:r>
      <w:proofErr w:type="spellEnd"/>
      <w:r w:rsidRPr="00941C6E">
        <w:rPr>
          <w:rFonts w:ascii="Calibri" w:hAnsi="Calibri" w:cs="Calibri"/>
          <w:bCs/>
          <w:sz w:val="24"/>
          <w:szCs w:val="24"/>
        </w:rPr>
        <w:t xml:space="preserve"> C₂H₄/mL/h as an indicator of nitrogen fixation activity (Montez-Luz et al., 2022).</w:t>
      </w:r>
    </w:p>
    <w:p w14:paraId="3895E7B5" w14:textId="77777777" w:rsidR="00DA2C4D" w:rsidRDefault="00DA2C4D" w:rsidP="00C01479">
      <w:pPr>
        <w:jc w:val="center"/>
        <w:rPr>
          <w:rFonts w:ascii="Calibri" w:hAnsi="Calibri" w:cs="Calibri"/>
          <w:b/>
          <w:bCs/>
          <w:sz w:val="24"/>
          <w:szCs w:val="24"/>
        </w:rPr>
      </w:pPr>
    </w:p>
    <w:p w14:paraId="69E6D634" w14:textId="77777777" w:rsidR="00EA587F" w:rsidRDefault="00EA587F" w:rsidP="00C01479">
      <w:pPr>
        <w:jc w:val="center"/>
        <w:rPr>
          <w:rFonts w:ascii="Calibri" w:hAnsi="Calibri" w:cs="Calibri"/>
          <w:b/>
          <w:bCs/>
          <w:sz w:val="24"/>
          <w:szCs w:val="24"/>
        </w:rPr>
      </w:pPr>
    </w:p>
    <w:p w14:paraId="57B485B8" w14:textId="77777777" w:rsidR="00EA308F" w:rsidRPr="00EA6582" w:rsidRDefault="007D7FFA" w:rsidP="00C01479">
      <w:pPr>
        <w:jc w:val="center"/>
        <w:rPr>
          <w:rFonts w:ascii="Calibri" w:hAnsi="Calibri" w:cs="Calibri"/>
          <w:b/>
          <w:bCs/>
          <w:sz w:val="24"/>
          <w:szCs w:val="24"/>
        </w:rPr>
      </w:pPr>
      <w:r w:rsidRPr="00EA6582">
        <w:rPr>
          <w:rFonts w:ascii="Calibri" w:hAnsi="Calibri" w:cs="Calibri"/>
          <w:b/>
          <w:bCs/>
          <w:sz w:val="24"/>
          <w:szCs w:val="24"/>
        </w:rPr>
        <w:t>Result and Discussion</w:t>
      </w:r>
    </w:p>
    <w:p w14:paraId="437AD536" w14:textId="77777777" w:rsidR="00C01479" w:rsidRDefault="00941C6E" w:rsidP="00C01479">
      <w:pPr>
        <w:jc w:val="center"/>
        <w:rPr>
          <w:color w:val="000000"/>
          <w:sz w:val="24"/>
          <w:szCs w:val="20"/>
        </w:rPr>
      </w:pPr>
      <w:r>
        <w:rPr>
          <w:color w:val="000000"/>
          <w:sz w:val="24"/>
          <w:szCs w:val="20"/>
        </w:rPr>
        <w:lastRenderedPageBreak/>
        <w:t>Physicochemical Characteristics</w:t>
      </w:r>
    </w:p>
    <w:p w14:paraId="5A524BA3" w14:textId="77777777" w:rsidR="00C01479" w:rsidRDefault="00C01479" w:rsidP="0088136C">
      <w:pPr>
        <w:jc w:val="both"/>
        <w:rPr>
          <w:rFonts w:ascii="Calibri" w:hAnsi="Calibri" w:cs="Calibri"/>
          <w:bCs/>
          <w:sz w:val="24"/>
          <w:szCs w:val="24"/>
        </w:rPr>
      </w:pPr>
      <w:r w:rsidRPr="00C01479">
        <w:rPr>
          <w:rFonts w:ascii="Calibri" w:hAnsi="Calibri" w:cs="Calibri"/>
          <w:bCs/>
          <w:sz w:val="24"/>
          <w:szCs w:val="24"/>
        </w:rPr>
        <w:t xml:space="preserve">Table 1. Soil </w:t>
      </w:r>
      <w:r w:rsidR="009B54C7" w:rsidRPr="00C01479">
        <w:rPr>
          <w:rFonts w:ascii="Calibri" w:hAnsi="Calibri" w:cs="Calibri"/>
          <w:bCs/>
          <w:sz w:val="24"/>
          <w:szCs w:val="24"/>
        </w:rPr>
        <w:t>temperature, p</w:t>
      </w:r>
      <w:r w:rsidR="009B54C7">
        <w:rPr>
          <w:rFonts w:ascii="Calibri" w:hAnsi="Calibri" w:cs="Calibri"/>
          <w:bCs/>
          <w:sz w:val="24"/>
          <w:szCs w:val="24"/>
        </w:rPr>
        <w:t>H</w:t>
      </w:r>
      <w:r w:rsidR="009B54C7" w:rsidRPr="00C01479">
        <w:rPr>
          <w:rFonts w:ascii="Calibri" w:hAnsi="Calibri" w:cs="Calibri"/>
          <w:bCs/>
          <w:sz w:val="24"/>
          <w:szCs w:val="24"/>
        </w:rPr>
        <w:t xml:space="preserve">, moisture, and electrical conductivity measurements in shallot rhizosphere at </w:t>
      </w:r>
      <w:proofErr w:type="spellStart"/>
      <w:r w:rsidR="009B54C7" w:rsidRPr="00C01479">
        <w:rPr>
          <w:rFonts w:ascii="Calibri" w:hAnsi="Calibri" w:cs="Calibri"/>
          <w:bCs/>
          <w:sz w:val="24"/>
          <w:szCs w:val="24"/>
        </w:rPr>
        <w:t>Kaliwlingi</w:t>
      </w:r>
      <w:proofErr w:type="spellEnd"/>
    </w:p>
    <w:tbl>
      <w:tblPr>
        <w:tblW w:w="8884" w:type="dxa"/>
        <w:tblLook w:val="04A0" w:firstRow="1" w:lastRow="0" w:firstColumn="1" w:lastColumn="0" w:noHBand="0" w:noVBand="1"/>
      </w:tblPr>
      <w:tblGrid>
        <w:gridCol w:w="1598"/>
        <w:gridCol w:w="2357"/>
        <w:gridCol w:w="1217"/>
        <w:gridCol w:w="1623"/>
        <w:gridCol w:w="2089"/>
      </w:tblGrid>
      <w:tr w:rsidR="002F6847" w:rsidRPr="002F6847" w14:paraId="3344D79E" w14:textId="77777777" w:rsidTr="002F6847">
        <w:trPr>
          <w:trHeight w:val="304"/>
        </w:trPr>
        <w:tc>
          <w:tcPr>
            <w:tcW w:w="1598" w:type="dxa"/>
            <w:tcBorders>
              <w:top w:val="single" w:sz="4" w:space="0" w:color="auto"/>
              <w:left w:val="nil"/>
              <w:bottom w:val="single" w:sz="4" w:space="0" w:color="auto"/>
              <w:right w:val="nil"/>
            </w:tcBorders>
            <w:shd w:val="clear" w:color="auto" w:fill="auto"/>
            <w:noWrap/>
            <w:vAlign w:val="center"/>
            <w:hideMark/>
          </w:tcPr>
          <w:p w14:paraId="222C8FF2"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Sampling Site</w:t>
            </w:r>
          </w:p>
        </w:tc>
        <w:tc>
          <w:tcPr>
            <w:tcW w:w="2357" w:type="dxa"/>
            <w:tcBorders>
              <w:top w:val="single" w:sz="4" w:space="0" w:color="auto"/>
              <w:left w:val="nil"/>
              <w:bottom w:val="single" w:sz="4" w:space="0" w:color="auto"/>
              <w:right w:val="nil"/>
            </w:tcBorders>
            <w:shd w:val="clear" w:color="auto" w:fill="auto"/>
            <w:noWrap/>
            <w:vAlign w:val="center"/>
            <w:hideMark/>
          </w:tcPr>
          <w:p w14:paraId="229B07B0" w14:textId="77777777" w:rsidR="002F6847" w:rsidRPr="002F6847" w:rsidRDefault="002F6847" w:rsidP="002F6847">
            <w:pPr>
              <w:spacing w:after="0" w:line="240" w:lineRule="auto"/>
              <w:jc w:val="center"/>
              <w:rPr>
                <w:rFonts w:ascii="Calibri" w:eastAsia="Times New Roman" w:hAnsi="Calibri" w:cs="Calibri"/>
                <w:color w:val="000000"/>
              </w:rPr>
            </w:pPr>
            <w:proofErr w:type="gramStart"/>
            <w:r w:rsidRPr="002F6847">
              <w:rPr>
                <w:rFonts w:ascii="Calibri" w:eastAsia="Times New Roman" w:hAnsi="Calibri" w:cs="Calibri"/>
                <w:color w:val="000000"/>
              </w:rPr>
              <w:t>Temperature  (</w:t>
            </w:r>
            <w:proofErr w:type="spellStart"/>
            <w:proofErr w:type="gramEnd"/>
            <w:r w:rsidRPr="002F6847">
              <w:rPr>
                <w:rFonts w:ascii="Calibri" w:eastAsia="Times New Roman" w:hAnsi="Calibri" w:cs="Calibri"/>
                <w:color w:val="000000"/>
                <w:vertAlign w:val="superscript"/>
              </w:rPr>
              <w:t>o</w:t>
            </w:r>
            <w:r w:rsidRPr="002F6847">
              <w:rPr>
                <w:rFonts w:ascii="Calibri" w:eastAsia="Times New Roman" w:hAnsi="Calibri" w:cs="Calibri"/>
                <w:color w:val="000000"/>
              </w:rPr>
              <w:t>C</w:t>
            </w:r>
            <w:proofErr w:type="spellEnd"/>
            <w:r w:rsidRPr="002F6847">
              <w:rPr>
                <w:rFonts w:ascii="Calibri" w:eastAsia="Times New Roman" w:hAnsi="Calibri" w:cs="Calibri"/>
                <w:color w:val="000000"/>
              </w:rPr>
              <w:t>)</w:t>
            </w:r>
          </w:p>
        </w:tc>
        <w:tc>
          <w:tcPr>
            <w:tcW w:w="1217" w:type="dxa"/>
            <w:tcBorders>
              <w:top w:val="single" w:sz="4" w:space="0" w:color="auto"/>
              <w:left w:val="nil"/>
              <w:bottom w:val="single" w:sz="4" w:space="0" w:color="auto"/>
              <w:right w:val="nil"/>
            </w:tcBorders>
            <w:shd w:val="clear" w:color="auto" w:fill="auto"/>
            <w:noWrap/>
            <w:vAlign w:val="center"/>
            <w:hideMark/>
          </w:tcPr>
          <w:p w14:paraId="3082BD6F"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pH</w:t>
            </w:r>
          </w:p>
        </w:tc>
        <w:tc>
          <w:tcPr>
            <w:tcW w:w="1623" w:type="dxa"/>
            <w:tcBorders>
              <w:top w:val="single" w:sz="4" w:space="0" w:color="auto"/>
              <w:left w:val="nil"/>
              <w:bottom w:val="single" w:sz="4" w:space="0" w:color="auto"/>
              <w:right w:val="nil"/>
            </w:tcBorders>
            <w:shd w:val="clear" w:color="auto" w:fill="auto"/>
            <w:noWrap/>
            <w:vAlign w:val="center"/>
            <w:hideMark/>
          </w:tcPr>
          <w:p w14:paraId="22AA24A4"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Moisture (%)</w:t>
            </w:r>
          </w:p>
        </w:tc>
        <w:tc>
          <w:tcPr>
            <w:tcW w:w="2089" w:type="dxa"/>
            <w:tcBorders>
              <w:top w:val="single" w:sz="4" w:space="0" w:color="auto"/>
              <w:left w:val="nil"/>
              <w:bottom w:val="single" w:sz="4" w:space="0" w:color="auto"/>
              <w:right w:val="nil"/>
            </w:tcBorders>
            <w:shd w:val="clear" w:color="auto" w:fill="auto"/>
            <w:noWrap/>
            <w:vAlign w:val="center"/>
            <w:hideMark/>
          </w:tcPr>
          <w:p w14:paraId="744C6ED5" w14:textId="77777777" w:rsidR="002F6847" w:rsidRPr="002F6847" w:rsidRDefault="00FB0F5D"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Electrical cond</w:t>
            </w:r>
            <w:r w:rsidR="002F6847" w:rsidRPr="002F6847">
              <w:rPr>
                <w:rFonts w:ascii="Calibri" w:eastAsia="Times New Roman" w:hAnsi="Calibri" w:cs="Calibri"/>
                <w:color w:val="000000"/>
              </w:rPr>
              <w:t>uctivity/EC (mS/cm)</w:t>
            </w:r>
          </w:p>
        </w:tc>
      </w:tr>
      <w:tr w:rsidR="002F6847" w:rsidRPr="002F6847" w14:paraId="38DC7179" w14:textId="77777777" w:rsidTr="002F6847">
        <w:trPr>
          <w:trHeight w:val="304"/>
        </w:trPr>
        <w:tc>
          <w:tcPr>
            <w:tcW w:w="1598" w:type="dxa"/>
            <w:tcBorders>
              <w:top w:val="nil"/>
              <w:left w:val="nil"/>
              <w:bottom w:val="nil"/>
              <w:right w:val="nil"/>
            </w:tcBorders>
            <w:shd w:val="clear" w:color="auto" w:fill="auto"/>
            <w:noWrap/>
            <w:vAlign w:val="bottom"/>
            <w:hideMark/>
          </w:tcPr>
          <w:p w14:paraId="73109426"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1</w:t>
            </w:r>
          </w:p>
        </w:tc>
        <w:tc>
          <w:tcPr>
            <w:tcW w:w="2357" w:type="dxa"/>
            <w:tcBorders>
              <w:top w:val="nil"/>
              <w:left w:val="nil"/>
              <w:bottom w:val="nil"/>
              <w:right w:val="nil"/>
            </w:tcBorders>
            <w:shd w:val="clear" w:color="auto" w:fill="auto"/>
            <w:noWrap/>
            <w:vAlign w:val="bottom"/>
            <w:hideMark/>
          </w:tcPr>
          <w:p w14:paraId="5E106825"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25</w:t>
            </w:r>
          </w:p>
        </w:tc>
        <w:tc>
          <w:tcPr>
            <w:tcW w:w="1217" w:type="dxa"/>
            <w:tcBorders>
              <w:top w:val="nil"/>
              <w:left w:val="nil"/>
              <w:bottom w:val="nil"/>
              <w:right w:val="nil"/>
            </w:tcBorders>
            <w:shd w:val="clear" w:color="auto" w:fill="auto"/>
            <w:noWrap/>
            <w:vAlign w:val="bottom"/>
            <w:hideMark/>
          </w:tcPr>
          <w:p w14:paraId="36783479"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7.9</w:t>
            </w:r>
          </w:p>
        </w:tc>
        <w:tc>
          <w:tcPr>
            <w:tcW w:w="1623" w:type="dxa"/>
            <w:tcBorders>
              <w:top w:val="nil"/>
              <w:left w:val="nil"/>
              <w:bottom w:val="nil"/>
              <w:right w:val="nil"/>
            </w:tcBorders>
            <w:shd w:val="clear" w:color="auto" w:fill="auto"/>
            <w:noWrap/>
            <w:vAlign w:val="bottom"/>
            <w:hideMark/>
          </w:tcPr>
          <w:p w14:paraId="3C81E86A"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45</w:t>
            </w:r>
          </w:p>
        </w:tc>
        <w:tc>
          <w:tcPr>
            <w:tcW w:w="2089" w:type="dxa"/>
            <w:tcBorders>
              <w:top w:val="nil"/>
              <w:left w:val="nil"/>
              <w:bottom w:val="nil"/>
              <w:right w:val="nil"/>
            </w:tcBorders>
            <w:shd w:val="clear" w:color="auto" w:fill="auto"/>
            <w:noWrap/>
            <w:vAlign w:val="bottom"/>
            <w:hideMark/>
          </w:tcPr>
          <w:p w14:paraId="5EBDF7E8"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w:t>
            </w:r>
          </w:p>
        </w:tc>
      </w:tr>
      <w:tr w:rsidR="002F6847" w:rsidRPr="002F6847" w14:paraId="0ACC7EE1" w14:textId="77777777" w:rsidTr="002F6847">
        <w:trPr>
          <w:trHeight w:val="304"/>
        </w:trPr>
        <w:tc>
          <w:tcPr>
            <w:tcW w:w="1598" w:type="dxa"/>
            <w:tcBorders>
              <w:top w:val="nil"/>
              <w:left w:val="nil"/>
              <w:bottom w:val="nil"/>
              <w:right w:val="nil"/>
            </w:tcBorders>
            <w:shd w:val="clear" w:color="auto" w:fill="auto"/>
            <w:noWrap/>
            <w:vAlign w:val="bottom"/>
            <w:hideMark/>
          </w:tcPr>
          <w:p w14:paraId="7BFA01E6"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2</w:t>
            </w:r>
          </w:p>
        </w:tc>
        <w:tc>
          <w:tcPr>
            <w:tcW w:w="2357" w:type="dxa"/>
            <w:tcBorders>
              <w:top w:val="nil"/>
              <w:left w:val="nil"/>
              <w:bottom w:val="nil"/>
              <w:right w:val="nil"/>
            </w:tcBorders>
            <w:shd w:val="clear" w:color="auto" w:fill="auto"/>
            <w:noWrap/>
            <w:vAlign w:val="bottom"/>
            <w:hideMark/>
          </w:tcPr>
          <w:p w14:paraId="4127D7AE"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34.5</w:t>
            </w:r>
          </w:p>
        </w:tc>
        <w:tc>
          <w:tcPr>
            <w:tcW w:w="1217" w:type="dxa"/>
            <w:tcBorders>
              <w:top w:val="nil"/>
              <w:left w:val="nil"/>
              <w:bottom w:val="nil"/>
              <w:right w:val="nil"/>
            </w:tcBorders>
            <w:shd w:val="clear" w:color="auto" w:fill="auto"/>
            <w:noWrap/>
            <w:vAlign w:val="bottom"/>
            <w:hideMark/>
          </w:tcPr>
          <w:p w14:paraId="308A0341"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6.8</w:t>
            </w:r>
          </w:p>
        </w:tc>
        <w:tc>
          <w:tcPr>
            <w:tcW w:w="1623" w:type="dxa"/>
            <w:tcBorders>
              <w:top w:val="nil"/>
              <w:left w:val="nil"/>
              <w:bottom w:val="nil"/>
              <w:right w:val="nil"/>
            </w:tcBorders>
            <w:shd w:val="clear" w:color="auto" w:fill="auto"/>
            <w:noWrap/>
            <w:vAlign w:val="bottom"/>
            <w:hideMark/>
          </w:tcPr>
          <w:p w14:paraId="39ABB4AC"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50</w:t>
            </w:r>
          </w:p>
        </w:tc>
        <w:tc>
          <w:tcPr>
            <w:tcW w:w="2089" w:type="dxa"/>
            <w:tcBorders>
              <w:top w:val="nil"/>
              <w:left w:val="nil"/>
              <w:bottom w:val="nil"/>
              <w:right w:val="nil"/>
            </w:tcBorders>
            <w:shd w:val="clear" w:color="auto" w:fill="auto"/>
            <w:noWrap/>
            <w:vAlign w:val="bottom"/>
            <w:hideMark/>
          </w:tcPr>
          <w:p w14:paraId="0B3EFF15"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w:t>
            </w:r>
          </w:p>
        </w:tc>
      </w:tr>
      <w:tr w:rsidR="002F6847" w:rsidRPr="002F6847" w14:paraId="26A7DC99" w14:textId="77777777" w:rsidTr="002F6847">
        <w:trPr>
          <w:trHeight w:val="304"/>
        </w:trPr>
        <w:tc>
          <w:tcPr>
            <w:tcW w:w="1598" w:type="dxa"/>
            <w:tcBorders>
              <w:top w:val="nil"/>
              <w:left w:val="nil"/>
              <w:bottom w:val="nil"/>
              <w:right w:val="nil"/>
            </w:tcBorders>
            <w:shd w:val="clear" w:color="auto" w:fill="auto"/>
            <w:noWrap/>
            <w:vAlign w:val="bottom"/>
            <w:hideMark/>
          </w:tcPr>
          <w:p w14:paraId="622C44B2"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3</w:t>
            </w:r>
          </w:p>
        </w:tc>
        <w:tc>
          <w:tcPr>
            <w:tcW w:w="2357" w:type="dxa"/>
            <w:tcBorders>
              <w:top w:val="nil"/>
              <w:left w:val="nil"/>
              <w:bottom w:val="nil"/>
              <w:right w:val="nil"/>
            </w:tcBorders>
            <w:shd w:val="clear" w:color="auto" w:fill="auto"/>
            <w:noWrap/>
            <w:vAlign w:val="bottom"/>
            <w:hideMark/>
          </w:tcPr>
          <w:p w14:paraId="57543B07"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34.5</w:t>
            </w:r>
          </w:p>
        </w:tc>
        <w:tc>
          <w:tcPr>
            <w:tcW w:w="1217" w:type="dxa"/>
            <w:tcBorders>
              <w:top w:val="nil"/>
              <w:left w:val="nil"/>
              <w:bottom w:val="nil"/>
              <w:right w:val="nil"/>
            </w:tcBorders>
            <w:shd w:val="clear" w:color="auto" w:fill="auto"/>
            <w:noWrap/>
            <w:vAlign w:val="bottom"/>
            <w:hideMark/>
          </w:tcPr>
          <w:p w14:paraId="556957A1"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7.5</w:t>
            </w:r>
          </w:p>
        </w:tc>
        <w:tc>
          <w:tcPr>
            <w:tcW w:w="1623" w:type="dxa"/>
            <w:tcBorders>
              <w:top w:val="nil"/>
              <w:left w:val="nil"/>
              <w:bottom w:val="nil"/>
              <w:right w:val="nil"/>
            </w:tcBorders>
            <w:shd w:val="clear" w:color="auto" w:fill="auto"/>
            <w:noWrap/>
            <w:vAlign w:val="bottom"/>
            <w:hideMark/>
          </w:tcPr>
          <w:p w14:paraId="45539E65"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50</w:t>
            </w:r>
          </w:p>
        </w:tc>
        <w:tc>
          <w:tcPr>
            <w:tcW w:w="2089" w:type="dxa"/>
            <w:tcBorders>
              <w:top w:val="nil"/>
              <w:left w:val="nil"/>
              <w:bottom w:val="nil"/>
              <w:right w:val="nil"/>
            </w:tcBorders>
            <w:shd w:val="clear" w:color="auto" w:fill="auto"/>
            <w:noWrap/>
            <w:vAlign w:val="bottom"/>
            <w:hideMark/>
          </w:tcPr>
          <w:p w14:paraId="33F0598A"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w:t>
            </w:r>
          </w:p>
        </w:tc>
      </w:tr>
      <w:tr w:rsidR="002F6847" w:rsidRPr="002F6847" w14:paraId="27BCEB88" w14:textId="77777777" w:rsidTr="002F6847">
        <w:trPr>
          <w:trHeight w:val="304"/>
        </w:trPr>
        <w:tc>
          <w:tcPr>
            <w:tcW w:w="1598" w:type="dxa"/>
            <w:tcBorders>
              <w:top w:val="nil"/>
              <w:left w:val="nil"/>
              <w:bottom w:val="single" w:sz="4" w:space="0" w:color="auto"/>
              <w:right w:val="nil"/>
            </w:tcBorders>
            <w:shd w:val="clear" w:color="auto" w:fill="auto"/>
            <w:noWrap/>
            <w:vAlign w:val="bottom"/>
            <w:hideMark/>
          </w:tcPr>
          <w:p w14:paraId="10C6AEC7"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w:t>
            </w:r>
          </w:p>
        </w:tc>
        <w:tc>
          <w:tcPr>
            <w:tcW w:w="2357" w:type="dxa"/>
            <w:tcBorders>
              <w:top w:val="nil"/>
              <w:left w:val="nil"/>
              <w:bottom w:val="single" w:sz="4" w:space="0" w:color="auto"/>
              <w:right w:val="nil"/>
            </w:tcBorders>
            <w:shd w:val="clear" w:color="auto" w:fill="auto"/>
            <w:noWrap/>
            <w:vAlign w:val="bottom"/>
            <w:hideMark/>
          </w:tcPr>
          <w:p w14:paraId="312BCFED"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28</w:t>
            </w:r>
          </w:p>
        </w:tc>
        <w:tc>
          <w:tcPr>
            <w:tcW w:w="1217" w:type="dxa"/>
            <w:tcBorders>
              <w:top w:val="nil"/>
              <w:left w:val="nil"/>
              <w:bottom w:val="single" w:sz="4" w:space="0" w:color="auto"/>
              <w:right w:val="nil"/>
            </w:tcBorders>
            <w:shd w:val="clear" w:color="auto" w:fill="auto"/>
            <w:noWrap/>
            <w:vAlign w:val="bottom"/>
            <w:hideMark/>
          </w:tcPr>
          <w:p w14:paraId="78D48372"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8</w:t>
            </w:r>
          </w:p>
        </w:tc>
        <w:tc>
          <w:tcPr>
            <w:tcW w:w="1623" w:type="dxa"/>
            <w:tcBorders>
              <w:top w:val="nil"/>
              <w:left w:val="nil"/>
              <w:bottom w:val="single" w:sz="4" w:space="0" w:color="auto"/>
              <w:right w:val="nil"/>
            </w:tcBorders>
            <w:shd w:val="clear" w:color="auto" w:fill="auto"/>
            <w:noWrap/>
            <w:vAlign w:val="bottom"/>
            <w:hideMark/>
          </w:tcPr>
          <w:p w14:paraId="0BC3B024"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49</w:t>
            </w:r>
          </w:p>
        </w:tc>
        <w:tc>
          <w:tcPr>
            <w:tcW w:w="2089" w:type="dxa"/>
            <w:tcBorders>
              <w:top w:val="nil"/>
              <w:left w:val="nil"/>
              <w:bottom w:val="single" w:sz="4" w:space="0" w:color="auto"/>
              <w:right w:val="nil"/>
            </w:tcBorders>
            <w:shd w:val="clear" w:color="auto" w:fill="auto"/>
            <w:noWrap/>
            <w:vAlign w:val="bottom"/>
            <w:hideMark/>
          </w:tcPr>
          <w:p w14:paraId="6D491524"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w:t>
            </w:r>
          </w:p>
        </w:tc>
      </w:tr>
    </w:tbl>
    <w:p w14:paraId="15A49826" w14:textId="77777777" w:rsidR="00C01479" w:rsidRPr="00C01479" w:rsidRDefault="00C35F9D" w:rsidP="00C01479">
      <w:pPr>
        <w:rPr>
          <w:rFonts w:ascii="Calibri" w:hAnsi="Calibri" w:cs="Calibri"/>
          <w:bCs/>
          <w:sz w:val="24"/>
          <w:szCs w:val="24"/>
        </w:rPr>
      </w:pPr>
      <w:r>
        <w:rPr>
          <w:rFonts w:ascii="Calibri" w:hAnsi="Calibri" w:cs="Calibri"/>
          <w:bCs/>
          <w:sz w:val="24"/>
          <w:szCs w:val="24"/>
        </w:rPr>
        <w:t xml:space="preserve">Note: </w:t>
      </w:r>
      <w:r w:rsidR="005069B1" w:rsidRPr="005069B1">
        <w:rPr>
          <w:rFonts w:ascii="Calibri" w:hAnsi="Calibri" w:cs="Calibri"/>
          <w:bCs/>
          <w:sz w:val="24"/>
          <w:szCs w:val="24"/>
        </w:rPr>
        <w:t xml:space="preserve">Sampling site </w:t>
      </w:r>
      <w:r w:rsidR="0033769B">
        <w:rPr>
          <w:rFonts w:ascii="Calibri" w:hAnsi="Calibri" w:cs="Calibri"/>
          <w:bCs/>
          <w:sz w:val="24"/>
          <w:szCs w:val="24"/>
        </w:rPr>
        <w:t>(1, 2, 3, 4)</w:t>
      </w:r>
      <w:r w:rsidR="005069B1" w:rsidRPr="005069B1">
        <w:rPr>
          <w:rFonts w:ascii="Calibri" w:hAnsi="Calibri" w:cs="Calibri"/>
          <w:bCs/>
          <w:sz w:val="24"/>
          <w:szCs w:val="24"/>
        </w:rPr>
        <w:t xml:space="preserve"> indicating the sampling distance (km) from the shoreline.</w:t>
      </w:r>
    </w:p>
    <w:p w14:paraId="666DB82D" w14:textId="77777777" w:rsidR="005069B1" w:rsidRPr="005069B1" w:rsidRDefault="005069B1" w:rsidP="005069B1">
      <w:pPr>
        <w:jc w:val="both"/>
        <w:rPr>
          <w:rFonts w:ascii="Calibri" w:hAnsi="Calibri" w:cs="Calibri"/>
          <w:bCs/>
          <w:sz w:val="24"/>
          <w:szCs w:val="24"/>
        </w:rPr>
      </w:pPr>
      <w:r w:rsidRPr="005069B1">
        <w:rPr>
          <w:rFonts w:ascii="Calibri" w:hAnsi="Calibri" w:cs="Calibri"/>
          <w:bCs/>
          <w:sz w:val="24"/>
          <w:szCs w:val="24"/>
        </w:rPr>
        <w:t xml:space="preserve">The physicochemical properties of shallot rhizosphere soil collected from four sites in </w:t>
      </w:r>
      <w:proofErr w:type="spellStart"/>
      <w:r w:rsidRPr="005069B1">
        <w:rPr>
          <w:rFonts w:ascii="Calibri" w:hAnsi="Calibri" w:cs="Calibri"/>
          <w:bCs/>
          <w:sz w:val="24"/>
          <w:szCs w:val="24"/>
        </w:rPr>
        <w:t>Kaliwlingi</w:t>
      </w:r>
      <w:proofErr w:type="spellEnd"/>
      <w:r w:rsidRPr="005069B1">
        <w:rPr>
          <w:rFonts w:ascii="Calibri" w:hAnsi="Calibri" w:cs="Calibri"/>
          <w:bCs/>
          <w:sz w:val="24"/>
          <w:szCs w:val="24"/>
        </w:rPr>
        <w:t xml:space="preserve"> are presented in Table 1. The soil temperature ranged from 25°C to 34.5°C, reflecting typical microclimatic variation in coastal agricultural environments. Such temperature ranges are within the tolerance limits for mesophilic soil bacteria, including most plant growth-promoting rhizobacteria (PGPR) (Glick, 2012). Meanwhile, sampling site no. 2 is eliminated from this study as it performed neutral pH (not saline soil).</w:t>
      </w:r>
    </w:p>
    <w:p w14:paraId="1A3F9667" w14:textId="77777777" w:rsidR="0088136C" w:rsidRPr="0088136C" w:rsidRDefault="0088136C" w:rsidP="0088136C">
      <w:pPr>
        <w:jc w:val="both"/>
        <w:rPr>
          <w:rFonts w:ascii="Calibri" w:hAnsi="Calibri" w:cs="Calibri"/>
          <w:bCs/>
          <w:sz w:val="24"/>
          <w:szCs w:val="24"/>
        </w:rPr>
      </w:pPr>
      <w:r w:rsidRPr="0088136C">
        <w:rPr>
          <w:rFonts w:ascii="Calibri" w:hAnsi="Calibri" w:cs="Calibri"/>
          <w:bCs/>
          <w:sz w:val="24"/>
          <w:szCs w:val="24"/>
        </w:rPr>
        <w:t>The soil pH ranged from 7.5 to 8.0, indicating slightly to moderately alkaline conditions. Soil pH influences the solubility of nutrients and the composition of microbial communities. Alkaline pH tends to limit the availability of phosphorus and micronutrients, potentially increasing the importance of phosphate-solubilizing bacteria (Nautiyal, 1999). Furthermore, several PGPR strains are adapted to alkaline soils and have been reported to maintain functional activity in such environments (</w:t>
      </w:r>
      <w:proofErr w:type="spellStart"/>
      <w:r w:rsidRPr="0088136C">
        <w:rPr>
          <w:rFonts w:ascii="Calibri" w:hAnsi="Calibri" w:cs="Calibri"/>
          <w:bCs/>
          <w:sz w:val="24"/>
          <w:szCs w:val="24"/>
        </w:rPr>
        <w:t>Egamberdieva</w:t>
      </w:r>
      <w:proofErr w:type="spellEnd"/>
      <w:r w:rsidRPr="0088136C">
        <w:rPr>
          <w:rFonts w:ascii="Calibri" w:hAnsi="Calibri" w:cs="Calibri"/>
          <w:bCs/>
          <w:sz w:val="24"/>
          <w:szCs w:val="24"/>
        </w:rPr>
        <w:t xml:space="preserve"> et al., 2017).</w:t>
      </w:r>
    </w:p>
    <w:p w14:paraId="1479B128" w14:textId="77777777" w:rsidR="0088136C" w:rsidRPr="0088136C" w:rsidRDefault="0088136C" w:rsidP="0088136C">
      <w:pPr>
        <w:jc w:val="both"/>
        <w:rPr>
          <w:rFonts w:ascii="Calibri" w:hAnsi="Calibri" w:cs="Calibri"/>
          <w:bCs/>
          <w:sz w:val="24"/>
          <w:szCs w:val="24"/>
        </w:rPr>
      </w:pPr>
      <w:r w:rsidRPr="0088136C">
        <w:rPr>
          <w:rFonts w:ascii="Calibri" w:hAnsi="Calibri" w:cs="Calibri"/>
          <w:bCs/>
          <w:sz w:val="24"/>
          <w:szCs w:val="24"/>
        </w:rPr>
        <w:t>Soil moisture content was relatively stable across sites (45–50%), suggesting suitable water availability for microbial metabolism and root-associated interactions. Adequate soil moisture enhances microbial colonization and nutrient exchange within the rhizosphere (Cappuccino &amp; Sherman, 2014).</w:t>
      </w:r>
    </w:p>
    <w:p w14:paraId="1B8E06CD" w14:textId="77777777" w:rsidR="0088136C" w:rsidRPr="0088136C" w:rsidRDefault="0088136C" w:rsidP="0088136C">
      <w:pPr>
        <w:jc w:val="both"/>
        <w:rPr>
          <w:rFonts w:ascii="Calibri" w:hAnsi="Calibri" w:cs="Calibri"/>
          <w:bCs/>
          <w:sz w:val="24"/>
          <w:szCs w:val="24"/>
        </w:rPr>
      </w:pPr>
      <w:r w:rsidRPr="0088136C">
        <w:rPr>
          <w:rFonts w:ascii="Calibri" w:hAnsi="Calibri" w:cs="Calibri"/>
          <w:bCs/>
          <w:sz w:val="24"/>
          <w:szCs w:val="24"/>
        </w:rPr>
        <w:t xml:space="preserve">Electrical conductivity (EC) values ranged from 4 to 5 mS/cm, classifying the soil as moderately saline according to USDA salinity standards. Soils with EC &gt;4 mS/cm can hinder plant growth and affect microbial viability. However, salinity-tolerant PGPR can thrive under such stress and even contribute to alleviating salt-induced damage in host plants (Upadhyay et al., 2011). Therefore, the rhizosphere environment in </w:t>
      </w:r>
      <w:proofErr w:type="spellStart"/>
      <w:r w:rsidRPr="0088136C">
        <w:rPr>
          <w:rFonts w:ascii="Calibri" w:hAnsi="Calibri" w:cs="Calibri"/>
          <w:bCs/>
          <w:sz w:val="24"/>
          <w:szCs w:val="24"/>
        </w:rPr>
        <w:t>Kaliwlingi</w:t>
      </w:r>
      <w:proofErr w:type="spellEnd"/>
      <w:r w:rsidRPr="0088136C">
        <w:rPr>
          <w:rFonts w:ascii="Calibri" w:hAnsi="Calibri" w:cs="Calibri"/>
          <w:bCs/>
          <w:sz w:val="24"/>
          <w:szCs w:val="24"/>
        </w:rPr>
        <w:t xml:space="preserve"> provides an appropriate ecological context for isolating halotolerant PGPR with potential application in salinity-stressed agricultural systems.</w:t>
      </w:r>
    </w:p>
    <w:p w14:paraId="32A7B3F3" w14:textId="77777777" w:rsidR="00EA587F" w:rsidRDefault="00EA587F" w:rsidP="003B4644">
      <w:pPr>
        <w:jc w:val="center"/>
        <w:rPr>
          <w:rFonts w:ascii="Calibri" w:hAnsi="Calibri" w:cs="Calibri"/>
          <w:bCs/>
          <w:sz w:val="24"/>
          <w:szCs w:val="24"/>
        </w:rPr>
      </w:pPr>
    </w:p>
    <w:p w14:paraId="66AF4412" w14:textId="77777777" w:rsidR="00EA587F" w:rsidRDefault="00EA587F" w:rsidP="003B4644">
      <w:pPr>
        <w:jc w:val="center"/>
        <w:rPr>
          <w:rFonts w:ascii="Calibri" w:hAnsi="Calibri" w:cs="Calibri"/>
          <w:bCs/>
          <w:sz w:val="24"/>
          <w:szCs w:val="24"/>
        </w:rPr>
      </w:pPr>
    </w:p>
    <w:p w14:paraId="6CD35BB9" w14:textId="77777777" w:rsidR="00EA587F" w:rsidRDefault="00EA587F" w:rsidP="003B4644">
      <w:pPr>
        <w:jc w:val="center"/>
        <w:rPr>
          <w:rFonts w:ascii="Calibri" w:hAnsi="Calibri" w:cs="Calibri"/>
          <w:bCs/>
          <w:sz w:val="24"/>
          <w:szCs w:val="24"/>
        </w:rPr>
      </w:pPr>
    </w:p>
    <w:p w14:paraId="0372CBB6" w14:textId="77777777" w:rsidR="00EA587F" w:rsidRDefault="00EA587F" w:rsidP="003B4644">
      <w:pPr>
        <w:jc w:val="center"/>
        <w:rPr>
          <w:rFonts w:ascii="Calibri" w:hAnsi="Calibri" w:cs="Calibri"/>
          <w:bCs/>
          <w:sz w:val="24"/>
          <w:szCs w:val="24"/>
        </w:rPr>
      </w:pPr>
    </w:p>
    <w:p w14:paraId="65FDB033" w14:textId="77777777" w:rsidR="00C01479" w:rsidRDefault="003B4644" w:rsidP="003B4644">
      <w:pPr>
        <w:jc w:val="center"/>
        <w:rPr>
          <w:rFonts w:ascii="Calibri" w:hAnsi="Calibri" w:cs="Calibri"/>
          <w:bCs/>
          <w:sz w:val="24"/>
          <w:szCs w:val="24"/>
        </w:rPr>
      </w:pPr>
      <w:r w:rsidRPr="003B4644">
        <w:rPr>
          <w:rFonts w:ascii="Calibri" w:hAnsi="Calibri" w:cs="Calibri"/>
          <w:bCs/>
          <w:sz w:val="24"/>
          <w:szCs w:val="24"/>
        </w:rPr>
        <w:t>Salinity Tolerance Test</w:t>
      </w:r>
    </w:p>
    <w:p w14:paraId="505D7F60" w14:textId="77777777" w:rsidR="003B4644" w:rsidRDefault="003B4644" w:rsidP="003B4644">
      <w:pPr>
        <w:jc w:val="both"/>
        <w:rPr>
          <w:rFonts w:ascii="Calibri" w:hAnsi="Calibri" w:cs="Calibri"/>
          <w:bCs/>
          <w:sz w:val="24"/>
          <w:szCs w:val="24"/>
        </w:rPr>
      </w:pPr>
      <w:r w:rsidRPr="003B4644">
        <w:rPr>
          <w:rFonts w:ascii="Calibri" w:hAnsi="Calibri" w:cs="Calibri"/>
          <w:bCs/>
          <w:sz w:val="24"/>
          <w:szCs w:val="24"/>
        </w:rPr>
        <w:lastRenderedPageBreak/>
        <w:t xml:space="preserve">Table 2.  </w:t>
      </w:r>
      <w:r w:rsidR="0033769B" w:rsidRPr="003B4644">
        <w:rPr>
          <w:rFonts w:ascii="Calibri" w:hAnsi="Calibri" w:cs="Calibri"/>
          <w:bCs/>
          <w:sz w:val="24"/>
          <w:szCs w:val="24"/>
        </w:rPr>
        <w:t>Number and codes of selected isolates</w:t>
      </w:r>
    </w:p>
    <w:tbl>
      <w:tblPr>
        <w:tblW w:w="8961" w:type="dxa"/>
        <w:tblLook w:val="04A0" w:firstRow="1" w:lastRow="0" w:firstColumn="1" w:lastColumn="0" w:noHBand="0" w:noVBand="1"/>
      </w:tblPr>
      <w:tblGrid>
        <w:gridCol w:w="1685"/>
        <w:gridCol w:w="2247"/>
        <w:gridCol w:w="1677"/>
        <w:gridCol w:w="1675"/>
        <w:gridCol w:w="1677"/>
      </w:tblGrid>
      <w:tr w:rsidR="00D60D45" w:rsidRPr="00D60D45" w14:paraId="7F623433" w14:textId="77777777" w:rsidTr="00D60D45">
        <w:trPr>
          <w:trHeight w:val="278"/>
        </w:trPr>
        <w:tc>
          <w:tcPr>
            <w:tcW w:w="1685" w:type="dxa"/>
            <w:vMerge w:val="restart"/>
            <w:tcBorders>
              <w:top w:val="single" w:sz="4" w:space="0" w:color="auto"/>
              <w:left w:val="nil"/>
              <w:bottom w:val="nil"/>
              <w:right w:val="nil"/>
            </w:tcBorders>
            <w:shd w:val="clear" w:color="auto" w:fill="auto"/>
            <w:noWrap/>
            <w:vAlign w:val="center"/>
            <w:hideMark/>
          </w:tcPr>
          <w:p w14:paraId="2DEC6077" w14:textId="77777777" w:rsidR="00D60D45" w:rsidRPr="00D60D45" w:rsidRDefault="0033769B"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Isolate co</w:t>
            </w:r>
            <w:r w:rsidR="00D60D45" w:rsidRPr="00D60D45">
              <w:rPr>
                <w:rFonts w:ascii="Calibri" w:eastAsia="Times New Roman" w:hAnsi="Calibri" w:cs="Calibri"/>
                <w:color w:val="000000"/>
              </w:rPr>
              <w:t>de</w:t>
            </w:r>
          </w:p>
        </w:tc>
        <w:tc>
          <w:tcPr>
            <w:tcW w:w="2247" w:type="dxa"/>
            <w:vMerge w:val="restart"/>
            <w:tcBorders>
              <w:top w:val="single" w:sz="4" w:space="0" w:color="auto"/>
              <w:left w:val="nil"/>
              <w:bottom w:val="nil"/>
              <w:right w:val="nil"/>
            </w:tcBorders>
            <w:shd w:val="clear" w:color="auto" w:fill="auto"/>
            <w:noWrap/>
            <w:vAlign w:val="center"/>
            <w:hideMark/>
          </w:tcPr>
          <w:p w14:paraId="603D7FDB"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 xml:space="preserve">Sampling </w:t>
            </w:r>
            <w:r w:rsidR="0033769B" w:rsidRPr="00D60D45">
              <w:rPr>
                <w:rFonts w:ascii="Calibri" w:eastAsia="Times New Roman" w:hAnsi="Calibri" w:cs="Calibri"/>
                <w:color w:val="000000"/>
              </w:rPr>
              <w:t>site</w:t>
            </w:r>
          </w:p>
        </w:tc>
        <w:tc>
          <w:tcPr>
            <w:tcW w:w="5029" w:type="dxa"/>
            <w:gridSpan w:val="3"/>
            <w:tcBorders>
              <w:top w:val="single" w:sz="4" w:space="0" w:color="auto"/>
              <w:left w:val="nil"/>
              <w:bottom w:val="nil"/>
              <w:right w:val="nil"/>
            </w:tcBorders>
            <w:shd w:val="clear" w:color="auto" w:fill="auto"/>
            <w:noWrap/>
            <w:vAlign w:val="center"/>
            <w:hideMark/>
          </w:tcPr>
          <w:p w14:paraId="325EF17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 xml:space="preserve">NaCl </w:t>
            </w:r>
            <w:r w:rsidR="0033769B" w:rsidRPr="00D60D45">
              <w:rPr>
                <w:rFonts w:ascii="Calibri" w:eastAsia="Times New Roman" w:hAnsi="Calibri" w:cs="Calibri"/>
                <w:color w:val="000000"/>
              </w:rPr>
              <w:t>tolerance level</w:t>
            </w:r>
          </w:p>
        </w:tc>
      </w:tr>
      <w:tr w:rsidR="00D60D45" w:rsidRPr="00D60D45" w14:paraId="08FDDD5C" w14:textId="77777777" w:rsidTr="00D60D45">
        <w:trPr>
          <w:trHeight w:val="278"/>
        </w:trPr>
        <w:tc>
          <w:tcPr>
            <w:tcW w:w="1685" w:type="dxa"/>
            <w:vMerge/>
            <w:tcBorders>
              <w:top w:val="single" w:sz="4" w:space="0" w:color="auto"/>
              <w:left w:val="nil"/>
              <w:bottom w:val="nil"/>
              <w:right w:val="nil"/>
            </w:tcBorders>
            <w:vAlign w:val="center"/>
            <w:hideMark/>
          </w:tcPr>
          <w:p w14:paraId="75797DCA" w14:textId="77777777" w:rsidR="00D60D45" w:rsidRPr="00D60D45" w:rsidRDefault="00D60D45" w:rsidP="00D60D45">
            <w:pPr>
              <w:spacing w:after="0" w:line="240" w:lineRule="auto"/>
              <w:rPr>
                <w:rFonts w:ascii="Calibri" w:eastAsia="Times New Roman" w:hAnsi="Calibri" w:cs="Calibri"/>
                <w:color w:val="000000"/>
              </w:rPr>
            </w:pPr>
          </w:p>
        </w:tc>
        <w:tc>
          <w:tcPr>
            <w:tcW w:w="2247" w:type="dxa"/>
            <w:vMerge/>
            <w:tcBorders>
              <w:top w:val="single" w:sz="4" w:space="0" w:color="auto"/>
              <w:left w:val="nil"/>
              <w:bottom w:val="nil"/>
              <w:right w:val="nil"/>
            </w:tcBorders>
            <w:vAlign w:val="center"/>
            <w:hideMark/>
          </w:tcPr>
          <w:p w14:paraId="50DB9290" w14:textId="77777777" w:rsidR="00D60D45" w:rsidRPr="00D60D45" w:rsidRDefault="00D60D45" w:rsidP="00D60D45">
            <w:pPr>
              <w:spacing w:after="0" w:line="240" w:lineRule="auto"/>
              <w:rPr>
                <w:rFonts w:ascii="Calibri" w:eastAsia="Times New Roman" w:hAnsi="Calibri" w:cs="Calibri"/>
                <w:color w:val="000000"/>
              </w:rPr>
            </w:pPr>
          </w:p>
        </w:tc>
        <w:tc>
          <w:tcPr>
            <w:tcW w:w="1677" w:type="dxa"/>
            <w:tcBorders>
              <w:top w:val="single" w:sz="4" w:space="0" w:color="auto"/>
              <w:left w:val="nil"/>
              <w:bottom w:val="single" w:sz="4" w:space="0" w:color="auto"/>
              <w:right w:val="nil"/>
            </w:tcBorders>
            <w:shd w:val="clear" w:color="auto" w:fill="auto"/>
            <w:noWrap/>
            <w:vAlign w:val="center"/>
            <w:hideMark/>
          </w:tcPr>
          <w:p w14:paraId="1292729C"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5" w:type="dxa"/>
            <w:tcBorders>
              <w:top w:val="single" w:sz="4" w:space="0" w:color="auto"/>
              <w:left w:val="nil"/>
              <w:bottom w:val="single" w:sz="4" w:space="0" w:color="auto"/>
              <w:right w:val="nil"/>
            </w:tcBorders>
            <w:shd w:val="clear" w:color="auto" w:fill="auto"/>
            <w:noWrap/>
            <w:vAlign w:val="center"/>
            <w:hideMark/>
          </w:tcPr>
          <w:p w14:paraId="17438B6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5%</w:t>
            </w:r>
          </w:p>
        </w:tc>
        <w:tc>
          <w:tcPr>
            <w:tcW w:w="1675" w:type="dxa"/>
            <w:tcBorders>
              <w:top w:val="single" w:sz="4" w:space="0" w:color="auto"/>
              <w:left w:val="nil"/>
              <w:bottom w:val="single" w:sz="4" w:space="0" w:color="auto"/>
              <w:right w:val="nil"/>
            </w:tcBorders>
            <w:shd w:val="clear" w:color="auto" w:fill="auto"/>
            <w:noWrap/>
            <w:vAlign w:val="center"/>
            <w:hideMark/>
          </w:tcPr>
          <w:p w14:paraId="1548129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8%</w:t>
            </w:r>
          </w:p>
        </w:tc>
      </w:tr>
      <w:tr w:rsidR="00D60D45" w:rsidRPr="00D60D45" w14:paraId="4F5E0C8A" w14:textId="77777777" w:rsidTr="00D60D45">
        <w:trPr>
          <w:trHeight w:val="278"/>
        </w:trPr>
        <w:tc>
          <w:tcPr>
            <w:tcW w:w="1685" w:type="dxa"/>
            <w:tcBorders>
              <w:top w:val="single" w:sz="4" w:space="0" w:color="auto"/>
              <w:left w:val="nil"/>
              <w:bottom w:val="nil"/>
              <w:right w:val="nil"/>
            </w:tcBorders>
            <w:shd w:val="clear" w:color="auto" w:fill="auto"/>
            <w:noWrap/>
            <w:vAlign w:val="bottom"/>
            <w:hideMark/>
          </w:tcPr>
          <w:p w14:paraId="0E21D63C"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KL1K2</w:t>
            </w:r>
          </w:p>
        </w:tc>
        <w:tc>
          <w:tcPr>
            <w:tcW w:w="2247" w:type="dxa"/>
            <w:tcBorders>
              <w:top w:val="single" w:sz="4" w:space="0" w:color="auto"/>
              <w:left w:val="nil"/>
              <w:bottom w:val="nil"/>
              <w:right w:val="nil"/>
            </w:tcBorders>
            <w:shd w:val="clear" w:color="auto" w:fill="auto"/>
            <w:noWrap/>
            <w:vAlign w:val="bottom"/>
            <w:hideMark/>
          </w:tcPr>
          <w:p w14:paraId="43247E0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1</w:t>
            </w:r>
          </w:p>
        </w:tc>
        <w:tc>
          <w:tcPr>
            <w:tcW w:w="1677" w:type="dxa"/>
            <w:tcBorders>
              <w:top w:val="nil"/>
              <w:left w:val="nil"/>
              <w:bottom w:val="nil"/>
              <w:right w:val="nil"/>
            </w:tcBorders>
            <w:shd w:val="clear" w:color="auto" w:fill="auto"/>
            <w:noWrap/>
            <w:vAlign w:val="bottom"/>
            <w:hideMark/>
          </w:tcPr>
          <w:p w14:paraId="6A03E89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300154C"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53DCFE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4247DEC2" w14:textId="77777777" w:rsidTr="00D60D45">
        <w:trPr>
          <w:trHeight w:val="278"/>
        </w:trPr>
        <w:tc>
          <w:tcPr>
            <w:tcW w:w="1685" w:type="dxa"/>
            <w:tcBorders>
              <w:top w:val="nil"/>
              <w:left w:val="nil"/>
              <w:bottom w:val="nil"/>
              <w:right w:val="nil"/>
            </w:tcBorders>
            <w:shd w:val="clear" w:color="auto" w:fill="auto"/>
            <w:noWrap/>
            <w:vAlign w:val="bottom"/>
            <w:hideMark/>
          </w:tcPr>
          <w:p w14:paraId="6613DD60"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KL3ASH1</w:t>
            </w:r>
          </w:p>
        </w:tc>
        <w:tc>
          <w:tcPr>
            <w:tcW w:w="2247" w:type="dxa"/>
            <w:tcBorders>
              <w:top w:val="nil"/>
              <w:left w:val="nil"/>
              <w:bottom w:val="nil"/>
              <w:right w:val="nil"/>
            </w:tcBorders>
            <w:shd w:val="clear" w:color="auto" w:fill="auto"/>
            <w:noWrap/>
            <w:vAlign w:val="bottom"/>
            <w:hideMark/>
          </w:tcPr>
          <w:p w14:paraId="2320A483"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7" w:type="dxa"/>
            <w:tcBorders>
              <w:top w:val="nil"/>
              <w:left w:val="nil"/>
              <w:bottom w:val="nil"/>
              <w:right w:val="nil"/>
            </w:tcBorders>
            <w:shd w:val="clear" w:color="auto" w:fill="auto"/>
            <w:noWrap/>
            <w:vAlign w:val="bottom"/>
            <w:hideMark/>
          </w:tcPr>
          <w:p w14:paraId="3653FA00"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4EAAA59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03A09384"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3748072E" w14:textId="77777777" w:rsidTr="00D60D45">
        <w:trPr>
          <w:trHeight w:val="278"/>
        </w:trPr>
        <w:tc>
          <w:tcPr>
            <w:tcW w:w="1685" w:type="dxa"/>
            <w:tcBorders>
              <w:top w:val="nil"/>
              <w:left w:val="nil"/>
              <w:bottom w:val="nil"/>
              <w:right w:val="nil"/>
            </w:tcBorders>
            <w:shd w:val="clear" w:color="auto" w:fill="auto"/>
            <w:noWrap/>
            <w:vAlign w:val="bottom"/>
            <w:hideMark/>
          </w:tcPr>
          <w:p w14:paraId="5A398DF8"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K3IS4</w:t>
            </w:r>
          </w:p>
        </w:tc>
        <w:tc>
          <w:tcPr>
            <w:tcW w:w="2247" w:type="dxa"/>
            <w:tcBorders>
              <w:top w:val="nil"/>
              <w:left w:val="nil"/>
              <w:bottom w:val="nil"/>
              <w:right w:val="nil"/>
            </w:tcBorders>
            <w:shd w:val="clear" w:color="auto" w:fill="auto"/>
            <w:noWrap/>
            <w:vAlign w:val="bottom"/>
            <w:hideMark/>
          </w:tcPr>
          <w:p w14:paraId="6D08469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7" w:type="dxa"/>
            <w:tcBorders>
              <w:top w:val="nil"/>
              <w:left w:val="nil"/>
              <w:bottom w:val="nil"/>
              <w:right w:val="nil"/>
            </w:tcBorders>
            <w:shd w:val="clear" w:color="auto" w:fill="auto"/>
            <w:noWrap/>
            <w:vAlign w:val="bottom"/>
            <w:hideMark/>
          </w:tcPr>
          <w:p w14:paraId="71893DC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915337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7D656E5E"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22DC1831" w14:textId="77777777" w:rsidTr="00D60D45">
        <w:trPr>
          <w:trHeight w:val="278"/>
        </w:trPr>
        <w:tc>
          <w:tcPr>
            <w:tcW w:w="1685" w:type="dxa"/>
            <w:tcBorders>
              <w:top w:val="nil"/>
              <w:left w:val="nil"/>
              <w:bottom w:val="nil"/>
              <w:right w:val="nil"/>
            </w:tcBorders>
            <w:shd w:val="clear" w:color="auto" w:fill="auto"/>
            <w:noWrap/>
            <w:vAlign w:val="bottom"/>
            <w:hideMark/>
          </w:tcPr>
          <w:p w14:paraId="61485370"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K3RZ1</w:t>
            </w:r>
          </w:p>
        </w:tc>
        <w:tc>
          <w:tcPr>
            <w:tcW w:w="2247" w:type="dxa"/>
            <w:tcBorders>
              <w:top w:val="nil"/>
              <w:left w:val="nil"/>
              <w:bottom w:val="nil"/>
              <w:right w:val="nil"/>
            </w:tcBorders>
            <w:shd w:val="clear" w:color="auto" w:fill="auto"/>
            <w:noWrap/>
            <w:vAlign w:val="bottom"/>
            <w:hideMark/>
          </w:tcPr>
          <w:p w14:paraId="2EB5E6D3"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7" w:type="dxa"/>
            <w:tcBorders>
              <w:top w:val="nil"/>
              <w:left w:val="nil"/>
              <w:bottom w:val="nil"/>
              <w:right w:val="nil"/>
            </w:tcBorders>
            <w:shd w:val="clear" w:color="auto" w:fill="auto"/>
            <w:noWrap/>
            <w:vAlign w:val="bottom"/>
            <w:hideMark/>
          </w:tcPr>
          <w:p w14:paraId="1364FF2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49D2E1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CFF2285"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1C13099D" w14:textId="77777777" w:rsidTr="00D60D45">
        <w:trPr>
          <w:trHeight w:val="278"/>
        </w:trPr>
        <w:tc>
          <w:tcPr>
            <w:tcW w:w="1685" w:type="dxa"/>
            <w:tcBorders>
              <w:top w:val="nil"/>
              <w:left w:val="nil"/>
              <w:bottom w:val="nil"/>
              <w:right w:val="nil"/>
            </w:tcBorders>
            <w:shd w:val="clear" w:color="auto" w:fill="auto"/>
            <w:noWrap/>
            <w:vAlign w:val="bottom"/>
            <w:hideMark/>
          </w:tcPr>
          <w:p w14:paraId="7098DB67"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K4RZ6</w:t>
            </w:r>
          </w:p>
        </w:tc>
        <w:tc>
          <w:tcPr>
            <w:tcW w:w="2247" w:type="dxa"/>
            <w:tcBorders>
              <w:top w:val="nil"/>
              <w:left w:val="nil"/>
              <w:bottom w:val="nil"/>
              <w:right w:val="nil"/>
            </w:tcBorders>
            <w:shd w:val="clear" w:color="auto" w:fill="auto"/>
            <w:noWrap/>
            <w:vAlign w:val="bottom"/>
            <w:hideMark/>
          </w:tcPr>
          <w:p w14:paraId="3325E2D3"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4F7B7B6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4F3A654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0E4C317C"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6FE7A9C5" w14:textId="77777777" w:rsidTr="00D60D45">
        <w:trPr>
          <w:trHeight w:val="278"/>
        </w:trPr>
        <w:tc>
          <w:tcPr>
            <w:tcW w:w="1685" w:type="dxa"/>
            <w:tcBorders>
              <w:top w:val="nil"/>
              <w:left w:val="nil"/>
              <w:bottom w:val="nil"/>
              <w:right w:val="nil"/>
            </w:tcBorders>
            <w:shd w:val="clear" w:color="auto" w:fill="auto"/>
            <w:noWrap/>
            <w:vAlign w:val="bottom"/>
            <w:hideMark/>
          </w:tcPr>
          <w:p w14:paraId="21647BEB"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K4K6</w:t>
            </w:r>
          </w:p>
        </w:tc>
        <w:tc>
          <w:tcPr>
            <w:tcW w:w="2247" w:type="dxa"/>
            <w:tcBorders>
              <w:top w:val="nil"/>
              <w:left w:val="nil"/>
              <w:bottom w:val="nil"/>
              <w:right w:val="nil"/>
            </w:tcBorders>
            <w:shd w:val="clear" w:color="auto" w:fill="auto"/>
            <w:noWrap/>
            <w:vAlign w:val="bottom"/>
            <w:hideMark/>
          </w:tcPr>
          <w:p w14:paraId="26F29C7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446986F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1F6C076E"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0E65BBF0"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78AB626C" w14:textId="77777777" w:rsidTr="00D60D45">
        <w:trPr>
          <w:trHeight w:val="278"/>
        </w:trPr>
        <w:tc>
          <w:tcPr>
            <w:tcW w:w="1685" w:type="dxa"/>
            <w:tcBorders>
              <w:top w:val="nil"/>
              <w:left w:val="nil"/>
              <w:bottom w:val="nil"/>
              <w:right w:val="nil"/>
            </w:tcBorders>
            <w:shd w:val="clear" w:color="auto" w:fill="auto"/>
            <w:noWrap/>
            <w:vAlign w:val="bottom"/>
            <w:hideMark/>
          </w:tcPr>
          <w:p w14:paraId="2568E4A0"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K4RZ3</w:t>
            </w:r>
          </w:p>
        </w:tc>
        <w:tc>
          <w:tcPr>
            <w:tcW w:w="2247" w:type="dxa"/>
            <w:tcBorders>
              <w:top w:val="nil"/>
              <w:left w:val="nil"/>
              <w:bottom w:val="nil"/>
              <w:right w:val="nil"/>
            </w:tcBorders>
            <w:shd w:val="clear" w:color="auto" w:fill="auto"/>
            <w:noWrap/>
            <w:vAlign w:val="bottom"/>
            <w:hideMark/>
          </w:tcPr>
          <w:p w14:paraId="4417A3EB"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59F84762"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4D772B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7858907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14A0F818" w14:textId="77777777" w:rsidTr="00D60D45">
        <w:trPr>
          <w:trHeight w:val="278"/>
        </w:trPr>
        <w:tc>
          <w:tcPr>
            <w:tcW w:w="1685" w:type="dxa"/>
            <w:tcBorders>
              <w:top w:val="nil"/>
              <w:left w:val="nil"/>
              <w:bottom w:val="nil"/>
              <w:right w:val="nil"/>
            </w:tcBorders>
            <w:shd w:val="clear" w:color="auto" w:fill="auto"/>
            <w:noWrap/>
            <w:vAlign w:val="bottom"/>
            <w:hideMark/>
          </w:tcPr>
          <w:p w14:paraId="61EBBBCC"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K4P1</w:t>
            </w:r>
          </w:p>
        </w:tc>
        <w:tc>
          <w:tcPr>
            <w:tcW w:w="2247" w:type="dxa"/>
            <w:tcBorders>
              <w:top w:val="nil"/>
              <w:left w:val="nil"/>
              <w:bottom w:val="nil"/>
              <w:right w:val="nil"/>
            </w:tcBorders>
            <w:shd w:val="clear" w:color="auto" w:fill="auto"/>
            <w:noWrap/>
            <w:vAlign w:val="bottom"/>
            <w:hideMark/>
          </w:tcPr>
          <w:p w14:paraId="2B9076F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6030FD94"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527D0FC6"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2D3062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2D0C03E5" w14:textId="77777777" w:rsidTr="00D60D45">
        <w:trPr>
          <w:trHeight w:val="278"/>
        </w:trPr>
        <w:tc>
          <w:tcPr>
            <w:tcW w:w="1685" w:type="dxa"/>
            <w:tcBorders>
              <w:top w:val="nil"/>
              <w:left w:val="nil"/>
              <w:bottom w:val="nil"/>
              <w:right w:val="nil"/>
            </w:tcBorders>
            <w:shd w:val="clear" w:color="auto" w:fill="auto"/>
            <w:noWrap/>
            <w:vAlign w:val="bottom"/>
            <w:hideMark/>
          </w:tcPr>
          <w:p w14:paraId="7E5A5AFA"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K4K1</w:t>
            </w:r>
          </w:p>
        </w:tc>
        <w:tc>
          <w:tcPr>
            <w:tcW w:w="2247" w:type="dxa"/>
            <w:tcBorders>
              <w:top w:val="nil"/>
              <w:left w:val="nil"/>
              <w:bottom w:val="nil"/>
              <w:right w:val="nil"/>
            </w:tcBorders>
            <w:shd w:val="clear" w:color="auto" w:fill="auto"/>
            <w:noWrap/>
            <w:vAlign w:val="bottom"/>
            <w:hideMark/>
          </w:tcPr>
          <w:p w14:paraId="6B6113BE"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063F41A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43C69795"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4B208E5"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62CC989B" w14:textId="77777777" w:rsidTr="00D60D45">
        <w:trPr>
          <w:trHeight w:val="278"/>
        </w:trPr>
        <w:tc>
          <w:tcPr>
            <w:tcW w:w="1685" w:type="dxa"/>
            <w:tcBorders>
              <w:top w:val="nil"/>
              <w:left w:val="nil"/>
              <w:bottom w:val="single" w:sz="4" w:space="0" w:color="auto"/>
              <w:right w:val="nil"/>
            </w:tcBorders>
            <w:shd w:val="clear" w:color="auto" w:fill="auto"/>
            <w:noWrap/>
            <w:vAlign w:val="bottom"/>
            <w:hideMark/>
          </w:tcPr>
          <w:p w14:paraId="40FE45B4"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KL4ASH3</w:t>
            </w:r>
          </w:p>
        </w:tc>
        <w:tc>
          <w:tcPr>
            <w:tcW w:w="2247" w:type="dxa"/>
            <w:tcBorders>
              <w:top w:val="nil"/>
              <w:left w:val="nil"/>
              <w:bottom w:val="single" w:sz="4" w:space="0" w:color="auto"/>
              <w:right w:val="nil"/>
            </w:tcBorders>
            <w:shd w:val="clear" w:color="auto" w:fill="auto"/>
            <w:noWrap/>
            <w:vAlign w:val="bottom"/>
            <w:hideMark/>
          </w:tcPr>
          <w:p w14:paraId="75C4D83D"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single" w:sz="4" w:space="0" w:color="auto"/>
              <w:right w:val="nil"/>
            </w:tcBorders>
            <w:shd w:val="clear" w:color="auto" w:fill="auto"/>
            <w:noWrap/>
            <w:vAlign w:val="bottom"/>
            <w:hideMark/>
          </w:tcPr>
          <w:p w14:paraId="1BA891CD"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single" w:sz="4" w:space="0" w:color="auto"/>
              <w:right w:val="nil"/>
            </w:tcBorders>
            <w:shd w:val="clear" w:color="auto" w:fill="auto"/>
            <w:noWrap/>
            <w:vAlign w:val="bottom"/>
            <w:hideMark/>
          </w:tcPr>
          <w:p w14:paraId="2CEE1FD8"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single" w:sz="4" w:space="0" w:color="auto"/>
              <w:right w:val="nil"/>
            </w:tcBorders>
            <w:shd w:val="clear" w:color="auto" w:fill="auto"/>
            <w:noWrap/>
            <w:vAlign w:val="bottom"/>
            <w:hideMark/>
          </w:tcPr>
          <w:p w14:paraId="4648680D"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bl>
    <w:p w14:paraId="5E076300" w14:textId="77777777" w:rsidR="003B4644" w:rsidRDefault="003B4644" w:rsidP="003B4644">
      <w:pPr>
        <w:jc w:val="both"/>
        <w:rPr>
          <w:rFonts w:ascii="Calibri" w:hAnsi="Calibri" w:cs="Calibri"/>
          <w:bCs/>
          <w:sz w:val="24"/>
          <w:szCs w:val="24"/>
        </w:rPr>
      </w:pPr>
    </w:p>
    <w:p w14:paraId="5C6DD808"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Salt tolerance testing was conducted to assess the ability of bacterial isolates to grow under high salinity conditions, specifically at NaCl concentrations of 3%, 7%, and 8%. All isolates were able to grow at 3% NaCl, indicating a basic tolerance to low salinity. However, only one isolate, KL1K2, failed to grow at 7% and 8% NaCl, while the remaining nine isolates continued to grow even at higher salt concentrations. This result suggests that most of the isolates exhibit strong salinity tolerance and have potential for application in soils with moderate to high salinity levels.</w:t>
      </w:r>
    </w:p>
    <w:p w14:paraId="7D058D5C"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 xml:space="preserve">High salinity creates osmotic stress that inhibits the growth of non-halotolerant microbes. However, certain PGPR are physiologically adapted through mechanisms such as exopolysaccharide production, osmolyte regulation (e.g., proline or glycine betaine), and stabilization of enzyme function under hyperosmotic conditions (Nguyen et al., 2019; Szymańska et al., 2020). These adaptations allow the bacteria to remain active and continue supporting plant growth under salt stress. The ability of the isolates to survive up to 8% NaCl indicates that most bacteria isolated from shallot rhizosphere in coastal areas are already adapted to extreme abiotic stress, including salinity. This tolerance is a key criterion for selecting PGPR candidates suitable for use in marginal lands, such as coastal and tidal zones that are increasingly affected by climate change (Mansour et al., 2021). The failure of KL1K2 to grow at 7–8% NaCl suggests a limited salinity tolerance, possibly due to differences in cell membrane structure or an inability to efficiently synthesize </w:t>
      </w:r>
      <w:proofErr w:type="spellStart"/>
      <w:r w:rsidRPr="00396B55">
        <w:rPr>
          <w:rFonts w:ascii="Calibri" w:hAnsi="Calibri" w:cs="Calibri"/>
          <w:bCs/>
          <w:sz w:val="24"/>
          <w:szCs w:val="24"/>
        </w:rPr>
        <w:t>osmoprotective</w:t>
      </w:r>
      <w:proofErr w:type="spellEnd"/>
      <w:r w:rsidRPr="00396B55">
        <w:rPr>
          <w:rFonts w:ascii="Calibri" w:hAnsi="Calibri" w:cs="Calibri"/>
          <w:bCs/>
          <w:sz w:val="24"/>
          <w:szCs w:val="24"/>
        </w:rPr>
        <w:t xml:space="preserve"> compounds (Ali et al., 2020).</w:t>
      </w:r>
    </w:p>
    <w:p w14:paraId="590CF62F" w14:textId="77777777" w:rsidR="00DC2594" w:rsidRDefault="00DC2594" w:rsidP="00396B55">
      <w:pPr>
        <w:jc w:val="center"/>
        <w:rPr>
          <w:rFonts w:ascii="Calibri" w:hAnsi="Calibri" w:cs="Calibri"/>
          <w:bCs/>
          <w:sz w:val="24"/>
          <w:szCs w:val="24"/>
        </w:rPr>
      </w:pPr>
    </w:p>
    <w:p w14:paraId="614D5B57" w14:textId="77777777" w:rsidR="00DC2594" w:rsidRDefault="00DC2594" w:rsidP="00396B55">
      <w:pPr>
        <w:jc w:val="center"/>
        <w:rPr>
          <w:rFonts w:ascii="Calibri" w:hAnsi="Calibri" w:cs="Calibri"/>
          <w:bCs/>
          <w:sz w:val="24"/>
          <w:szCs w:val="24"/>
        </w:rPr>
      </w:pPr>
    </w:p>
    <w:p w14:paraId="6FB5F284" w14:textId="77777777" w:rsidR="00DC2594" w:rsidRDefault="00DC2594" w:rsidP="00396B55">
      <w:pPr>
        <w:jc w:val="center"/>
        <w:rPr>
          <w:rFonts w:ascii="Calibri" w:hAnsi="Calibri" w:cs="Calibri"/>
          <w:bCs/>
          <w:sz w:val="24"/>
          <w:szCs w:val="24"/>
        </w:rPr>
      </w:pPr>
    </w:p>
    <w:p w14:paraId="3225B0F5" w14:textId="77777777" w:rsidR="00DC2594" w:rsidRDefault="00DC2594" w:rsidP="00396B55">
      <w:pPr>
        <w:jc w:val="center"/>
        <w:rPr>
          <w:rFonts w:ascii="Calibri" w:hAnsi="Calibri" w:cs="Calibri"/>
          <w:bCs/>
          <w:sz w:val="24"/>
          <w:szCs w:val="24"/>
        </w:rPr>
      </w:pPr>
    </w:p>
    <w:p w14:paraId="6B027C58" w14:textId="77777777" w:rsidR="00DC2594" w:rsidRDefault="00DC2594" w:rsidP="00396B55">
      <w:pPr>
        <w:jc w:val="center"/>
        <w:rPr>
          <w:rFonts w:ascii="Calibri" w:hAnsi="Calibri" w:cs="Calibri"/>
          <w:bCs/>
          <w:sz w:val="24"/>
          <w:szCs w:val="24"/>
        </w:rPr>
      </w:pPr>
    </w:p>
    <w:p w14:paraId="596937E6" w14:textId="77777777" w:rsidR="00396B55" w:rsidRPr="00396B55" w:rsidRDefault="00396B55" w:rsidP="00396B55">
      <w:pPr>
        <w:jc w:val="center"/>
        <w:rPr>
          <w:rFonts w:ascii="Calibri" w:hAnsi="Calibri" w:cs="Calibri"/>
          <w:bCs/>
          <w:sz w:val="24"/>
          <w:szCs w:val="24"/>
        </w:rPr>
      </w:pPr>
      <w:r w:rsidRPr="00396B55">
        <w:rPr>
          <w:rFonts w:ascii="Calibri" w:hAnsi="Calibri" w:cs="Calibri"/>
          <w:bCs/>
          <w:sz w:val="24"/>
          <w:szCs w:val="24"/>
        </w:rPr>
        <w:t>Phosphate Solubilization</w:t>
      </w:r>
    </w:p>
    <w:p w14:paraId="34925D2E" w14:textId="77777777" w:rsidR="00396B55" w:rsidRDefault="00DC2594" w:rsidP="00DC2594">
      <w:pPr>
        <w:jc w:val="center"/>
        <w:rPr>
          <w:rFonts w:ascii="Calibri" w:hAnsi="Calibri" w:cs="Calibri"/>
          <w:bCs/>
          <w:sz w:val="24"/>
          <w:szCs w:val="24"/>
        </w:rPr>
      </w:pPr>
      <w:r>
        <w:rPr>
          <w:noProof/>
        </w:rPr>
        <w:lastRenderedPageBreak/>
        <w:drawing>
          <wp:inline distT="0" distB="0" distL="0" distR="0" wp14:anchorId="128EE426" wp14:editId="0ED3530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0D7364" w14:textId="77777777" w:rsidR="00DC2594" w:rsidRDefault="00DC2594" w:rsidP="00DC2594">
      <w:pPr>
        <w:jc w:val="center"/>
        <w:rPr>
          <w:rFonts w:ascii="Calibri" w:hAnsi="Calibri" w:cs="Calibri"/>
          <w:bCs/>
          <w:sz w:val="24"/>
          <w:szCs w:val="24"/>
        </w:rPr>
      </w:pPr>
      <w:r>
        <w:rPr>
          <w:rFonts w:ascii="Calibri" w:hAnsi="Calibri" w:cs="Calibri"/>
          <w:bCs/>
          <w:sz w:val="24"/>
          <w:szCs w:val="24"/>
        </w:rPr>
        <w:t>Fig. 1. Phosphate solubilization capacity in selected isolate</w:t>
      </w:r>
    </w:p>
    <w:p w14:paraId="1510C0B0"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All isolates exhibited the ability to solubilize inorganic phosphate, with values ranging from 4.49 to 16.05 ppm. Isolate KL3ASH1 recorded the highest solubilization activity (16.05 ppm), followed by K4K6 (11.67 ppm), while several others fell within the moderate range of 6–8 ppm. Phosphate solubilization is one of the key mechanisms by which PGPR enhance phosphorus availability for plants. In many soils, phosphate exists in insoluble forms that cannot be directly absorbed by plant roots. Phosphate-solubilizing bacteria (PSB) produce organic acids such as gluconic and citric acid, which reduce local pH and release phosphate ions from their bound forms (Sharma et al., 2013; Zaidi et al., 2016).</w:t>
      </w:r>
    </w:p>
    <w:p w14:paraId="3EBCCF11"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The high solubilization value observed in KL3ASH1 indicates strong potential for improving phosphate fertilization efficiency in saline soils, which typically have lower available phosphorus due to precipitation with calcium and magnesium ions (Chen et al., 2021). Nonetheless, isolates with moderate solubilizing activity remain functionally relevant, as phosphate availability in the rhizosphere is also influenced by environmental interactions and microbial dynamics (Alori et al., 2017). The combination of phosphate-solubilizing ability and salt tolerance is a critical factor in selecting promising PGPR strains. While some isolates may not exhibit the highest solubilization levels, their ability to grow under high salinity and maintain functional activity still makes them worthy of further evaluation in plant-based assays.</w:t>
      </w:r>
    </w:p>
    <w:p w14:paraId="6C60A2AE" w14:textId="77777777" w:rsidR="00DC2594" w:rsidRDefault="002F6847" w:rsidP="002F6847">
      <w:pPr>
        <w:jc w:val="center"/>
        <w:rPr>
          <w:rFonts w:ascii="Calibri" w:hAnsi="Calibri" w:cs="Calibri"/>
          <w:bCs/>
          <w:sz w:val="24"/>
          <w:szCs w:val="24"/>
        </w:rPr>
      </w:pPr>
      <w:r w:rsidRPr="002F6847">
        <w:rPr>
          <w:rFonts w:ascii="Calibri" w:hAnsi="Calibri" w:cs="Calibri"/>
          <w:bCs/>
          <w:sz w:val="24"/>
          <w:szCs w:val="24"/>
        </w:rPr>
        <w:t> </w:t>
      </w:r>
    </w:p>
    <w:p w14:paraId="524DCF71" w14:textId="77777777" w:rsidR="00DC2594" w:rsidRDefault="00DC2594" w:rsidP="002F6847">
      <w:pPr>
        <w:jc w:val="center"/>
        <w:rPr>
          <w:rFonts w:ascii="Calibri" w:hAnsi="Calibri" w:cs="Calibri"/>
          <w:bCs/>
          <w:sz w:val="24"/>
          <w:szCs w:val="24"/>
        </w:rPr>
      </w:pPr>
    </w:p>
    <w:p w14:paraId="0E1C00FD" w14:textId="77777777" w:rsidR="00DC2594" w:rsidRDefault="00DC2594" w:rsidP="002F6847">
      <w:pPr>
        <w:jc w:val="center"/>
        <w:rPr>
          <w:rFonts w:ascii="Calibri" w:hAnsi="Calibri" w:cs="Calibri"/>
          <w:bCs/>
          <w:sz w:val="24"/>
          <w:szCs w:val="24"/>
        </w:rPr>
      </w:pPr>
    </w:p>
    <w:p w14:paraId="635EA2B4" w14:textId="77777777" w:rsidR="00DC2594" w:rsidRDefault="00DC2594" w:rsidP="002F6847">
      <w:pPr>
        <w:jc w:val="center"/>
        <w:rPr>
          <w:rFonts w:ascii="Calibri" w:hAnsi="Calibri" w:cs="Calibri"/>
          <w:bCs/>
          <w:sz w:val="24"/>
          <w:szCs w:val="24"/>
        </w:rPr>
      </w:pPr>
    </w:p>
    <w:p w14:paraId="4094C774" w14:textId="77777777" w:rsidR="00DC2594" w:rsidRDefault="00DC2594" w:rsidP="002F6847">
      <w:pPr>
        <w:jc w:val="center"/>
        <w:rPr>
          <w:rFonts w:ascii="Calibri" w:hAnsi="Calibri" w:cs="Calibri"/>
          <w:bCs/>
          <w:sz w:val="24"/>
          <w:szCs w:val="24"/>
        </w:rPr>
      </w:pPr>
    </w:p>
    <w:p w14:paraId="26B494D8" w14:textId="77777777" w:rsidR="00396B55" w:rsidRDefault="002F6847" w:rsidP="002F6847">
      <w:pPr>
        <w:jc w:val="center"/>
        <w:rPr>
          <w:rFonts w:ascii="Calibri" w:hAnsi="Calibri" w:cs="Calibri"/>
          <w:bCs/>
          <w:sz w:val="24"/>
          <w:szCs w:val="24"/>
        </w:rPr>
      </w:pPr>
      <w:r w:rsidRPr="002F6847">
        <w:rPr>
          <w:rFonts w:ascii="Calibri" w:hAnsi="Calibri" w:cs="Calibri"/>
          <w:bCs/>
          <w:sz w:val="24"/>
          <w:szCs w:val="24"/>
        </w:rPr>
        <w:t>IAA Production Assay</w:t>
      </w:r>
    </w:p>
    <w:p w14:paraId="78BEE4ED" w14:textId="77777777" w:rsidR="002F6847" w:rsidRDefault="00DC2594" w:rsidP="00DC2594">
      <w:pPr>
        <w:jc w:val="center"/>
        <w:rPr>
          <w:rFonts w:ascii="Calibri" w:hAnsi="Calibri" w:cs="Calibri"/>
          <w:bCs/>
          <w:sz w:val="24"/>
          <w:szCs w:val="24"/>
        </w:rPr>
      </w:pPr>
      <w:r>
        <w:rPr>
          <w:noProof/>
        </w:rPr>
        <w:lastRenderedPageBreak/>
        <w:drawing>
          <wp:inline distT="0" distB="0" distL="0" distR="0" wp14:anchorId="5C262457" wp14:editId="3E4CF8C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615CB8" w14:textId="77777777" w:rsidR="00DC2594" w:rsidRDefault="00DC2594" w:rsidP="00DC2594">
      <w:pPr>
        <w:jc w:val="center"/>
        <w:rPr>
          <w:rFonts w:ascii="Calibri" w:hAnsi="Calibri" w:cs="Calibri"/>
          <w:bCs/>
          <w:sz w:val="24"/>
          <w:szCs w:val="24"/>
        </w:rPr>
      </w:pPr>
      <w:r>
        <w:rPr>
          <w:rFonts w:ascii="Calibri" w:hAnsi="Calibri" w:cs="Calibri"/>
          <w:bCs/>
          <w:sz w:val="24"/>
          <w:szCs w:val="24"/>
        </w:rPr>
        <w:t>Fig. 2. IAA production of selected isolate</w:t>
      </w:r>
    </w:p>
    <w:p w14:paraId="082EEC2B" w14:textId="77777777" w:rsidR="00241689" w:rsidRPr="00241689" w:rsidRDefault="00241689" w:rsidP="00241689">
      <w:pPr>
        <w:jc w:val="both"/>
        <w:rPr>
          <w:rFonts w:ascii="Calibri" w:hAnsi="Calibri" w:cs="Calibri"/>
          <w:bCs/>
          <w:sz w:val="24"/>
          <w:szCs w:val="24"/>
        </w:rPr>
      </w:pPr>
      <w:r w:rsidRPr="00241689">
        <w:rPr>
          <w:rFonts w:ascii="Calibri" w:hAnsi="Calibri" w:cs="Calibri"/>
          <w:bCs/>
          <w:sz w:val="24"/>
          <w:szCs w:val="24"/>
        </w:rPr>
        <w:t>All isolates demonstrated the ability to produce IAA in the range of 1.25 to 2.01 mg/L. The highest production was recorded in isolate KL1K2 (2.01 mg/L), followed by others that generally ranged between 1.56 and 1.90 mg/L. IAA is a key phytohormone from the auxin group that plays an important role in promoting root elongation, cell division, and vascular tissue development in plants (</w:t>
      </w:r>
      <w:proofErr w:type="spellStart"/>
      <w:r w:rsidRPr="00241689">
        <w:rPr>
          <w:rFonts w:ascii="Calibri" w:hAnsi="Calibri" w:cs="Calibri"/>
          <w:bCs/>
          <w:sz w:val="24"/>
          <w:szCs w:val="24"/>
        </w:rPr>
        <w:t>Spaepen</w:t>
      </w:r>
      <w:proofErr w:type="spellEnd"/>
      <w:r w:rsidRPr="00241689">
        <w:rPr>
          <w:rFonts w:ascii="Calibri" w:hAnsi="Calibri" w:cs="Calibri"/>
          <w:bCs/>
          <w:sz w:val="24"/>
          <w:szCs w:val="24"/>
        </w:rPr>
        <w:t xml:space="preserve"> et al., 2014). IAA production by PGPR is known to enhance nutrient and water uptake, especially under abiotic stress such as salinity (Arora &amp; </w:t>
      </w:r>
      <w:proofErr w:type="spellStart"/>
      <w:r w:rsidRPr="00241689">
        <w:rPr>
          <w:rFonts w:ascii="Calibri" w:hAnsi="Calibri" w:cs="Calibri"/>
          <w:bCs/>
          <w:sz w:val="24"/>
          <w:szCs w:val="24"/>
        </w:rPr>
        <w:t>Ramawat</w:t>
      </w:r>
      <w:proofErr w:type="spellEnd"/>
      <w:r w:rsidRPr="00241689">
        <w:rPr>
          <w:rFonts w:ascii="Calibri" w:hAnsi="Calibri" w:cs="Calibri"/>
          <w:bCs/>
          <w:sz w:val="24"/>
          <w:szCs w:val="24"/>
        </w:rPr>
        <w:t>, 2017).</w:t>
      </w:r>
    </w:p>
    <w:p w14:paraId="0B26E1A0" w14:textId="77777777" w:rsidR="00241689" w:rsidRPr="00241689" w:rsidRDefault="00241689" w:rsidP="00241689">
      <w:pPr>
        <w:jc w:val="both"/>
        <w:rPr>
          <w:rFonts w:ascii="Calibri" w:hAnsi="Calibri" w:cs="Calibri"/>
          <w:bCs/>
          <w:sz w:val="24"/>
          <w:szCs w:val="24"/>
        </w:rPr>
      </w:pPr>
      <w:r w:rsidRPr="00241689">
        <w:rPr>
          <w:rFonts w:ascii="Calibri" w:hAnsi="Calibri" w:cs="Calibri"/>
          <w:bCs/>
          <w:sz w:val="24"/>
          <w:szCs w:val="24"/>
        </w:rPr>
        <w:t>Although KL1K2 produced the highest level of IAA, it did not tolerate high salinity (7–8% NaCl). This indicates that high IAA production does not necessarily correlate with stress tolerance. In fact, excessive IAA levels may be counterproductive, as too much auxin can inhibit root growth and lead to hormonal imbalance in plants (Vacheron et al., 2013; Remans et al., 2014). Therefore, isolates that produce moderate but stable levels of IAA under stress conditions are more suitable as potential PGPR candidates.</w:t>
      </w:r>
    </w:p>
    <w:p w14:paraId="6DAA6CD9" w14:textId="77777777" w:rsidR="00241689" w:rsidRPr="00241689" w:rsidRDefault="00241689" w:rsidP="00021C62">
      <w:pPr>
        <w:jc w:val="both"/>
        <w:rPr>
          <w:rFonts w:ascii="Calibri" w:hAnsi="Calibri" w:cs="Calibri"/>
          <w:bCs/>
          <w:sz w:val="24"/>
          <w:szCs w:val="24"/>
        </w:rPr>
      </w:pPr>
      <w:r w:rsidRPr="00241689">
        <w:rPr>
          <w:rFonts w:ascii="Calibri" w:hAnsi="Calibri" w:cs="Calibri"/>
          <w:bCs/>
          <w:sz w:val="24"/>
          <w:szCs w:val="24"/>
        </w:rPr>
        <w:t xml:space="preserve">In this study, most isolates produced IAA at concentrations considered optimal for promoting plant growth without inducing adverse effects. This confirms that the isolates from shallot rhizosphere in saline soils of </w:t>
      </w:r>
      <w:proofErr w:type="spellStart"/>
      <w:r w:rsidRPr="00241689">
        <w:rPr>
          <w:rFonts w:ascii="Calibri" w:hAnsi="Calibri" w:cs="Calibri"/>
          <w:bCs/>
          <w:sz w:val="24"/>
          <w:szCs w:val="24"/>
        </w:rPr>
        <w:t>Kaliwlingi</w:t>
      </w:r>
      <w:proofErr w:type="spellEnd"/>
      <w:r w:rsidRPr="00241689">
        <w:rPr>
          <w:rFonts w:ascii="Calibri" w:hAnsi="Calibri" w:cs="Calibri"/>
          <w:bCs/>
          <w:sz w:val="24"/>
          <w:szCs w:val="24"/>
        </w:rPr>
        <w:t xml:space="preserve"> are not only physiologically active but also hold strong potential for application in sustainable agriculture systems.</w:t>
      </w:r>
    </w:p>
    <w:p w14:paraId="3E1EA3BD" w14:textId="77777777" w:rsidR="00C01479" w:rsidRDefault="00021C62" w:rsidP="00021C62">
      <w:pPr>
        <w:jc w:val="center"/>
        <w:rPr>
          <w:rFonts w:ascii="Calibri" w:hAnsi="Calibri" w:cs="Calibri"/>
          <w:bCs/>
          <w:sz w:val="24"/>
          <w:szCs w:val="24"/>
        </w:rPr>
      </w:pPr>
      <w:r w:rsidRPr="00021C62">
        <w:rPr>
          <w:rFonts w:ascii="Calibri" w:hAnsi="Calibri" w:cs="Calibri"/>
          <w:bCs/>
          <w:sz w:val="24"/>
          <w:szCs w:val="24"/>
        </w:rPr>
        <w:t>Nitrogen Fixation Abi</w:t>
      </w:r>
      <w:r>
        <w:rPr>
          <w:rFonts w:ascii="Calibri" w:hAnsi="Calibri" w:cs="Calibri"/>
          <w:bCs/>
          <w:sz w:val="24"/>
          <w:szCs w:val="24"/>
        </w:rPr>
        <w:t>lity and Siderophore Production</w:t>
      </w:r>
    </w:p>
    <w:p w14:paraId="387C5A82" w14:textId="77777777" w:rsidR="00021C62" w:rsidRPr="00021C62" w:rsidRDefault="0060429F" w:rsidP="00021C62">
      <w:pPr>
        <w:rPr>
          <w:rFonts w:ascii="Calibri" w:hAnsi="Calibri" w:cs="Calibri"/>
          <w:bCs/>
          <w:sz w:val="24"/>
          <w:szCs w:val="24"/>
        </w:rPr>
      </w:pPr>
      <w:r>
        <w:rPr>
          <w:rFonts w:ascii="Calibri" w:hAnsi="Calibri" w:cs="Calibri"/>
          <w:bCs/>
          <w:sz w:val="24"/>
          <w:szCs w:val="24"/>
        </w:rPr>
        <w:t>Table 3</w:t>
      </w:r>
      <w:r w:rsidR="00021C62">
        <w:rPr>
          <w:rFonts w:ascii="Calibri" w:hAnsi="Calibri" w:cs="Calibri"/>
          <w:bCs/>
          <w:sz w:val="24"/>
          <w:szCs w:val="24"/>
        </w:rPr>
        <w:t xml:space="preserve">. </w:t>
      </w:r>
      <w:r w:rsidR="00A666B8" w:rsidRPr="00021C62">
        <w:rPr>
          <w:rFonts w:ascii="Calibri" w:hAnsi="Calibri" w:cs="Calibri"/>
          <w:bCs/>
          <w:sz w:val="24"/>
          <w:szCs w:val="24"/>
        </w:rPr>
        <w:t xml:space="preserve">Nitrogen fixation ability and siderophore production </w:t>
      </w:r>
    </w:p>
    <w:tbl>
      <w:tblPr>
        <w:tblW w:w="5497" w:type="dxa"/>
        <w:tblLook w:val="04A0" w:firstRow="1" w:lastRow="0" w:firstColumn="1" w:lastColumn="0" w:noHBand="0" w:noVBand="1"/>
      </w:tblPr>
      <w:tblGrid>
        <w:gridCol w:w="1580"/>
        <w:gridCol w:w="1871"/>
        <w:gridCol w:w="2046"/>
      </w:tblGrid>
      <w:tr w:rsidR="00021C62" w:rsidRPr="00021C62" w14:paraId="5E8515EB" w14:textId="77777777" w:rsidTr="008F6D65">
        <w:trPr>
          <w:trHeight w:val="288"/>
        </w:trPr>
        <w:tc>
          <w:tcPr>
            <w:tcW w:w="1580" w:type="dxa"/>
            <w:tcBorders>
              <w:top w:val="single" w:sz="4" w:space="0" w:color="auto"/>
              <w:left w:val="nil"/>
              <w:bottom w:val="single" w:sz="4" w:space="0" w:color="auto"/>
              <w:right w:val="nil"/>
            </w:tcBorders>
            <w:shd w:val="clear" w:color="auto" w:fill="auto"/>
            <w:noWrap/>
            <w:vAlign w:val="bottom"/>
            <w:hideMark/>
          </w:tcPr>
          <w:p w14:paraId="15A906B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Isolates Code</w:t>
            </w:r>
          </w:p>
        </w:tc>
        <w:tc>
          <w:tcPr>
            <w:tcW w:w="1871" w:type="dxa"/>
            <w:tcBorders>
              <w:top w:val="single" w:sz="4" w:space="0" w:color="auto"/>
              <w:left w:val="nil"/>
              <w:bottom w:val="single" w:sz="4" w:space="0" w:color="auto"/>
              <w:right w:val="nil"/>
            </w:tcBorders>
            <w:shd w:val="clear" w:color="auto" w:fill="auto"/>
            <w:noWrap/>
            <w:vAlign w:val="bottom"/>
            <w:hideMark/>
          </w:tcPr>
          <w:p w14:paraId="1072897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Nitrogen Fixation</w:t>
            </w:r>
          </w:p>
        </w:tc>
        <w:tc>
          <w:tcPr>
            <w:tcW w:w="2046" w:type="dxa"/>
            <w:tcBorders>
              <w:top w:val="single" w:sz="4" w:space="0" w:color="auto"/>
              <w:left w:val="nil"/>
              <w:bottom w:val="single" w:sz="4" w:space="0" w:color="auto"/>
              <w:right w:val="nil"/>
            </w:tcBorders>
            <w:shd w:val="clear" w:color="auto" w:fill="auto"/>
            <w:noWrap/>
            <w:vAlign w:val="bottom"/>
            <w:hideMark/>
          </w:tcPr>
          <w:p w14:paraId="151194C5"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Siderophore Ability</w:t>
            </w:r>
          </w:p>
        </w:tc>
      </w:tr>
      <w:tr w:rsidR="00021C62" w:rsidRPr="00021C62" w14:paraId="142DA030" w14:textId="77777777" w:rsidTr="008F6D65">
        <w:trPr>
          <w:trHeight w:val="288"/>
        </w:trPr>
        <w:tc>
          <w:tcPr>
            <w:tcW w:w="1580" w:type="dxa"/>
            <w:tcBorders>
              <w:top w:val="nil"/>
              <w:left w:val="nil"/>
              <w:bottom w:val="nil"/>
              <w:right w:val="nil"/>
            </w:tcBorders>
            <w:shd w:val="clear" w:color="auto" w:fill="auto"/>
            <w:noWrap/>
            <w:vAlign w:val="bottom"/>
            <w:hideMark/>
          </w:tcPr>
          <w:p w14:paraId="32A6B5BC"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KL1K2</w:t>
            </w:r>
          </w:p>
        </w:tc>
        <w:tc>
          <w:tcPr>
            <w:tcW w:w="1871" w:type="dxa"/>
            <w:tcBorders>
              <w:top w:val="nil"/>
              <w:left w:val="nil"/>
              <w:bottom w:val="nil"/>
              <w:right w:val="nil"/>
            </w:tcBorders>
            <w:shd w:val="clear" w:color="auto" w:fill="auto"/>
            <w:noWrap/>
            <w:vAlign w:val="bottom"/>
            <w:hideMark/>
          </w:tcPr>
          <w:p w14:paraId="4096AD36"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6F7FC82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EC8856C" w14:textId="77777777" w:rsidTr="008F6D65">
        <w:trPr>
          <w:trHeight w:val="288"/>
        </w:trPr>
        <w:tc>
          <w:tcPr>
            <w:tcW w:w="1580" w:type="dxa"/>
            <w:tcBorders>
              <w:top w:val="nil"/>
              <w:left w:val="nil"/>
              <w:bottom w:val="nil"/>
              <w:right w:val="nil"/>
            </w:tcBorders>
            <w:shd w:val="clear" w:color="auto" w:fill="auto"/>
            <w:noWrap/>
            <w:vAlign w:val="bottom"/>
            <w:hideMark/>
          </w:tcPr>
          <w:p w14:paraId="35671134"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KL3ASH1</w:t>
            </w:r>
          </w:p>
        </w:tc>
        <w:tc>
          <w:tcPr>
            <w:tcW w:w="1871" w:type="dxa"/>
            <w:tcBorders>
              <w:top w:val="nil"/>
              <w:left w:val="nil"/>
              <w:bottom w:val="nil"/>
              <w:right w:val="nil"/>
            </w:tcBorders>
            <w:shd w:val="clear" w:color="auto" w:fill="auto"/>
            <w:noWrap/>
            <w:vAlign w:val="bottom"/>
            <w:hideMark/>
          </w:tcPr>
          <w:p w14:paraId="4E0BC178"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340A00AC"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93BDBC0" w14:textId="77777777" w:rsidTr="008F6D65">
        <w:trPr>
          <w:trHeight w:val="288"/>
        </w:trPr>
        <w:tc>
          <w:tcPr>
            <w:tcW w:w="1580" w:type="dxa"/>
            <w:tcBorders>
              <w:top w:val="nil"/>
              <w:left w:val="nil"/>
              <w:bottom w:val="nil"/>
              <w:right w:val="nil"/>
            </w:tcBorders>
            <w:shd w:val="clear" w:color="auto" w:fill="auto"/>
            <w:noWrap/>
            <w:vAlign w:val="bottom"/>
            <w:hideMark/>
          </w:tcPr>
          <w:p w14:paraId="6DB37040"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K3IS4</w:t>
            </w:r>
          </w:p>
        </w:tc>
        <w:tc>
          <w:tcPr>
            <w:tcW w:w="1871" w:type="dxa"/>
            <w:tcBorders>
              <w:top w:val="nil"/>
              <w:left w:val="nil"/>
              <w:bottom w:val="nil"/>
              <w:right w:val="nil"/>
            </w:tcBorders>
            <w:shd w:val="clear" w:color="auto" w:fill="auto"/>
            <w:noWrap/>
            <w:vAlign w:val="bottom"/>
            <w:hideMark/>
          </w:tcPr>
          <w:p w14:paraId="17E6365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75C09C5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496C6CB6" w14:textId="77777777" w:rsidTr="008F6D65">
        <w:trPr>
          <w:trHeight w:val="288"/>
        </w:trPr>
        <w:tc>
          <w:tcPr>
            <w:tcW w:w="1580" w:type="dxa"/>
            <w:tcBorders>
              <w:top w:val="nil"/>
              <w:left w:val="nil"/>
              <w:bottom w:val="nil"/>
              <w:right w:val="nil"/>
            </w:tcBorders>
            <w:shd w:val="clear" w:color="auto" w:fill="auto"/>
            <w:noWrap/>
            <w:vAlign w:val="bottom"/>
            <w:hideMark/>
          </w:tcPr>
          <w:p w14:paraId="086A3CAE"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K3RZ1</w:t>
            </w:r>
          </w:p>
        </w:tc>
        <w:tc>
          <w:tcPr>
            <w:tcW w:w="1871" w:type="dxa"/>
            <w:tcBorders>
              <w:top w:val="nil"/>
              <w:left w:val="nil"/>
              <w:bottom w:val="nil"/>
              <w:right w:val="nil"/>
            </w:tcBorders>
            <w:shd w:val="clear" w:color="auto" w:fill="auto"/>
            <w:noWrap/>
            <w:vAlign w:val="bottom"/>
            <w:hideMark/>
          </w:tcPr>
          <w:p w14:paraId="6EA69049"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06FA3FC0"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160053A" w14:textId="77777777" w:rsidTr="008F6D65">
        <w:trPr>
          <w:trHeight w:val="288"/>
        </w:trPr>
        <w:tc>
          <w:tcPr>
            <w:tcW w:w="1580" w:type="dxa"/>
            <w:tcBorders>
              <w:top w:val="nil"/>
              <w:left w:val="nil"/>
              <w:bottom w:val="nil"/>
              <w:right w:val="nil"/>
            </w:tcBorders>
            <w:shd w:val="clear" w:color="auto" w:fill="auto"/>
            <w:noWrap/>
            <w:vAlign w:val="bottom"/>
            <w:hideMark/>
          </w:tcPr>
          <w:p w14:paraId="5F93524A"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K4RZ6</w:t>
            </w:r>
          </w:p>
        </w:tc>
        <w:tc>
          <w:tcPr>
            <w:tcW w:w="1871" w:type="dxa"/>
            <w:tcBorders>
              <w:top w:val="nil"/>
              <w:left w:val="nil"/>
              <w:bottom w:val="nil"/>
              <w:right w:val="nil"/>
            </w:tcBorders>
            <w:shd w:val="clear" w:color="auto" w:fill="auto"/>
            <w:noWrap/>
            <w:vAlign w:val="bottom"/>
            <w:hideMark/>
          </w:tcPr>
          <w:p w14:paraId="31C8C85C"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7EBB4557"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0093EA85" w14:textId="77777777" w:rsidTr="008F6D65">
        <w:trPr>
          <w:trHeight w:val="288"/>
        </w:trPr>
        <w:tc>
          <w:tcPr>
            <w:tcW w:w="1580" w:type="dxa"/>
            <w:tcBorders>
              <w:top w:val="nil"/>
              <w:left w:val="nil"/>
              <w:bottom w:val="nil"/>
              <w:right w:val="nil"/>
            </w:tcBorders>
            <w:shd w:val="clear" w:color="auto" w:fill="auto"/>
            <w:noWrap/>
            <w:vAlign w:val="bottom"/>
            <w:hideMark/>
          </w:tcPr>
          <w:p w14:paraId="0BB56E32"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K4K6</w:t>
            </w:r>
          </w:p>
        </w:tc>
        <w:tc>
          <w:tcPr>
            <w:tcW w:w="1871" w:type="dxa"/>
            <w:tcBorders>
              <w:top w:val="nil"/>
              <w:left w:val="nil"/>
              <w:bottom w:val="nil"/>
              <w:right w:val="nil"/>
            </w:tcBorders>
            <w:shd w:val="clear" w:color="auto" w:fill="auto"/>
            <w:noWrap/>
            <w:vAlign w:val="bottom"/>
            <w:hideMark/>
          </w:tcPr>
          <w:p w14:paraId="4A512BD6"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270B890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146AFC20" w14:textId="77777777" w:rsidTr="008F6D65">
        <w:trPr>
          <w:trHeight w:val="288"/>
        </w:trPr>
        <w:tc>
          <w:tcPr>
            <w:tcW w:w="1580" w:type="dxa"/>
            <w:tcBorders>
              <w:top w:val="nil"/>
              <w:left w:val="nil"/>
              <w:bottom w:val="nil"/>
              <w:right w:val="nil"/>
            </w:tcBorders>
            <w:shd w:val="clear" w:color="auto" w:fill="auto"/>
            <w:noWrap/>
            <w:vAlign w:val="bottom"/>
            <w:hideMark/>
          </w:tcPr>
          <w:p w14:paraId="4598AD28"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lastRenderedPageBreak/>
              <w:t>K4RZ3</w:t>
            </w:r>
          </w:p>
        </w:tc>
        <w:tc>
          <w:tcPr>
            <w:tcW w:w="1871" w:type="dxa"/>
            <w:tcBorders>
              <w:top w:val="nil"/>
              <w:left w:val="nil"/>
              <w:bottom w:val="nil"/>
              <w:right w:val="nil"/>
            </w:tcBorders>
            <w:shd w:val="clear" w:color="auto" w:fill="auto"/>
            <w:noWrap/>
            <w:vAlign w:val="bottom"/>
            <w:hideMark/>
          </w:tcPr>
          <w:p w14:paraId="0D37C44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2F70C60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E46AE21" w14:textId="77777777" w:rsidTr="008F6D65">
        <w:trPr>
          <w:trHeight w:val="288"/>
        </w:trPr>
        <w:tc>
          <w:tcPr>
            <w:tcW w:w="1580" w:type="dxa"/>
            <w:tcBorders>
              <w:top w:val="nil"/>
              <w:left w:val="nil"/>
              <w:bottom w:val="nil"/>
              <w:right w:val="nil"/>
            </w:tcBorders>
            <w:shd w:val="clear" w:color="auto" w:fill="auto"/>
            <w:noWrap/>
            <w:vAlign w:val="bottom"/>
            <w:hideMark/>
          </w:tcPr>
          <w:p w14:paraId="675726D2"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K4P1</w:t>
            </w:r>
          </w:p>
        </w:tc>
        <w:tc>
          <w:tcPr>
            <w:tcW w:w="1871" w:type="dxa"/>
            <w:tcBorders>
              <w:top w:val="nil"/>
              <w:left w:val="nil"/>
              <w:bottom w:val="nil"/>
              <w:right w:val="nil"/>
            </w:tcBorders>
            <w:shd w:val="clear" w:color="auto" w:fill="auto"/>
            <w:noWrap/>
            <w:vAlign w:val="bottom"/>
            <w:hideMark/>
          </w:tcPr>
          <w:p w14:paraId="15794645"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688981D5"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527253D9" w14:textId="77777777" w:rsidTr="008F6D65">
        <w:trPr>
          <w:trHeight w:val="288"/>
        </w:trPr>
        <w:tc>
          <w:tcPr>
            <w:tcW w:w="1580" w:type="dxa"/>
            <w:tcBorders>
              <w:top w:val="nil"/>
              <w:left w:val="nil"/>
              <w:bottom w:val="nil"/>
              <w:right w:val="nil"/>
            </w:tcBorders>
            <w:shd w:val="clear" w:color="auto" w:fill="auto"/>
            <w:noWrap/>
            <w:vAlign w:val="bottom"/>
            <w:hideMark/>
          </w:tcPr>
          <w:p w14:paraId="78931B73"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K4K1</w:t>
            </w:r>
          </w:p>
        </w:tc>
        <w:tc>
          <w:tcPr>
            <w:tcW w:w="1871" w:type="dxa"/>
            <w:tcBorders>
              <w:top w:val="nil"/>
              <w:left w:val="nil"/>
              <w:bottom w:val="nil"/>
              <w:right w:val="nil"/>
            </w:tcBorders>
            <w:shd w:val="clear" w:color="auto" w:fill="auto"/>
            <w:noWrap/>
            <w:vAlign w:val="bottom"/>
            <w:hideMark/>
          </w:tcPr>
          <w:p w14:paraId="3E910789"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5CDAD6E1"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03FBC690" w14:textId="77777777" w:rsidTr="008F6D65">
        <w:trPr>
          <w:trHeight w:val="288"/>
        </w:trPr>
        <w:tc>
          <w:tcPr>
            <w:tcW w:w="1580" w:type="dxa"/>
            <w:tcBorders>
              <w:top w:val="nil"/>
              <w:left w:val="nil"/>
              <w:bottom w:val="single" w:sz="4" w:space="0" w:color="auto"/>
              <w:right w:val="nil"/>
            </w:tcBorders>
            <w:shd w:val="clear" w:color="auto" w:fill="auto"/>
            <w:noWrap/>
            <w:vAlign w:val="bottom"/>
            <w:hideMark/>
          </w:tcPr>
          <w:p w14:paraId="07078B12"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KL4ASH3</w:t>
            </w:r>
          </w:p>
        </w:tc>
        <w:tc>
          <w:tcPr>
            <w:tcW w:w="1871" w:type="dxa"/>
            <w:tcBorders>
              <w:top w:val="nil"/>
              <w:left w:val="nil"/>
              <w:bottom w:val="single" w:sz="4" w:space="0" w:color="auto"/>
              <w:right w:val="nil"/>
            </w:tcBorders>
            <w:shd w:val="clear" w:color="auto" w:fill="auto"/>
            <w:noWrap/>
            <w:vAlign w:val="bottom"/>
            <w:hideMark/>
          </w:tcPr>
          <w:p w14:paraId="476EDFD8"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single" w:sz="4" w:space="0" w:color="auto"/>
              <w:right w:val="nil"/>
            </w:tcBorders>
            <w:shd w:val="clear" w:color="auto" w:fill="auto"/>
            <w:noWrap/>
            <w:vAlign w:val="bottom"/>
            <w:hideMark/>
          </w:tcPr>
          <w:p w14:paraId="038E450D"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bl>
    <w:p w14:paraId="6CFD36AF" w14:textId="77777777" w:rsidR="00A666B8" w:rsidRDefault="00A666B8" w:rsidP="008F6D65">
      <w:pPr>
        <w:jc w:val="both"/>
        <w:rPr>
          <w:rFonts w:ascii="Calibri" w:hAnsi="Calibri" w:cs="Calibri"/>
          <w:bCs/>
          <w:color w:val="FF0000"/>
          <w:sz w:val="24"/>
          <w:szCs w:val="24"/>
        </w:rPr>
      </w:pPr>
    </w:p>
    <w:p w14:paraId="4927D681" w14:textId="77777777" w:rsidR="008F6D65" w:rsidRPr="008F6D65" w:rsidRDefault="008F6D65" w:rsidP="008F6D65">
      <w:pPr>
        <w:jc w:val="both"/>
        <w:rPr>
          <w:rFonts w:ascii="Calibri" w:hAnsi="Calibri" w:cs="Calibri"/>
          <w:bCs/>
          <w:sz w:val="24"/>
          <w:szCs w:val="24"/>
        </w:rPr>
      </w:pPr>
      <w:r w:rsidRPr="008F6D65">
        <w:rPr>
          <w:rFonts w:ascii="Calibri" w:hAnsi="Calibri" w:cs="Calibri"/>
          <w:bCs/>
          <w:sz w:val="24"/>
          <w:szCs w:val="24"/>
        </w:rPr>
        <w:t>Qualitative nitrogen fixation was evaluated using nitrogen-free bromothymol blue (</w:t>
      </w:r>
      <w:proofErr w:type="spellStart"/>
      <w:r w:rsidRPr="008F6D65">
        <w:rPr>
          <w:rFonts w:ascii="Calibri" w:hAnsi="Calibri" w:cs="Calibri"/>
          <w:bCs/>
          <w:sz w:val="24"/>
          <w:szCs w:val="24"/>
        </w:rPr>
        <w:t>Nfb</w:t>
      </w:r>
      <w:proofErr w:type="spellEnd"/>
      <w:r w:rsidRPr="008F6D65">
        <w:rPr>
          <w:rFonts w:ascii="Calibri" w:hAnsi="Calibri" w:cs="Calibri"/>
          <w:bCs/>
          <w:sz w:val="24"/>
          <w:szCs w:val="24"/>
        </w:rPr>
        <w:t xml:space="preserve">) medium, where eight out of ten isolates demonstrated visible growth. The isolates showing positive results on </w:t>
      </w:r>
      <w:proofErr w:type="spellStart"/>
      <w:r w:rsidRPr="008F6D65">
        <w:rPr>
          <w:rFonts w:ascii="Calibri" w:hAnsi="Calibri" w:cs="Calibri"/>
          <w:bCs/>
          <w:sz w:val="24"/>
          <w:szCs w:val="24"/>
        </w:rPr>
        <w:t>Nfb</w:t>
      </w:r>
      <w:proofErr w:type="spellEnd"/>
      <w:r w:rsidRPr="008F6D65">
        <w:rPr>
          <w:rFonts w:ascii="Calibri" w:hAnsi="Calibri" w:cs="Calibri"/>
          <w:bCs/>
          <w:sz w:val="24"/>
          <w:szCs w:val="24"/>
        </w:rPr>
        <w:t xml:space="preserve"> were KL1K2, KL3ASH1, K3IS4, K3RZ1, K4RZ6, K4RZ3, K4P1, and KL4ASH3. In contrast, isolates K4K1 and K4K6 did not grow, indicating the absence of biological nitrogen fixation ability. Nitrogen fixation is a key trait of PGPR, particularly relevant for improving soil fertility in the absence of synthetic nitrogen inputs. Nitrogen-fixing bacteria convert atmospheric nitrogen into ammonia, a form readily taken up by plants. This trait is especially valuable in marginal environments such as saline soils, where fertilizer efficiency is often reduced and input costs are high (Rilling et al., 2020).</w:t>
      </w:r>
    </w:p>
    <w:p w14:paraId="185CE151" w14:textId="77777777" w:rsidR="008F6D65" w:rsidRPr="008F6D65" w:rsidRDefault="008F6D65" w:rsidP="008F6D65">
      <w:pPr>
        <w:jc w:val="both"/>
        <w:rPr>
          <w:rFonts w:ascii="Calibri" w:hAnsi="Calibri" w:cs="Calibri"/>
          <w:bCs/>
          <w:sz w:val="24"/>
          <w:szCs w:val="24"/>
        </w:rPr>
      </w:pPr>
      <w:r w:rsidRPr="008F6D65">
        <w:rPr>
          <w:rFonts w:ascii="Calibri" w:hAnsi="Calibri" w:cs="Calibri"/>
          <w:bCs/>
          <w:sz w:val="24"/>
          <w:szCs w:val="24"/>
        </w:rPr>
        <w:t xml:space="preserve">Siderophore production was assessed using Chrome </w:t>
      </w:r>
      <w:proofErr w:type="spellStart"/>
      <w:r w:rsidRPr="008F6D65">
        <w:rPr>
          <w:rFonts w:ascii="Calibri" w:hAnsi="Calibri" w:cs="Calibri"/>
          <w:bCs/>
          <w:sz w:val="24"/>
          <w:szCs w:val="24"/>
        </w:rPr>
        <w:t>Azurol</w:t>
      </w:r>
      <w:proofErr w:type="spellEnd"/>
      <w:r w:rsidRPr="008F6D65">
        <w:rPr>
          <w:rFonts w:ascii="Calibri" w:hAnsi="Calibri" w:cs="Calibri"/>
          <w:bCs/>
          <w:sz w:val="24"/>
          <w:szCs w:val="24"/>
        </w:rPr>
        <w:t xml:space="preserve"> S (CAS) medium. Most isolates produced siderophores, except for K4K1, K4K6, K4RZ3, and KL4ASH3. Siderophores enhance iron availability in the rhizosphere, particularly under Fe-deficient conditions such as alkaline and saline soils. In addition, they contribute to biological control by limiting iron access to soilborne pathogens through competitive mechanisms (Ahmed &amp; Holmström, 2014; Sharma et al., 2021).</w:t>
      </w:r>
    </w:p>
    <w:p w14:paraId="3E3C9AB8" w14:textId="77777777" w:rsidR="008F6D65" w:rsidRDefault="008F6D65" w:rsidP="008F6D65">
      <w:pPr>
        <w:jc w:val="both"/>
        <w:rPr>
          <w:rFonts w:ascii="Calibri" w:hAnsi="Calibri" w:cs="Calibri"/>
          <w:bCs/>
          <w:sz w:val="24"/>
          <w:szCs w:val="24"/>
        </w:rPr>
      </w:pPr>
      <w:r w:rsidRPr="008F6D65">
        <w:rPr>
          <w:rFonts w:ascii="Calibri" w:hAnsi="Calibri" w:cs="Calibri"/>
          <w:bCs/>
          <w:sz w:val="24"/>
          <w:szCs w:val="24"/>
        </w:rPr>
        <w:t>Two isolates, KL3ASH1 and K3IS4, demonstrated outstanding performance, meeting all the observed PGPR criteria—including nitrogen fixation, phosphate solubilization, IAA production, high salinity tolerance, and siderophore synthesis. These isolates were therefore selected for further evaluation using the Acetylene Reduction Assay (ARA) to quantify their nitrogen-fixing capacity more accurately (Jha &amp; Subramanian, 2014).</w:t>
      </w:r>
    </w:p>
    <w:p w14:paraId="36086AD2" w14:textId="77777777" w:rsidR="00C01479" w:rsidRDefault="00193FD5" w:rsidP="00193FD5">
      <w:pPr>
        <w:jc w:val="center"/>
        <w:rPr>
          <w:rFonts w:ascii="Calibri" w:hAnsi="Calibri" w:cs="Calibri"/>
          <w:bCs/>
          <w:sz w:val="24"/>
          <w:szCs w:val="24"/>
        </w:rPr>
      </w:pPr>
      <w:r>
        <w:rPr>
          <w:noProof/>
        </w:rPr>
        <w:drawing>
          <wp:inline distT="0" distB="0" distL="0" distR="0" wp14:anchorId="29F15FC2" wp14:editId="2BF3716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F6DC4B" w14:textId="77777777" w:rsidR="00193FD5" w:rsidRPr="008F6D65" w:rsidRDefault="0060429F" w:rsidP="0060429F">
      <w:pPr>
        <w:jc w:val="center"/>
        <w:rPr>
          <w:rFonts w:ascii="Calibri" w:hAnsi="Calibri" w:cs="Calibri"/>
          <w:bCs/>
          <w:sz w:val="24"/>
          <w:szCs w:val="24"/>
        </w:rPr>
      </w:pPr>
      <w:r>
        <w:rPr>
          <w:rFonts w:ascii="Calibri" w:hAnsi="Calibri" w:cs="Calibri"/>
          <w:bCs/>
          <w:sz w:val="24"/>
          <w:szCs w:val="24"/>
        </w:rPr>
        <w:t>Fig.</w:t>
      </w:r>
      <w:r w:rsidR="00193FD5">
        <w:rPr>
          <w:rFonts w:ascii="Calibri" w:hAnsi="Calibri" w:cs="Calibri"/>
          <w:bCs/>
          <w:sz w:val="24"/>
          <w:szCs w:val="24"/>
        </w:rPr>
        <w:t xml:space="preserve"> </w:t>
      </w:r>
      <w:r>
        <w:rPr>
          <w:rFonts w:ascii="Calibri" w:hAnsi="Calibri" w:cs="Calibri"/>
          <w:bCs/>
          <w:sz w:val="24"/>
          <w:szCs w:val="24"/>
        </w:rPr>
        <w:t>3</w:t>
      </w:r>
      <w:r w:rsidR="00193FD5">
        <w:rPr>
          <w:rFonts w:ascii="Calibri" w:hAnsi="Calibri" w:cs="Calibri"/>
          <w:bCs/>
          <w:sz w:val="24"/>
          <w:szCs w:val="24"/>
        </w:rPr>
        <w:t>. Nitrogenase activity of selected isolate</w:t>
      </w:r>
    </w:p>
    <w:p w14:paraId="486E1990" w14:textId="77777777" w:rsidR="00193FD5" w:rsidRDefault="00193FD5" w:rsidP="00193FD5">
      <w:pPr>
        <w:jc w:val="center"/>
        <w:rPr>
          <w:rFonts w:ascii="Calibri" w:hAnsi="Calibri" w:cs="Calibri"/>
          <w:bCs/>
          <w:sz w:val="24"/>
          <w:szCs w:val="24"/>
        </w:rPr>
      </w:pPr>
    </w:p>
    <w:p w14:paraId="42D78DF1" w14:textId="77777777" w:rsidR="00CD33F4" w:rsidRPr="00CD33F4" w:rsidRDefault="00CD33F4" w:rsidP="00CD33F4">
      <w:pPr>
        <w:jc w:val="both"/>
        <w:rPr>
          <w:rFonts w:ascii="Calibri" w:hAnsi="Calibri" w:cs="Calibri"/>
          <w:bCs/>
          <w:sz w:val="24"/>
          <w:szCs w:val="24"/>
        </w:rPr>
      </w:pPr>
      <w:r w:rsidRPr="00CD33F4">
        <w:rPr>
          <w:rFonts w:ascii="Calibri" w:hAnsi="Calibri" w:cs="Calibri"/>
          <w:bCs/>
          <w:sz w:val="24"/>
          <w:szCs w:val="24"/>
        </w:rPr>
        <w:lastRenderedPageBreak/>
        <w:t xml:space="preserve">Nitrogenase activity was assessed using the Acetylene Reduction Assay (ARA) on two selected isolates, KL3ASH1 and K3IS4, as both fulfilled all major PGPR criteria. The results indicated that KL3ASH1 exhibited the highest nitrogenase activity at 0.069 </w:t>
      </w:r>
      <w:proofErr w:type="spellStart"/>
      <w:r w:rsidRPr="00CD33F4">
        <w:rPr>
          <w:rFonts w:ascii="Calibri" w:hAnsi="Calibri" w:cs="Calibri"/>
          <w:bCs/>
          <w:sz w:val="24"/>
          <w:szCs w:val="24"/>
        </w:rPr>
        <w:t>μmol</w:t>
      </w:r>
      <w:proofErr w:type="spellEnd"/>
      <w:r w:rsidRPr="00CD33F4">
        <w:rPr>
          <w:rFonts w:ascii="Calibri" w:hAnsi="Calibri" w:cs="Calibri"/>
          <w:bCs/>
          <w:sz w:val="24"/>
          <w:szCs w:val="24"/>
        </w:rPr>
        <w:t xml:space="preserve"> C₂H₄/mL/h, while K3IS4 recorded an activity of 0.044 </w:t>
      </w:r>
      <w:proofErr w:type="spellStart"/>
      <w:r w:rsidRPr="00CD33F4">
        <w:rPr>
          <w:rFonts w:ascii="Calibri" w:hAnsi="Calibri" w:cs="Calibri"/>
          <w:bCs/>
          <w:sz w:val="24"/>
          <w:szCs w:val="24"/>
        </w:rPr>
        <w:t>μmol</w:t>
      </w:r>
      <w:proofErr w:type="spellEnd"/>
      <w:r w:rsidRPr="00CD33F4">
        <w:rPr>
          <w:rFonts w:ascii="Calibri" w:hAnsi="Calibri" w:cs="Calibri"/>
          <w:bCs/>
          <w:sz w:val="24"/>
          <w:szCs w:val="24"/>
        </w:rPr>
        <w:t xml:space="preserve"> C₂H₄/mL/h.</w:t>
      </w:r>
    </w:p>
    <w:p w14:paraId="626D2E37" w14:textId="77777777" w:rsidR="00CD33F4" w:rsidRPr="00CD33F4" w:rsidRDefault="00CD33F4" w:rsidP="00CD33F4">
      <w:pPr>
        <w:jc w:val="both"/>
        <w:rPr>
          <w:rFonts w:ascii="Calibri" w:hAnsi="Calibri" w:cs="Calibri"/>
          <w:bCs/>
          <w:sz w:val="24"/>
          <w:szCs w:val="24"/>
        </w:rPr>
      </w:pPr>
      <w:r w:rsidRPr="00CD33F4">
        <w:rPr>
          <w:rFonts w:ascii="Calibri" w:hAnsi="Calibri" w:cs="Calibri"/>
          <w:bCs/>
          <w:sz w:val="24"/>
          <w:szCs w:val="24"/>
        </w:rPr>
        <w:t>ARA is a widely used indirect quantitative method for measuring biological nitrogen fixation, based on the enzymatic reduction of acetylene (C₂H₂) to ethylene (C₂H₄) by nitrogenase (Hardy et al., 1968; Jha &amp; Subramanian, 2014). Higher ARA values indicate greater potential for atmospheric nitrogen fixation. The activities observed in both isolates are considered moderate but stable, suggesting their suitability for field application, particularly in saline soils, which are often nitrogen-deficient.</w:t>
      </w:r>
    </w:p>
    <w:p w14:paraId="1192E1C1" w14:textId="77777777" w:rsidR="00CD33F4" w:rsidRPr="00CD33F4" w:rsidRDefault="00CD33F4" w:rsidP="00CD33F4">
      <w:pPr>
        <w:jc w:val="both"/>
        <w:rPr>
          <w:rFonts w:ascii="Calibri" w:hAnsi="Calibri" w:cs="Calibri"/>
          <w:bCs/>
          <w:sz w:val="24"/>
          <w:szCs w:val="24"/>
        </w:rPr>
      </w:pPr>
      <w:r w:rsidRPr="00CD33F4">
        <w:rPr>
          <w:rFonts w:ascii="Calibri" w:hAnsi="Calibri" w:cs="Calibri"/>
          <w:bCs/>
          <w:sz w:val="24"/>
          <w:szCs w:val="24"/>
        </w:rPr>
        <w:t>Moreover, the presence of complementary traits such as phosphate solubilization, IAA production, and salinity tolerance further supports the multifunctional potential of these isolates as effective PGPR (Bhattacharyya et al., 2020).</w:t>
      </w:r>
    </w:p>
    <w:p w14:paraId="4AEB608F" w14:textId="77777777" w:rsidR="006137E2" w:rsidRPr="0047411E" w:rsidRDefault="0047411E" w:rsidP="0047411E">
      <w:pPr>
        <w:jc w:val="center"/>
        <w:rPr>
          <w:rFonts w:ascii="Calibri" w:hAnsi="Calibri" w:cs="Calibri"/>
          <w:b/>
          <w:bCs/>
          <w:sz w:val="24"/>
          <w:szCs w:val="24"/>
        </w:rPr>
      </w:pPr>
      <w:r w:rsidRPr="0047411E">
        <w:rPr>
          <w:rFonts w:ascii="Calibri" w:hAnsi="Calibri" w:cs="Calibri"/>
          <w:b/>
          <w:bCs/>
          <w:sz w:val="24"/>
          <w:szCs w:val="24"/>
        </w:rPr>
        <w:t>Conclusion</w:t>
      </w:r>
    </w:p>
    <w:p w14:paraId="42E437AC" w14:textId="77777777" w:rsidR="0047411E" w:rsidRPr="0047411E" w:rsidRDefault="0047411E" w:rsidP="00D542B5">
      <w:pPr>
        <w:jc w:val="both"/>
        <w:rPr>
          <w:rFonts w:ascii="Calibri" w:hAnsi="Calibri" w:cs="Calibri"/>
          <w:bCs/>
          <w:sz w:val="24"/>
          <w:szCs w:val="24"/>
        </w:rPr>
      </w:pPr>
      <w:r w:rsidRPr="0047411E">
        <w:rPr>
          <w:rFonts w:ascii="Calibri" w:hAnsi="Calibri" w:cs="Calibri"/>
          <w:bCs/>
          <w:sz w:val="24"/>
          <w:szCs w:val="24"/>
        </w:rPr>
        <w:t>Ten bacterial isolates from shallot rhizosphere in saline soil were successfully characterized. Most isolates were tolerant to up to 8% NaCl and exhibited various PGPR traits, including IAA production (1.26–2.01 mg/L), phosphate solubilization (4.49–16.05 ppm), nitrogen fixation, and siderophore production. KL3ASH1 and K3IS4 were identified as the most promising strains, meeting all selection criteria and demonstrating stable nitrogenase activity. These isolates are potential candidates for bio</w:t>
      </w:r>
      <w:r w:rsidR="00DA2C4D">
        <w:rPr>
          <w:rFonts w:ascii="Calibri" w:hAnsi="Calibri" w:cs="Calibri"/>
          <w:bCs/>
          <w:sz w:val="24"/>
          <w:szCs w:val="24"/>
        </w:rPr>
        <w:t>-</w:t>
      </w:r>
      <w:r w:rsidRPr="0047411E">
        <w:rPr>
          <w:rFonts w:ascii="Calibri" w:hAnsi="Calibri" w:cs="Calibri"/>
          <w:bCs/>
          <w:sz w:val="24"/>
          <w:szCs w:val="24"/>
        </w:rPr>
        <w:t>inoculant development, particularly for saline soil applications.</w:t>
      </w:r>
    </w:p>
    <w:p w14:paraId="4838A6A3" w14:textId="77777777" w:rsidR="001157A5" w:rsidRPr="001157A5" w:rsidRDefault="001157A5" w:rsidP="001157A5">
      <w:pPr>
        <w:jc w:val="center"/>
        <w:rPr>
          <w:rFonts w:ascii="Calibri" w:hAnsi="Calibri" w:cs="Calibri"/>
          <w:b/>
          <w:bCs/>
          <w:sz w:val="24"/>
          <w:szCs w:val="24"/>
        </w:rPr>
      </w:pPr>
      <w:r w:rsidRPr="001157A5">
        <w:rPr>
          <w:rFonts w:ascii="Calibri" w:hAnsi="Calibri" w:cs="Calibri"/>
          <w:b/>
          <w:bCs/>
          <w:sz w:val="24"/>
          <w:szCs w:val="24"/>
        </w:rPr>
        <w:t>Recommendation</w:t>
      </w:r>
    </w:p>
    <w:p w14:paraId="405D9D4C" w14:textId="77777777" w:rsidR="001157A5" w:rsidRPr="001157A5" w:rsidRDefault="001157A5" w:rsidP="001157A5">
      <w:pPr>
        <w:jc w:val="both"/>
        <w:rPr>
          <w:rFonts w:ascii="Calibri" w:hAnsi="Calibri" w:cs="Calibri"/>
          <w:bCs/>
          <w:sz w:val="24"/>
          <w:szCs w:val="24"/>
        </w:rPr>
      </w:pPr>
      <w:r w:rsidRPr="001157A5">
        <w:rPr>
          <w:rFonts w:ascii="Calibri" w:hAnsi="Calibri" w:cs="Calibri"/>
          <w:bCs/>
          <w:sz w:val="24"/>
          <w:szCs w:val="24"/>
        </w:rPr>
        <w:t>Further studies should include molecular identification through 16S rRNA sequencing, greenhouse trials to evaluate plant growth effects, and bio</w:t>
      </w:r>
      <w:r w:rsidR="00DA2C4D">
        <w:rPr>
          <w:rFonts w:ascii="Calibri" w:hAnsi="Calibri" w:cs="Calibri"/>
          <w:bCs/>
          <w:sz w:val="24"/>
          <w:szCs w:val="24"/>
        </w:rPr>
        <w:t>-</w:t>
      </w:r>
      <w:r w:rsidRPr="001157A5">
        <w:rPr>
          <w:rFonts w:ascii="Calibri" w:hAnsi="Calibri" w:cs="Calibri"/>
          <w:bCs/>
          <w:sz w:val="24"/>
          <w:szCs w:val="24"/>
        </w:rPr>
        <w:t>inoculant formulation testing under variable environmental conditions prior to field application.</w:t>
      </w:r>
    </w:p>
    <w:p w14:paraId="62683D88" w14:textId="77777777" w:rsidR="00EA587F" w:rsidRDefault="00EA587F" w:rsidP="001157A5">
      <w:pPr>
        <w:jc w:val="center"/>
        <w:rPr>
          <w:rFonts w:ascii="Calibri" w:hAnsi="Calibri" w:cs="Calibri"/>
          <w:b/>
          <w:bCs/>
          <w:sz w:val="24"/>
          <w:szCs w:val="24"/>
        </w:rPr>
      </w:pPr>
    </w:p>
    <w:p w14:paraId="25902BB8" w14:textId="77777777" w:rsidR="006C2467" w:rsidRDefault="006C2467" w:rsidP="001157A5">
      <w:pPr>
        <w:jc w:val="center"/>
        <w:rPr>
          <w:rFonts w:ascii="Calibri" w:hAnsi="Calibri" w:cs="Calibri"/>
          <w:b/>
          <w:bCs/>
          <w:sz w:val="24"/>
          <w:szCs w:val="24"/>
        </w:rPr>
      </w:pPr>
    </w:p>
    <w:p w14:paraId="26E9FAAD" w14:textId="77777777" w:rsidR="001157A5" w:rsidRPr="001157A5" w:rsidRDefault="001157A5" w:rsidP="001157A5">
      <w:pPr>
        <w:jc w:val="center"/>
        <w:rPr>
          <w:rFonts w:ascii="Calibri" w:hAnsi="Calibri" w:cs="Calibri"/>
          <w:b/>
          <w:bCs/>
          <w:sz w:val="24"/>
          <w:szCs w:val="24"/>
        </w:rPr>
      </w:pPr>
      <w:r w:rsidRPr="001157A5">
        <w:rPr>
          <w:rFonts w:ascii="Calibri" w:hAnsi="Calibri" w:cs="Calibri"/>
          <w:b/>
          <w:bCs/>
          <w:sz w:val="24"/>
          <w:szCs w:val="24"/>
        </w:rPr>
        <w:t>Reference</w:t>
      </w:r>
      <w:r w:rsidR="006C2467">
        <w:rPr>
          <w:rFonts w:ascii="Calibri" w:hAnsi="Calibri" w:cs="Calibri"/>
          <w:b/>
          <w:bCs/>
          <w:sz w:val="24"/>
          <w:szCs w:val="24"/>
        </w:rPr>
        <w:t>s</w:t>
      </w:r>
    </w:p>
    <w:p w14:paraId="7942879A" w14:textId="77777777" w:rsid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Agunbiade, V.F., </w:t>
      </w:r>
      <w:proofErr w:type="spellStart"/>
      <w:r w:rsidRPr="001157A5">
        <w:rPr>
          <w:rFonts w:ascii="Calibri" w:hAnsi="Calibri" w:cs="Calibri"/>
          <w:bCs/>
          <w:sz w:val="24"/>
          <w:szCs w:val="24"/>
        </w:rPr>
        <w:t>Fadiji</w:t>
      </w:r>
      <w:proofErr w:type="spellEnd"/>
      <w:r w:rsidRPr="001157A5">
        <w:rPr>
          <w:rFonts w:ascii="Calibri" w:hAnsi="Calibri" w:cs="Calibri"/>
          <w:bCs/>
          <w:sz w:val="24"/>
          <w:szCs w:val="24"/>
        </w:rPr>
        <w:t xml:space="preserve">, A.E., </w:t>
      </w:r>
      <w:proofErr w:type="spellStart"/>
      <w:r w:rsidRPr="001157A5">
        <w:rPr>
          <w:rFonts w:ascii="Calibri" w:hAnsi="Calibri" w:cs="Calibri"/>
          <w:bCs/>
          <w:sz w:val="24"/>
          <w:szCs w:val="24"/>
        </w:rPr>
        <w:t>Agbodjato</w:t>
      </w:r>
      <w:proofErr w:type="spellEnd"/>
      <w:r w:rsidRPr="001157A5">
        <w:rPr>
          <w:rFonts w:ascii="Calibri" w:hAnsi="Calibri" w:cs="Calibri"/>
          <w:bCs/>
          <w:sz w:val="24"/>
          <w:szCs w:val="24"/>
        </w:rPr>
        <w:t xml:space="preserve">, N.A. and Babalola, O.O., 2024. Isolation and Characterization of Plant-Growth-Promoting, Drought-Tolerant Rhizobacteria for Improved Maize Productivity. </w:t>
      </w:r>
      <w:r w:rsidRPr="00140B38">
        <w:rPr>
          <w:rFonts w:ascii="Calibri" w:hAnsi="Calibri" w:cs="Calibri"/>
          <w:bCs/>
          <w:i/>
          <w:sz w:val="24"/>
          <w:szCs w:val="24"/>
        </w:rPr>
        <w:t>Plants</w:t>
      </w:r>
      <w:r w:rsidRPr="001157A5">
        <w:rPr>
          <w:rFonts w:ascii="Calibri" w:hAnsi="Calibri" w:cs="Calibri"/>
          <w:bCs/>
          <w:sz w:val="24"/>
          <w:szCs w:val="24"/>
        </w:rPr>
        <w:t>, 13(10), p.1298.</w:t>
      </w:r>
    </w:p>
    <w:p w14:paraId="08590719" w14:textId="77777777" w:rsidR="001157A5" w:rsidRPr="001157A5" w:rsidRDefault="00140B38" w:rsidP="001157A5">
      <w:pPr>
        <w:ind w:left="720" w:hanging="720"/>
        <w:jc w:val="both"/>
        <w:rPr>
          <w:rFonts w:ascii="Calibri" w:hAnsi="Calibri" w:cs="Calibri"/>
          <w:bCs/>
          <w:sz w:val="24"/>
          <w:szCs w:val="24"/>
        </w:rPr>
      </w:pPr>
      <w:r>
        <w:rPr>
          <w:rFonts w:ascii="Calibri" w:hAnsi="Calibri" w:cs="Calibri"/>
          <w:bCs/>
          <w:sz w:val="24"/>
          <w:szCs w:val="24"/>
        </w:rPr>
        <w:t>Ahmed, E. and Holmström, S.J.M.</w:t>
      </w:r>
      <w:r w:rsidR="001157A5" w:rsidRPr="001157A5">
        <w:rPr>
          <w:rFonts w:ascii="Calibri" w:hAnsi="Calibri" w:cs="Calibri"/>
          <w:bCs/>
          <w:sz w:val="24"/>
          <w:szCs w:val="24"/>
        </w:rPr>
        <w:t xml:space="preserve"> 2014. Siderophores in environmental research: Roles and applications. </w:t>
      </w:r>
      <w:r w:rsidR="001157A5" w:rsidRPr="00140B38">
        <w:rPr>
          <w:rFonts w:ascii="Calibri" w:hAnsi="Calibri" w:cs="Calibri"/>
          <w:bCs/>
          <w:i/>
          <w:sz w:val="24"/>
          <w:szCs w:val="24"/>
        </w:rPr>
        <w:t>Microbial Biotechnology,</w:t>
      </w:r>
      <w:r w:rsidR="001157A5" w:rsidRPr="001157A5">
        <w:rPr>
          <w:rFonts w:ascii="Calibri" w:hAnsi="Calibri" w:cs="Calibri"/>
          <w:bCs/>
          <w:sz w:val="24"/>
          <w:szCs w:val="24"/>
        </w:rPr>
        <w:t xml:space="preserve"> 7(3), pp.196–208. https://doi.org/10.1111/1751-7915.12117</w:t>
      </w:r>
    </w:p>
    <w:p w14:paraId="5A721024"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Ali, S., Rizwan, M., Arif, M.S. and Ibrahim, M., 2020. Biological strategies for salinity stress alleviation in crop plants: Recent advances. </w:t>
      </w:r>
      <w:r w:rsidRPr="00140B38">
        <w:rPr>
          <w:rFonts w:ascii="Calibri" w:hAnsi="Calibri" w:cs="Calibri"/>
          <w:bCs/>
          <w:i/>
          <w:sz w:val="24"/>
          <w:szCs w:val="24"/>
        </w:rPr>
        <w:t>Plant Physiology and Biochemistry</w:t>
      </w:r>
      <w:r w:rsidRPr="001157A5">
        <w:rPr>
          <w:rFonts w:ascii="Calibri" w:hAnsi="Calibri" w:cs="Calibri"/>
          <w:bCs/>
          <w:sz w:val="24"/>
          <w:szCs w:val="24"/>
        </w:rPr>
        <w:t>, 155, pp.661–674. https://doi.org/10.1016/j.plaphy.2020.07.023</w:t>
      </w:r>
    </w:p>
    <w:p w14:paraId="64E2088C"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lastRenderedPageBreak/>
        <w:t xml:space="preserve">Alori, E.T., Glick, B.R. and Babalola, O.O., 2017. Microbial phosphorus solubilization and its potential for use in sustainable agriculture. </w:t>
      </w:r>
      <w:r w:rsidRPr="00140B38">
        <w:rPr>
          <w:rFonts w:ascii="Calibri" w:hAnsi="Calibri" w:cs="Calibri"/>
          <w:bCs/>
          <w:i/>
          <w:sz w:val="24"/>
          <w:szCs w:val="24"/>
        </w:rPr>
        <w:t>Frontiers in Microbiology</w:t>
      </w:r>
      <w:r w:rsidRPr="001157A5">
        <w:rPr>
          <w:rFonts w:ascii="Calibri" w:hAnsi="Calibri" w:cs="Calibri"/>
          <w:bCs/>
          <w:sz w:val="24"/>
          <w:szCs w:val="24"/>
        </w:rPr>
        <w:t>, 8, p.971. https://doi.org/10.3389/fmicb.2017.00971</w:t>
      </w:r>
    </w:p>
    <w:p w14:paraId="4E6ECA09"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Amalia, D. A. L., </w:t>
      </w:r>
      <w:proofErr w:type="spellStart"/>
      <w:r w:rsidRPr="001157A5">
        <w:rPr>
          <w:rFonts w:ascii="Calibri" w:hAnsi="Calibri" w:cs="Calibri"/>
          <w:bCs/>
          <w:sz w:val="24"/>
          <w:szCs w:val="24"/>
        </w:rPr>
        <w:t>A’yun</w:t>
      </w:r>
      <w:proofErr w:type="spellEnd"/>
      <w:r w:rsidRPr="001157A5">
        <w:rPr>
          <w:rFonts w:ascii="Calibri" w:hAnsi="Calibri" w:cs="Calibri"/>
          <w:bCs/>
          <w:sz w:val="24"/>
          <w:szCs w:val="24"/>
        </w:rPr>
        <w:t>, S. H. Q.,</w:t>
      </w:r>
      <w:r w:rsidR="00140B38">
        <w:rPr>
          <w:rFonts w:ascii="Calibri" w:hAnsi="Calibri" w:cs="Calibri"/>
          <w:bCs/>
          <w:sz w:val="24"/>
          <w:szCs w:val="24"/>
        </w:rPr>
        <w:t xml:space="preserve"> Ardian, M. N., &amp; Purwanto, P. 2025</w:t>
      </w:r>
      <w:r w:rsidRPr="001157A5">
        <w:rPr>
          <w:rFonts w:ascii="Calibri" w:hAnsi="Calibri" w:cs="Calibri"/>
          <w:bCs/>
          <w:sz w:val="24"/>
          <w:szCs w:val="24"/>
        </w:rPr>
        <w:t xml:space="preserve">. Potential of </w:t>
      </w:r>
      <w:proofErr w:type="spellStart"/>
      <w:r w:rsidRPr="001157A5">
        <w:rPr>
          <w:rFonts w:ascii="Calibri" w:hAnsi="Calibri" w:cs="Calibri"/>
          <w:bCs/>
          <w:sz w:val="24"/>
          <w:szCs w:val="24"/>
        </w:rPr>
        <w:t>Rhizospheric</w:t>
      </w:r>
      <w:proofErr w:type="spellEnd"/>
      <w:r w:rsidRPr="001157A5">
        <w:rPr>
          <w:rFonts w:ascii="Calibri" w:hAnsi="Calibri" w:cs="Calibri"/>
          <w:bCs/>
          <w:sz w:val="24"/>
          <w:szCs w:val="24"/>
        </w:rPr>
        <w:t xml:space="preserve"> Bacteria for Increasing Growth and Yield of Shallots (</w:t>
      </w:r>
      <w:r w:rsidRPr="000E0280">
        <w:rPr>
          <w:rFonts w:ascii="Calibri" w:hAnsi="Calibri" w:cs="Calibri"/>
          <w:bCs/>
          <w:i/>
          <w:sz w:val="24"/>
          <w:szCs w:val="24"/>
        </w:rPr>
        <w:t>Allium ascalonicum</w:t>
      </w:r>
      <w:r w:rsidR="00140B38">
        <w:rPr>
          <w:rFonts w:ascii="Calibri" w:hAnsi="Calibri" w:cs="Calibri"/>
          <w:bCs/>
          <w:sz w:val="24"/>
          <w:szCs w:val="24"/>
        </w:rPr>
        <w:t xml:space="preserve"> L.) in Saline Soil. </w:t>
      </w:r>
      <w:r w:rsidRPr="00140B38">
        <w:rPr>
          <w:rFonts w:ascii="Calibri" w:hAnsi="Calibri" w:cs="Calibri"/>
          <w:bCs/>
          <w:i/>
          <w:sz w:val="24"/>
          <w:szCs w:val="24"/>
        </w:rPr>
        <w:t>BIO Web of Conferences</w:t>
      </w:r>
      <w:r w:rsidRPr="001157A5">
        <w:rPr>
          <w:rFonts w:ascii="Calibri" w:hAnsi="Calibri" w:cs="Calibri"/>
          <w:bCs/>
          <w:sz w:val="24"/>
          <w:szCs w:val="24"/>
        </w:rPr>
        <w:t xml:space="preserve"> (Vol. 158, p. 03026). EDP Sciences.</w:t>
      </w:r>
    </w:p>
    <w:p w14:paraId="0B4999AF"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Amalia, D.A.L., </w:t>
      </w:r>
      <w:proofErr w:type="spellStart"/>
      <w:r w:rsidRPr="001157A5">
        <w:rPr>
          <w:rFonts w:ascii="Calibri" w:hAnsi="Calibri" w:cs="Calibri"/>
          <w:bCs/>
          <w:sz w:val="24"/>
          <w:szCs w:val="24"/>
        </w:rPr>
        <w:t>Oedjijono</w:t>
      </w:r>
      <w:proofErr w:type="spellEnd"/>
      <w:r w:rsidRPr="001157A5">
        <w:rPr>
          <w:rFonts w:ascii="Calibri" w:hAnsi="Calibri" w:cs="Calibri"/>
          <w:bCs/>
          <w:sz w:val="24"/>
          <w:szCs w:val="24"/>
        </w:rPr>
        <w:t xml:space="preserve">, O. and Purwanto, P., 2020. </w:t>
      </w:r>
      <w:proofErr w:type="spellStart"/>
      <w:r w:rsidRPr="001157A5">
        <w:rPr>
          <w:rFonts w:ascii="Calibri" w:hAnsi="Calibri" w:cs="Calibri"/>
          <w:bCs/>
          <w:sz w:val="24"/>
          <w:szCs w:val="24"/>
        </w:rPr>
        <w:t>Eksplorasi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Bakteri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Diazotrof</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dari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Rizosfer</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Tanaman</w:t>
      </w:r>
      <w:proofErr w:type="spellEnd"/>
      <w:r w:rsidRPr="001157A5">
        <w:rPr>
          <w:rFonts w:ascii="Calibri" w:hAnsi="Calibri" w:cs="Calibri"/>
          <w:bCs/>
          <w:sz w:val="24"/>
          <w:szCs w:val="24"/>
        </w:rPr>
        <w:t xml:space="preserve"> Bawah Merah (</w:t>
      </w:r>
      <w:r w:rsidRPr="000E0280">
        <w:rPr>
          <w:rFonts w:ascii="Calibri" w:hAnsi="Calibri" w:cs="Calibri"/>
          <w:bCs/>
          <w:i/>
          <w:sz w:val="24"/>
          <w:szCs w:val="24"/>
        </w:rPr>
        <w:t>Allium ascalonicum</w:t>
      </w:r>
      <w:r w:rsidRPr="001157A5">
        <w:rPr>
          <w:rFonts w:ascii="Calibri" w:hAnsi="Calibri" w:cs="Calibri"/>
          <w:bCs/>
          <w:sz w:val="24"/>
          <w:szCs w:val="24"/>
        </w:rPr>
        <w:t xml:space="preserve"> L.) di Brebes, Jawa Tengah. </w:t>
      </w:r>
      <w:proofErr w:type="spellStart"/>
      <w:r w:rsidRPr="00140B38">
        <w:rPr>
          <w:rFonts w:ascii="Calibri" w:hAnsi="Calibri" w:cs="Calibri"/>
          <w:bCs/>
          <w:i/>
          <w:sz w:val="24"/>
          <w:szCs w:val="24"/>
        </w:rPr>
        <w:t>BioEksakta</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Jurnal</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Ilmiah</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Biologi</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Unsoed</w:t>
      </w:r>
      <w:proofErr w:type="spellEnd"/>
      <w:r w:rsidRPr="001157A5">
        <w:rPr>
          <w:rFonts w:ascii="Calibri" w:hAnsi="Calibri" w:cs="Calibri"/>
          <w:bCs/>
          <w:sz w:val="24"/>
          <w:szCs w:val="24"/>
        </w:rPr>
        <w:t>, 2(3), pp.464-478.</w:t>
      </w:r>
    </w:p>
    <w:p w14:paraId="21997CF5"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Amri, M., </w:t>
      </w:r>
      <w:proofErr w:type="spellStart"/>
      <w:r w:rsidRPr="001157A5">
        <w:rPr>
          <w:rFonts w:ascii="Calibri" w:hAnsi="Calibri" w:cs="Calibri"/>
          <w:bCs/>
          <w:sz w:val="24"/>
          <w:szCs w:val="24"/>
        </w:rPr>
        <w:t>Rjeibi</w:t>
      </w:r>
      <w:proofErr w:type="spellEnd"/>
      <w:r w:rsidRPr="001157A5">
        <w:rPr>
          <w:rFonts w:ascii="Calibri" w:hAnsi="Calibri" w:cs="Calibri"/>
          <w:bCs/>
          <w:sz w:val="24"/>
          <w:szCs w:val="24"/>
        </w:rPr>
        <w:t xml:space="preserve">, M.R., </w:t>
      </w:r>
      <w:proofErr w:type="spellStart"/>
      <w:r w:rsidRPr="001157A5">
        <w:rPr>
          <w:rFonts w:ascii="Calibri" w:hAnsi="Calibri" w:cs="Calibri"/>
          <w:bCs/>
          <w:sz w:val="24"/>
          <w:szCs w:val="24"/>
        </w:rPr>
        <w:t>Gatrouni</w:t>
      </w:r>
      <w:proofErr w:type="spellEnd"/>
      <w:r w:rsidRPr="001157A5">
        <w:rPr>
          <w:rFonts w:ascii="Calibri" w:hAnsi="Calibri" w:cs="Calibri"/>
          <w:bCs/>
          <w:sz w:val="24"/>
          <w:szCs w:val="24"/>
        </w:rPr>
        <w:t xml:space="preserve">, M., Mateus, D.M., Asses, N., Pinho, H.J. and Abbes, C., 2023. Isolation, identification, and characterization of phosphate-solubilizing bacteria from Tunisian soils. </w:t>
      </w:r>
      <w:r w:rsidRPr="00140B38">
        <w:rPr>
          <w:rFonts w:ascii="Calibri" w:hAnsi="Calibri" w:cs="Calibri"/>
          <w:bCs/>
          <w:i/>
          <w:sz w:val="24"/>
          <w:szCs w:val="24"/>
        </w:rPr>
        <w:t>Microorganisms</w:t>
      </w:r>
      <w:r w:rsidRPr="001157A5">
        <w:rPr>
          <w:rFonts w:ascii="Calibri" w:hAnsi="Calibri" w:cs="Calibri"/>
          <w:bCs/>
          <w:sz w:val="24"/>
          <w:szCs w:val="24"/>
        </w:rPr>
        <w:t>, 11(3), p.783.</w:t>
      </w:r>
    </w:p>
    <w:p w14:paraId="185B873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Arora, N.K. and </w:t>
      </w:r>
      <w:proofErr w:type="spellStart"/>
      <w:r w:rsidRPr="001157A5">
        <w:rPr>
          <w:rFonts w:ascii="Calibri" w:hAnsi="Calibri" w:cs="Calibri"/>
          <w:bCs/>
          <w:sz w:val="24"/>
          <w:szCs w:val="24"/>
        </w:rPr>
        <w:t>Ramawat</w:t>
      </w:r>
      <w:proofErr w:type="spellEnd"/>
      <w:r w:rsidRPr="001157A5">
        <w:rPr>
          <w:rFonts w:ascii="Calibri" w:hAnsi="Calibri" w:cs="Calibri"/>
          <w:bCs/>
          <w:sz w:val="24"/>
          <w:szCs w:val="24"/>
        </w:rPr>
        <w:t xml:space="preserve">, N., 2017. Plant growth-promoting rhizobacteria for sustainable agriculture. In: N.K. Arora, ed. </w:t>
      </w:r>
      <w:r w:rsidRPr="00140B38">
        <w:rPr>
          <w:rFonts w:ascii="Calibri" w:hAnsi="Calibri" w:cs="Calibri"/>
          <w:bCs/>
          <w:i/>
          <w:sz w:val="24"/>
          <w:szCs w:val="24"/>
        </w:rPr>
        <w:t>Plant Microbe Symbiosis: Fundamentals and Advances</w:t>
      </w:r>
      <w:r w:rsidRPr="001157A5">
        <w:rPr>
          <w:rFonts w:ascii="Calibri" w:hAnsi="Calibri" w:cs="Calibri"/>
          <w:bCs/>
          <w:sz w:val="24"/>
          <w:szCs w:val="24"/>
        </w:rPr>
        <w:t xml:space="preserve">. Singapore: Springer, pp.63–75. </w:t>
      </w:r>
      <w:hyperlink r:id="rId9" w:history="1">
        <w:r w:rsidRPr="001157A5">
          <w:rPr>
            <w:rStyle w:val="Hyperlink"/>
            <w:rFonts w:ascii="Calibri" w:hAnsi="Calibri" w:cs="Calibri"/>
            <w:bCs/>
            <w:sz w:val="24"/>
            <w:szCs w:val="24"/>
          </w:rPr>
          <w:t>https://doi.org/10.1007/978-981-10-1459-0_4</w:t>
        </w:r>
      </w:hyperlink>
    </w:p>
    <w:p w14:paraId="0A5E2185"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Bhattacharyya, P.N., Korir, H. and Singh, A., 2020. Advances in PGPR-mediated management of soil nutrients and plant health under abiotic stress conditions. </w:t>
      </w:r>
      <w:r w:rsidRPr="00140B38">
        <w:rPr>
          <w:rFonts w:ascii="Calibri" w:hAnsi="Calibri" w:cs="Calibri"/>
          <w:bCs/>
          <w:i/>
          <w:sz w:val="24"/>
          <w:szCs w:val="24"/>
        </w:rPr>
        <w:t>Rhizosphere</w:t>
      </w:r>
      <w:r w:rsidRPr="001157A5">
        <w:rPr>
          <w:rFonts w:ascii="Calibri" w:hAnsi="Calibri" w:cs="Calibri"/>
          <w:bCs/>
          <w:sz w:val="24"/>
          <w:szCs w:val="24"/>
        </w:rPr>
        <w:t xml:space="preserve">, 13, p.100192. </w:t>
      </w:r>
      <w:hyperlink r:id="rId10" w:history="1">
        <w:r w:rsidRPr="001157A5">
          <w:rPr>
            <w:rStyle w:val="Hyperlink"/>
            <w:rFonts w:ascii="Calibri" w:hAnsi="Calibri" w:cs="Calibri"/>
            <w:bCs/>
            <w:sz w:val="24"/>
            <w:szCs w:val="24"/>
          </w:rPr>
          <w:t>https://doi.org/10.1016/j.rhisph.2019.100192</w:t>
        </w:r>
      </w:hyperlink>
    </w:p>
    <w:p w14:paraId="5838A01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Cappuccino, J. G., &amp; Sherman, N. </w:t>
      </w:r>
      <w:r w:rsidR="00B12477">
        <w:rPr>
          <w:rFonts w:ascii="Calibri" w:hAnsi="Calibri" w:cs="Calibri"/>
          <w:bCs/>
          <w:sz w:val="24"/>
          <w:szCs w:val="24"/>
        </w:rPr>
        <w:t>2014.</w:t>
      </w:r>
      <w:r w:rsidRPr="001157A5">
        <w:rPr>
          <w:rFonts w:ascii="Calibri" w:hAnsi="Calibri" w:cs="Calibri"/>
          <w:bCs/>
          <w:sz w:val="24"/>
          <w:szCs w:val="24"/>
        </w:rPr>
        <w:t xml:space="preserve"> Microbiology: A Laboratory Manual (10</w:t>
      </w:r>
      <w:r w:rsidR="00B12477" w:rsidRPr="00B12477">
        <w:rPr>
          <w:rFonts w:ascii="Calibri" w:hAnsi="Calibri" w:cs="Calibri"/>
          <w:bCs/>
          <w:sz w:val="24"/>
          <w:szCs w:val="24"/>
          <w:vertAlign w:val="superscript"/>
        </w:rPr>
        <w:t>th</w:t>
      </w:r>
      <w:r w:rsidR="00B12477">
        <w:rPr>
          <w:rFonts w:ascii="Calibri" w:hAnsi="Calibri" w:cs="Calibri"/>
          <w:bCs/>
          <w:sz w:val="24"/>
          <w:szCs w:val="24"/>
        </w:rPr>
        <w:t xml:space="preserve"> </w:t>
      </w:r>
      <w:r w:rsidRPr="001157A5">
        <w:rPr>
          <w:rFonts w:ascii="Calibri" w:hAnsi="Calibri" w:cs="Calibri"/>
          <w:bCs/>
          <w:sz w:val="24"/>
          <w:szCs w:val="24"/>
        </w:rPr>
        <w:t>ed.). Pearson Education.</w:t>
      </w:r>
    </w:p>
    <w:p w14:paraId="0F618139"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Chen, H., Qin, W., Ma, L. and Huang, J., 2021. Phosphate-solubilizing microorganisms in saline-alkaline soil: Characteristics, mechanisms, and application. </w:t>
      </w:r>
      <w:r w:rsidRPr="00B12477">
        <w:rPr>
          <w:rFonts w:ascii="Calibri" w:hAnsi="Calibri" w:cs="Calibri"/>
          <w:bCs/>
          <w:i/>
          <w:sz w:val="24"/>
          <w:szCs w:val="24"/>
        </w:rPr>
        <w:t>Agronomy</w:t>
      </w:r>
      <w:r w:rsidRPr="001157A5">
        <w:rPr>
          <w:rFonts w:ascii="Calibri" w:hAnsi="Calibri" w:cs="Calibri"/>
          <w:bCs/>
          <w:sz w:val="24"/>
          <w:szCs w:val="24"/>
        </w:rPr>
        <w:t xml:space="preserve">, 11(8), p.1614. </w:t>
      </w:r>
      <w:hyperlink r:id="rId11" w:history="1">
        <w:r w:rsidRPr="001157A5">
          <w:rPr>
            <w:rStyle w:val="Hyperlink"/>
            <w:rFonts w:ascii="Calibri" w:hAnsi="Calibri" w:cs="Calibri"/>
            <w:bCs/>
            <w:sz w:val="24"/>
            <w:szCs w:val="24"/>
          </w:rPr>
          <w:t>https://doi.org/10.3390/agronomy11081614</w:t>
        </w:r>
      </w:hyperlink>
    </w:p>
    <w:p w14:paraId="2AA72167"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Egamberdieva</w:t>
      </w:r>
      <w:proofErr w:type="spellEnd"/>
      <w:r w:rsidRPr="001157A5">
        <w:rPr>
          <w:rFonts w:ascii="Calibri" w:hAnsi="Calibri" w:cs="Calibri"/>
          <w:bCs/>
          <w:sz w:val="24"/>
          <w:szCs w:val="24"/>
        </w:rPr>
        <w:t xml:space="preserve">, D., Wirth, S. J., </w:t>
      </w:r>
      <w:proofErr w:type="spellStart"/>
      <w:r w:rsidRPr="001157A5">
        <w:rPr>
          <w:rFonts w:ascii="Calibri" w:hAnsi="Calibri" w:cs="Calibri"/>
          <w:bCs/>
          <w:sz w:val="24"/>
          <w:szCs w:val="24"/>
        </w:rPr>
        <w:t>Shurigin</w:t>
      </w:r>
      <w:proofErr w:type="spellEnd"/>
      <w:r w:rsidRPr="001157A5">
        <w:rPr>
          <w:rFonts w:ascii="Calibri" w:hAnsi="Calibri" w:cs="Calibri"/>
          <w:bCs/>
          <w:sz w:val="24"/>
          <w:szCs w:val="24"/>
        </w:rPr>
        <w:t xml:space="preserve">, V. V., </w:t>
      </w:r>
      <w:r w:rsidR="00FE499F">
        <w:rPr>
          <w:rFonts w:ascii="Calibri" w:hAnsi="Calibri" w:cs="Calibri"/>
          <w:bCs/>
          <w:sz w:val="24"/>
          <w:szCs w:val="24"/>
        </w:rPr>
        <w:t xml:space="preserve">Hashem, A., &amp; </w:t>
      </w:r>
      <w:proofErr w:type="spellStart"/>
      <w:r w:rsidR="00FE499F">
        <w:rPr>
          <w:rFonts w:ascii="Calibri" w:hAnsi="Calibri" w:cs="Calibri"/>
          <w:bCs/>
          <w:sz w:val="24"/>
          <w:szCs w:val="24"/>
        </w:rPr>
        <w:t>Abd_Allah</w:t>
      </w:r>
      <w:proofErr w:type="spellEnd"/>
      <w:r w:rsidR="00FE499F">
        <w:rPr>
          <w:rFonts w:ascii="Calibri" w:hAnsi="Calibri" w:cs="Calibri"/>
          <w:bCs/>
          <w:sz w:val="24"/>
          <w:szCs w:val="24"/>
        </w:rPr>
        <w:t xml:space="preserve">, E. F. </w:t>
      </w:r>
      <w:r w:rsidRPr="001157A5">
        <w:rPr>
          <w:rFonts w:ascii="Calibri" w:hAnsi="Calibri" w:cs="Calibri"/>
          <w:bCs/>
          <w:sz w:val="24"/>
          <w:szCs w:val="24"/>
        </w:rPr>
        <w:t>2017. Endophytic bacteria improve plant growth, symbiotic performance of chickpea (</w:t>
      </w:r>
      <w:r w:rsidRPr="00B12477">
        <w:rPr>
          <w:rFonts w:ascii="Calibri" w:hAnsi="Calibri" w:cs="Calibri"/>
          <w:bCs/>
          <w:i/>
          <w:sz w:val="24"/>
          <w:szCs w:val="24"/>
        </w:rPr>
        <w:t>Cicer arietinum</w:t>
      </w:r>
      <w:r w:rsidRPr="001157A5">
        <w:rPr>
          <w:rFonts w:ascii="Calibri" w:hAnsi="Calibri" w:cs="Calibri"/>
          <w:bCs/>
          <w:sz w:val="24"/>
          <w:szCs w:val="24"/>
        </w:rPr>
        <w:t xml:space="preserve"> L.) and induce suppression of root rot caused by </w:t>
      </w:r>
      <w:r w:rsidRPr="00B12477">
        <w:rPr>
          <w:rFonts w:ascii="Calibri" w:hAnsi="Calibri" w:cs="Calibri"/>
          <w:bCs/>
          <w:i/>
          <w:sz w:val="24"/>
          <w:szCs w:val="24"/>
        </w:rPr>
        <w:t xml:space="preserve">Fusarium </w:t>
      </w:r>
      <w:proofErr w:type="spellStart"/>
      <w:r w:rsidRPr="00B12477">
        <w:rPr>
          <w:rFonts w:ascii="Calibri" w:hAnsi="Calibri" w:cs="Calibri"/>
          <w:bCs/>
          <w:i/>
          <w:sz w:val="24"/>
          <w:szCs w:val="24"/>
        </w:rPr>
        <w:t>solani</w:t>
      </w:r>
      <w:proofErr w:type="spellEnd"/>
      <w:r w:rsidRPr="001157A5">
        <w:rPr>
          <w:rFonts w:ascii="Calibri" w:hAnsi="Calibri" w:cs="Calibri"/>
          <w:bCs/>
          <w:sz w:val="24"/>
          <w:szCs w:val="24"/>
        </w:rPr>
        <w:t xml:space="preserve"> under salt stress. </w:t>
      </w:r>
      <w:r w:rsidRPr="001157A5">
        <w:rPr>
          <w:rFonts w:ascii="Calibri" w:hAnsi="Calibri" w:cs="Calibri"/>
          <w:bCs/>
          <w:i/>
          <w:iCs/>
          <w:sz w:val="24"/>
          <w:szCs w:val="24"/>
        </w:rPr>
        <w:t>Frontiers in Microbiology</w:t>
      </w:r>
      <w:r w:rsidRPr="001157A5">
        <w:rPr>
          <w:rFonts w:ascii="Calibri" w:hAnsi="Calibri" w:cs="Calibri"/>
          <w:bCs/>
          <w:sz w:val="24"/>
          <w:szCs w:val="24"/>
        </w:rPr>
        <w:t xml:space="preserve">, </w:t>
      </w:r>
      <w:r w:rsidRPr="001157A5">
        <w:rPr>
          <w:rFonts w:ascii="Calibri" w:hAnsi="Calibri" w:cs="Calibri"/>
          <w:bCs/>
          <w:i/>
          <w:iCs/>
          <w:sz w:val="24"/>
          <w:szCs w:val="24"/>
        </w:rPr>
        <w:t>8</w:t>
      </w:r>
      <w:r w:rsidRPr="001157A5">
        <w:rPr>
          <w:rFonts w:ascii="Calibri" w:hAnsi="Calibri" w:cs="Calibri"/>
          <w:bCs/>
          <w:sz w:val="24"/>
          <w:szCs w:val="24"/>
        </w:rPr>
        <w:t>, 1887.</w:t>
      </w:r>
    </w:p>
    <w:p w14:paraId="68B94103"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Glick, B.R., 2012. Plant growth‐promoting bacteria: mechanisms and applications. </w:t>
      </w:r>
      <w:proofErr w:type="spellStart"/>
      <w:r w:rsidRPr="00B12477">
        <w:rPr>
          <w:rFonts w:ascii="Calibri" w:hAnsi="Calibri" w:cs="Calibri"/>
          <w:bCs/>
          <w:i/>
          <w:sz w:val="24"/>
          <w:szCs w:val="24"/>
        </w:rPr>
        <w:t>Scientifica</w:t>
      </w:r>
      <w:proofErr w:type="spellEnd"/>
      <w:r w:rsidRPr="001157A5">
        <w:rPr>
          <w:rFonts w:ascii="Calibri" w:hAnsi="Calibri" w:cs="Calibri"/>
          <w:bCs/>
          <w:sz w:val="24"/>
          <w:szCs w:val="24"/>
        </w:rPr>
        <w:t>, 2012(1), p.963401.</w:t>
      </w:r>
    </w:p>
    <w:p w14:paraId="25FFECB4"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Hardy, R.W.F., Holsten, R.D., Jackson, E.K. and Burns, R.C. 1968. The acetylene-ethylene assay for N₂ fixation: Laboratory and field evaluation. Plant Physiology, 43(8), pp.1185–1207. </w:t>
      </w:r>
      <w:hyperlink r:id="rId12" w:history="1">
        <w:r w:rsidRPr="001157A5">
          <w:rPr>
            <w:rStyle w:val="Hyperlink"/>
            <w:rFonts w:ascii="Calibri" w:hAnsi="Calibri" w:cs="Calibri"/>
            <w:bCs/>
            <w:sz w:val="24"/>
            <w:szCs w:val="24"/>
          </w:rPr>
          <w:t>https://doi.org/10.1104/pp.43.8.1185</w:t>
        </w:r>
      </w:hyperlink>
    </w:p>
    <w:p w14:paraId="66287C59" w14:textId="77777777" w:rsidR="001157A5" w:rsidRPr="001157A5" w:rsidRDefault="00FE499F" w:rsidP="001157A5">
      <w:pPr>
        <w:ind w:left="720" w:hanging="720"/>
        <w:jc w:val="both"/>
        <w:rPr>
          <w:rFonts w:ascii="Calibri" w:hAnsi="Calibri" w:cs="Calibri"/>
          <w:bCs/>
          <w:sz w:val="24"/>
          <w:szCs w:val="24"/>
        </w:rPr>
      </w:pPr>
      <w:r>
        <w:rPr>
          <w:rFonts w:ascii="Calibri" w:hAnsi="Calibri" w:cs="Calibri"/>
          <w:bCs/>
          <w:sz w:val="24"/>
          <w:szCs w:val="24"/>
        </w:rPr>
        <w:t>Jha, P.N. and Subramanian, R.B.</w:t>
      </w:r>
      <w:r w:rsidR="001157A5" w:rsidRPr="001157A5">
        <w:rPr>
          <w:rFonts w:ascii="Calibri" w:hAnsi="Calibri" w:cs="Calibri"/>
          <w:bCs/>
          <w:sz w:val="24"/>
          <w:szCs w:val="24"/>
        </w:rPr>
        <w:t xml:space="preserve"> 2014. PGPR regulating the functional expression of plant genes related to stress resistance: Current status and future prospects. In: D.K. Maheshwari, ed. Bacteria in Agrobiology: Stress Management. Berlin, Heidelberg: Springer, pp.291–307. </w:t>
      </w:r>
      <w:hyperlink r:id="rId13" w:history="1">
        <w:r w:rsidR="001157A5" w:rsidRPr="001157A5">
          <w:rPr>
            <w:rStyle w:val="Hyperlink"/>
            <w:rFonts w:ascii="Calibri" w:hAnsi="Calibri" w:cs="Calibri"/>
            <w:bCs/>
            <w:sz w:val="24"/>
            <w:szCs w:val="24"/>
          </w:rPr>
          <w:t>https://doi.org/10.1007/978-3-642-37596-0_15</w:t>
        </w:r>
      </w:hyperlink>
    </w:p>
    <w:p w14:paraId="3A373CB2"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lastRenderedPageBreak/>
        <w:t xml:space="preserve">Joshi, G., Kumar, V. and </w:t>
      </w:r>
      <w:proofErr w:type="spellStart"/>
      <w:r w:rsidRPr="001157A5">
        <w:rPr>
          <w:rFonts w:ascii="Calibri" w:hAnsi="Calibri" w:cs="Calibri"/>
          <w:bCs/>
          <w:sz w:val="24"/>
          <w:szCs w:val="24"/>
        </w:rPr>
        <w:t>Brahmachari</w:t>
      </w:r>
      <w:proofErr w:type="spellEnd"/>
      <w:r w:rsidRPr="001157A5">
        <w:rPr>
          <w:rFonts w:ascii="Calibri" w:hAnsi="Calibri" w:cs="Calibri"/>
          <w:bCs/>
          <w:sz w:val="24"/>
          <w:szCs w:val="24"/>
        </w:rPr>
        <w:t xml:space="preserve">, S.K., 2021. Screening and identification of novel halotolerant bacterial strains and assessment for insoluble phosphate solubilization and IAA production. </w:t>
      </w:r>
      <w:r w:rsidRPr="00FE499F">
        <w:rPr>
          <w:rFonts w:ascii="Calibri" w:hAnsi="Calibri" w:cs="Calibri"/>
          <w:bCs/>
          <w:i/>
          <w:sz w:val="24"/>
          <w:szCs w:val="24"/>
        </w:rPr>
        <w:t>Bulletin of the National Research Centre</w:t>
      </w:r>
      <w:r w:rsidRPr="001157A5">
        <w:rPr>
          <w:rFonts w:ascii="Calibri" w:hAnsi="Calibri" w:cs="Calibri"/>
          <w:bCs/>
          <w:sz w:val="24"/>
          <w:szCs w:val="24"/>
        </w:rPr>
        <w:t>, 45(1), p.83.</w:t>
      </w:r>
    </w:p>
    <w:p w14:paraId="742054C0"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Larasati, E. D., Rukmi, M. I., </w:t>
      </w:r>
      <w:proofErr w:type="spellStart"/>
      <w:r w:rsidRPr="001157A5">
        <w:rPr>
          <w:rFonts w:ascii="Calibri" w:hAnsi="Calibri" w:cs="Calibri"/>
          <w:bCs/>
          <w:sz w:val="24"/>
          <w:szCs w:val="24"/>
        </w:rPr>
        <w:t>Kusdiyantini</w:t>
      </w:r>
      <w:proofErr w:type="spellEnd"/>
      <w:r w:rsidRPr="001157A5">
        <w:rPr>
          <w:rFonts w:ascii="Calibri" w:hAnsi="Calibri" w:cs="Calibri"/>
          <w:bCs/>
          <w:sz w:val="24"/>
          <w:szCs w:val="24"/>
        </w:rPr>
        <w:t xml:space="preserve">, E., &amp; Ginting, R. C. B. 2018. </w:t>
      </w:r>
      <w:proofErr w:type="spellStart"/>
      <w:r w:rsidRPr="001157A5">
        <w:rPr>
          <w:rFonts w:ascii="Calibri" w:hAnsi="Calibri" w:cs="Calibri"/>
          <w:bCs/>
          <w:sz w:val="24"/>
          <w:szCs w:val="24"/>
        </w:rPr>
        <w:t>Isolasi</w:t>
      </w:r>
      <w:proofErr w:type="spellEnd"/>
      <w:r w:rsidRPr="001157A5">
        <w:rPr>
          <w:rFonts w:ascii="Calibri" w:hAnsi="Calibri" w:cs="Calibri"/>
          <w:bCs/>
          <w:sz w:val="24"/>
          <w:szCs w:val="24"/>
        </w:rPr>
        <w:t xml:space="preserve"> dan </w:t>
      </w:r>
      <w:proofErr w:type="spellStart"/>
      <w:r w:rsidRPr="001157A5">
        <w:rPr>
          <w:rFonts w:ascii="Calibri" w:hAnsi="Calibri" w:cs="Calibri"/>
          <w:bCs/>
          <w:sz w:val="24"/>
          <w:szCs w:val="24"/>
        </w:rPr>
        <w:t>identifikasi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bakteri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pelarut</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fosfat</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dari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tanah</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gambut</w:t>
      </w:r>
      <w:proofErr w:type="spellEnd"/>
      <w:r w:rsidRPr="001157A5">
        <w:rPr>
          <w:rFonts w:ascii="Calibri" w:hAnsi="Calibri" w:cs="Calibri"/>
          <w:bCs/>
          <w:sz w:val="24"/>
          <w:szCs w:val="24"/>
        </w:rPr>
        <w:t xml:space="preserve">. </w:t>
      </w:r>
      <w:proofErr w:type="spellStart"/>
      <w:r w:rsidRPr="00FE499F">
        <w:rPr>
          <w:rFonts w:ascii="Calibri" w:hAnsi="Calibri" w:cs="Calibri"/>
          <w:bCs/>
          <w:i/>
          <w:sz w:val="24"/>
          <w:szCs w:val="24"/>
        </w:rPr>
        <w:t>Bioma</w:t>
      </w:r>
      <w:proofErr w:type="spellEnd"/>
      <w:r w:rsidRPr="00FE499F">
        <w:rPr>
          <w:rFonts w:ascii="Calibri" w:hAnsi="Calibri" w:cs="Calibri"/>
          <w:bCs/>
          <w:i/>
          <w:sz w:val="24"/>
          <w:szCs w:val="24"/>
        </w:rPr>
        <w:t xml:space="preserve">: </w:t>
      </w:r>
      <w:proofErr w:type="spellStart"/>
      <w:r w:rsidRPr="00FE499F">
        <w:rPr>
          <w:rFonts w:ascii="Calibri" w:hAnsi="Calibri" w:cs="Calibri"/>
          <w:bCs/>
          <w:i/>
          <w:sz w:val="24"/>
          <w:szCs w:val="24"/>
        </w:rPr>
        <w:t>Berkala</w:t>
      </w:r>
      <w:proofErr w:type="spellEnd"/>
      <w:r w:rsidRPr="00FE499F">
        <w:rPr>
          <w:rFonts w:ascii="Calibri" w:hAnsi="Calibri" w:cs="Calibri"/>
          <w:bCs/>
          <w:i/>
          <w:sz w:val="24"/>
          <w:szCs w:val="24"/>
        </w:rPr>
        <w:t xml:space="preserve"> </w:t>
      </w:r>
      <w:proofErr w:type="spellStart"/>
      <w:r w:rsidRPr="00FE499F">
        <w:rPr>
          <w:rFonts w:ascii="Calibri" w:hAnsi="Calibri" w:cs="Calibri"/>
          <w:bCs/>
          <w:i/>
          <w:sz w:val="24"/>
          <w:szCs w:val="24"/>
        </w:rPr>
        <w:t>Ilmiah</w:t>
      </w:r>
      <w:proofErr w:type="spellEnd"/>
      <w:r w:rsidRPr="00FE499F">
        <w:rPr>
          <w:rFonts w:ascii="Calibri" w:hAnsi="Calibri" w:cs="Calibri"/>
          <w:bCs/>
          <w:i/>
          <w:sz w:val="24"/>
          <w:szCs w:val="24"/>
        </w:rPr>
        <w:t xml:space="preserve"> </w:t>
      </w:r>
      <w:proofErr w:type="spellStart"/>
      <w:r w:rsidRPr="00FE499F">
        <w:rPr>
          <w:rFonts w:ascii="Calibri" w:hAnsi="Calibri" w:cs="Calibri"/>
          <w:bCs/>
          <w:i/>
          <w:sz w:val="24"/>
          <w:szCs w:val="24"/>
        </w:rPr>
        <w:t>Biologi</w:t>
      </w:r>
      <w:proofErr w:type="spellEnd"/>
      <w:r w:rsidRPr="001157A5">
        <w:rPr>
          <w:rFonts w:ascii="Calibri" w:hAnsi="Calibri" w:cs="Calibri"/>
          <w:bCs/>
          <w:sz w:val="24"/>
          <w:szCs w:val="24"/>
        </w:rPr>
        <w:t>, 20(1), pp. 1-8</w:t>
      </w:r>
    </w:p>
    <w:p w14:paraId="17602CA8"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Manshur</w:t>
      </w:r>
      <w:proofErr w:type="spellEnd"/>
      <w:r w:rsidRPr="001157A5">
        <w:rPr>
          <w:rFonts w:ascii="Calibri" w:hAnsi="Calibri" w:cs="Calibri"/>
          <w:bCs/>
          <w:sz w:val="24"/>
          <w:szCs w:val="24"/>
        </w:rPr>
        <w:t>, T.A.</w:t>
      </w:r>
      <w:r w:rsidR="00FE499F">
        <w:rPr>
          <w:rFonts w:ascii="Calibri" w:hAnsi="Calibri" w:cs="Calibri"/>
          <w:bCs/>
          <w:sz w:val="24"/>
          <w:szCs w:val="24"/>
        </w:rPr>
        <w:t xml:space="preserve">, Fauzan, I.A. and </w:t>
      </w:r>
      <w:proofErr w:type="spellStart"/>
      <w:r w:rsidR="00FE499F">
        <w:rPr>
          <w:rFonts w:ascii="Calibri" w:hAnsi="Calibri" w:cs="Calibri"/>
          <w:bCs/>
          <w:sz w:val="24"/>
          <w:szCs w:val="24"/>
        </w:rPr>
        <w:t>Junianti</w:t>
      </w:r>
      <w:proofErr w:type="spellEnd"/>
      <w:r w:rsidR="00FE499F">
        <w:rPr>
          <w:rFonts w:ascii="Calibri" w:hAnsi="Calibri" w:cs="Calibri"/>
          <w:bCs/>
          <w:sz w:val="24"/>
          <w:szCs w:val="24"/>
        </w:rPr>
        <w:t>, E. 2020.</w:t>
      </w:r>
      <w:r w:rsidRPr="001157A5">
        <w:rPr>
          <w:rFonts w:ascii="Calibri" w:hAnsi="Calibri" w:cs="Calibri"/>
          <w:bCs/>
          <w:sz w:val="24"/>
          <w:szCs w:val="24"/>
        </w:rPr>
        <w:t xml:space="preserve"> Indole Acetic Acid (IAA) Producing Bacteria from</w:t>
      </w:r>
      <w:r w:rsidR="00FE499F">
        <w:rPr>
          <w:rFonts w:ascii="Calibri" w:hAnsi="Calibri" w:cs="Calibri"/>
          <w:bCs/>
          <w:sz w:val="24"/>
          <w:szCs w:val="24"/>
        </w:rPr>
        <w:t xml:space="preserve"> Saline Paddy Soil in </w:t>
      </w:r>
      <w:proofErr w:type="spellStart"/>
      <w:r w:rsidR="00FE499F">
        <w:rPr>
          <w:rFonts w:ascii="Calibri" w:hAnsi="Calibri" w:cs="Calibri"/>
          <w:bCs/>
          <w:sz w:val="24"/>
          <w:szCs w:val="24"/>
        </w:rPr>
        <w:t>Kebumen</w:t>
      </w:r>
      <w:proofErr w:type="spellEnd"/>
      <w:r w:rsidR="00FE499F">
        <w:rPr>
          <w:rFonts w:ascii="Calibri" w:hAnsi="Calibri" w:cs="Calibri"/>
          <w:bCs/>
          <w:sz w:val="24"/>
          <w:szCs w:val="24"/>
        </w:rPr>
        <w:t>.</w:t>
      </w:r>
      <w:r w:rsidRPr="001157A5">
        <w:rPr>
          <w:rFonts w:ascii="Calibri" w:hAnsi="Calibri" w:cs="Calibri"/>
          <w:bCs/>
          <w:sz w:val="24"/>
          <w:szCs w:val="24"/>
        </w:rPr>
        <w:t xml:space="preserve"> </w:t>
      </w:r>
      <w:r w:rsidRPr="00FE499F">
        <w:rPr>
          <w:rFonts w:ascii="Calibri" w:hAnsi="Calibri" w:cs="Calibri"/>
          <w:bCs/>
          <w:i/>
          <w:sz w:val="24"/>
          <w:szCs w:val="24"/>
        </w:rPr>
        <w:t>IOP Conference Series: Earth and Environmental Science</w:t>
      </w:r>
      <w:r w:rsidRPr="001157A5">
        <w:rPr>
          <w:rFonts w:ascii="Calibri" w:hAnsi="Calibri" w:cs="Calibri"/>
          <w:bCs/>
          <w:sz w:val="24"/>
          <w:szCs w:val="24"/>
        </w:rPr>
        <w:t xml:space="preserve"> (Vol. 593, No. 1, p. 012006). IOP Publishing.</w:t>
      </w:r>
    </w:p>
    <w:p w14:paraId="5F9DF9E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Mansour, M.M.F., Ali, E.F. and </w:t>
      </w:r>
      <w:proofErr w:type="spellStart"/>
      <w:r w:rsidRPr="001157A5">
        <w:rPr>
          <w:rFonts w:ascii="Calibri" w:hAnsi="Calibri" w:cs="Calibri"/>
          <w:bCs/>
          <w:sz w:val="24"/>
          <w:szCs w:val="24"/>
        </w:rPr>
        <w:t>Hasanuzzaman</w:t>
      </w:r>
      <w:proofErr w:type="spellEnd"/>
      <w:r w:rsidRPr="001157A5">
        <w:rPr>
          <w:rFonts w:ascii="Calibri" w:hAnsi="Calibri" w:cs="Calibri"/>
          <w:bCs/>
          <w:sz w:val="24"/>
          <w:szCs w:val="24"/>
        </w:rPr>
        <w:t xml:space="preserve">, M. 2021. Salinity stress and root microbiome: Understanding crosstalk and biotechnological applications. </w:t>
      </w:r>
      <w:r w:rsidRPr="00FE499F">
        <w:rPr>
          <w:rFonts w:ascii="Calibri" w:hAnsi="Calibri" w:cs="Calibri"/>
          <w:bCs/>
          <w:i/>
          <w:sz w:val="24"/>
          <w:szCs w:val="24"/>
        </w:rPr>
        <w:t>Plant Physiology and Biochemistry</w:t>
      </w:r>
      <w:r w:rsidRPr="001157A5">
        <w:rPr>
          <w:rFonts w:ascii="Calibri" w:hAnsi="Calibri" w:cs="Calibri"/>
          <w:bCs/>
          <w:sz w:val="24"/>
          <w:szCs w:val="24"/>
        </w:rPr>
        <w:t xml:space="preserve">, 167, pp.462–472. </w:t>
      </w:r>
      <w:hyperlink r:id="rId14" w:history="1">
        <w:r w:rsidRPr="001157A5">
          <w:rPr>
            <w:rStyle w:val="Hyperlink"/>
            <w:rFonts w:ascii="Calibri" w:hAnsi="Calibri" w:cs="Calibri"/>
            <w:bCs/>
            <w:sz w:val="24"/>
            <w:szCs w:val="24"/>
          </w:rPr>
          <w:t>https://doi.org/10.1016/j.plaphy.2021.08.004</w:t>
        </w:r>
      </w:hyperlink>
    </w:p>
    <w:p w14:paraId="4A880634"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Montes-Luz, B., Conrado, A. C., Ellingsen, J. K., Monteiro, R. </w:t>
      </w:r>
      <w:proofErr w:type="spellStart"/>
      <w:proofErr w:type="gramStart"/>
      <w:r w:rsidRPr="001157A5">
        <w:rPr>
          <w:rFonts w:ascii="Calibri" w:hAnsi="Calibri" w:cs="Calibri"/>
          <w:bCs/>
          <w:sz w:val="24"/>
          <w:szCs w:val="24"/>
        </w:rPr>
        <w:t>A.,de</w:t>
      </w:r>
      <w:proofErr w:type="spellEnd"/>
      <w:proofErr w:type="gramEnd"/>
      <w:r w:rsidRPr="001157A5">
        <w:rPr>
          <w:rFonts w:ascii="Calibri" w:hAnsi="Calibri" w:cs="Calibri"/>
          <w:bCs/>
          <w:sz w:val="24"/>
          <w:szCs w:val="24"/>
        </w:rPr>
        <w:t xml:space="preserve"> Souza, E. M., &amp; Stacey, G. 2023. Acetylene reduction assay: </w:t>
      </w:r>
      <w:proofErr w:type="spellStart"/>
      <w:r w:rsidRPr="001157A5">
        <w:rPr>
          <w:rFonts w:ascii="Calibri" w:hAnsi="Calibri" w:cs="Calibri"/>
          <w:bCs/>
          <w:sz w:val="24"/>
          <w:szCs w:val="24"/>
        </w:rPr>
        <w:t>Ameasure</w:t>
      </w:r>
      <w:proofErr w:type="spellEnd"/>
      <w:r w:rsidRPr="001157A5">
        <w:rPr>
          <w:rFonts w:ascii="Calibri" w:hAnsi="Calibri" w:cs="Calibri"/>
          <w:bCs/>
          <w:sz w:val="24"/>
          <w:szCs w:val="24"/>
        </w:rPr>
        <w:t xml:space="preserve"> of nitrogenase activity in plants and bacteria. </w:t>
      </w:r>
      <w:r w:rsidRPr="00FE499F">
        <w:rPr>
          <w:rFonts w:ascii="Calibri" w:hAnsi="Calibri" w:cs="Calibri"/>
          <w:bCs/>
          <w:i/>
          <w:sz w:val="24"/>
          <w:szCs w:val="24"/>
        </w:rPr>
        <w:t>Current Protocols</w:t>
      </w:r>
      <w:r w:rsidRPr="001157A5">
        <w:rPr>
          <w:rFonts w:ascii="Calibri" w:hAnsi="Calibri" w:cs="Calibri"/>
          <w:bCs/>
          <w:sz w:val="24"/>
          <w:szCs w:val="24"/>
        </w:rPr>
        <w:t>, 3, pp. 766.</w:t>
      </w:r>
    </w:p>
    <w:p w14:paraId="5F62CE15"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Nautiyal, C.S. 1999. An efficient microbiological growth medium for screening phosphate solubilizing microorganisms. </w:t>
      </w:r>
      <w:r w:rsidRPr="00FE499F">
        <w:rPr>
          <w:rFonts w:ascii="Calibri" w:hAnsi="Calibri" w:cs="Calibri"/>
          <w:bCs/>
          <w:i/>
          <w:sz w:val="24"/>
          <w:szCs w:val="24"/>
        </w:rPr>
        <w:t>FEMS microbiology Letters</w:t>
      </w:r>
      <w:r w:rsidRPr="001157A5">
        <w:rPr>
          <w:rFonts w:ascii="Calibri" w:hAnsi="Calibri" w:cs="Calibri"/>
          <w:bCs/>
          <w:sz w:val="24"/>
          <w:szCs w:val="24"/>
        </w:rPr>
        <w:t>, 170(1), pp.265-270.</w:t>
      </w:r>
    </w:p>
    <w:p w14:paraId="6C88E99F"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Nguyen, H.T., Lim, Y.J., Lee, J.Y. and Lee, C.H. 2019. Salinity stress tolerance in rhizobacteria: Mechanisms and biotechnological applications. </w:t>
      </w:r>
      <w:r w:rsidRPr="00FE499F">
        <w:rPr>
          <w:rFonts w:ascii="Calibri" w:hAnsi="Calibri" w:cs="Calibri"/>
          <w:bCs/>
          <w:i/>
          <w:sz w:val="24"/>
          <w:szCs w:val="24"/>
        </w:rPr>
        <w:t xml:space="preserve">Journal of Microbiology and Biotechnology, </w:t>
      </w:r>
      <w:r w:rsidRPr="001157A5">
        <w:rPr>
          <w:rFonts w:ascii="Calibri" w:hAnsi="Calibri" w:cs="Calibri"/>
          <w:bCs/>
          <w:sz w:val="24"/>
          <w:szCs w:val="24"/>
        </w:rPr>
        <w:t xml:space="preserve">29(7), pp.955–964. </w:t>
      </w:r>
      <w:hyperlink r:id="rId15" w:history="1">
        <w:r w:rsidRPr="001157A5">
          <w:rPr>
            <w:rStyle w:val="Hyperlink"/>
            <w:rFonts w:ascii="Calibri" w:hAnsi="Calibri" w:cs="Calibri"/>
            <w:bCs/>
            <w:sz w:val="24"/>
            <w:szCs w:val="24"/>
          </w:rPr>
          <w:t>https://doi.org/10.4014/jmb.1902.02011</w:t>
        </w:r>
      </w:hyperlink>
    </w:p>
    <w:p w14:paraId="5B776B7A"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Remans, R., Beebe, S., Blair, M., Manrique, </w:t>
      </w:r>
      <w:r w:rsidR="00FE499F">
        <w:rPr>
          <w:rFonts w:ascii="Calibri" w:hAnsi="Calibri" w:cs="Calibri"/>
          <w:bCs/>
          <w:sz w:val="24"/>
          <w:szCs w:val="24"/>
        </w:rPr>
        <w:t>G., Tovar, E., Rao, I.M. et al.</w:t>
      </w:r>
      <w:r w:rsidRPr="001157A5">
        <w:rPr>
          <w:rFonts w:ascii="Calibri" w:hAnsi="Calibri" w:cs="Calibri"/>
          <w:bCs/>
          <w:sz w:val="24"/>
          <w:szCs w:val="24"/>
        </w:rPr>
        <w:t xml:space="preserve"> 2014. Physiological and genetic analysis of root responsiveness to auxin-producing plant growth-promoting bacteria in common bean (</w:t>
      </w:r>
      <w:r w:rsidRPr="00FE499F">
        <w:rPr>
          <w:rFonts w:ascii="Calibri" w:hAnsi="Calibri" w:cs="Calibri"/>
          <w:bCs/>
          <w:i/>
          <w:sz w:val="24"/>
          <w:szCs w:val="24"/>
        </w:rPr>
        <w:t>Phaseolus vulgaris</w:t>
      </w:r>
      <w:r w:rsidRPr="001157A5">
        <w:rPr>
          <w:rFonts w:ascii="Calibri" w:hAnsi="Calibri" w:cs="Calibri"/>
          <w:bCs/>
          <w:sz w:val="24"/>
          <w:szCs w:val="24"/>
        </w:rPr>
        <w:t xml:space="preserve"> L.). </w:t>
      </w:r>
      <w:r w:rsidRPr="00FE499F">
        <w:rPr>
          <w:rFonts w:ascii="Calibri" w:hAnsi="Calibri" w:cs="Calibri"/>
          <w:bCs/>
          <w:i/>
          <w:sz w:val="24"/>
          <w:szCs w:val="24"/>
        </w:rPr>
        <w:t>Plant and Soil</w:t>
      </w:r>
      <w:r w:rsidRPr="001157A5">
        <w:rPr>
          <w:rFonts w:ascii="Calibri" w:hAnsi="Calibri" w:cs="Calibri"/>
          <w:bCs/>
          <w:sz w:val="24"/>
          <w:szCs w:val="24"/>
        </w:rPr>
        <w:t xml:space="preserve">, 365, pp.175–190. </w:t>
      </w:r>
      <w:hyperlink r:id="rId16" w:history="1">
        <w:r w:rsidRPr="001157A5">
          <w:rPr>
            <w:rStyle w:val="Hyperlink"/>
            <w:rFonts w:ascii="Calibri" w:hAnsi="Calibri" w:cs="Calibri"/>
            <w:bCs/>
            <w:sz w:val="24"/>
            <w:szCs w:val="24"/>
          </w:rPr>
          <w:t>https://doi.org/10.1007/s11104-012-1343-3</w:t>
        </w:r>
      </w:hyperlink>
    </w:p>
    <w:p w14:paraId="0F6304C2"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Rilling, J.I., Acuña, J.J., Sadowsky, M.J. and Jorquera, M.A., 2020. Putative nitrogen-fixing bacteria associated with the rhizosphere and root </w:t>
      </w:r>
      <w:proofErr w:type="spellStart"/>
      <w:r w:rsidRPr="001157A5">
        <w:rPr>
          <w:rFonts w:ascii="Calibri" w:hAnsi="Calibri" w:cs="Calibri"/>
          <w:bCs/>
          <w:sz w:val="24"/>
          <w:szCs w:val="24"/>
        </w:rPr>
        <w:t>endosphere</w:t>
      </w:r>
      <w:proofErr w:type="spellEnd"/>
      <w:r w:rsidRPr="001157A5">
        <w:rPr>
          <w:rFonts w:ascii="Calibri" w:hAnsi="Calibri" w:cs="Calibri"/>
          <w:bCs/>
          <w:sz w:val="24"/>
          <w:szCs w:val="24"/>
        </w:rPr>
        <w:t xml:space="preserve"> of crop plants. </w:t>
      </w:r>
      <w:r w:rsidRPr="00F606C7">
        <w:rPr>
          <w:rFonts w:ascii="Calibri" w:hAnsi="Calibri" w:cs="Calibri"/>
          <w:bCs/>
          <w:i/>
          <w:sz w:val="24"/>
          <w:szCs w:val="24"/>
        </w:rPr>
        <w:t>Biology and Fertility of Soils</w:t>
      </w:r>
      <w:r w:rsidRPr="001157A5">
        <w:rPr>
          <w:rFonts w:ascii="Calibri" w:hAnsi="Calibri" w:cs="Calibri"/>
          <w:bCs/>
          <w:sz w:val="24"/>
          <w:szCs w:val="24"/>
        </w:rPr>
        <w:t xml:space="preserve">, 56, pp.491–502. </w:t>
      </w:r>
      <w:hyperlink r:id="rId17" w:history="1">
        <w:r w:rsidRPr="001157A5">
          <w:rPr>
            <w:rStyle w:val="Hyperlink"/>
            <w:rFonts w:ascii="Calibri" w:hAnsi="Calibri" w:cs="Calibri"/>
            <w:bCs/>
            <w:sz w:val="24"/>
            <w:szCs w:val="24"/>
          </w:rPr>
          <w:t>https://doi.org/10.1007/s00374-020-01428-0</w:t>
        </w:r>
      </w:hyperlink>
    </w:p>
    <w:p w14:paraId="64BA4D5B"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Saptana</w:t>
      </w:r>
      <w:proofErr w:type="spellEnd"/>
      <w:r w:rsidRPr="001157A5">
        <w:rPr>
          <w:rFonts w:ascii="Calibri" w:hAnsi="Calibri" w:cs="Calibri"/>
          <w:bCs/>
          <w:sz w:val="24"/>
          <w:szCs w:val="24"/>
        </w:rPr>
        <w:t xml:space="preserve">, Gunawan, E., </w:t>
      </w:r>
      <w:proofErr w:type="spellStart"/>
      <w:r w:rsidRPr="001157A5">
        <w:rPr>
          <w:rFonts w:ascii="Calibri" w:hAnsi="Calibri" w:cs="Calibri"/>
          <w:bCs/>
          <w:sz w:val="24"/>
          <w:szCs w:val="24"/>
        </w:rPr>
        <w:t>Perwita</w:t>
      </w:r>
      <w:proofErr w:type="spellEnd"/>
      <w:r w:rsidRPr="001157A5">
        <w:rPr>
          <w:rFonts w:ascii="Calibri" w:hAnsi="Calibri" w:cs="Calibri"/>
          <w:bCs/>
          <w:sz w:val="24"/>
          <w:szCs w:val="24"/>
        </w:rPr>
        <w:t xml:space="preserve">, A. D., </w:t>
      </w:r>
      <w:proofErr w:type="spellStart"/>
      <w:r w:rsidRPr="001157A5">
        <w:rPr>
          <w:rFonts w:ascii="Calibri" w:hAnsi="Calibri" w:cs="Calibri"/>
          <w:bCs/>
          <w:sz w:val="24"/>
          <w:szCs w:val="24"/>
        </w:rPr>
        <w:t>Sukmaya</w:t>
      </w:r>
      <w:proofErr w:type="spellEnd"/>
      <w:r w:rsidRPr="001157A5">
        <w:rPr>
          <w:rFonts w:ascii="Calibri" w:hAnsi="Calibri" w:cs="Calibri"/>
          <w:bCs/>
          <w:sz w:val="24"/>
          <w:szCs w:val="24"/>
        </w:rPr>
        <w:t>, S. G., Darwis,</w:t>
      </w:r>
      <w:r w:rsidR="00F606C7">
        <w:rPr>
          <w:rFonts w:ascii="Calibri" w:hAnsi="Calibri" w:cs="Calibri"/>
          <w:bCs/>
          <w:sz w:val="24"/>
          <w:szCs w:val="24"/>
        </w:rPr>
        <w:t xml:space="preserve"> V., </w:t>
      </w:r>
      <w:proofErr w:type="spellStart"/>
      <w:r w:rsidR="00F606C7">
        <w:rPr>
          <w:rFonts w:ascii="Calibri" w:hAnsi="Calibri" w:cs="Calibri"/>
          <w:bCs/>
          <w:sz w:val="24"/>
          <w:szCs w:val="24"/>
        </w:rPr>
        <w:t>Ariningsih</w:t>
      </w:r>
      <w:proofErr w:type="spellEnd"/>
      <w:r w:rsidR="00F606C7">
        <w:rPr>
          <w:rFonts w:ascii="Calibri" w:hAnsi="Calibri" w:cs="Calibri"/>
          <w:bCs/>
          <w:sz w:val="24"/>
          <w:szCs w:val="24"/>
        </w:rPr>
        <w:t xml:space="preserve">, E., &amp; Ashari. </w:t>
      </w:r>
      <w:r w:rsidRPr="001157A5">
        <w:rPr>
          <w:rFonts w:ascii="Calibri" w:hAnsi="Calibri" w:cs="Calibri"/>
          <w:bCs/>
          <w:sz w:val="24"/>
          <w:szCs w:val="24"/>
        </w:rPr>
        <w:t xml:space="preserve">2021. The competitiveness analysis of shallot in Indonesia: A Policy Analysis Matrix. </w:t>
      </w:r>
      <w:proofErr w:type="spellStart"/>
      <w:r w:rsidRPr="001157A5">
        <w:rPr>
          <w:rFonts w:ascii="Calibri" w:hAnsi="Calibri" w:cs="Calibri"/>
          <w:bCs/>
          <w:i/>
          <w:iCs/>
          <w:sz w:val="24"/>
          <w:szCs w:val="24"/>
        </w:rPr>
        <w:t>Plos</w:t>
      </w:r>
      <w:proofErr w:type="spellEnd"/>
      <w:r w:rsidRPr="001157A5">
        <w:rPr>
          <w:rFonts w:ascii="Calibri" w:hAnsi="Calibri" w:cs="Calibri"/>
          <w:bCs/>
          <w:i/>
          <w:iCs/>
          <w:sz w:val="24"/>
          <w:szCs w:val="24"/>
        </w:rPr>
        <w:t xml:space="preserve"> one</w:t>
      </w:r>
      <w:r w:rsidRPr="001157A5">
        <w:rPr>
          <w:rFonts w:ascii="Calibri" w:hAnsi="Calibri" w:cs="Calibri"/>
          <w:bCs/>
          <w:sz w:val="24"/>
          <w:szCs w:val="24"/>
        </w:rPr>
        <w:t xml:space="preserve">, </w:t>
      </w:r>
      <w:r w:rsidRPr="001157A5">
        <w:rPr>
          <w:rFonts w:ascii="Calibri" w:hAnsi="Calibri" w:cs="Calibri"/>
          <w:bCs/>
          <w:i/>
          <w:iCs/>
          <w:sz w:val="24"/>
          <w:szCs w:val="24"/>
        </w:rPr>
        <w:t>16</w:t>
      </w:r>
      <w:r w:rsidRPr="001157A5">
        <w:rPr>
          <w:rFonts w:ascii="Calibri" w:hAnsi="Calibri" w:cs="Calibri"/>
          <w:bCs/>
          <w:sz w:val="24"/>
          <w:szCs w:val="24"/>
        </w:rPr>
        <w:t>(9), e0256832.</w:t>
      </w:r>
    </w:p>
    <w:p w14:paraId="5A3695D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Sharma, A., </w:t>
      </w:r>
      <w:proofErr w:type="spellStart"/>
      <w:r w:rsidRPr="001157A5">
        <w:rPr>
          <w:rFonts w:ascii="Calibri" w:hAnsi="Calibri" w:cs="Calibri"/>
          <w:bCs/>
          <w:sz w:val="24"/>
          <w:szCs w:val="24"/>
        </w:rPr>
        <w:t>Shan</w:t>
      </w:r>
      <w:r w:rsidR="00A66B83">
        <w:rPr>
          <w:rFonts w:ascii="Calibri" w:hAnsi="Calibri" w:cs="Calibri"/>
          <w:bCs/>
          <w:sz w:val="24"/>
          <w:szCs w:val="24"/>
        </w:rPr>
        <w:t>khdhar</w:t>
      </w:r>
      <w:proofErr w:type="spellEnd"/>
      <w:r w:rsidR="00A66B83">
        <w:rPr>
          <w:rFonts w:ascii="Calibri" w:hAnsi="Calibri" w:cs="Calibri"/>
          <w:bCs/>
          <w:sz w:val="24"/>
          <w:szCs w:val="24"/>
        </w:rPr>
        <w:t xml:space="preserve">, D. and </w:t>
      </w:r>
      <w:proofErr w:type="spellStart"/>
      <w:r w:rsidR="00A66B83">
        <w:rPr>
          <w:rFonts w:ascii="Calibri" w:hAnsi="Calibri" w:cs="Calibri"/>
          <w:bCs/>
          <w:sz w:val="24"/>
          <w:szCs w:val="24"/>
        </w:rPr>
        <w:t>Shankhdhar</w:t>
      </w:r>
      <w:proofErr w:type="spellEnd"/>
      <w:r w:rsidR="00A66B83">
        <w:rPr>
          <w:rFonts w:ascii="Calibri" w:hAnsi="Calibri" w:cs="Calibri"/>
          <w:bCs/>
          <w:sz w:val="24"/>
          <w:szCs w:val="24"/>
        </w:rPr>
        <w:t>, S.C.</w:t>
      </w:r>
      <w:r w:rsidRPr="001157A5">
        <w:rPr>
          <w:rFonts w:ascii="Calibri" w:hAnsi="Calibri" w:cs="Calibri"/>
          <w:bCs/>
          <w:sz w:val="24"/>
          <w:szCs w:val="24"/>
        </w:rPr>
        <w:t xml:space="preserve"> 2021. Plant growth promoting microbes for sustainable food production. </w:t>
      </w:r>
      <w:r w:rsidRPr="00A66B83">
        <w:rPr>
          <w:rFonts w:ascii="Calibri" w:hAnsi="Calibri" w:cs="Calibri"/>
          <w:bCs/>
          <w:i/>
          <w:sz w:val="24"/>
          <w:szCs w:val="24"/>
        </w:rPr>
        <w:t>Frontiers in Microbiology</w:t>
      </w:r>
      <w:r w:rsidRPr="001157A5">
        <w:rPr>
          <w:rFonts w:ascii="Calibri" w:hAnsi="Calibri" w:cs="Calibri"/>
          <w:bCs/>
          <w:sz w:val="24"/>
          <w:szCs w:val="24"/>
        </w:rPr>
        <w:t xml:space="preserve">, 12, p.697974. </w:t>
      </w:r>
      <w:hyperlink r:id="rId18" w:history="1">
        <w:r w:rsidRPr="001157A5">
          <w:rPr>
            <w:rStyle w:val="Hyperlink"/>
            <w:rFonts w:ascii="Calibri" w:hAnsi="Calibri" w:cs="Calibri"/>
            <w:bCs/>
            <w:sz w:val="24"/>
            <w:szCs w:val="24"/>
          </w:rPr>
          <w:t>https://doi.org/10.3389/fmicb.2021.697974</w:t>
        </w:r>
      </w:hyperlink>
    </w:p>
    <w:p w14:paraId="7B1E532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Sharma, S.B., Sayyed, R.Z</w:t>
      </w:r>
      <w:r w:rsidR="00DA2C08">
        <w:rPr>
          <w:rFonts w:ascii="Calibri" w:hAnsi="Calibri" w:cs="Calibri"/>
          <w:bCs/>
          <w:sz w:val="24"/>
          <w:szCs w:val="24"/>
        </w:rPr>
        <w:t>., Trivedi, M.H. and Gobi, T.A.</w:t>
      </w:r>
      <w:r w:rsidRPr="001157A5">
        <w:rPr>
          <w:rFonts w:ascii="Calibri" w:hAnsi="Calibri" w:cs="Calibri"/>
          <w:bCs/>
          <w:sz w:val="24"/>
          <w:szCs w:val="24"/>
        </w:rPr>
        <w:t xml:space="preserve"> 2013. Phosphate solubilizing microbes: Sustainable approach for managing phosphorus deficiency in agricultural soils. </w:t>
      </w:r>
      <w:proofErr w:type="spellStart"/>
      <w:r w:rsidRPr="00DA2C08">
        <w:rPr>
          <w:rFonts w:ascii="Calibri" w:hAnsi="Calibri" w:cs="Calibri"/>
          <w:bCs/>
          <w:i/>
          <w:sz w:val="24"/>
          <w:szCs w:val="24"/>
        </w:rPr>
        <w:t>SpringerPlus</w:t>
      </w:r>
      <w:proofErr w:type="spellEnd"/>
      <w:r w:rsidRPr="001157A5">
        <w:rPr>
          <w:rFonts w:ascii="Calibri" w:hAnsi="Calibri" w:cs="Calibri"/>
          <w:bCs/>
          <w:sz w:val="24"/>
          <w:szCs w:val="24"/>
        </w:rPr>
        <w:t xml:space="preserve">, 2, p.587. </w:t>
      </w:r>
      <w:hyperlink r:id="rId19" w:history="1">
        <w:r w:rsidRPr="001157A5">
          <w:rPr>
            <w:rStyle w:val="Hyperlink"/>
            <w:rFonts w:ascii="Calibri" w:hAnsi="Calibri" w:cs="Calibri"/>
            <w:bCs/>
            <w:sz w:val="24"/>
            <w:szCs w:val="24"/>
          </w:rPr>
          <w:t>https://doi.org/10.1186/2193-1801-2-587</w:t>
        </w:r>
      </w:hyperlink>
    </w:p>
    <w:p w14:paraId="556821E2"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Spaepen</w:t>
      </w:r>
      <w:proofErr w:type="spellEnd"/>
      <w:r w:rsidRPr="001157A5">
        <w:rPr>
          <w:rFonts w:ascii="Calibri" w:hAnsi="Calibri" w:cs="Calibri"/>
          <w:bCs/>
          <w:sz w:val="24"/>
          <w:szCs w:val="24"/>
        </w:rPr>
        <w:t xml:space="preserve">, S., </w:t>
      </w:r>
      <w:proofErr w:type="spellStart"/>
      <w:r w:rsidR="00DA2C08">
        <w:rPr>
          <w:rFonts w:ascii="Calibri" w:hAnsi="Calibri" w:cs="Calibri"/>
          <w:bCs/>
          <w:sz w:val="24"/>
          <w:szCs w:val="24"/>
        </w:rPr>
        <w:t>Vanderleyden</w:t>
      </w:r>
      <w:proofErr w:type="spellEnd"/>
      <w:r w:rsidR="00DA2C08">
        <w:rPr>
          <w:rFonts w:ascii="Calibri" w:hAnsi="Calibri" w:cs="Calibri"/>
          <w:bCs/>
          <w:sz w:val="24"/>
          <w:szCs w:val="24"/>
        </w:rPr>
        <w:t>, J. and Remans, R.</w:t>
      </w:r>
      <w:r w:rsidRPr="001157A5">
        <w:rPr>
          <w:rFonts w:ascii="Calibri" w:hAnsi="Calibri" w:cs="Calibri"/>
          <w:bCs/>
          <w:sz w:val="24"/>
          <w:szCs w:val="24"/>
        </w:rPr>
        <w:t xml:space="preserve"> 2014. Indole-3-acetic acid in microbial and microorganism-plant signaling. </w:t>
      </w:r>
      <w:r w:rsidRPr="00DA2C08">
        <w:rPr>
          <w:rFonts w:ascii="Calibri" w:hAnsi="Calibri" w:cs="Calibri"/>
          <w:bCs/>
          <w:i/>
          <w:sz w:val="24"/>
          <w:szCs w:val="24"/>
        </w:rPr>
        <w:t>FEMS Microbiology Reviews</w:t>
      </w:r>
      <w:r w:rsidRPr="001157A5">
        <w:rPr>
          <w:rFonts w:ascii="Calibri" w:hAnsi="Calibri" w:cs="Calibri"/>
          <w:bCs/>
          <w:sz w:val="24"/>
          <w:szCs w:val="24"/>
        </w:rPr>
        <w:t>, 38(4), pp.509–530.</w:t>
      </w:r>
      <w:hyperlink r:id="rId20" w:history="1">
        <w:r w:rsidRPr="001157A5">
          <w:rPr>
            <w:rStyle w:val="Hyperlink"/>
            <w:rFonts w:ascii="Calibri" w:hAnsi="Calibri" w:cs="Calibri"/>
            <w:bCs/>
            <w:sz w:val="24"/>
            <w:szCs w:val="24"/>
          </w:rPr>
          <w:t xml:space="preserve"> https://doi.org/10.1111/1574-6976.12044</w:t>
        </w:r>
      </w:hyperlink>
    </w:p>
    <w:p w14:paraId="16E8AF8C"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lastRenderedPageBreak/>
        <w:t xml:space="preserve">Szymańska, S., </w:t>
      </w:r>
      <w:proofErr w:type="spellStart"/>
      <w:r w:rsidRPr="001157A5">
        <w:rPr>
          <w:rFonts w:ascii="Calibri" w:hAnsi="Calibri" w:cs="Calibri"/>
          <w:bCs/>
          <w:sz w:val="24"/>
          <w:szCs w:val="24"/>
        </w:rPr>
        <w:t>Płocinicz</w:t>
      </w:r>
      <w:r w:rsidR="005073D0">
        <w:rPr>
          <w:rFonts w:ascii="Calibri" w:hAnsi="Calibri" w:cs="Calibri"/>
          <w:bCs/>
          <w:sz w:val="24"/>
          <w:szCs w:val="24"/>
        </w:rPr>
        <w:t>ak</w:t>
      </w:r>
      <w:proofErr w:type="spellEnd"/>
      <w:r w:rsidR="005073D0">
        <w:rPr>
          <w:rFonts w:ascii="Calibri" w:hAnsi="Calibri" w:cs="Calibri"/>
          <w:bCs/>
          <w:sz w:val="24"/>
          <w:szCs w:val="24"/>
        </w:rPr>
        <w:t>, T. and Piotrowska-</w:t>
      </w:r>
      <w:proofErr w:type="spellStart"/>
      <w:r w:rsidR="005073D0">
        <w:rPr>
          <w:rFonts w:ascii="Calibri" w:hAnsi="Calibri" w:cs="Calibri"/>
          <w:bCs/>
          <w:sz w:val="24"/>
          <w:szCs w:val="24"/>
        </w:rPr>
        <w:t>Seget</w:t>
      </w:r>
      <w:proofErr w:type="spellEnd"/>
      <w:r w:rsidR="005073D0">
        <w:rPr>
          <w:rFonts w:ascii="Calibri" w:hAnsi="Calibri" w:cs="Calibri"/>
          <w:bCs/>
          <w:sz w:val="24"/>
          <w:szCs w:val="24"/>
        </w:rPr>
        <w:t>, Z.</w:t>
      </w:r>
      <w:r w:rsidRPr="001157A5">
        <w:rPr>
          <w:rFonts w:ascii="Calibri" w:hAnsi="Calibri" w:cs="Calibri"/>
          <w:bCs/>
          <w:sz w:val="24"/>
          <w:szCs w:val="24"/>
        </w:rPr>
        <w:t xml:space="preserve"> 2020. Adaptation of soil bacteria to salinity stress by </w:t>
      </w:r>
      <w:proofErr w:type="spellStart"/>
      <w:r w:rsidRPr="001157A5">
        <w:rPr>
          <w:rFonts w:ascii="Calibri" w:hAnsi="Calibri" w:cs="Calibri"/>
          <w:bCs/>
          <w:sz w:val="24"/>
          <w:szCs w:val="24"/>
        </w:rPr>
        <w:t>osmoprotectant</w:t>
      </w:r>
      <w:proofErr w:type="spellEnd"/>
      <w:r w:rsidRPr="001157A5">
        <w:rPr>
          <w:rFonts w:ascii="Calibri" w:hAnsi="Calibri" w:cs="Calibri"/>
          <w:bCs/>
          <w:sz w:val="24"/>
          <w:szCs w:val="24"/>
        </w:rPr>
        <w:t xml:space="preserve"> production and its role in plant growth promotion. </w:t>
      </w:r>
      <w:r w:rsidRPr="005073D0">
        <w:rPr>
          <w:rFonts w:ascii="Calibri" w:hAnsi="Calibri" w:cs="Calibri"/>
          <w:bCs/>
          <w:i/>
          <w:sz w:val="24"/>
          <w:szCs w:val="24"/>
        </w:rPr>
        <w:t>Applied Soil Ecology</w:t>
      </w:r>
      <w:r w:rsidRPr="001157A5">
        <w:rPr>
          <w:rFonts w:ascii="Calibri" w:hAnsi="Calibri" w:cs="Calibri"/>
          <w:bCs/>
          <w:sz w:val="24"/>
          <w:szCs w:val="24"/>
        </w:rPr>
        <w:t xml:space="preserve">, 147, p.103365. </w:t>
      </w:r>
      <w:hyperlink r:id="rId21" w:history="1">
        <w:r w:rsidRPr="001157A5">
          <w:rPr>
            <w:rStyle w:val="Hyperlink"/>
            <w:rFonts w:ascii="Calibri" w:hAnsi="Calibri" w:cs="Calibri"/>
            <w:bCs/>
            <w:sz w:val="24"/>
            <w:szCs w:val="24"/>
          </w:rPr>
          <w:t>https://doi.org/10.1016/j.apsoil.2019.103365</w:t>
        </w:r>
      </w:hyperlink>
    </w:p>
    <w:p w14:paraId="77A35C88"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Trisnanings</w:t>
      </w:r>
      <w:r w:rsidR="003119BE">
        <w:rPr>
          <w:rFonts w:ascii="Calibri" w:hAnsi="Calibri" w:cs="Calibri"/>
          <w:bCs/>
          <w:sz w:val="24"/>
          <w:szCs w:val="24"/>
        </w:rPr>
        <w:t>ih</w:t>
      </w:r>
      <w:proofErr w:type="spellEnd"/>
      <w:r w:rsidR="003119BE">
        <w:rPr>
          <w:rFonts w:ascii="Calibri" w:hAnsi="Calibri" w:cs="Calibri"/>
          <w:bCs/>
          <w:sz w:val="24"/>
          <w:szCs w:val="24"/>
        </w:rPr>
        <w:t xml:space="preserve">, U., </w:t>
      </w:r>
      <w:proofErr w:type="spellStart"/>
      <w:r w:rsidR="003119BE">
        <w:rPr>
          <w:rFonts w:ascii="Calibri" w:hAnsi="Calibri" w:cs="Calibri"/>
          <w:bCs/>
          <w:sz w:val="24"/>
          <w:szCs w:val="24"/>
        </w:rPr>
        <w:t>Sidik</w:t>
      </w:r>
      <w:proofErr w:type="spellEnd"/>
      <w:r w:rsidR="003119BE">
        <w:rPr>
          <w:rFonts w:ascii="Calibri" w:hAnsi="Calibri" w:cs="Calibri"/>
          <w:bCs/>
          <w:sz w:val="24"/>
          <w:szCs w:val="24"/>
        </w:rPr>
        <w:t xml:space="preserve">, J., &amp; Saleh, I. </w:t>
      </w:r>
      <w:r w:rsidRPr="001157A5">
        <w:rPr>
          <w:rFonts w:ascii="Calibri" w:hAnsi="Calibri" w:cs="Calibri"/>
          <w:bCs/>
          <w:sz w:val="24"/>
          <w:szCs w:val="24"/>
        </w:rPr>
        <w:t>2023. The Response of Shallot (</w:t>
      </w:r>
      <w:r w:rsidRPr="003119BE">
        <w:rPr>
          <w:rFonts w:ascii="Calibri" w:hAnsi="Calibri" w:cs="Calibri"/>
          <w:bCs/>
          <w:i/>
          <w:sz w:val="24"/>
          <w:szCs w:val="24"/>
        </w:rPr>
        <w:t>Allium ascalonicum</w:t>
      </w:r>
      <w:r w:rsidRPr="001157A5">
        <w:rPr>
          <w:rFonts w:ascii="Calibri" w:hAnsi="Calibri" w:cs="Calibri"/>
          <w:bCs/>
          <w:sz w:val="24"/>
          <w:szCs w:val="24"/>
        </w:rPr>
        <w:t xml:space="preserve">) to Salinity Stress. </w:t>
      </w:r>
      <w:proofErr w:type="spellStart"/>
      <w:r w:rsidRPr="001157A5">
        <w:rPr>
          <w:rFonts w:ascii="Calibri" w:hAnsi="Calibri" w:cs="Calibri"/>
          <w:bCs/>
          <w:i/>
          <w:iCs/>
          <w:sz w:val="24"/>
          <w:szCs w:val="24"/>
        </w:rPr>
        <w:t>Jurnal</w:t>
      </w:r>
      <w:proofErr w:type="spellEnd"/>
      <w:r w:rsidRPr="001157A5">
        <w:rPr>
          <w:rFonts w:ascii="Calibri" w:hAnsi="Calibri" w:cs="Calibri"/>
          <w:bCs/>
          <w:i/>
          <w:iCs/>
          <w:sz w:val="24"/>
          <w:szCs w:val="24"/>
        </w:rPr>
        <w:t xml:space="preserve"> </w:t>
      </w:r>
      <w:proofErr w:type="spellStart"/>
      <w:r w:rsidRPr="001157A5">
        <w:rPr>
          <w:rFonts w:ascii="Calibri" w:hAnsi="Calibri" w:cs="Calibri"/>
          <w:bCs/>
          <w:i/>
          <w:iCs/>
          <w:sz w:val="24"/>
          <w:szCs w:val="24"/>
        </w:rPr>
        <w:t>Agrosci</w:t>
      </w:r>
      <w:proofErr w:type="spellEnd"/>
      <w:r w:rsidRPr="001157A5">
        <w:rPr>
          <w:rFonts w:ascii="Calibri" w:hAnsi="Calibri" w:cs="Calibri"/>
          <w:bCs/>
          <w:sz w:val="24"/>
          <w:szCs w:val="24"/>
        </w:rPr>
        <w:t xml:space="preserve">, </w:t>
      </w:r>
      <w:r w:rsidRPr="001157A5">
        <w:rPr>
          <w:rFonts w:ascii="Calibri" w:hAnsi="Calibri" w:cs="Calibri"/>
          <w:bCs/>
          <w:i/>
          <w:iCs/>
          <w:sz w:val="24"/>
          <w:szCs w:val="24"/>
        </w:rPr>
        <w:t>1</w:t>
      </w:r>
      <w:r w:rsidRPr="001157A5">
        <w:rPr>
          <w:rFonts w:ascii="Calibri" w:hAnsi="Calibri" w:cs="Calibri"/>
          <w:bCs/>
          <w:sz w:val="24"/>
          <w:szCs w:val="24"/>
        </w:rPr>
        <w:t>(2), 86-93.</w:t>
      </w:r>
    </w:p>
    <w:p w14:paraId="5121C2F8"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Upadhyay, S.</w:t>
      </w:r>
      <w:r w:rsidR="003119BE">
        <w:rPr>
          <w:rFonts w:ascii="Calibri" w:hAnsi="Calibri" w:cs="Calibri"/>
          <w:bCs/>
          <w:sz w:val="24"/>
          <w:szCs w:val="24"/>
        </w:rPr>
        <w:t>K., Singh, J.S. and Singh, D.P.</w:t>
      </w:r>
      <w:r w:rsidRPr="001157A5">
        <w:rPr>
          <w:rFonts w:ascii="Calibri" w:hAnsi="Calibri" w:cs="Calibri"/>
          <w:bCs/>
          <w:sz w:val="24"/>
          <w:szCs w:val="24"/>
        </w:rPr>
        <w:t xml:space="preserve"> 2011. Exopolysaccharide-producing plant growth-promoting rhizobacteria under salinity condition. </w:t>
      </w:r>
      <w:r w:rsidRPr="003119BE">
        <w:rPr>
          <w:rFonts w:ascii="Calibri" w:hAnsi="Calibri" w:cs="Calibri"/>
          <w:bCs/>
          <w:i/>
          <w:sz w:val="24"/>
          <w:szCs w:val="24"/>
        </w:rPr>
        <w:t>Pedosphere</w:t>
      </w:r>
      <w:r w:rsidRPr="001157A5">
        <w:rPr>
          <w:rFonts w:ascii="Calibri" w:hAnsi="Calibri" w:cs="Calibri"/>
          <w:bCs/>
          <w:sz w:val="24"/>
          <w:szCs w:val="24"/>
        </w:rPr>
        <w:t>, 21(2), pp.214-222.</w:t>
      </w:r>
    </w:p>
    <w:p w14:paraId="17417DC9"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Vacheron, J., Desbrosses, G., </w:t>
      </w:r>
      <w:proofErr w:type="spellStart"/>
      <w:r w:rsidRPr="001157A5">
        <w:rPr>
          <w:rFonts w:ascii="Calibri" w:hAnsi="Calibri" w:cs="Calibri"/>
          <w:bCs/>
          <w:sz w:val="24"/>
          <w:szCs w:val="24"/>
        </w:rPr>
        <w:t>Bouffaud</w:t>
      </w:r>
      <w:proofErr w:type="spellEnd"/>
      <w:r w:rsidRPr="001157A5">
        <w:rPr>
          <w:rFonts w:ascii="Calibri" w:hAnsi="Calibri" w:cs="Calibri"/>
          <w:bCs/>
          <w:sz w:val="24"/>
          <w:szCs w:val="24"/>
        </w:rPr>
        <w:t xml:space="preserve">, M.L., Touraine, B., </w:t>
      </w:r>
      <w:proofErr w:type="spellStart"/>
      <w:r w:rsidRPr="001157A5">
        <w:rPr>
          <w:rFonts w:ascii="Calibri" w:hAnsi="Calibri" w:cs="Calibri"/>
          <w:bCs/>
          <w:sz w:val="24"/>
          <w:szCs w:val="24"/>
        </w:rPr>
        <w:t>Moënn</w:t>
      </w:r>
      <w:r w:rsidR="008F73E4">
        <w:rPr>
          <w:rFonts w:ascii="Calibri" w:hAnsi="Calibri" w:cs="Calibri"/>
          <w:bCs/>
          <w:sz w:val="24"/>
          <w:szCs w:val="24"/>
        </w:rPr>
        <w:t>e-Loccoz</w:t>
      </w:r>
      <w:proofErr w:type="spellEnd"/>
      <w:r w:rsidR="008F73E4">
        <w:rPr>
          <w:rFonts w:ascii="Calibri" w:hAnsi="Calibri" w:cs="Calibri"/>
          <w:bCs/>
          <w:sz w:val="24"/>
          <w:szCs w:val="24"/>
        </w:rPr>
        <w:t>, Y., Muller, D. et al.</w:t>
      </w:r>
      <w:r w:rsidRPr="001157A5">
        <w:rPr>
          <w:rFonts w:ascii="Calibri" w:hAnsi="Calibri" w:cs="Calibri"/>
          <w:bCs/>
          <w:sz w:val="24"/>
          <w:szCs w:val="24"/>
        </w:rPr>
        <w:t xml:space="preserve"> 2013. Plant growth-promoting rhizobacteria and root system functioning. </w:t>
      </w:r>
      <w:r w:rsidRPr="008F73E4">
        <w:rPr>
          <w:rFonts w:ascii="Calibri" w:hAnsi="Calibri" w:cs="Calibri"/>
          <w:bCs/>
          <w:i/>
          <w:sz w:val="24"/>
          <w:szCs w:val="24"/>
        </w:rPr>
        <w:t>Frontiers in Plant Science</w:t>
      </w:r>
      <w:r w:rsidRPr="001157A5">
        <w:rPr>
          <w:rFonts w:ascii="Calibri" w:hAnsi="Calibri" w:cs="Calibri"/>
          <w:bCs/>
          <w:sz w:val="24"/>
          <w:szCs w:val="24"/>
        </w:rPr>
        <w:t xml:space="preserve">, 4, p.356. </w:t>
      </w:r>
      <w:hyperlink r:id="rId22" w:history="1">
        <w:r w:rsidRPr="001157A5">
          <w:rPr>
            <w:rStyle w:val="Hyperlink"/>
            <w:rFonts w:ascii="Calibri" w:hAnsi="Calibri" w:cs="Calibri"/>
            <w:bCs/>
            <w:sz w:val="24"/>
            <w:szCs w:val="24"/>
          </w:rPr>
          <w:t>https://doi.org/10.3389/fpls.2013.00356</w:t>
        </w:r>
      </w:hyperlink>
    </w:p>
    <w:p w14:paraId="46834BC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Zaidi, A., Khan, M.S., Ahem</w:t>
      </w:r>
      <w:r w:rsidR="004C3B31">
        <w:rPr>
          <w:rFonts w:ascii="Calibri" w:hAnsi="Calibri" w:cs="Calibri"/>
          <w:bCs/>
          <w:sz w:val="24"/>
          <w:szCs w:val="24"/>
        </w:rPr>
        <w:t>ad, M., Oves, M. and Wani, P.A.</w:t>
      </w:r>
      <w:r w:rsidRPr="001157A5">
        <w:rPr>
          <w:rFonts w:ascii="Calibri" w:hAnsi="Calibri" w:cs="Calibri"/>
          <w:bCs/>
          <w:sz w:val="24"/>
          <w:szCs w:val="24"/>
        </w:rPr>
        <w:t xml:space="preserve"> 2016. Recent advances in plant growth promotion by phosphate-solubilizing microbes. In: D.P. Singh, H.B. Singh and R. Prabha, eds. Microbial strategies for crop improvement. </w:t>
      </w:r>
      <w:r w:rsidRPr="004C3B31">
        <w:rPr>
          <w:rFonts w:ascii="Calibri" w:hAnsi="Calibri" w:cs="Calibri"/>
          <w:bCs/>
          <w:i/>
          <w:sz w:val="24"/>
          <w:szCs w:val="24"/>
        </w:rPr>
        <w:t>Cham: Springer</w:t>
      </w:r>
      <w:r w:rsidRPr="001157A5">
        <w:rPr>
          <w:rFonts w:ascii="Calibri" w:hAnsi="Calibri" w:cs="Calibri"/>
          <w:bCs/>
          <w:sz w:val="24"/>
          <w:szCs w:val="24"/>
        </w:rPr>
        <w:t>, pp.23–50. https://doi.org/10.1007/978-3-662-49370-0_2</w:t>
      </w:r>
    </w:p>
    <w:p w14:paraId="35FE0CBF" w14:textId="77777777" w:rsidR="001157A5" w:rsidRPr="001157A5" w:rsidRDefault="001157A5" w:rsidP="001157A5">
      <w:pPr>
        <w:jc w:val="both"/>
        <w:rPr>
          <w:rFonts w:ascii="Calibri" w:hAnsi="Calibri" w:cs="Calibri"/>
          <w:bCs/>
          <w:sz w:val="24"/>
          <w:szCs w:val="24"/>
        </w:rPr>
      </w:pPr>
    </w:p>
    <w:p w14:paraId="6E3BC8DC" w14:textId="77777777" w:rsidR="0047411E" w:rsidRPr="008F6D65" w:rsidRDefault="0047411E" w:rsidP="0047411E">
      <w:pPr>
        <w:jc w:val="both"/>
        <w:rPr>
          <w:rFonts w:ascii="Calibri" w:hAnsi="Calibri" w:cs="Calibri"/>
          <w:bCs/>
          <w:sz w:val="24"/>
          <w:szCs w:val="24"/>
        </w:rPr>
      </w:pPr>
    </w:p>
    <w:p w14:paraId="06959916" w14:textId="77777777" w:rsidR="00C01479" w:rsidRDefault="00C01479" w:rsidP="00392819">
      <w:pPr>
        <w:rPr>
          <w:rFonts w:ascii="Calibri" w:hAnsi="Calibri" w:cs="Calibri"/>
          <w:b/>
          <w:bCs/>
          <w:sz w:val="24"/>
          <w:szCs w:val="24"/>
        </w:rPr>
      </w:pPr>
    </w:p>
    <w:p w14:paraId="341E8988" w14:textId="77777777" w:rsidR="00BB6F91" w:rsidRPr="00EA6582" w:rsidRDefault="00BB6F91" w:rsidP="00997293">
      <w:pPr>
        <w:rPr>
          <w:rFonts w:ascii="Calibri" w:hAnsi="Calibri" w:cs="Calibri"/>
          <w:b/>
          <w:bCs/>
          <w:sz w:val="24"/>
          <w:szCs w:val="24"/>
        </w:rPr>
      </w:pPr>
    </w:p>
    <w:sectPr w:rsidR="00BB6F91" w:rsidRPr="00EA6582" w:rsidSect="00997293">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19B6" w14:textId="77777777" w:rsidR="0098193C" w:rsidRDefault="0098193C" w:rsidP="00103A43">
      <w:pPr>
        <w:spacing w:after="0" w:line="240" w:lineRule="auto"/>
      </w:pPr>
      <w:r>
        <w:separator/>
      </w:r>
    </w:p>
  </w:endnote>
  <w:endnote w:type="continuationSeparator" w:id="0">
    <w:p w14:paraId="17B1F666" w14:textId="77777777" w:rsidR="0098193C" w:rsidRDefault="0098193C" w:rsidP="0010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8DA0" w14:textId="77777777" w:rsidR="00F649E0" w:rsidRDefault="00F64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530274"/>
      <w:docPartObj>
        <w:docPartGallery w:val="Page Numbers (Bottom of Page)"/>
        <w:docPartUnique/>
      </w:docPartObj>
    </w:sdtPr>
    <w:sdtEndPr>
      <w:rPr>
        <w:noProof/>
      </w:rPr>
    </w:sdtEndPr>
    <w:sdtContent>
      <w:p w14:paraId="4227E26F" w14:textId="77777777" w:rsidR="00103A43" w:rsidRDefault="00103A43">
        <w:pPr>
          <w:pStyle w:val="Footer"/>
          <w:jc w:val="center"/>
        </w:pPr>
        <w:r>
          <w:fldChar w:fldCharType="begin"/>
        </w:r>
        <w:r>
          <w:instrText xml:space="preserve"> PAGE   \* MERGEFORMAT </w:instrText>
        </w:r>
        <w:r>
          <w:fldChar w:fldCharType="separate"/>
        </w:r>
        <w:r w:rsidR="0060429F">
          <w:rPr>
            <w:noProof/>
          </w:rPr>
          <w:t>12</w:t>
        </w:r>
        <w:r>
          <w:rPr>
            <w:noProof/>
          </w:rPr>
          <w:fldChar w:fldCharType="end"/>
        </w:r>
      </w:p>
    </w:sdtContent>
  </w:sdt>
  <w:p w14:paraId="0F269950" w14:textId="77777777" w:rsidR="00103A43" w:rsidRDefault="0010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F6CE" w14:textId="77777777" w:rsidR="00F649E0" w:rsidRDefault="00F6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D005" w14:textId="77777777" w:rsidR="0098193C" w:rsidRDefault="0098193C" w:rsidP="00103A43">
      <w:pPr>
        <w:spacing w:after="0" w:line="240" w:lineRule="auto"/>
      </w:pPr>
      <w:r>
        <w:separator/>
      </w:r>
    </w:p>
  </w:footnote>
  <w:footnote w:type="continuationSeparator" w:id="0">
    <w:p w14:paraId="0425867B" w14:textId="77777777" w:rsidR="0098193C" w:rsidRDefault="0098193C" w:rsidP="0010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C606" w14:textId="40678EB8" w:rsidR="00F649E0" w:rsidRDefault="00F649E0">
    <w:pPr>
      <w:pStyle w:val="Header"/>
    </w:pPr>
    <w:r>
      <w:rPr>
        <w:noProof/>
      </w:rPr>
      <w:pict w14:anchorId="0FF4E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2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AC6B" w14:textId="47277771" w:rsidR="00F649E0" w:rsidRDefault="00F649E0">
    <w:pPr>
      <w:pStyle w:val="Header"/>
    </w:pPr>
    <w:r>
      <w:rPr>
        <w:noProof/>
      </w:rPr>
      <w:pict w14:anchorId="14DB9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2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6E7F" w14:textId="3F9FB03C" w:rsidR="00F649E0" w:rsidRDefault="00F649E0">
    <w:pPr>
      <w:pStyle w:val="Header"/>
    </w:pPr>
    <w:r>
      <w:rPr>
        <w:noProof/>
      </w:rPr>
      <w:pict w14:anchorId="26CDC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2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74"/>
    <w:rsid w:val="00021C62"/>
    <w:rsid w:val="000864B8"/>
    <w:rsid w:val="000B41A7"/>
    <w:rsid w:val="000C67C3"/>
    <w:rsid w:val="000E0280"/>
    <w:rsid w:val="00103A43"/>
    <w:rsid w:val="001157A5"/>
    <w:rsid w:val="001203B8"/>
    <w:rsid w:val="00140B38"/>
    <w:rsid w:val="00183C7C"/>
    <w:rsid w:val="00193FD5"/>
    <w:rsid w:val="001A238C"/>
    <w:rsid w:val="0021171B"/>
    <w:rsid w:val="00241689"/>
    <w:rsid w:val="00254B6A"/>
    <w:rsid w:val="00281B98"/>
    <w:rsid w:val="002D1672"/>
    <w:rsid w:val="002E3B74"/>
    <w:rsid w:val="002F6847"/>
    <w:rsid w:val="003119BE"/>
    <w:rsid w:val="0033769B"/>
    <w:rsid w:val="00392819"/>
    <w:rsid w:val="00396B55"/>
    <w:rsid w:val="003A641F"/>
    <w:rsid w:val="003B4644"/>
    <w:rsid w:val="00445D06"/>
    <w:rsid w:val="00460BB7"/>
    <w:rsid w:val="0047411E"/>
    <w:rsid w:val="0049432E"/>
    <w:rsid w:val="004A3378"/>
    <w:rsid w:val="004C3B31"/>
    <w:rsid w:val="004D6005"/>
    <w:rsid w:val="004E1DBD"/>
    <w:rsid w:val="005069B1"/>
    <w:rsid w:val="005073D0"/>
    <w:rsid w:val="005B7EE7"/>
    <w:rsid w:val="005D4374"/>
    <w:rsid w:val="005E7443"/>
    <w:rsid w:val="0060429F"/>
    <w:rsid w:val="006137E2"/>
    <w:rsid w:val="006B0138"/>
    <w:rsid w:val="006C2467"/>
    <w:rsid w:val="007D7FFA"/>
    <w:rsid w:val="00840F49"/>
    <w:rsid w:val="0087212F"/>
    <w:rsid w:val="0088136C"/>
    <w:rsid w:val="00883027"/>
    <w:rsid w:val="008877F6"/>
    <w:rsid w:val="008F6D65"/>
    <w:rsid w:val="008F73E4"/>
    <w:rsid w:val="008F78D8"/>
    <w:rsid w:val="00941C6E"/>
    <w:rsid w:val="0098193C"/>
    <w:rsid w:val="009942A3"/>
    <w:rsid w:val="00997293"/>
    <w:rsid w:val="009B10A6"/>
    <w:rsid w:val="009B54C7"/>
    <w:rsid w:val="009C2BEE"/>
    <w:rsid w:val="009D4FC7"/>
    <w:rsid w:val="009E1770"/>
    <w:rsid w:val="00A14B82"/>
    <w:rsid w:val="00A20B88"/>
    <w:rsid w:val="00A6427C"/>
    <w:rsid w:val="00A666B8"/>
    <w:rsid w:val="00A66B83"/>
    <w:rsid w:val="00A93DC5"/>
    <w:rsid w:val="00B12477"/>
    <w:rsid w:val="00B130BA"/>
    <w:rsid w:val="00B37878"/>
    <w:rsid w:val="00B74DC2"/>
    <w:rsid w:val="00BB6F91"/>
    <w:rsid w:val="00BF676E"/>
    <w:rsid w:val="00C0145A"/>
    <w:rsid w:val="00C01479"/>
    <w:rsid w:val="00C35F9D"/>
    <w:rsid w:val="00CC612D"/>
    <w:rsid w:val="00CC6D1B"/>
    <w:rsid w:val="00CD33F4"/>
    <w:rsid w:val="00CF221A"/>
    <w:rsid w:val="00D542B5"/>
    <w:rsid w:val="00D60D45"/>
    <w:rsid w:val="00D66237"/>
    <w:rsid w:val="00D70F47"/>
    <w:rsid w:val="00DA2C08"/>
    <w:rsid w:val="00DA2C4D"/>
    <w:rsid w:val="00DC2594"/>
    <w:rsid w:val="00DC3B6E"/>
    <w:rsid w:val="00DC539A"/>
    <w:rsid w:val="00DF286B"/>
    <w:rsid w:val="00E00148"/>
    <w:rsid w:val="00E27C8C"/>
    <w:rsid w:val="00EA308F"/>
    <w:rsid w:val="00EA587F"/>
    <w:rsid w:val="00EA6582"/>
    <w:rsid w:val="00EF48F2"/>
    <w:rsid w:val="00F47037"/>
    <w:rsid w:val="00F606C7"/>
    <w:rsid w:val="00F649E0"/>
    <w:rsid w:val="00FB0F5D"/>
    <w:rsid w:val="00FE499F"/>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ACB2A"/>
  <w15:chartTrackingRefBased/>
  <w15:docId w15:val="{1000E073-CDD7-4575-BADD-4C7CA58D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9729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997293"/>
    <w:rPr>
      <w:rFonts w:ascii="Times New Roman" w:eastAsia="Times New Roman" w:hAnsi="Times New Roman" w:cs="Times New Roman"/>
      <w:kern w:val="28"/>
      <w:sz w:val="48"/>
      <w:szCs w:val="48"/>
    </w:rPr>
  </w:style>
  <w:style w:type="paragraph" w:styleId="ListParagraph">
    <w:name w:val="List Paragraph"/>
    <w:basedOn w:val="Normal"/>
    <w:uiPriority w:val="34"/>
    <w:qFormat/>
    <w:rsid w:val="009D4FC7"/>
    <w:pPr>
      <w:ind w:left="720"/>
      <w:contextualSpacing/>
    </w:pPr>
  </w:style>
  <w:style w:type="character" w:styleId="Hyperlink">
    <w:name w:val="Hyperlink"/>
    <w:basedOn w:val="DefaultParagraphFont"/>
    <w:uiPriority w:val="99"/>
    <w:unhideWhenUsed/>
    <w:rsid w:val="001157A5"/>
    <w:rPr>
      <w:color w:val="0563C1" w:themeColor="hyperlink"/>
      <w:u w:val="single"/>
    </w:rPr>
  </w:style>
  <w:style w:type="paragraph" w:styleId="Header">
    <w:name w:val="header"/>
    <w:basedOn w:val="Normal"/>
    <w:link w:val="HeaderChar"/>
    <w:uiPriority w:val="99"/>
    <w:unhideWhenUsed/>
    <w:rsid w:val="00103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43"/>
  </w:style>
  <w:style w:type="paragraph" w:styleId="Footer">
    <w:name w:val="footer"/>
    <w:basedOn w:val="Normal"/>
    <w:link w:val="FooterChar"/>
    <w:uiPriority w:val="99"/>
    <w:unhideWhenUsed/>
    <w:rsid w:val="00103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43"/>
  </w:style>
  <w:style w:type="character" w:styleId="UnresolvedMention">
    <w:name w:val="Unresolved Mention"/>
    <w:basedOn w:val="DefaultParagraphFont"/>
    <w:uiPriority w:val="99"/>
    <w:semiHidden/>
    <w:unhideWhenUsed/>
    <w:rsid w:val="00E0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5791">
      <w:bodyDiv w:val="1"/>
      <w:marLeft w:val="0"/>
      <w:marRight w:val="0"/>
      <w:marTop w:val="0"/>
      <w:marBottom w:val="0"/>
      <w:divBdr>
        <w:top w:val="none" w:sz="0" w:space="0" w:color="auto"/>
        <w:left w:val="none" w:sz="0" w:space="0" w:color="auto"/>
        <w:bottom w:val="none" w:sz="0" w:space="0" w:color="auto"/>
        <w:right w:val="none" w:sz="0" w:space="0" w:color="auto"/>
      </w:divBdr>
    </w:div>
    <w:div w:id="82726422">
      <w:bodyDiv w:val="1"/>
      <w:marLeft w:val="0"/>
      <w:marRight w:val="0"/>
      <w:marTop w:val="0"/>
      <w:marBottom w:val="0"/>
      <w:divBdr>
        <w:top w:val="none" w:sz="0" w:space="0" w:color="auto"/>
        <w:left w:val="none" w:sz="0" w:space="0" w:color="auto"/>
        <w:bottom w:val="none" w:sz="0" w:space="0" w:color="auto"/>
        <w:right w:val="none" w:sz="0" w:space="0" w:color="auto"/>
      </w:divBdr>
      <w:divsChild>
        <w:div w:id="1427846925">
          <w:marLeft w:val="0"/>
          <w:marRight w:val="0"/>
          <w:marTop w:val="0"/>
          <w:marBottom w:val="0"/>
          <w:divBdr>
            <w:top w:val="none" w:sz="0" w:space="0" w:color="auto"/>
            <w:left w:val="none" w:sz="0" w:space="0" w:color="auto"/>
            <w:bottom w:val="none" w:sz="0" w:space="0" w:color="auto"/>
            <w:right w:val="none" w:sz="0" w:space="0" w:color="auto"/>
          </w:divBdr>
        </w:div>
      </w:divsChild>
    </w:div>
    <w:div w:id="146290077">
      <w:bodyDiv w:val="1"/>
      <w:marLeft w:val="0"/>
      <w:marRight w:val="0"/>
      <w:marTop w:val="0"/>
      <w:marBottom w:val="0"/>
      <w:divBdr>
        <w:top w:val="none" w:sz="0" w:space="0" w:color="auto"/>
        <w:left w:val="none" w:sz="0" w:space="0" w:color="auto"/>
        <w:bottom w:val="none" w:sz="0" w:space="0" w:color="auto"/>
        <w:right w:val="none" w:sz="0" w:space="0" w:color="auto"/>
      </w:divBdr>
      <w:divsChild>
        <w:div w:id="2075005259">
          <w:marLeft w:val="0"/>
          <w:marRight w:val="0"/>
          <w:marTop w:val="0"/>
          <w:marBottom w:val="0"/>
          <w:divBdr>
            <w:top w:val="none" w:sz="0" w:space="0" w:color="auto"/>
            <w:left w:val="none" w:sz="0" w:space="0" w:color="auto"/>
            <w:bottom w:val="none" w:sz="0" w:space="0" w:color="auto"/>
            <w:right w:val="none" w:sz="0" w:space="0" w:color="auto"/>
          </w:divBdr>
        </w:div>
      </w:divsChild>
    </w:div>
    <w:div w:id="207687109">
      <w:bodyDiv w:val="1"/>
      <w:marLeft w:val="0"/>
      <w:marRight w:val="0"/>
      <w:marTop w:val="0"/>
      <w:marBottom w:val="0"/>
      <w:divBdr>
        <w:top w:val="none" w:sz="0" w:space="0" w:color="auto"/>
        <w:left w:val="none" w:sz="0" w:space="0" w:color="auto"/>
        <w:bottom w:val="none" w:sz="0" w:space="0" w:color="auto"/>
        <w:right w:val="none" w:sz="0" w:space="0" w:color="auto"/>
      </w:divBdr>
    </w:div>
    <w:div w:id="300959396">
      <w:bodyDiv w:val="1"/>
      <w:marLeft w:val="0"/>
      <w:marRight w:val="0"/>
      <w:marTop w:val="0"/>
      <w:marBottom w:val="0"/>
      <w:divBdr>
        <w:top w:val="none" w:sz="0" w:space="0" w:color="auto"/>
        <w:left w:val="none" w:sz="0" w:space="0" w:color="auto"/>
        <w:bottom w:val="none" w:sz="0" w:space="0" w:color="auto"/>
        <w:right w:val="none" w:sz="0" w:space="0" w:color="auto"/>
      </w:divBdr>
    </w:div>
    <w:div w:id="341513040">
      <w:bodyDiv w:val="1"/>
      <w:marLeft w:val="0"/>
      <w:marRight w:val="0"/>
      <w:marTop w:val="0"/>
      <w:marBottom w:val="0"/>
      <w:divBdr>
        <w:top w:val="none" w:sz="0" w:space="0" w:color="auto"/>
        <w:left w:val="none" w:sz="0" w:space="0" w:color="auto"/>
        <w:bottom w:val="none" w:sz="0" w:space="0" w:color="auto"/>
        <w:right w:val="none" w:sz="0" w:space="0" w:color="auto"/>
      </w:divBdr>
    </w:div>
    <w:div w:id="363603186">
      <w:bodyDiv w:val="1"/>
      <w:marLeft w:val="0"/>
      <w:marRight w:val="0"/>
      <w:marTop w:val="0"/>
      <w:marBottom w:val="0"/>
      <w:divBdr>
        <w:top w:val="none" w:sz="0" w:space="0" w:color="auto"/>
        <w:left w:val="none" w:sz="0" w:space="0" w:color="auto"/>
        <w:bottom w:val="none" w:sz="0" w:space="0" w:color="auto"/>
        <w:right w:val="none" w:sz="0" w:space="0" w:color="auto"/>
      </w:divBdr>
      <w:divsChild>
        <w:div w:id="1130316542">
          <w:marLeft w:val="0"/>
          <w:marRight w:val="0"/>
          <w:marTop w:val="0"/>
          <w:marBottom w:val="0"/>
          <w:divBdr>
            <w:top w:val="none" w:sz="0" w:space="0" w:color="auto"/>
            <w:left w:val="none" w:sz="0" w:space="0" w:color="auto"/>
            <w:bottom w:val="none" w:sz="0" w:space="0" w:color="auto"/>
            <w:right w:val="none" w:sz="0" w:space="0" w:color="auto"/>
          </w:divBdr>
        </w:div>
      </w:divsChild>
    </w:div>
    <w:div w:id="484854344">
      <w:bodyDiv w:val="1"/>
      <w:marLeft w:val="0"/>
      <w:marRight w:val="0"/>
      <w:marTop w:val="0"/>
      <w:marBottom w:val="0"/>
      <w:divBdr>
        <w:top w:val="none" w:sz="0" w:space="0" w:color="auto"/>
        <w:left w:val="none" w:sz="0" w:space="0" w:color="auto"/>
        <w:bottom w:val="none" w:sz="0" w:space="0" w:color="auto"/>
        <w:right w:val="none" w:sz="0" w:space="0" w:color="auto"/>
      </w:divBdr>
    </w:div>
    <w:div w:id="593829669">
      <w:bodyDiv w:val="1"/>
      <w:marLeft w:val="0"/>
      <w:marRight w:val="0"/>
      <w:marTop w:val="0"/>
      <w:marBottom w:val="0"/>
      <w:divBdr>
        <w:top w:val="none" w:sz="0" w:space="0" w:color="auto"/>
        <w:left w:val="none" w:sz="0" w:space="0" w:color="auto"/>
        <w:bottom w:val="none" w:sz="0" w:space="0" w:color="auto"/>
        <w:right w:val="none" w:sz="0" w:space="0" w:color="auto"/>
      </w:divBdr>
    </w:div>
    <w:div w:id="618687309">
      <w:bodyDiv w:val="1"/>
      <w:marLeft w:val="0"/>
      <w:marRight w:val="0"/>
      <w:marTop w:val="0"/>
      <w:marBottom w:val="0"/>
      <w:divBdr>
        <w:top w:val="none" w:sz="0" w:space="0" w:color="auto"/>
        <w:left w:val="none" w:sz="0" w:space="0" w:color="auto"/>
        <w:bottom w:val="none" w:sz="0" w:space="0" w:color="auto"/>
        <w:right w:val="none" w:sz="0" w:space="0" w:color="auto"/>
      </w:divBdr>
    </w:div>
    <w:div w:id="631862452">
      <w:bodyDiv w:val="1"/>
      <w:marLeft w:val="0"/>
      <w:marRight w:val="0"/>
      <w:marTop w:val="0"/>
      <w:marBottom w:val="0"/>
      <w:divBdr>
        <w:top w:val="none" w:sz="0" w:space="0" w:color="auto"/>
        <w:left w:val="none" w:sz="0" w:space="0" w:color="auto"/>
        <w:bottom w:val="none" w:sz="0" w:space="0" w:color="auto"/>
        <w:right w:val="none" w:sz="0" w:space="0" w:color="auto"/>
      </w:divBdr>
    </w:div>
    <w:div w:id="706220438">
      <w:bodyDiv w:val="1"/>
      <w:marLeft w:val="0"/>
      <w:marRight w:val="0"/>
      <w:marTop w:val="0"/>
      <w:marBottom w:val="0"/>
      <w:divBdr>
        <w:top w:val="none" w:sz="0" w:space="0" w:color="auto"/>
        <w:left w:val="none" w:sz="0" w:space="0" w:color="auto"/>
        <w:bottom w:val="none" w:sz="0" w:space="0" w:color="auto"/>
        <w:right w:val="none" w:sz="0" w:space="0" w:color="auto"/>
      </w:divBdr>
    </w:div>
    <w:div w:id="773866335">
      <w:bodyDiv w:val="1"/>
      <w:marLeft w:val="0"/>
      <w:marRight w:val="0"/>
      <w:marTop w:val="0"/>
      <w:marBottom w:val="0"/>
      <w:divBdr>
        <w:top w:val="none" w:sz="0" w:space="0" w:color="auto"/>
        <w:left w:val="none" w:sz="0" w:space="0" w:color="auto"/>
        <w:bottom w:val="none" w:sz="0" w:space="0" w:color="auto"/>
        <w:right w:val="none" w:sz="0" w:space="0" w:color="auto"/>
      </w:divBdr>
      <w:divsChild>
        <w:div w:id="1619415480">
          <w:marLeft w:val="0"/>
          <w:marRight w:val="0"/>
          <w:marTop w:val="0"/>
          <w:marBottom w:val="0"/>
          <w:divBdr>
            <w:top w:val="none" w:sz="0" w:space="0" w:color="auto"/>
            <w:left w:val="none" w:sz="0" w:space="0" w:color="auto"/>
            <w:bottom w:val="none" w:sz="0" w:space="0" w:color="auto"/>
            <w:right w:val="none" w:sz="0" w:space="0" w:color="auto"/>
          </w:divBdr>
        </w:div>
      </w:divsChild>
    </w:div>
    <w:div w:id="789131865">
      <w:bodyDiv w:val="1"/>
      <w:marLeft w:val="0"/>
      <w:marRight w:val="0"/>
      <w:marTop w:val="0"/>
      <w:marBottom w:val="0"/>
      <w:divBdr>
        <w:top w:val="none" w:sz="0" w:space="0" w:color="auto"/>
        <w:left w:val="none" w:sz="0" w:space="0" w:color="auto"/>
        <w:bottom w:val="none" w:sz="0" w:space="0" w:color="auto"/>
        <w:right w:val="none" w:sz="0" w:space="0" w:color="auto"/>
      </w:divBdr>
    </w:div>
    <w:div w:id="942999344">
      <w:bodyDiv w:val="1"/>
      <w:marLeft w:val="0"/>
      <w:marRight w:val="0"/>
      <w:marTop w:val="0"/>
      <w:marBottom w:val="0"/>
      <w:divBdr>
        <w:top w:val="none" w:sz="0" w:space="0" w:color="auto"/>
        <w:left w:val="none" w:sz="0" w:space="0" w:color="auto"/>
        <w:bottom w:val="none" w:sz="0" w:space="0" w:color="auto"/>
        <w:right w:val="none" w:sz="0" w:space="0" w:color="auto"/>
      </w:divBdr>
      <w:divsChild>
        <w:div w:id="723993182">
          <w:marLeft w:val="0"/>
          <w:marRight w:val="0"/>
          <w:marTop w:val="0"/>
          <w:marBottom w:val="0"/>
          <w:divBdr>
            <w:top w:val="none" w:sz="0" w:space="0" w:color="auto"/>
            <w:left w:val="none" w:sz="0" w:space="0" w:color="auto"/>
            <w:bottom w:val="none" w:sz="0" w:space="0" w:color="auto"/>
            <w:right w:val="none" w:sz="0" w:space="0" w:color="auto"/>
          </w:divBdr>
        </w:div>
      </w:divsChild>
    </w:div>
    <w:div w:id="950090213">
      <w:bodyDiv w:val="1"/>
      <w:marLeft w:val="0"/>
      <w:marRight w:val="0"/>
      <w:marTop w:val="0"/>
      <w:marBottom w:val="0"/>
      <w:divBdr>
        <w:top w:val="none" w:sz="0" w:space="0" w:color="auto"/>
        <w:left w:val="none" w:sz="0" w:space="0" w:color="auto"/>
        <w:bottom w:val="none" w:sz="0" w:space="0" w:color="auto"/>
        <w:right w:val="none" w:sz="0" w:space="0" w:color="auto"/>
      </w:divBdr>
    </w:div>
    <w:div w:id="989017479">
      <w:bodyDiv w:val="1"/>
      <w:marLeft w:val="0"/>
      <w:marRight w:val="0"/>
      <w:marTop w:val="0"/>
      <w:marBottom w:val="0"/>
      <w:divBdr>
        <w:top w:val="none" w:sz="0" w:space="0" w:color="auto"/>
        <w:left w:val="none" w:sz="0" w:space="0" w:color="auto"/>
        <w:bottom w:val="none" w:sz="0" w:space="0" w:color="auto"/>
        <w:right w:val="none" w:sz="0" w:space="0" w:color="auto"/>
      </w:divBdr>
    </w:div>
    <w:div w:id="1090078753">
      <w:bodyDiv w:val="1"/>
      <w:marLeft w:val="0"/>
      <w:marRight w:val="0"/>
      <w:marTop w:val="0"/>
      <w:marBottom w:val="0"/>
      <w:divBdr>
        <w:top w:val="none" w:sz="0" w:space="0" w:color="auto"/>
        <w:left w:val="none" w:sz="0" w:space="0" w:color="auto"/>
        <w:bottom w:val="none" w:sz="0" w:space="0" w:color="auto"/>
        <w:right w:val="none" w:sz="0" w:space="0" w:color="auto"/>
      </w:divBdr>
    </w:div>
    <w:div w:id="1110274953">
      <w:bodyDiv w:val="1"/>
      <w:marLeft w:val="0"/>
      <w:marRight w:val="0"/>
      <w:marTop w:val="0"/>
      <w:marBottom w:val="0"/>
      <w:divBdr>
        <w:top w:val="none" w:sz="0" w:space="0" w:color="auto"/>
        <w:left w:val="none" w:sz="0" w:space="0" w:color="auto"/>
        <w:bottom w:val="none" w:sz="0" w:space="0" w:color="auto"/>
        <w:right w:val="none" w:sz="0" w:space="0" w:color="auto"/>
      </w:divBdr>
    </w:div>
    <w:div w:id="1199318818">
      <w:bodyDiv w:val="1"/>
      <w:marLeft w:val="0"/>
      <w:marRight w:val="0"/>
      <w:marTop w:val="0"/>
      <w:marBottom w:val="0"/>
      <w:divBdr>
        <w:top w:val="none" w:sz="0" w:space="0" w:color="auto"/>
        <w:left w:val="none" w:sz="0" w:space="0" w:color="auto"/>
        <w:bottom w:val="none" w:sz="0" w:space="0" w:color="auto"/>
        <w:right w:val="none" w:sz="0" w:space="0" w:color="auto"/>
      </w:divBdr>
    </w:div>
    <w:div w:id="1235818632">
      <w:bodyDiv w:val="1"/>
      <w:marLeft w:val="0"/>
      <w:marRight w:val="0"/>
      <w:marTop w:val="0"/>
      <w:marBottom w:val="0"/>
      <w:divBdr>
        <w:top w:val="none" w:sz="0" w:space="0" w:color="auto"/>
        <w:left w:val="none" w:sz="0" w:space="0" w:color="auto"/>
        <w:bottom w:val="none" w:sz="0" w:space="0" w:color="auto"/>
        <w:right w:val="none" w:sz="0" w:space="0" w:color="auto"/>
      </w:divBdr>
    </w:div>
    <w:div w:id="1269897382">
      <w:bodyDiv w:val="1"/>
      <w:marLeft w:val="0"/>
      <w:marRight w:val="0"/>
      <w:marTop w:val="0"/>
      <w:marBottom w:val="0"/>
      <w:divBdr>
        <w:top w:val="none" w:sz="0" w:space="0" w:color="auto"/>
        <w:left w:val="none" w:sz="0" w:space="0" w:color="auto"/>
        <w:bottom w:val="none" w:sz="0" w:space="0" w:color="auto"/>
        <w:right w:val="none" w:sz="0" w:space="0" w:color="auto"/>
      </w:divBdr>
    </w:div>
    <w:div w:id="1314721962">
      <w:bodyDiv w:val="1"/>
      <w:marLeft w:val="0"/>
      <w:marRight w:val="0"/>
      <w:marTop w:val="0"/>
      <w:marBottom w:val="0"/>
      <w:divBdr>
        <w:top w:val="none" w:sz="0" w:space="0" w:color="auto"/>
        <w:left w:val="none" w:sz="0" w:space="0" w:color="auto"/>
        <w:bottom w:val="none" w:sz="0" w:space="0" w:color="auto"/>
        <w:right w:val="none" w:sz="0" w:space="0" w:color="auto"/>
      </w:divBdr>
      <w:divsChild>
        <w:div w:id="1758012781">
          <w:marLeft w:val="0"/>
          <w:marRight w:val="0"/>
          <w:marTop w:val="0"/>
          <w:marBottom w:val="0"/>
          <w:divBdr>
            <w:top w:val="none" w:sz="0" w:space="0" w:color="auto"/>
            <w:left w:val="none" w:sz="0" w:space="0" w:color="auto"/>
            <w:bottom w:val="none" w:sz="0" w:space="0" w:color="auto"/>
            <w:right w:val="none" w:sz="0" w:space="0" w:color="auto"/>
          </w:divBdr>
        </w:div>
      </w:divsChild>
    </w:div>
    <w:div w:id="1368989316">
      <w:bodyDiv w:val="1"/>
      <w:marLeft w:val="0"/>
      <w:marRight w:val="0"/>
      <w:marTop w:val="0"/>
      <w:marBottom w:val="0"/>
      <w:divBdr>
        <w:top w:val="none" w:sz="0" w:space="0" w:color="auto"/>
        <w:left w:val="none" w:sz="0" w:space="0" w:color="auto"/>
        <w:bottom w:val="none" w:sz="0" w:space="0" w:color="auto"/>
        <w:right w:val="none" w:sz="0" w:space="0" w:color="auto"/>
      </w:divBdr>
    </w:div>
    <w:div w:id="1438795570">
      <w:bodyDiv w:val="1"/>
      <w:marLeft w:val="0"/>
      <w:marRight w:val="0"/>
      <w:marTop w:val="0"/>
      <w:marBottom w:val="0"/>
      <w:divBdr>
        <w:top w:val="none" w:sz="0" w:space="0" w:color="auto"/>
        <w:left w:val="none" w:sz="0" w:space="0" w:color="auto"/>
        <w:bottom w:val="none" w:sz="0" w:space="0" w:color="auto"/>
        <w:right w:val="none" w:sz="0" w:space="0" w:color="auto"/>
      </w:divBdr>
    </w:div>
    <w:div w:id="1448305999">
      <w:bodyDiv w:val="1"/>
      <w:marLeft w:val="0"/>
      <w:marRight w:val="0"/>
      <w:marTop w:val="0"/>
      <w:marBottom w:val="0"/>
      <w:divBdr>
        <w:top w:val="none" w:sz="0" w:space="0" w:color="auto"/>
        <w:left w:val="none" w:sz="0" w:space="0" w:color="auto"/>
        <w:bottom w:val="none" w:sz="0" w:space="0" w:color="auto"/>
        <w:right w:val="none" w:sz="0" w:space="0" w:color="auto"/>
      </w:divBdr>
      <w:divsChild>
        <w:div w:id="873153022">
          <w:marLeft w:val="0"/>
          <w:marRight w:val="0"/>
          <w:marTop w:val="0"/>
          <w:marBottom w:val="0"/>
          <w:divBdr>
            <w:top w:val="none" w:sz="0" w:space="0" w:color="auto"/>
            <w:left w:val="none" w:sz="0" w:space="0" w:color="auto"/>
            <w:bottom w:val="none" w:sz="0" w:space="0" w:color="auto"/>
            <w:right w:val="none" w:sz="0" w:space="0" w:color="auto"/>
          </w:divBdr>
        </w:div>
      </w:divsChild>
    </w:div>
    <w:div w:id="1448936256">
      <w:bodyDiv w:val="1"/>
      <w:marLeft w:val="0"/>
      <w:marRight w:val="0"/>
      <w:marTop w:val="0"/>
      <w:marBottom w:val="0"/>
      <w:divBdr>
        <w:top w:val="none" w:sz="0" w:space="0" w:color="auto"/>
        <w:left w:val="none" w:sz="0" w:space="0" w:color="auto"/>
        <w:bottom w:val="none" w:sz="0" w:space="0" w:color="auto"/>
        <w:right w:val="none" w:sz="0" w:space="0" w:color="auto"/>
      </w:divBdr>
    </w:div>
    <w:div w:id="1484352894">
      <w:bodyDiv w:val="1"/>
      <w:marLeft w:val="0"/>
      <w:marRight w:val="0"/>
      <w:marTop w:val="0"/>
      <w:marBottom w:val="0"/>
      <w:divBdr>
        <w:top w:val="none" w:sz="0" w:space="0" w:color="auto"/>
        <w:left w:val="none" w:sz="0" w:space="0" w:color="auto"/>
        <w:bottom w:val="none" w:sz="0" w:space="0" w:color="auto"/>
        <w:right w:val="none" w:sz="0" w:space="0" w:color="auto"/>
      </w:divBdr>
      <w:divsChild>
        <w:div w:id="1429931521">
          <w:marLeft w:val="0"/>
          <w:marRight w:val="0"/>
          <w:marTop w:val="0"/>
          <w:marBottom w:val="0"/>
          <w:divBdr>
            <w:top w:val="none" w:sz="0" w:space="0" w:color="auto"/>
            <w:left w:val="none" w:sz="0" w:space="0" w:color="auto"/>
            <w:bottom w:val="none" w:sz="0" w:space="0" w:color="auto"/>
            <w:right w:val="none" w:sz="0" w:space="0" w:color="auto"/>
          </w:divBdr>
        </w:div>
      </w:divsChild>
    </w:div>
    <w:div w:id="1522669148">
      <w:bodyDiv w:val="1"/>
      <w:marLeft w:val="0"/>
      <w:marRight w:val="0"/>
      <w:marTop w:val="0"/>
      <w:marBottom w:val="0"/>
      <w:divBdr>
        <w:top w:val="none" w:sz="0" w:space="0" w:color="auto"/>
        <w:left w:val="none" w:sz="0" w:space="0" w:color="auto"/>
        <w:bottom w:val="none" w:sz="0" w:space="0" w:color="auto"/>
        <w:right w:val="none" w:sz="0" w:space="0" w:color="auto"/>
      </w:divBdr>
    </w:div>
    <w:div w:id="1558666474">
      <w:bodyDiv w:val="1"/>
      <w:marLeft w:val="0"/>
      <w:marRight w:val="0"/>
      <w:marTop w:val="0"/>
      <w:marBottom w:val="0"/>
      <w:divBdr>
        <w:top w:val="none" w:sz="0" w:space="0" w:color="auto"/>
        <w:left w:val="none" w:sz="0" w:space="0" w:color="auto"/>
        <w:bottom w:val="none" w:sz="0" w:space="0" w:color="auto"/>
        <w:right w:val="none" w:sz="0" w:space="0" w:color="auto"/>
      </w:divBdr>
    </w:div>
    <w:div w:id="1637376218">
      <w:bodyDiv w:val="1"/>
      <w:marLeft w:val="0"/>
      <w:marRight w:val="0"/>
      <w:marTop w:val="0"/>
      <w:marBottom w:val="0"/>
      <w:divBdr>
        <w:top w:val="none" w:sz="0" w:space="0" w:color="auto"/>
        <w:left w:val="none" w:sz="0" w:space="0" w:color="auto"/>
        <w:bottom w:val="none" w:sz="0" w:space="0" w:color="auto"/>
        <w:right w:val="none" w:sz="0" w:space="0" w:color="auto"/>
      </w:divBdr>
      <w:divsChild>
        <w:div w:id="178395043">
          <w:marLeft w:val="0"/>
          <w:marRight w:val="0"/>
          <w:marTop w:val="0"/>
          <w:marBottom w:val="0"/>
          <w:divBdr>
            <w:top w:val="none" w:sz="0" w:space="0" w:color="auto"/>
            <w:left w:val="none" w:sz="0" w:space="0" w:color="auto"/>
            <w:bottom w:val="none" w:sz="0" w:space="0" w:color="auto"/>
            <w:right w:val="none" w:sz="0" w:space="0" w:color="auto"/>
          </w:divBdr>
        </w:div>
      </w:divsChild>
    </w:div>
    <w:div w:id="1812938268">
      <w:bodyDiv w:val="1"/>
      <w:marLeft w:val="0"/>
      <w:marRight w:val="0"/>
      <w:marTop w:val="0"/>
      <w:marBottom w:val="0"/>
      <w:divBdr>
        <w:top w:val="none" w:sz="0" w:space="0" w:color="auto"/>
        <w:left w:val="none" w:sz="0" w:space="0" w:color="auto"/>
        <w:bottom w:val="none" w:sz="0" w:space="0" w:color="auto"/>
        <w:right w:val="none" w:sz="0" w:space="0" w:color="auto"/>
      </w:divBdr>
    </w:div>
    <w:div w:id="1967083410">
      <w:bodyDiv w:val="1"/>
      <w:marLeft w:val="0"/>
      <w:marRight w:val="0"/>
      <w:marTop w:val="0"/>
      <w:marBottom w:val="0"/>
      <w:divBdr>
        <w:top w:val="none" w:sz="0" w:space="0" w:color="auto"/>
        <w:left w:val="none" w:sz="0" w:space="0" w:color="auto"/>
        <w:bottom w:val="none" w:sz="0" w:space="0" w:color="auto"/>
        <w:right w:val="none" w:sz="0" w:space="0" w:color="auto"/>
      </w:divBdr>
      <w:divsChild>
        <w:div w:id="2001423183">
          <w:marLeft w:val="0"/>
          <w:marRight w:val="0"/>
          <w:marTop w:val="0"/>
          <w:marBottom w:val="0"/>
          <w:divBdr>
            <w:top w:val="none" w:sz="0" w:space="0" w:color="auto"/>
            <w:left w:val="none" w:sz="0" w:space="0" w:color="auto"/>
            <w:bottom w:val="none" w:sz="0" w:space="0" w:color="auto"/>
            <w:right w:val="none" w:sz="0" w:space="0" w:color="auto"/>
          </w:divBdr>
        </w:div>
      </w:divsChild>
    </w:div>
    <w:div w:id="2062635821">
      <w:bodyDiv w:val="1"/>
      <w:marLeft w:val="0"/>
      <w:marRight w:val="0"/>
      <w:marTop w:val="0"/>
      <w:marBottom w:val="0"/>
      <w:divBdr>
        <w:top w:val="none" w:sz="0" w:space="0" w:color="auto"/>
        <w:left w:val="none" w:sz="0" w:space="0" w:color="auto"/>
        <w:bottom w:val="none" w:sz="0" w:space="0" w:color="auto"/>
        <w:right w:val="none" w:sz="0" w:space="0" w:color="auto"/>
      </w:divBdr>
    </w:div>
    <w:div w:id="2104757425">
      <w:bodyDiv w:val="1"/>
      <w:marLeft w:val="0"/>
      <w:marRight w:val="0"/>
      <w:marTop w:val="0"/>
      <w:marBottom w:val="0"/>
      <w:divBdr>
        <w:top w:val="none" w:sz="0" w:space="0" w:color="auto"/>
        <w:left w:val="none" w:sz="0" w:space="0" w:color="auto"/>
        <w:bottom w:val="none" w:sz="0" w:space="0" w:color="auto"/>
        <w:right w:val="none" w:sz="0" w:space="0" w:color="auto"/>
      </w:divBdr>
    </w:div>
    <w:div w:id="21105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1007/978-3-642-37596-0_15" TargetMode="External"/><Relationship Id="rId18" Type="http://schemas.openxmlformats.org/officeDocument/2006/relationships/hyperlink" Target="https://doi.org/10.3389/fmicb.2021.697974"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doi.org/10.1016/j.apsoil.2019.103365" TargetMode="External"/><Relationship Id="rId7" Type="http://schemas.openxmlformats.org/officeDocument/2006/relationships/chart" Target="charts/chart2.xml"/><Relationship Id="rId12" Type="http://schemas.openxmlformats.org/officeDocument/2006/relationships/hyperlink" Target="https://doi.org/10.1104/pp.43.8.1185" TargetMode="External"/><Relationship Id="rId17" Type="http://schemas.openxmlformats.org/officeDocument/2006/relationships/hyperlink" Target="https://doi.org/10.1007/s00374-020-01428-0"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007/s11104-012-1343-3" TargetMode="External"/><Relationship Id="rId20" Type="http://schemas.openxmlformats.org/officeDocument/2006/relationships/hyperlink" Target="https://doi.org/10.1111/1574-6976.1204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3390/agronomy11081614"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doi.org/10.4014/jmb.1902.0201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16/j.rhisph.2019.100192" TargetMode="External"/><Relationship Id="rId19" Type="http://schemas.openxmlformats.org/officeDocument/2006/relationships/hyperlink" Target="https://doi.org/10.1186/2193-1801-2-587" TargetMode="External"/><Relationship Id="rId4" Type="http://schemas.openxmlformats.org/officeDocument/2006/relationships/footnotes" Target="footnotes.xml"/><Relationship Id="rId9" Type="http://schemas.openxmlformats.org/officeDocument/2006/relationships/hyperlink" Target="https://doi.org/10.1007/978-981-10-1459-0_4" TargetMode="External"/><Relationship Id="rId14" Type="http://schemas.openxmlformats.org/officeDocument/2006/relationships/hyperlink" Target="https://doi.org/10.1016/j.plaphy.2021.08.004" TargetMode="External"/><Relationship Id="rId22" Type="http://schemas.openxmlformats.org/officeDocument/2006/relationships/hyperlink" Target="https://doi.org/10.3389/fpls.2013.00356"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Conference\Lutfi%20Project\ICAHESA-2025\per%20tabel%20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Conference\Lutfi%20Project\ICAHESA-2025\per%20tabel%20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Conference\Lutfi%20Project\ICAHESA-2025\per%20tabel%20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Sheet1!$J$1</c:f>
              <c:strCache>
                <c:ptCount val="1"/>
                <c:pt idx="0">
                  <c:v>Phosphate Solubilization (ppm)</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Sheet1!$I$2:$I$11</c:f>
              <c:strCache>
                <c:ptCount val="10"/>
                <c:pt idx="0">
                  <c:v>KL1K2</c:v>
                </c:pt>
                <c:pt idx="1">
                  <c:v>KL3ASH1</c:v>
                </c:pt>
                <c:pt idx="2">
                  <c:v>K3IS4</c:v>
                </c:pt>
                <c:pt idx="3">
                  <c:v>K3RZ1</c:v>
                </c:pt>
                <c:pt idx="4">
                  <c:v>K4RZ6</c:v>
                </c:pt>
                <c:pt idx="5">
                  <c:v>K4K6</c:v>
                </c:pt>
                <c:pt idx="6">
                  <c:v>K4RZ3</c:v>
                </c:pt>
                <c:pt idx="7">
                  <c:v>K4P1</c:v>
                </c:pt>
                <c:pt idx="8">
                  <c:v>K4K1</c:v>
                </c:pt>
                <c:pt idx="9">
                  <c:v>KL4ASH3</c:v>
                </c:pt>
              </c:strCache>
            </c:strRef>
          </c:cat>
          <c:val>
            <c:numRef>
              <c:f>Sheet1!$J$2:$J$11</c:f>
              <c:numCache>
                <c:formatCode>General</c:formatCode>
                <c:ptCount val="10"/>
                <c:pt idx="0">
                  <c:v>6.02</c:v>
                </c:pt>
                <c:pt idx="1">
                  <c:v>16.05</c:v>
                </c:pt>
                <c:pt idx="2">
                  <c:v>4.95</c:v>
                </c:pt>
                <c:pt idx="3">
                  <c:v>6.53</c:v>
                </c:pt>
                <c:pt idx="4">
                  <c:v>11.67</c:v>
                </c:pt>
                <c:pt idx="5">
                  <c:v>2.61</c:v>
                </c:pt>
                <c:pt idx="6">
                  <c:v>6.5</c:v>
                </c:pt>
                <c:pt idx="7">
                  <c:v>4.49</c:v>
                </c:pt>
                <c:pt idx="8">
                  <c:v>8.1</c:v>
                </c:pt>
                <c:pt idx="9">
                  <c:v>8.3800000000000008</c:v>
                </c:pt>
              </c:numCache>
            </c:numRef>
          </c:val>
          <c:extLst>
            <c:ext xmlns:c16="http://schemas.microsoft.com/office/drawing/2014/chart" uri="{C3380CC4-5D6E-409C-BE32-E72D297353CC}">
              <c16:uniqueId val="{00000000-C226-428C-8E73-05DCC6A5D9C2}"/>
            </c:ext>
          </c:extLst>
        </c:ser>
        <c:dLbls>
          <c:showLegendKey val="0"/>
          <c:showVal val="0"/>
          <c:showCatName val="0"/>
          <c:showSerName val="0"/>
          <c:showPercent val="0"/>
          <c:showBubbleSize val="0"/>
        </c:dLbls>
        <c:gapWidth val="219"/>
        <c:overlap val="-27"/>
        <c:axId val="1193848416"/>
        <c:axId val="1193850496"/>
      </c:barChart>
      <c:catAx>
        <c:axId val="1193848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 code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3850496"/>
        <c:crosses val="autoZero"/>
        <c:auto val="1"/>
        <c:lblAlgn val="ctr"/>
        <c:lblOffset val="100"/>
        <c:noMultiLvlLbl val="0"/>
      </c:catAx>
      <c:valAx>
        <c:axId val="1193850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Phosphate solubilization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3848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c:f>
              <c:strCache>
                <c:ptCount val="1"/>
                <c:pt idx="0">
                  <c:v>IAA Production (ppm)</c:v>
                </c:pt>
              </c:strCache>
            </c:strRef>
          </c:tx>
          <c:spPr>
            <a:solidFill>
              <a:schemeClr val="tx1"/>
            </a:solidFill>
            <a:ln>
              <a:noFill/>
            </a:ln>
            <a:effectLst/>
          </c:spPr>
          <c:invertIfNegative val="0"/>
          <c:cat>
            <c:strRef>
              <c:f>Sheet1!$M$2:$M$11</c:f>
              <c:strCache>
                <c:ptCount val="10"/>
                <c:pt idx="0">
                  <c:v>KL1K2</c:v>
                </c:pt>
                <c:pt idx="1">
                  <c:v>KL3ASH1</c:v>
                </c:pt>
                <c:pt idx="2">
                  <c:v>K3IS4</c:v>
                </c:pt>
                <c:pt idx="3">
                  <c:v>K3RZ1</c:v>
                </c:pt>
                <c:pt idx="4">
                  <c:v>K4RZ6</c:v>
                </c:pt>
                <c:pt idx="5">
                  <c:v>K4K6</c:v>
                </c:pt>
                <c:pt idx="6">
                  <c:v>K4RZ3</c:v>
                </c:pt>
                <c:pt idx="7">
                  <c:v>K4P1</c:v>
                </c:pt>
                <c:pt idx="8">
                  <c:v>K4K1</c:v>
                </c:pt>
                <c:pt idx="9">
                  <c:v>KL4ASH3</c:v>
                </c:pt>
              </c:strCache>
            </c:strRef>
          </c:cat>
          <c:val>
            <c:numRef>
              <c:f>Sheet1!$N$2:$N$11</c:f>
              <c:numCache>
                <c:formatCode>General</c:formatCode>
                <c:ptCount val="10"/>
                <c:pt idx="0">
                  <c:v>2.0099999999999998</c:v>
                </c:pt>
                <c:pt idx="1">
                  <c:v>1.72</c:v>
                </c:pt>
                <c:pt idx="2">
                  <c:v>1.26</c:v>
                </c:pt>
                <c:pt idx="3">
                  <c:v>1.25</c:v>
                </c:pt>
                <c:pt idx="4">
                  <c:v>1.39</c:v>
                </c:pt>
                <c:pt idx="5">
                  <c:v>1.38</c:v>
                </c:pt>
                <c:pt idx="6">
                  <c:v>1.9</c:v>
                </c:pt>
                <c:pt idx="7">
                  <c:v>1.28</c:v>
                </c:pt>
                <c:pt idx="8">
                  <c:v>1.66</c:v>
                </c:pt>
                <c:pt idx="9">
                  <c:v>1.43</c:v>
                </c:pt>
              </c:numCache>
            </c:numRef>
          </c:val>
          <c:extLst>
            <c:ext xmlns:c16="http://schemas.microsoft.com/office/drawing/2014/chart" uri="{C3380CC4-5D6E-409C-BE32-E72D297353CC}">
              <c16:uniqueId val="{00000000-319C-4566-A95E-29C931D72403}"/>
            </c:ext>
          </c:extLst>
        </c:ser>
        <c:dLbls>
          <c:showLegendKey val="0"/>
          <c:showVal val="0"/>
          <c:showCatName val="0"/>
          <c:showSerName val="0"/>
          <c:showPercent val="0"/>
          <c:showBubbleSize val="0"/>
        </c:dLbls>
        <c:gapWidth val="219"/>
        <c:overlap val="-27"/>
        <c:axId val="1406308592"/>
        <c:axId val="1406302768"/>
      </c:barChart>
      <c:catAx>
        <c:axId val="1406308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 code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302768"/>
        <c:crosses val="autoZero"/>
        <c:auto val="1"/>
        <c:lblAlgn val="ctr"/>
        <c:lblOffset val="100"/>
        <c:noMultiLvlLbl val="0"/>
      </c:catAx>
      <c:valAx>
        <c:axId val="140630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IAA production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308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Sheet1!$V$1</c:f>
              <c:strCache>
                <c:ptCount val="1"/>
                <c:pt idx="0">
                  <c:v>Nitrogenase activity (μmol C₂H₄/mL/hour)</c:v>
                </c:pt>
              </c:strCache>
            </c:strRef>
          </c:tx>
          <c:spPr>
            <a:solidFill>
              <a:schemeClr val="tx1"/>
            </a:solidFill>
            <a:ln>
              <a:noFill/>
            </a:ln>
            <a:effectLst/>
          </c:spPr>
          <c:invertIfNegative val="0"/>
          <c:cat>
            <c:strRef>
              <c:f>Sheet1!$U$2:$U$3</c:f>
              <c:strCache>
                <c:ptCount val="2"/>
                <c:pt idx="0">
                  <c:v>KL3ASH1</c:v>
                </c:pt>
                <c:pt idx="1">
                  <c:v>K3IS4</c:v>
                </c:pt>
              </c:strCache>
            </c:strRef>
          </c:cat>
          <c:val>
            <c:numRef>
              <c:f>Sheet1!$V$2:$V$3</c:f>
              <c:numCache>
                <c:formatCode>General</c:formatCode>
                <c:ptCount val="2"/>
                <c:pt idx="0">
                  <c:v>6.9000000000000006E-2</c:v>
                </c:pt>
                <c:pt idx="1">
                  <c:v>4.3999999999999997E-2</c:v>
                </c:pt>
              </c:numCache>
            </c:numRef>
          </c:val>
          <c:extLst>
            <c:ext xmlns:c16="http://schemas.microsoft.com/office/drawing/2014/chart" uri="{C3380CC4-5D6E-409C-BE32-E72D297353CC}">
              <c16:uniqueId val="{00000000-2A12-40C4-93E0-A1CAABA82C2A}"/>
            </c:ext>
          </c:extLst>
        </c:ser>
        <c:dLbls>
          <c:showLegendKey val="0"/>
          <c:showVal val="0"/>
          <c:showCatName val="0"/>
          <c:showSerName val="0"/>
          <c:showPercent val="0"/>
          <c:showBubbleSize val="0"/>
        </c:dLbls>
        <c:gapWidth val="219"/>
        <c:overlap val="-27"/>
        <c:axId val="1406310256"/>
        <c:axId val="1406311088"/>
      </c:barChart>
      <c:catAx>
        <c:axId val="1406310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a:t>
                </a:r>
                <a:r>
                  <a:rPr lang="en-US" baseline="0"/>
                  <a:t> code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311088"/>
        <c:crosses val="autoZero"/>
        <c:auto val="1"/>
        <c:lblAlgn val="ctr"/>
        <c:lblOffset val="100"/>
        <c:noMultiLvlLbl val="0"/>
      </c:catAx>
      <c:valAx>
        <c:axId val="1406311088"/>
        <c:scaling>
          <c:orientation val="minMax"/>
          <c:max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Nitrogenase activity (</a:t>
                </a:r>
                <a:r>
                  <a:rPr lang="el-GR"/>
                  <a:t>μ</a:t>
                </a:r>
                <a:r>
                  <a:rPr lang="en-US"/>
                  <a:t>mol C₂H₄/mL/hour)</a:t>
                </a:r>
              </a:p>
            </c:rich>
          </c:tx>
          <c:layout>
            <c:manualLayout>
              <c:xMode val="edge"/>
              <c:yMode val="edge"/>
              <c:x val="1.9444444444444445E-2"/>
              <c:y val="0.243441236512102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310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12</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89</cp:revision>
  <dcterms:created xsi:type="dcterms:W3CDTF">2025-04-16T10:06:00Z</dcterms:created>
  <dcterms:modified xsi:type="dcterms:W3CDTF">2025-05-08T13:10:00Z</dcterms:modified>
</cp:coreProperties>
</file>