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8D45F" w14:textId="77777777" w:rsidR="00732EF1" w:rsidRDefault="00732EF1">
      <w:pPr>
        <w:pStyle w:val="Title"/>
        <w:spacing w:after="0"/>
        <w:rPr>
          <w:rFonts w:ascii="Arial" w:hAnsi="Arial" w:cs="Arial"/>
        </w:rPr>
      </w:pPr>
      <w:bookmarkStart w:id="0" w:name="_GoBack"/>
      <w:bookmarkEnd w:id="0"/>
    </w:p>
    <w:p w14:paraId="3E830F8A" w14:textId="77777777" w:rsidR="006937B1" w:rsidRPr="006937B1" w:rsidRDefault="006937B1" w:rsidP="006937B1">
      <w:pPr>
        <w:jc w:val="right"/>
        <w:rPr>
          <w:rFonts w:ascii="Arial" w:hAnsi="Arial" w:cs="Arial"/>
          <w:b/>
          <w:bCs/>
          <w:i/>
          <w:iCs/>
          <w:sz w:val="28"/>
          <w:szCs w:val="24"/>
          <w:u w:val="single"/>
        </w:rPr>
      </w:pPr>
      <w:r w:rsidRPr="006937B1">
        <w:rPr>
          <w:rFonts w:ascii="Arial" w:hAnsi="Arial" w:cs="Arial"/>
          <w:b/>
          <w:bCs/>
          <w:i/>
          <w:iCs/>
          <w:sz w:val="28"/>
          <w:szCs w:val="24"/>
          <w:u w:val="single"/>
        </w:rPr>
        <w:t xml:space="preserve">Case report </w:t>
      </w:r>
    </w:p>
    <w:p w14:paraId="2D180838" w14:textId="3D7BEE6A" w:rsidR="00732EF1" w:rsidRDefault="004D22CD">
      <w:pPr>
        <w:jc w:val="right"/>
        <w:rPr>
          <w:rFonts w:ascii="Arial" w:hAnsi="Arial" w:cs="Arial"/>
          <w:b/>
          <w:bCs/>
          <w:sz w:val="28"/>
          <w:szCs w:val="24"/>
        </w:rPr>
      </w:pPr>
      <w:r>
        <w:rPr>
          <w:rFonts w:ascii="Arial" w:hAnsi="Arial" w:cs="Arial"/>
          <w:b/>
          <w:bCs/>
          <w:sz w:val="28"/>
          <w:szCs w:val="24"/>
        </w:rPr>
        <w:t>RIGHT SIDED EMPYEMA WITH NECROTISING PNEUMONIA: A CASE REPORT</w:t>
      </w:r>
    </w:p>
    <w:p w14:paraId="0E001FAB" w14:textId="77777777" w:rsidR="00732EF1" w:rsidRDefault="00732EF1">
      <w:pPr>
        <w:pStyle w:val="Author"/>
        <w:spacing w:line="240" w:lineRule="auto"/>
        <w:rPr>
          <w:rFonts w:ascii="Arial" w:hAnsi="Arial" w:cs="Arial"/>
          <w:sz w:val="36"/>
        </w:rPr>
      </w:pPr>
    </w:p>
    <w:p w14:paraId="3D54828B" w14:textId="77777777" w:rsidR="00732EF1" w:rsidRDefault="004D22CD">
      <w:pPr>
        <w:pStyle w:val="AbstHead"/>
        <w:spacing w:after="0"/>
        <w:jc w:val="both"/>
        <w:rPr>
          <w:rFonts w:ascii="Arial" w:hAnsi="Arial" w:cs="Arial"/>
        </w:rPr>
      </w:pPr>
      <w:r>
        <w:rPr>
          <w:rFonts w:ascii="Arial" w:hAnsi="Arial" w:cs="Arial"/>
        </w:rPr>
        <w:t>ABSTRACT</w:t>
      </w:r>
    </w:p>
    <w:p w14:paraId="6E20D7EC" w14:textId="77777777" w:rsidR="00732EF1" w:rsidRDefault="00732EF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32EF1" w14:paraId="4F1DA2DC" w14:textId="77777777">
        <w:tc>
          <w:tcPr>
            <w:tcW w:w="9576" w:type="dxa"/>
            <w:shd w:val="clear" w:color="auto" w:fill="F2F2F2"/>
          </w:tcPr>
          <w:p w14:paraId="7D08793C" w14:textId="77777777" w:rsidR="00732EF1" w:rsidRDefault="004D22CD">
            <w:pPr>
              <w:spacing w:line="360" w:lineRule="auto"/>
              <w:jc w:val="both"/>
              <w:rPr>
                <w:rFonts w:ascii="Arial" w:eastAsia="Calibri" w:hAnsi="Arial" w:cs="Arial"/>
                <w:szCs w:val="22"/>
              </w:rPr>
            </w:pPr>
            <w:r>
              <w:rPr>
                <w:rFonts w:ascii="Arial" w:eastAsia="Calibri" w:hAnsi="Arial" w:cs="Arial"/>
                <w:b/>
                <w:szCs w:val="22"/>
              </w:rPr>
              <w:t xml:space="preserve">AIM: </w:t>
            </w:r>
            <w:r>
              <w:rPr>
                <w:rFonts w:ascii="Arial" w:eastAsia="Calibri" w:hAnsi="Arial" w:cs="Arial"/>
                <w:szCs w:val="22"/>
              </w:rPr>
              <w:t xml:space="preserve">Empyema is a rare complication of pneumonia resulting from the accumulation of </w:t>
            </w:r>
            <w:proofErr w:type="spellStart"/>
            <w:r>
              <w:rPr>
                <w:rFonts w:ascii="Arial" w:eastAsia="Calibri" w:hAnsi="Arial" w:cs="Arial"/>
                <w:szCs w:val="22"/>
              </w:rPr>
              <w:t>pusin</w:t>
            </w:r>
            <w:proofErr w:type="spellEnd"/>
            <w:r>
              <w:rPr>
                <w:rFonts w:ascii="Arial" w:eastAsia="Calibri" w:hAnsi="Arial" w:cs="Arial"/>
                <w:szCs w:val="22"/>
              </w:rPr>
              <w:t xml:space="preserve"> the pleural space as a result of impairment of host defense and bacterial virulence. About zero.6% of children laid low with pneumonia progress to empyema as in line with research.</w:t>
            </w:r>
          </w:p>
          <w:p w14:paraId="491FE06B" w14:textId="77777777" w:rsidR="00732EF1" w:rsidRDefault="004D22CD">
            <w:pPr>
              <w:spacing w:line="360" w:lineRule="auto"/>
              <w:jc w:val="both"/>
              <w:rPr>
                <w:rFonts w:ascii="Arial" w:eastAsia="Calibri" w:hAnsi="Arial" w:cs="Arial"/>
                <w:szCs w:val="22"/>
              </w:rPr>
            </w:pPr>
            <w:r>
              <w:rPr>
                <w:rFonts w:ascii="Arial" w:eastAsia="Calibri" w:hAnsi="Arial" w:cs="Arial"/>
                <w:b/>
                <w:szCs w:val="22"/>
              </w:rPr>
              <w:t xml:space="preserve">CASE PRESENTATION: </w:t>
            </w:r>
            <w:r>
              <w:rPr>
                <w:rFonts w:ascii="Arial" w:eastAsia="Calibri" w:hAnsi="Arial" w:cs="Arial"/>
                <w:szCs w:val="22"/>
              </w:rPr>
              <w:t xml:space="preserve">Here we discussed a case of right sided empyema with necrotizing pneumonia in a </w:t>
            </w:r>
            <w:proofErr w:type="gramStart"/>
            <w:r>
              <w:rPr>
                <w:rFonts w:ascii="Arial" w:eastAsia="Calibri" w:hAnsi="Arial" w:cs="Arial"/>
                <w:szCs w:val="22"/>
              </w:rPr>
              <w:t>one year</w:t>
            </w:r>
            <w:proofErr w:type="gramEnd"/>
            <w:r>
              <w:rPr>
                <w:rFonts w:ascii="Arial" w:eastAsia="Calibri" w:hAnsi="Arial" w:cs="Arial"/>
                <w:szCs w:val="22"/>
              </w:rPr>
              <w:t xml:space="preserve"> old female pediatric patient.</w:t>
            </w:r>
          </w:p>
          <w:p w14:paraId="66F138D1" w14:textId="77777777" w:rsidR="00732EF1" w:rsidRDefault="004D22CD">
            <w:pPr>
              <w:spacing w:line="360" w:lineRule="auto"/>
              <w:jc w:val="both"/>
              <w:rPr>
                <w:rFonts w:ascii="Arial" w:eastAsia="Calibri" w:hAnsi="Arial" w:cs="Arial"/>
                <w:b/>
                <w:szCs w:val="22"/>
              </w:rPr>
            </w:pPr>
            <w:r>
              <w:rPr>
                <w:rFonts w:ascii="Arial" w:eastAsia="Calibri" w:hAnsi="Arial" w:cs="Arial"/>
                <w:b/>
                <w:szCs w:val="22"/>
              </w:rPr>
              <w:t xml:space="preserve">DISCUSSSION </w:t>
            </w:r>
            <w:r>
              <w:rPr>
                <w:rFonts w:ascii="Arial" w:eastAsia="Calibri" w:hAnsi="Arial" w:cs="Arial"/>
                <w:szCs w:val="22"/>
              </w:rPr>
              <w:t>AND CONCLUSION: Our patient case underscores the critical importance of early recognition and aggressive management of empyema and necrotizing pneumonia in children. Clinicians should maintain a high index of suspicion for these complication -compromised respiratory function, fever and bluish skin discoloration. Advanced imaging and microbiological testing are crucial in guiding diagnosis and treatment.</w:t>
            </w:r>
          </w:p>
        </w:tc>
      </w:tr>
    </w:tbl>
    <w:p w14:paraId="3EFDB235" w14:textId="77777777" w:rsidR="00732EF1" w:rsidRDefault="00732EF1">
      <w:pPr>
        <w:pStyle w:val="Body"/>
        <w:spacing w:after="0"/>
        <w:rPr>
          <w:rFonts w:ascii="Arial" w:hAnsi="Arial" w:cs="Arial"/>
          <w:i/>
        </w:rPr>
      </w:pPr>
    </w:p>
    <w:p w14:paraId="25AA5E64" w14:textId="77777777" w:rsidR="00732EF1" w:rsidRDefault="004D22CD">
      <w:pPr>
        <w:pStyle w:val="Body"/>
        <w:spacing w:after="0"/>
        <w:rPr>
          <w:rFonts w:ascii="Arial" w:hAnsi="Arial" w:cs="Arial"/>
          <w:i/>
        </w:rPr>
      </w:pPr>
      <w:r>
        <w:rPr>
          <w:rFonts w:ascii="Arial" w:hAnsi="Arial" w:cs="Arial"/>
          <w:i/>
        </w:rPr>
        <w:t xml:space="preserve">Keywords: Empyema, </w:t>
      </w:r>
      <w:proofErr w:type="spellStart"/>
      <w:r>
        <w:rPr>
          <w:rFonts w:ascii="Arial" w:hAnsi="Arial" w:cs="Arial"/>
          <w:i/>
        </w:rPr>
        <w:t>Necrotising</w:t>
      </w:r>
      <w:proofErr w:type="spellEnd"/>
      <w:r>
        <w:rPr>
          <w:rFonts w:ascii="Arial" w:hAnsi="Arial" w:cs="Arial"/>
          <w:i/>
        </w:rPr>
        <w:t xml:space="preserve"> pneumonia (NP), community acquired pneumonia, video-assisted thoracoscopic surgery (VATS).</w:t>
      </w:r>
    </w:p>
    <w:p w14:paraId="13F3F294" w14:textId="77777777" w:rsidR="00732EF1" w:rsidRDefault="00732EF1">
      <w:pPr>
        <w:pStyle w:val="Body"/>
        <w:spacing w:after="0"/>
        <w:rPr>
          <w:rFonts w:ascii="Arial" w:hAnsi="Arial" w:cs="Arial"/>
          <w:i/>
        </w:rPr>
      </w:pPr>
    </w:p>
    <w:p w14:paraId="10ADDFDA" w14:textId="77777777" w:rsidR="00732EF1" w:rsidRDefault="00732EF1">
      <w:pPr>
        <w:pStyle w:val="Body"/>
        <w:spacing w:after="0"/>
        <w:rPr>
          <w:rFonts w:ascii="Arial" w:hAnsi="Arial" w:cs="Arial"/>
          <w:i/>
          <w:sz w:val="18"/>
        </w:rPr>
      </w:pPr>
    </w:p>
    <w:p w14:paraId="797157A1" w14:textId="77777777" w:rsidR="00732EF1" w:rsidRDefault="00732EF1">
      <w:pPr>
        <w:pStyle w:val="Body"/>
        <w:spacing w:after="0"/>
        <w:rPr>
          <w:rFonts w:ascii="Arial" w:hAnsi="Arial" w:cs="Arial"/>
          <w:i/>
        </w:rPr>
      </w:pPr>
    </w:p>
    <w:p w14:paraId="0C3BA67D" w14:textId="77777777" w:rsidR="00732EF1" w:rsidRDefault="004D22CD">
      <w:pPr>
        <w:pStyle w:val="AbstHead"/>
        <w:spacing w:after="0"/>
        <w:jc w:val="both"/>
        <w:rPr>
          <w:rFonts w:ascii="Arial" w:hAnsi="Arial" w:cs="Arial"/>
        </w:rPr>
      </w:pPr>
      <w:r>
        <w:rPr>
          <w:rFonts w:ascii="Arial" w:hAnsi="Arial" w:cs="Arial"/>
        </w:rPr>
        <w:t xml:space="preserve">1. INTRODUCTION </w:t>
      </w:r>
    </w:p>
    <w:p w14:paraId="676ECB92" w14:textId="77777777" w:rsidR="00732EF1" w:rsidRDefault="00732EF1">
      <w:pPr>
        <w:pStyle w:val="AbstHead"/>
        <w:spacing w:after="0"/>
        <w:jc w:val="both"/>
        <w:rPr>
          <w:rFonts w:ascii="Arial" w:hAnsi="Arial" w:cs="Arial"/>
        </w:rPr>
      </w:pPr>
    </w:p>
    <w:p w14:paraId="208488CB" w14:textId="77777777" w:rsidR="00732EF1" w:rsidRDefault="004D22CD">
      <w:pPr>
        <w:pStyle w:val="Body"/>
        <w:rPr>
          <w:rFonts w:ascii="Arial" w:hAnsi="Arial" w:cs="Arial"/>
        </w:rPr>
      </w:pPr>
      <w:r>
        <w:rPr>
          <w:rFonts w:ascii="Arial" w:hAnsi="Arial" w:cs="Arial"/>
        </w:rPr>
        <w:t xml:space="preserve">Empyema is a rare complication of pneumonia resulting from the accumulation of </w:t>
      </w:r>
      <w:proofErr w:type="spellStart"/>
      <w:r>
        <w:rPr>
          <w:rFonts w:ascii="Arial" w:hAnsi="Arial" w:cs="Arial"/>
        </w:rPr>
        <w:t>pusin</w:t>
      </w:r>
      <w:proofErr w:type="spellEnd"/>
      <w:r>
        <w:rPr>
          <w:rFonts w:ascii="Arial" w:hAnsi="Arial" w:cs="Arial"/>
        </w:rPr>
        <w:t xml:space="preserve"> the pleural space as a result of impairment of host defense and bacterial virulence.[1]about zero.6% of children laid low with pneumonia progress to empyema as in line with research.[2] Even after growth vaccination insurance and advances in antibiotics, occurrence of empyema instances is on the upward push due to multi drug resistant pathogens, behind schedule prognosis, and comorbid situations consisting of </w:t>
      </w:r>
      <w:proofErr w:type="spellStart"/>
      <w:r>
        <w:rPr>
          <w:rFonts w:ascii="Arial" w:hAnsi="Arial" w:cs="Arial"/>
        </w:rPr>
        <w:t>malnutrition,poverty,tuberculosis</w:t>
      </w:r>
      <w:proofErr w:type="spellEnd"/>
      <w:r>
        <w:rPr>
          <w:rFonts w:ascii="Arial" w:hAnsi="Arial" w:cs="Arial"/>
        </w:rPr>
        <w:t>.[3]Fever, chills, cough, shortness of breath, and chest pain are symptoms of empyema.[4]Recent studies have shown that treatments such as fibrinolytics, intercostal chest drain(ICD)</w:t>
      </w:r>
      <w:proofErr w:type="spellStart"/>
      <w:r>
        <w:rPr>
          <w:rFonts w:ascii="Arial" w:hAnsi="Arial" w:cs="Arial"/>
        </w:rPr>
        <w:t>videoassisted</w:t>
      </w:r>
      <w:proofErr w:type="spellEnd"/>
      <w:r>
        <w:rPr>
          <w:rFonts w:ascii="Arial" w:hAnsi="Arial" w:cs="Arial"/>
        </w:rPr>
        <w:t xml:space="preserve"> thoracoscopic surgery (VATS), and cosmetic surgery provide better outcomes as an adjunct to healthcare.[5]Necrotizing Pneumonia (NP) is a rare complication of </w:t>
      </w:r>
      <w:proofErr w:type="spellStart"/>
      <w:r>
        <w:rPr>
          <w:rFonts w:ascii="Arial" w:hAnsi="Arial" w:cs="Arial"/>
        </w:rPr>
        <w:t>communityacquired</w:t>
      </w:r>
      <w:proofErr w:type="spellEnd"/>
      <w:r>
        <w:rPr>
          <w:rFonts w:ascii="Arial" w:hAnsi="Arial" w:cs="Arial"/>
        </w:rPr>
        <w:t xml:space="preserve"> Pneumonia(CAP) characterized by severe disease, prolonged hospitalization, and disease duration.[6]Complications are reported in 3% of CAP cases in the UK. Although NP alone and the presence </w:t>
      </w:r>
      <w:proofErr w:type="spellStart"/>
      <w:r>
        <w:rPr>
          <w:rFonts w:ascii="Arial" w:hAnsi="Arial" w:cs="Arial"/>
        </w:rPr>
        <w:t>ofone</w:t>
      </w:r>
      <w:proofErr w:type="spellEnd"/>
      <w:r>
        <w:rPr>
          <w:rFonts w:ascii="Arial" w:hAnsi="Arial" w:cs="Arial"/>
        </w:rPr>
        <w:t xml:space="preserve"> or more complications of CAP, such as parapneumonic effusion, empyema, lung abscess and local complications, are still considered rare, the incidence of NP in children is increasing.[7]A recent study has shown that NP is more common in children with complex diseases and </w:t>
      </w:r>
      <w:proofErr w:type="spellStart"/>
      <w:r>
        <w:rPr>
          <w:rFonts w:ascii="Arial" w:hAnsi="Arial" w:cs="Arial"/>
        </w:rPr>
        <w:t>hasa</w:t>
      </w:r>
      <w:proofErr w:type="spellEnd"/>
      <w:r>
        <w:rPr>
          <w:rFonts w:ascii="Arial" w:hAnsi="Arial" w:cs="Arial"/>
        </w:rPr>
        <w:t xml:space="preserve"> higher mortality rate than in healthy children.[8]NP is associated with a higher risk of complications including parapneumonic effusion, empyema, empyema, pneumothorax, purulent pneumothorax, septic shock, respiratory failure, hemolytic uremic syndrome (HUS), and bronchopleural fistulas (BPF).[9,10]</w:t>
      </w:r>
    </w:p>
    <w:p w14:paraId="178084AD" w14:textId="77777777" w:rsidR="00732EF1" w:rsidRDefault="004D22CD">
      <w:pPr>
        <w:pStyle w:val="Body"/>
        <w:rPr>
          <w:rFonts w:ascii="Arial" w:hAnsi="Arial" w:cs="Arial"/>
        </w:rPr>
      </w:pPr>
      <w:r>
        <w:rPr>
          <w:rFonts w:ascii="Arial" w:hAnsi="Arial" w:cs="Arial"/>
        </w:rPr>
        <w:lastRenderedPageBreak/>
        <w:t xml:space="preserve">NP may affect 0.8to7% of </w:t>
      </w:r>
      <w:proofErr w:type="spellStart"/>
      <w:r>
        <w:rPr>
          <w:rFonts w:ascii="Arial" w:hAnsi="Arial" w:cs="Arial"/>
        </w:rPr>
        <w:t>communityacquired</w:t>
      </w:r>
      <w:proofErr w:type="spellEnd"/>
      <w:r>
        <w:rPr>
          <w:rFonts w:ascii="Arial" w:hAnsi="Arial" w:cs="Arial"/>
        </w:rPr>
        <w:t xml:space="preserve"> pneumonia (CAP) cases11.Necrotizing pneumonia is generally considered a rare complication of pneumonia and occurs in approximately 1% of pneumonia </w:t>
      </w:r>
      <w:proofErr w:type="gramStart"/>
      <w:r>
        <w:rPr>
          <w:rFonts w:ascii="Arial" w:hAnsi="Arial" w:cs="Arial"/>
        </w:rPr>
        <w:t>cases.[</w:t>
      </w:r>
      <w:proofErr w:type="gramEnd"/>
      <w:r>
        <w:rPr>
          <w:rFonts w:ascii="Arial" w:hAnsi="Arial" w:cs="Arial"/>
        </w:rPr>
        <w:t xml:space="preserve">12]In recent years, studies have raised concerns that necrotizing pneumonia may be misdiagnosed due to inadequate radiological findings.[13]None of the 351 chest </w:t>
      </w:r>
      <w:proofErr w:type="spellStart"/>
      <w:r>
        <w:rPr>
          <w:rFonts w:ascii="Arial" w:hAnsi="Arial" w:cs="Arial"/>
        </w:rPr>
        <w:t>Xrays</w:t>
      </w:r>
      <w:proofErr w:type="spellEnd"/>
      <w:r>
        <w:rPr>
          <w:rFonts w:ascii="Arial" w:hAnsi="Arial" w:cs="Arial"/>
        </w:rPr>
        <w:t xml:space="preserve"> showed evidence of necrotizing pneumonia, but after reevaluation this number increased to eight. Similarly, 6 of the 136 CT scans showed evidence of necrotizing pneumonia, but after reevaluation this number increased to eight.[13]</w:t>
      </w:r>
    </w:p>
    <w:p w14:paraId="386EABC7" w14:textId="77777777" w:rsidR="00732EF1" w:rsidRDefault="00732EF1">
      <w:pPr>
        <w:pStyle w:val="Body"/>
        <w:spacing w:after="0"/>
        <w:rPr>
          <w:rFonts w:ascii="Arial" w:hAnsi="Arial" w:cs="Arial"/>
        </w:rPr>
      </w:pPr>
    </w:p>
    <w:p w14:paraId="08C0BD59" w14:textId="77777777" w:rsidR="00732EF1" w:rsidRDefault="004D22CD">
      <w:pPr>
        <w:pStyle w:val="AbstHead"/>
        <w:spacing w:after="0"/>
        <w:jc w:val="both"/>
        <w:rPr>
          <w:rFonts w:ascii="Arial" w:hAnsi="Arial" w:cs="Arial"/>
        </w:rPr>
      </w:pPr>
      <w:r>
        <w:rPr>
          <w:rFonts w:ascii="Arial" w:hAnsi="Arial" w:cs="Arial"/>
        </w:rPr>
        <w:t>2. CASE PRESENTATION</w:t>
      </w:r>
    </w:p>
    <w:p w14:paraId="652CC0D1" w14:textId="77777777" w:rsidR="00732EF1" w:rsidRDefault="00732EF1">
      <w:pPr>
        <w:pStyle w:val="AbstHead"/>
        <w:spacing w:after="0"/>
        <w:jc w:val="both"/>
        <w:rPr>
          <w:rFonts w:ascii="Arial" w:hAnsi="Arial" w:cs="Arial"/>
        </w:rPr>
      </w:pPr>
    </w:p>
    <w:p w14:paraId="00EE08B1" w14:textId="77777777" w:rsidR="00732EF1" w:rsidRDefault="004D22CD">
      <w:pPr>
        <w:pStyle w:val="Body"/>
        <w:rPr>
          <w:rFonts w:ascii="Arial" w:hAnsi="Arial" w:cs="Arial"/>
        </w:rPr>
      </w:pPr>
      <w:r>
        <w:rPr>
          <w:rFonts w:ascii="Arial" w:hAnsi="Arial" w:cs="Arial"/>
        </w:rPr>
        <w:t xml:space="preserve">A one-year-old female patient, weighing 9.6kg was referred from </w:t>
      </w:r>
      <w:proofErr w:type="spellStart"/>
      <w:r>
        <w:rPr>
          <w:rFonts w:ascii="Arial" w:hAnsi="Arial" w:cs="Arial"/>
        </w:rPr>
        <w:t>Ovem</w:t>
      </w:r>
      <w:proofErr w:type="spellEnd"/>
      <w:r>
        <w:rPr>
          <w:rFonts w:ascii="Arial" w:hAnsi="Arial" w:cs="Arial"/>
        </w:rPr>
        <w:t xml:space="preserve"> hospital and presented to the pediatric Emergency department of Aster CMI Hospital </w:t>
      </w:r>
      <w:proofErr w:type="spellStart"/>
      <w:r>
        <w:rPr>
          <w:rFonts w:ascii="Arial" w:hAnsi="Arial" w:cs="Arial"/>
        </w:rPr>
        <w:t>Banglore</w:t>
      </w:r>
      <w:proofErr w:type="spellEnd"/>
      <w:r>
        <w:rPr>
          <w:rFonts w:ascii="Arial" w:hAnsi="Arial" w:cs="Arial"/>
        </w:rPr>
        <w:t>. The primary concern was intermittent high-grade fever, cough, and cold for the past week, accompanied by post-tussive vomiting. Additionally, the child had poor oral intake, hurried breathing, and reduced activity for one day prior to presentation. The patient had already been started on oxygen via nasal prongs and was receiving injectable ceftriaxone and amikacin for one day. There was no relevant past medical history.</w:t>
      </w:r>
    </w:p>
    <w:p w14:paraId="46D01DF5" w14:textId="77777777" w:rsidR="00732EF1" w:rsidRDefault="00732EF1">
      <w:pPr>
        <w:pStyle w:val="Body"/>
        <w:rPr>
          <w:rFonts w:ascii="Arial" w:hAnsi="Arial" w:cs="Arial"/>
        </w:rPr>
      </w:pPr>
    </w:p>
    <w:p w14:paraId="36A0F029" w14:textId="2F65A5E2" w:rsidR="00732EF1" w:rsidRDefault="004D22CD">
      <w:pPr>
        <w:pStyle w:val="Body"/>
        <w:rPr>
          <w:rFonts w:ascii="Arial" w:hAnsi="Arial" w:cs="Arial"/>
        </w:rPr>
      </w:pPr>
      <w:r>
        <w:rPr>
          <w:rFonts w:ascii="Arial" w:hAnsi="Arial" w:cs="Arial"/>
        </w:rPr>
        <w:t xml:space="preserve">On examination, the patient appeared ill and was noted to have pallor. There was positive increased capillary refill time, nasal flaring and grunting along with increased work of breathing. Reduced air entry was observed on the right side, with bilateral crepitation noted(right&gt;left). Her temperature was </w:t>
      </w:r>
      <w:proofErr w:type="gramStart"/>
      <w:r>
        <w:rPr>
          <w:rFonts w:ascii="Arial" w:hAnsi="Arial" w:cs="Arial"/>
        </w:rPr>
        <w:t>101.1 degree</w:t>
      </w:r>
      <w:proofErr w:type="gramEnd"/>
      <w:r>
        <w:rPr>
          <w:rFonts w:ascii="Arial" w:hAnsi="Arial" w:cs="Arial"/>
        </w:rPr>
        <w:t xml:space="preserve"> F, respiratory was 76 breaths/minute, and her heart rate was 166 beats/minute, capillary refill time CRT was&lt;2sec. Laboratory findings revealed significantly low hemoglobin (Hb), red blood cells (RBC), packed cell volume (PCV), platelets, and lymphocytes. Neutrophil levels were elevated. Blood culture results were negative, while C-reactive protein (CRP) was markedly elevated at 306mg/L.HIV, HBsAg, and HCV tests were non-reactive.</w:t>
      </w:r>
      <w:r w:rsidR="00201E62">
        <w:rPr>
          <w:rFonts w:ascii="Arial" w:hAnsi="Arial" w:cs="Arial"/>
        </w:rPr>
        <w:t xml:space="preserve"> </w:t>
      </w:r>
      <w:r>
        <w:rPr>
          <w:rFonts w:ascii="Arial" w:hAnsi="Arial" w:cs="Arial"/>
        </w:rPr>
        <w:t>Day-1 blood test results are presented in Table1.</w:t>
      </w:r>
    </w:p>
    <w:p w14:paraId="572A2E5C" w14:textId="3BD7EC8A" w:rsidR="00732EF1" w:rsidRDefault="004D22CD">
      <w:pPr>
        <w:pStyle w:val="Body"/>
        <w:rPr>
          <w:rFonts w:ascii="Arial" w:hAnsi="Arial" w:cs="Arial"/>
        </w:rPr>
      </w:pPr>
      <w:r>
        <w:rPr>
          <w:rFonts w:ascii="Arial" w:hAnsi="Arial" w:cs="Arial"/>
        </w:rPr>
        <w:t>TABLE 1:</w:t>
      </w:r>
      <w:r w:rsidR="009B7C71" w:rsidRPr="009B7C71">
        <w:rPr>
          <w:rFonts w:ascii="Arial" w:hAnsi="Arial" w:cs="Arial"/>
        </w:rPr>
        <w:t xml:space="preserve"> </w:t>
      </w:r>
      <w:r w:rsidR="00201E62">
        <w:rPr>
          <w:rFonts w:ascii="Arial" w:hAnsi="Arial" w:cs="Arial"/>
        </w:rPr>
        <w:t xml:space="preserve">Results </w:t>
      </w:r>
      <w:r w:rsidR="009B7C71">
        <w:rPr>
          <w:rFonts w:ascii="Arial" w:hAnsi="Arial" w:cs="Arial"/>
        </w:rPr>
        <w:t xml:space="preserve">blood test </w:t>
      </w:r>
      <w:r w:rsidR="00201E62">
        <w:rPr>
          <w:rFonts w:ascii="Arial" w:hAnsi="Arial" w:cs="Arial"/>
        </w:rPr>
        <w:t>(Day 1)</w:t>
      </w:r>
    </w:p>
    <w:tbl>
      <w:tblPr>
        <w:tblStyle w:val="TableGrid"/>
        <w:tblW w:w="5000" w:type="pct"/>
        <w:tblLook w:val="04A0" w:firstRow="1" w:lastRow="0" w:firstColumn="1" w:lastColumn="0" w:noHBand="0" w:noVBand="1"/>
      </w:tblPr>
      <w:tblGrid>
        <w:gridCol w:w="1895"/>
        <w:gridCol w:w="1305"/>
        <w:gridCol w:w="1306"/>
        <w:gridCol w:w="1306"/>
        <w:gridCol w:w="1306"/>
        <w:gridCol w:w="1306"/>
      </w:tblGrid>
      <w:tr w:rsidR="00732EF1" w14:paraId="07868616" w14:textId="77777777" w:rsidTr="009B7C71">
        <w:tc>
          <w:tcPr>
            <w:tcW w:w="833" w:type="pct"/>
          </w:tcPr>
          <w:p w14:paraId="0841549E"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BLOOD ANALYSIS</w:t>
            </w:r>
          </w:p>
        </w:tc>
        <w:tc>
          <w:tcPr>
            <w:tcW w:w="833" w:type="pct"/>
          </w:tcPr>
          <w:p w14:paraId="4D57F908"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DAY -1</w:t>
            </w:r>
          </w:p>
        </w:tc>
        <w:tc>
          <w:tcPr>
            <w:tcW w:w="833" w:type="pct"/>
          </w:tcPr>
          <w:p w14:paraId="42F97442"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NORMAL RANGE</w:t>
            </w:r>
          </w:p>
        </w:tc>
        <w:tc>
          <w:tcPr>
            <w:tcW w:w="833" w:type="pct"/>
          </w:tcPr>
          <w:p w14:paraId="76EDE556" w14:textId="77777777" w:rsidR="00732EF1" w:rsidRDefault="00732EF1">
            <w:pPr>
              <w:pStyle w:val="Body"/>
              <w:rPr>
                <w:rFonts w:ascii="Arial" w:hAnsi="Arial" w:cs="Arial"/>
              </w:rPr>
            </w:pPr>
          </w:p>
        </w:tc>
        <w:tc>
          <w:tcPr>
            <w:tcW w:w="833" w:type="pct"/>
          </w:tcPr>
          <w:p w14:paraId="1F83FA86" w14:textId="77777777" w:rsidR="00732EF1" w:rsidRDefault="00732EF1">
            <w:pPr>
              <w:pStyle w:val="Body"/>
              <w:rPr>
                <w:rFonts w:ascii="Arial" w:hAnsi="Arial" w:cs="Arial"/>
              </w:rPr>
            </w:pPr>
          </w:p>
        </w:tc>
        <w:tc>
          <w:tcPr>
            <w:tcW w:w="833" w:type="pct"/>
          </w:tcPr>
          <w:p w14:paraId="252E97E9" w14:textId="77777777" w:rsidR="00732EF1" w:rsidRDefault="00732EF1">
            <w:pPr>
              <w:pStyle w:val="Body"/>
              <w:rPr>
                <w:rFonts w:ascii="Arial" w:hAnsi="Arial" w:cs="Arial"/>
              </w:rPr>
            </w:pPr>
          </w:p>
        </w:tc>
      </w:tr>
      <w:tr w:rsidR="00732EF1" w14:paraId="37736984" w14:textId="77777777" w:rsidTr="009B7C71">
        <w:tc>
          <w:tcPr>
            <w:tcW w:w="833" w:type="pct"/>
          </w:tcPr>
          <w:p w14:paraId="4ED2B58F"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Hemoglobin</w:t>
            </w:r>
          </w:p>
        </w:tc>
        <w:tc>
          <w:tcPr>
            <w:tcW w:w="833" w:type="pct"/>
          </w:tcPr>
          <w:p w14:paraId="048C184D"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6.6</w:t>
            </w:r>
          </w:p>
        </w:tc>
        <w:tc>
          <w:tcPr>
            <w:tcW w:w="833" w:type="pct"/>
          </w:tcPr>
          <w:p w14:paraId="0D8D044A"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11.1-14.1 g/dl</w:t>
            </w:r>
          </w:p>
        </w:tc>
        <w:tc>
          <w:tcPr>
            <w:tcW w:w="833" w:type="pct"/>
          </w:tcPr>
          <w:p w14:paraId="75EA34D7" w14:textId="77777777" w:rsidR="00732EF1" w:rsidRDefault="00732EF1">
            <w:pPr>
              <w:pStyle w:val="Body"/>
              <w:rPr>
                <w:rFonts w:ascii="Arial" w:hAnsi="Arial" w:cs="Arial"/>
              </w:rPr>
            </w:pPr>
          </w:p>
        </w:tc>
        <w:tc>
          <w:tcPr>
            <w:tcW w:w="833" w:type="pct"/>
          </w:tcPr>
          <w:p w14:paraId="34FA1185" w14:textId="77777777" w:rsidR="00732EF1" w:rsidRDefault="00732EF1">
            <w:pPr>
              <w:pStyle w:val="Body"/>
              <w:rPr>
                <w:rFonts w:ascii="Arial" w:hAnsi="Arial" w:cs="Arial"/>
              </w:rPr>
            </w:pPr>
          </w:p>
        </w:tc>
        <w:tc>
          <w:tcPr>
            <w:tcW w:w="833" w:type="pct"/>
          </w:tcPr>
          <w:p w14:paraId="787EE711" w14:textId="77777777" w:rsidR="00732EF1" w:rsidRDefault="00732EF1">
            <w:pPr>
              <w:pStyle w:val="Body"/>
              <w:rPr>
                <w:rFonts w:ascii="Arial" w:hAnsi="Arial" w:cs="Arial"/>
              </w:rPr>
            </w:pPr>
          </w:p>
        </w:tc>
      </w:tr>
      <w:tr w:rsidR="00732EF1" w14:paraId="7995710B" w14:textId="77777777" w:rsidTr="009B7C71">
        <w:tc>
          <w:tcPr>
            <w:tcW w:w="833" w:type="pct"/>
          </w:tcPr>
          <w:p w14:paraId="61A3CDFC"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RBC</w:t>
            </w:r>
          </w:p>
        </w:tc>
        <w:tc>
          <w:tcPr>
            <w:tcW w:w="833" w:type="pct"/>
          </w:tcPr>
          <w:p w14:paraId="64221F00"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2.83</w:t>
            </w:r>
          </w:p>
        </w:tc>
        <w:tc>
          <w:tcPr>
            <w:tcW w:w="833" w:type="pct"/>
          </w:tcPr>
          <w:p w14:paraId="0C0C36C5"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4-5.2 mill/mm3</w:t>
            </w:r>
          </w:p>
        </w:tc>
        <w:tc>
          <w:tcPr>
            <w:tcW w:w="833" w:type="pct"/>
          </w:tcPr>
          <w:p w14:paraId="4B9DC908" w14:textId="77777777" w:rsidR="00732EF1" w:rsidRDefault="00732EF1">
            <w:pPr>
              <w:pStyle w:val="Body"/>
              <w:rPr>
                <w:rFonts w:ascii="Arial" w:hAnsi="Arial" w:cs="Arial"/>
              </w:rPr>
            </w:pPr>
          </w:p>
        </w:tc>
        <w:tc>
          <w:tcPr>
            <w:tcW w:w="833" w:type="pct"/>
          </w:tcPr>
          <w:p w14:paraId="7F360AD9" w14:textId="77777777" w:rsidR="00732EF1" w:rsidRDefault="00732EF1">
            <w:pPr>
              <w:pStyle w:val="Body"/>
              <w:rPr>
                <w:rFonts w:ascii="Arial" w:hAnsi="Arial" w:cs="Arial"/>
              </w:rPr>
            </w:pPr>
          </w:p>
        </w:tc>
        <w:tc>
          <w:tcPr>
            <w:tcW w:w="833" w:type="pct"/>
          </w:tcPr>
          <w:p w14:paraId="574B29F5" w14:textId="77777777" w:rsidR="00732EF1" w:rsidRDefault="00732EF1">
            <w:pPr>
              <w:pStyle w:val="Body"/>
              <w:rPr>
                <w:rFonts w:ascii="Arial" w:hAnsi="Arial" w:cs="Arial"/>
              </w:rPr>
            </w:pPr>
          </w:p>
        </w:tc>
      </w:tr>
      <w:tr w:rsidR="00732EF1" w14:paraId="4A12A23A" w14:textId="77777777" w:rsidTr="009B7C71">
        <w:tc>
          <w:tcPr>
            <w:tcW w:w="833" w:type="pct"/>
          </w:tcPr>
          <w:p w14:paraId="751EB96A"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PCV</w:t>
            </w:r>
          </w:p>
        </w:tc>
        <w:tc>
          <w:tcPr>
            <w:tcW w:w="833" w:type="pct"/>
          </w:tcPr>
          <w:p w14:paraId="36BC129E"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20.1</w:t>
            </w:r>
          </w:p>
        </w:tc>
        <w:tc>
          <w:tcPr>
            <w:tcW w:w="833" w:type="pct"/>
          </w:tcPr>
          <w:p w14:paraId="6822FBA8"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30-38 %</w:t>
            </w:r>
          </w:p>
        </w:tc>
        <w:tc>
          <w:tcPr>
            <w:tcW w:w="833" w:type="pct"/>
          </w:tcPr>
          <w:p w14:paraId="211D4814" w14:textId="77777777" w:rsidR="00732EF1" w:rsidRDefault="00732EF1">
            <w:pPr>
              <w:pStyle w:val="Body"/>
              <w:rPr>
                <w:rFonts w:ascii="Arial" w:hAnsi="Arial" w:cs="Arial"/>
              </w:rPr>
            </w:pPr>
          </w:p>
        </w:tc>
        <w:tc>
          <w:tcPr>
            <w:tcW w:w="833" w:type="pct"/>
          </w:tcPr>
          <w:p w14:paraId="7B62FE41" w14:textId="77777777" w:rsidR="00732EF1" w:rsidRDefault="00732EF1">
            <w:pPr>
              <w:pStyle w:val="Body"/>
              <w:rPr>
                <w:rFonts w:ascii="Arial" w:hAnsi="Arial" w:cs="Arial"/>
              </w:rPr>
            </w:pPr>
          </w:p>
        </w:tc>
        <w:tc>
          <w:tcPr>
            <w:tcW w:w="833" w:type="pct"/>
          </w:tcPr>
          <w:p w14:paraId="1FC0FF66" w14:textId="77777777" w:rsidR="00732EF1" w:rsidRDefault="00732EF1">
            <w:pPr>
              <w:pStyle w:val="Body"/>
              <w:rPr>
                <w:rFonts w:ascii="Arial" w:hAnsi="Arial" w:cs="Arial"/>
              </w:rPr>
            </w:pPr>
          </w:p>
        </w:tc>
      </w:tr>
      <w:tr w:rsidR="00732EF1" w14:paraId="46EC4C89" w14:textId="77777777" w:rsidTr="009B7C71">
        <w:tc>
          <w:tcPr>
            <w:tcW w:w="833" w:type="pct"/>
          </w:tcPr>
          <w:p w14:paraId="47E6716C"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MCV</w:t>
            </w:r>
          </w:p>
        </w:tc>
        <w:tc>
          <w:tcPr>
            <w:tcW w:w="833" w:type="pct"/>
          </w:tcPr>
          <w:p w14:paraId="6E9A1AB7"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71.2</w:t>
            </w:r>
          </w:p>
        </w:tc>
        <w:tc>
          <w:tcPr>
            <w:tcW w:w="833" w:type="pct"/>
          </w:tcPr>
          <w:p w14:paraId="28FFE08F"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75-87%</w:t>
            </w:r>
          </w:p>
        </w:tc>
        <w:tc>
          <w:tcPr>
            <w:tcW w:w="833" w:type="pct"/>
          </w:tcPr>
          <w:p w14:paraId="7B568E02" w14:textId="77777777" w:rsidR="00732EF1" w:rsidRDefault="00732EF1">
            <w:pPr>
              <w:pStyle w:val="Body"/>
              <w:rPr>
                <w:rFonts w:ascii="Arial" w:hAnsi="Arial" w:cs="Arial"/>
              </w:rPr>
            </w:pPr>
          </w:p>
        </w:tc>
        <w:tc>
          <w:tcPr>
            <w:tcW w:w="833" w:type="pct"/>
          </w:tcPr>
          <w:p w14:paraId="4292EE8B" w14:textId="77777777" w:rsidR="00732EF1" w:rsidRDefault="00732EF1">
            <w:pPr>
              <w:pStyle w:val="Body"/>
              <w:rPr>
                <w:rFonts w:ascii="Arial" w:hAnsi="Arial" w:cs="Arial"/>
              </w:rPr>
            </w:pPr>
          </w:p>
        </w:tc>
        <w:tc>
          <w:tcPr>
            <w:tcW w:w="833" w:type="pct"/>
          </w:tcPr>
          <w:p w14:paraId="19D6223D" w14:textId="77777777" w:rsidR="00732EF1" w:rsidRDefault="00732EF1">
            <w:pPr>
              <w:pStyle w:val="Body"/>
              <w:rPr>
                <w:rFonts w:ascii="Arial" w:hAnsi="Arial" w:cs="Arial"/>
              </w:rPr>
            </w:pPr>
          </w:p>
        </w:tc>
      </w:tr>
      <w:tr w:rsidR="00732EF1" w14:paraId="1AA9DFF4" w14:textId="77777777" w:rsidTr="009B7C71">
        <w:tc>
          <w:tcPr>
            <w:tcW w:w="833" w:type="pct"/>
          </w:tcPr>
          <w:p w14:paraId="7240FD75"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MCH</w:t>
            </w:r>
          </w:p>
        </w:tc>
        <w:tc>
          <w:tcPr>
            <w:tcW w:w="833" w:type="pct"/>
          </w:tcPr>
          <w:p w14:paraId="42485B9A"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23.3</w:t>
            </w:r>
          </w:p>
        </w:tc>
        <w:tc>
          <w:tcPr>
            <w:tcW w:w="833" w:type="pct"/>
          </w:tcPr>
          <w:p w14:paraId="6CEF0493"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 xml:space="preserve">25-29 </w:t>
            </w:r>
            <w:proofErr w:type="spellStart"/>
            <w:r>
              <w:rPr>
                <w:rFonts w:ascii="Arial" w:eastAsia="sans-serif" w:hAnsi="Arial" w:cs="Arial"/>
                <w:color w:val="000000" w:themeColor="text1"/>
                <w:sz w:val="20"/>
                <w:szCs w:val="20"/>
                <w:shd w:val="clear" w:color="auto" w:fill="FFFFFF"/>
              </w:rPr>
              <w:t>pg</w:t>
            </w:r>
            <w:proofErr w:type="spellEnd"/>
          </w:p>
        </w:tc>
        <w:tc>
          <w:tcPr>
            <w:tcW w:w="833" w:type="pct"/>
          </w:tcPr>
          <w:p w14:paraId="288F6F3E" w14:textId="77777777" w:rsidR="00732EF1" w:rsidRDefault="00732EF1">
            <w:pPr>
              <w:pStyle w:val="Body"/>
              <w:rPr>
                <w:rFonts w:ascii="Arial" w:hAnsi="Arial" w:cs="Arial"/>
              </w:rPr>
            </w:pPr>
          </w:p>
        </w:tc>
        <w:tc>
          <w:tcPr>
            <w:tcW w:w="833" w:type="pct"/>
          </w:tcPr>
          <w:p w14:paraId="21AB7079" w14:textId="77777777" w:rsidR="00732EF1" w:rsidRDefault="00732EF1">
            <w:pPr>
              <w:pStyle w:val="Body"/>
              <w:rPr>
                <w:rFonts w:ascii="Arial" w:hAnsi="Arial" w:cs="Arial"/>
              </w:rPr>
            </w:pPr>
          </w:p>
        </w:tc>
        <w:tc>
          <w:tcPr>
            <w:tcW w:w="833" w:type="pct"/>
          </w:tcPr>
          <w:p w14:paraId="4906885B" w14:textId="77777777" w:rsidR="00732EF1" w:rsidRDefault="00732EF1">
            <w:pPr>
              <w:pStyle w:val="Body"/>
              <w:rPr>
                <w:rFonts w:ascii="Arial" w:hAnsi="Arial" w:cs="Arial"/>
              </w:rPr>
            </w:pPr>
          </w:p>
        </w:tc>
      </w:tr>
      <w:tr w:rsidR="00732EF1" w14:paraId="185BCAD0" w14:textId="77777777" w:rsidTr="009B7C71">
        <w:tc>
          <w:tcPr>
            <w:tcW w:w="833" w:type="pct"/>
          </w:tcPr>
          <w:p w14:paraId="020165C4"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NEUTROPHIL</w:t>
            </w:r>
          </w:p>
        </w:tc>
        <w:tc>
          <w:tcPr>
            <w:tcW w:w="833" w:type="pct"/>
          </w:tcPr>
          <w:p w14:paraId="0AA9C6AE"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81.7</w:t>
            </w:r>
          </w:p>
        </w:tc>
        <w:tc>
          <w:tcPr>
            <w:tcW w:w="833" w:type="pct"/>
          </w:tcPr>
          <w:p w14:paraId="2E37B6B7"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15-35%</w:t>
            </w:r>
          </w:p>
        </w:tc>
        <w:tc>
          <w:tcPr>
            <w:tcW w:w="833" w:type="pct"/>
          </w:tcPr>
          <w:p w14:paraId="2A69491D" w14:textId="77777777" w:rsidR="00732EF1" w:rsidRDefault="00732EF1">
            <w:pPr>
              <w:pStyle w:val="Body"/>
              <w:rPr>
                <w:rFonts w:ascii="Arial" w:hAnsi="Arial" w:cs="Arial"/>
              </w:rPr>
            </w:pPr>
          </w:p>
        </w:tc>
        <w:tc>
          <w:tcPr>
            <w:tcW w:w="833" w:type="pct"/>
          </w:tcPr>
          <w:p w14:paraId="2426A26F" w14:textId="77777777" w:rsidR="00732EF1" w:rsidRDefault="00732EF1">
            <w:pPr>
              <w:pStyle w:val="Body"/>
              <w:rPr>
                <w:rFonts w:ascii="Arial" w:hAnsi="Arial" w:cs="Arial"/>
              </w:rPr>
            </w:pPr>
          </w:p>
        </w:tc>
        <w:tc>
          <w:tcPr>
            <w:tcW w:w="833" w:type="pct"/>
          </w:tcPr>
          <w:p w14:paraId="793243B1" w14:textId="77777777" w:rsidR="00732EF1" w:rsidRDefault="00732EF1">
            <w:pPr>
              <w:pStyle w:val="Body"/>
              <w:rPr>
                <w:rFonts w:ascii="Arial" w:hAnsi="Arial" w:cs="Arial"/>
              </w:rPr>
            </w:pPr>
          </w:p>
        </w:tc>
      </w:tr>
      <w:tr w:rsidR="00732EF1" w14:paraId="72177FC0" w14:textId="77777777" w:rsidTr="009B7C71">
        <w:tc>
          <w:tcPr>
            <w:tcW w:w="833" w:type="pct"/>
          </w:tcPr>
          <w:p w14:paraId="14803FD8"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lastRenderedPageBreak/>
              <w:t>LYMPHOCYTE</w:t>
            </w:r>
          </w:p>
        </w:tc>
        <w:tc>
          <w:tcPr>
            <w:tcW w:w="833" w:type="pct"/>
          </w:tcPr>
          <w:p w14:paraId="171DF060"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7.0</w:t>
            </w:r>
          </w:p>
        </w:tc>
        <w:tc>
          <w:tcPr>
            <w:tcW w:w="833" w:type="pct"/>
          </w:tcPr>
          <w:p w14:paraId="729B6179"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45-76%</w:t>
            </w:r>
          </w:p>
        </w:tc>
        <w:tc>
          <w:tcPr>
            <w:tcW w:w="833" w:type="pct"/>
          </w:tcPr>
          <w:p w14:paraId="4DF74D8D" w14:textId="77777777" w:rsidR="00732EF1" w:rsidRDefault="00732EF1">
            <w:pPr>
              <w:pStyle w:val="Body"/>
              <w:rPr>
                <w:rFonts w:ascii="Arial" w:hAnsi="Arial" w:cs="Arial"/>
              </w:rPr>
            </w:pPr>
          </w:p>
        </w:tc>
        <w:tc>
          <w:tcPr>
            <w:tcW w:w="833" w:type="pct"/>
          </w:tcPr>
          <w:p w14:paraId="2366F7F6" w14:textId="77777777" w:rsidR="00732EF1" w:rsidRDefault="00732EF1">
            <w:pPr>
              <w:pStyle w:val="Body"/>
              <w:rPr>
                <w:rFonts w:ascii="Arial" w:hAnsi="Arial" w:cs="Arial"/>
              </w:rPr>
            </w:pPr>
          </w:p>
        </w:tc>
        <w:tc>
          <w:tcPr>
            <w:tcW w:w="833" w:type="pct"/>
          </w:tcPr>
          <w:p w14:paraId="404354C2" w14:textId="77777777" w:rsidR="00732EF1" w:rsidRDefault="00732EF1">
            <w:pPr>
              <w:pStyle w:val="Body"/>
              <w:rPr>
                <w:rFonts w:ascii="Arial" w:hAnsi="Arial" w:cs="Arial"/>
              </w:rPr>
            </w:pPr>
          </w:p>
        </w:tc>
      </w:tr>
      <w:tr w:rsidR="00732EF1" w14:paraId="79A28935" w14:textId="77777777" w:rsidTr="009B7C71">
        <w:tc>
          <w:tcPr>
            <w:tcW w:w="833" w:type="pct"/>
          </w:tcPr>
          <w:p w14:paraId="0A8CCA76" w14:textId="77777777" w:rsidR="00732EF1" w:rsidRDefault="004D22CD">
            <w:pPr>
              <w:spacing w:line="360" w:lineRule="auto"/>
              <w:rPr>
                <w:rFonts w:ascii="Arial" w:eastAsia="sans-serif" w:hAnsi="Arial" w:cs="Arial"/>
                <w:color w:val="000000" w:themeColor="text1"/>
                <w:sz w:val="20"/>
                <w:szCs w:val="20"/>
                <w:shd w:val="clear" w:color="auto" w:fill="FFFFFF"/>
              </w:rPr>
            </w:pPr>
            <w:proofErr w:type="spellStart"/>
            <w:proofErr w:type="gramStart"/>
            <w:r>
              <w:rPr>
                <w:rFonts w:ascii="Arial" w:eastAsia="sans-serif" w:hAnsi="Arial" w:cs="Arial"/>
                <w:color w:val="000000" w:themeColor="text1"/>
                <w:sz w:val="20"/>
                <w:szCs w:val="20"/>
                <w:shd w:val="clear" w:color="auto" w:fill="FFFFFF"/>
              </w:rPr>
              <w:t>Ab.NEUTROPHIL</w:t>
            </w:r>
            <w:proofErr w:type="spellEnd"/>
            <w:proofErr w:type="gramEnd"/>
          </w:p>
        </w:tc>
        <w:tc>
          <w:tcPr>
            <w:tcW w:w="833" w:type="pct"/>
          </w:tcPr>
          <w:p w14:paraId="563FBEF2"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10.6</w:t>
            </w:r>
          </w:p>
        </w:tc>
        <w:tc>
          <w:tcPr>
            <w:tcW w:w="833" w:type="pct"/>
          </w:tcPr>
          <w:p w14:paraId="668D3EF3"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1-7k/ul</w:t>
            </w:r>
          </w:p>
        </w:tc>
        <w:tc>
          <w:tcPr>
            <w:tcW w:w="833" w:type="pct"/>
          </w:tcPr>
          <w:p w14:paraId="53B4E5D7" w14:textId="77777777" w:rsidR="00732EF1" w:rsidRDefault="00732EF1">
            <w:pPr>
              <w:pStyle w:val="Body"/>
              <w:rPr>
                <w:rFonts w:ascii="Arial" w:hAnsi="Arial" w:cs="Arial"/>
              </w:rPr>
            </w:pPr>
          </w:p>
        </w:tc>
        <w:tc>
          <w:tcPr>
            <w:tcW w:w="833" w:type="pct"/>
          </w:tcPr>
          <w:p w14:paraId="5DE242B8" w14:textId="77777777" w:rsidR="00732EF1" w:rsidRDefault="00732EF1">
            <w:pPr>
              <w:pStyle w:val="Body"/>
              <w:rPr>
                <w:rFonts w:ascii="Arial" w:hAnsi="Arial" w:cs="Arial"/>
              </w:rPr>
            </w:pPr>
          </w:p>
        </w:tc>
        <w:tc>
          <w:tcPr>
            <w:tcW w:w="833" w:type="pct"/>
          </w:tcPr>
          <w:p w14:paraId="4C266FF9" w14:textId="77777777" w:rsidR="00732EF1" w:rsidRDefault="00732EF1">
            <w:pPr>
              <w:pStyle w:val="Body"/>
              <w:rPr>
                <w:rFonts w:ascii="Arial" w:hAnsi="Arial" w:cs="Arial"/>
              </w:rPr>
            </w:pPr>
          </w:p>
        </w:tc>
      </w:tr>
      <w:tr w:rsidR="00732EF1" w14:paraId="38B269B1" w14:textId="77777777" w:rsidTr="009B7C71">
        <w:tc>
          <w:tcPr>
            <w:tcW w:w="833" w:type="pct"/>
          </w:tcPr>
          <w:p w14:paraId="6B76A9B7" w14:textId="77777777" w:rsidR="00732EF1" w:rsidRDefault="004D22CD">
            <w:pPr>
              <w:spacing w:line="360" w:lineRule="auto"/>
              <w:rPr>
                <w:rFonts w:ascii="Arial" w:eastAsia="sans-serif" w:hAnsi="Arial" w:cs="Arial"/>
                <w:color w:val="000000" w:themeColor="text1"/>
                <w:sz w:val="20"/>
                <w:szCs w:val="20"/>
                <w:shd w:val="clear" w:color="auto" w:fill="FFFFFF"/>
              </w:rPr>
            </w:pPr>
            <w:proofErr w:type="spellStart"/>
            <w:proofErr w:type="gramStart"/>
            <w:r>
              <w:rPr>
                <w:rFonts w:ascii="Arial" w:eastAsia="sans-serif" w:hAnsi="Arial" w:cs="Arial"/>
                <w:color w:val="000000" w:themeColor="text1"/>
                <w:sz w:val="20"/>
                <w:szCs w:val="20"/>
                <w:shd w:val="clear" w:color="auto" w:fill="FFFFFF"/>
              </w:rPr>
              <w:t>Ab.LYMPHOCYTE</w:t>
            </w:r>
            <w:proofErr w:type="spellEnd"/>
            <w:proofErr w:type="gramEnd"/>
          </w:p>
        </w:tc>
        <w:tc>
          <w:tcPr>
            <w:tcW w:w="833" w:type="pct"/>
          </w:tcPr>
          <w:p w14:paraId="4259CE3C"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0.9</w:t>
            </w:r>
          </w:p>
        </w:tc>
        <w:tc>
          <w:tcPr>
            <w:tcW w:w="833" w:type="pct"/>
          </w:tcPr>
          <w:p w14:paraId="0A49BE46"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3.5-11k/ul</w:t>
            </w:r>
          </w:p>
        </w:tc>
        <w:tc>
          <w:tcPr>
            <w:tcW w:w="833" w:type="pct"/>
          </w:tcPr>
          <w:p w14:paraId="4A153B2D" w14:textId="77777777" w:rsidR="00732EF1" w:rsidRDefault="00732EF1">
            <w:pPr>
              <w:pStyle w:val="Body"/>
              <w:rPr>
                <w:rFonts w:ascii="Arial" w:hAnsi="Arial" w:cs="Arial"/>
              </w:rPr>
            </w:pPr>
          </w:p>
        </w:tc>
        <w:tc>
          <w:tcPr>
            <w:tcW w:w="833" w:type="pct"/>
          </w:tcPr>
          <w:p w14:paraId="2B8C0C95" w14:textId="77777777" w:rsidR="00732EF1" w:rsidRDefault="00732EF1">
            <w:pPr>
              <w:pStyle w:val="Body"/>
              <w:rPr>
                <w:rFonts w:ascii="Arial" w:hAnsi="Arial" w:cs="Arial"/>
              </w:rPr>
            </w:pPr>
          </w:p>
        </w:tc>
        <w:tc>
          <w:tcPr>
            <w:tcW w:w="833" w:type="pct"/>
          </w:tcPr>
          <w:p w14:paraId="36CB84CC" w14:textId="77777777" w:rsidR="00732EF1" w:rsidRDefault="00732EF1">
            <w:pPr>
              <w:pStyle w:val="Body"/>
              <w:rPr>
                <w:rFonts w:ascii="Arial" w:hAnsi="Arial" w:cs="Arial"/>
              </w:rPr>
            </w:pPr>
          </w:p>
        </w:tc>
      </w:tr>
      <w:tr w:rsidR="00732EF1" w14:paraId="7CEA433B" w14:textId="77777777" w:rsidTr="009B7C71">
        <w:tc>
          <w:tcPr>
            <w:tcW w:w="833" w:type="pct"/>
          </w:tcPr>
          <w:p w14:paraId="2F8D6E23"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PLATELETS</w:t>
            </w:r>
          </w:p>
        </w:tc>
        <w:tc>
          <w:tcPr>
            <w:tcW w:w="833" w:type="pct"/>
          </w:tcPr>
          <w:p w14:paraId="5FC70F74"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54</w:t>
            </w:r>
          </w:p>
        </w:tc>
        <w:tc>
          <w:tcPr>
            <w:tcW w:w="833" w:type="pct"/>
          </w:tcPr>
          <w:p w14:paraId="72A8ADB4"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200-550 k/ul</w:t>
            </w:r>
          </w:p>
        </w:tc>
        <w:tc>
          <w:tcPr>
            <w:tcW w:w="833" w:type="pct"/>
          </w:tcPr>
          <w:p w14:paraId="4C1CC70E" w14:textId="77777777" w:rsidR="00732EF1" w:rsidRDefault="00732EF1">
            <w:pPr>
              <w:pStyle w:val="Body"/>
              <w:rPr>
                <w:rFonts w:ascii="Arial" w:hAnsi="Arial" w:cs="Arial"/>
              </w:rPr>
            </w:pPr>
          </w:p>
        </w:tc>
        <w:tc>
          <w:tcPr>
            <w:tcW w:w="833" w:type="pct"/>
          </w:tcPr>
          <w:p w14:paraId="070D36E3" w14:textId="77777777" w:rsidR="00732EF1" w:rsidRDefault="00732EF1">
            <w:pPr>
              <w:pStyle w:val="Body"/>
              <w:rPr>
                <w:rFonts w:ascii="Arial" w:hAnsi="Arial" w:cs="Arial"/>
              </w:rPr>
            </w:pPr>
          </w:p>
        </w:tc>
        <w:tc>
          <w:tcPr>
            <w:tcW w:w="833" w:type="pct"/>
          </w:tcPr>
          <w:p w14:paraId="20FF4AEE" w14:textId="77777777" w:rsidR="00732EF1" w:rsidRDefault="00732EF1">
            <w:pPr>
              <w:pStyle w:val="Body"/>
              <w:rPr>
                <w:rFonts w:ascii="Arial" w:hAnsi="Arial" w:cs="Arial"/>
              </w:rPr>
            </w:pPr>
          </w:p>
        </w:tc>
      </w:tr>
    </w:tbl>
    <w:p w14:paraId="4222262B" w14:textId="77777777" w:rsidR="00732EF1" w:rsidRDefault="00732EF1">
      <w:pPr>
        <w:pStyle w:val="Body"/>
        <w:rPr>
          <w:rFonts w:ascii="Arial" w:hAnsi="Arial" w:cs="Arial"/>
        </w:rPr>
      </w:pPr>
    </w:p>
    <w:p w14:paraId="331F23A7" w14:textId="77777777" w:rsidR="00732EF1" w:rsidRDefault="004D22CD">
      <w:pPr>
        <w:pStyle w:val="Body"/>
        <w:rPr>
          <w:rFonts w:ascii="Arial" w:hAnsi="Arial" w:cs="Arial"/>
        </w:rPr>
      </w:pPr>
      <w:r>
        <w:rPr>
          <w:rFonts w:ascii="Arial" w:hAnsi="Arial" w:cs="Arial"/>
        </w:rPr>
        <w:t>CT thorax (P+C</w:t>
      </w:r>
      <w:proofErr w:type="gramStart"/>
      <w:r>
        <w:rPr>
          <w:rFonts w:ascii="Arial" w:hAnsi="Arial" w:cs="Arial"/>
        </w:rPr>
        <w:t>)  revealed</w:t>
      </w:r>
      <w:proofErr w:type="gramEnd"/>
      <w:r>
        <w:rPr>
          <w:rFonts w:ascii="Arial" w:hAnsi="Arial" w:cs="Arial"/>
        </w:rPr>
        <w:t xml:space="preserve">- The patient  presented with extensive dense consolidation in the right lung , affecting the entire right lower lobe and significant portions of the  middle and upper lobes, with air bronchogram, indicating infective </w:t>
      </w:r>
      <w:proofErr w:type="spellStart"/>
      <w:r>
        <w:rPr>
          <w:rFonts w:ascii="Arial" w:hAnsi="Arial" w:cs="Arial"/>
        </w:rPr>
        <w:t>lober</w:t>
      </w:r>
      <w:proofErr w:type="spellEnd"/>
      <w:r>
        <w:rPr>
          <w:rFonts w:ascii="Arial" w:hAnsi="Arial" w:cs="Arial"/>
        </w:rPr>
        <w:t xml:space="preserve"> pneumonia. There is moderate right pleural effusion (mean+ 20HU) with mild collapse of the basal segment of the right lower lobe, suggestive of parapneumonic effusion. Mild smooth interlobular septal thickening is noted in the apical segment of the right upper lobe, along with mediastinal lymphadenopathy.</w:t>
      </w:r>
    </w:p>
    <w:p w14:paraId="4CA783F3" w14:textId="77777777" w:rsidR="00732EF1" w:rsidRDefault="004D22CD">
      <w:pPr>
        <w:pStyle w:val="Body"/>
        <w:rPr>
          <w:rFonts w:ascii="Arial" w:hAnsi="Arial" w:cs="Arial"/>
        </w:rPr>
      </w:pPr>
      <w:r>
        <w:rPr>
          <w:rFonts w:ascii="Arial" w:hAnsi="Arial" w:cs="Arial"/>
        </w:rPr>
        <w:t>Based on above impression diagnosed right sided-empyema stage 2 and necrotizing pneumonia. Based on CRP and CT Thorax initiated intravenous antimicrobial therapy:  Piperacillin/</w:t>
      </w:r>
      <w:proofErr w:type="spellStart"/>
      <w:r>
        <w:rPr>
          <w:rFonts w:ascii="Arial" w:hAnsi="Arial" w:cs="Arial"/>
        </w:rPr>
        <w:t>tazobactum</w:t>
      </w:r>
      <w:proofErr w:type="spellEnd"/>
      <w:r>
        <w:rPr>
          <w:rFonts w:ascii="Arial" w:hAnsi="Arial" w:cs="Arial"/>
        </w:rPr>
        <w:t xml:space="preserve">, Linezolid, Oseltamivir and Azithromycin. </w:t>
      </w:r>
    </w:p>
    <w:p w14:paraId="517DE9A7" w14:textId="77777777" w:rsidR="00732EF1" w:rsidRDefault="004D22CD">
      <w:pPr>
        <w:pStyle w:val="Body"/>
        <w:rPr>
          <w:rFonts w:ascii="Arial" w:hAnsi="Arial" w:cs="Arial"/>
        </w:rPr>
      </w:pPr>
      <w:r>
        <w:rPr>
          <w:rFonts w:ascii="Arial" w:hAnsi="Arial" w:cs="Arial"/>
        </w:rPr>
        <w:t>Under general anesthesia, the patient underwent video-assisted thoracoscopic surgery (VATS) decortication. with lot of septation all over the chest cavity, Hemorrhagic with straw color fluid around 200ml.In surgery all the septation was broken then the pus flakes were removed from the apical, lateral, medial, inferior diaphragmatic surfaces, and all the pus flakes were extracted. A Thorough wash with saline was given and sealed out, Necrotizing pneumonia was seen in the middle part of the upper lobe. Post OP chest x-ray Impression - Patchy homogenous opacity noted in right lung fields, suggestive of consolidation.</w:t>
      </w:r>
    </w:p>
    <w:p w14:paraId="6679867B" w14:textId="77777777" w:rsidR="00732EF1" w:rsidRDefault="00732EF1">
      <w:pPr>
        <w:pStyle w:val="Body"/>
        <w:rPr>
          <w:rFonts w:ascii="Arial" w:hAnsi="Arial" w:cs="Arial"/>
        </w:rPr>
      </w:pPr>
    </w:p>
    <w:p w14:paraId="5F28FC37" w14:textId="14BB3EEA" w:rsidR="00732EF1" w:rsidRDefault="004D22CD">
      <w:pPr>
        <w:pStyle w:val="Body"/>
        <w:rPr>
          <w:rFonts w:ascii="Arial" w:hAnsi="Arial" w:cs="Arial"/>
        </w:rPr>
      </w:pPr>
      <w:r>
        <w:rPr>
          <w:rFonts w:ascii="Arial" w:hAnsi="Arial" w:cs="Arial"/>
        </w:rPr>
        <w:t>Figure 1.</w:t>
      </w:r>
      <w:r w:rsidR="00201E62" w:rsidRPr="00201E62">
        <w:t xml:space="preserve"> </w:t>
      </w:r>
      <w:r w:rsidR="00055BBA" w:rsidRPr="00201E62">
        <w:rPr>
          <w:rFonts w:ascii="Arial" w:hAnsi="Arial" w:cs="Arial"/>
        </w:rPr>
        <w:t>Post-</w:t>
      </w:r>
      <w:r w:rsidR="00055BBA">
        <w:rPr>
          <w:rFonts w:ascii="Arial" w:hAnsi="Arial" w:cs="Arial"/>
        </w:rPr>
        <w:t>operative</w:t>
      </w:r>
      <w:r w:rsidR="00201E62" w:rsidRPr="00201E62">
        <w:rPr>
          <w:rFonts w:ascii="Arial" w:hAnsi="Arial" w:cs="Arial"/>
        </w:rPr>
        <w:t xml:space="preserve"> chest x-ray Impression</w:t>
      </w:r>
    </w:p>
    <w:p w14:paraId="4260BA86" w14:textId="77777777" w:rsidR="00732EF1" w:rsidRDefault="004D22CD">
      <w:pPr>
        <w:pStyle w:val="Body"/>
        <w:jc w:val="center"/>
        <w:rPr>
          <w:rFonts w:ascii="Arial" w:hAnsi="Arial" w:cs="Arial"/>
        </w:rPr>
      </w:pPr>
      <w:r>
        <w:rPr>
          <w:rFonts w:ascii="Times New Roman" w:eastAsia="sans-serif" w:hAnsi="Times New Roman"/>
          <w:noProof/>
          <w:color w:val="000000" w:themeColor="text1"/>
          <w:sz w:val="24"/>
          <w:szCs w:val="24"/>
          <w:shd w:val="clear" w:color="auto" w:fill="FFFFFF"/>
        </w:rPr>
        <w:drawing>
          <wp:inline distT="0" distB="0" distL="0" distR="0" wp14:anchorId="0E6B6F95" wp14:editId="4AA44F84">
            <wp:extent cx="2635250" cy="2554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rcRect l="24801" r="25235"/>
                    <a:stretch>
                      <a:fillRect/>
                    </a:stretch>
                  </pic:blipFill>
                  <pic:spPr>
                    <a:xfrm>
                      <a:off x="0" y="0"/>
                      <a:ext cx="2635250" cy="2554605"/>
                    </a:xfrm>
                    <a:prstGeom prst="rect">
                      <a:avLst/>
                    </a:prstGeom>
                    <a:ln>
                      <a:noFill/>
                    </a:ln>
                  </pic:spPr>
                </pic:pic>
              </a:graphicData>
            </a:graphic>
          </wp:inline>
        </w:drawing>
      </w:r>
    </w:p>
    <w:p w14:paraId="13E079C7" w14:textId="77777777" w:rsidR="00732EF1" w:rsidRDefault="00732EF1">
      <w:pPr>
        <w:pStyle w:val="Body"/>
        <w:rPr>
          <w:rFonts w:ascii="Arial" w:hAnsi="Arial" w:cs="Arial"/>
        </w:rPr>
      </w:pPr>
    </w:p>
    <w:p w14:paraId="25AC8BA1" w14:textId="77777777" w:rsidR="00732EF1" w:rsidRDefault="004D22CD">
      <w:pPr>
        <w:pStyle w:val="Body"/>
        <w:rPr>
          <w:rFonts w:ascii="Arial" w:hAnsi="Arial" w:cs="Arial"/>
        </w:rPr>
      </w:pPr>
      <w:r>
        <w:rPr>
          <w:rFonts w:ascii="Arial" w:hAnsi="Arial" w:cs="Arial"/>
        </w:rPr>
        <w:t xml:space="preserve">The patient was transferred to the ICU for close monitoring, respiratory support and, postoperative care. the clinical course was carefully observed, with regular evaluation of laboratory value, vital signs and respiratory status. Supportive medications were a PRBC transfusion was provided due to a significant drop in hemoglobin level. </w:t>
      </w:r>
      <w:proofErr w:type="gramStart"/>
      <w:r>
        <w:rPr>
          <w:rFonts w:ascii="Arial" w:hAnsi="Arial" w:cs="Arial"/>
        </w:rPr>
        <w:t>Two  days</w:t>
      </w:r>
      <w:proofErr w:type="gramEnd"/>
      <w:r>
        <w:rPr>
          <w:rFonts w:ascii="Arial" w:hAnsi="Arial" w:cs="Arial"/>
        </w:rPr>
        <w:t xml:space="preserve"> later, Oseltamivir and , Azithromycin were discontinued as the CRP level decreased. The patient was subsequently transferred to the general ward.</w:t>
      </w:r>
    </w:p>
    <w:p w14:paraId="67756C23" w14:textId="77777777" w:rsidR="00732EF1" w:rsidRDefault="004D22CD">
      <w:pPr>
        <w:pStyle w:val="Body"/>
        <w:rPr>
          <w:rFonts w:ascii="Arial" w:hAnsi="Arial" w:cs="Arial"/>
        </w:rPr>
      </w:pPr>
      <w:r>
        <w:rPr>
          <w:rFonts w:ascii="Arial" w:hAnsi="Arial" w:cs="Arial"/>
        </w:rPr>
        <w:t>After 14 days of treatment with Piperacillin/</w:t>
      </w:r>
      <w:proofErr w:type="spellStart"/>
      <w:r>
        <w:rPr>
          <w:rFonts w:ascii="Arial" w:hAnsi="Arial" w:cs="Arial"/>
        </w:rPr>
        <w:t>tazobactum</w:t>
      </w:r>
      <w:proofErr w:type="spellEnd"/>
      <w:r>
        <w:rPr>
          <w:rFonts w:ascii="Arial" w:hAnsi="Arial" w:cs="Arial"/>
        </w:rPr>
        <w:t>, Linezolid, supportive medication and chest physiotherapy, the CRP level was 4.54mg/L and the CBC results were near normal. Table no 2.</w:t>
      </w:r>
    </w:p>
    <w:p w14:paraId="1EC273F3" w14:textId="77777777" w:rsidR="00732EF1" w:rsidRDefault="004D22CD">
      <w:pPr>
        <w:pStyle w:val="Body"/>
        <w:rPr>
          <w:rFonts w:ascii="Arial" w:hAnsi="Arial" w:cs="Arial"/>
        </w:rPr>
      </w:pPr>
      <w:r>
        <w:rPr>
          <w:rFonts w:ascii="Arial" w:hAnsi="Arial" w:cs="Arial"/>
        </w:rPr>
        <w:t>The patient was discharged with a de-escalation to oral antibiotic therapy, including Linezolid and cefixime for 7 days along with supportive medication for 1-2 weeks. A follow-up appointment was scheduled for 5 days post-discharge.</w:t>
      </w:r>
    </w:p>
    <w:p w14:paraId="5D1CE2D1" w14:textId="77777777" w:rsidR="00201E62" w:rsidRDefault="00201E62">
      <w:pPr>
        <w:pStyle w:val="Body"/>
        <w:rPr>
          <w:rFonts w:ascii="Arial" w:hAnsi="Arial" w:cs="Arial"/>
        </w:rPr>
      </w:pPr>
    </w:p>
    <w:p w14:paraId="6F00F83C" w14:textId="7A52FF66" w:rsidR="00732EF1" w:rsidRDefault="004D22CD">
      <w:pPr>
        <w:pStyle w:val="Body"/>
        <w:rPr>
          <w:rFonts w:ascii="Arial" w:hAnsi="Arial" w:cs="Arial"/>
        </w:rPr>
      </w:pPr>
      <w:r>
        <w:rPr>
          <w:rFonts w:ascii="Arial" w:hAnsi="Arial" w:cs="Arial"/>
        </w:rPr>
        <w:t xml:space="preserve">TABLE NO </w:t>
      </w:r>
      <w:proofErr w:type="gramStart"/>
      <w:r>
        <w:rPr>
          <w:rFonts w:ascii="Arial" w:hAnsi="Arial" w:cs="Arial"/>
        </w:rPr>
        <w:t>2 :</w:t>
      </w:r>
      <w:proofErr w:type="gramEnd"/>
      <w:r w:rsidR="00201E62">
        <w:rPr>
          <w:rFonts w:ascii="Arial" w:hAnsi="Arial" w:cs="Arial"/>
        </w:rPr>
        <w:t xml:space="preserve"> Results of blood test (</w:t>
      </w:r>
      <w:r w:rsidR="00201E62" w:rsidRPr="00201E62">
        <w:rPr>
          <w:rFonts w:ascii="Arial" w:hAnsi="Arial" w:cs="Arial"/>
        </w:rPr>
        <w:t>After 14 days of treatment</w:t>
      </w:r>
      <w:r w:rsidR="00201E62">
        <w:rPr>
          <w:rFonts w:ascii="Arial" w:hAnsi="Arial" w:cs="Arial"/>
        </w:rPr>
        <w:t>)</w:t>
      </w:r>
    </w:p>
    <w:tbl>
      <w:tblPr>
        <w:tblStyle w:val="TableGrid"/>
        <w:tblW w:w="5000" w:type="pct"/>
        <w:tblLook w:val="04A0" w:firstRow="1" w:lastRow="0" w:firstColumn="1" w:lastColumn="0" w:noHBand="0" w:noVBand="1"/>
      </w:tblPr>
      <w:tblGrid>
        <w:gridCol w:w="1895"/>
        <w:gridCol w:w="1305"/>
        <w:gridCol w:w="1306"/>
        <w:gridCol w:w="1306"/>
        <w:gridCol w:w="1306"/>
        <w:gridCol w:w="1306"/>
      </w:tblGrid>
      <w:tr w:rsidR="00732EF1" w14:paraId="6BDA1061" w14:textId="77777777" w:rsidTr="009B7C71">
        <w:tc>
          <w:tcPr>
            <w:tcW w:w="833" w:type="pct"/>
          </w:tcPr>
          <w:p w14:paraId="13400645"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BLOOD ANALYSIS</w:t>
            </w:r>
          </w:p>
        </w:tc>
        <w:tc>
          <w:tcPr>
            <w:tcW w:w="833" w:type="pct"/>
          </w:tcPr>
          <w:p w14:paraId="1A3D3672"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Date of discharge</w:t>
            </w:r>
          </w:p>
        </w:tc>
        <w:tc>
          <w:tcPr>
            <w:tcW w:w="833" w:type="pct"/>
          </w:tcPr>
          <w:p w14:paraId="395E81CA"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NORMAL RANGE</w:t>
            </w:r>
          </w:p>
        </w:tc>
        <w:tc>
          <w:tcPr>
            <w:tcW w:w="833" w:type="pct"/>
          </w:tcPr>
          <w:p w14:paraId="79A5FC12" w14:textId="77777777" w:rsidR="00732EF1" w:rsidRDefault="00732EF1">
            <w:pPr>
              <w:pStyle w:val="Body"/>
              <w:rPr>
                <w:rFonts w:ascii="Arial" w:hAnsi="Arial" w:cs="Arial"/>
              </w:rPr>
            </w:pPr>
          </w:p>
        </w:tc>
        <w:tc>
          <w:tcPr>
            <w:tcW w:w="833" w:type="pct"/>
          </w:tcPr>
          <w:p w14:paraId="6FC428A3" w14:textId="77777777" w:rsidR="00732EF1" w:rsidRDefault="00732EF1">
            <w:pPr>
              <w:pStyle w:val="Body"/>
              <w:rPr>
                <w:rFonts w:ascii="Arial" w:hAnsi="Arial" w:cs="Arial"/>
              </w:rPr>
            </w:pPr>
          </w:p>
        </w:tc>
        <w:tc>
          <w:tcPr>
            <w:tcW w:w="833" w:type="pct"/>
          </w:tcPr>
          <w:p w14:paraId="5357D6D8" w14:textId="77777777" w:rsidR="00732EF1" w:rsidRDefault="00732EF1">
            <w:pPr>
              <w:pStyle w:val="Body"/>
              <w:rPr>
                <w:rFonts w:ascii="Arial" w:hAnsi="Arial" w:cs="Arial"/>
              </w:rPr>
            </w:pPr>
          </w:p>
        </w:tc>
      </w:tr>
      <w:tr w:rsidR="00732EF1" w14:paraId="4CB5C3D4" w14:textId="77777777" w:rsidTr="009B7C71">
        <w:tc>
          <w:tcPr>
            <w:tcW w:w="833" w:type="pct"/>
          </w:tcPr>
          <w:p w14:paraId="27B3595E"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Hemoglobin</w:t>
            </w:r>
          </w:p>
        </w:tc>
        <w:tc>
          <w:tcPr>
            <w:tcW w:w="833" w:type="pct"/>
          </w:tcPr>
          <w:p w14:paraId="26783601"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9.0</w:t>
            </w:r>
          </w:p>
        </w:tc>
        <w:tc>
          <w:tcPr>
            <w:tcW w:w="833" w:type="pct"/>
          </w:tcPr>
          <w:p w14:paraId="6CBC8972"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11.1-14.1 g/dl</w:t>
            </w:r>
          </w:p>
        </w:tc>
        <w:tc>
          <w:tcPr>
            <w:tcW w:w="833" w:type="pct"/>
          </w:tcPr>
          <w:p w14:paraId="17F1C663" w14:textId="77777777" w:rsidR="00732EF1" w:rsidRDefault="00732EF1">
            <w:pPr>
              <w:pStyle w:val="Body"/>
              <w:rPr>
                <w:rFonts w:ascii="Arial" w:hAnsi="Arial" w:cs="Arial"/>
              </w:rPr>
            </w:pPr>
          </w:p>
        </w:tc>
        <w:tc>
          <w:tcPr>
            <w:tcW w:w="833" w:type="pct"/>
          </w:tcPr>
          <w:p w14:paraId="31549410" w14:textId="77777777" w:rsidR="00732EF1" w:rsidRDefault="00732EF1">
            <w:pPr>
              <w:pStyle w:val="Body"/>
              <w:rPr>
                <w:rFonts w:ascii="Arial" w:hAnsi="Arial" w:cs="Arial"/>
              </w:rPr>
            </w:pPr>
          </w:p>
        </w:tc>
        <w:tc>
          <w:tcPr>
            <w:tcW w:w="833" w:type="pct"/>
          </w:tcPr>
          <w:p w14:paraId="14C10A53" w14:textId="77777777" w:rsidR="00732EF1" w:rsidRDefault="00732EF1">
            <w:pPr>
              <w:pStyle w:val="Body"/>
              <w:rPr>
                <w:rFonts w:ascii="Arial" w:hAnsi="Arial" w:cs="Arial"/>
              </w:rPr>
            </w:pPr>
          </w:p>
        </w:tc>
      </w:tr>
      <w:tr w:rsidR="00732EF1" w14:paraId="537EB3D4" w14:textId="77777777" w:rsidTr="009B7C71">
        <w:tc>
          <w:tcPr>
            <w:tcW w:w="833" w:type="pct"/>
          </w:tcPr>
          <w:p w14:paraId="74268643"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RBC</w:t>
            </w:r>
          </w:p>
        </w:tc>
        <w:tc>
          <w:tcPr>
            <w:tcW w:w="833" w:type="pct"/>
          </w:tcPr>
          <w:p w14:paraId="04F9A7E9"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3.06</w:t>
            </w:r>
          </w:p>
        </w:tc>
        <w:tc>
          <w:tcPr>
            <w:tcW w:w="833" w:type="pct"/>
          </w:tcPr>
          <w:p w14:paraId="78AB5AF3"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4-5.2 mill/mm3</w:t>
            </w:r>
          </w:p>
        </w:tc>
        <w:tc>
          <w:tcPr>
            <w:tcW w:w="833" w:type="pct"/>
          </w:tcPr>
          <w:p w14:paraId="60CD1D27" w14:textId="77777777" w:rsidR="00732EF1" w:rsidRDefault="00732EF1">
            <w:pPr>
              <w:pStyle w:val="Body"/>
              <w:rPr>
                <w:rFonts w:ascii="Arial" w:hAnsi="Arial" w:cs="Arial"/>
              </w:rPr>
            </w:pPr>
          </w:p>
        </w:tc>
        <w:tc>
          <w:tcPr>
            <w:tcW w:w="833" w:type="pct"/>
          </w:tcPr>
          <w:p w14:paraId="37E44B31" w14:textId="77777777" w:rsidR="00732EF1" w:rsidRDefault="00732EF1">
            <w:pPr>
              <w:pStyle w:val="Body"/>
              <w:rPr>
                <w:rFonts w:ascii="Arial" w:hAnsi="Arial" w:cs="Arial"/>
              </w:rPr>
            </w:pPr>
          </w:p>
        </w:tc>
        <w:tc>
          <w:tcPr>
            <w:tcW w:w="833" w:type="pct"/>
          </w:tcPr>
          <w:p w14:paraId="4C257177" w14:textId="77777777" w:rsidR="00732EF1" w:rsidRDefault="00732EF1">
            <w:pPr>
              <w:pStyle w:val="Body"/>
              <w:rPr>
                <w:rFonts w:ascii="Arial" w:hAnsi="Arial" w:cs="Arial"/>
              </w:rPr>
            </w:pPr>
          </w:p>
        </w:tc>
      </w:tr>
      <w:tr w:rsidR="00732EF1" w14:paraId="79A2DB56" w14:textId="77777777" w:rsidTr="009B7C71">
        <w:tc>
          <w:tcPr>
            <w:tcW w:w="833" w:type="pct"/>
          </w:tcPr>
          <w:p w14:paraId="3EC59E70"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PCV</w:t>
            </w:r>
          </w:p>
        </w:tc>
        <w:tc>
          <w:tcPr>
            <w:tcW w:w="833" w:type="pct"/>
          </w:tcPr>
          <w:p w14:paraId="3E5C0109"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27.5</w:t>
            </w:r>
          </w:p>
        </w:tc>
        <w:tc>
          <w:tcPr>
            <w:tcW w:w="833" w:type="pct"/>
          </w:tcPr>
          <w:p w14:paraId="6AA081A5"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30-38 %</w:t>
            </w:r>
          </w:p>
        </w:tc>
        <w:tc>
          <w:tcPr>
            <w:tcW w:w="833" w:type="pct"/>
          </w:tcPr>
          <w:p w14:paraId="2A9A8CCE" w14:textId="77777777" w:rsidR="00732EF1" w:rsidRDefault="00732EF1">
            <w:pPr>
              <w:pStyle w:val="Body"/>
              <w:rPr>
                <w:rFonts w:ascii="Arial" w:hAnsi="Arial" w:cs="Arial"/>
              </w:rPr>
            </w:pPr>
          </w:p>
        </w:tc>
        <w:tc>
          <w:tcPr>
            <w:tcW w:w="833" w:type="pct"/>
          </w:tcPr>
          <w:p w14:paraId="061889F7" w14:textId="77777777" w:rsidR="00732EF1" w:rsidRDefault="00732EF1">
            <w:pPr>
              <w:pStyle w:val="Body"/>
              <w:rPr>
                <w:rFonts w:ascii="Arial" w:hAnsi="Arial" w:cs="Arial"/>
              </w:rPr>
            </w:pPr>
          </w:p>
        </w:tc>
        <w:tc>
          <w:tcPr>
            <w:tcW w:w="833" w:type="pct"/>
          </w:tcPr>
          <w:p w14:paraId="76717503" w14:textId="77777777" w:rsidR="00732EF1" w:rsidRDefault="00732EF1">
            <w:pPr>
              <w:pStyle w:val="Body"/>
              <w:rPr>
                <w:rFonts w:ascii="Arial" w:hAnsi="Arial" w:cs="Arial"/>
              </w:rPr>
            </w:pPr>
          </w:p>
        </w:tc>
      </w:tr>
      <w:tr w:rsidR="00732EF1" w14:paraId="5990C1D7" w14:textId="77777777" w:rsidTr="009B7C71">
        <w:tc>
          <w:tcPr>
            <w:tcW w:w="833" w:type="pct"/>
          </w:tcPr>
          <w:p w14:paraId="77C57E21"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MCV</w:t>
            </w:r>
          </w:p>
        </w:tc>
        <w:tc>
          <w:tcPr>
            <w:tcW w:w="833" w:type="pct"/>
          </w:tcPr>
          <w:p w14:paraId="6E84BCFC"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89.8</w:t>
            </w:r>
          </w:p>
        </w:tc>
        <w:tc>
          <w:tcPr>
            <w:tcW w:w="833" w:type="pct"/>
          </w:tcPr>
          <w:p w14:paraId="7552F945"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75-87%</w:t>
            </w:r>
          </w:p>
        </w:tc>
        <w:tc>
          <w:tcPr>
            <w:tcW w:w="833" w:type="pct"/>
          </w:tcPr>
          <w:p w14:paraId="0B31B14C" w14:textId="77777777" w:rsidR="00732EF1" w:rsidRDefault="00732EF1">
            <w:pPr>
              <w:pStyle w:val="Body"/>
              <w:rPr>
                <w:rFonts w:ascii="Arial" w:hAnsi="Arial" w:cs="Arial"/>
              </w:rPr>
            </w:pPr>
          </w:p>
        </w:tc>
        <w:tc>
          <w:tcPr>
            <w:tcW w:w="833" w:type="pct"/>
          </w:tcPr>
          <w:p w14:paraId="0C6B7360" w14:textId="77777777" w:rsidR="00732EF1" w:rsidRDefault="00732EF1">
            <w:pPr>
              <w:pStyle w:val="Body"/>
              <w:rPr>
                <w:rFonts w:ascii="Arial" w:hAnsi="Arial" w:cs="Arial"/>
              </w:rPr>
            </w:pPr>
          </w:p>
        </w:tc>
        <w:tc>
          <w:tcPr>
            <w:tcW w:w="833" w:type="pct"/>
          </w:tcPr>
          <w:p w14:paraId="1135D749" w14:textId="77777777" w:rsidR="00732EF1" w:rsidRDefault="00732EF1">
            <w:pPr>
              <w:pStyle w:val="Body"/>
              <w:rPr>
                <w:rFonts w:ascii="Arial" w:hAnsi="Arial" w:cs="Arial"/>
              </w:rPr>
            </w:pPr>
          </w:p>
        </w:tc>
      </w:tr>
      <w:tr w:rsidR="00732EF1" w14:paraId="58943467" w14:textId="77777777" w:rsidTr="009B7C71">
        <w:tc>
          <w:tcPr>
            <w:tcW w:w="833" w:type="pct"/>
          </w:tcPr>
          <w:p w14:paraId="21694965"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MCH</w:t>
            </w:r>
          </w:p>
        </w:tc>
        <w:tc>
          <w:tcPr>
            <w:tcW w:w="833" w:type="pct"/>
          </w:tcPr>
          <w:p w14:paraId="5F317DEF"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29.5</w:t>
            </w:r>
          </w:p>
        </w:tc>
        <w:tc>
          <w:tcPr>
            <w:tcW w:w="833" w:type="pct"/>
          </w:tcPr>
          <w:p w14:paraId="08B9164A"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 xml:space="preserve">25-29 </w:t>
            </w:r>
            <w:proofErr w:type="spellStart"/>
            <w:r>
              <w:rPr>
                <w:rFonts w:ascii="Arial" w:eastAsia="sans-serif" w:hAnsi="Arial" w:cs="Arial"/>
                <w:color w:val="000000" w:themeColor="text1"/>
                <w:sz w:val="20"/>
                <w:szCs w:val="20"/>
                <w:shd w:val="clear" w:color="auto" w:fill="FFFFFF"/>
              </w:rPr>
              <w:t>pg</w:t>
            </w:r>
            <w:proofErr w:type="spellEnd"/>
          </w:p>
        </w:tc>
        <w:tc>
          <w:tcPr>
            <w:tcW w:w="833" w:type="pct"/>
          </w:tcPr>
          <w:p w14:paraId="3F98CDE7" w14:textId="77777777" w:rsidR="00732EF1" w:rsidRDefault="00732EF1">
            <w:pPr>
              <w:pStyle w:val="Body"/>
              <w:rPr>
                <w:rFonts w:ascii="Arial" w:hAnsi="Arial" w:cs="Arial"/>
              </w:rPr>
            </w:pPr>
          </w:p>
        </w:tc>
        <w:tc>
          <w:tcPr>
            <w:tcW w:w="833" w:type="pct"/>
          </w:tcPr>
          <w:p w14:paraId="641FF986" w14:textId="77777777" w:rsidR="00732EF1" w:rsidRDefault="00732EF1">
            <w:pPr>
              <w:pStyle w:val="Body"/>
              <w:rPr>
                <w:rFonts w:ascii="Arial" w:hAnsi="Arial" w:cs="Arial"/>
              </w:rPr>
            </w:pPr>
          </w:p>
        </w:tc>
        <w:tc>
          <w:tcPr>
            <w:tcW w:w="833" w:type="pct"/>
          </w:tcPr>
          <w:p w14:paraId="39B46505" w14:textId="77777777" w:rsidR="00732EF1" w:rsidRDefault="00732EF1">
            <w:pPr>
              <w:pStyle w:val="Body"/>
              <w:rPr>
                <w:rFonts w:ascii="Arial" w:hAnsi="Arial" w:cs="Arial"/>
              </w:rPr>
            </w:pPr>
          </w:p>
        </w:tc>
      </w:tr>
      <w:tr w:rsidR="00732EF1" w14:paraId="0A1C6E33" w14:textId="77777777" w:rsidTr="009B7C71">
        <w:tc>
          <w:tcPr>
            <w:tcW w:w="833" w:type="pct"/>
          </w:tcPr>
          <w:p w14:paraId="48AB271D"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NEUTROPHIL</w:t>
            </w:r>
          </w:p>
        </w:tc>
        <w:tc>
          <w:tcPr>
            <w:tcW w:w="833" w:type="pct"/>
          </w:tcPr>
          <w:p w14:paraId="69085940"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43.3</w:t>
            </w:r>
          </w:p>
        </w:tc>
        <w:tc>
          <w:tcPr>
            <w:tcW w:w="833" w:type="pct"/>
          </w:tcPr>
          <w:p w14:paraId="0054E4AA"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15-35%</w:t>
            </w:r>
          </w:p>
        </w:tc>
        <w:tc>
          <w:tcPr>
            <w:tcW w:w="833" w:type="pct"/>
          </w:tcPr>
          <w:p w14:paraId="53D4FD43" w14:textId="77777777" w:rsidR="00732EF1" w:rsidRDefault="00732EF1">
            <w:pPr>
              <w:pStyle w:val="Body"/>
              <w:rPr>
                <w:rFonts w:ascii="Arial" w:hAnsi="Arial" w:cs="Arial"/>
              </w:rPr>
            </w:pPr>
          </w:p>
        </w:tc>
        <w:tc>
          <w:tcPr>
            <w:tcW w:w="833" w:type="pct"/>
          </w:tcPr>
          <w:p w14:paraId="2D04D353" w14:textId="77777777" w:rsidR="00732EF1" w:rsidRDefault="00732EF1">
            <w:pPr>
              <w:pStyle w:val="Body"/>
              <w:rPr>
                <w:rFonts w:ascii="Arial" w:hAnsi="Arial" w:cs="Arial"/>
              </w:rPr>
            </w:pPr>
          </w:p>
        </w:tc>
        <w:tc>
          <w:tcPr>
            <w:tcW w:w="833" w:type="pct"/>
          </w:tcPr>
          <w:p w14:paraId="2D2BF32A" w14:textId="77777777" w:rsidR="00732EF1" w:rsidRDefault="00732EF1">
            <w:pPr>
              <w:pStyle w:val="Body"/>
              <w:rPr>
                <w:rFonts w:ascii="Arial" w:hAnsi="Arial" w:cs="Arial"/>
              </w:rPr>
            </w:pPr>
          </w:p>
        </w:tc>
      </w:tr>
      <w:tr w:rsidR="00732EF1" w14:paraId="40C4D3E0" w14:textId="77777777" w:rsidTr="009B7C71">
        <w:tc>
          <w:tcPr>
            <w:tcW w:w="833" w:type="pct"/>
          </w:tcPr>
          <w:p w14:paraId="7FBC4921"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LYMPHOCYTE</w:t>
            </w:r>
          </w:p>
        </w:tc>
        <w:tc>
          <w:tcPr>
            <w:tcW w:w="833" w:type="pct"/>
          </w:tcPr>
          <w:p w14:paraId="754E7670"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38.9</w:t>
            </w:r>
          </w:p>
        </w:tc>
        <w:tc>
          <w:tcPr>
            <w:tcW w:w="833" w:type="pct"/>
          </w:tcPr>
          <w:p w14:paraId="5E22A5D7"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45-76%</w:t>
            </w:r>
          </w:p>
        </w:tc>
        <w:tc>
          <w:tcPr>
            <w:tcW w:w="833" w:type="pct"/>
          </w:tcPr>
          <w:p w14:paraId="72410C62" w14:textId="77777777" w:rsidR="00732EF1" w:rsidRDefault="00732EF1">
            <w:pPr>
              <w:pStyle w:val="Body"/>
              <w:rPr>
                <w:rFonts w:ascii="Arial" w:hAnsi="Arial" w:cs="Arial"/>
              </w:rPr>
            </w:pPr>
          </w:p>
        </w:tc>
        <w:tc>
          <w:tcPr>
            <w:tcW w:w="833" w:type="pct"/>
          </w:tcPr>
          <w:p w14:paraId="4484FF4A" w14:textId="77777777" w:rsidR="00732EF1" w:rsidRDefault="00732EF1">
            <w:pPr>
              <w:pStyle w:val="Body"/>
              <w:rPr>
                <w:rFonts w:ascii="Arial" w:hAnsi="Arial" w:cs="Arial"/>
              </w:rPr>
            </w:pPr>
          </w:p>
        </w:tc>
        <w:tc>
          <w:tcPr>
            <w:tcW w:w="833" w:type="pct"/>
          </w:tcPr>
          <w:p w14:paraId="3D42A51B" w14:textId="77777777" w:rsidR="00732EF1" w:rsidRDefault="00732EF1">
            <w:pPr>
              <w:pStyle w:val="Body"/>
              <w:rPr>
                <w:rFonts w:ascii="Arial" w:hAnsi="Arial" w:cs="Arial"/>
              </w:rPr>
            </w:pPr>
          </w:p>
        </w:tc>
      </w:tr>
      <w:tr w:rsidR="00732EF1" w14:paraId="7B6114E2" w14:textId="77777777" w:rsidTr="009B7C71">
        <w:tc>
          <w:tcPr>
            <w:tcW w:w="833" w:type="pct"/>
          </w:tcPr>
          <w:p w14:paraId="5A0114C3" w14:textId="77777777" w:rsidR="00732EF1" w:rsidRDefault="004D22CD">
            <w:pPr>
              <w:spacing w:line="360" w:lineRule="auto"/>
              <w:rPr>
                <w:rFonts w:ascii="Arial" w:eastAsia="sans-serif" w:hAnsi="Arial" w:cs="Arial"/>
                <w:color w:val="000000" w:themeColor="text1"/>
                <w:sz w:val="20"/>
                <w:szCs w:val="20"/>
                <w:shd w:val="clear" w:color="auto" w:fill="FFFFFF"/>
              </w:rPr>
            </w:pPr>
            <w:proofErr w:type="spellStart"/>
            <w:proofErr w:type="gramStart"/>
            <w:r>
              <w:rPr>
                <w:rFonts w:ascii="Arial" w:eastAsia="sans-serif" w:hAnsi="Arial" w:cs="Arial"/>
                <w:color w:val="000000" w:themeColor="text1"/>
                <w:sz w:val="20"/>
                <w:szCs w:val="20"/>
                <w:shd w:val="clear" w:color="auto" w:fill="FFFFFF"/>
              </w:rPr>
              <w:t>Ab.NEUTROPHIL</w:t>
            </w:r>
            <w:proofErr w:type="spellEnd"/>
            <w:proofErr w:type="gramEnd"/>
          </w:p>
        </w:tc>
        <w:tc>
          <w:tcPr>
            <w:tcW w:w="833" w:type="pct"/>
          </w:tcPr>
          <w:p w14:paraId="76865541"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6</w:t>
            </w:r>
          </w:p>
        </w:tc>
        <w:tc>
          <w:tcPr>
            <w:tcW w:w="833" w:type="pct"/>
          </w:tcPr>
          <w:p w14:paraId="1A818558"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1-7k/ul</w:t>
            </w:r>
          </w:p>
        </w:tc>
        <w:tc>
          <w:tcPr>
            <w:tcW w:w="833" w:type="pct"/>
          </w:tcPr>
          <w:p w14:paraId="75E535A4" w14:textId="77777777" w:rsidR="00732EF1" w:rsidRDefault="00732EF1">
            <w:pPr>
              <w:pStyle w:val="Body"/>
              <w:rPr>
                <w:rFonts w:ascii="Arial" w:hAnsi="Arial" w:cs="Arial"/>
              </w:rPr>
            </w:pPr>
          </w:p>
        </w:tc>
        <w:tc>
          <w:tcPr>
            <w:tcW w:w="833" w:type="pct"/>
          </w:tcPr>
          <w:p w14:paraId="7547C904" w14:textId="77777777" w:rsidR="00732EF1" w:rsidRDefault="00732EF1">
            <w:pPr>
              <w:pStyle w:val="Body"/>
              <w:rPr>
                <w:rFonts w:ascii="Arial" w:hAnsi="Arial" w:cs="Arial"/>
              </w:rPr>
            </w:pPr>
          </w:p>
        </w:tc>
        <w:tc>
          <w:tcPr>
            <w:tcW w:w="833" w:type="pct"/>
          </w:tcPr>
          <w:p w14:paraId="5DF782C8" w14:textId="77777777" w:rsidR="00732EF1" w:rsidRDefault="00732EF1">
            <w:pPr>
              <w:pStyle w:val="Body"/>
              <w:rPr>
                <w:rFonts w:ascii="Arial" w:hAnsi="Arial" w:cs="Arial"/>
              </w:rPr>
            </w:pPr>
          </w:p>
        </w:tc>
      </w:tr>
      <w:tr w:rsidR="00732EF1" w14:paraId="69E99206" w14:textId="77777777" w:rsidTr="009B7C71">
        <w:tc>
          <w:tcPr>
            <w:tcW w:w="833" w:type="pct"/>
          </w:tcPr>
          <w:p w14:paraId="566B2753" w14:textId="77777777" w:rsidR="00732EF1" w:rsidRDefault="004D22CD">
            <w:pPr>
              <w:spacing w:line="360" w:lineRule="auto"/>
              <w:rPr>
                <w:rFonts w:ascii="Arial" w:eastAsia="sans-serif" w:hAnsi="Arial" w:cs="Arial"/>
                <w:color w:val="000000" w:themeColor="text1"/>
                <w:sz w:val="20"/>
                <w:szCs w:val="20"/>
                <w:shd w:val="clear" w:color="auto" w:fill="FFFFFF"/>
              </w:rPr>
            </w:pPr>
            <w:proofErr w:type="spellStart"/>
            <w:proofErr w:type="gramStart"/>
            <w:r>
              <w:rPr>
                <w:rFonts w:ascii="Arial" w:eastAsia="sans-serif" w:hAnsi="Arial" w:cs="Arial"/>
                <w:color w:val="000000" w:themeColor="text1"/>
                <w:sz w:val="20"/>
                <w:szCs w:val="20"/>
                <w:shd w:val="clear" w:color="auto" w:fill="FFFFFF"/>
              </w:rPr>
              <w:t>Ab.LYMPHOCYTE</w:t>
            </w:r>
            <w:proofErr w:type="spellEnd"/>
            <w:proofErr w:type="gramEnd"/>
          </w:p>
        </w:tc>
        <w:tc>
          <w:tcPr>
            <w:tcW w:w="833" w:type="pct"/>
          </w:tcPr>
          <w:p w14:paraId="67D0737E"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10</w:t>
            </w:r>
          </w:p>
        </w:tc>
        <w:tc>
          <w:tcPr>
            <w:tcW w:w="833" w:type="pct"/>
          </w:tcPr>
          <w:p w14:paraId="42EB8888"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3.5-11k/ul</w:t>
            </w:r>
          </w:p>
        </w:tc>
        <w:tc>
          <w:tcPr>
            <w:tcW w:w="833" w:type="pct"/>
          </w:tcPr>
          <w:p w14:paraId="60E1A87D" w14:textId="77777777" w:rsidR="00732EF1" w:rsidRDefault="00732EF1">
            <w:pPr>
              <w:pStyle w:val="Body"/>
              <w:rPr>
                <w:rFonts w:ascii="Arial" w:hAnsi="Arial" w:cs="Arial"/>
              </w:rPr>
            </w:pPr>
          </w:p>
        </w:tc>
        <w:tc>
          <w:tcPr>
            <w:tcW w:w="833" w:type="pct"/>
          </w:tcPr>
          <w:p w14:paraId="4C09B081" w14:textId="77777777" w:rsidR="00732EF1" w:rsidRDefault="00732EF1">
            <w:pPr>
              <w:pStyle w:val="Body"/>
              <w:rPr>
                <w:rFonts w:ascii="Arial" w:hAnsi="Arial" w:cs="Arial"/>
              </w:rPr>
            </w:pPr>
          </w:p>
        </w:tc>
        <w:tc>
          <w:tcPr>
            <w:tcW w:w="833" w:type="pct"/>
          </w:tcPr>
          <w:p w14:paraId="2AC530B0" w14:textId="77777777" w:rsidR="00732EF1" w:rsidRDefault="00732EF1">
            <w:pPr>
              <w:pStyle w:val="Body"/>
              <w:rPr>
                <w:rFonts w:ascii="Arial" w:hAnsi="Arial" w:cs="Arial"/>
              </w:rPr>
            </w:pPr>
          </w:p>
        </w:tc>
      </w:tr>
      <w:tr w:rsidR="00732EF1" w14:paraId="34075F8A" w14:textId="77777777" w:rsidTr="009B7C71">
        <w:tc>
          <w:tcPr>
            <w:tcW w:w="833" w:type="pct"/>
          </w:tcPr>
          <w:p w14:paraId="4093D1F6"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PLATELETS</w:t>
            </w:r>
          </w:p>
        </w:tc>
        <w:tc>
          <w:tcPr>
            <w:tcW w:w="833" w:type="pct"/>
          </w:tcPr>
          <w:p w14:paraId="01EAA5C9" w14:textId="77777777" w:rsidR="00732EF1" w:rsidRDefault="00732EF1">
            <w:pPr>
              <w:spacing w:line="360" w:lineRule="auto"/>
              <w:rPr>
                <w:rFonts w:ascii="Arial" w:eastAsia="sans-serif" w:hAnsi="Arial" w:cs="Arial"/>
                <w:color w:val="000000" w:themeColor="text1"/>
                <w:sz w:val="20"/>
                <w:szCs w:val="20"/>
                <w:shd w:val="clear" w:color="auto" w:fill="FFFFFF"/>
              </w:rPr>
            </w:pPr>
          </w:p>
        </w:tc>
        <w:tc>
          <w:tcPr>
            <w:tcW w:w="833" w:type="pct"/>
          </w:tcPr>
          <w:p w14:paraId="21E6B436"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200-550 k/ul</w:t>
            </w:r>
          </w:p>
        </w:tc>
        <w:tc>
          <w:tcPr>
            <w:tcW w:w="833" w:type="pct"/>
          </w:tcPr>
          <w:p w14:paraId="2A9C4B32" w14:textId="77777777" w:rsidR="00732EF1" w:rsidRDefault="00732EF1">
            <w:pPr>
              <w:pStyle w:val="Body"/>
              <w:rPr>
                <w:rFonts w:ascii="Arial" w:hAnsi="Arial" w:cs="Arial"/>
              </w:rPr>
            </w:pPr>
          </w:p>
        </w:tc>
        <w:tc>
          <w:tcPr>
            <w:tcW w:w="833" w:type="pct"/>
          </w:tcPr>
          <w:p w14:paraId="48FD83E5" w14:textId="77777777" w:rsidR="00732EF1" w:rsidRDefault="00732EF1">
            <w:pPr>
              <w:pStyle w:val="Body"/>
              <w:rPr>
                <w:rFonts w:ascii="Arial" w:hAnsi="Arial" w:cs="Arial"/>
              </w:rPr>
            </w:pPr>
          </w:p>
        </w:tc>
        <w:tc>
          <w:tcPr>
            <w:tcW w:w="833" w:type="pct"/>
          </w:tcPr>
          <w:p w14:paraId="40B9D403" w14:textId="77777777" w:rsidR="00732EF1" w:rsidRDefault="00732EF1">
            <w:pPr>
              <w:pStyle w:val="Body"/>
              <w:rPr>
                <w:rFonts w:ascii="Arial" w:hAnsi="Arial" w:cs="Arial"/>
              </w:rPr>
            </w:pPr>
          </w:p>
        </w:tc>
      </w:tr>
    </w:tbl>
    <w:p w14:paraId="19E912EB" w14:textId="77777777" w:rsidR="00732EF1" w:rsidRDefault="00732EF1">
      <w:pPr>
        <w:pStyle w:val="Body"/>
        <w:rPr>
          <w:rFonts w:ascii="Arial" w:hAnsi="Arial" w:cs="Arial"/>
        </w:rPr>
      </w:pPr>
    </w:p>
    <w:p w14:paraId="1D87766C" w14:textId="77777777" w:rsidR="00732EF1" w:rsidRDefault="004D22CD">
      <w:pPr>
        <w:pStyle w:val="Head1"/>
        <w:spacing w:after="0"/>
        <w:jc w:val="both"/>
        <w:rPr>
          <w:rFonts w:ascii="Arial" w:hAnsi="Arial" w:cs="Arial"/>
        </w:rPr>
      </w:pPr>
      <w:r>
        <w:rPr>
          <w:rFonts w:ascii="Arial" w:hAnsi="Arial" w:cs="Arial"/>
        </w:rPr>
        <w:lastRenderedPageBreak/>
        <w:t>3. discussion</w:t>
      </w:r>
    </w:p>
    <w:p w14:paraId="70D6D7C9" w14:textId="77777777" w:rsidR="00732EF1" w:rsidRDefault="00732EF1">
      <w:pPr>
        <w:pStyle w:val="Head1"/>
        <w:spacing w:after="0"/>
        <w:jc w:val="both"/>
        <w:rPr>
          <w:rFonts w:ascii="Arial" w:hAnsi="Arial" w:cs="Arial"/>
        </w:rPr>
      </w:pPr>
    </w:p>
    <w:p w14:paraId="7D212FF4" w14:textId="77777777" w:rsidR="00732EF1" w:rsidRDefault="004D22CD">
      <w:pPr>
        <w:pStyle w:val="ConcHead"/>
        <w:jc w:val="both"/>
        <w:rPr>
          <w:rFonts w:ascii="Arial" w:hAnsi="Arial" w:cs="Arial"/>
          <w:b w:val="0"/>
          <w:caps w:val="0"/>
          <w:sz w:val="20"/>
        </w:rPr>
      </w:pPr>
      <w:r>
        <w:rPr>
          <w:rFonts w:ascii="Arial" w:hAnsi="Arial" w:cs="Arial"/>
          <w:b w:val="0"/>
          <w:caps w:val="0"/>
          <w:sz w:val="20"/>
        </w:rPr>
        <w:t>Our case highlights a rare manifestation of an increasingly dangerous pathogen. Empyema and necrotizing pneumonia should be considered in any patient presenting with pulmonary symptoms and suggestive imaging findings. A biopsy can also aid in the diagnosis. Successful management of necrotizing pneumonia involves appropriate antimicrobial therapy and surgical drainage of pleural pus.</w:t>
      </w:r>
    </w:p>
    <w:p w14:paraId="7D39A03E" w14:textId="77777777" w:rsidR="00732EF1" w:rsidRDefault="004D22CD">
      <w:pPr>
        <w:pStyle w:val="ConcHead"/>
        <w:jc w:val="both"/>
        <w:rPr>
          <w:rFonts w:ascii="Arial" w:hAnsi="Arial" w:cs="Arial"/>
          <w:b w:val="0"/>
          <w:caps w:val="0"/>
          <w:sz w:val="20"/>
        </w:rPr>
      </w:pPr>
      <w:r>
        <w:rPr>
          <w:rFonts w:ascii="Arial" w:hAnsi="Arial" w:cs="Arial"/>
          <w:b w:val="0"/>
          <w:caps w:val="0"/>
          <w:sz w:val="20"/>
        </w:rPr>
        <w:t xml:space="preserve"> Empyema is type of parapneumonic effusion characterized by the accumulation of purulent fluid and fibrin in the pleural space. </w:t>
      </w:r>
      <w:proofErr w:type="spellStart"/>
      <w:r>
        <w:rPr>
          <w:rFonts w:ascii="Arial" w:hAnsi="Arial" w:cs="Arial"/>
          <w:b w:val="0"/>
          <w:caps w:val="0"/>
          <w:sz w:val="20"/>
        </w:rPr>
        <w:t>Paraneumonic</w:t>
      </w:r>
      <w:proofErr w:type="spellEnd"/>
      <w:r>
        <w:rPr>
          <w:rFonts w:ascii="Arial" w:hAnsi="Arial" w:cs="Arial"/>
          <w:b w:val="0"/>
          <w:caps w:val="0"/>
          <w:sz w:val="20"/>
        </w:rPr>
        <w:t xml:space="preserve"> pleural effusion progress through two stages, each with distinct fluid characteristics and treatment </w:t>
      </w:r>
      <w:proofErr w:type="gramStart"/>
      <w:r>
        <w:rPr>
          <w:rFonts w:ascii="Arial" w:hAnsi="Arial" w:cs="Arial"/>
          <w:b w:val="0"/>
          <w:caps w:val="0"/>
          <w:sz w:val="20"/>
        </w:rPr>
        <w:t>approaches[</w:t>
      </w:r>
      <w:proofErr w:type="gramEnd"/>
      <w:r>
        <w:rPr>
          <w:rFonts w:ascii="Arial" w:hAnsi="Arial" w:cs="Arial"/>
          <w:b w:val="0"/>
          <w:caps w:val="0"/>
          <w:sz w:val="20"/>
        </w:rPr>
        <w:t xml:space="preserve">14]. The first stage, known as the exudative stage is characterized by clear, </w:t>
      </w:r>
      <w:proofErr w:type="spellStart"/>
      <w:r>
        <w:rPr>
          <w:rFonts w:ascii="Arial" w:hAnsi="Arial" w:cs="Arial"/>
          <w:b w:val="0"/>
          <w:caps w:val="0"/>
          <w:sz w:val="20"/>
        </w:rPr>
        <w:t>straw-coloured</w:t>
      </w:r>
      <w:proofErr w:type="spellEnd"/>
      <w:r>
        <w:rPr>
          <w:rFonts w:ascii="Arial" w:hAnsi="Arial" w:cs="Arial"/>
          <w:b w:val="0"/>
          <w:caps w:val="0"/>
          <w:sz w:val="20"/>
        </w:rPr>
        <w:t xml:space="preserve"> fluid. Lactate dehydrogenase (LDH) are typically &lt;500U/L with normal pH and glucose concentration. This stage does not required drainage and is effectively manage with antibiotic.</w:t>
      </w:r>
    </w:p>
    <w:p w14:paraId="26C56D6D" w14:textId="77777777" w:rsidR="00732EF1" w:rsidRDefault="004D22CD">
      <w:pPr>
        <w:pStyle w:val="ConcHead"/>
        <w:spacing w:after="0"/>
        <w:jc w:val="both"/>
        <w:rPr>
          <w:rFonts w:ascii="Arial" w:hAnsi="Arial" w:cs="Arial"/>
          <w:b w:val="0"/>
          <w:caps w:val="0"/>
          <w:sz w:val="20"/>
        </w:rPr>
      </w:pPr>
      <w:r>
        <w:rPr>
          <w:rFonts w:ascii="Arial" w:hAnsi="Arial" w:cs="Arial"/>
          <w:b w:val="0"/>
          <w:caps w:val="0"/>
          <w:sz w:val="20"/>
        </w:rPr>
        <w:t xml:space="preserve">The second stage marked by an increase in bacteria, leukocytes, debris and fibrin results in the fluid transforming into pus, which defines empyema. In this stage, lactate dehydrogenase level </w:t>
      </w:r>
      <w:proofErr w:type="gramStart"/>
      <w:r>
        <w:rPr>
          <w:rFonts w:ascii="Arial" w:hAnsi="Arial" w:cs="Arial"/>
          <w:b w:val="0"/>
          <w:caps w:val="0"/>
          <w:sz w:val="20"/>
        </w:rPr>
        <w:t>exceed</w:t>
      </w:r>
      <w:proofErr w:type="gramEnd"/>
      <w:r>
        <w:rPr>
          <w:rFonts w:ascii="Arial" w:hAnsi="Arial" w:cs="Arial"/>
          <w:b w:val="0"/>
          <w:caps w:val="0"/>
          <w:sz w:val="20"/>
        </w:rPr>
        <w:t xml:space="preserve"> &gt;1000U/L. The pH is drop below 7.2 and glucose concentration fall below 40mg/dl. Management at this stage requires both antibiotic and surgical intervention.</w:t>
      </w:r>
    </w:p>
    <w:p w14:paraId="7F03AEA8" w14:textId="77777777" w:rsidR="00732EF1" w:rsidRDefault="00732EF1">
      <w:pPr>
        <w:pStyle w:val="ConcHead"/>
        <w:spacing w:after="0"/>
        <w:jc w:val="both"/>
        <w:rPr>
          <w:rFonts w:ascii="Arial" w:hAnsi="Arial" w:cs="Arial"/>
          <w:b w:val="0"/>
          <w:caps w:val="0"/>
          <w:sz w:val="20"/>
        </w:rPr>
      </w:pPr>
    </w:p>
    <w:p w14:paraId="4B506ED9" w14:textId="77777777" w:rsidR="00732EF1" w:rsidRDefault="004D22CD">
      <w:pPr>
        <w:pStyle w:val="ConcHead"/>
        <w:spacing w:after="0"/>
        <w:jc w:val="both"/>
        <w:rPr>
          <w:rFonts w:ascii="Arial" w:hAnsi="Arial" w:cs="Arial"/>
        </w:rPr>
      </w:pPr>
      <w:r>
        <w:rPr>
          <w:rFonts w:ascii="Arial" w:hAnsi="Arial" w:cs="Arial"/>
        </w:rPr>
        <w:t>4. Conclusion</w:t>
      </w:r>
    </w:p>
    <w:p w14:paraId="67B95292" w14:textId="77777777" w:rsidR="00732EF1" w:rsidRDefault="00732EF1">
      <w:pPr>
        <w:pStyle w:val="ConcHead"/>
        <w:spacing w:after="0"/>
        <w:jc w:val="both"/>
        <w:rPr>
          <w:rFonts w:ascii="Arial" w:hAnsi="Arial" w:cs="Arial"/>
        </w:rPr>
      </w:pPr>
    </w:p>
    <w:p w14:paraId="4BA19FC7" w14:textId="77777777" w:rsidR="00732EF1" w:rsidRDefault="004D22CD">
      <w:pPr>
        <w:pStyle w:val="AcknHead"/>
        <w:spacing w:after="0"/>
        <w:jc w:val="both"/>
        <w:rPr>
          <w:rFonts w:ascii="Arial" w:hAnsi="Arial" w:cs="Arial"/>
          <w:b w:val="0"/>
          <w:caps w:val="0"/>
          <w:sz w:val="20"/>
        </w:rPr>
      </w:pPr>
      <w:r>
        <w:rPr>
          <w:rFonts w:ascii="Arial" w:hAnsi="Arial" w:cs="Arial"/>
          <w:b w:val="0"/>
          <w:caps w:val="0"/>
          <w:sz w:val="20"/>
        </w:rPr>
        <w:t xml:space="preserve">Our patient case underscores the critical importance of early recognition and aggressive management of empyema and necrotizing pneumonia in children. Clinicians should maintain a high index of suspicion for these complication -compromised respiratory function, fever and bluish skin discoloration. Advanced imaging and microbiological testing are crucial in guiding diagnosis and treatment. The child recovery </w:t>
      </w:r>
      <w:proofErr w:type="gramStart"/>
      <w:r>
        <w:rPr>
          <w:rFonts w:ascii="Arial" w:hAnsi="Arial" w:cs="Arial"/>
          <w:b w:val="0"/>
          <w:caps w:val="0"/>
          <w:sz w:val="20"/>
        </w:rPr>
        <w:t>highlight</w:t>
      </w:r>
      <w:proofErr w:type="gramEnd"/>
      <w:r>
        <w:rPr>
          <w:rFonts w:ascii="Arial" w:hAnsi="Arial" w:cs="Arial"/>
          <w:b w:val="0"/>
          <w:caps w:val="0"/>
          <w:sz w:val="20"/>
        </w:rPr>
        <w:t xml:space="preserve"> the efficacy of combined antimicrobial and surgical approach, supportive care also. Long term follow up is essential in these cases to monitor for potential complication such as bronchiectasis or restrictive lung disease so early intervention and accurate treatment strategy can improve outcome in pediatric patient.</w:t>
      </w:r>
    </w:p>
    <w:p w14:paraId="127B6EFC" w14:textId="77777777" w:rsidR="00732EF1" w:rsidRDefault="00732EF1">
      <w:pPr>
        <w:pStyle w:val="AcknHead"/>
        <w:spacing w:after="0"/>
        <w:jc w:val="both"/>
        <w:rPr>
          <w:rFonts w:ascii="Arial" w:hAnsi="Arial" w:cs="Arial"/>
          <w:b w:val="0"/>
          <w:caps w:val="0"/>
          <w:sz w:val="20"/>
        </w:rPr>
      </w:pPr>
    </w:p>
    <w:p w14:paraId="5C80BA33" w14:textId="31078263" w:rsidR="00732EF1" w:rsidRDefault="00732EF1">
      <w:pPr>
        <w:pStyle w:val="ReferHead"/>
        <w:spacing w:after="0"/>
        <w:jc w:val="both"/>
        <w:rPr>
          <w:rFonts w:ascii="Arial" w:hAnsi="Arial" w:cs="Arial"/>
          <w:b w:val="0"/>
          <w:caps w:val="0"/>
          <w:sz w:val="20"/>
          <w:u w:val="single"/>
        </w:rPr>
      </w:pPr>
    </w:p>
    <w:p w14:paraId="51742C3D" w14:textId="77777777" w:rsidR="00732EF1" w:rsidRDefault="00732EF1">
      <w:pPr>
        <w:pStyle w:val="ReferHead"/>
        <w:spacing w:after="0"/>
        <w:jc w:val="both"/>
        <w:rPr>
          <w:rFonts w:ascii="Arial" w:hAnsi="Arial" w:cs="Arial"/>
          <w:b w:val="0"/>
          <w:caps w:val="0"/>
          <w:sz w:val="20"/>
        </w:rPr>
      </w:pPr>
    </w:p>
    <w:p w14:paraId="70D207B5" w14:textId="77777777" w:rsidR="00732EF1" w:rsidRDefault="004D22CD">
      <w:pPr>
        <w:pStyle w:val="ReferHead"/>
        <w:spacing w:after="0"/>
        <w:jc w:val="both"/>
        <w:rPr>
          <w:rFonts w:ascii="Arial" w:hAnsi="Arial" w:cs="Arial"/>
        </w:rPr>
      </w:pPr>
      <w:r>
        <w:rPr>
          <w:rFonts w:ascii="Arial" w:hAnsi="Arial" w:cs="Arial"/>
        </w:rPr>
        <w:t xml:space="preserve">ETHICAL APPROVAL </w:t>
      </w:r>
    </w:p>
    <w:p w14:paraId="447EAC01" w14:textId="77777777" w:rsidR="00732EF1" w:rsidRDefault="004D22CD">
      <w:pPr>
        <w:pStyle w:val="ReferHead"/>
        <w:spacing w:after="0"/>
        <w:jc w:val="both"/>
        <w:rPr>
          <w:rFonts w:ascii="Arial" w:hAnsi="Arial" w:cs="Arial"/>
          <w:b w:val="0"/>
        </w:rPr>
      </w:pPr>
      <w:r>
        <w:rPr>
          <w:rFonts w:ascii="Arial" w:hAnsi="Arial" w:cs="Arial"/>
          <w:b w:val="0"/>
          <w:caps w:val="0"/>
        </w:rPr>
        <w:t>It is not applicable.</w:t>
      </w:r>
    </w:p>
    <w:p w14:paraId="4A9988F1" w14:textId="77777777" w:rsidR="00732EF1" w:rsidRDefault="00732EF1">
      <w:pPr>
        <w:pStyle w:val="ReferHead"/>
        <w:spacing w:after="0"/>
        <w:jc w:val="both"/>
        <w:rPr>
          <w:rFonts w:ascii="Arial" w:hAnsi="Arial" w:cs="Arial"/>
          <w:bCs/>
        </w:rPr>
      </w:pPr>
    </w:p>
    <w:p w14:paraId="7F275293" w14:textId="77777777" w:rsidR="00732EF1" w:rsidRDefault="004D22CD">
      <w:pPr>
        <w:pStyle w:val="ReferHead"/>
        <w:spacing w:after="0"/>
        <w:jc w:val="both"/>
        <w:rPr>
          <w:rFonts w:ascii="Arial" w:hAnsi="Arial" w:cs="Arial"/>
          <w:bCs/>
        </w:rPr>
      </w:pPr>
      <w:r>
        <w:rPr>
          <w:rFonts w:ascii="Arial" w:hAnsi="Arial" w:cs="Arial"/>
          <w:bCs/>
        </w:rPr>
        <w:t xml:space="preserve">Consent </w:t>
      </w:r>
    </w:p>
    <w:p w14:paraId="2297C71E" w14:textId="77777777" w:rsidR="00732EF1" w:rsidRDefault="00732EF1">
      <w:pPr>
        <w:pStyle w:val="ReferHead"/>
        <w:spacing w:after="0"/>
        <w:jc w:val="both"/>
        <w:rPr>
          <w:rFonts w:ascii="Arial" w:hAnsi="Arial" w:cs="Arial"/>
          <w:bCs/>
        </w:rPr>
      </w:pPr>
    </w:p>
    <w:p w14:paraId="33BE8B29" w14:textId="77777777" w:rsidR="00732EF1" w:rsidRDefault="004D22CD">
      <w:pPr>
        <w:pStyle w:val="ReferHead"/>
        <w:spacing w:after="0"/>
        <w:jc w:val="both"/>
        <w:rPr>
          <w:rFonts w:ascii="Arial" w:hAnsi="Arial" w:cs="Arial"/>
          <w:b w:val="0"/>
          <w:caps w:val="0"/>
          <w:sz w:val="20"/>
        </w:rPr>
      </w:pPr>
      <w:r>
        <w:rPr>
          <w:rFonts w:ascii="Arial" w:hAnsi="Arial" w:cs="Arial"/>
          <w:b w:val="0"/>
          <w:caps w:val="0"/>
          <w:sz w:val="20"/>
          <w:u w:val="single"/>
        </w:rPr>
        <w:t>As per university standards or international standers, consent has been collected from the patient(s) and preserved by the author(s).</w:t>
      </w:r>
    </w:p>
    <w:p w14:paraId="2FED85C1" w14:textId="77777777" w:rsidR="00732EF1" w:rsidRDefault="00732EF1">
      <w:pPr>
        <w:pStyle w:val="ReferHead"/>
        <w:spacing w:after="0"/>
        <w:jc w:val="both"/>
        <w:rPr>
          <w:rFonts w:ascii="Arial" w:hAnsi="Arial" w:cs="Arial"/>
          <w:bCs/>
        </w:rPr>
      </w:pPr>
    </w:p>
    <w:p w14:paraId="4630F921" w14:textId="77777777" w:rsidR="00732EF1" w:rsidRDefault="00732EF1">
      <w:pPr>
        <w:pStyle w:val="ReferHead"/>
        <w:spacing w:after="0"/>
        <w:jc w:val="both"/>
        <w:rPr>
          <w:rFonts w:ascii="Arial" w:hAnsi="Arial" w:cs="Arial"/>
        </w:rPr>
      </w:pPr>
    </w:p>
    <w:p w14:paraId="5FD253C8" w14:textId="77777777" w:rsidR="00732EF1" w:rsidRDefault="004D22CD">
      <w:pPr>
        <w:pStyle w:val="ReferHead"/>
        <w:spacing w:after="0"/>
        <w:jc w:val="both"/>
        <w:rPr>
          <w:rFonts w:ascii="Arial" w:hAnsi="Arial" w:cs="Arial"/>
        </w:rPr>
      </w:pPr>
      <w:r>
        <w:rPr>
          <w:rFonts w:ascii="Arial" w:hAnsi="Arial" w:cs="Arial"/>
        </w:rPr>
        <w:t>References</w:t>
      </w:r>
    </w:p>
    <w:p w14:paraId="22E515F8" w14:textId="77777777" w:rsidR="00732EF1" w:rsidRDefault="00732EF1">
      <w:pPr>
        <w:pStyle w:val="Body"/>
        <w:spacing w:after="0"/>
        <w:rPr>
          <w:rFonts w:ascii="Arial" w:hAnsi="Arial" w:cs="Arial"/>
          <w:b/>
        </w:rPr>
      </w:pPr>
    </w:p>
    <w:p w14:paraId="49889DAA" w14:textId="77777777" w:rsidR="00732EF1" w:rsidRDefault="004D22CD">
      <w:pPr>
        <w:pStyle w:val="Body"/>
        <w:rPr>
          <w:rFonts w:ascii="Arial" w:hAnsi="Arial" w:cs="Arial"/>
        </w:rPr>
      </w:pPr>
      <w:r>
        <w:rPr>
          <w:rFonts w:ascii="Arial" w:hAnsi="Arial" w:cs="Arial"/>
        </w:rPr>
        <w:t xml:space="preserve">1. Armin S, Karimi A, </w:t>
      </w:r>
      <w:proofErr w:type="spellStart"/>
      <w:r>
        <w:rPr>
          <w:rFonts w:ascii="Arial" w:hAnsi="Arial" w:cs="Arial"/>
        </w:rPr>
        <w:t>Fallah</w:t>
      </w:r>
      <w:proofErr w:type="spellEnd"/>
      <w:r>
        <w:rPr>
          <w:rFonts w:ascii="Arial" w:hAnsi="Arial" w:cs="Arial"/>
        </w:rPr>
        <w:t xml:space="preserve"> F, </w:t>
      </w:r>
      <w:proofErr w:type="spellStart"/>
      <w:r>
        <w:rPr>
          <w:rFonts w:ascii="Arial" w:hAnsi="Arial" w:cs="Arial"/>
        </w:rPr>
        <w:t>Ghanaei</w:t>
      </w:r>
      <w:proofErr w:type="spellEnd"/>
      <w:r>
        <w:rPr>
          <w:rFonts w:ascii="Arial" w:hAnsi="Arial" w:cs="Arial"/>
        </w:rPr>
        <w:t xml:space="preserve"> RM, </w:t>
      </w:r>
      <w:proofErr w:type="spellStart"/>
      <w:r>
        <w:rPr>
          <w:rFonts w:ascii="Arial" w:hAnsi="Arial" w:cs="Arial"/>
        </w:rPr>
        <w:t>Tabatabaei</w:t>
      </w:r>
      <w:proofErr w:type="spellEnd"/>
      <w:r>
        <w:rPr>
          <w:rFonts w:ascii="Arial" w:hAnsi="Arial" w:cs="Arial"/>
        </w:rPr>
        <w:t xml:space="preserve"> SR, </w:t>
      </w:r>
      <w:proofErr w:type="spellStart"/>
      <w:r>
        <w:rPr>
          <w:rFonts w:ascii="Arial" w:hAnsi="Arial" w:cs="Arial"/>
        </w:rPr>
        <w:t>Fahimzad</w:t>
      </w:r>
      <w:proofErr w:type="spellEnd"/>
      <w:r>
        <w:rPr>
          <w:rFonts w:ascii="Arial" w:hAnsi="Arial" w:cs="Arial"/>
        </w:rPr>
        <w:t xml:space="preserve"> SA, et </w:t>
      </w:r>
      <w:proofErr w:type="spellStart"/>
      <w:proofErr w:type="gramStart"/>
      <w:r>
        <w:rPr>
          <w:rFonts w:ascii="Arial" w:hAnsi="Arial" w:cs="Arial"/>
        </w:rPr>
        <w:t>al.Clinical</w:t>
      </w:r>
      <w:proofErr w:type="spellEnd"/>
      <w:proofErr w:type="gramEnd"/>
      <w:r>
        <w:rPr>
          <w:rFonts w:ascii="Arial" w:hAnsi="Arial" w:cs="Arial"/>
        </w:rPr>
        <w:t xml:space="preserve"> features, management and outcomes of </w:t>
      </w:r>
      <w:proofErr w:type="spellStart"/>
      <w:r>
        <w:rPr>
          <w:rFonts w:ascii="Arial" w:hAnsi="Arial" w:cs="Arial"/>
        </w:rPr>
        <w:t>paediatric</w:t>
      </w:r>
      <w:proofErr w:type="spellEnd"/>
      <w:r>
        <w:rPr>
          <w:rFonts w:ascii="Arial" w:hAnsi="Arial" w:cs="Arial"/>
        </w:rPr>
        <w:t xml:space="preserve"> pleural </w:t>
      </w:r>
      <w:proofErr w:type="spellStart"/>
      <w:r>
        <w:rPr>
          <w:rFonts w:ascii="Arial" w:hAnsi="Arial" w:cs="Arial"/>
        </w:rPr>
        <w:t>empyema:A</w:t>
      </w:r>
      <w:proofErr w:type="spellEnd"/>
      <w:r>
        <w:rPr>
          <w:rFonts w:ascii="Arial" w:hAnsi="Arial" w:cs="Arial"/>
        </w:rPr>
        <w:t xml:space="preserve"> retrospective, multicentric cross sectional study.; 9(6): 253-256</w:t>
      </w:r>
    </w:p>
    <w:p w14:paraId="1915630B" w14:textId="77777777" w:rsidR="00732EF1" w:rsidRDefault="004D22CD">
      <w:pPr>
        <w:pStyle w:val="Body"/>
        <w:rPr>
          <w:rFonts w:ascii="Arial" w:hAnsi="Arial" w:cs="Arial"/>
        </w:rPr>
      </w:pPr>
      <w:r>
        <w:rPr>
          <w:rFonts w:ascii="Arial" w:hAnsi="Arial" w:cs="Arial"/>
        </w:rPr>
        <w:t xml:space="preserve">2. Thakkar PK, </w:t>
      </w:r>
      <w:proofErr w:type="spellStart"/>
      <w:r>
        <w:rPr>
          <w:rFonts w:ascii="Arial" w:hAnsi="Arial" w:cs="Arial"/>
        </w:rPr>
        <w:t>Shendurnikar</w:t>
      </w:r>
      <w:proofErr w:type="spellEnd"/>
      <w:r>
        <w:rPr>
          <w:rFonts w:ascii="Arial" w:hAnsi="Arial" w:cs="Arial"/>
        </w:rPr>
        <w:t xml:space="preserve"> N, Desai H, Doshi V. Empyema thoracis in </w:t>
      </w:r>
      <w:proofErr w:type="spellStart"/>
      <w:proofErr w:type="gramStart"/>
      <w:r>
        <w:rPr>
          <w:rFonts w:ascii="Arial" w:hAnsi="Arial" w:cs="Arial"/>
        </w:rPr>
        <w:t>children:Analysis</w:t>
      </w:r>
      <w:proofErr w:type="spellEnd"/>
      <w:proofErr w:type="gramEnd"/>
      <w:r>
        <w:rPr>
          <w:rFonts w:ascii="Arial" w:hAnsi="Arial" w:cs="Arial"/>
        </w:rPr>
        <w:t xml:space="preserve"> from a tertiary care </w:t>
      </w:r>
      <w:proofErr w:type="spellStart"/>
      <w:r>
        <w:rPr>
          <w:rFonts w:ascii="Arial" w:hAnsi="Arial" w:cs="Arial"/>
        </w:rPr>
        <w:t>centre</w:t>
      </w:r>
      <w:proofErr w:type="spellEnd"/>
      <w:r>
        <w:rPr>
          <w:rFonts w:ascii="Arial" w:hAnsi="Arial" w:cs="Arial"/>
        </w:rPr>
        <w:t xml:space="preserve">. Int J </w:t>
      </w:r>
      <w:proofErr w:type="spellStart"/>
      <w:r>
        <w:rPr>
          <w:rFonts w:ascii="Arial" w:hAnsi="Arial" w:cs="Arial"/>
        </w:rPr>
        <w:t>Contemp</w:t>
      </w:r>
      <w:proofErr w:type="spellEnd"/>
      <w:r>
        <w:rPr>
          <w:rFonts w:ascii="Arial" w:hAnsi="Arial" w:cs="Arial"/>
        </w:rPr>
        <w:t xml:space="preserve"> </w:t>
      </w:r>
      <w:proofErr w:type="spellStart"/>
      <w:r>
        <w:rPr>
          <w:rFonts w:ascii="Arial" w:hAnsi="Arial" w:cs="Arial"/>
        </w:rPr>
        <w:t>Pediatr</w:t>
      </w:r>
      <w:proofErr w:type="spellEnd"/>
      <w:r>
        <w:rPr>
          <w:rFonts w:ascii="Arial" w:hAnsi="Arial" w:cs="Arial"/>
        </w:rPr>
        <w:t xml:space="preserve"> 2021;8(9):1478-1482</w:t>
      </w:r>
    </w:p>
    <w:p w14:paraId="64856021" w14:textId="77777777" w:rsidR="00732EF1" w:rsidRDefault="004D22CD">
      <w:pPr>
        <w:pStyle w:val="Body"/>
        <w:rPr>
          <w:rFonts w:ascii="Arial" w:hAnsi="Arial" w:cs="Arial"/>
        </w:rPr>
      </w:pPr>
      <w:r>
        <w:rPr>
          <w:rFonts w:ascii="Arial" w:hAnsi="Arial" w:cs="Arial"/>
        </w:rPr>
        <w:lastRenderedPageBreak/>
        <w:t xml:space="preserve">3. Saleem AF, Shaikh AS, Khan RS, Khan F, Faruque AV, Khan MA. Empyema thoracis in </w:t>
      </w:r>
      <w:proofErr w:type="spellStart"/>
      <w:proofErr w:type="gramStart"/>
      <w:r>
        <w:rPr>
          <w:rFonts w:ascii="Arial" w:hAnsi="Arial" w:cs="Arial"/>
        </w:rPr>
        <w:t>children:Clinical</w:t>
      </w:r>
      <w:proofErr w:type="spellEnd"/>
      <w:proofErr w:type="gramEnd"/>
      <w:r>
        <w:rPr>
          <w:rFonts w:ascii="Arial" w:hAnsi="Arial" w:cs="Arial"/>
        </w:rPr>
        <w:t xml:space="preserve"> presentation, management and complications. J Coll Physicians Surg Pak 201424(8), 573-576.</w:t>
      </w:r>
    </w:p>
    <w:p w14:paraId="6BC5C899" w14:textId="77777777" w:rsidR="00732EF1" w:rsidRDefault="004D22CD">
      <w:pPr>
        <w:pStyle w:val="Body"/>
        <w:rPr>
          <w:rFonts w:ascii="Arial" w:hAnsi="Arial" w:cs="Arial"/>
        </w:rPr>
      </w:pPr>
      <w:r>
        <w:rPr>
          <w:rFonts w:ascii="Arial" w:hAnsi="Arial" w:cs="Arial"/>
        </w:rPr>
        <w:t xml:space="preserve">4. </w:t>
      </w:r>
      <w:proofErr w:type="spellStart"/>
      <w:r>
        <w:rPr>
          <w:rFonts w:ascii="Arial" w:hAnsi="Arial" w:cs="Arial"/>
        </w:rPr>
        <w:t>Ramireddy</w:t>
      </w:r>
      <w:proofErr w:type="spellEnd"/>
      <w:r>
        <w:rPr>
          <w:rFonts w:ascii="Arial" w:hAnsi="Arial" w:cs="Arial"/>
        </w:rPr>
        <w:t xml:space="preserve"> K, Siva Rama Krishna Y. A study of pediatric empyema thoracis in a tertiary care hospital. Int J </w:t>
      </w:r>
      <w:proofErr w:type="spellStart"/>
      <w:r>
        <w:rPr>
          <w:rFonts w:ascii="Arial" w:hAnsi="Arial" w:cs="Arial"/>
        </w:rPr>
        <w:t>Contemp</w:t>
      </w:r>
      <w:proofErr w:type="spellEnd"/>
      <w:r>
        <w:rPr>
          <w:rFonts w:ascii="Arial" w:hAnsi="Arial" w:cs="Arial"/>
        </w:rPr>
        <w:t xml:space="preserve"> Med Res </w:t>
      </w:r>
      <w:proofErr w:type="gramStart"/>
      <w:r>
        <w:rPr>
          <w:rFonts w:ascii="Arial" w:hAnsi="Arial" w:cs="Arial"/>
        </w:rPr>
        <w:t>2016;3:2838</w:t>
      </w:r>
      <w:proofErr w:type="gramEnd"/>
      <w:r>
        <w:rPr>
          <w:rFonts w:ascii="Arial" w:hAnsi="Arial" w:cs="Arial"/>
        </w:rPr>
        <w:t>–2840.</w:t>
      </w:r>
    </w:p>
    <w:p w14:paraId="1DAD8407" w14:textId="77777777" w:rsidR="00732EF1" w:rsidRDefault="004D22CD">
      <w:pPr>
        <w:pStyle w:val="Body"/>
        <w:rPr>
          <w:rFonts w:ascii="Arial" w:hAnsi="Arial" w:cs="Arial"/>
        </w:rPr>
      </w:pPr>
      <w:r>
        <w:rPr>
          <w:rFonts w:ascii="Arial" w:hAnsi="Arial" w:cs="Arial"/>
        </w:rPr>
        <w:t xml:space="preserve">5. </w:t>
      </w:r>
      <w:proofErr w:type="spellStart"/>
      <w:r>
        <w:rPr>
          <w:rFonts w:ascii="Arial" w:hAnsi="Arial" w:cs="Arial"/>
        </w:rPr>
        <w:t>Albal</w:t>
      </w:r>
      <w:proofErr w:type="spellEnd"/>
      <w:r>
        <w:rPr>
          <w:rFonts w:ascii="Arial" w:hAnsi="Arial" w:cs="Arial"/>
        </w:rPr>
        <w:t xml:space="preserve"> M, </w:t>
      </w:r>
      <w:proofErr w:type="spellStart"/>
      <w:r>
        <w:rPr>
          <w:rFonts w:ascii="Arial" w:hAnsi="Arial" w:cs="Arial"/>
        </w:rPr>
        <w:t>Bansod</w:t>
      </w:r>
      <w:proofErr w:type="spellEnd"/>
      <w:r>
        <w:rPr>
          <w:rFonts w:ascii="Arial" w:hAnsi="Arial" w:cs="Arial"/>
        </w:rPr>
        <w:t xml:space="preserve"> PY, </w:t>
      </w:r>
      <w:proofErr w:type="spellStart"/>
      <w:r>
        <w:rPr>
          <w:rFonts w:ascii="Arial" w:hAnsi="Arial" w:cs="Arial"/>
        </w:rPr>
        <w:t>Mashru</w:t>
      </w:r>
      <w:proofErr w:type="spellEnd"/>
      <w:r>
        <w:rPr>
          <w:rFonts w:ascii="Arial" w:hAnsi="Arial" w:cs="Arial"/>
        </w:rPr>
        <w:t xml:space="preserve"> D. Pediatric empyema </w:t>
      </w:r>
      <w:proofErr w:type="spellStart"/>
      <w:proofErr w:type="gramStart"/>
      <w:r>
        <w:rPr>
          <w:rFonts w:ascii="Arial" w:hAnsi="Arial" w:cs="Arial"/>
        </w:rPr>
        <w:t>thoracis:Our</w:t>
      </w:r>
      <w:proofErr w:type="spellEnd"/>
      <w:proofErr w:type="gramEnd"/>
      <w:r>
        <w:rPr>
          <w:rFonts w:ascii="Arial" w:hAnsi="Arial" w:cs="Arial"/>
        </w:rPr>
        <w:t xml:space="preserve"> surgical experience. Int Surg J 2021;8(4):1275-1279</w:t>
      </w:r>
    </w:p>
    <w:p w14:paraId="24AED07E" w14:textId="77777777" w:rsidR="00732EF1" w:rsidRDefault="004D22CD">
      <w:pPr>
        <w:pStyle w:val="Body"/>
        <w:rPr>
          <w:rFonts w:ascii="Arial" w:hAnsi="Arial" w:cs="Arial"/>
        </w:rPr>
      </w:pPr>
      <w:r>
        <w:rPr>
          <w:rFonts w:ascii="Arial" w:hAnsi="Arial" w:cs="Arial"/>
        </w:rPr>
        <w:t xml:space="preserve">6. De Benedictis, F.M.; Kerem, E.; Chang, A.B.; Colin, A.A.; </w:t>
      </w:r>
      <w:proofErr w:type="spellStart"/>
      <w:r>
        <w:rPr>
          <w:rFonts w:ascii="Arial" w:hAnsi="Arial" w:cs="Arial"/>
        </w:rPr>
        <w:t>Zar</w:t>
      </w:r>
      <w:proofErr w:type="spellEnd"/>
      <w:r>
        <w:rPr>
          <w:rFonts w:ascii="Arial" w:hAnsi="Arial" w:cs="Arial"/>
        </w:rPr>
        <w:t xml:space="preserve">, H.J.; Bush, </w:t>
      </w:r>
      <w:proofErr w:type="spellStart"/>
      <w:proofErr w:type="gramStart"/>
      <w:r>
        <w:rPr>
          <w:rFonts w:ascii="Arial" w:hAnsi="Arial" w:cs="Arial"/>
        </w:rPr>
        <w:t>A.Complicated</w:t>
      </w:r>
      <w:proofErr w:type="spellEnd"/>
      <w:proofErr w:type="gramEnd"/>
      <w:r>
        <w:rPr>
          <w:rFonts w:ascii="Arial" w:hAnsi="Arial" w:cs="Arial"/>
        </w:rPr>
        <w:t xml:space="preserve"> pneumonia in children. Lancet 2020, 396, 786–798 </w:t>
      </w:r>
    </w:p>
    <w:p w14:paraId="61814458" w14:textId="77777777" w:rsidR="00732EF1" w:rsidRDefault="004D22CD">
      <w:pPr>
        <w:pStyle w:val="Body"/>
        <w:rPr>
          <w:rFonts w:ascii="Arial" w:hAnsi="Arial" w:cs="Arial"/>
        </w:rPr>
      </w:pPr>
      <w:r>
        <w:rPr>
          <w:rFonts w:ascii="Arial" w:hAnsi="Arial" w:cs="Arial"/>
        </w:rPr>
        <w:t>7. Masters, I.B.; Isles, A.F.; Grimwood, K. Necrotizing pneumonia: An emerging problem in children? Pneumonia 2017, 9:11,1-19</w:t>
      </w:r>
    </w:p>
    <w:p w14:paraId="3727C441" w14:textId="77777777" w:rsidR="00732EF1" w:rsidRDefault="004D22CD">
      <w:pPr>
        <w:pStyle w:val="Body"/>
        <w:rPr>
          <w:rFonts w:ascii="Arial" w:hAnsi="Arial" w:cs="Arial"/>
        </w:rPr>
      </w:pPr>
      <w:r>
        <w:rPr>
          <w:rFonts w:ascii="Arial" w:hAnsi="Arial" w:cs="Arial"/>
        </w:rPr>
        <w:t>8. Ness-</w:t>
      </w:r>
      <w:proofErr w:type="spellStart"/>
      <w:r>
        <w:rPr>
          <w:rFonts w:ascii="Arial" w:hAnsi="Arial" w:cs="Arial"/>
        </w:rPr>
        <w:t>Cochinwala</w:t>
      </w:r>
      <w:proofErr w:type="spellEnd"/>
      <w:r>
        <w:rPr>
          <w:rFonts w:ascii="Arial" w:hAnsi="Arial" w:cs="Arial"/>
        </w:rPr>
        <w:t xml:space="preserve">, M.; </w:t>
      </w:r>
      <w:proofErr w:type="spellStart"/>
      <w:r>
        <w:rPr>
          <w:rFonts w:ascii="Arial" w:hAnsi="Arial" w:cs="Arial"/>
        </w:rPr>
        <w:t>Kobaitri</w:t>
      </w:r>
      <w:proofErr w:type="spellEnd"/>
      <w:r>
        <w:rPr>
          <w:rFonts w:ascii="Arial" w:hAnsi="Arial" w:cs="Arial"/>
        </w:rPr>
        <w:t xml:space="preserve">, K.; </w:t>
      </w:r>
      <w:proofErr w:type="spellStart"/>
      <w:r>
        <w:rPr>
          <w:rFonts w:ascii="Arial" w:hAnsi="Arial" w:cs="Arial"/>
        </w:rPr>
        <w:t>Totapally</w:t>
      </w:r>
      <w:proofErr w:type="spellEnd"/>
      <w:r>
        <w:rPr>
          <w:rFonts w:ascii="Arial" w:hAnsi="Arial" w:cs="Arial"/>
        </w:rPr>
        <w:t xml:space="preserve">, B.R. Characteristics and Outcomes of Children </w:t>
      </w:r>
      <w:proofErr w:type="gramStart"/>
      <w:r>
        <w:rPr>
          <w:rFonts w:ascii="Arial" w:hAnsi="Arial" w:cs="Arial"/>
        </w:rPr>
        <w:t>With</w:t>
      </w:r>
      <w:proofErr w:type="gramEnd"/>
      <w:r>
        <w:rPr>
          <w:rFonts w:ascii="Arial" w:hAnsi="Arial" w:cs="Arial"/>
        </w:rPr>
        <w:t xml:space="preserve"> Necrotizing Pneumonia. </w:t>
      </w:r>
      <w:proofErr w:type="spellStart"/>
      <w:r>
        <w:rPr>
          <w:rFonts w:ascii="Arial" w:hAnsi="Arial" w:cs="Arial"/>
        </w:rPr>
        <w:t>Pediatr</w:t>
      </w:r>
      <w:proofErr w:type="spellEnd"/>
      <w:r>
        <w:rPr>
          <w:rFonts w:ascii="Arial" w:hAnsi="Arial" w:cs="Arial"/>
        </w:rPr>
        <w:t xml:space="preserve">. Crit. Care Med. 2021, </w:t>
      </w:r>
      <w:proofErr w:type="gramStart"/>
      <w:r>
        <w:rPr>
          <w:rFonts w:ascii="Arial" w:hAnsi="Arial" w:cs="Arial"/>
        </w:rPr>
        <w:t>22,e</w:t>
      </w:r>
      <w:proofErr w:type="gramEnd"/>
      <w:r>
        <w:rPr>
          <w:rFonts w:ascii="Arial" w:hAnsi="Arial" w:cs="Arial"/>
        </w:rPr>
        <w:t>640–e643.</w:t>
      </w:r>
    </w:p>
    <w:p w14:paraId="0BA0B4C1" w14:textId="77777777" w:rsidR="00732EF1" w:rsidRDefault="004D22CD">
      <w:pPr>
        <w:pStyle w:val="Body"/>
        <w:rPr>
          <w:rFonts w:ascii="Arial" w:hAnsi="Arial" w:cs="Arial"/>
        </w:rPr>
      </w:pPr>
      <w:r>
        <w:rPr>
          <w:rFonts w:ascii="Arial" w:hAnsi="Arial" w:cs="Arial"/>
        </w:rPr>
        <w:t xml:space="preserve">9. Krenke, K.; Sanocki, M.; </w:t>
      </w:r>
      <w:proofErr w:type="spellStart"/>
      <w:r>
        <w:rPr>
          <w:rFonts w:ascii="Arial" w:hAnsi="Arial" w:cs="Arial"/>
        </w:rPr>
        <w:t>Urbankowska</w:t>
      </w:r>
      <w:proofErr w:type="spellEnd"/>
      <w:r>
        <w:rPr>
          <w:rFonts w:ascii="Arial" w:hAnsi="Arial" w:cs="Arial"/>
        </w:rPr>
        <w:t xml:space="preserve">, E.; Kraj, G.; Krawiec, M.; </w:t>
      </w:r>
      <w:proofErr w:type="spellStart"/>
      <w:r>
        <w:rPr>
          <w:rFonts w:ascii="Arial" w:hAnsi="Arial" w:cs="Arial"/>
        </w:rPr>
        <w:t>Urbankowski</w:t>
      </w:r>
      <w:proofErr w:type="spellEnd"/>
      <w:r>
        <w:rPr>
          <w:rFonts w:ascii="Arial" w:hAnsi="Arial" w:cs="Arial"/>
        </w:rPr>
        <w:t xml:space="preserve">, T. et al. Necrotizing Pneumonia and Its Complications in Children. Adv. Exp. Med. Biol. 2015, 857, 9–17. </w:t>
      </w:r>
    </w:p>
    <w:p w14:paraId="2F42FA00" w14:textId="77777777" w:rsidR="00732EF1" w:rsidRDefault="004D22CD">
      <w:pPr>
        <w:pStyle w:val="Body"/>
        <w:rPr>
          <w:rFonts w:ascii="Arial" w:hAnsi="Arial" w:cs="Arial"/>
        </w:rPr>
      </w:pPr>
      <w:r>
        <w:rPr>
          <w:rFonts w:ascii="Arial" w:hAnsi="Arial" w:cs="Arial"/>
        </w:rPr>
        <w:t xml:space="preserve">10. Ozturk, Z.; </w:t>
      </w:r>
      <w:proofErr w:type="spellStart"/>
      <w:r>
        <w:rPr>
          <w:rFonts w:ascii="Arial" w:hAnsi="Arial" w:cs="Arial"/>
        </w:rPr>
        <w:t>Duman</w:t>
      </w:r>
      <w:proofErr w:type="spellEnd"/>
      <w:r>
        <w:rPr>
          <w:rFonts w:ascii="Arial" w:hAnsi="Arial" w:cs="Arial"/>
        </w:rPr>
        <w:t xml:space="preserve"> </w:t>
      </w:r>
      <w:proofErr w:type="spellStart"/>
      <w:r>
        <w:rPr>
          <w:rFonts w:ascii="Arial" w:hAnsi="Arial" w:cs="Arial"/>
        </w:rPr>
        <w:t>Kucukkuray</w:t>
      </w:r>
      <w:proofErr w:type="spellEnd"/>
      <w:r>
        <w:rPr>
          <w:rFonts w:ascii="Arial" w:hAnsi="Arial" w:cs="Arial"/>
        </w:rPr>
        <w:t xml:space="preserve">, M.; </w:t>
      </w:r>
      <w:proofErr w:type="spellStart"/>
      <w:r>
        <w:rPr>
          <w:rFonts w:ascii="Arial" w:hAnsi="Arial" w:cs="Arial"/>
        </w:rPr>
        <w:t>Ozdem</w:t>
      </w:r>
      <w:proofErr w:type="spellEnd"/>
      <w:r>
        <w:rPr>
          <w:rFonts w:ascii="Arial" w:hAnsi="Arial" w:cs="Arial"/>
        </w:rPr>
        <w:t xml:space="preserve">, S.; Cinar, H.G.; Aytekin, C.; Caglar, O. Surfactant for a Patient with Refractory </w:t>
      </w:r>
      <w:proofErr w:type="spellStart"/>
      <w:r>
        <w:rPr>
          <w:rFonts w:ascii="Arial" w:hAnsi="Arial" w:cs="Arial"/>
        </w:rPr>
        <w:t>Pyopneumothorax</w:t>
      </w:r>
      <w:proofErr w:type="spellEnd"/>
      <w:r>
        <w:rPr>
          <w:rFonts w:ascii="Arial" w:hAnsi="Arial" w:cs="Arial"/>
        </w:rPr>
        <w:t xml:space="preserve"> and Acute Respiratory 12, 2256,1-14.</w:t>
      </w:r>
    </w:p>
    <w:p w14:paraId="377D9A15" w14:textId="77777777" w:rsidR="00732EF1" w:rsidRDefault="004D22CD">
      <w:pPr>
        <w:pStyle w:val="Body"/>
        <w:rPr>
          <w:rFonts w:ascii="Arial" w:hAnsi="Arial" w:cs="Arial"/>
        </w:rPr>
      </w:pPr>
      <w:r>
        <w:rPr>
          <w:rFonts w:ascii="Arial" w:hAnsi="Arial" w:cs="Arial"/>
        </w:rPr>
        <w:t xml:space="preserve">11. Distress Syndrome Due to Pneumococcal Necrotizing Pneumonia Complicated by a Bronchopleural Fistula. </w:t>
      </w:r>
      <w:proofErr w:type="spellStart"/>
      <w:r>
        <w:rPr>
          <w:rFonts w:ascii="Arial" w:hAnsi="Arial" w:cs="Arial"/>
        </w:rPr>
        <w:t>Pediatr</w:t>
      </w:r>
      <w:proofErr w:type="spellEnd"/>
      <w:r>
        <w:rPr>
          <w:rFonts w:ascii="Arial" w:hAnsi="Arial" w:cs="Arial"/>
        </w:rPr>
        <w:t xml:space="preserve">. Allergy Immunol. </w:t>
      </w:r>
      <w:proofErr w:type="spellStart"/>
      <w:r>
        <w:rPr>
          <w:rFonts w:ascii="Arial" w:hAnsi="Arial" w:cs="Arial"/>
        </w:rPr>
        <w:t>Pulmonol</w:t>
      </w:r>
      <w:proofErr w:type="spellEnd"/>
      <w:r>
        <w:rPr>
          <w:rFonts w:ascii="Arial" w:hAnsi="Arial" w:cs="Arial"/>
        </w:rPr>
        <w:t xml:space="preserve">. 2022, 35, 120–123. </w:t>
      </w:r>
    </w:p>
    <w:p w14:paraId="688CE76D" w14:textId="77777777" w:rsidR="00732EF1" w:rsidRDefault="004D22CD">
      <w:pPr>
        <w:pStyle w:val="Body"/>
        <w:rPr>
          <w:rFonts w:ascii="Arial" w:hAnsi="Arial" w:cs="Arial"/>
        </w:rPr>
      </w:pPr>
      <w:r>
        <w:rPr>
          <w:rFonts w:ascii="Arial" w:hAnsi="Arial" w:cs="Arial"/>
        </w:rPr>
        <w:t xml:space="preserve">12. Bender JM, </w:t>
      </w:r>
      <w:proofErr w:type="spellStart"/>
      <w:r>
        <w:rPr>
          <w:rFonts w:ascii="Arial" w:hAnsi="Arial" w:cs="Arial"/>
        </w:rPr>
        <w:t>Ampofo</w:t>
      </w:r>
      <w:proofErr w:type="spellEnd"/>
      <w:r>
        <w:rPr>
          <w:rFonts w:ascii="Arial" w:hAnsi="Arial" w:cs="Arial"/>
        </w:rPr>
        <w:t xml:space="preserve"> K, </w:t>
      </w:r>
      <w:proofErr w:type="spellStart"/>
      <w:r>
        <w:rPr>
          <w:rFonts w:ascii="Arial" w:hAnsi="Arial" w:cs="Arial"/>
        </w:rPr>
        <w:t>Korgenski</w:t>
      </w:r>
      <w:proofErr w:type="spellEnd"/>
      <w:r>
        <w:rPr>
          <w:rFonts w:ascii="Arial" w:hAnsi="Arial" w:cs="Arial"/>
        </w:rPr>
        <w:t xml:space="preserve"> K, Daly J, Pavia AT, Mason EO, et al. Pneumococcal necrotizing pneumonia in Utah: does serotype matter? Clin Infect Dis. </w:t>
      </w:r>
      <w:proofErr w:type="gramStart"/>
      <w:r>
        <w:rPr>
          <w:rFonts w:ascii="Arial" w:hAnsi="Arial" w:cs="Arial"/>
        </w:rPr>
        <w:t>2008;46:1346</w:t>
      </w:r>
      <w:proofErr w:type="gramEnd"/>
      <w:r>
        <w:rPr>
          <w:rFonts w:ascii="Arial" w:hAnsi="Arial" w:cs="Arial"/>
        </w:rPr>
        <w:t>–1352</w:t>
      </w:r>
    </w:p>
    <w:p w14:paraId="00972B99" w14:textId="77777777" w:rsidR="00732EF1" w:rsidRDefault="004D22CD">
      <w:pPr>
        <w:pStyle w:val="Body"/>
        <w:rPr>
          <w:rFonts w:ascii="Arial" w:hAnsi="Arial" w:cs="Arial"/>
        </w:rPr>
      </w:pPr>
      <w:r>
        <w:rPr>
          <w:rFonts w:ascii="Arial" w:hAnsi="Arial" w:cs="Arial"/>
        </w:rPr>
        <w:t>13. Krutikov, M.; Rahman, A.; Tiberi, S. Necrotizing pneumonia (</w:t>
      </w:r>
      <w:proofErr w:type="spellStart"/>
      <w:r>
        <w:rPr>
          <w:rFonts w:ascii="Arial" w:hAnsi="Arial" w:cs="Arial"/>
        </w:rPr>
        <w:t>aetiology</w:t>
      </w:r>
      <w:proofErr w:type="spellEnd"/>
      <w:r>
        <w:rPr>
          <w:rFonts w:ascii="Arial" w:hAnsi="Arial" w:cs="Arial"/>
        </w:rPr>
        <w:t xml:space="preserve">, clinical features and management). Curr. </w:t>
      </w:r>
      <w:proofErr w:type="spellStart"/>
      <w:r>
        <w:rPr>
          <w:rFonts w:ascii="Arial" w:hAnsi="Arial" w:cs="Arial"/>
        </w:rPr>
        <w:t>Opin</w:t>
      </w:r>
      <w:proofErr w:type="spellEnd"/>
      <w:r>
        <w:rPr>
          <w:rFonts w:ascii="Arial" w:hAnsi="Arial" w:cs="Arial"/>
        </w:rPr>
        <w:t xml:space="preserve">. </w:t>
      </w:r>
      <w:proofErr w:type="spellStart"/>
      <w:r>
        <w:rPr>
          <w:rFonts w:ascii="Arial" w:hAnsi="Arial" w:cs="Arial"/>
        </w:rPr>
        <w:t>Pulm</w:t>
      </w:r>
      <w:proofErr w:type="spellEnd"/>
      <w:r>
        <w:rPr>
          <w:rFonts w:ascii="Arial" w:hAnsi="Arial" w:cs="Arial"/>
        </w:rPr>
        <w:t>. Med. 2019, 25, 225–</w:t>
      </w:r>
      <w:proofErr w:type="gramStart"/>
      <w:r>
        <w:rPr>
          <w:rFonts w:ascii="Arial" w:hAnsi="Arial" w:cs="Arial"/>
        </w:rPr>
        <w:t>232 .</w:t>
      </w:r>
      <w:proofErr w:type="gramEnd"/>
      <w:r>
        <w:rPr>
          <w:rFonts w:ascii="Arial" w:hAnsi="Arial" w:cs="Arial"/>
        </w:rPr>
        <w:t xml:space="preserve"> </w:t>
      </w:r>
    </w:p>
    <w:p w14:paraId="42704EBE" w14:textId="77777777" w:rsidR="00732EF1" w:rsidRDefault="004D22CD">
      <w:pPr>
        <w:pStyle w:val="Body"/>
        <w:rPr>
          <w:rFonts w:ascii="Arial" w:hAnsi="Arial" w:cs="Arial"/>
        </w:rPr>
      </w:pPr>
      <w:r>
        <w:rPr>
          <w:rFonts w:ascii="Arial" w:hAnsi="Arial" w:cs="Arial"/>
        </w:rPr>
        <w:t xml:space="preserve">14. Pande, A.; Nasir, S.; Rueda, A.M.; </w:t>
      </w:r>
      <w:proofErr w:type="spellStart"/>
      <w:r>
        <w:rPr>
          <w:rFonts w:ascii="Arial" w:hAnsi="Arial" w:cs="Arial"/>
        </w:rPr>
        <w:t>Matejowsky</w:t>
      </w:r>
      <w:proofErr w:type="spellEnd"/>
      <w:r>
        <w:rPr>
          <w:rFonts w:ascii="Arial" w:hAnsi="Arial" w:cs="Arial"/>
        </w:rPr>
        <w:t xml:space="preserve">, R.; Ramos, J.; Doshi, S.et </w:t>
      </w:r>
      <w:proofErr w:type="spellStart"/>
      <w:proofErr w:type="gramStart"/>
      <w:r>
        <w:rPr>
          <w:rFonts w:ascii="Arial" w:hAnsi="Arial" w:cs="Arial"/>
        </w:rPr>
        <w:t>al.The</w:t>
      </w:r>
      <w:proofErr w:type="spellEnd"/>
      <w:proofErr w:type="gramEnd"/>
      <w:r>
        <w:rPr>
          <w:rFonts w:ascii="Arial" w:hAnsi="Arial" w:cs="Arial"/>
        </w:rPr>
        <w:t xml:space="preserve"> Incidence of Necrotizing Changes in Adults With Pneumococcal Pneumonia. Clin. Infect. Dis. 2012, 54, 10–16. </w:t>
      </w:r>
    </w:p>
    <w:p w14:paraId="6989B7C6" w14:textId="77777777" w:rsidR="00732EF1" w:rsidRDefault="004D22CD">
      <w:pPr>
        <w:pStyle w:val="Body"/>
        <w:spacing w:after="0"/>
        <w:rPr>
          <w:rFonts w:ascii="Arial" w:hAnsi="Arial" w:cs="Arial"/>
        </w:rPr>
        <w:sectPr w:rsidR="00732EF1" w:rsidSect="00BB447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6" w:bottom="2016" w:left="2016" w:header="720" w:footer="1123" w:gutter="0"/>
          <w:cols w:space="720"/>
          <w:docGrid w:linePitch="272"/>
        </w:sectPr>
      </w:pPr>
      <w:r>
        <w:rPr>
          <w:rFonts w:ascii="Arial" w:hAnsi="Arial" w:cs="Arial"/>
        </w:rPr>
        <w:t xml:space="preserve">15. Kono, S. A., and T. D. </w:t>
      </w:r>
      <w:proofErr w:type="spellStart"/>
      <w:r>
        <w:rPr>
          <w:rFonts w:ascii="Arial" w:hAnsi="Arial" w:cs="Arial"/>
        </w:rPr>
        <w:t>Nauser</w:t>
      </w:r>
      <w:proofErr w:type="spellEnd"/>
      <w:r>
        <w:rPr>
          <w:rFonts w:ascii="Arial" w:hAnsi="Arial" w:cs="Arial"/>
        </w:rPr>
        <w:t xml:space="preserve">. 2007. Contemporary empyema </w:t>
      </w:r>
      <w:proofErr w:type="spellStart"/>
      <w:r>
        <w:rPr>
          <w:rFonts w:ascii="Arial" w:hAnsi="Arial" w:cs="Arial"/>
        </w:rPr>
        <w:t>necessitatis</w:t>
      </w:r>
      <w:proofErr w:type="spellEnd"/>
      <w:r>
        <w:rPr>
          <w:rFonts w:ascii="Arial" w:hAnsi="Arial" w:cs="Arial"/>
        </w:rPr>
        <w:t>. Am. J. Med.120:303-305.</w:t>
      </w:r>
    </w:p>
    <w:p w14:paraId="635C09AF" w14:textId="77777777" w:rsidR="00732EF1" w:rsidRDefault="00732EF1">
      <w:pPr>
        <w:pStyle w:val="Appendix"/>
        <w:spacing w:after="0"/>
        <w:jc w:val="both"/>
        <w:rPr>
          <w:rFonts w:ascii="Arial" w:hAnsi="Arial" w:cs="Arial"/>
          <w:b w:val="0"/>
        </w:rPr>
      </w:pPr>
    </w:p>
    <w:sectPr w:rsidR="00732EF1" w:rsidSect="00BB447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69A58" w14:textId="77777777" w:rsidR="00F4100C" w:rsidRDefault="00F4100C">
      <w:r>
        <w:separator/>
      </w:r>
    </w:p>
  </w:endnote>
  <w:endnote w:type="continuationSeparator" w:id="0">
    <w:p w14:paraId="0F1B8168" w14:textId="77777777" w:rsidR="00F4100C" w:rsidRDefault="00F4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4199" w14:textId="77777777" w:rsidR="0040149B" w:rsidRDefault="00401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A4C0" w14:textId="77777777" w:rsidR="00732EF1" w:rsidRDefault="00732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0E5B" w14:textId="77777777" w:rsidR="0040149B" w:rsidRDefault="00401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B68A" w14:textId="77777777" w:rsidR="00F4100C" w:rsidRDefault="00F4100C">
      <w:r>
        <w:separator/>
      </w:r>
    </w:p>
  </w:footnote>
  <w:footnote w:type="continuationSeparator" w:id="0">
    <w:p w14:paraId="3AF48318" w14:textId="77777777" w:rsidR="00F4100C" w:rsidRDefault="00F4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4880" w14:textId="6A42AA77" w:rsidR="0040149B" w:rsidRDefault="0040149B">
    <w:pPr>
      <w:pStyle w:val="Header"/>
    </w:pPr>
    <w:r>
      <w:rPr>
        <w:noProof/>
      </w:rPr>
      <w:pict w14:anchorId="6943D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552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4C41" w14:textId="6CBAEE4B" w:rsidR="0040149B" w:rsidRDefault="0040149B">
    <w:pPr>
      <w:pStyle w:val="Header"/>
    </w:pPr>
    <w:r>
      <w:rPr>
        <w:noProof/>
      </w:rPr>
      <w:pict w14:anchorId="6013A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552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ED446" w14:textId="671C757F" w:rsidR="0040149B" w:rsidRDefault="0040149B">
    <w:pPr>
      <w:pStyle w:val="Header"/>
    </w:pPr>
    <w:r>
      <w:rPr>
        <w:noProof/>
      </w:rPr>
      <w:pict w14:anchorId="3E94A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55250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tDQyMTMxNjcyNDFV0lEKTi0uzszPAykwrAUAPvhw4ywAAAA="/>
  </w:docVars>
  <w:rsids>
    <w:rsidRoot w:val="00AA6219"/>
    <w:rsid w:val="00000F8F"/>
    <w:rsid w:val="00004713"/>
    <w:rsid w:val="000132B3"/>
    <w:rsid w:val="00023093"/>
    <w:rsid w:val="00030174"/>
    <w:rsid w:val="0004579C"/>
    <w:rsid w:val="00055BBA"/>
    <w:rsid w:val="00080180"/>
    <w:rsid w:val="000A47FA"/>
    <w:rsid w:val="000A65D3"/>
    <w:rsid w:val="000B1E33"/>
    <w:rsid w:val="000D689F"/>
    <w:rsid w:val="000E7B7B"/>
    <w:rsid w:val="000E7D62"/>
    <w:rsid w:val="00103357"/>
    <w:rsid w:val="00123C9F"/>
    <w:rsid w:val="00126190"/>
    <w:rsid w:val="00130F17"/>
    <w:rsid w:val="00131927"/>
    <w:rsid w:val="001320BF"/>
    <w:rsid w:val="00163BC4"/>
    <w:rsid w:val="00191062"/>
    <w:rsid w:val="00192B72"/>
    <w:rsid w:val="001A29D8"/>
    <w:rsid w:val="001A5CAA"/>
    <w:rsid w:val="001B0427"/>
    <w:rsid w:val="001D3A51"/>
    <w:rsid w:val="001E10D2"/>
    <w:rsid w:val="001E25B4"/>
    <w:rsid w:val="001E44FE"/>
    <w:rsid w:val="00200595"/>
    <w:rsid w:val="00201E62"/>
    <w:rsid w:val="00204835"/>
    <w:rsid w:val="00222298"/>
    <w:rsid w:val="00231920"/>
    <w:rsid w:val="0023195C"/>
    <w:rsid w:val="00234C16"/>
    <w:rsid w:val="0024282C"/>
    <w:rsid w:val="002460DC"/>
    <w:rsid w:val="00250985"/>
    <w:rsid w:val="002556F6"/>
    <w:rsid w:val="00261065"/>
    <w:rsid w:val="00283105"/>
    <w:rsid w:val="00284C4C"/>
    <w:rsid w:val="00287E68"/>
    <w:rsid w:val="00296529"/>
    <w:rsid w:val="002B27FB"/>
    <w:rsid w:val="002B685A"/>
    <w:rsid w:val="002C57D2"/>
    <w:rsid w:val="002D3D5D"/>
    <w:rsid w:val="002D7826"/>
    <w:rsid w:val="002E0D56"/>
    <w:rsid w:val="002F6707"/>
    <w:rsid w:val="00315186"/>
    <w:rsid w:val="00315763"/>
    <w:rsid w:val="0033343E"/>
    <w:rsid w:val="003512C2"/>
    <w:rsid w:val="00371FB6"/>
    <w:rsid w:val="003763C1"/>
    <w:rsid w:val="00376BBE"/>
    <w:rsid w:val="0039224F"/>
    <w:rsid w:val="003A43A4"/>
    <w:rsid w:val="003A7E18"/>
    <w:rsid w:val="003C4C86"/>
    <w:rsid w:val="003C6258"/>
    <w:rsid w:val="003E2904"/>
    <w:rsid w:val="0040149B"/>
    <w:rsid w:val="00401927"/>
    <w:rsid w:val="0040207E"/>
    <w:rsid w:val="0041027F"/>
    <w:rsid w:val="00412475"/>
    <w:rsid w:val="00414C31"/>
    <w:rsid w:val="00423789"/>
    <w:rsid w:val="00440F43"/>
    <w:rsid w:val="00441B6F"/>
    <w:rsid w:val="00446221"/>
    <w:rsid w:val="00450E62"/>
    <w:rsid w:val="004539DB"/>
    <w:rsid w:val="00471A80"/>
    <w:rsid w:val="004D22CD"/>
    <w:rsid w:val="004D305E"/>
    <w:rsid w:val="004D4277"/>
    <w:rsid w:val="00502516"/>
    <w:rsid w:val="00505F06"/>
    <w:rsid w:val="00506828"/>
    <w:rsid w:val="00514F8E"/>
    <w:rsid w:val="0053056E"/>
    <w:rsid w:val="00554FDA"/>
    <w:rsid w:val="00562CFB"/>
    <w:rsid w:val="005C784C"/>
    <w:rsid w:val="005D17F6"/>
    <w:rsid w:val="005D6B6C"/>
    <w:rsid w:val="005D6F83"/>
    <w:rsid w:val="005E5539"/>
    <w:rsid w:val="00602BF5"/>
    <w:rsid w:val="006058A0"/>
    <w:rsid w:val="00617FDD"/>
    <w:rsid w:val="0062438E"/>
    <w:rsid w:val="00633614"/>
    <w:rsid w:val="00633F68"/>
    <w:rsid w:val="00636EB2"/>
    <w:rsid w:val="006375B8"/>
    <w:rsid w:val="0066510A"/>
    <w:rsid w:val="00673F9F"/>
    <w:rsid w:val="00686953"/>
    <w:rsid w:val="00687DEA"/>
    <w:rsid w:val="00687E67"/>
    <w:rsid w:val="006937B1"/>
    <w:rsid w:val="006967F7"/>
    <w:rsid w:val="006A028A"/>
    <w:rsid w:val="006A250C"/>
    <w:rsid w:val="006B21D3"/>
    <w:rsid w:val="006B57D0"/>
    <w:rsid w:val="006D30FF"/>
    <w:rsid w:val="006D6940"/>
    <w:rsid w:val="006F11EC"/>
    <w:rsid w:val="0070082C"/>
    <w:rsid w:val="00732EF1"/>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801F1"/>
    <w:rsid w:val="008B459E"/>
    <w:rsid w:val="008E13AE"/>
    <w:rsid w:val="008E1506"/>
    <w:rsid w:val="008E710C"/>
    <w:rsid w:val="008F69D6"/>
    <w:rsid w:val="00902823"/>
    <w:rsid w:val="00915CA6"/>
    <w:rsid w:val="00927834"/>
    <w:rsid w:val="009370DE"/>
    <w:rsid w:val="009500A6"/>
    <w:rsid w:val="00957C18"/>
    <w:rsid w:val="009659BA"/>
    <w:rsid w:val="00983040"/>
    <w:rsid w:val="009B3FB9"/>
    <w:rsid w:val="009B7C71"/>
    <w:rsid w:val="009C2465"/>
    <w:rsid w:val="009D35A0"/>
    <w:rsid w:val="009D7EB7"/>
    <w:rsid w:val="009E048A"/>
    <w:rsid w:val="009E08E9"/>
    <w:rsid w:val="009E3DB9"/>
    <w:rsid w:val="009E6E35"/>
    <w:rsid w:val="009F0EDA"/>
    <w:rsid w:val="00A03B96"/>
    <w:rsid w:val="00A05B19"/>
    <w:rsid w:val="00A068B4"/>
    <w:rsid w:val="00A1134E"/>
    <w:rsid w:val="00A24E7E"/>
    <w:rsid w:val="00A258C3"/>
    <w:rsid w:val="00A347C0"/>
    <w:rsid w:val="00A51431"/>
    <w:rsid w:val="00A539AD"/>
    <w:rsid w:val="00A94063"/>
    <w:rsid w:val="00AA0E3A"/>
    <w:rsid w:val="00AA194F"/>
    <w:rsid w:val="00AA6219"/>
    <w:rsid w:val="00AA74E0"/>
    <w:rsid w:val="00AB703F"/>
    <w:rsid w:val="00AC41CC"/>
    <w:rsid w:val="00AC6BB8"/>
    <w:rsid w:val="00AE008F"/>
    <w:rsid w:val="00B01FCD"/>
    <w:rsid w:val="00B1776C"/>
    <w:rsid w:val="00B52583"/>
    <w:rsid w:val="00B52896"/>
    <w:rsid w:val="00B754C7"/>
    <w:rsid w:val="00B867F3"/>
    <w:rsid w:val="00B95236"/>
    <w:rsid w:val="00B96BD9"/>
    <w:rsid w:val="00BA1B01"/>
    <w:rsid w:val="00BA2641"/>
    <w:rsid w:val="00BB37AA"/>
    <w:rsid w:val="00BB4477"/>
    <w:rsid w:val="00BC53A0"/>
    <w:rsid w:val="00BD79FD"/>
    <w:rsid w:val="00BE14AF"/>
    <w:rsid w:val="00BE62AD"/>
    <w:rsid w:val="00BF121F"/>
    <w:rsid w:val="00BF1F80"/>
    <w:rsid w:val="00C04151"/>
    <w:rsid w:val="00C166EF"/>
    <w:rsid w:val="00C17EB0"/>
    <w:rsid w:val="00C22DBF"/>
    <w:rsid w:val="00C27F5F"/>
    <w:rsid w:val="00C30A0F"/>
    <w:rsid w:val="00C37E61"/>
    <w:rsid w:val="00C663F7"/>
    <w:rsid w:val="00C70F1B"/>
    <w:rsid w:val="00C71A47"/>
    <w:rsid w:val="00C7464C"/>
    <w:rsid w:val="00C85588"/>
    <w:rsid w:val="00CD6755"/>
    <w:rsid w:val="00CD6856"/>
    <w:rsid w:val="00CE0089"/>
    <w:rsid w:val="00CE2341"/>
    <w:rsid w:val="00CE793C"/>
    <w:rsid w:val="00CF193C"/>
    <w:rsid w:val="00D173F1"/>
    <w:rsid w:val="00D2304A"/>
    <w:rsid w:val="00D27149"/>
    <w:rsid w:val="00D5705C"/>
    <w:rsid w:val="00D74644"/>
    <w:rsid w:val="00D74CB0"/>
    <w:rsid w:val="00D8295D"/>
    <w:rsid w:val="00DC2A65"/>
    <w:rsid w:val="00DC31B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E580E"/>
    <w:rsid w:val="00EF581D"/>
    <w:rsid w:val="00EF7FD8"/>
    <w:rsid w:val="00F06F59"/>
    <w:rsid w:val="00F17988"/>
    <w:rsid w:val="00F4100C"/>
    <w:rsid w:val="00F469F0"/>
    <w:rsid w:val="00F53273"/>
    <w:rsid w:val="00F755E4"/>
    <w:rsid w:val="00F77D02"/>
    <w:rsid w:val="00FB3A86"/>
    <w:rsid w:val="00FB4229"/>
    <w:rsid w:val="00FD36C8"/>
    <w:rsid w:val="4DC7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A6474C6"/>
  <w15:docId w15:val="{F3F26966-5D96-4362-9A2D-BB36B1B6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qFormat/>
    <w:rPr>
      <w:b/>
    </w:rPr>
  </w:style>
  <w:style w:type="character" w:customStyle="1" w:styleId="Italic">
    <w:name w:val="Italic"/>
    <w:rPr>
      <w:i/>
    </w:rPr>
  </w:style>
  <w:style w:type="character" w:customStyle="1" w:styleId="Underline">
    <w:name w:val="Underline"/>
    <w:qFormat/>
    <w:rPr>
      <w:u w:val="single"/>
    </w:rPr>
  </w:style>
  <w:style w:type="paragraph" w:customStyle="1" w:styleId="Equation">
    <w:name w:val="Equation"/>
    <w:basedOn w:val="Body"/>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1CF8B-B1B3-4FFE-8594-E7082841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183</TotalTime>
  <Pages>6</Pages>
  <Words>1867</Words>
  <Characters>10647</Characters>
  <Application>Microsoft Office Word</Application>
  <DocSecurity>0</DocSecurity>
  <Lines>88</Lines>
  <Paragraphs>24</Paragraphs>
  <ScaleCrop>false</ScaleCrop>
  <Company>aaaa</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38</cp:revision>
  <cp:lastPrinted>1999-07-06T11:00:00Z</cp:lastPrinted>
  <dcterms:created xsi:type="dcterms:W3CDTF">2014-10-25T14:34:00Z</dcterms:created>
  <dcterms:modified xsi:type="dcterms:W3CDTF">2025-06-02T08:21:00Z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47D439B82F5B4BA5AF931EA0779F7601_12</vt:lpwstr>
  </property>
</Properties>
</file>