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607C5" w14:textId="19355D0A" w:rsidR="00794ECF" w:rsidRPr="00794ECF" w:rsidRDefault="00794ECF" w:rsidP="005C6381">
      <w:pPr>
        <w:spacing w:before="100" w:beforeAutospacing="1" w:after="100" w:afterAutospacing="1" w:line="240" w:lineRule="auto"/>
        <w:ind w:right="-613" w:hanging="284"/>
        <w:rPr>
          <w:rFonts w:ascii="Times New Roman" w:eastAsia="Times New Roman" w:hAnsi="Times New Roman" w:cs="Times New Roman"/>
          <w:b/>
          <w:bCs/>
          <w:sz w:val="28"/>
          <w:szCs w:val="28"/>
          <w:u w:val="single"/>
          <w:lang w:eastAsia="en-IN"/>
        </w:rPr>
      </w:pPr>
      <w:r w:rsidRPr="00794ECF">
        <w:rPr>
          <w:rFonts w:ascii="Times New Roman" w:eastAsia="Times New Roman" w:hAnsi="Times New Roman" w:cs="Times New Roman"/>
          <w:b/>
          <w:bCs/>
          <w:sz w:val="28"/>
          <w:szCs w:val="28"/>
          <w:u w:val="single"/>
          <w:lang w:eastAsia="en-IN"/>
        </w:rPr>
        <w:t>Original Research Article</w:t>
      </w:r>
    </w:p>
    <w:p w14:paraId="19F419BC" w14:textId="77035A24" w:rsidR="00847E0A" w:rsidRPr="00BC0C9C" w:rsidRDefault="0031119F" w:rsidP="00646468">
      <w:pPr>
        <w:spacing w:before="100" w:beforeAutospacing="1" w:after="100" w:afterAutospacing="1" w:line="240" w:lineRule="auto"/>
        <w:ind w:right="-613" w:hanging="284"/>
        <w:jc w:val="center"/>
        <w:rPr>
          <w:rFonts w:ascii="Times New Roman" w:eastAsia="Times New Roman" w:hAnsi="Times New Roman" w:cs="Times New Roman"/>
          <w:b/>
          <w:bCs/>
          <w:sz w:val="28"/>
          <w:szCs w:val="28"/>
          <w:lang w:eastAsia="en-IN"/>
        </w:rPr>
      </w:pPr>
      <w:r w:rsidRPr="00BC0C9C">
        <w:rPr>
          <w:rFonts w:ascii="Times New Roman" w:eastAsia="Times New Roman" w:hAnsi="Times New Roman" w:cs="Times New Roman"/>
          <w:b/>
          <w:bCs/>
          <w:sz w:val="28"/>
          <w:szCs w:val="28"/>
          <w:lang w:eastAsia="en-IN"/>
        </w:rPr>
        <w:t>Assessment of Flood-</w:t>
      </w:r>
      <w:r w:rsidR="00BC0C9C">
        <w:rPr>
          <w:rFonts w:ascii="Times New Roman" w:eastAsia="Times New Roman" w:hAnsi="Times New Roman" w:cs="Times New Roman"/>
          <w:b/>
          <w:bCs/>
          <w:sz w:val="28"/>
          <w:szCs w:val="28"/>
          <w:lang w:eastAsia="en-IN"/>
        </w:rPr>
        <w:t>i</w:t>
      </w:r>
      <w:r w:rsidRPr="00BC0C9C">
        <w:rPr>
          <w:rFonts w:ascii="Times New Roman" w:eastAsia="Times New Roman" w:hAnsi="Times New Roman" w:cs="Times New Roman"/>
          <w:b/>
          <w:bCs/>
          <w:sz w:val="28"/>
          <w:szCs w:val="28"/>
          <w:lang w:eastAsia="en-IN"/>
        </w:rPr>
        <w:t xml:space="preserve">nduced Vulnerability </w:t>
      </w:r>
      <w:r w:rsidR="00BC0C9C">
        <w:rPr>
          <w:rFonts w:ascii="Times New Roman" w:eastAsia="Times New Roman" w:hAnsi="Times New Roman" w:cs="Times New Roman"/>
          <w:b/>
          <w:bCs/>
          <w:sz w:val="28"/>
          <w:szCs w:val="28"/>
          <w:lang w:eastAsia="en-IN"/>
        </w:rPr>
        <w:t>a</w:t>
      </w:r>
      <w:r w:rsidRPr="00BC0C9C">
        <w:rPr>
          <w:rFonts w:ascii="Times New Roman" w:eastAsia="Times New Roman" w:hAnsi="Times New Roman" w:cs="Times New Roman"/>
          <w:b/>
          <w:bCs/>
          <w:sz w:val="28"/>
          <w:szCs w:val="28"/>
          <w:lang w:eastAsia="en-IN"/>
        </w:rPr>
        <w:t xml:space="preserve">mong Livestock </w:t>
      </w:r>
      <w:proofErr w:type="spellStart"/>
      <w:r w:rsidRPr="00BC0C9C">
        <w:rPr>
          <w:rFonts w:ascii="Times New Roman" w:eastAsia="Times New Roman" w:hAnsi="Times New Roman" w:cs="Times New Roman"/>
          <w:b/>
          <w:bCs/>
          <w:sz w:val="28"/>
          <w:szCs w:val="28"/>
          <w:lang w:eastAsia="en-IN"/>
        </w:rPr>
        <w:t>Rearers</w:t>
      </w:r>
      <w:proofErr w:type="spellEnd"/>
      <w:r w:rsidRPr="00BC0C9C">
        <w:rPr>
          <w:rFonts w:ascii="Times New Roman" w:eastAsia="Times New Roman" w:hAnsi="Times New Roman" w:cs="Times New Roman"/>
          <w:b/>
          <w:bCs/>
          <w:sz w:val="28"/>
          <w:szCs w:val="28"/>
          <w:lang w:eastAsia="en-IN"/>
        </w:rPr>
        <w:t xml:space="preserve"> </w:t>
      </w:r>
      <w:r w:rsidR="00BC0C9C">
        <w:rPr>
          <w:rFonts w:ascii="Times New Roman" w:eastAsia="Times New Roman" w:hAnsi="Times New Roman" w:cs="Times New Roman"/>
          <w:b/>
          <w:bCs/>
          <w:sz w:val="28"/>
          <w:szCs w:val="28"/>
          <w:lang w:eastAsia="en-IN"/>
        </w:rPr>
        <w:t xml:space="preserve">of </w:t>
      </w:r>
      <w:r w:rsidRPr="00BC0C9C">
        <w:rPr>
          <w:rFonts w:ascii="Times New Roman" w:eastAsia="Times New Roman" w:hAnsi="Times New Roman" w:cs="Times New Roman"/>
          <w:b/>
          <w:bCs/>
          <w:sz w:val="28"/>
          <w:szCs w:val="28"/>
          <w:lang w:eastAsia="en-IN"/>
        </w:rPr>
        <w:t>Odisha</w:t>
      </w:r>
    </w:p>
    <w:p w14:paraId="5EBBBCE3" w14:textId="473720FF" w:rsidR="00646468" w:rsidRPr="006B0BD8" w:rsidRDefault="006B0BD8" w:rsidP="006B0BD8">
      <w:pPr>
        <w:spacing w:before="120" w:after="120" w:line="360" w:lineRule="auto"/>
        <w:ind w:firstLine="720"/>
        <w:jc w:val="center"/>
        <w:rPr>
          <w:rFonts w:ascii="Times New Roman" w:eastAsia="Times New Roman" w:hAnsi="Times New Roman" w:cs="Times New Roman"/>
          <w:b/>
          <w:bCs/>
          <w:kern w:val="0"/>
          <w:sz w:val="24"/>
          <w:szCs w:val="24"/>
          <w:lang w:eastAsia="en-IN"/>
          <w14:ligatures w14:val="none"/>
        </w:rPr>
      </w:pPr>
      <w:r w:rsidRPr="006B0BD8">
        <w:rPr>
          <w:rFonts w:ascii="Times New Roman" w:eastAsia="Times New Roman" w:hAnsi="Times New Roman" w:cs="Times New Roman"/>
          <w:b/>
          <w:bCs/>
          <w:kern w:val="0"/>
          <w:sz w:val="24"/>
          <w:szCs w:val="24"/>
          <w:lang w:eastAsia="en-IN"/>
          <w14:ligatures w14:val="none"/>
        </w:rPr>
        <w:t>ABSTRACT</w:t>
      </w:r>
    </w:p>
    <w:p w14:paraId="08465AFA" w14:textId="22317755" w:rsidR="006640A6" w:rsidRDefault="007A31AD" w:rsidP="00996689">
      <w:pPr>
        <w:spacing w:before="120" w:after="120" w:line="360" w:lineRule="auto"/>
        <w:ind w:firstLine="72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Frequent flood disasters in Odisha have consistently disrupted agricultural livelihoods by eroding farmers’ financial investments, destroying cultivated fields, and diminishing the supply of feed and fodder for livestock. </w:t>
      </w:r>
      <w:r w:rsidR="00C12FBE" w:rsidRPr="00996689">
        <w:rPr>
          <w:rFonts w:ascii="Times New Roman" w:eastAsia="Times New Roman" w:hAnsi="Times New Roman" w:cs="Times New Roman"/>
          <w:kern w:val="0"/>
          <w:sz w:val="24"/>
          <w:szCs w:val="24"/>
          <w:lang w:eastAsia="en-IN"/>
          <w14:ligatures w14:val="none"/>
        </w:rPr>
        <w:t xml:space="preserve">In addition to the crop damage during the post-flood period, the environment, rivers and drinking water also get contaminated. </w:t>
      </w:r>
      <w:r w:rsidRPr="00996689">
        <w:rPr>
          <w:rFonts w:ascii="Times New Roman" w:eastAsia="Times New Roman" w:hAnsi="Times New Roman" w:cs="Times New Roman"/>
          <w:kern w:val="0"/>
          <w:sz w:val="24"/>
          <w:szCs w:val="24"/>
          <w:lang w:eastAsia="en-IN"/>
          <w14:ligatures w14:val="none"/>
        </w:rPr>
        <w:t xml:space="preserve">Prolonged exposure of livestock to contaminated floodwaters increases their susceptibility to various hoof and skin infections. Injuries caused by disaster debris further </w:t>
      </w:r>
      <w:r w:rsidR="00847E0A" w:rsidRPr="00996689">
        <w:rPr>
          <w:rFonts w:ascii="Times New Roman" w:eastAsia="Times New Roman" w:hAnsi="Times New Roman" w:cs="Times New Roman"/>
          <w:kern w:val="0"/>
          <w:sz w:val="24"/>
          <w:szCs w:val="24"/>
          <w:lang w:eastAsia="en-IN"/>
          <w14:ligatures w14:val="none"/>
        </w:rPr>
        <w:t>increase the</w:t>
      </w:r>
      <w:r w:rsidRPr="00996689">
        <w:rPr>
          <w:rFonts w:ascii="Times New Roman" w:eastAsia="Times New Roman" w:hAnsi="Times New Roman" w:cs="Times New Roman"/>
          <w:kern w:val="0"/>
          <w:sz w:val="24"/>
          <w:szCs w:val="24"/>
          <w:lang w:eastAsia="en-IN"/>
          <w14:ligatures w14:val="none"/>
        </w:rPr>
        <w:t xml:space="preserve"> risk of tetanus and exposure to harmful toxins present in the water. In addition, livestock often suffer from multiple disease outbreaks during such events. These health hazards collectively threaten the livelihoods of livestock-</w:t>
      </w:r>
      <w:proofErr w:type="spellStart"/>
      <w:r w:rsidRPr="00996689">
        <w:rPr>
          <w:rFonts w:ascii="Times New Roman" w:eastAsia="Times New Roman" w:hAnsi="Times New Roman" w:cs="Times New Roman"/>
          <w:kern w:val="0"/>
          <w:sz w:val="24"/>
          <w:szCs w:val="24"/>
          <w:lang w:eastAsia="en-IN"/>
          <w14:ligatures w14:val="none"/>
        </w:rPr>
        <w:t>rearers</w:t>
      </w:r>
      <w:proofErr w:type="spellEnd"/>
      <w:r w:rsidRPr="00996689">
        <w:rPr>
          <w:rFonts w:ascii="Times New Roman" w:eastAsia="Times New Roman" w:hAnsi="Times New Roman" w:cs="Times New Roman"/>
          <w:kern w:val="0"/>
          <w:sz w:val="24"/>
          <w:szCs w:val="24"/>
          <w:lang w:eastAsia="en-IN"/>
          <w14:ligatures w14:val="none"/>
        </w:rPr>
        <w:t xml:space="preserve"> in Odisha.  In light of these challe</w:t>
      </w:r>
      <w:bookmarkStart w:id="0" w:name="_GoBack"/>
      <w:bookmarkEnd w:id="0"/>
      <w:r w:rsidRPr="00996689">
        <w:rPr>
          <w:rFonts w:ascii="Times New Roman" w:eastAsia="Times New Roman" w:hAnsi="Times New Roman" w:cs="Times New Roman"/>
          <w:kern w:val="0"/>
          <w:sz w:val="24"/>
          <w:szCs w:val="24"/>
          <w:lang w:eastAsia="en-IN"/>
          <w14:ligatures w14:val="none"/>
        </w:rPr>
        <w:t xml:space="preserve">nges, </w:t>
      </w:r>
      <w:r w:rsidR="00C12FBE" w:rsidRPr="00996689">
        <w:rPr>
          <w:rFonts w:ascii="Times New Roman" w:eastAsia="Times New Roman" w:hAnsi="Times New Roman" w:cs="Times New Roman"/>
          <w:kern w:val="0"/>
          <w:sz w:val="24"/>
          <w:szCs w:val="24"/>
          <w:lang w:eastAsia="en-IN"/>
          <w14:ligatures w14:val="none"/>
        </w:rPr>
        <w:t>the present study was undertaken to assess the flood-induced vulnerability among livestock-</w:t>
      </w:r>
      <w:proofErr w:type="spellStart"/>
      <w:r w:rsidR="00C12FBE" w:rsidRPr="00996689">
        <w:rPr>
          <w:rFonts w:ascii="Times New Roman" w:eastAsia="Times New Roman" w:hAnsi="Times New Roman" w:cs="Times New Roman"/>
          <w:kern w:val="0"/>
          <w:sz w:val="24"/>
          <w:szCs w:val="24"/>
          <w:lang w:eastAsia="en-IN"/>
          <w14:ligatures w14:val="none"/>
        </w:rPr>
        <w:t>rearers</w:t>
      </w:r>
      <w:proofErr w:type="spellEnd"/>
      <w:r w:rsidR="00C12FBE" w:rsidRPr="00996689">
        <w:rPr>
          <w:rFonts w:ascii="Times New Roman" w:eastAsia="Times New Roman" w:hAnsi="Times New Roman" w:cs="Times New Roman"/>
          <w:kern w:val="0"/>
          <w:sz w:val="24"/>
          <w:szCs w:val="24"/>
          <w:lang w:eastAsia="en-IN"/>
          <w14:ligatures w14:val="none"/>
        </w:rPr>
        <w:t xml:space="preserve"> of Odisha. </w:t>
      </w:r>
      <w:r w:rsidRPr="00996689">
        <w:rPr>
          <w:rFonts w:ascii="Times New Roman" w:eastAsia="Times New Roman" w:hAnsi="Times New Roman" w:cs="Times New Roman"/>
          <w:kern w:val="0"/>
          <w:sz w:val="24"/>
          <w:szCs w:val="24"/>
          <w:lang w:eastAsia="en-IN"/>
          <w14:ligatures w14:val="none"/>
        </w:rPr>
        <w:t>As per the Disaster Management Plan (Animal Development Sector) of Odisha, 17 out of the state's 30 districts are classified as major flood-prone, while the remaining 13 are considered minor flood-prone. For the purpose of this study, one district from each category was selected randomly-Balasore representing the major flood-prone category and Dhenkanal the minor. Primary data were collected from a random sample of 120 livestock-</w:t>
      </w:r>
      <w:proofErr w:type="spellStart"/>
      <w:r w:rsidRPr="00996689">
        <w:rPr>
          <w:rFonts w:ascii="Times New Roman" w:eastAsia="Times New Roman" w:hAnsi="Times New Roman" w:cs="Times New Roman"/>
          <w:kern w:val="0"/>
          <w:sz w:val="24"/>
          <w:szCs w:val="24"/>
          <w:lang w:eastAsia="en-IN"/>
          <w14:ligatures w14:val="none"/>
        </w:rPr>
        <w:t>rearers</w:t>
      </w:r>
      <w:proofErr w:type="spellEnd"/>
      <w:r w:rsidRPr="00996689">
        <w:rPr>
          <w:rFonts w:ascii="Times New Roman" w:eastAsia="Times New Roman" w:hAnsi="Times New Roman" w:cs="Times New Roman"/>
          <w:kern w:val="0"/>
          <w:sz w:val="24"/>
          <w:szCs w:val="24"/>
          <w:lang w:eastAsia="en-IN"/>
          <w14:ligatures w14:val="none"/>
        </w:rPr>
        <w:t xml:space="preserve"> across these two districts. A Composite Livelihood Vulnerability to Flood Index (CLVFI) was used to quantify the extent of livelihood vulnerability due to floods. The findings indicated that livestock-</w:t>
      </w:r>
      <w:proofErr w:type="spellStart"/>
      <w:r w:rsidRPr="00996689">
        <w:rPr>
          <w:rFonts w:ascii="Times New Roman" w:eastAsia="Times New Roman" w:hAnsi="Times New Roman" w:cs="Times New Roman"/>
          <w:kern w:val="0"/>
          <w:sz w:val="24"/>
          <w:szCs w:val="24"/>
          <w:lang w:eastAsia="en-IN"/>
          <w14:ligatures w14:val="none"/>
        </w:rPr>
        <w:t>rearers</w:t>
      </w:r>
      <w:proofErr w:type="spellEnd"/>
      <w:r w:rsidRPr="00996689">
        <w:rPr>
          <w:rFonts w:ascii="Times New Roman" w:eastAsia="Times New Roman" w:hAnsi="Times New Roman" w:cs="Times New Roman"/>
          <w:kern w:val="0"/>
          <w:sz w:val="24"/>
          <w:szCs w:val="24"/>
          <w:lang w:eastAsia="en-IN"/>
          <w14:ligatures w14:val="none"/>
        </w:rPr>
        <w:t xml:space="preserve"> in </w:t>
      </w:r>
      <w:proofErr w:type="spellStart"/>
      <w:r w:rsidRPr="00996689">
        <w:rPr>
          <w:rFonts w:ascii="Times New Roman" w:eastAsia="Times New Roman" w:hAnsi="Times New Roman" w:cs="Times New Roman"/>
          <w:kern w:val="0"/>
          <w:sz w:val="24"/>
          <w:szCs w:val="24"/>
          <w:lang w:eastAsia="en-IN"/>
          <w14:ligatures w14:val="none"/>
        </w:rPr>
        <w:t>Balasore</w:t>
      </w:r>
      <w:proofErr w:type="spellEnd"/>
      <w:r w:rsidRPr="00996689">
        <w:rPr>
          <w:rFonts w:ascii="Times New Roman" w:eastAsia="Times New Roman" w:hAnsi="Times New Roman" w:cs="Times New Roman"/>
          <w:kern w:val="0"/>
          <w:sz w:val="24"/>
          <w:szCs w:val="24"/>
          <w:lang w:eastAsia="en-IN"/>
          <w14:ligatures w14:val="none"/>
        </w:rPr>
        <w:t xml:space="preserve">, the major flood-prone district, exhibited relatively lower adaptive capacity compared to those in Dhenkanal, the minor flood-prone district. </w:t>
      </w:r>
      <w:r w:rsidR="00C12FBE" w:rsidRPr="00996689">
        <w:rPr>
          <w:rFonts w:ascii="Times New Roman" w:eastAsia="Times New Roman" w:hAnsi="Times New Roman" w:cs="Times New Roman"/>
          <w:kern w:val="0"/>
          <w:sz w:val="24"/>
          <w:szCs w:val="24"/>
          <w:lang w:eastAsia="en-IN"/>
          <w14:ligatures w14:val="none"/>
        </w:rPr>
        <w:t>Income of the livestock-</w:t>
      </w:r>
      <w:proofErr w:type="spellStart"/>
      <w:r w:rsidR="00C12FBE" w:rsidRPr="00996689">
        <w:rPr>
          <w:rFonts w:ascii="Times New Roman" w:eastAsia="Times New Roman" w:hAnsi="Times New Roman" w:cs="Times New Roman"/>
          <w:kern w:val="0"/>
          <w:sz w:val="24"/>
          <w:szCs w:val="24"/>
          <w:lang w:eastAsia="en-IN"/>
          <w14:ligatures w14:val="none"/>
        </w:rPr>
        <w:t>rearers</w:t>
      </w:r>
      <w:proofErr w:type="spellEnd"/>
      <w:r w:rsidR="00C12FBE" w:rsidRPr="00996689">
        <w:rPr>
          <w:rFonts w:ascii="Times New Roman" w:eastAsia="Times New Roman" w:hAnsi="Times New Roman" w:cs="Times New Roman"/>
          <w:kern w:val="0"/>
          <w:sz w:val="24"/>
          <w:szCs w:val="24"/>
          <w:lang w:eastAsia="en-IN"/>
          <w14:ligatures w14:val="none"/>
        </w:rPr>
        <w:t xml:space="preserve"> and cropping intensity were more sensitive to flood proneness. Severity of the livelihood vulnerability has a direct proportional relationship with the degree of flood-proneness. </w:t>
      </w:r>
      <w:r w:rsidR="006640A6" w:rsidRPr="00996689">
        <w:rPr>
          <w:rFonts w:ascii="Times New Roman" w:eastAsia="Times New Roman" w:hAnsi="Times New Roman" w:cs="Times New Roman"/>
          <w:kern w:val="0"/>
          <w:sz w:val="24"/>
          <w:szCs w:val="24"/>
          <w:lang w:eastAsia="en-IN"/>
          <w14:ligatures w14:val="none"/>
        </w:rPr>
        <w:t>Villages situated at greater distances from nearby markets and veterinary centres were found to be more vulnerable. Therefore, the findings of this study are expected to assist various departments: such as agriculture, animal husbandry, and disaster management, at both state and central levels in formulating location-specific contingency plans to effectively mitigate the impacts of floods.</w:t>
      </w:r>
    </w:p>
    <w:p w14:paraId="0DC1E4CD" w14:textId="56A2521C" w:rsidR="00BC0C9C" w:rsidRDefault="00646468" w:rsidP="00646468">
      <w:pPr>
        <w:pStyle w:val="NormalWeb"/>
        <w:ind w:right="-472"/>
        <w:rPr>
          <w:rStyle w:val="Strong"/>
          <w:rFonts w:eastAsiaTheme="majorEastAsia"/>
          <w:b w:val="0"/>
          <w:bCs w:val="0"/>
        </w:rPr>
      </w:pPr>
      <w:r w:rsidRPr="00646468">
        <w:rPr>
          <w:rStyle w:val="Strong"/>
          <w:rFonts w:eastAsiaTheme="majorEastAsia"/>
          <w:i/>
          <w:iCs/>
        </w:rPr>
        <w:t>(</w:t>
      </w:r>
      <w:r w:rsidR="00BC0C9C" w:rsidRPr="00646468">
        <w:rPr>
          <w:rStyle w:val="Strong"/>
          <w:rFonts w:eastAsiaTheme="majorEastAsia"/>
          <w:i/>
          <w:iCs/>
        </w:rPr>
        <w:t>Keywords:</w:t>
      </w:r>
      <w:r w:rsidR="00BC0C9C">
        <w:rPr>
          <w:rStyle w:val="Strong"/>
          <w:rFonts w:eastAsiaTheme="majorEastAsia"/>
        </w:rPr>
        <w:t xml:space="preserve"> </w:t>
      </w:r>
      <w:r w:rsidR="00BC0C9C" w:rsidRPr="00BC0C9C">
        <w:rPr>
          <w:rStyle w:val="Strong"/>
          <w:rFonts w:eastAsiaTheme="majorEastAsia"/>
          <w:b w:val="0"/>
          <w:bCs w:val="0"/>
        </w:rPr>
        <w:t>Adaptive capacity</w:t>
      </w:r>
      <w:r w:rsidR="00BC0C9C" w:rsidRPr="00BC0C9C">
        <w:rPr>
          <w:b/>
          <w:bCs/>
        </w:rPr>
        <w:t xml:space="preserve">, </w:t>
      </w:r>
      <w:r w:rsidR="00BC0C9C" w:rsidRPr="00BC0C9C">
        <w:rPr>
          <w:rStyle w:val="Strong"/>
          <w:rFonts w:eastAsiaTheme="majorEastAsia"/>
          <w:b w:val="0"/>
          <w:bCs w:val="0"/>
        </w:rPr>
        <w:t>Flood-prone districts</w:t>
      </w:r>
      <w:r w:rsidR="00BC0C9C" w:rsidRPr="00BC0C9C">
        <w:rPr>
          <w:b/>
          <w:bCs/>
        </w:rPr>
        <w:t xml:space="preserve">, </w:t>
      </w:r>
      <w:r w:rsidR="00BC0C9C" w:rsidRPr="00BC0C9C">
        <w:rPr>
          <w:rStyle w:val="Strong"/>
          <w:rFonts w:eastAsiaTheme="majorEastAsia"/>
          <w:b w:val="0"/>
          <w:bCs w:val="0"/>
        </w:rPr>
        <w:t>Livelihood vulnerability</w:t>
      </w:r>
      <w:r w:rsidR="00BC0C9C" w:rsidRPr="00BC0C9C">
        <w:rPr>
          <w:b/>
          <w:bCs/>
        </w:rPr>
        <w:t xml:space="preserve">, </w:t>
      </w:r>
      <w:r w:rsidR="00BC0C9C" w:rsidRPr="00BC0C9C">
        <w:rPr>
          <w:rStyle w:val="Strong"/>
          <w:rFonts w:eastAsiaTheme="majorEastAsia"/>
          <w:b w:val="0"/>
          <w:bCs w:val="0"/>
        </w:rPr>
        <w:t>Livestock-</w:t>
      </w:r>
      <w:proofErr w:type="spellStart"/>
      <w:r w:rsidR="00BC0C9C" w:rsidRPr="00BC0C9C">
        <w:rPr>
          <w:rStyle w:val="Strong"/>
          <w:rFonts w:eastAsiaTheme="majorEastAsia"/>
          <w:b w:val="0"/>
          <w:bCs w:val="0"/>
        </w:rPr>
        <w:t>rearers</w:t>
      </w:r>
      <w:proofErr w:type="spellEnd"/>
      <w:r>
        <w:rPr>
          <w:rStyle w:val="Strong"/>
          <w:rFonts w:eastAsiaTheme="majorEastAsia"/>
          <w:b w:val="0"/>
          <w:bCs w:val="0"/>
        </w:rPr>
        <w:t>)</w:t>
      </w:r>
    </w:p>
    <w:p w14:paraId="108C3E59" w14:textId="4B50A0BD" w:rsidR="001114FF" w:rsidRPr="001114FF" w:rsidRDefault="001114FF" w:rsidP="00646468">
      <w:pPr>
        <w:pStyle w:val="NormalWeb"/>
        <w:ind w:right="-472"/>
      </w:pPr>
      <w:r w:rsidRPr="001114FF">
        <w:rPr>
          <w:rStyle w:val="Strong"/>
          <w:rFonts w:eastAsiaTheme="majorEastAsia"/>
        </w:rPr>
        <w:t>Introduction</w:t>
      </w:r>
    </w:p>
    <w:p w14:paraId="556F754B" w14:textId="657B3AF2" w:rsidR="00CE35EF" w:rsidRPr="00996689" w:rsidRDefault="00CE35EF" w:rsidP="00996689">
      <w:pPr>
        <w:spacing w:line="360" w:lineRule="auto"/>
        <w:ind w:firstLine="72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lastRenderedPageBreak/>
        <w:t xml:space="preserve">Climate change has emerged as one of the most pressing global challenges, posing serious threats to ecosystems, livelihoods, and food systems. Although it is a global phenomenon, its impacts manifest differently across regions, depending on local ecological, socio-economic, and institutional factors (Piya et al., 2012). These regional disparities necessitate context-specific adaptation strategies and targeted development interventions. </w:t>
      </w:r>
      <w:r w:rsidR="006640A6" w:rsidRPr="00996689">
        <w:rPr>
          <w:rFonts w:ascii="Times New Roman" w:eastAsia="Times New Roman" w:hAnsi="Times New Roman" w:cs="Times New Roman"/>
          <w:kern w:val="0"/>
          <w:sz w:val="24"/>
          <w:szCs w:val="24"/>
          <w:lang w:eastAsia="en-IN"/>
          <w14:ligatures w14:val="none"/>
        </w:rPr>
        <w:t xml:space="preserve">According to the Intergovernmental Panel on Climate Change (IPCC, 2001), vulnerability denotes the extent to which a system is exposed to, and incapable of coping with, the negative impacts of climate change. </w:t>
      </w:r>
      <w:r w:rsidRPr="00996689">
        <w:rPr>
          <w:rFonts w:ascii="Times New Roman" w:eastAsia="Times New Roman" w:hAnsi="Times New Roman" w:cs="Times New Roman"/>
          <w:kern w:val="0"/>
          <w:sz w:val="24"/>
          <w:szCs w:val="24"/>
          <w:lang w:eastAsia="en-IN"/>
          <w14:ligatures w14:val="none"/>
        </w:rPr>
        <w:t xml:space="preserve">This vulnerability is influenced by the magnitude and frequency of climatic events such as floods-the extent of exposure, and the adaptive capacity of the affected systems. For livestock </w:t>
      </w:r>
      <w:proofErr w:type="spellStart"/>
      <w:r w:rsidRPr="00996689">
        <w:rPr>
          <w:rFonts w:ascii="Times New Roman" w:eastAsia="Times New Roman" w:hAnsi="Times New Roman" w:cs="Times New Roman"/>
          <w:kern w:val="0"/>
          <w:sz w:val="24"/>
          <w:szCs w:val="24"/>
          <w:lang w:eastAsia="en-IN"/>
          <w14:ligatures w14:val="none"/>
        </w:rPr>
        <w:t>rearers</w:t>
      </w:r>
      <w:proofErr w:type="spellEnd"/>
      <w:r w:rsidRPr="00996689">
        <w:rPr>
          <w:rFonts w:ascii="Times New Roman" w:eastAsia="Times New Roman" w:hAnsi="Times New Roman" w:cs="Times New Roman"/>
          <w:kern w:val="0"/>
          <w:sz w:val="24"/>
          <w:szCs w:val="24"/>
          <w:lang w:eastAsia="en-IN"/>
          <w14:ligatures w14:val="none"/>
        </w:rPr>
        <w:t>, several socio-economic and environmental factors</w:t>
      </w:r>
      <w:r w:rsidR="006617F0" w:rsidRPr="00996689">
        <w:rPr>
          <w:rFonts w:ascii="Times New Roman" w:eastAsia="Times New Roman" w:hAnsi="Times New Roman" w:cs="Times New Roman"/>
          <w:kern w:val="0"/>
          <w:sz w:val="24"/>
          <w:szCs w:val="24"/>
          <w:lang w:eastAsia="en-IN"/>
          <w14:ligatures w14:val="none"/>
        </w:rPr>
        <w:t>-</w:t>
      </w:r>
      <w:r w:rsidRPr="00996689">
        <w:rPr>
          <w:rFonts w:ascii="Times New Roman" w:eastAsia="Times New Roman" w:hAnsi="Times New Roman" w:cs="Times New Roman"/>
          <w:kern w:val="0"/>
          <w:sz w:val="24"/>
          <w:szCs w:val="24"/>
          <w:lang w:eastAsia="en-IN"/>
          <w14:ligatures w14:val="none"/>
        </w:rPr>
        <w:t>such as poor access to technology, inadequate infrastructure, institutional limitations, and increasing anthropogenic pressure on natural ecosystems-exacerbate this vulnerability (Deressa et al., 2009; Rai &amp; Singh, 2019).</w:t>
      </w:r>
      <w:r w:rsidR="00CA4091" w:rsidRPr="00996689">
        <w:rPr>
          <w:rFonts w:ascii="Times New Roman" w:eastAsia="Times New Roman" w:hAnsi="Times New Roman" w:cs="Times New Roman"/>
          <w:kern w:val="0"/>
          <w:sz w:val="24"/>
          <w:szCs w:val="24"/>
          <w:lang w:eastAsia="en-IN"/>
          <w14:ligatures w14:val="none"/>
        </w:rPr>
        <w:t xml:space="preserve"> </w:t>
      </w:r>
      <w:r w:rsidRPr="00996689">
        <w:rPr>
          <w:rFonts w:ascii="Times New Roman" w:eastAsia="Times New Roman" w:hAnsi="Times New Roman" w:cs="Times New Roman"/>
          <w:kern w:val="0"/>
          <w:sz w:val="24"/>
          <w:szCs w:val="24"/>
          <w:lang w:eastAsia="en-IN"/>
          <w14:ligatures w14:val="none"/>
        </w:rPr>
        <w:t xml:space="preserve">India has historically experienced recurrent floods due to its diverse climatic zones and variable rainfall patterns (Mishra et al., 2010). Odisha, one of India’s most flood-prone states, comprises 30 districts and has a 480 km long coastline along the Bay of Bengal. Several major perennial rivers, including the Mahanadi, </w:t>
      </w:r>
      <w:proofErr w:type="spellStart"/>
      <w:r w:rsidRPr="00996689">
        <w:rPr>
          <w:rFonts w:ascii="Times New Roman" w:eastAsia="Times New Roman" w:hAnsi="Times New Roman" w:cs="Times New Roman"/>
          <w:kern w:val="0"/>
          <w:sz w:val="24"/>
          <w:szCs w:val="24"/>
          <w:lang w:eastAsia="en-IN"/>
          <w14:ligatures w14:val="none"/>
        </w:rPr>
        <w:t>Brahmani</w:t>
      </w:r>
      <w:proofErr w:type="spellEnd"/>
      <w:r w:rsidRPr="00996689">
        <w:rPr>
          <w:rFonts w:ascii="Times New Roman" w:eastAsia="Times New Roman" w:hAnsi="Times New Roman" w:cs="Times New Roman"/>
          <w:kern w:val="0"/>
          <w:sz w:val="24"/>
          <w:szCs w:val="24"/>
          <w:lang w:eastAsia="en-IN"/>
          <w14:ligatures w14:val="none"/>
        </w:rPr>
        <w:t xml:space="preserve">, Baitarani, </w:t>
      </w:r>
      <w:proofErr w:type="spellStart"/>
      <w:r w:rsidRPr="00996689">
        <w:rPr>
          <w:rFonts w:ascii="Times New Roman" w:eastAsia="Times New Roman" w:hAnsi="Times New Roman" w:cs="Times New Roman"/>
          <w:kern w:val="0"/>
          <w:sz w:val="24"/>
          <w:szCs w:val="24"/>
          <w:lang w:eastAsia="en-IN"/>
          <w14:ligatures w14:val="none"/>
        </w:rPr>
        <w:t>Rushikulya</w:t>
      </w:r>
      <w:proofErr w:type="spellEnd"/>
      <w:r w:rsidRPr="00996689">
        <w:rPr>
          <w:rFonts w:ascii="Times New Roman" w:eastAsia="Times New Roman" w:hAnsi="Times New Roman" w:cs="Times New Roman"/>
          <w:kern w:val="0"/>
          <w:sz w:val="24"/>
          <w:szCs w:val="24"/>
          <w:lang w:eastAsia="en-IN"/>
          <w14:ligatures w14:val="none"/>
        </w:rPr>
        <w:t xml:space="preserve">, </w:t>
      </w:r>
      <w:proofErr w:type="spellStart"/>
      <w:r w:rsidRPr="00996689">
        <w:rPr>
          <w:rFonts w:ascii="Times New Roman" w:eastAsia="Times New Roman" w:hAnsi="Times New Roman" w:cs="Times New Roman"/>
          <w:kern w:val="0"/>
          <w:sz w:val="24"/>
          <w:szCs w:val="24"/>
          <w:lang w:eastAsia="en-IN"/>
          <w14:ligatures w14:val="none"/>
        </w:rPr>
        <w:t>Budhabalanga</w:t>
      </w:r>
      <w:proofErr w:type="spellEnd"/>
      <w:r w:rsidRPr="00996689">
        <w:rPr>
          <w:rFonts w:ascii="Times New Roman" w:eastAsia="Times New Roman" w:hAnsi="Times New Roman" w:cs="Times New Roman"/>
          <w:kern w:val="0"/>
          <w:sz w:val="24"/>
          <w:szCs w:val="24"/>
          <w:lang w:eastAsia="en-IN"/>
          <w14:ligatures w14:val="none"/>
        </w:rPr>
        <w:t>, and Subarnarekha, flow through the state, making it highly susceptible to seasonal flooding.</w:t>
      </w:r>
      <w:r w:rsidR="00CA4091" w:rsidRPr="00996689">
        <w:rPr>
          <w:rFonts w:ascii="Times New Roman" w:eastAsia="Times New Roman" w:hAnsi="Times New Roman" w:cs="Times New Roman"/>
          <w:kern w:val="0"/>
          <w:sz w:val="24"/>
          <w:szCs w:val="24"/>
          <w:lang w:eastAsia="en-IN"/>
          <w14:ligatures w14:val="none"/>
        </w:rPr>
        <w:t xml:space="preserve"> </w:t>
      </w:r>
      <w:r w:rsidRPr="00996689">
        <w:rPr>
          <w:rFonts w:ascii="Times New Roman" w:eastAsia="Times New Roman" w:hAnsi="Times New Roman" w:cs="Times New Roman"/>
          <w:kern w:val="0"/>
          <w:sz w:val="24"/>
          <w:szCs w:val="24"/>
          <w:lang w:eastAsia="en-IN"/>
          <w14:ligatures w14:val="none"/>
        </w:rPr>
        <w:t>Livestock rearing forms an integral component of rural livelihoods in Odisha, where mixed crop-livestock farming is the predominant system practiced, especially by smallholders, marginal farmers, and landless households. However, recurring floods</w:t>
      </w:r>
      <w:r w:rsidR="006617F0" w:rsidRPr="00996689">
        <w:rPr>
          <w:rFonts w:ascii="Times New Roman" w:eastAsia="Times New Roman" w:hAnsi="Times New Roman" w:cs="Times New Roman"/>
          <w:kern w:val="0"/>
          <w:sz w:val="24"/>
          <w:szCs w:val="24"/>
          <w:lang w:eastAsia="en-IN"/>
          <w14:ligatures w14:val="none"/>
        </w:rPr>
        <w:t>-</w:t>
      </w:r>
      <w:r w:rsidRPr="00996689">
        <w:rPr>
          <w:rFonts w:ascii="Times New Roman" w:eastAsia="Times New Roman" w:hAnsi="Times New Roman" w:cs="Times New Roman"/>
          <w:kern w:val="0"/>
          <w:sz w:val="24"/>
          <w:szCs w:val="24"/>
          <w:lang w:eastAsia="en-IN"/>
          <w14:ligatures w14:val="none"/>
        </w:rPr>
        <w:t>often lasting 5 to 15 days in various coastal regions</w:t>
      </w:r>
      <w:r w:rsidR="006617F0" w:rsidRPr="00996689">
        <w:rPr>
          <w:rFonts w:ascii="Times New Roman" w:eastAsia="Times New Roman" w:hAnsi="Times New Roman" w:cs="Times New Roman"/>
          <w:kern w:val="0"/>
          <w:sz w:val="24"/>
          <w:szCs w:val="24"/>
          <w:lang w:eastAsia="en-IN"/>
          <w14:ligatures w14:val="none"/>
        </w:rPr>
        <w:t>-</w:t>
      </w:r>
      <w:r w:rsidRPr="00996689">
        <w:rPr>
          <w:rFonts w:ascii="Times New Roman" w:eastAsia="Times New Roman" w:hAnsi="Times New Roman" w:cs="Times New Roman"/>
          <w:kern w:val="0"/>
          <w:sz w:val="24"/>
          <w:szCs w:val="24"/>
          <w:lang w:eastAsia="en-IN"/>
          <w14:ligatures w14:val="none"/>
        </w:rPr>
        <w:t>result in widespread destruction of property, standing crops, and infrastructure, severely affecting the livelihood security of rural communities (Behera et al., 2020).</w:t>
      </w:r>
      <w:r w:rsidR="00CA4091" w:rsidRPr="00996689">
        <w:rPr>
          <w:rFonts w:ascii="Times New Roman" w:eastAsia="Times New Roman" w:hAnsi="Times New Roman" w:cs="Times New Roman"/>
          <w:kern w:val="0"/>
          <w:sz w:val="24"/>
          <w:szCs w:val="24"/>
          <w:lang w:eastAsia="en-IN"/>
          <w14:ligatures w14:val="none"/>
        </w:rPr>
        <w:t xml:space="preserve"> </w:t>
      </w:r>
      <w:r w:rsidRPr="00996689">
        <w:rPr>
          <w:rFonts w:ascii="Times New Roman" w:eastAsia="Times New Roman" w:hAnsi="Times New Roman" w:cs="Times New Roman"/>
          <w:kern w:val="0"/>
          <w:sz w:val="24"/>
          <w:szCs w:val="24"/>
          <w:lang w:eastAsia="en-IN"/>
          <w14:ligatures w14:val="none"/>
        </w:rPr>
        <w:t>Beyond crop loss, post-flood conditions also lead to water contamination and degraded environments. Livestock, more vulnerable than humans during and after flood events, often suffer significant losses, including death, injury, disease outbreaks, reduced productivity, and disrupted breeding cycles. These losses translate into substantial economic setbacks for farming households, particularly those dependent on livestock as a key livelihood asset (Patnaik &amp; Narayanan, 2010).</w:t>
      </w:r>
      <w:r w:rsidR="00CA4091" w:rsidRPr="00996689">
        <w:rPr>
          <w:rFonts w:ascii="Times New Roman" w:eastAsia="Times New Roman" w:hAnsi="Times New Roman" w:cs="Times New Roman"/>
          <w:kern w:val="0"/>
          <w:sz w:val="24"/>
          <w:szCs w:val="24"/>
          <w:lang w:eastAsia="en-IN"/>
          <w14:ligatures w14:val="none"/>
        </w:rPr>
        <w:t xml:space="preserve"> </w:t>
      </w:r>
      <w:r w:rsidRPr="00996689">
        <w:rPr>
          <w:rFonts w:ascii="Times New Roman" w:eastAsia="Times New Roman" w:hAnsi="Times New Roman" w:cs="Times New Roman"/>
          <w:kern w:val="0"/>
          <w:sz w:val="24"/>
          <w:szCs w:val="24"/>
          <w:lang w:eastAsia="en-IN"/>
          <w14:ligatures w14:val="none"/>
        </w:rPr>
        <w:t>Despite the growing intensity and frequency of floods, there remains a lack of localized data on the extent of vulnerability faced by rural households</w:t>
      </w:r>
      <w:r w:rsidR="006617F0" w:rsidRPr="00996689">
        <w:rPr>
          <w:rFonts w:ascii="Times New Roman" w:eastAsia="Times New Roman" w:hAnsi="Times New Roman" w:cs="Times New Roman"/>
          <w:kern w:val="0"/>
          <w:sz w:val="24"/>
          <w:szCs w:val="24"/>
          <w:lang w:eastAsia="en-IN"/>
          <w14:ligatures w14:val="none"/>
        </w:rPr>
        <w:t>-</w:t>
      </w:r>
      <w:r w:rsidRPr="00996689">
        <w:rPr>
          <w:rFonts w:ascii="Times New Roman" w:eastAsia="Times New Roman" w:hAnsi="Times New Roman" w:cs="Times New Roman"/>
          <w:kern w:val="0"/>
          <w:sz w:val="24"/>
          <w:szCs w:val="24"/>
          <w:lang w:eastAsia="en-IN"/>
          <w14:ligatures w14:val="none"/>
        </w:rPr>
        <w:t xml:space="preserve">particularly livestock </w:t>
      </w:r>
      <w:proofErr w:type="spellStart"/>
      <w:r w:rsidRPr="00996689">
        <w:rPr>
          <w:rFonts w:ascii="Times New Roman" w:eastAsia="Times New Roman" w:hAnsi="Times New Roman" w:cs="Times New Roman"/>
          <w:kern w:val="0"/>
          <w:sz w:val="24"/>
          <w:szCs w:val="24"/>
          <w:lang w:eastAsia="en-IN"/>
          <w14:ligatures w14:val="none"/>
        </w:rPr>
        <w:t>rearers</w:t>
      </w:r>
      <w:proofErr w:type="spellEnd"/>
      <w:r w:rsidRPr="00996689">
        <w:rPr>
          <w:rFonts w:ascii="Times New Roman" w:eastAsia="Times New Roman" w:hAnsi="Times New Roman" w:cs="Times New Roman"/>
          <w:kern w:val="0"/>
          <w:sz w:val="24"/>
          <w:szCs w:val="24"/>
          <w:lang w:eastAsia="en-IN"/>
          <w14:ligatures w14:val="none"/>
        </w:rPr>
        <w:t xml:space="preserve">. This information gap hinders the development of effective adaptation strategies and risk mitigation programmes (Sam et al., 2017). Micro-level vulnerability assessments are crucial for identifying the most at-risk populations and for understanding which livelihood resources are most impacted in specific regions. Such analyses are essential to design region-specific, evidence-based coping </w:t>
      </w:r>
      <w:r w:rsidRPr="00996689">
        <w:rPr>
          <w:rFonts w:ascii="Times New Roman" w:eastAsia="Times New Roman" w:hAnsi="Times New Roman" w:cs="Times New Roman"/>
          <w:kern w:val="0"/>
          <w:sz w:val="24"/>
          <w:szCs w:val="24"/>
          <w:lang w:eastAsia="en-IN"/>
          <w14:ligatures w14:val="none"/>
        </w:rPr>
        <w:lastRenderedPageBreak/>
        <w:t>mechanisms and policy responses (Aryal et al., 2020).</w:t>
      </w:r>
      <w:r w:rsidR="00CA4091" w:rsidRPr="00996689">
        <w:rPr>
          <w:rFonts w:ascii="Times New Roman" w:eastAsia="Times New Roman" w:hAnsi="Times New Roman" w:cs="Times New Roman"/>
          <w:kern w:val="0"/>
          <w:sz w:val="24"/>
          <w:szCs w:val="24"/>
          <w:lang w:eastAsia="en-IN"/>
          <w14:ligatures w14:val="none"/>
        </w:rPr>
        <w:t xml:space="preserve"> </w:t>
      </w:r>
      <w:r w:rsidRPr="00996689">
        <w:rPr>
          <w:rFonts w:ascii="Times New Roman" w:eastAsia="Times New Roman" w:hAnsi="Times New Roman" w:cs="Times New Roman"/>
          <w:kern w:val="0"/>
          <w:sz w:val="24"/>
          <w:szCs w:val="24"/>
          <w:lang w:eastAsia="en-IN"/>
          <w14:ligatures w14:val="none"/>
        </w:rPr>
        <w:t>Considering these issues, the present study was conceptualized to address this gap by assessing the degree of flood-induced vulnerability among livestock-rearing households in Odisha. Specifically, this research aims to evaluate the extent and key determinants of vulnerability using a factor analysis approach, with the goal of contributing to improved disaster risk management and enhancing livelihood resilience in climate-sensitive regions</w:t>
      </w:r>
      <w:r w:rsidR="0006718D" w:rsidRPr="00996689">
        <w:rPr>
          <w:rFonts w:ascii="Times New Roman" w:eastAsia="Times New Roman" w:hAnsi="Times New Roman" w:cs="Times New Roman"/>
          <w:kern w:val="0"/>
          <w:sz w:val="24"/>
          <w:szCs w:val="24"/>
          <w:lang w:eastAsia="en-IN"/>
          <w14:ligatures w14:val="none"/>
        </w:rPr>
        <w:t>.</w:t>
      </w:r>
    </w:p>
    <w:p w14:paraId="24A41866" w14:textId="3F1D3FA7" w:rsidR="0006718D" w:rsidRPr="00F20E98" w:rsidRDefault="00F20E98" w:rsidP="00F20E98">
      <w:pPr>
        <w:spacing w:line="360" w:lineRule="auto"/>
        <w:jc w:val="center"/>
        <w:rPr>
          <w:rFonts w:ascii="Times New Roman" w:eastAsia="Times New Roman" w:hAnsi="Times New Roman" w:cs="Times New Roman"/>
          <w:b/>
          <w:bCs/>
          <w:kern w:val="0"/>
          <w:sz w:val="28"/>
          <w:szCs w:val="28"/>
          <w:lang w:eastAsia="en-IN"/>
          <w14:ligatures w14:val="none"/>
        </w:rPr>
      </w:pPr>
      <w:r w:rsidRPr="00F20E98">
        <w:rPr>
          <w:rFonts w:ascii="Times New Roman" w:eastAsia="Times New Roman" w:hAnsi="Times New Roman" w:cs="Times New Roman"/>
          <w:b/>
          <w:bCs/>
          <w:kern w:val="0"/>
          <w:sz w:val="28"/>
          <w:szCs w:val="28"/>
          <w:lang w:eastAsia="en-IN"/>
          <w14:ligatures w14:val="none"/>
        </w:rPr>
        <w:t>MATERIALS AND METHODS</w:t>
      </w:r>
    </w:p>
    <w:p w14:paraId="0863A8F9" w14:textId="6B67E93A" w:rsidR="0006718D" w:rsidRPr="00F20E98" w:rsidRDefault="0006718D" w:rsidP="00F20E98">
      <w:pPr>
        <w:spacing w:line="480" w:lineRule="auto"/>
        <w:jc w:val="both"/>
        <w:rPr>
          <w:rFonts w:ascii="Times New Roman" w:eastAsia="Times New Roman" w:hAnsi="Times New Roman" w:cs="Times New Roman"/>
          <w:b/>
          <w:bCs/>
          <w:kern w:val="0"/>
          <w:sz w:val="24"/>
          <w:szCs w:val="24"/>
          <w:lang w:eastAsia="en-IN"/>
          <w14:ligatures w14:val="none"/>
        </w:rPr>
      </w:pPr>
      <w:r w:rsidRPr="00F20E98">
        <w:rPr>
          <w:rFonts w:ascii="Times New Roman" w:eastAsia="Times New Roman" w:hAnsi="Times New Roman" w:cs="Times New Roman"/>
          <w:b/>
          <w:bCs/>
          <w:kern w:val="0"/>
          <w:sz w:val="24"/>
          <w:szCs w:val="24"/>
          <w:lang w:eastAsia="en-IN"/>
          <w14:ligatures w14:val="none"/>
        </w:rPr>
        <w:t>Sampling plan</w:t>
      </w:r>
    </w:p>
    <w:p w14:paraId="3317CF15" w14:textId="601FB232" w:rsidR="00410523" w:rsidRPr="00996689" w:rsidRDefault="00F20E98" w:rsidP="00F20E98">
      <w:pPr>
        <w:tabs>
          <w:tab w:val="left" w:pos="720"/>
          <w:tab w:val="left" w:pos="5127"/>
        </w:tabs>
        <w:spacing w:after="0" w:line="48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ab/>
      </w:r>
      <w:r w:rsidR="00410523" w:rsidRPr="00996689">
        <w:rPr>
          <w:rFonts w:ascii="Times New Roman" w:eastAsia="Times New Roman" w:hAnsi="Times New Roman" w:cs="Times New Roman"/>
          <w:kern w:val="0"/>
          <w:sz w:val="24"/>
          <w:szCs w:val="24"/>
          <w:lang w:eastAsia="en-IN"/>
          <w14:ligatures w14:val="none"/>
        </w:rPr>
        <w:t xml:space="preserve">To explore the vulnerability of livestock </w:t>
      </w:r>
      <w:proofErr w:type="spellStart"/>
      <w:r w:rsidR="00410523" w:rsidRPr="00996689">
        <w:rPr>
          <w:rFonts w:ascii="Times New Roman" w:eastAsia="Times New Roman" w:hAnsi="Times New Roman" w:cs="Times New Roman"/>
          <w:kern w:val="0"/>
          <w:sz w:val="24"/>
          <w:szCs w:val="24"/>
          <w:lang w:eastAsia="en-IN"/>
          <w14:ligatures w14:val="none"/>
        </w:rPr>
        <w:t>rearers</w:t>
      </w:r>
      <w:proofErr w:type="spellEnd"/>
      <w:r w:rsidR="00410523" w:rsidRPr="00996689">
        <w:rPr>
          <w:rFonts w:ascii="Times New Roman" w:eastAsia="Times New Roman" w:hAnsi="Times New Roman" w:cs="Times New Roman"/>
          <w:kern w:val="0"/>
          <w:sz w:val="24"/>
          <w:szCs w:val="24"/>
          <w:lang w:eastAsia="en-IN"/>
          <w14:ligatures w14:val="none"/>
        </w:rPr>
        <w:t xml:space="preserve">, an exploratory research design was implemented in the state of Odisha. Two districts were randomly selected to reflect different levels of flood exposure Dhenkanal, representing areas with minor flooding, and Balasore, indicative of regions prone to major flooding. From each of these districts, two blocks were chosen at random: </w:t>
      </w:r>
      <w:proofErr w:type="spellStart"/>
      <w:r w:rsidR="00410523" w:rsidRPr="00996689">
        <w:rPr>
          <w:rFonts w:ascii="Times New Roman" w:eastAsia="Times New Roman" w:hAnsi="Times New Roman" w:cs="Times New Roman"/>
          <w:kern w:val="0"/>
          <w:sz w:val="24"/>
          <w:szCs w:val="24"/>
          <w:lang w:eastAsia="en-IN"/>
          <w14:ligatures w14:val="none"/>
        </w:rPr>
        <w:t>Odapada</w:t>
      </w:r>
      <w:proofErr w:type="spellEnd"/>
      <w:r w:rsidR="00410523" w:rsidRPr="00996689">
        <w:rPr>
          <w:rFonts w:ascii="Times New Roman" w:eastAsia="Times New Roman" w:hAnsi="Times New Roman" w:cs="Times New Roman"/>
          <w:kern w:val="0"/>
          <w:sz w:val="24"/>
          <w:szCs w:val="24"/>
          <w:lang w:eastAsia="en-IN"/>
          <w14:ligatures w14:val="none"/>
        </w:rPr>
        <w:t xml:space="preserve"> and </w:t>
      </w:r>
      <w:proofErr w:type="spellStart"/>
      <w:r w:rsidR="00410523" w:rsidRPr="00996689">
        <w:rPr>
          <w:rFonts w:ascii="Times New Roman" w:eastAsia="Times New Roman" w:hAnsi="Times New Roman" w:cs="Times New Roman"/>
          <w:kern w:val="0"/>
          <w:sz w:val="24"/>
          <w:szCs w:val="24"/>
          <w:lang w:eastAsia="en-IN"/>
          <w14:ligatures w14:val="none"/>
        </w:rPr>
        <w:t>Gondia</w:t>
      </w:r>
      <w:proofErr w:type="spellEnd"/>
      <w:r w:rsidR="00410523" w:rsidRPr="00996689">
        <w:rPr>
          <w:rFonts w:ascii="Times New Roman" w:eastAsia="Times New Roman" w:hAnsi="Times New Roman" w:cs="Times New Roman"/>
          <w:kern w:val="0"/>
          <w:sz w:val="24"/>
          <w:szCs w:val="24"/>
          <w:lang w:eastAsia="en-IN"/>
          <w14:ligatures w14:val="none"/>
        </w:rPr>
        <w:t xml:space="preserve"> from Dhenkanal, and </w:t>
      </w:r>
      <w:proofErr w:type="spellStart"/>
      <w:r w:rsidR="00410523" w:rsidRPr="00996689">
        <w:rPr>
          <w:rFonts w:ascii="Times New Roman" w:eastAsia="Times New Roman" w:hAnsi="Times New Roman" w:cs="Times New Roman"/>
          <w:kern w:val="0"/>
          <w:sz w:val="24"/>
          <w:szCs w:val="24"/>
          <w:lang w:eastAsia="en-IN"/>
          <w14:ligatures w14:val="none"/>
        </w:rPr>
        <w:t>Bhograi</w:t>
      </w:r>
      <w:proofErr w:type="spellEnd"/>
      <w:r w:rsidR="00410523" w:rsidRPr="00996689">
        <w:rPr>
          <w:rFonts w:ascii="Times New Roman" w:eastAsia="Times New Roman" w:hAnsi="Times New Roman" w:cs="Times New Roman"/>
          <w:kern w:val="0"/>
          <w:sz w:val="24"/>
          <w:szCs w:val="24"/>
          <w:lang w:eastAsia="en-IN"/>
          <w14:ligatures w14:val="none"/>
        </w:rPr>
        <w:t xml:space="preserve"> and </w:t>
      </w:r>
      <w:proofErr w:type="spellStart"/>
      <w:r w:rsidR="00410523" w:rsidRPr="00996689">
        <w:rPr>
          <w:rFonts w:ascii="Times New Roman" w:eastAsia="Times New Roman" w:hAnsi="Times New Roman" w:cs="Times New Roman"/>
          <w:kern w:val="0"/>
          <w:sz w:val="24"/>
          <w:szCs w:val="24"/>
          <w:lang w:eastAsia="en-IN"/>
          <w14:ligatures w14:val="none"/>
        </w:rPr>
        <w:t>Jaleswar</w:t>
      </w:r>
      <w:proofErr w:type="spellEnd"/>
      <w:r w:rsidR="00410523" w:rsidRPr="00996689">
        <w:rPr>
          <w:rFonts w:ascii="Times New Roman" w:eastAsia="Times New Roman" w:hAnsi="Times New Roman" w:cs="Times New Roman"/>
          <w:kern w:val="0"/>
          <w:sz w:val="24"/>
          <w:szCs w:val="24"/>
          <w:lang w:eastAsia="en-IN"/>
          <w14:ligatures w14:val="none"/>
        </w:rPr>
        <w:t xml:space="preserve"> from Balasore, making a total of four blocks. Subsequently, four villages were selected from each block, serving as the primary sampling units, resulting in a total of 16 villages. The respondents were defined as individuals who had been engaged in livestock rearing (cattle, buffalo, sheep, or goat) for at least 10 years. Lists of eligible livestock </w:t>
      </w:r>
      <w:proofErr w:type="spellStart"/>
      <w:r w:rsidR="00410523" w:rsidRPr="00996689">
        <w:rPr>
          <w:rFonts w:ascii="Times New Roman" w:eastAsia="Times New Roman" w:hAnsi="Times New Roman" w:cs="Times New Roman"/>
          <w:kern w:val="0"/>
          <w:sz w:val="24"/>
          <w:szCs w:val="24"/>
          <w:lang w:eastAsia="en-IN"/>
          <w14:ligatures w14:val="none"/>
        </w:rPr>
        <w:t>rearers</w:t>
      </w:r>
      <w:proofErr w:type="spellEnd"/>
      <w:r w:rsidR="00410523" w:rsidRPr="00996689">
        <w:rPr>
          <w:rFonts w:ascii="Times New Roman" w:eastAsia="Times New Roman" w:hAnsi="Times New Roman" w:cs="Times New Roman"/>
          <w:kern w:val="0"/>
          <w:sz w:val="24"/>
          <w:szCs w:val="24"/>
          <w:lang w:eastAsia="en-IN"/>
          <w14:ligatures w14:val="none"/>
        </w:rPr>
        <w:t xml:space="preserve"> were compiled for each village with support from the respective livestock enumerators. From these lists, 120 respondents (15 from each village) were selected using purposive sampling. Data collection was carried out through face-to-face interviews at the respondents’ residences, utilizing a structured and pre-tested interview schedule.</w:t>
      </w:r>
    </w:p>
    <w:p w14:paraId="590F5B52" w14:textId="77777777" w:rsidR="006974A7" w:rsidRPr="00F20E98" w:rsidRDefault="006974A7" w:rsidP="00F20E98">
      <w:pPr>
        <w:spacing w:line="480" w:lineRule="auto"/>
        <w:jc w:val="both"/>
        <w:rPr>
          <w:rFonts w:ascii="Times New Roman" w:eastAsia="Times New Roman" w:hAnsi="Times New Roman" w:cs="Times New Roman"/>
          <w:b/>
          <w:bCs/>
          <w:kern w:val="0"/>
          <w:sz w:val="24"/>
          <w:szCs w:val="24"/>
          <w:lang w:eastAsia="en-IN"/>
          <w14:ligatures w14:val="none"/>
        </w:rPr>
      </w:pPr>
      <w:r w:rsidRPr="00F20E98">
        <w:rPr>
          <w:rFonts w:ascii="Times New Roman" w:eastAsia="Times New Roman" w:hAnsi="Times New Roman" w:cs="Times New Roman"/>
          <w:b/>
          <w:bCs/>
          <w:kern w:val="0"/>
          <w:sz w:val="24"/>
          <w:szCs w:val="24"/>
          <w:lang w:eastAsia="en-IN"/>
          <w14:ligatures w14:val="none"/>
        </w:rPr>
        <w:t>Methods for measuring vulnerability to flood:</w:t>
      </w:r>
    </w:p>
    <w:p w14:paraId="44C168BD" w14:textId="77777777" w:rsidR="00410523" w:rsidRPr="0044372A" w:rsidRDefault="00410523" w:rsidP="00F20E98">
      <w:pPr>
        <w:spacing w:line="480" w:lineRule="auto"/>
        <w:ind w:firstLine="720"/>
        <w:jc w:val="both"/>
        <w:rPr>
          <w:rFonts w:ascii="Times New Roman" w:eastAsia="Times New Roman" w:hAnsi="Times New Roman" w:cs="Times New Roman"/>
          <w:kern w:val="0"/>
          <w:sz w:val="24"/>
          <w:szCs w:val="24"/>
          <w:lang w:eastAsia="en-IN"/>
          <w14:ligatures w14:val="none"/>
        </w:rPr>
      </w:pPr>
      <w:r w:rsidRPr="0044372A">
        <w:rPr>
          <w:rFonts w:ascii="Times New Roman" w:eastAsia="Times New Roman" w:hAnsi="Times New Roman" w:cs="Times New Roman"/>
          <w:kern w:val="0"/>
          <w:sz w:val="24"/>
          <w:szCs w:val="24"/>
          <w:lang w:eastAsia="en-IN"/>
          <w14:ligatures w14:val="none"/>
        </w:rPr>
        <w:t xml:space="preserve">Vulnerability is generally conceptualized from two major perspectives: biophysical vulnerability and social vulnerability. Biophysical vulnerability focuses on the immediate physical impacts resulting from a hazard event and is typically assessed by examining the extent of damage a system incurs upon exposure. In contrast, social vulnerability encompasses </w:t>
      </w:r>
      <w:r w:rsidRPr="0044372A">
        <w:rPr>
          <w:rFonts w:ascii="Times New Roman" w:eastAsia="Times New Roman" w:hAnsi="Times New Roman" w:cs="Times New Roman"/>
          <w:kern w:val="0"/>
          <w:sz w:val="24"/>
          <w:szCs w:val="24"/>
          <w:lang w:eastAsia="en-IN"/>
          <w14:ligatures w14:val="none"/>
        </w:rPr>
        <w:lastRenderedPageBreak/>
        <w:t xml:space="preserve">the socio-economic and institutional factors that determine a community’s ability to prepare for, respond to, and recover from such events (Nyong </w:t>
      </w:r>
      <w:r w:rsidRPr="0044372A">
        <w:rPr>
          <w:rFonts w:ascii="Times New Roman" w:eastAsia="Times New Roman" w:hAnsi="Times New Roman" w:cs="Times New Roman"/>
          <w:i/>
          <w:iCs/>
          <w:kern w:val="0"/>
          <w:sz w:val="24"/>
          <w:szCs w:val="24"/>
          <w:lang w:eastAsia="en-IN"/>
          <w14:ligatures w14:val="none"/>
        </w:rPr>
        <w:t>et al</w:t>
      </w:r>
      <w:r w:rsidRPr="0044372A">
        <w:rPr>
          <w:rFonts w:ascii="Times New Roman" w:eastAsia="Times New Roman" w:hAnsi="Times New Roman" w:cs="Times New Roman"/>
          <w:kern w:val="0"/>
          <w:sz w:val="24"/>
          <w:szCs w:val="24"/>
          <w:lang w:eastAsia="en-IN"/>
          <w14:ligatures w14:val="none"/>
        </w:rPr>
        <w:t xml:space="preserve">., 2008; Maiti </w:t>
      </w:r>
      <w:r w:rsidRPr="0044372A">
        <w:rPr>
          <w:rFonts w:ascii="Times New Roman" w:eastAsia="Times New Roman" w:hAnsi="Times New Roman" w:cs="Times New Roman"/>
          <w:i/>
          <w:iCs/>
          <w:kern w:val="0"/>
          <w:sz w:val="24"/>
          <w:szCs w:val="24"/>
          <w:lang w:eastAsia="en-IN"/>
          <w14:ligatures w14:val="none"/>
        </w:rPr>
        <w:t>et al</w:t>
      </w:r>
      <w:r w:rsidRPr="0044372A">
        <w:rPr>
          <w:rFonts w:ascii="Times New Roman" w:eastAsia="Times New Roman" w:hAnsi="Times New Roman" w:cs="Times New Roman"/>
          <w:kern w:val="0"/>
          <w:sz w:val="24"/>
          <w:szCs w:val="24"/>
          <w:lang w:eastAsia="en-IN"/>
          <w14:ligatures w14:val="none"/>
        </w:rPr>
        <w:t xml:space="preserve">., 2015). The present study adopts the social vulnerability framework to assess the susceptibility of livestock </w:t>
      </w:r>
      <w:proofErr w:type="spellStart"/>
      <w:r w:rsidRPr="0044372A">
        <w:rPr>
          <w:rFonts w:ascii="Times New Roman" w:eastAsia="Times New Roman" w:hAnsi="Times New Roman" w:cs="Times New Roman"/>
          <w:kern w:val="0"/>
          <w:sz w:val="24"/>
          <w:szCs w:val="24"/>
          <w:lang w:eastAsia="en-IN"/>
          <w14:ligatures w14:val="none"/>
        </w:rPr>
        <w:t>rearers</w:t>
      </w:r>
      <w:proofErr w:type="spellEnd"/>
      <w:r w:rsidRPr="0044372A">
        <w:rPr>
          <w:rFonts w:ascii="Times New Roman" w:eastAsia="Times New Roman" w:hAnsi="Times New Roman" w:cs="Times New Roman"/>
          <w:kern w:val="0"/>
          <w:sz w:val="24"/>
          <w:szCs w:val="24"/>
          <w:lang w:eastAsia="en-IN"/>
          <w14:ligatures w14:val="none"/>
        </w:rPr>
        <w:t>.</w:t>
      </w:r>
    </w:p>
    <w:p w14:paraId="5FAF0870" w14:textId="329622CA" w:rsidR="006974A7" w:rsidRPr="00F20E98" w:rsidRDefault="006974A7" w:rsidP="00F20E98">
      <w:pPr>
        <w:spacing w:line="480" w:lineRule="auto"/>
        <w:jc w:val="both"/>
        <w:rPr>
          <w:rFonts w:ascii="Times New Roman" w:eastAsia="Times New Roman" w:hAnsi="Times New Roman" w:cs="Times New Roman"/>
          <w:b/>
          <w:bCs/>
          <w:kern w:val="0"/>
          <w:sz w:val="24"/>
          <w:szCs w:val="24"/>
          <w:lang w:val="en-US" w:eastAsia="en-IN"/>
          <w14:ligatures w14:val="none"/>
        </w:rPr>
      </w:pPr>
      <w:r w:rsidRPr="00F20E98">
        <w:rPr>
          <w:rFonts w:ascii="Times New Roman" w:eastAsia="Times New Roman" w:hAnsi="Times New Roman" w:cs="Times New Roman"/>
          <w:b/>
          <w:bCs/>
          <w:kern w:val="0"/>
          <w:sz w:val="24"/>
          <w:szCs w:val="24"/>
          <w:lang w:eastAsia="en-IN"/>
          <w14:ligatures w14:val="none"/>
        </w:rPr>
        <w:t xml:space="preserve">Construction of </w:t>
      </w:r>
      <w:r w:rsidRPr="00F20E98">
        <w:rPr>
          <w:rFonts w:ascii="Times New Roman" w:eastAsia="Times New Roman" w:hAnsi="Times New Roman" w:cs="Times New Roman"/>
          <w:b/>
          <w:bCs/>
          <w:kern w:val="0"/>
          <w:sz w:val="24"/>
          <w:szCs w:val="24"/>
          <w:lang w:val="en-US" w:eastAsia="en-IN"/>
          <w14:ligatures w14:val="none"/>
        </w:rPr>
        <w:t>Composite Livelihood Vulnerability to Flood Index’ (CLVFI)</w:t>
      </w:r>
    </w:p>
    <w:p w14:paraId="58E3A20E" w14:textId="62B2915B" w:rsidR="006974A7" w:rsidRPr="00F20E98" w:rsidRDefault="006974A7" w:rsidP="00F20E98">
      <w:pPr>
        <w:spacing w:line="480" w:lineRule="auto"/>
        <w:jc w:val="both"/>
        <w:rPr>
          <w:rFonts w:ascii="Times New Roman" w:eastAsia="Times New Roman" w:hAnsi="Times New Roman" w:cs="Times New Roman"/>
          <w:b/>
          <w:bCs/>
          <w:kern w:val="0"/>
          <w:sz w:val="24"/>
          <w:szCs w:val="24"/>
          <w:lang w:eastAsia="en-IN"/>
          <w14:ligatures w14:val="none"/>
        </w:rPr>
      </w:pPr>
      <w:proofErr w:type="spellStart"/>
      <w:r w:rsidRPr="00F20E98">
        <w:rPr>
          <w:rFonts w:ascii="Times New Roman" w:eastAsia="Times New Roman" w:hAnsi="Times New Roman" w:cs="Times New Roman"/>
          <w:b/>
          <w:bCs/>
          <w:kern w:val="0"/>
          <w:sz w:val="24"/>
          <w:szCs w:val="24"/>
          <w:lang w:eastAsia="en-IN"/>
          <w14:ligatures w14:val="none"/>
        </w:rPr>
        <w:t>i</w:t>
      </w:r>
      <w:proofErr w:type="spellEnd"/>
      <w:r w:rsidRPr="00F20E98">
        <w:rPr>
          <w:rFonts w:ascii="Times New Roman" w:eastAsia="Times New Roman" w:hAnsi="Times New Roman" w:cs="Times New Roman"/>
          <w:b/>
          <w:bCs/>
          <w:kern w:val="0"/>
          <w:sz w:val="24"/>
          <w:szCs w:val="24"/>
          <w:lang w:eastAsia="en-IN"/>
          <w14:ligatures w14:val="none"/>
        </w:rPr>
        <w:t>)</w:t>
      </w:r>
      <w:r w:rsidR="009F1788" w:rsidRPr="00F20E98">
        <w:rPr>
          <w:rFonts w:ascii="Times New Roman" w:eastAsia="Times New Roman" w:hAnsi="Times New Roman" w:cs="Times New Roman"/>
          <w:b/>
          <w:bCs/>
          <w:kern w:val="0"/>
          <w:sz w:val="24"/>
          <w:szCs w:val="24"/>
          <w:lang w:eastAsia="en-IN"/>
          <w14:ligatures w14:val="none"/>
        </w:rPr>
        <w:t xml:space="preserve"> </w:t>
      </w:r>
      <w:r w:rsidRPr="00F20E98">
        <w:rPr>
          <w:rFonts w:ascii="Times New Roman" w:eastAsia="Times New Roman" w:hAnsi="Times New Roman" w:cs="Times New Roman"/>
          <w:b/>
          <w:bCs/>
          <w:kern w:val="0"/>
          <w:sz w:val="24"/>
          <w:szCs w:val="24"/>
          <w:lang w:eastAsia="en-IN"/>
          <w14:ligatures w14:val="none"/>
        </w:rPr>
        <w:t>Collection of the vulnerability indicators</w:t>
      </w:r>
    </w:p>
    <w:p w14:paraId="2FCCC61C" w14:textId="77777777" w:rsidR="006974A7" w:rsidRPr="00996689" w:rsidRDefault="006974A7" w:rsidP="00F20E98">
      <w:pPr>
        <w:spacing w:line="480" w:lineRule="auto"/>
        <w:jc w:val="both"/>
        <w:rPr>
          <w:rFonts w:ascii="Times New Roman" w:eastAsia="Times New Roman" w:hAnsi="Times New Roman" w:cs="Times New Roman"/>
          <w:b/>
          <w:bCs/>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t>Exposure</w:t>
      </w:r>
    </w:p>
    <w:p w14:paraId="7744715F" w14:textId="6FA9DE49" w:rsidR="00410523" w:rsidRPr="00996689" w:rsidRDefault="00410523" w:rsidP="00F20E98">
      <w:pPr>
        <w:spacing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Exposure indicators play a vital role in assessing the nature, frequency, and severity of hazardous threats affecting vulnerable elements (Messner and Meyer, 2006). In this study, historical trends including variations in rainfall patterns and experiences with extreme flood events were employed as primary indicators of exposure. A detailed account of the specific household-level exposure indicators used in the analysis is presented in Table 1.</w:t>
      </w:r>
    </w:p>
    <w:p w14:paraId="76AEA839" w14:textId="25A2F2AC" w:rsidR="001F14B8" w:rsidRPr="00996689" w:rsidRDefault="001F14B8" w:rsidP="00F20E98">
      <w:pPr>
        <w:spacing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t>Table 1: Indicators to measure exposure at household level (Refer Annexure-I for definition and details of each indicator)</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37" w:type="dxa"/>
          <w:right w:w="48" w:type="dxa"/>
        </w:tblCellMar>
        <w:tblLook w:val="04A0" w:firstRow="1" w:lastRow="0" w:firstColumn="1" w:lastColumn="0" w:noHBand="0" w:noVBand="1"/>
      </w:tblPr>
      <w:tblGrid>
        <w:gridCol w:w="1316"/>
        <w:gridCol w:w="7469"/>
      </w:tblGrid>
      <w:tr w:rsidR="001F14B8" w:rsidRPr="00996689" w14:paraId="2459E456" w14:textId="77777777" w:rsidTr="001F14B8">
        <w:trPr>
          <w:trHeight w:val="458"/>
        </w:trPr>
        <w:tc>
          <w:tcPr>
            <w:tcW w:w="749" w:type="pct"/>
          </w:tcPr>
          <w:p w14:paraId="25788413" w14:textId="77777777" w:rsidR="001F14B8" w:rsidRPr="00996689" w:rsidRDefault="001F14B8" w:rsidP="00F20E98">
            <w:pPr>
              <w:spacing w:after="0" w:line="480" w:lineRule="auto"/>
              <w:jc w:val="both"/>
              <w:rPr>
                <w:rFonts w:ascii="Times New Roman" w:eastAsia="Times New Roman" w:hAnsi="Times New Roman" w:cs="Times New Roman"/>
                <w:b/>
                <w:bCs/>
                <w:kern w:val="0"/>
                <w:sz w:val="24"/>
                <w:szCs w:val="24"/>
                <w:lang w:eastAsia="en-IN"/>
                <w14:ligatures w14:val="none"/>
              </w:rPr>
            </w:pPr>
            <w:r w:rsidRPr="00996689">
              <w:rPr>
                <w:rFonts w:ascii="Times New Roman" w:eastAsia="Times New Roman" w:hAnsi="Times New Roman" w:cs="Times New Roman"/>
                <w:b/>
                <w:kern w:val="0"/>
                <w:sz w:val="24"/>
                <w:szCs w:val="24"/>
                <w:lang w:eastAsia="en-IN"/>
                <w14:ligatures w14:val="none"/>
              </w:rPr>
              <w:t>Sl. No.</w:t>
            </w:r>
          </w:p>
        </w:tc>
        <w:tc>
          <w:tcPr>
            <w:tcW w:w="4251" w:type="pct"/>
            <w:vAlign w:val="center"/>
          </w:tcPr>
          <w:p w14:paraId="1B6FA000"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t>Indicators of Exposure</w:t>
            </w:r>
          </w:p>
        </w:tc>
      </w:tr>
      <w:tr w:rsidR="001F14B8" w:rsidRPr="00996689" w14:paraId="24C62A9B" w14:textId="77777777" w:rsidTr="001F14B8">
        <w:trPr>
          <w:trHeight w:val="20"/>
        </w:trPr>
        <w:tc>
          <w:tcPr>
            <w:tcW w:w="749" w:type="pct"/>
          </w:tcPr>
          <w:p w14:paraId="279983E5"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a.</w:t>
            </w:r>
          </w:p>
        </w:tc>
        <w:tc>
          <w:tcPr>
            <w:tcW w:w="4251" w:type="pct"/>
            <w:vAlign w:val="center"/>
          </w:tcPr>
          <w:p w14:paraId="4765BB10"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Frequency of Flood </w:t>
            </w:r>
          </w:p>
        </w:tc>
      </w:tr>
      <w:tr w:rsidR="001F14B8" w:rsidRPr="00996689" w14:paraId="780AB1E9" w14:textId="77777777" w:rsidTr="001F14B8">
        <w:trPr>
          <w:trHeight w:val="20"/>
        </w:trPr>
        <w:tc>
          <w:tcPr>
            <w:tcW w:w="749" w:type="pct"/>
          </w:tcPr>
          <w:p w14:paraId="615D5552"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b.</w:t>
            </w:r>
          </w:p>
        </w:tc>
        <w:tc>
          <w:tcPr>
            <w:tcW w:w="4251" w:type="pct"/>
            <w:vAlign w:val="center"/>
          </w:tcPr>
          <w:p w14:paraId="549F22E6"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Duration of flood</w:t>
            </w:r>
          </w:p>
        </w:tc>
      </w:tr>
      <w:tr w:rsidR="001F14B8" w:rsidRPr="00996689" w14:paraId="237A9E16" w14:textId="77777777" w:rsidTr="001F14B8">
        <w:trPr>
          <w:trHeight w:val="20"/>
        </w:trPr>
        <w:tc>
          <w:tcPr>
            <w:tcW w:w="749" w:type="pct"/>
          </w:tcPr>
          <w:p w14:paraId="4D58281D"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c.</w:t>
            </w:r>
          </w:p>
        </w:tc>
        <w:tc>
          <w:tcPr>
            <w:tcW w:w="4251" w:type="pct"/>
            <w:vAlign w:val="center"/>
          </w:tcPr>
          <w:p w14:paraId="4A07ACBD"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Proximity of household to river(km) </w:t>
            </w:r>
          </w:p>
        </w:tc>
      </w:tr>
      <w:tr w:rsidR="001F14B8" w:rsidRPr="00996689" w14:paraId="7246F9EA" w14:textId="77777777" w:rsidTr="001F14B8">
        <w:trPr>
          <w:trHeight w:val="20"/>
        </w:trPr>
        <w:tc>
          <w:tcPr>
            <w:tcW w:w="749" w:type="pct"/>
          </w:tcPr>
          <w:p w14:paraId="320F7A26"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d.</w:t>
            </w:r>
          </w:p>
        </w:tc>
        <w:tc>
          <w:tcPr>
            <w:tcW w:w="4251" w:type="pct"/>
            <w:vAlign w:val="center"/>
          </w:tcPr>
          <w:p w14:paraId="16CDDA93"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Incidence of Very Heavy Rainfall </w:t>
            </w:r>
          </w:p>
        </w:tc>
      </w:tr>
    </w:tbl>
    <w:p w14:paraId="71185D26" w14:textId="77777777" w:rsidR="006974A7" w:rsidRDefault="006974A7" w:rsidP="00F20E98">
      <w:pPr>
        <w:spacing w:line="480" w:lineRule="auto"/>
        <w:jc w:val="both"/>
        <w:rPr>
          <w:rFonts w:ascii="Times New Roman" w:eastAsia="Times New Roman" w:hAnsi="Times New Roman" w:cs="Times New Roman"/>
          <w:b/>
          <w:bCs/>
          <w:kern w:val="0"/>
          <w:sz w:val="24"/>
          <w:szCs w:val="24"/>
          <w:lang w:eastAsia="en-IN"/>
          <w14:ligatures w14:val="none"/>
        </w:rPr>
      </w:pPr>
    </w:p>
    <w:p w14:paraId="40869A58" w14:textId="77777777" w:rsidR="00482ED0" w:rsidRDefault="00482ED0" w:rsidP="00F20E98">
      <w:pPr>
        <w:spacing w:line="480" w:lineRule="auto"/>
        <w:jc w:val="both"/>
        <w:rPr>
          <w:rFonts w:ascii="Times New Roman" w:eastAsia="Times New Roman" w:hAnsi="Times New Roman" w:cs="Times New Roman"/>
          <w:b/>
          <w:bCs/>
          <w:kern w:val="0"/>
          <w:sz w:val="24"/>
          <w:szCs w:val="24"/>
          <w:lang w:eastAsia="en-IN"/>
          <w14:ligatures w14:val="none"/>
        </w:rPr>
      </w:pPr>
    </w:p>
    <w:p w14:paraId="41C7F551" w14:textId="77777777" w:rsidR="00482ED0" w:rsidRPr="00996689" w:rsidRDefault="00482ED0" w:rsidP="00F20E98">
      <w:pPr>
        <w:spacing w:line="480" w:lineRule="auto"/>
        <w:jc w:val="both"/>
        <w:rPr>
          <w:rFonts w:ascii="Times New Roman" w:eastAsia="Times New Roman" w:hAnsi="Times New Roman" w:cs="Times New Roman"/>
          <w:b/>
          <w:bCs/>
          <w:kern w:val="0"/>
          <w:sz w:val="24"/>
          <w:szCs w:val="24"/>
          <w:lang w:eastAsia="en-IN"/>
          <w14:ligatures w14:val="none"/>
        </w:rPr>
      </w:pPr>
    </w:p>
    <w:p w14:paraId="4EBA63DB" w14:textId="77777777" w:rsidR="006974A7" w:rsidRPr="00996689" w:rsidRDefault="006974A7" w:rsidP="00F20E98">
      <w:pPr>
        <w:spacing w:line="480" w:lineRule="auto"/>
        <w:jc w:val="both"/>
        <w:rPr>
          <w:rFonts w:ascii="Times New Roman" w:eastAsia="Times New Roman" w:hAnsi="Times New Roman" w:cs="Times New Roman"/>
          <w:b/>
          <w:bCs/>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lastRenderedPageBreak/>
        <w:t>Sensitivity</w:t>
      </w:r>
    </w:p>
    <w:p w14:paraId="5608DAED" w14:textId="77777777" w:rsidR="00482ED0" w:rsidRDefault="00D033AF" w:rsidP="00F20E98">
      <w:pPr>
        <w:spacing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Ideally, 'sensitivity' is best assessed through observable changes in income or livelihood that are directly attributable to climatic factors. However, such specific data were unavailable for this study. Therefore, following the approach of Deressa et al. (2008) and Maiti et al. (2014), we adopted the assumption that regions experiencing a higher frequency of climate extremes are likely to exhibit greater sensitivity, as reflected in yield losses and livelihood disruptions among rural populations. This assumption guided the present analysis. A total of five indicators were used to assess the degree of household sensitivity in the study area, as outlined in Table 2.</w:t>
      </w:r>
    </w:p>
    <w:p w14:paraId="08958AF9" w14:textId="3AF7F899" w:rsidR="006974A7" w:rsidRPr="00482ED0" w:rsidRDefault="006974A7" w:rsidP="00F20E98">
      <w:pPr>
        <w:spacing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t xml:space="preserve">Table </w:t>
      </w:r>
      <w:r w:rsidR="001F14B8" w:rsidRPr="00996689">
        <w:rPr>
          <w:rFonts w:ascii="Times New Roman" w:eastAsia="Times New Roman" w:hAnsi="Times New Roman" w:cs="Times New Roman"/>
          <w:b/>
          <w:bCs/>
          <w:kern w:val="0"/>
          <w:sz w:val="24"/>
          <w:szCs w:val="24"/>
          <w:lang w:eastAsia="en-IN"/>
          <w14:ligatures w14:val="none"/>
        </w:rPr>
        <w:t>2</w:t>
      </w:r>
      <w:r w:rsidRPr="00996689">
        <w:rPr>
          <w:rFonts w:ascii="Times New Roman" w:eastAsia="Times New Roman" w:hAnsi="Times New Roman" w:cs="Times New Roman"/>
          <w:b/>
          <w:bCs/>
          <w:kern w:val="0"/>
          <w:sz w:val="24"/>
          <w:szCs w:val="24"/>
          <w:lang w:eastAsia="en-IN"/>
          <w14:ligatures w14:val="none"/>
        </w:rPr>
        <w:t xml:space="preserve">: Indicators of </w:t>
      </w:r>
      <w:r w:rsidRPr="00996689">
        <w:rPr>
          <w:rFonts w:ascii="Times New Roman" w:eastAsia="Times New Roman" w:hAnsi="Times New Roman" w:cs="Times New Roman"/>
          <w:b/>
          <w:bCs/>
          <w:kern w:val="0"/>
          <w:sz w:val="24"/>
          <w:szCs w:val="24"/>
          <w:lang w:val="en-US" w:eastAsia="en-IN"/>
          <w14:ligatures w14:val="none"/>
        </w:rPr>
        <w:t>sensitivity</w:t>
      </w:r>
    </w:p>
    <w:tbl>
      <w:tblPr>
        <w:tblW w:w="8592" w:type="dxa"/>
        <w:tblInd w:w="8" w:type="dxa"/>
        <w:tblCellMar>
          <w:left w:w="115" w:type="dxa"/>
          <w:right w:w="115" w:type="dxa"/>
        </w:tblCellMar>
        <w:tblLook w:val="04A0" w:firstRow="1" w:lastRow="0" w:firstColumn="1" w:lastColumn="0" w:noHBand="0" w:noVBand="1"/>
      </w:tblPr>
      <w:tblGrid>
        <w:gridCol w:w="946"/>
        <w:gridCol w:w="7646"/>
      </w:tblGrid>
      <w:tr w:rsidR="006974A7" w:rsidRPr="00996689" w14:paraId="79843A80" w14:textId="77777777" w:rsidTr="00E116D0">
        <w:trPr>
          <w:trHeight w:val="247"/>
        </w:trPr>
        <w:tc>
          <w:tcPr>
            <w:tcW w:w="946" w:type="dxa"/>
            <w:tcBorders>
              <w:top w:val="single" w:sz="6" w:space="0" w:color="000000"/>
              <w:left w:val="single" w:sz="6" w:space="0" w:color="000000"/>
              <w:bottom w:val="single" w:sz="6" w:space="0" w:color="000000"/>
              <w:right w:val="single" w:sz="6" w:space="0" w:color="000000"/>
            </w:tcBorders>
          </w:tcPr>
          <w:p w14:paraId="6C0137C3"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kern w:val="0"/>
                <w:sz w:val="24"/>
                <w:szCs w:val="24"/>
                <w:lang w:eastAsia="en-IN"/>
                <w14:ligatures w14:val="none"/>
              </w:rPr>
              <w:t>Sl. No.</w:t>
            </w:r>
            <w:r w:rsidRPr="00996689">
              <w:rPr>
                <w:rFonts w:ascii="Times New Roman" w:eastAsia="Times New Roman" w:hAnsi="Times New Roman" w:cs="Times New Roman"/>
                <w:kern w:val="0"/>
                <w:sz w:val="24"/>
                <w:szCs w:val="24"/>
                <w:lang w:eastAsia="en-IN"/>
                <w14:ligatures w14:val="none"/>
              </w:rPr>
              <w:t xml:space="preserve"> </w:t>
            </w:r>
          </w:p>
        </w:tc>
        <w:tc>
          <w:tcPr>
            <w:tcW w:w="7646" w:type="dxa"/>
            <w:tcBorders>
              <w:top w:val="single" w:sz="6" w:space="0" w:color="000000"/>
              <w:left w:val="single" w:sz="6" w:space="0" w:color="000000"/>
              <w:bottom w:val="single" w:sz="6" w:space="0" w:color="000000"/>
              <w:right w:val="single" w:sz="6" w:space="0" w:color="000000"/>
            </w:tcBorders>
          </w:tcPr>
          <w:p w14:paraId="05C534B8"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kern w:val="0"/>
                <w:sz w:val="24"/>
                <w:szCs w:val="24"/>
                <w:lang w:eastAsia="en-IN"/>
                <w14:ligatures w14:val="none"/>
              </w:rPr>
              <w:t>Indicators of sensitivity</w:t>
            </w:r>
            <w:r w:rsidRPr="00996689">
              <w:rPr>
                <w:rFonts w:ascii="Times New Roman" w:eastAsia="Times New Roman" w:hAnsi="Times New Roman" w:cs="Times New Roman"/>
                <w:kern w:val="0"/>
                <w:sz w:val="24"/>
                <w:szCs w:val="24"/>
                <w:lang w:eastAsia="en-IN"/>
                <w14:ligatures w14:val="none"/>
              </w:rPr>
              <w:t xml:space="preserve"> </w:t>
            </w:r>
          </w:p>
        </w:tc>
      </w:tr>
      <w:tr w:rsidR="006974A7" w:rsidRPr="00996689" w14:paraId="78D18ABD" w14:textId="77777777" w:rsidTr="00E116D0">
        <w:trPr>
          <w:trHeight w:val="365"/>
        </w:trPr>
        <w:tc>
          <w:tcPr>
            <w:tcW w:w="946" w:type="dxa"/>
            <w:tcBorders>
              <w:top w:val="single" w:sz="6" w:space="0" w:color="000000"/>
              <w:left w:val="single" w:sz="6" w:space="0" w:color="000000"/>
              <w:bottom w:val="single" w:sz="6" w:space="0" w:color="000000"/>
              <w:right w:val="single" w:sz="6" w:space="0" w:color="000000"/>
            </w:tcBorders>
          </w:tcPr>
          <w:p w14:paraId="60C54186"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a.</w:t>
            </w:r>
          </w:p>
        </w:tc>
        <w:tc>
          <w:tcPr>
            <w:tcW w:w="7646" w:type="dxa"/>
            <w:tcBorders>
              <w:top w:val="single" w:sz="6" w:space="0" w:color="000000"/>
              <w:left w:val="single" w:sz="6" w:space="0" w:color="000000"/>
              <w:bottom w:val="single" w:sz="6" w:space="0" w:color="000000"/>
              <w:right w:val="single" w:sz="6" w:space="0" w:color="000000"/>
            </w:tcBorders>
          </w:tcPr>
          <w:p w14:paraId="0A6FA9CB"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Cropping Intensity</w:t>
            </w:r>
          </w:p>
        </w:tc>
      </w:tr>
      <w:tr w:rsidR="006974A7" w:rsidRPr="00996689" w14:paraId="277E7A3A" w14:textId="77777777" w:rsidTr="00E116D0">
        <w:trPr>
          <w:trHeight w:val="365"/>
        </w:trPr>
        <w:tc>
          <w:tcPr>
            <w:tcW w:w="946" w:type="dxa"/>
            <w:tcBorders>
              <w:top w:val="single" w:sz="6" w:space="0" w:color="000000"/>
              <w:left w:val="single" w:sz="6" w:space="0" w:color="000000"/>
              <w:bottom w:val="single" w:sz="6" w:space="0" w:color="000000"/>
              <w:right w:val="single" w:sz="6" w:space="0" w:color="000000"/>
            </w:tcBorders>
          </w:tcPr>
          <w:p w14:paraId="19C46521"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b.</w:t>
            </w:r>
          </w:p>
        </w:tc>
        <w:tc>
          <w:tcPr>
            <w:tcW w:w="7646" w:type="dxa"/>
            <w:tcBorders>
              <w:top w:val="single" w:sz="6" w:space="0" w:color="000000"/>
              <w:left w:val="single" w:sz="6" w:space="0" w:color="000000"/>
              <w:bottom w:val="single" w:sz="6" w:space="0" w:color="000000"/>
              <w:right w:val="single" w:sz="6" w:space="0" w:color="000000"/>
            </w:tcBorders>
          </w:tcPr>
          <w:p w14:paraId="1E686F31"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Proportion of income from livestock</w:t>
            </w:r>
          </w:p>
        </w:tc>
      </w:tr>
      <w:tr w:rsidR="006974A7" w:rsidRPr="00996689" w14:paraId="2C02669F" w14:textId="77777777" w:rsidTr="00E116D0">
        <w:trPr>
          <w:trHeight w:val="365"/>
        </w:trPr>
        <w:tc>
          <w:tcPr>
            <w:tcW w:w="946" w:type="dxa"/>
            <w:tcBorders>
              <w:top w:val="single" w:sz="6" w:space="0" w:color="000000"/>
              <w:left w:val="single" w:sz="6" w:space="0" w:color="000000"/>
              <w:bottom w:val="single" w:sz="6" w:space="0" w:color="000000"/>
              <w:right w:val="single" w:sz="6" w:space="0" w:color="000000"/>
            </w:tcBorders>
          </w:tcPr>
          <w:p w14:paraId="3A23CB3A"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c.</w:t>
            </w:r>
          </w:p>
        </w:tc>
        <w:tc>
          <w:tcPr>
            <w:tcW w:w="7646" w:type="dxa"/>
            <w:tcBorders>
              <w:top w:val="single" w:sz="6" w:space="0" w:color="000000"/>
              <w:left w:val="single" w:sz="6" w:space="0" w:color="000000"/>
              <w:bottom w:val="single" w:sz="6" w:space="0" w:color="000000"/>
              <w:right w:val="single" w:sz="6" w:space="0" w:color="000000"/>
            </w:tcBorders>
          </w:tcPr>
          <w:p w14:paraId="0A3846D7"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Proportion of income from agriculture</w:t>
            </w:r>
          </w:p>
        </w:tc>
      </w:tr>
      <w:tr w:rsidR="006974A7" w:rsidRPr="00996689" w14:paraId="17E2E6DF" w14:textId="77777777" w:rsidTr="00E116D0">
        <w:trPr>
          <w:trHeight w:val="365"/>
        </w:trPr>
        <w:tc>
          <w:tcPr>
            <w:tcW w:w="946" w:type="dxa"/>
            <w:tcBorders>
              <w:top w:val="single" w:sz="6" w:space="0" w:color="000000"/>
              <w:left w:val="single" w:sz="6" w:space="0" w:color="000000"/>
              <w:bottom w:val="single" w:sz="6" w:space="0" w:color="000000"/>
              <w:right w:val="single" w:sz="6" w:space="0" w:color="000000"/>
            </w:tcBorders>
          </w:tcPr>
          <w:p w14:paraId="7327A44C"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d.</w:t>
            </w:r>
          </w:p>
        </w:tc>
        <w:tc>
          <w:tcPr>
            <w:tcW w:w="7646" w:type="dxa"/>
            <w:tcBorders>
              <w:top w:val="single" w:sz="6" w:space="0" w:color="000000"/>
              <w:left w:val="single" w:sz="6" w:space="0" w:color="000000"/>
              <w:bottom w:val="single" w:sz="6" w:space="0" w:color="000000"/>
              <w:right w:val="single" w:sz="6" w:space="0" w:color="000000"/>
            </w:tcBorders>
          </w:tcPr>
          <w:p w14:paraId="52D6DCD6"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Average lactation length</w:t>
            </w:r>
          </w:p>
        </w:tc>
      </w:tr>
      <w:tr w:rsidR="006974A7" w:rsidRPr="00996689" w14:paraId="52A6C2F3" w14:textId="77777777" w:rsidTr="00E116D0">
        <w:trPr>
          <w:trHeight w:val="365"/>
        </w:trPr>
        <w:tc>
          <w:tcPr>
            <w:tcW w:w="946" w:type="dxa"/>
            <w:tcBorders>
              <w:top w:val="single" w:sz="6" w:space="0" w:color="000000"/>
              <w:left w:val="single" w:sz="6" w:space="0" w:color="000000"/>
              <w:bottom w:val="single" w:sz="6" w:space="0" w:color="000000"/>
              <w:right w:val="single" w:sz="6" w:space="0" w:color="000000"/>
            </w:tcBorders>
          </w:tcPr>
          <w:p w14:paraId="76BFA66A"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e.</w:t>
            </w:r>
          </w:p>
        </w:tc>
        <w:tc>
          <w:tcPr>
            <w:tcW w:w="7646" w:type="dxa"/>
            <w:tcBorders>
              <w:top w:val="single" w:sz="6" w:space="0" w:color="000000"/>
              <w:left w:val="single" w:sz="6" w:space="0" w:color="000000"/>
              <w:bottom w:val="single" w:sz="6" w:space="0" w:color="000000"/>
              <w:right w:val="single" w:sz="6" w:space="0" w:color="000000"/>
            </w:tcBorders>
          </w:tcPr>
          <w:p w14:paraId="3160338F" w14:textId="3D4A50D0"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Average daily milk productivity of livestock (</w:t>
            </w:r>
            <w:r w:rsidR="005475B8" w:rsidRPr="00996689">
              <w:rPr>
                <w:rFonts w:ascii="Times New Roman" w:eastAsia="Times New Roman" w:hAnsi="Times New Roman" w:cs="Times New Roman"/>
                <w:kern w:val="0"/>
                <w:sz w:val="24"/>
                <w:szCs w:val="24"/>
                <w:lang w:eastAsia="en-IN"/>
                <w14:ligatures w14:val="none"/>
              </w:rPr>
              <w:t>kg)</w:t>
            </w:r>
          </w:p>
        </w:tc>
      </w:tr>
    </w:tbl>
    <w:p w14:paraId="6291C17D" w14:textId="3D8C258D" w:rsidR="006974A7" w:rsidRPr="00996689" w:rsidRDefault="006974A7" w:rsidP="002E1EE5">
      <w:pPr>
        <w:spacing w:before="240" w:line="480" w:lineRule="auto"/>
        <w:jc w:val="both"/>
        <w:rPr>
          <w:rFonts w:ascii="Times New Roman" w:eastAsia="Times New Roman" w:hAnsi="Times New Roman" w:cs="Times New Roman"/>
          <w:b/>
          <w:bCs/>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t>Adaptive capacity</w:t>
      </w:r>
    </w:p>
    <w:p w14:paraId="16EDCCE7" w14:textId="77777777" w:rsidR="00410523" w:rsidRDefault="006974A7" w:rsidP="00F20E98">
      <w:pPr>
        <w:spacing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ab/>
      </w:r>
      <w:r w:rsidR="00410523" w:rsidRPr="00996689">
        <w:rPr>
          <w:rFonts w:ascii="Times New Roman" w:eastAsia="Times New Roman" w:hAnsi="Times New Roman" w:cs="Times New Roman"/>
          <w:kern w:val="0"/>
          <w:sz w:val="24"/>
          <w:szCs w:val="24"/>
          <w:lang w:eastAsia="en-IN"/>
          <w14:ligatures w14:val="none"/>
        </w:rPr>
        <w:t>Adaptive capacity in this study was conceptualized as the composite effect of five forms of livelihood capital: human, social, physical, natural, and economic capital. To assess adaptive capacity at the household level, a total of 21 indicators were identified, based on a review of relevant literature and inputs from expert consultations. The specific indicators used in the analysis are presented in Table 3.</w:t>
      </w:r>
    </w:p>
    <w:p w14:paraId="64D1E33B" w14:textId="77777777" w:rsidR="00482ED0" w:rsidRPr="00996689" w:rsidRDefault="00482ED0" w:rsidP="00F20E98">
      <w:pPr>
        <w:spacing w:line="480" w:lineRule="auto"/>
        <w:jc w:val="both"/>
        <w:rPr>
          <w:rFonts w:ascii="Times New Roman" w:eastAsia="Times New Roman" w:hAnsi="Times New Roman" w:cs="Times New Roman"/>
          <w:kern w:val="0"/>
          <w:sz w:val="24"/>
          <w:szCs w:val="24"/>
          <w:lang w:eastAsia="en-IN"/>
          <w14:ligatures w14:val="none"/>
        </w:rPr>
      </w:pPr>
    </w:p>
    <w:p w14:paraId="24619583" w14:textId="0A667045" w:rsidR="006974A7" w:rsidRPr="00996689" w:rsidRDefault="006974A7" w:rsidP="00F20E98">
      <w:pPr>
        <w:spacing w:line="480" w:lineRule="auto"/>
        <w:jc w:val="both"/>
        <w:rPr>
          <w:rFonts w:ascii="Times New Roman" w:eastAsia="Times New Roman" w:hAnsi="Times New Roman" w:cs="Times New Roman"/>
          <w:b/>
          <w:kern w:val="0"/>
          <w:sz w:val="24"/>
          <w:szCs w:val="24"/>
          <w:lang w:eastAsia="en-IN"/>
          <w14:ligatures w14:val="none"/>
        </w:rPr>
      </w:pPr>
      <w:r w:rsidRPr="00996689">
        <w:rPr>
          <w:rFonts w:ascii="Times New Roman" w:eastAsia="Times New Roman" w:hAnsi="Times New Roman" w:cs="Times New Roman"/>
          <w:b/>
          <w:kern w:val="0"/>
          <w:sz w:val="24"/>
          <w:szCs w:val="24"/>
          <w:lang w:eastAsia="en-IN"/>
          <w14:ligatures w14:val="none"/>
        </w:rPr>
        <w:lastRenderedPageBreak/>
        <w:t>Table 3: Indicators for adaptive capacity</w:t>
      </w:r>
    </w:p>
    <w:tbl>
      <w:tblPr>
        <w:tblW w:w="5000" w:type="pct"/>
        <w:tblCellMar>
          <w:left w:w="7" w:type="dxa"/>
        </w:tblCellMar>
        <w:tblLook w:val="04A0" w:firstRow="1" w:lastRow="0" w:firstColumn="1" w:lastColumn="0" w:noHBand="0" w:noVBand="1"/>
      </w:tblPr>
      <w:tblGrid>
        <w:gridCol w:w="3961"/>
        <w:gridCol w:w="5049"/>
      </w:tblGrid>
      <w:tr w:rsidR="006974A7" w:rsidRPr="00996689" w14:paraId="09D472CC" w14:textId="77777777" w:rsidTr="00E116D0">
        <w:trPr>
          <w:trHeight w:val="323"/>
        </w:trPr>
        <w:tc>
          <w:tcPr>
            <w:tcW w:w="5000" w:type="pct"/>
            <w:gridSpan w:val="2"/>
            <w:tcBorders>
              <w:top w:val="single" w:sz="6" w:space="0" w:color="000000"/>
              <w:left w:val="single" w:sz="6" w:space="0" w:color="000000"/>
              <w:bottom w:val="single" w:sz="6" w:space="0" w:color="000000"/>
              <w:right w:val="single" w:sz="6" w:space="0" w:color="000000"/>
            </w:tcBorders>
          </w:tcPr>
          <w:p w14:paraId="4EB17B4F" w14:textId="77777777" w:rsidR="006974A7" w:rsidRPr="00996689" w:rsidRDefault="006974A7"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kern w:val="0"/>
                <w:sz w:val="24"/>
                <w:szCs w:val="24"/>
                <w:lang w:eastAsia="en-IN"/>
                <w14:ligatures w14:val="none"/>
              </w:rPr>
              <w:t xml:space="preserve"> Human capital</w:t>
            </w:r>
            <w:r w:rsidRPr="00996689">
              <w:rPr>
                <w:rFonts w:ascii="Times New Roman" w:eastAsia="Times New Roman" w:hAnsi="Times New Roman" w:cs="Times New Roman"/>
                <w:kern w:val="0"/>
                <w:sz w:val="24"/>
                <w:szCs w:val="24"/>
                <w:lang w:eastAsia="en-IN"/>
                <w14:ligatures w14:val="none"/>
              </w:rPr>
              <w:t xml:space="preserve"> </w:t>
            </w:r>
          </w:p>
        </w:tc>
      </w:tr>
      <w:tr w:rsidR="001F14B8" w:rsidRPr="00996689" w14:paraId="78516D67" w14:textId="77777777" w:rsidTr="001F14B8">
        <w:trPr>
          <w:trHeight w:val="318"/>
        </w:trPr>
        <w:tc>
          <w:tcPr>
            <w:tcW w:w="2198" w:type="pct"/>
            <w:tcBorders>
              <w:top w:val="single" w:sz="6" w:space="0" w:color="000000"/>
              <w:left w:val="single" w:sz="6" w:space="0" w:color="000000"/>
              <w:bottom w:val="single" w:sz="6" w:space="0" w:color="000000"/>
              <w:right w:val="single" w:sz="6" w:space="0" w:color="000000"/>
            </w:tcBorders>
          </w:tcPr>
          <w:p w14:paraId="242B341E" w14:textId="225B62E7"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1. Age of the household head                  </w:t>
            </w:r>
          </w:p>
        </w:tc>
        <w:tc>
          <w:tcPr>
            <w:tcW w:w="2802" w:type="pct"/>
            <w:tcBorders>
              <w:top w:val="single" w:sz="6" w:space="0" w:color="000000"/>
              <w:left w:val="single" w:sz="6" w:space="0" w:color="000000"/>
              <w:bottom w:val="single" w:sz="6" w:space="0" w:color="000000"/>
              <w:right w:val="single" w:sz="6" w:space="0" w:color="000000"/>
            </w:tcBorders>
          </w:tcPr>
          <w:p w14:paraId="06C2C021" w14:textId="4A8C3C71"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2. Average age of the adult family members</w:t>
            </w:r>
          </w:p>
        </w:tc>
      </w:tr>
      <w:tr w:rsidR="001F14B8" w:rsidRPr="00996689" w14:paraId="59B7646B" w14:textId="77777777" w:rsidTr="001F14B8">
        <w:trPr>
          <w:trHeight w:val="320"/>
        </w:trPr>
        <w:tc>
          <w:tcPr>
            <w:tcW w:w="2198" w:type="pct"/>
            <w:tcBorders>
              <w:top w:val="single" w:sz="6" w:space="0" w:color="000000"/>
              <w:left w:val="single" w:sz="6" w:space="0" w:color="000000"/>
              <w:bottom w:val="single" w:sz="6" w:space="0" w:color="000000"/>
              <w:right w:val="single" w:sz="6" w:space="0" w:color="000000"/>
            </w:tcBorders>
          </w:tcPr>
          <w:p w14:paraId="3A286804" w14:textId="10CE0EF8"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3. Family education status                        </w:t>
            </w:r>
          </w:p>
        </w:tc>
        <w:tc>
          <w:tcPr>
            <w:tcW w:w="2802" w:type="pct"/>
            <w:tcBorders>
              <w:top w:val="single" w:sz="6" w:space="0" w:color="000000"/>
              <w:left w:val="single" w:sz="6" w:space="0" w:color="000000"/>
              <w:bottom w:val="single" w:sz="6" w:space="0" w:color="000000"/>
              <w:right w:val="single" w:sz="6" w:space="0" w:color="000000"/>
            </w:tcBorders>
          </w:tcPr>
          <w:p w14:paraId="1596EAB8" w14:textId="5AAD8F7E"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4. Sex ratio in the family</w:t>
            </w:r>
          </w:p>
        </w:tc>
      </w:tr>
      <w:tr w:rsidR="006974A7" w:rsidRPr="00996689" w14:paraId="2F73FC42" w14:textId="77777777" w:rsidTr="00E116D0">
        <w:trPr>
          <w:trHeight w:val="320"/>
        </w:trPr>
        <w:tc>
          <w:tcPr>
            <w:tcW w:w="5000" w:type="pct"/>
            <w:gridSpan w:val="2"/>
            <w:tcBorders>
              <w:top w:val="single" w:sz="6" w:space="0" w:color="000000"/>
              <w:left w:val="single" w:sz="6" w:space="0" w:color="000000"/>
              <w:bottom w:val="single" w:sz="6" w:space="0" w:color="000000"/>
              <w:right w:val="single" w:sz="6" w:space="0" w:color="000000"/>
            </w:tcBorders>
          </w:tcPr>
          <w:p w14:paraId="6B9432F6" w14:textId="77777777" w:rsidR="006974A7" w:rsidRPr="00996689" w:rsidRDefault="006974A7"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kern w:val="0"/>
                <w:sz w:val="24"/>
                <w:szCs w:val="24"/>
                <w:lang w:val="en-US" w:eastAsia="en-IN"/>
                <w14:ligatures w14:val="none"/>
              </w:rPr>
              <w:t xml:space="preserve"> Social capital</w:t>
            </w:r>
          </w:p>
        </w:tc>
      </w:tr>
      <w:tr w:rsidR="001F14B8" w:rsidRPr="00996689" w14:paraId="0CAE22D6" w14:textId="77777777" w:rsidTr="001F14B8">
        <w:trPr>
          <w:trHeight w:val="320"/>
        </w:trPr>
        <w:tc>
          <w:tcPr>
            <w:tcW w:w="2198" w:type="pct"/>
            <w:tcBorders>
              <w:top w:val="single" w:sz="6" w:space="0" w:color="000000"/>
              <w:left w:val="single" w:sz="6" w:space="0" w:color="000000"/>
              <w:bottom w:val="single" w:sz="6" w:space="0" w:color="000000"/>
              <w:right w:val="single" w:sz="6" w:space="0" w:color="000000"/>
            </w:tcBorders>
          </w:tcPr>
          <w:p w14:paraId="725011E1" w14:textId="291B6378"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5. Community participation                      </w:t>
            </w:r>
          </w:p>
        </w:tc>
        <w:tc>
          <w:tcPr>
            <w:tcW w:w="2802" w:type="pct"/>
            <w:tcBorders>
              <w:top w:val="single" w:sz="6" w:space="0" w:color="000000"/>
              <w:left w:val="single" w:sz="6" w:space="0" w:color="000000"/>
              <w:bottom w:val="single" w:sz="6" w:space="0" w:color="000000"/>
              <w:right w:val="single" w:sz="6" w:space="0" w:color="000000"/>
            </w:tcBorders>
            <w:vAlign w:val="center"/>
          </w:tcPr>
          <w:p w14:paraId="35EAD304" w14:textId="745AF523"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6. Community cohesiveness</w:t>
            </w:r>
          </w:p>
        </w:tc>
      </w:tr>
      <w:tr w:rsidR="001F14B8" w:rsidRPr="00996689" w14:paraId="41EB0E2E" w14:textId="77777777" w:rsidTr="001F14B8">
        <w:trPr>
          <w:trHeight w:val="332"/>
        </w:trPr>
        <w:tc>
          <w:tcPr>
            <w:tcW w:w="2198" w:type="pct"/>
            <w:tcBorders>
              <w:top w:val="single" w:sz="6" w:space="0" w:color="000000"/>
              <w:left w:val="single" w:sz="6" w:space="0" w:color="000000"/>
              <w:bottom w:val="single" w:sz="6" w:space="0" w:color="000000"/>
              <w:right w:val="single" w:sz="6" w:space="0" w:color="000000"/>
            </w:tcBorders>
          </w:tcPr>
          <w:p w14:paraId="43AB7057" w14:textId="61B7F053"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7. Social migration                                       </w:t>
            </w:r>
          </w:p>
        </w:tc>
        <w:tc>
          <w:tcPr>
            <w:tcW w:w="2802" w:type="pct"/>
            <w:tcBorders>
              <w:top w:val="single" w:sz="6" w:space="0" w:color="000000"/>
              <w:left w:val="single" w:sz="6" w:space="0" w:color="000000"/>
              <w:bottom w:val="single" w:sz="6" w:space="0" w:color="000000"/>
              <w:right w:val="single" w:sz="6" w:space="0" w:color="000000"/>
            </w:tcBorders>
            <w:vAlign w:val="center"/>
          </w:tcPr>
          <w:p w14:paraId="0440B84D" w14:textId="635E5144" w:rsidR="001F14B8" w:rsidRPr="00996689" w:rsidRDefault="001F14B8" w:rsidP="00482ED0">
            <w:pPr>
              <w:spacing w:after="0" w:line="480" w:lineRule="auto"/>
              <w:ind w:left="170" w:right="170"/>
              <w:jc w:val="both"/>
              <w:rPr>
                <w:rFonts w:ascii="Times New Roman" w:eastAsia="Times New Roman" w:hAnsi="Times New Roman" w:cs="Times New Roman"/>
                <w:b/>
                <w:bCs/>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8. Frequency of Extension contact</w:t>
            </w:r>
          </w:p>
        </w:tc>
      </w:tr>
      <w:tr w:rsidR="001F14B8" w:rsidRPr="00996689" w14:paraId="1A651B2E" w14:textId="77777777" w:rsidTr="001F14B8">
        <w:trPr>
          <w:trHeight w:val="320"/>
        </w:trPr>
        <w:tc>
          <w:tcPr>
            <w:tcW w:w="2198" w:type="pct"/>
            <w:tcBorders>
              <w:top w:val="single" w:sz="6" w:space="0" w:color="000000"/>
              <w:left w:val="single" w:sz="6" w:space="0" w:color="000000"/>
              <w:bottom w:val="single" w:sz="6" w:space="0" w:color="000000"/>
              <w:right w:val="single" w:sz="6" w:space="0" w:color="000000"/>
            </w:tcBorders>
          </w:tcPr>
          <w:p w14:paraId="15AA9805" w14:textId="4EAD9F13"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9. Farmer to farmer extension                 </w:t>
            </w:r>
          </w:p>
        </w:tc>
        <w:tc>
          <w:tcPr>
            <w:tcW w:w="2802" w:type="pct"/>
            <w:tcBorders>
              <w:top w:val="single" w:sz="6" w:space="0" w:color="000000"/>
              <w:left w:val="single" w:sz="6" w:space="0" w:color="000000"/>
              <w:bottom w:val="single" w:sz="6" w:space="0" w:color="000000"/>
              <w:right w:val="single" w:sz="6" w:space="0" w:color="000000"/>
            </w:tcBorders>
          </w:tcPr>
          <w:p w14:paraId="1D5D2BC6" w14:textId="383EC2D0"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10. Assistance from External Agency</w:t>
            </w:r>
          </w:p>
        </w:tc>
      </w:tr>
      <w:tr w:rsidR="001F14B8" w:rsidRPr="00996689" w14:paraId="4317C17E" w14:textId="77777777" w:rsidTr="001F14B8">
        <w:trPr>
          <w:trHeight w:val="320"/>
        </w:trPr>
        <w:tc>
          <w:tcPr>
            <w:tcW w:w="5000" w:type="pct"/>
            <w:gridSpan w:val="2"/>
            <w:tcBorders>
              <w:top w:val="single" w:sz="6" w:space="0" w:color="000000"/>
              <w:left w:val="single" w:sz="6" w:space="0" w:color="000000"/>
              <w:bottom w:val="single" w:sz="6" w:space="0" w:color="000000"/>
              <w:right w:val="single" w:sz="6" w:space="0" w:color="000000"/>
            </w:tcBorders>
          </w:tcPr>
          <w:p w14:paraId="6029EA8B" w14:textId="5D566528"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11. Social Participation</w:t>
            </w:r>
          </w:p>
        </w:tc>
      </w:tr>
      <w:tr w:rsidR="006974A7" w:rsidRPr="00996689" w14:paraId="63C4375B" w14:textId="77777777" w:rsidTr="00E116D0">
        <w:trPr>
          <w:trHeight w:val="320"/>
        </w:trPr>
        <w:tc>
          <w:tcPr>
            <w:tcW w:w="5000" w:type="pct"/>
            <w:gridSpan w:val="2"/>
            <w:tcBorders>
              <w:top w:val="single" w:sz="6" w:space="0" w:color="000000"/>
              <w:left w:val="single" w:sz="6" w:space="0" w:color="000000"/>
              <w:bottom w:val="single" w:sz="6" w:space="0" w:color="000000"/>
              <w:right w:val="single" w:sz="6" w:space="0" w:color="000000"/>
            </w:tcBorders>
          </w:tcPr>
          <w:p w14:paraId="0166E74D" w14:textId="77777777" w:rsidR="006974A7" w:rsidRPr="00996689" w:rsidRDefault="006974A7"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kern w:val="0"/>
                <w:sz w:val="24"/>
                <w:szCs w:val="24"/>
                <w:lang w:eastAsia="en-IN"/>
                <w14:ligatures w14:val="none"/>
              </w:rPr>
              <w:t>3.   Physical and natural capital</w:t>
            </w:r>
          </w:p>
        </w:tc>
      </w:tr>
      <w:tr w:rsidR="001F14B8" w:rsidRPr="00996689" w14:paraId="556F027C" w14:textId="77777777" w:rsidTr="001F14B8">
        <w:trPr>
          <w:trHeight w:val="320"/>
        </w:trPr>
        <w:tc>
          <w:tcPr>
            <w:tcW w:w="2198" w:type="pct"/>
            <w:tcBorders>
              <w:top w:val="single" w:sz="6" w:space="0" w:color="000000"/>
              <w:left w:val="single" w:sz="6" w:space="0" w:color="000000"/>
              <w:bottom w:val="single" w:sz="6" w:space="0" w:color="000000"/>
              <w:right w:val="single" w:sz="6" w:space="0" w:color="000000"/>
            </w:tcBorders>
          </w:tcPr>
          <w:p w14:paraId="40D496A2" w14:textId="294754BD"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12. Herd-size                                                  </w:t>
            </w:r>
          </w:p>
        </w:tc>
        <w:tc>
          <w:tcPr>
            <w:tcW w:w="2802" w:type="pct"/>
            <w:tcBorders>
              <w:top w:val="single" w:sz="6" w:space="0" w:color="000000"/>
              <w:left w:val="single" w:sz="6" w:space="0" w:color="000000"/>
              <w:bottom w:val="single" w:sz="6" w:space="0" w:color="000000"/>
              <w:right w:val="single" w:sz="6" w:space="0" w:color="000000"/>
            </w:tcBorders>
            <w:vAlign w:val="center"/>
          </w:tcPr>
          <w:p w14:paraId="223E91E0" w14:textId="2058418A"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13. Fodder availability sources</w:t>
            </w:r>
          </w:p>
        </w:tc>
      </w:tr>
      <w:tr w:rsidR="001F14B8" w:rsidRPr="00996689" w14:paraId="1925D1E0" w14:textId="77777777" w:rsidTr="001F14B8">
        <w:trPr>
          <w:trHeight w:val="320"/>
        </w:trPr>
        <w:tc>
          <w:tcPr>
            <w:tcW w:w="2198" w:type="pct"/>
            <w:tcBorders>
              <w:top w:val="single" w:sz="6" w:space="0" w:color="000000"/>
              <w:left w:val="single" w:sz="6" w:space="0" w:color="000000"/>
              <w:bottom w:val="single" w:sz="6" w:space="0" w:color="000000"/>
              <w:right w:val="single" w:sz="6" w:space="0" w:color="000000"/>
            </w:tcBorders>
          </w:tcPr>
          <w:p w14:paraId="22D25533" w14:textId="4F7A6006"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14. Operational land-holding                       </w:t>
            </w:r>
          </w:p>
        </w:tc>
        <w:tc>
          <w:tcPr>
            <w:tcW w:w="2802" w:type="pct"/>
            <w:tcBorders>
              <w:top w:val="single" w:sz="6" w:space="0" w:color="000000"/>
              <w:left w:val="single" w:sz="6" w:space="0" w:color="000000"/>
              <w:bottom w:val="single" w:sz="6" w:space="0" w:color="000000"/>
              <w:right w:val="single" w:sz="6" w:space="0" w:color="000000"/>
            </w:tcBorders>
            <w:vAlign w:val="center"/>
          </w:tcPr>
          <w:p w14:paraId="273436C4" w14:textId="4C345C9A"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15. Sources of flood-related information</w:t>
            </w:r>
          </w:p>
        </w:tc>
      </w:tr>
      <w:tr w:rsidR="001F14B8" w:rsidRPr="00996689" w14:paraId="426A68D3" w14:textId="77777777" w:rsidTr="001F14B8">
        <w:trPr>
          <w:trHeight w:val="417"/>
        </w:trPr>
        <w:tc>
          <w:tcPr>
            <w:tcW w:w="2198" w:type="pct"/>
            <w:tcBorders>
              <w:top w:val="single" w:sz="6" w:space="0" w:color="000000"/>
              <w:left w:val="single" w:sz="6" w:space="0" w:color="000000"/>
              <w:bottom w:val="single" w:sz="6" w:space="0" w:color="000000"/>
              <w:right w:val="single" w:sz="6" w:space="0" w:color="000000"/>
            </w:tcBorders>
          </w:tcPr>
          <w:p w14:paraId="20457769" w14:textId="65203A6E"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16. Distance of the nearest market              </w:t>
            </w:r>
          </w:p>
        </w:tc>
        <w:tc>
          <w:tcPr>
            <w:tcW w:w="2802" w:type="pct"/>
            <w:tcBorders>
              <w:top w:val="single" w:sz="6" w:space="0" w:color="000000"/>
              <w:left w:val="single" w:sz="6" w:space="0" w:color="000000"/>
              <w:bottom w:val="single" w:sz="6" w:space="0" w:color="000000"/>
              <w:right w:val="single" w:sz="6" w:space="0" w:color="000000"/>
            </w:tcBorders>
            <w:vAlign w:val="center"/>
          </w:tcPr>
          <w:p w14:paraId="7387F90D" w14:textId="476700B0"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17. Distance of Veterinary Centre /Artificial Insemination (A.I) Centre</w:t>
            </w:r>
          </w:p>
        </w:tc>
      </w:tr>
      <w:tr w:rsidR="006974A7" w:rsidRPr="00996689" w14:paraId="603CF583" w14:textId="77777777" w:rsidTr="00E116D0">
        <w:trPr>
          <w:trHeight w:val="411"/>
        </w:trPr>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07443F4C" w14:textId="77777777" w:rsidR="006974A7" w:rsidRPr="00996689" w:rsidRDefault="006974A7"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kern w:val="0"/>
                <w:sz w:val="24"/>
                <w:szCs w:val="24"/>
                <w:lang w:eastAsia="en-IN"/>
                <w14:ligatures w14:val="none"/>
              </w:rPr>
              <w:t>4.   Economic capital</w:t>
            </w:r>
          </w:p>
        </w:tc>
      </w:tr>
      <w:tr w:rsidR="001F14B8" w:rsidRPr="00996689" w14:paraId="04280327" w14:textId="77777777" w:rsidTr="005475B8">
        <w:trPr>
          <w:trHeight w:val="607"/>
        </w:trPr>
        <w:tc>
          <w:tcPr>
            <w:tcW w:w="2198" w:type="pct"/>
            <w:tcBorders>
              <w:top w:val="single" w:sz="6" w:space="0" w:color="000000"/>
              <w:left w:val="single" w:sz="6" w:space="0" w:color="000000"/>
              <w:bottom w:val="single" w:sz="6" w:space="0" w:color="000000"/>
              <w:right w:val="single" w:sz="6" w:space="0" w:color="000000"/>
            </w:tcBorders>
            <w:vAlign w:val="center"/>
          </w:tcPr>
          <w:p w14:paraId="5C38B0BE" w14:textId="4ABB652A"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18. Annual income                 </w:t>
            </w:r>
          </w:p>
        </w:tc>
        <w:tc>
          <w:tcPr>
            <w:tcW w:w="2802" w:type="pct"/>
            <w:tcBorders>
              <w:top w:val="single" w:sz="6" w:space="0" w:color="000000"/>
              <w:left w:val="single" w:sz="6" w:space="0" w:color="000000"/>
              <w:bottom w:val="single" w:sz="6" w:space="0" w:color="000000"/>
              <w:right w:val="single" w:sz="6" w:space="0" w:color="000000"/>
            </w:tcBorders>
            <w:vAlign w:val="center"/>
          </w:tcPr>
          <w:p w14:paraId="39B231A9" w14:textId="64F7CD94" w:rsidR="001F14B8" w:rsidRPr="00996689" w:rsidRDefault="001F14B8" w:rsidP="00482ED0">
            <w:pPr>
              <w:spacing w:after="0" w:line="480" w:lineRule="auto"/>
              <w:ind w:left="170" w:right="170"/>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19. Proportion of household expenditure to the Livestock–rearing expenses</w:t>
            </w:r>
          </w:p>
        </w:tc>
      </w:tr>
      <w:tr w:rsidR="001F14B8" w:rsidRPr="00996689" w14:paraId="34E9DA98" w14:textId="77777777" w:rsidTr="005475B8">
        <w:trPr>
          <w:trHeight w:val="689"/>
        </w:trPr>
        <w:tc>
          <w:tcPr>
            <w:tcW w:w="2198" w:type="pct"/>
            <w:tcBorders>
              <w:top w:val="single" w:sz="6" w:space="0" w:color="000000"/>
              <w:left w:val="single" w:sz="6" w:space="0" w:color="000000"/>
              <w:bottom w:val="single" w:sz="6" w:space="0" w:color="000000"/>
              <w:right w:val="single" w:sz="6" w:space="0" w:color="000000"/>
            </w:tcBorders>
            <w:vAlign w:val="center"/>
          </w:tcPr>
          <w:p w14:paraId="506508C3" w14:textId="2AFCA5D5"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20. Average standard number of           milch animal </w:t>
            </w:r>
          </w:p>
        </w:tc>
        <w:tc>
          <w:tcPr>
            <w:tcW w:w="2802" w:type="pct"/>
            <w:tcBorders>
              <w:top w:val="single" w:sz="6" w:space="0" w:color="000000"/>
              <w:left w:val="single" w:sz="6" w:space="0" w:color="000000"/>
              <w:bottom w:val="single" w:sz="6" w:space="0" w:color="000000"/>
              <w:right w:val="single" w:sz="6" w:space="0" w:color="000000"/>
            </w:tcBorders>
            <w:vAlign w:val="center"/>
          </w:tcPr>
          <w:p w14:paraId="4F0DF296" w14:textId="77777777"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21. Proportion of crossbred animals to Herd-size</w:t>
            </w:r>
          </w:p>
          <w:p w14:paraId="3E6146E7" w14:textId="127C94CC"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p>
        </w:tc>
      </w:tr>
    </w:tbl>
    <w:p w14:paraId="7E559013" w14:textId="77777777" w:rsidR="001F14B8" w:rsidRPr="00996689" w:rsidRDefault="001F14B8" w:rsidP="00F20E98">
      <w:pPr>
        <w:spacing w:line="480" w:lineRule="auto"/>
        <w:jc w:val="both"/>
        <w:rPr>
          <w:rFonts w:ascii="Times New Roman" w:eastAsia="Times New Roman" w:hAnsi="Times New Roman" w:cs="Times New Roman"/>
          <w:b/>
          <w:bCs/>
          <w:kern w:val="0"/>
          <w:sz w:val="24"/>
          <w:szCs w:val="24"/>
          <w:lang w:val="en-US" w:eastAsia="en-IN"/>
          <w14:ligatures w14:val="none"/>
        </w:rPr>
      </w:pPr>
    </w:p>
    <w:p w14:paraId="0A73C86C" w14:textId="3972A5F6" w:rsidR="006974A7" w:rsidRPr="00996689" w:rsidRDefault="006974A7" w:rsidP="00F20E98">
      <w:pPr>
        <w:spacing w:line="480" w:lineRule="auto"/>
        <w:jc w:val="both"/>
        <w:rPr>
          <w:rFonts w:ascii="Times New Roman" w:eastAsia="Times New Roman" w:hAnsi="Times New Roman" w:cs="Times New Roman"/>
          <w:b/>
          <w:bCs/>
          <w:kern w:val="0"/>
          <w:sz w:val="24"/>
          <w:szCs w:val="24"/>
          <w:lang w:val="en-US" w:eastAsia="en-IN"/>
          <w14:ligatures w14:val="none"/>
        </w:rPr>
      </w:pPr>
      <w:r w:rsidRPr="00996689">
        <w:rPr>
          <w:rFonts w:ascii="Times New Roman" w:eastAsia="Times New Roman" w:hAnsi="Times New Roman" w:cs="Times New Roman"/>
          <w:b/>
          <w:bCs/>
          <w:kern w:val="0"/>
          <w:sz w:val="24"/>
          <w:szCs w:val="24"/>
          <w:lang w:val="en-US" w:eastAsia="en-IN"/>
          <w14:ligatures w14:val="none"/>
        </w:rPr>
        <w:t xml:space="preserve">ii. </w:t>
      </w:r>
      <w:r w:rsidRPr="00996689">
        <w:rPr>
          <w:rFonts w:ascii="Times New Roman" w:eastAsia="Times New Roman" w:hAnsi="Times New Roman" w:cs="Times New Roman"/>
          <w:b/>
          <w:bCs/>
          <w:i/>
          <w:iCs/>
          <w:kern w:val="0"/>
          <w:sz w:val="24"/>
          <w:szCs w:val="24"/>
          <w:lang w:val="en-US" w:eastAsia="en-IN"/>
          <w14:ligatures w14:val="none"/>
        </w:rPr>
        <w:t>Selection of the appropriate indicators</w:t>
      </w:r>
      <w:r w:rsidRPr="00996689">
        <w:rPr>
          <w:rFonts w:ascii="Times New Roman" w:eastAsia="Times New Roman" w:hAnsi="Times New Roman" w:cs="Times New Roman"/>
          <w:b/>
          <w:bCs/>
          <w:i/>
          <w:iCs/>
          <w:kern w:val="0"/>
          <w:sz w:val="24"/>
          <w:szCs w:val="24"/>
          <w:lang w:val="en-US" w:eastAsia="en-IN"/>
          <w14:ligatures w14:val="none"/>
        </w:rPr>
        <w:tab/>
      </w:r>
    </w:p>
    <w:p w14:paraId="204A14F2" w14:textId="1E728DF7" w:rsidR="00D033AF" w:rsidRPr="00996689" w:rsidRDefault="00D033AF" w:rsidP="00F20E98">
      <w:pPr>
        <w:spacing w:line="48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The raw data for each indicator were normalized to standardize the values within a comparable range. Normalization was performed by subtracting the minimum observed value from each data point and then dividing by the range (maximum value minus minimum value), following </w:t>
      </w:r>
      <w:r w:rsidRPr="00996689">
        <w:rPr>
          <w:rFonts w:ascii="Times New Roman" w:hAnsi="Times New Roman" w:cs="Times New Roman"/>
          <w:sz w:val="24"/>
          <w:szCs w:val="24"/>
        </w:rPr>
        <w:lastRenderedPageBreak/>
        <w:t>the procedure recommended by Kaiser (1958) for assessing the suitability of indicators. This process is expressed as follows:</w:t>
      </w:r>
    </w:p>
    <w:p w14:paraId="0E4045EC" w14:textId="77777777" w:rsidR="00D033AF" w:rsidRPr="00996689" w:rsidRDefault="00D033AF" w:rsidP="00F20E98">
      <w:pPr>
        <w:spacing w:line="480" w:lineRule="auto"/>
        <w:jc w:val="both"/>
        <w:rPr>
          <w:rFonts w:ascii="Times New Roman" w:eastAsia="Times New Roman" w:hAnsi="Times New Roman" w:cs="Times New Roman"/>
          <w:kern w:val="0"/>
          <w:sz w:val="24"/>
          <w:szCs w:val="24"/>
          <w:lang w:val="en-US" w:eastAsia="en-IN"/>
          <w14:ligatures w14:val="none"/>
        </w:rPr>
      </w:pPr>
    </w:p>
    <w:p w14:paraId="25B99A2E" w14:textId="3C612D4F" w:rsidR="006974A7" w:rsidRPr="00996689" w:rsidRDefault="006974A7" w:rsidP="00F20E98">
      <w:pPr>
        <w:spacing w:line="480" w:lineRule="auto"/>
        <w:jc w:val="both"/>
        <w:rPr>
          <w:rFonts w:ascii="Times New Roman" w:eastAsia="Times New Roman" w:hAnsi="Times New Roman" w:cs="Times New Roman"/>
          <w:b/>
          <w:kern w:val="0"/>
          <w:sz w:val="24"/>
          <w:szCs w:val="24"/>
          <w:lang w:eastAsia="en-IN"/>
          <w14:ligatures w14:val="none"/>
        </w:rPr>
      </w:pPr>
      <m:oMathPara>
        <m:oMath>
          <m:r>
            <m:rPr>
              <m:sty m:val="p"/>
            </m:rPr>
            <w:rPr>
              <w:rFonts w:ascii="Cambria Math" w:eastAsia="Times New Roman" w:hAnsi="Cambria Math" w:cs="Times New Roman"/>
              <w:kern w:val="0"/>
              <w:sz w:val="24"/>
              <w:szCs w:val="24"/>
              <w:lang w:eastAsia="en-IN"/>
              <w14:ligatures w14:val="none"/>
            </w:rPr>
            <m:t xml:space="preserve">Normalized Value =  </m:t>
          </m:r>
          <m:f>
            <m:fPr>
              <m:ctrlPr>
                <w:rPr>
                  <w:rFonts w:ascii="Cambria Math" w:eastAsia="Times New Roman" w:hAnsi="Cambria Math" w:cs="Times New Roman"/>
                  <w:kern w:val="0"/>
                  <w:sz w:val="24"/>
                  <w:szCs w:val="24"/>
                  <w:lang w:eastAsia="en-IN"/>
                  <w14:ligatures w14:val="none"/>
                </w:rPr>
              </m:ctrlPr>
            </m:fPr>
            <m:num>
              <m:r>
                <m:rPr>
                  <m:sty m:val="p"/>
                </m:rPr>
                <w:rPr>
                  <w:rFonts w:ascii="Cambria Math" w:eastAsia="Times New Roman" w:hAnsi="Cambria Math" w:cs="Times New Roman"/>
                  <w:kern w:val="0"/>
                  <w:sz w:val="24"/>
                  <w:szCs w:val="24"/>
                  <w:lang w:eastAsia="en-IN"/>
                  <w14:ligatures w14:val="none"/>
                </w:rPr>
                <m:t xml:space="preserve">Observed Value- Minimum Value </m:t>
              </m:r>
            </m:num>
            <m:den>
              <m:r>
                <m:rPr>
                  <m:sty m:val="p"/>
                </m:rPr>
                <w:rPr>
                  <w:rFonts w:ascii="Cambria Math" w:eastAsia="Times New Roman" w:hAnsi="Cambria Math" w:cs="Times New Roman"/>
                  <w:kern w:val="0"/>
                  <w:sz w:val="24"/>
                  <w:szCs w:val="24"/>
                  <w:lang w:eastAsia="en-IN"/>
                  <w14:ligatures w14:val="none"/>
                </w:rPr>
                <m:t>Range</m:t>
              </m:r>
            </m:den>
          </m:f>
        </m:oMath>
      </m:oMathPara>
    </w:p>
    <w:p w14:paraId="7E37B4B9" w14:textId="065CD4EC" w:rsidR="005202DA" w:rsidRPr="00996689" w:rsidRDefault="005202DA" w:rsidP="00F20E98">
      <w:pPr>
        <w:spacing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bCs/>
          <w:i/>
          <w:iCs/>
          <w:kern w:val="0"/>
          <w:sz w:val="24"/>
          <w:szCs w:val="24"/>
          <w:lang w:eastAsia="en-IN"/>
          <w14:ligatures w14:val="none"/>
        </w:rPr>
        <w:t>iii. T</w:t>
      </w:r>
      <w:r w:rsidR="006974A7" w:rsidRPr="00996689">
        <w:rPr>
          <w:rFonts w:ascii="Times New Roman" w:eastAsia="Times New Roman" w:hAnsi="Times New Roman" w:cs="Times New Roman"/>
          <w:b/>
          <w:bCs/>
          <w:i/>
          <w:iCs/>
          <w:kern w:val="0"/>
          <w:sz w:val="24"/>
          <w:szCs w:val="24"/>
          <w:lang w:eastAsia="en-IN"/>
          <w14:ligatures w14:val="none"/>
        </w:rPr>
        <w:t>esting of suitability of indicators</w:t>
      </w:r>
    </w:p>
    <w:p w14:paraId="513A4BA7" w14:textId="20600BBE" w:rsidR="0065611F" w:rsidRPr="00996689" w:rsidRDefault="0065611F" w:rsidP="00F20E98">
      <w:pPr>
        <w:spacing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Principal Component Analysis (PCA) was employed to identify significant indicators and exclude non-significant ones, as supported by Ravindranath et al. (2011) and Maiti </w:t>
      </w:r>
      <w:r w:rsidRPr="002E1EE5">
        <w:rPr>
          <w:rFonts w:ascii="Times New Roman" w:eastAsia="Times New Roman" w:hAnsi="Times New Roman" w:cs="Times New Roman"/>
          <w:i/>
          <w:iCs/>
          <w:kern w:val="0"/>
          <w:sz w:val="24"/>
          <w:szCs w:val="24"/>
          <w:lang w:eastAsia="en-IN"/>
          <w14:ligatures w14:val="none"/>
        </w:rPr>
        <w:t>et al.</w:t>
      </w:r>
      <w:r w:rsidRPr="00996689">
        <w:rPr>
          <w:rFonts w:ascii="Times New Roman" w:eastAsia="Times New Roman" w:hAnsi="Times New Roman" w:cs="Times New Roman"/>
          <w:kern w:val="0"/>
          <w:sz w:val="24"/>
          <w:szCs w:val="24"/>
          <w:lang w:eastAsia="en-IN"/>
          <w14:ligatures w14:val="none"/>
        </w:rPr>
        <w:t xml:space="preserve"> (2015). Following normalization, three separate factor analyses corresponding to adaptive capacity, exposure, and sensitivity were conducted using PCA for factor extraction and the Varimax method for factor rotation in SPSS version 20. For this study, a communality cutoff value of 0.45 was established. One adaptive capacity indicator, ‘community participation,’ was excluded due to a communality value below this threshold. The remaining indicators were retained for further analysis, including the assignment of weights. All indicators for exposure and sensitivity demonstrated communality values above the cutoff, and thus, none were excluded from their respective factor analysis models.</w:t>
      </w:r>
    </w:p>
    <w:p w14:paraId="340E412E" w14:textId="2B4A01F8" w:rsidR="006974A7" w:rsidRPr="00996689" w:rsidRDefault="006974A7" w:rsidP="00F20E98">
      <w:pPr>
        <w:spacing w:line="480" w:lineRule="auto"/>
        <w:jc w:val="both"/>
        <w:rPr>
          <w:rFonts w:ascii="Times New Roman" w:eastAsia="Times New Roman" w:hAnsi="Times New Roman" w:cs="Times New Roman"/>
          <w:b/>
          <w:bCs/>
          <w:kern w:val="0"/>
          <w:sz w:val="24"/>
          <w:szCs w:val="24"/>
          <w:lang w:val="en-US" w:eastAsia="en-IN"/>
          <w14:ligatures w14:val="none"/>
        </w:rPr>
      </w:pPr>
      <w:r w:rsidRPr="00996689">
        <w:rPr>
          <w:rFonts w:ascii="Times New Roman" w:eastAsia="Times New Roman" w:hAnsi="Times New Roman" w:cs="Times New Roman"/>
          <w:b/>
          <w:bCs/>
          <w:kern w:val="0"/>
          <w:sz w:val="24"/>
          <w:szCs w:val="24"/>
          <w:lang w:val="en-US" w:eastAsia="en-IN"/>
          <w14:ligatures w14:val="none"/>
        </w:rPr>
        <w:t>i</w:t>
      </w:r>
      <w:r w:rsidR="005202DA" w:rsidRPr="00996689">
        <w:rPr>
          <w:rFonts w:ascii="Times New Roman" w:eastAsia="Times New Roman" w:hAnsi="Times New Roman" w:cs="Times New Roman"/>
          <w:b/>
          <w:bCs/>
          <w:kern w:val="0"/>
          <w:sz w:val="24"/>
          <w:szCs w:val="24"/>
          <w:lang w:val="en-US" w:eastAsia="en-IN"/>
          <w14:ligatures w14:val="none"/>
        </w:rPr>
        <w:t>v</w:t>
      </w:r>
      <w:r w:rsidRPr="00996689">
        <w:rPr>
          <w:rFonts w:ascii="Times New Roman" w:eastAsia="Times New Roman" w:hAnsi="Times New Roman" w:cs="Times New Roman"/>
          <w:b/>
          <w:bCs/>
          <w:kern w:val="0"/>
          <w:sz w:val="24"/>
          <w:szCs w:val="24"/>
          <w:lang w:val="en-US" w:eastAsia="en-IN"/>
          <w14:ligatures w14:val="none"/>
        </w:rPr>
        <w:t>) Assignment of weights to the indicators</w:t>
      </w:r>
    </w:p>
    <w:p w14:paraId="6A52C6B7" w14:textId="049E4FAC" w:rsidR="00083B7C" w:rsidRPr="00996689" w:rsidRDefault="00083B7C" w:rsidP="00F20E98">
      <w:pPr>
        <w:spacing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After identifying suitable indicators, PCA was performed again separately for the three main components of vulnerability: adaptive capacity, exposure, and sensitivity to obtain factor loadings and eigenvalues. Kaiser normalization was applied to identify initial eigenvalues greater than one. Components corresponding to the number of eigenvalues exceeding this threshold were extracted using the Varimax rotation method, as reflected in the rotated component matrix. Subsequently, the approach outlined by Feroz </w:t>
      </w:r>
      <w:r w:rsidRPr="00996689">
        <w:rPr>
          <w:rFonts w:ascii="Times New Roman" w:eastAsia="Times New Roman" w:hAnsi="Times New Roman" w:cs="Times New Roman"/>
          <w:i/>
          <w:iCs/>
          <w:kern w:val="0"/>
          <w:sz w:val="24"/>
          <w:szCs w:val="24"/>
          <w:lang w:eastAsia="en-IN"/>
          <w14:ligatures w14:val="none"/>
        </w:rPr>
        <w:t>et al</w:t>
      </w:r>
      <w:r w:rsidRPr="00996689">
        <w:rPr>
          <w:rFonts w:ascii="Times New Roman" w:eastAsia="Times New Roman" w:hAnsi="Times New Roman" w:cs="Times New Roman"/>
          <w:kern w:val="0"/>
          <w:sz w:val="24"/>
          <w:szCs w:val="24"/>
          <w:lang w:eastAsia="en-IN"/>
          <w14:ligatures w14:val="none"/>
        </w:rPr>
        <w:t xml:space="preserve">. (2010) and Maiti </w:t>
      </w:r>
      <w:r w:rsidRPr="00996689">
        <w:rPr>
          <w:rFonts w:ascii="Times New Roman" w:eastAsia="Times New Roman" w:hAnsi="Times New Roman" w:cs="Times New Roman"/>
          <w:i/>
          <w:iCs/>
          <w:kern w:val="0"/>
          <w:sz w:val="24"/>
          <w:szCs w:val="24"/>
          <w:lang w:eastAsia="en-IN"/>
          <w14:ligatures w14:val="none"/>
        </w:rPr>
        <w:t>et al</w:t>
      </w:r>
      <w:r w:rsidRPr="00996689">
        <w:rPr>
          <w:rFonts w:ascii="Times New Roman" w:eastAsia="Times New Roman" w:hAnsi="Times New Roman" w:cs="Times New Roman"/>
          <w:kern w:val="0"/>
          <w:sz w:val="24"/>
          <w:szCs w:val="24"/>
          <w:lang w:eastAsia="en-IN"/>
          <w14:ligatures w14:val="none"/>
        </w:rPr>
        <w:t>. (2015) was adopted to assign weights to the selected indicators.</w:t>
      </w:r>
    </w:p>
    <w:p w14:paraId="3F60338E" w14:textId="27F12CDC" w:rsidR="006974A7" w:rsidRPr="00996689" w:rsidRDefault="006974A7" w:rsidP="00F20E98">
      <w:pPr>
        <w:spacing w:line="480" w:lineRule="auto"/>
        <w:jc w:val="both"/>
        <w:rPr>
          <w:rFonts w:ascii="Times New Roman" w:eastAsia="Times New Roman" w:hAnsi="Times New Roman" w:cs="Times New Roman"/>
          <w:b/>
          <w:bCs/>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lastRenderedPageBreak/>
        <w:t>v)</w:t>
      </w:r>
      <w:r w:rsidRPr="00996689">
        <w:rPr>
          <w:rFonts w:ascii="Times New Roman" w:eastAsia="Times New Roman" w:hAnsi="Times New Roman" w:cs="Times New Roman"/>
          <w:kern w:val="0"/>
          <w:sz w:val="24"/>
          <w:szCs w:val="24"/>
          <w:lang w:eastAsia="en-IN"/>
          <w14:ligatures w14:val="none"/>
        </w:rPr>
        <w:t xml:space="preserve"> </w:t>
      </w:r>
      <w:r w:rsidRPr="00996689">
        <w:rPr>
          <w:rFonts w:ascii="Times New Roman" w:eastAsia="Times New Roman" w:hAnsi="Times New Roman" w:cs="Times New Roman"/>
          <w:b/>
          <w:bCs/>
          <w:kern w:val="0"/>
          <w:sz w:val="24"/>
          <w:szCs w:val="24"/>
          <w:lang w:eastAsia="en-IN"/>
          <w14:ligatures w14:val="none"/>
        </w:rPr>
        <w:t>Calculation of Composite Livelihood Vulnerability to Flood Index (CLVFI)</w:t>
      </w:r>
    </w:p>
    <w:p w14:paraId="62C8E9EB" w14:textId="367329CD" w:rsidR="00410523" w:rsidRPr="00996689" w:rsidRDefault="00410523" w:rsidP="00F20E98">
      <w:pPr>
        <w:spacing w:line="480" w:lineRule="auto"/>
        <w:ind w:firstLine="72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To construct indices for each component of vulnerability i.e., exposure, sensitivity, and adaptive capacity, the normalized indicators were multiplied by their respective assigned weights. These component indices were then used to compute the Composite Livelihood Vulnerability to Flood Index (CLVFI) at both the household and district levels, following the formula proposed by Maiti </w:t>
      </w:r>
      <w:r w:rsidRPr="002E1EE5">
        <w:rPr>
          <w:rFonts w:ascii="Times New Roman" w:eastAsia="Times New Roman" w:hAnsi="Times New Roman" w:cs="Times New Roman"/>
          <w:i/>
          <w:iCs/>
          <w:kern w:val="0"/>
          <w:sz w:val="24"/>
          <w:szCs w:val="24"/>
          <w:lang w:eastAsia="en-IN"/>
          <w14:ligatures w14:val="none"/>
        </w:rPr>
        <w:t>et al</w:t>
      </w:r>
      <w:r w:rsidRPr="00996689">
        <w:rPr>
          <w:rFonts w:ascii="Times New Roman" w:eastAsia="Times New Roman" w:hAnsi="Times New Roman" w:cs="Times New Roman"/>
          <w:kern w:val="0"/>
          <w:sz w:val="24"/>
          <w:szCs w:val="24"/>
          <w:lang w:eastAsia="en-IN"/>
          <w14:ligatures w14:val="none"/>
        </w:rPr>
        <w:t>. (2014):</w:t>
      </w:r>
    </w:p>
    <w:p w14:paraId="4FBBD4CB" w14:textId="2F8D852F" w:rsidR="00410523" w:rsidRPr="00996689" w:rsidRDefault="00410523" w:rsidP="00F20E98">
      <w:pPr>
        <w:spacing w:line="480" w:lineRule="auto"/>
        <w:ind w:firstLine="720"/>
        <w:jc w:val="both"/>
        <w:rPr>
          <w:rFonts w:ascii="Times New Roman" w:eastAsia="Times New Roman" w:hAnsi="Times New Roman" w:cs="Times New Roman"/>
          <w:kern w:val="0"/>
          <w:sz w:val="24"/>
          <w:szCs w:val="24"/>
          <w:lang w:eastAsia="en-IN"/>
          <w14:ligatures w14:val="none"/>
        </w:rPr>
      </w:pPr>
      <m:oMathPara>
        <m:oMath>
          <m:r>
            <w:rPr>
              <w:rFonts w:ascii="Cambria Math" w:eastAsia="Times New Roman" w:hAnsi="Cambria Math" w:cs="Times New Roman"/>
              <w:kern w:val="0"/>
              <w:sz w:val="24"/>
              <w:szCs w:val="24"/>
              <w:lang w:eastAsia="en-IN"/>
              <w14:ligatures w14:val="none"/>
            </w:rPr>
            <m:t>Livelihood Vulnerability=Adaptive capacity – (Exposure + Sensitivity)</m:t>
          </m:r>
        </m:oMath>
      </m:oMathPara>
    </w:p>
    <w:p w14:paraId="5A3618B8" w14:textId="77777777" w:rsidR="00410523" w:rsidRPr="00996689" w:rsidRDefault="00410523" w:rsidP="00F20E98">
      <w:pPr>
        <w:spacing w:line="480" w:lineRule="auto"/>
        <w:ind w:firstLine="720"/>
        <w:jc w:val="both"/>
        <w:rPr>
          <w:rFonts w:ascii="Times New Roman" w:eastAsia="Times New Roman" w:hAnsi="Times New Roman" w:cs="Times New Roman"/>
          <w:kern w:val="0"/>
          <w:sz w:val="24"/>
          <w:szCs w:val="24"/>
          <w:lang w:eastAsia="en-IN"/>
          <w14:ligatures w14:val="none"/>
        </w:rPr>
      </w:pPr>
    </w:p>
    <w:p w14:paraId="0579D8C5" w14:textId="7B177E47" w:rsidR="00410523" w:rsidRPr="00996689" w:rsidRDefault="00410523" w:rsidP="00F20E98">
      <w:pPr>
        <w:spacing w:line="480" w:lineRule="auto"/>
        <w:ind w:firstLine="72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The resulting Livelihood Vulnerability Index (LVI) enables comparative analysis of vulnerability levels across households. A lower LVI score indicates higher vulnerability, as it reflects a situation where exposure and sensitivity surpass the household's capacity to adapt. Conversely, a higher score denotes relatively lower vulnerability. Negative index values signal that the combined impact of exposure and sensitivity exceeds adaptive capacity, suggesting a critical vulnerability scenario. It is important to emphasize that this index does not represent an absolute measure of vulnerability, but rather serves as a relative tool to compare the vulnerability status among the sampled districts and households.</w:t>
      </w:r>
    </w:p>
    <w:p w14:paraId="1538E678" w14:textId="6CB7AF83" w:rsidR="006974A7" w:rsidRPr="00996689" w:rsidRDefault="006974A7" w:rsidP="00F20E98">
      <w:pPr>
        <w:spacing w:line="480" w:lineRule="auto"/>
        <w:jc w:val="both"/>
        <w:rPr>
          <w:rFonts w:ascii="Times New Roman" w:eastAsia="Times New Roman" w:hAnsi="Times New Roman" w:cs="Times New Roman"/>
          <w:b/>
          <w:bCs/>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t>v</w:t>
      </w:r>
      <w:r w:rsidR="005202DA" w:rsidRPr="00996689">
        <w:rPr>
          <w:rFonts w:ascii="Times New Roman" w:eastAsia="Times New Roman" w:hAnsi="Times New Roman" w:cs="Times New Roman"/>
          <w:b/>
          <w:bCs/>
          <w:kern w:val="0"/>
          <w:sz w:val="24"/>
          <w:szCs w:val="24"/>
          <w:lang w:eastAsia="en-IN"/>
          <w14:ligatures w14:val="none"/>
        </w:rPr>
        <w:t>i</w:t>
      </w:r>
      <w:r w:rsidRPr="00996689">
        <w:rPr>
          <w:rFonts w:ascii="Times New Roman" w:eastAsia="Times New Roman" w:hAnsi="Times New Roman" w:cs="Times New Roman"/>
          <w:b/>
          <w:bCs/>
          <w:kern w:val="0"/>
          <w:sz w:val="24"/>
          <w:szCs w:val="24"/>
          <w:lang w:eastAsia="en-IN"/>
          <w14:ligatures w14:val="none"/>
        </w:rPr>
        <w:t>) Differential level of vulnerability of vulnerability among the sample households</w:t>
      </w:r>
    </w:p>
    <w:p w14:paraId="538ADE2F" w14:textId="358DB241" w:rsidR="0006718D" w:rsidRDefault="00C67E82" w:rsidP="00F20E98">
      <w:pPr>
        <w:spacing w:line="480" w:lineRule="auto"/>
        <w:ind w:firstLine="72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All sample households were classified into three distinct vulnerability levels: low, medium, and high based on their respective vulnerability index scores. The categorization was performed using the cumulative square root frequency method</w:t>
      </w:r>
      <w:r w:rsidR="006974A7" w:rsidRPr="00996689">
        <w:rPr>
          <w:rFonts w:ascii="Times New Roman" w:eastAsia="Times New Roman" w:hAnsi="Times New Roman" w:cs="Times New Roman"/>
          <w:kern w:val="0"/>
          <w:sz w:val="24"/>
          <w:szCs w:val="24"/>
          <w:lang w:eastAsia="en-IN"/>
          <w14:ligatures w14:val="none"/>
        </w:rPr>
        <w:t>.</w:t>
      </w:r>
    </w:p>
    <w:p w14:paraId="72613D5C" w14:textId="77777777" w:rsidR="00280548" w:rsidRDefault="00280548" w:rsidP="00F20E98">
      <w:pPr>
        <w:spacing w:line="480" w:lineRule="auto"/>
        <w:ind w:firstLine="720"/>
        <w:jc w:val="both"/>
        <w:rPr>
          <w:rFonts w:ascii="Times New Roman" w:eastAsia="Times New Roman" w:hAnsi="Times New Roman" w:cs="Times New Roman"/>
          <w:kern w:val="0"/>
          <w:sz w:val="24"/>
          <w:szCs w:val="24"/>
          <w:lang w:eastAsia="en-IN"/>
          <w14:ligatures w14:val="none"/>
        </w:rPr>
      </w:pPr>
    </w:p>
    <w:p w14:paraId="068E131A" w14:textId="77777777" w:rsidR="00280548" w:rsidRDefault="00280548" w:rsidP="00F20E98">
      <w:pPr>
        <w:spacing w:line="480" w:lineRule="auto"/>
        <w:ind w:firstLine="720"/>
        <w:jc w:val="both"/>
        <w:rPr>
          <w:rFonts w:ascii="Times New Roman" w:eastAsia="Times New Roman" w:hAnsi="Times New Roman" w:cs="Times New Roman"/>
          <w:kern w:val="0"/>
          <w:sz w:val="24"/>
          <w:szCs w:val="24"/>
          <w:lang w:eastAsia="en-IN"/>
          <w14:ligatures w14:val="none"/>
        </w:rPr>
      </w:pPr>
    </w:p>
    <w:p w14:paraId="1FED94CB" w14:textId="77777777" w:rsidR="00280548" w:rsidRPr="00996689" w:rsidRDefault="00280548" w:rsidP="00F20E98">
      <w:pPr>
        <w:spacing w:line="480" w:lineRule="auto"/>
        <w:ind w:firstLine="720"/>
        <w:jc w:val="both"/>
        <w:rPr>
          <w:rFonts w:ascii="Times New Roman" w:eastAsia="Times New Roman" w:hAnsi="Times New Roman" w:cs="Times New Roman"/>
          <w:kern w:val="0"/>
          <w:sz w:val="24"/>
          <w:szCs w:val="24"/>
          <w:lang w:eastAsia="en-IN"/>
          <w14:ligatures w14:val="none"/>
        </w:rPr>
      </w:pPr>
    </w:p>
    <w:p w14:paraId="08DB4D76" w14:textId="4662D9A5" w:rsidR="0006718D" w:rsidRPr="00280548" w:rsidRDefault="00280548" w:rsidP="00280548">
      <w:pPr>
        <w:spacing w:line="360" w:lineRule="auto"/>
        <w:jc w:val="center"/>
        <w:rPr>
          <w:rFonts w:ascii="Times New Roman" w:eastAsia="Times New Roman" w:hAnsi="Times New Roman" w:cs="Times New Roman"/>
          <w:b/>
          <w:bCs/>
          <w:kern w:val="0"/>
          <w:sz w:val="24"/>
          <w:szCs w:val="24"/>
          <w:lang w:eastAsia="en-IN"/>
          <w14:ligatures w14:val="none"/>
        </w:rPr>
      </w:pPr>
      <w:r w:rsidRPr="00280548">
        <w:rPr>
          <w:rFonts w:ascii="Times New Roman" w:eastAsia="Times New Roman" w:hAnsi="Times New Roman" w:cs="Times New Roman"/>
          <w:b/>
          <w:bCs/>
          <w:kern w:val="0"/>
          <w:sz w:val="24"/>
          <w:szCs w:val="24"/>
          <w:lang w:eastAsia="en-IN"/>
          <w14:ligatures w14:val="none"/>
        </w:rPr>
        <w:lastRenderedPageBreak/>
        <w:t>RESULTS AND DISCUSSIONS</w:t>
      </w:r>
    </w:p>
    <w:p w14:paraId="676ABE71" w14:textId="7C0EBDCF" w:rsidR="005B02EE" w:rsidRPr="00996689" w:rsidRDefault="005B02EE" w:rsidP="00996689">
      <w:pPr>
        <w:tabs>
          <w:tab w:val="left" w:pos="722"/>
        </w:tabs>
        <w:spacing w:line="360" w:lineRule="auto"/>
        <w:jc w:val="both"/>
        <w:rPr>
          <w:rFonts w:ascii="Times New Roman" w:hAnsi="Times New Roman" w:cs="Times New Roman"/>
          <w:b/>
          <w:noProof/>
          <w:spacing w:val="-3"/>
          <w:w w:val="95"/>
          <w:sz w:val="24"/>
          <w:szCs w:val="24"/>
        </w:rPr>
      </w:pPr>
      <w:r w:rsidRPr="00996689">
        <w:rPr>
          <w:rFonts w:ascii="Times New Roman" w:hAnsi="Times New Roman" w:cs="Times New Roman"/>
          <w:b/>
          <w:noProof/>
          <w:spacing w:val="-3"/>
          <w:w w:val="95"/>
          <w:sz w:val="24"/>
          <w:szCs w:val="24"/>
        </w:rPr>
        <w:t>Indicator of adaptive capacity and their suitability &amp; weightage</w:t>
      </w:r>
    </w:p>
    <w:p w14:paraId="0518EDD7" w14:textId="6AA6FBC2" w:rsidR="005B02EE" w:rsidRPr="00996689" w:rsidRDefault="005B02EE" w:rsidP="00996689">
      <w:pPr>
        <w:tabs>
          <w:tab w:val="left" w:pos="722"/>
        </w:tabs>
        <w:autoSpaceDE w:val="0"/>
        <w:autoSpaceDN w:val="0"/>
        <w:adjustRightInd w:val="0"/>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ab/>
      </w:r>
      <w:r w:rsidR="00423BCD" w:rsidRPr="00996689">
        <w:rPr>
          <w:rFonts w:ascii="Times New Roman" w:hAnsi="Times New Roman" w:cs="Times New Roman"/>
          <w:sz w:val="24"/>
          <w:szCs w:val="24"/>
        </w:rPr>
        <w:t>The indicators of adaptive capacity were prioritized based on their respective weightage scores, with higher-weighted indicators considered relatively more influential determinants compared to those with lower weights. Principal Component Analysis (PCA) was employed both to assess the suitability of the indicators and to compute the weights for the 21 initially identified indicators relevant to the adaptive capacity of livestock-</w:t>
      </w:r>
      <w:proofErr w:type="spellStart"/>
      <w:r w:rsidR="00423BCD" w:rsidRPr="00996689">
        <w:rPr>
          <w:rFonts w:ascii="Times New Roman" w:hAnsi="Times New Roman" w:cs="Times New Roman"/>
          <w:sz w:val="24"/>
          <w:szCs w:val="24"/>
        </w:rPr>
        <w:t>rearers</w:t>
      </w:r>
      <w:proofErr w:type="spellEnd"/>
      <w:r w:rsidR="00423BCD" w:rsidRPr="00996689">
        <w:rPr>
          <w:rFonts w:ascii="Times New Roman" w:hAnsi="Times New Roman" w:cs="Times New Roman"/>
          <w:sz w:val="24"/>
          <w:szCs w:val="24"/>
        </w:rPr>
        <w:t xml:space="preserve"> in the study area. As shown in Table 4, one indicator ‘community participation’ was deemed non-significant due to its extraction (communality) value falling below the established cut-off threshold of 0.45. Consequently, this indicator was excluded from the final weightage calculation.</w:t>
      </w:r>
    </w:p>
    <w:p w14:paraId="2868FD17" w14:textId="342D7688" w:rsidR="005B02EE" w:rsidRPr="00996689" w:rsidRDefault="005B02EE" w:rsidP="00996689">
      <w:pPr>
        <w:tabs>
          <w:tab w:val="left" w:pos="722"/>
        </w:tabs>
        <w:autoSpaceDE w:val="0"/>
        <w:autoSpaceDN w:val="0"/>
        <w:adjustRightInd w:val="0"/>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ab/>
      </w:r>
      <w:r w:rsidR="00423BCD" w:rsidRPr="00996689">
        <w:rPr>
          <w:rFonts w:ascii="Times New Roman" w:hAnsi="Times New Roman" w:cs="Times New Roman"/>
          <w:sz w:val="24"/>
          <w:szCs w:val="24"/>
        </w:rPr>
        <w:t>Among the remaining 20 indicators of adaptive capacity, the distance of the veterinary centre/artificial insemination centre from the household (in kilometres) emerged as the most influential factor, with a weightage score of 3.21. This was followed by annual income with a weightage of 3.20, distance to the nearest market (km) at 3.16, age of the respondent (years) at 3.07, and community cohesiveness at 3.05. These indicators were found to contribute most significantly to the overall adaptive capacity of livestock-</w:t>
      </w:r>
      <w:proofErr w:type="spellStart"/>
      <w:r w:rsidR="00423BCD" w:rsidRPr="00996689">
        <w:rPr>
          <w:rFonts w:ascii="Times New Roman" w:hAnsi="Times New Roman" w:cs="Times New Roman"/>
          <w:sz w:val="24"/>
          <w:szCs w:val="24"/>
        </w:rPr>
        <w:t>rearers</w:t>
      </w:r>
      <w:proofErr w:type="spellEnd"/>
      <w:r w:rsidR="00423BCD" w:rsidRPr="00996689">
        <w:rPr>
          <w:rFonts w:ascii="Times New Roman" w:hAnsi="Times New Roman" w:cs="Times New Roman"/>
          <w:sz w:val="24"/>
          <w:szCs w:val="24"/>
        </w:rPr>
        <w:t xml:space="preserve"> in the study area."</w:t>
      </w:r>
    </w:p>
    <w:p w14:paraId="5EC226BB" w14:textId="6D945321" w:rsidR="005B02EE" w:rsidRDefault="005B02EE" w:rsidP="00996689">
      <w:pPr>
        <w:tabs>
          <w:tab w:val="left" w:pos="722"/>
        </w:tabs>
        <w:autoSpaceDE w:val="0"/>
        <w:autoSpaceDN w:val="0"/>
        <w:adjustRightInd w:val="0"/>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ab/>
      </w:r>
      <w:r w:rsidR="00423BCD" w:rsidRPr="00996689">
        <w:rPr>
          <w:rFonts w:ascii="Times New Roman" w:hAnsi="Times New Roman" w:cs="Times New Roman"/>
          <w:sz w:val="24"/>
          <w:szCs w:val="24"/>
        </w:rPr>
        <w:t>Several other indicators also played a significant role in determining the adaptive capacity of livestock-</w:t>
      </w:r>
      <w:proofErr w:type="spellStart"/>
      <w:r w:rsidR="00423BCD" w:rsidRPr="00996689">
        <w:rPr>
          <w:rFonts w:ascii="Times New Roman" w:hAnsi="Times New Roman" w:cs="Times New Roman"/>
          <w:sz w:val="24"/>
          <w:szCs w:val="24"/>
        </w:rPr>
        <w:t>rearers</w:t>
      </w:r>
      <w:proofErr w:type="spellEnd"/>
      <w:r w:rsidR="00423BCD" w:rsidRPr="00996689">
        <w:rPr>
          <w:rFonts w:ascii="Times New Roman" w:hAnsi="Times New Roman" w:cs="Times New Roman"/>
          <w:sz w:val="24"/>
          <w:szCs w:val="24"/>
        </w:rPr>
        <w:t>. These included the average standard number of milch animals (2.78), herd size (2.72), number of sources of flood-related information (2.62), extension contact (2.54), social participation (2.53), sex ratio (2.53), availability of fodder sources (2.50), assistance received from external agencies (2.40), expenditure on livestock (2.39), average age of family members (2.30), incidence of social migration (2.23), proportion of crossbred animals in the herd (2.22), farmer-to-farmer extension (2.06), landholding size (1.97), and overall family education status (1.91).</w:t>
      </w:r>
    </w:p>
    <w:p w14:paraId="6BCC0BDC" w14:textId="77777777" w:rsidR="00793A3C" w:rsidRDefault="00793A3C" w:rsidP="00996689">
      <w:pPr>
        <w:tabs>
          <w:tab w:val="left" w:pos="722"/>
        </w:tabs>
        <w:autoSpaceDE w:val="0"/>
        <w:autoSpaceDN w:val="0"/>
        <w:adjustRightInd w:val="0"/>
        <w:spacing w:line="360" w:lineRule="auto"/>
        <w:jc w:val="both"/>
        <w:rPr>
          <w:rFonts w:ascii="Times New Roman" w:hAnsi="Times New Roman" w:cs="Times New Roman"/>
          <w:sz w:val="24"/>
          <w:szCs w:val="24"/>
        </w:rPr>
      </w:pPr>
    </w:p>
    <w:p w14:paraId="44CC7324" w14:textId="77777777" w:rsidR="00793A3C" w:rsidRDefault="00793A3C" w:rsidP="00996689">
      <w:pPr>
        <w:tabs>
          <w:tab w:val="left" w:pos="722"/>
        </w:tabs>
        <w:autoSpaceDE w:val="0"/>
        <w:autoSpaceDN w:val="0"/>
        <w:adjustRightInd w:val="0"/>
        <w:spacing w:line="360" w:lineRule="auto"/>
        <w:jc w:val="both"/>
        <w:rPr>
          <w:rFonts w:ascii="Times New Roman" w:hAnsi="Times New Roman" w:cs="Times New Roman"/>
          <w:sz w:val="24"/>
          <w:szCs w:val="24"/>
        </w:rPr>
      </w:pPr>
    </w:p>
    <w:p w14:paraId="67AB82F7" w14:textId="77777777" w:rsidR="00793A3C" w:rsidRDefault="00793A3C" w:rsidP="00996689">
      <w:pPr>
        <w:tabs>
          <w:tab w:val="left" w:pos="722"/>
        </w:tabs>
        <w:autoSpaceDE w:val="0"/>
        <w:autoSpaceDN w:val="0"/>
        <w:adjustRightInd w:val="0"/>
        <w:spacing w:line="360" w:lineRule="auto"/>
        <w:jc w:val="both"/>
        <w:rPr>
          <w:rFonts w:ascii="Times New Roman" w:hAnsi="Times New Roman" w:cs="Times New Roman"/>
          <w:sz w:val="24"/>
          <w:szCs w:val="24"/>
        </w:rPr>
      </w:pPr>
    </w:p>
    <w:p w14:paraId="68013311" w14:textId="77777777" w:rsidR="00793A3C" w:rsidRDefault="00793A3C" w:rsidP="00996689">
      <w:pPr>
        <w:tabs>
          <w:tab w:val="left" w:pos="722"/>
        </w:tabs>
        <w:autoSpaceDE w:val="0"/>
        <w:autoSpaceDN w:val="0"/>
        <w:adjustRightInd w:val="0"/>
        <w:spacing w:line="360" w:lineRule="auto"/>
        <w:jc w:val="both"/>
        <w:rPr>
          <w:rFonts w:ascii="Times New Roman" w:hAnsi="Times New Roman" w:cs="Times New Roman"/>
          <w:sz w:val="24"/>
          <w:szCs w:val="24"/>
        </w:rPr>
      </w:pPr>
    </w:p>
    <w:p w14:paraId="56524B38" w14:textId="77777777" w:rsidR="00793A3C" w:rsidRDefault="00793A3C" w:rsidP="00996689">
      <w:pPr>
        <w:tabs>
          <w:tab w:val="left" w:pos="722"/>
        </w:tabs>
        <w:autoSpaceDE w:val="0"/>
        <w:autoSpaceDN w:val="0"/>
        <w:adjustRightInd w:val="0"/>
        <w:spacing w:line="360" w:lineRule="auto"/>
        <w:jc w:val="both"/>
        <w:rPr>
          <w:rFonts w:ascii="Times New Roman" w:hAnsi="Times New Roman" w:cs="Times New Roman"/>
          <w:sz w:val="24"/>
          <w:szCs w:val="24"/>
        </w:rPr>
      </w:pPr>
    </w:p>
    <w:p w14:paraId="1A22D5E6" w14:textId="77777777" w:rsidR="00793A3C" w:rsidRDefault="00793A3C" w:rsidP="00996689">
      <w:pPr>
        <w:tabs>
          <w:tab w:val="left" w:pos="722"/>
        </w:tabs>
        <w:autoSpaceDE w:val="0"/>
        <w:autoSpaceDN w:val="0"/>
        <w:adjustRightInd w:val="0"/>
        <w:spacing w:line="360" w:lineRule="auto"/>
        <w:jc w:val="both"/>
        <w:rPr>
          <w:rFonts w:ascii="Times New Roman" w:hAnsi="Times New Roman" w:cs="Times New Roman"/>
          <w:sz w:val="24"/>
          <w:szCs w:val="24"/>
        </w:rPr>
      </w:pPr>
    </w:p>
    <w:p w14:paraId="5954C9CB" w14:textId="7B65C052" w:rsidR="005B02EE" w:rsidRPr="00996689" w:rsidRDefault="005B02EE" w:rsidP="00996689">
      <w:pPr>
        <w:spacing w:line="360" w:lineRule="auto"/>
        <w:jc w:val="both"/>
        <w:rPr>
          <w:rFonts w:ascii="Times New Roman" w:hAnsi="Times New Roman" w:cs="Times New Roman"/>
          <w:b/>
          <w:bCs/>
          <w:sz w:val="24"/>
          <w:szCs w:val="24"/>
          <w:u w:val="single"/>
        </w:rPr>
      </w:pPr>
      <w:r w:rsidRPr="00996689">
        <w:rPr>
          <w:rFonts w:ascii="Times New Roman" w:hAnsi="Times New Roman" w:cs="Times New Roman"/>
          <w:b/>
          <w:noProof/>
          <w:spacing w:val="-3"/>
          <w:w w:val="95"/>
          <w:sz w:val="24"/>
          <w:szCs w:val="24"/>
        </w:rPr>
        <w:lastRenderedPageBreak/>
        <w:t>Table</w:t>
      </w:r>
      <w:r w:rsidRPr="00996689">
        <w:rPr>
          <w:rFonts w:ascii="Times New Roman" w:hAnsi="Times New Roman" w:cs="Times New Roman"/>
          <w:b/>
          <w:noProof/>
          <w:spacing w:val="5"/>
          <w:sz w:val="24"/>
          <w:szCs w:val="24"/>
        </w:rPr>
        <w:t> </w:t>
      </w:r>
      <w:r w:rsidRPr="00996689">
        <w:rPr>
          <w:rFonts w:ascii="Times New Roman" w:hAnsi="Times New Roman" w:cs="Times New Roman"/>
          <w:b/>
          <w:noProof/>
          <w:spacing w:val="-2"/>
          <w:w w:val="95"/>
          <w:sz w:val="24"/>
          <w:szCs w:val="24"/>
        </w:rPr>
        <w:t>4.</w:t>
      </w:r>
      <w:r w:rsidRPr="00996689">
        <w:rPr>
          <w:rFonts w:ascii="Times New Roman" w:hAnsi="Times New Roman" w:cs="Times New Roman"/>
          <w:b/>
          <w:bCs/>
          <w:noProof/>
          <w:spacing w:val="-2"/>
          <w:w w:val="95"/>
          <w:sz w:val="24"/>
          <w:szCs w:val="24"/>
        </w:rPr>
        <w:t xml:space="preserve"> </w:t>
      </w:r>
      <w:r w:rsidRPr="00996689">
        <w:rPr>
          <w:rFonts w:ascii="Times New Roman" w:hAnsi="Times New Roman" w:cs="Times New Roman"/>
          <w:b/>
          <w:bCs/>
          <w:noProof/>
          <w:spacing w:val="-2"/>
          <w:w w:val="95"/>
          <w:sz w:val="24"/>
          <w:szCs w:val="24"/>
          <w:cs/>
        </w:rPr>
        <w:t xml:space="preserve">Indicators of adaptive capacity and their suitability &amp; weightage    </w:t>
      </w:r>
      <w:r w:rsidRPr="00996689">
        <w:rPr>
          <w:rFonts w:ascii="Times New Roman" w:hAnsi="Times New Roman" w:cs="Times New Roman"/>
          <w:b/>
          <w:sz w:val="24"/>
          <w:szCs w:val="24"/>
        </w:rPr>
        <w:t>(</w:t>
      </w:r>
      <w:r w:rsidRPr="00996689">
        <w:rPr>
          <w:rFonts w:ascii="Times New Roman" w:eastAsia="Calibri" w:hAnsi="Times New Roman" w:cs="Times New Roman"/>
          <w:b/>
          <w:bCs/>
          <w:kern w:val="24"/>
          <w:sz w:val="24"/>
          <w:szCs w:val="24"/>
        </w:rPr>
        <w:t>n=120)</w:t>
      </w:r>
    </w:p>
    <w:tbl>
      <w:tblPr>
        <w:tblStyle w:val="TableGrid"/>
        <w:tblW w:w="5047" w:type="pct"/>
        <w:tblLayout w:type="fixed"/>
        <w:tblLook w:val="04A0" w:firstRow="1" w:lastRow="0" w:firstColumn="1" w:lastColumn="0" w:noHBand="0" w:noVBand="1"/>
      </w:tblPr>
      <w:tblGrid>
        <w:gridCol w:w="554"/>
        <w:gridCol w:w="2541"/>
        <w:gridCol w:w="954"/>
        <w:gridCol w:w="1312"/>
        <w:gridCol w:w="1028"/>
        <w:gridCol w:w="1320"/>
        <w:gridCol w:w="1392"/>
      </w:tblGrid>
      <w:tr w:rsidR="005B02EE" w:rsidRPr="00996689" w14:paraId="12779A5A" w14:textId="77777777" w:rsidTr="00E116D0">
        <w:trPr>
          <w:trHeight w:val="608"/>
        </w:trPr>
        <w:tc>
          <w:tcPr>
            <w:tcW w:w="1700" w:type="pct"/>
            <w:gridSpan w:val="2"/>
            <w:vMerge w:val="restart"/>
            <w:vAlign w:val="center"/>
          </w:tcPr>
          <w:p w14:paraId="24CE663C"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 xml:space="preserve">Indicators of </w:t>
            </w:r>
          </w:p>
          <w:p w14:paraId="1D34DE72"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adaptive capacity</w:t>
            </w:r>
          </w:p>
        </w:tc>
        <w:tc>
          <w:tcPr>
            <w:tcW w:w="1245" w:type="pct"/>
            <w:gridSpan w:val="2"/>
            <w:vAlign w:val="center"/>
          </w:tcPr>
          <w:p w14:paraId="10467C4E"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1</w:t>
            </w:r>
            <w:r w:rsidRPr="00996689">
              <w:rPr>
                <w:rFonts w:ascii="Times New Roman" w:hAnsi="Times New Roman" w:cs="Times New Roman"/>
                <w:b/>
                <w:sz w:val="24"/>
                <w:szCs w:val="24"/>
                <w:vertAlign w:val="superscript"/>
              </w:rPr>
              <w:t>st</w:t>
            </w:r>
            <w:r w:rsidRPr="00996689">
              <w:rPr>
                <w:rFonts w:ascii="Times New Roman" w:hAnsi="Times New Roman" w:cs="Times New Roman"/>
                <w:b/>
                <w:sz w:val="24"/>
                <w:szCs w:val="24"/>
              </w:rPr>
              <w:t xml:space="preserve"> Run of Factor analysis</w:t>
            </w:r>
          </w:p>
        </w:tc>
        <w:tc>
          <w:tcPr>
            <w:tcW w:w="1290" w:type="pct"/>
            <w:gridSpan w:val="2"/>
            <w:vAlign w:val="center"/>
          </w:tcPr>
          <w:p w14:paraId="7B1B7B59"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2</w:t>
            </w:r>
            <w:r w:rsidRPr="00996689">
              <w:rPr>
                <w:rFonts w:ascii="Times New Roman" w:hAnsi="Times New Roman" w:cs="Times New Roman"/>
                <w:b/>
                <w:sz w:val="24"/>
                <w:szCs w:val="24"/>
                <w:vertAlign w:val="superscript"/>
              </w:rPr>
              <w:t>nd</w:t>
            </w:r>
            <w:r w:rsidRPr="00996689">
              <w:rPr>
                <w:rFonts w:ascii="Times New Roman" w:hAnsi="Times New Roman" w:cs="Times New Roman"/>
                <w:b/>
                <w:sz w:val="24"/>
                <w:szCs w:val="24"/>
              </w:rPr>
              <w:t xml:space="preserve"> Run of Factor analysis</w:t>
            </w:r>
          </w:p>
        </w:tc>
        <w:tc>
          <w:tcPr>
            <w:tcW w:w="765" w:type="pct"/>
            <w:vMerge w:val="restart"/>
            <w:vAlign w:val="center"/>
          </w:tcPr>
          <w:p w14:paraId="6857FC51"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Weightage</w:t>
            </w:r>
          </w:p>
        </w:tc>
      </w:tr>
      <w:tr w:rsidR="005B02EE" w:rsidRPr="00996689" w14:paraId="4A1F8FA0" w14:textId="77777777" w:rsidTr="00E116D0">
        <w:trPr>
          <w:trHeight w:val="534"/>
        </w:trPr>
        <w:tc>
          <w:tcPr>
            <w:tcW w:w="1700" w:type="pct"/>
            <w:gridSpan w:val="2"/>
            <w:vMerge/>
            <w:vAlign w:val="center"/>
          </w:tcPr>
          <w:p w14:paraId="116929E4" w14:textId="77777777" w:rsidR="005B02EE" w:rsidRPr="00996689" w:rsidRDefault="005B02EE" w:rsidP="00996689">
            <w:pPr>
              <w:spacing w:line="360" w:lineRule="auto"/>
              <w:jc w:val="both"/>
              <w:rPr>
                <w:rFonts w:ascii="Times New Roman" w:hAnsi="Times New Roman" w:cs="Times New Roman"/>
                <w:b/>
                <w:sz w:val="24"/>
                <w:szCs w:val="24"/>
              </w:rPr>
            </w:pPr>
          </w:p>
        </w:tc>
        <w:tc>
          <w:tcPr>
            <w:tcW w:w="1245" w:type="pct"/>
            <w:gridSpan w:val="2"/>
            <w:vAlign w:val="center"/>
          </w:tcPr>
          <w:p w14:paraId="0A78D657"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Communalities</w:t>
            </w:r>
          </w:p>
        </w:tc>
        <w:tc>
          <w:tcPr>
            <w:tcW w:w="1290" w:type="pct"/>
            <w:gridSpan w:val="2"/>
            <w:vAlign w:val="center"/>
          </w:tcPr>
          <w:p w14:paraId="58C37828"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Communalities</w:t>
            </w:r>
          </w:p>
        </w:tc>
        <w:tc>
          <w:tcPr>
            <w:tcW w:w="765" w:type="pct"/>
            <w:vMerge/>
          </w:tcPr>
          <w:p w14:paraId="5DE58B58" w14:textId="77777777" w:rsidR="005B02EE" w:rsidRPr="00996689" w:rsidRDefault="005B02EE" w:rsidP="00996689">
            <w:pPr>
              <w:spacing w:line="360" w:lineRule="auto"/>
              <w:jc w:val="both"/>
              <w:rPr>
                <w:rFonts w:ascii="Times New Roman" w:hAnsi="Times New Roman" w:cs="Times New Roman"/>
                <w:sz w:val="24"/>
                <w:szCs w:val="24"/>
              </w:rPr>
            </w:pPr>
          </w:p>
        </w:tc>
      </w:tr>
      <w:tr w:rsidR="005B02EE" w:rsidRPr="00996689" w14:paraId="66D0BF63" w14:textId="77777777" w:rsidTr="00E116D0">
        <w:trPr>
          <w:trHeight w:val="583"/>
        </w:trPr>
        <w:tc>
          <w:tcPr>
            <w:tcW w:w="1699" w:type="pct"/>
            <w:gridSpan w:val="2"/>
            <w:vMerge/>
            <w:vAlign w:val="center"/>
          </w:tcPr>
          <w:p w14:paraId="37D5D31A" w14:textId="77777777" w:rsidR="005B02EE" w:rsidRPr="00996689" w:rsidRDefault="005B02EE" w:rsidP="00996689">
            <w:pPr>
              <w:spacing w:line="360" w:lineRule="auto"/>
              <w:jc w:val="both"/>
              <w:rPr>
                <w:rFonts w:ascii="Times New Roman" w:hAnsi="Times New Roman" w:cs="Times New Roman"/>
                <w:b/>
                <w:sz w:val="24"/>
                <w:szCs w:val="24"/>
              </w:rPr>
            </w:pPr>
          </w:p>
        </w:tc>
        <w:tc>
          <w:tcPr>
            <w:tcW w:w="524" w:type="pct"/>
            <w:vAlign w:val="center"/>
          </w:tcPr>
          <w:p w14:paraId="21106E74"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Initial</w:t>
            </w:r>
          </w:p>
        </w:tc>
        <w:tc>
          <w:tcPr>
            <w:tcW w:w="721" w:type="pct"/>
            <w:vAlign w:val="center"/>
          </w:tcPr>
          <w:p w14:paraId="0E6A2219"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Extraction</w:t>
            </w:r>
          </w:p>
        </w:tc>
        <w:tc>
          <w:tcPr>
            <w:tcW w:w="565" w:type="pct"/>
            <w:vAlign w:val="center"/>
          </w:tcPr>
          <w:p w14:paraId="18AAD746"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Initial</w:t>
            </w:r>
          </w:p>
        </w:tc>
        <w:tc>
          <w:tcPr>
            <w:tcW w:w="725" w:type="pct"/>
            <w:vAlign w:val="center"/>
          </w:tcPr>
          <w:p w14:paraId="6D116920"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b/>
                <w:sz w:val="24"/>
                <w:szCs w:val="24"/>
              </w:rPr>
              <w:t>Extraction</w:t>
            </w:r>
          </w:p>
        </w:tc>
        <w:tc>
          <w:tcPr>
            <w:tcW w:w="766" w:type="pct"/>
            <w:vMerge/>
          </w:tcPr>
          <w:p w14:paraId="4FFAE284" w14:textId="77777777" w:rsidR="005B02EE" w:rsidRPr="00996689" w:rsidRDefault="005B02EE" w:rsidP="00996689">
            <w:pPr>
              <w:spacing w:line="360" w:lineRule="auto"/>
              <w:jc w:val="both"/>
              <w:rPr>
                <w:rFonts w:ascii="Times New Roman" w:hAnsi="Times New Roman" w:cs="Times New Roman"/>
                <w:sz w:val="24"/>
                <w:szCs w:val="24"/>
              </w:rPr>
            </w:pPr>
          </w:p>
        </w:tc>
      </w:tr>
      <w:tr w:rsidR="005B02EE" w:rsidRPr="00996689" w14:paraId="5597885F" w14:textId="77777777" w:rsidTr="00E116D0">
        <w:trPr>
          <w:trHeight w:val="20"/>
        </w:trPr>
        <w:tc>
          <w:tcPr>
            <w:tcW w:w="4234" w:type="pct"/>
            <w:gridSpan w:val="6"/>
            <w:vAlign w:val="center"/>
          </w:tcPr>
          <w:p w14:paraId="714B2635"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Human Capital</w:t>
            </w:r>
          </w:p>
        </w:tc>
        <w:tc>
          <w:tcPr>
            <w:tcW w:w="766" w:type="pct"/>
          </w:tcPr>
          <w:p w14:paraId="6B05B903" w14:textId="77777777" w:rsidR="005B02EE" w:rsidRPr="00996689" w:rsidRDefault="005B02EE" w:rsidP="00996689">
            <w:pPr>
              <w:pStyle w:val="ListParagraph"/>
              <w:spacing w:line="360" w:lineRule="auto"/>
              <w:ind w:left="0"/>
              <w:contextualSpacing w:val="0"/>
              <w:jc w:val="both"/>
              <w:rPr>
                <w:rFonts w:ascii="Times New Roman" w:hAnsi="Times New Roman" w:cs="Times New Roman"/>
                <w:b/>
                <w:sz w:val="24"/>
                <w:szCs w:val="24"/>
              </w:rPr>
            </w:pPr>
          </w:p>
        </w:tc>
      </w:tr>
      <w:tr w:rsidR="005B02EE" w:rsidRPr="00996689" w14:paraId="0FF72AB8" w14:textId="77777777" w:rsidTr="00E116D0">
        <w:trPr>
          <w:trHeight w:val="20"/>
        </w:trPr>
        <w:tc>
          <w:tcPr>
            <w:tcW w:w="304" w:type="pct"/>
            <w:vAlign w:val="center"/>
          </w:tcPr>
          <w:p w14:paraId="31578E16" w14:textId="77777777" w:rsidR="005B02EE" w:rsidRPr="00996689" w:rsidRDefault="005B02EE" w:rsidP="00996689">
            <w:pPr>
              <w:spacing w:line="360" w:lineRule="auto"/>
              <w:jc w:val="both"/>
              <w:rPr>
                <w:rFonts w:ascii="Times New Roman" w:hAnsi="Times New Roman" w:cs="Times New Roman"/>
                <w:sz w:val="24"/>
                <w:szCs w:val="24"/>
              </w:rPr>
            </w:pPr>
            <w:proofErr w:type="spellStart"/>
            <w:r w:rsidRPr="00996689">
              <w:rPr>
                <w:rFonts w:ascii="Times New Roman" w:hAnsi="Times New Roman" w:cs="Times New Roman"/>
                <w:sz w:val="24"/>
                <w:szCs w:val="24"/>
              </w:rPr>
              <w:t>i</w:t>
            </w:r>
            <w:proofErr w:type="spellEnd"/>
          </w:p>
        </w:tc>
        <w:tc>
          <w:tcPr>
            <w:tcW w:w="1396" w:type="pct"/>
            <w:vAlign w:val="center"/>
          </w:tcPr>
          <w:p w14:paraId="06F2B936"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Age of Respondent (years)</w:t>
            </w:r>
          </w:p>
        </w:tc>
        <w:tc>
          <w:tcPr>
            <w:tcW w:w="524" w:type="pct"/>
            <w:vAlign w:val="center"/>
          </w:tcPr>
          <w:p w14:paraId="28B8109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3860CDF1"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.670</w:t>
            </w:r>
          </w:p>
        </w:tc>
        <w:tc>
          <w:tcPr>
            <w:tcW w:w="565" w:type="pct"/>
            <w:vAlign w:val="center"/>
          </w:tcPr>
          <w:p w14:paraId="74C957A9"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6B34E8AD"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.692</w:t>
            </w:r>
          </w:p>
        </w:tc>
        <w:tc>
          <w:tcPr>
            <w:tcW w:w="766" w:type="pct"/>
            <w:vAlign w:val="center"/>
          </w:tcPr>
          <w:p w14:paraId="67CF1F7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3.07</w:t>
            </w:r>
          </w:p>
        </w:tc>
      </w:tr>
      <w:tr w:rsidR="005B02EE" w:rsidRPr="00996689" w14:paraId="1D30D0E8" w14:textId="77777777" w:rsidTr="00E116D0">
        <w:trPr>
          <w:trHeight w:val="20"/>
        </w:trPr>
        <w:tc>
          <w:tcPr>
            <w:tcW w:w="304" w:type="pct"/>
            <w:vAlign w:val="center"/>
          </w:tcPr>
          <w:p w14:paraId="182E8C71"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w:t>
            </w:r>
          </w:p>
        </w:tc>
        <w:tc>
          <w:tcPr>
            <w:tcW w:w="1396" w:type="pct"/>
            <w:vAlign w:val="center"/>
          </w:tcPr>
          <w:p w14:paraId="4CCE9C59"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Average age of family Members</w:t>
            </w:r>
          </w:p>
        </w:tc>
        <w:tc>
          <w:tcPr>
            <w:tcW w:w="524" w:type="pct"/>
            <w:vAlign w:val="center"/>
          </w:tcPr>
          <w:p w14:paraId="2D50DF3F"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1291305B"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.651</w:t>
            </w:r>
          </w:p>
        </w:tc>
        <w:tc>
          <w:tcPr>
            <w:tcW w:w="565" w:type="pct"/>
            <w:vAlign w:val="center"/>
          </w:tcPr>
          <w:p w14:paraId="66F8DCF0"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7440C0C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.664</w:t>
            </w:r>
          </w:p>
        </w:tc>
        <w:tc>
          <w:tcPr>
            <w:tcW w:w="766" w:type="pct"/>
            <w:vAlign w:val="center"/>
          </w:tcPr>
          <w:p w14:paraId="733040BF"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2.30</w:t>
            </w:r>
          </w:p>
        </w:tc>
      </w:tr>
      <w:tr w:rsidR="005B02EE" w:rsidRPr="00996689" w14:paraId="2DF076A5" w14:textId="77777777" w:rsidTr="00E116D0">
        <w:trPr>
          <w:trHeight w:val="20"/>
        </w:trPr>
        <w:tc>
          <w:tcPr>
            <w:tcW w:w="304" w:type="pct"/>
            <w:vAlign w:val="center"/>
          </w:tcPr>
          <w:p w14:paraId="74CB0EF2"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iii</w:t>
            </w:r>
          </w:p>
        </w:tc>
        <w:tc>
          <w:tcPr>
            <w:tcW w:w="1396" w:type="pct"/>
            <w:vAlign w:val="center"/>
          </w:tcPr>
          <w:p w14:paraId="2D0962BC"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Family Education Status</w:t>
            </w:r>
          </w:p>
        </w:tc>
        <w:tc>
          <w:tcPr>
            <w:tcW w:w="524" w:type="pct"/>
            <w:vAlign w:val="center"/>
          </w:tcPr>
          <w:p w14:paraId="5C1D93D9"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75BDC59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.671</w:t>
            </w:r>
          </w:p>
        </w:tc>
        <w:tc>
          <w:tcPr>
            <w:tcW w:w="565" w:type="pct"/>
            <w:vAlign w:val="center"/>
          </w:tcPr>
          <w:p w14:paraId="0C52494A"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4BD2531B"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.675</w:t>
            </w:r>
          </w:p>
        </w:tc>
        <w:tc>
          <w:tcPr>
            <w:tcW w:w="766" w:type="pct"/>
            <w:vAlign w:val="center"/>
          </w:tcPr>
          <w:p w14:paraId="5ECB07A0"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1.91</w:t>
            </w:r>
          </w:p>
        </w:tc>
      </w:tr>
      <w:tr w:rsidR="005B02EE" w:rsidRPr="00996689" w14:paraId="6A4D9086" w14:textId="77777777" w:rsidTr="00E116D0">
        <w:trPr>
          <w:trHeight w:val="528"/>
        </w:trPr>
        <w:tc>
          <w:tcPr>
            <w:tcW w:w="304" w:type="pct"/>
            <w:vAlign w:val="center"/>
          </w:tcPr>
          <w:p w14:paraId="7D045288"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iv</w:t>
            </w:r>
          </w:p>
        </w:tc>
        <w:tc>
          <w:tcPr>
            <w:tcW w:w="1396" w:type="pct"/>
            <w:vAlign w:val="center"/>
          </w:tcPr>
          <w:p w14:paraId="29DF2D42"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Sex ratio</w:t>
            </w:r>
          </w:p>
        </w:tc>
        <w:tc>
          <w:tcPr>
            <w:tcW w:w="524" w:type="pct"/>
            <w:vAlign w:val="center"/>
          </w:tcPr>
          <w:p w14:paraId="71D80E92"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08B3EFD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.458</w:t>
            </w:r>
          </w:p>
        </w:tc>
        <w:tc>
          <w:tcPr>
            <w:tcW w:w="565" w:type="pct"/>
            <w:vAlign w:val="center"/>
          </w:tcPr>
          <w:p w14:paraId="7A0443FF"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10B17F62"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.470</w:t>
            </w:r>
          </w:p>
        </w:tc>
        <w:tc>
          <w:tcPr>
            <w:tcW w:w="766" w:type="pct"/>
            <w:vAlign w:val="center"/>
          </w:tcPr>
          <w:p w14:paraId="04707BE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2.53</w:t>
            </w:r>
          </w:p>
        </w:tc>
      </w:tr>
      <w:tr w:rsidR="005B02EE" w:rsidRPr="00996689" w14:paraId="0710DE6B" w14:textId="77777777" w:rsidTr="00E116D0">
        <w:trPr>
          <w:trHeight w:val="564"/>
        </w:trPr>
        <w:tc>
          <w:tcPr>
            <w:tcW w:w="5000" w:type="pct"/>
            <w:gridSpan w:val="7"/>
            <w:vAlign w:val="center"/>
          </w:tcPr>
          <w:p w14:paraId="3CAE5573"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Social Capital</w:t>
            </w:r>
          </w:p>
        </w:tc>
      </w:tr>
      <w:tr w:rsidR="005B02EE" w:rsidRPr="00996689" w14:paraId="61C30BC9" w14:textId="77777777" w:rsidTr="00E116D0">
        <w:trPr>
          <w:trHeight w:val="20"/>
        </w:trPr>
        <w:tc>
          <w:tcPr>
            <w:tcW w:w="304" w:type="pct"/>
            <w:vAlign w:val="center"/>
          </w:tcPr>
          <w:p w14:paraId="2D3166D8" w14:textId="77777777" w:rsidR="005B02EE" w:rsidRPr="00996689" w:rsidRDefault="005B02EE" w:rsidP="00996689">
            <w:pPr>
              <w:spacing w:line="360" w:lineRule="auto"/>
              <w:jc w:val="both"/>
              <w:rPr>
                <w:rFonts w:ascii="Times New Roman" w:hAnsi="Times New Roman" w:cs="Times New Roman"/>
                <w:sz w:val="24"/>
                <w:szCs w:val="24"/>
              </w:rPr>
            </w:pPr>
            <w:proofErr w:type="spellStart"/>
            <w:r w:rsidRPr="00996689">
              <w:rPr>
                <w:rFonts w:ascii="Times New Roman" w:hAnsi="Times New Roman" w:cs="Times New Roman"/>
                <w:sz w:val="24"/>
                <w:szCs w:val="24"/>
              </w:rPr>
              <w:t>i</w:t>
            </w:r>
            <w:proofErr w:type="spellEnd"/>
          </w:p>
        </w:tc>
        <w:tc>
          <w:tcPr>
            <w:tcW w:w="1396" w:type="pct"/>
            <w:vAlign w:val="center"/>
          </w:tcPr>
          <w:p w14:paraId="5B433A3E"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Sum of community participation</w:t>
            </w:r>
          </w:p>
        </w:tc>
        <w:tc>
          <w:tcPr>
            <w:tcW w:w="524" w:type="pct"/>
            <w:vAlign w:val="center"/>
          </w:tcPr>
          <w:p w14:paraId="3D1E4B31"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4E377B81" w14:textId="77777777" w:rsidR="005B02EE" w:rsidRPr="00996689" w:rsidRDefault="005B02EE" w:rsidP="00996689">
            <w:pPr>
              <w:pStyle w:val="NormalWeb"/>
              <w:spacing w:before="0" w:beforeAutospacing="0" w:after="0" w:afterAutospacing="0" w:line="360" w:lineRule="auto"/>
              <w:jc w:val="both"/>
              <w:rPr>
                <w:b/>
              </w:rPr>
            </w:pPr>
            <w:r w:rsidRPr="00996689">
              <w:t>.391*</w:t>
            </w:r>
          </w:p>
        </w:tc>
        <w:tc>
          <w:tcPr>
            <w:tcW w:w="2056" w:type="pct"/>
            <w:gridSpan w:val="3"/>
            <w:vAlign w:val="center"/>
          </w:tcPr>
          <w:p w14:paraId="4189E27F" w14:textId="77777777" w:rsidR="005B02EE" w:rsidRPr="00996689" w:rsidRDefault="005B02EE" w:rsidP="00996689">
            <w:pPr>
              <w:spacing w:line="360" w:lineRule="auto"/>
              <w:jc w:val="both"/>
              <w:rPr>
                <w:rFonts w:ascii="Times New Roman" w:hAnsi="Times New Roman" w:cs="Times New Roman"/>
                <w:sz w:val="24"/>
                <w:szCs w:val="24"/>
              </w:rPr>
            </w:pPr>
          </w:p>
        </w:tc>
      </w:tr>
      <w:tr w:rsidR="005B02EE" w:rsidRPr="00996689" w14:paraId="62C193FE" w14:textId="77777777" w:rsidTr="00E116D0">
        <w:trPr>
          <w:trHeight w:val="20"/>
        </w:trPr>
        <w:tc>
          <w:tcPr>
            <w:tcW w:w="304" w:type="pct"/>
            <w:vAlign w:val="center"/>
          </w:tcPr>
          <w:p w14:paraId="12A7FC35"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w:t>
            </w:r>
          </w:p>
        </w:tc>
        <w:tc>
          <w:tcPr>
            <w:tcW w:w="1396" w:type="pct"/>
            <w:vAlign w:val="center"/>
          </w:tcPr>
          <w:p w14:paraId="51833D18"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Sum of community cohesiveness</w:t>
            </w:r>
          </w:p>
        </w:tc>
        <w:tc>
          <w:tcPr>
            <w:tcW w:w="524" w:type="pct"/>
            <w:vAlign w:val="center"/>
          </w:tcPr>
          <w:p w14:paraId="32CB924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46B71EA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.631</w:t>
            </w:r>
          </w:p>
        </w:tc>
        <w:tc>
          <w:tcPr>
            <w:tcW w:w="565" w:type="pct"/>
            <w:vAlign w:val="center"/>
          </w:tcPr>
          <w:p w14:paraId="7A1FF8B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37952440"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.634</w:t>
            </w:r>
          </w:p>
        </w:tc>
        <w:tc>
          <w:tcPr>
            <w:tcW w:w="766" w:type="pct"/>
            <w:vAlign w:val="center"/>
          </w:tcPr>
          <w:p w14:paraId="6F9C85B0"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3.05</w:t>
            </w:r>
          </w:p>
        </w:tc>
      </w:tr>
      <w:tr w:rsidR="005B02EE" w:rsidRPr="00996689" w14:paraId="79CBB6A1" w14:textId="77777777" w:rsidTr="00E116D0">
        <w:trPr>
          <w:trHeight w:val="20"/>
        </w:trPr>
        <w:tc>
          <w:tcPr>
            <w:tcW w:w="304" w:type="pct"/>
            <w:vAlign w:val="center"/>
          </w:tcPr>
          <w:p w14:paraId="37575635"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iii</w:t>
            </w:r>
          </w:p>
        </w:tc>
        <w:tc>
          <w:tcPr>
            <w:tcW w:w="1396" w:type="pct"/>
            <w:vAlign w:val="center"/>
          </w:tcPr>
          <w:p w14:paraId="2C930E6A"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Social Migrated Days</w:t>
            </w:r>
          </w:p>
        </w:tc>
        <w:tc>
          <w:tcPr>
            <w:tcW w:w="524" w:type="pct"/>
            <w:vAlign w:val="center"/>
          </w:tcPr>
          <w:p w14:paraId="209CC636"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396CC6F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.656</w:t>
            </w:r>
          </w:p>
        </w:tc>
        <w:tc>
          <w:tcPr>
            <w:tcW w:w="565" w:type="pct"/>
            <w:vAlign w:val="center"/>
          </w:tcPr>
          <w:p w14:paraId="1D19677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72A31E7D"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.638</w:t>
            </w:r>
          </w:p>
        </w:tc>
        <w:tc>
          <w:tcPr>
            <w:tcW w:w="766" w:type="pct"/>
            <w:vAlign w:val="center"/>
          </w:tcPr>
          <w:p w14:paraId="76D58E9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2.23</w:t>
            </w:r>
          </w:p>
        </w:tc>
      </w:tr>
      <w:tr w:rsidR="005B02EE" w:rsidRPr="00996689" w14:paraId="734EE874" w14:textId="77777777" w:rsidTr="00E116D0">
        <w:trPr>
          <w:trHeight w:val="20"/>
        </w:trPr>
        <w:tc>
          <w:tcPr>
            <w:tcW w:w="304" w:type="pct"/>
            <w:vAlign w:val="center"/>
          </w:tcPr>
          <w:p w14:paraId="172A29DD"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iv</w:t>
            </w:r>
          </w:p>
        </w:tc>
        <w:tc>
          <w:tcPr>
            <w:tcW w:w="1396" w:type="pct"/>
            <w:vAlign w:val="center"/>
          </w:tcPr>
          <w:p w14:paraId="4794C200"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Frequency of Extension Contact</w:t>
            </w:r>
          </w:p>
        </w:tc>
        <w:tc>
          <w:tcPr>
            <w:tcW w:w="524" w:type="pct"/>
            <w:vAlign w:val="center"/>
          </w:tcPr>
          <w:p w14:paraId="30E3551D"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1C450E9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.490</w:t>
            </w:r>
          </w:p>
        </w:tc>
        <w:tc>
          <w:tcPr>
            <w:tcW w:w="565" w:type="pct"/>
            <w:vAlign w:val="center"/>
          </w:tcPr>
          <w:p w14:paraId="204D23D3"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4A642A3F"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.532</w:t>
            </w:r>
          </w:p>
        </w:tc>
        <w:tc>
          <w:tcPr>
            <w:tcW w:w="766" w:type="pct"/>
            <w:vAlign w:val="center"/>
          </w:tcPr>
          <w:p w14:paraId="7FB58F7F"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2.54</w:t>
            </w:r>
          </w:p>
        </w:tc>
      </w:tr>
      <w:tr w:rsidR="005B02EE" w:rsidRPr="00996689" w14:paraId="4BB9762A" w14:textId="77777777" w:rsidTr="00E116D0">
        <w:trPr>
          <w:trHeight w:val="20"/>
        </w:trPr>
        <w:tc>
          <w:tcPr>
            <w:tcW w:w="304" w:type="pct"/>
            <w:vAlign w:val="center"/>
          </w:tcPr>
          <w:p w14:paraId="3538AAF1" w14:textId="77777777" w:rsidR="005B02EE" w:rsidRPr="00996689" w:rsidRDefault="005B02EE" w:rsidP="00996689">
            <w:pPr>
              <w:pStyle w:val="ListParagraph"/>
              <w:spacing w:line="360" w:lineRule="auto"/>
              <w:ind w:left="0"/>
              <w:contextualSpacing w:val="0"/>
              <w:jc w:val="both"/>
              <w:rPr>
                <w:rFonts w:ascii="Times New Roman" w:hAnsi="Times New Roman" w:cs="Times New Roman"/>
                <w:sz w:val="24"/>
                <w:szCs w:val="24"/>
              </w:rPr>
            </w:pPr>
            <w:r w:rsidRPr="00996689">
              <w:rPr>
                <w:rFonts w:ascii="Times New Roman" w:hAnsi="Times New Roman" w:cs="Times New Roman"/>
                <w:sz w:val="24"/>
                <w:szCs w:val="24"/>
              </w:rPr>
              <w:t>v</w:t>
            </w:r>
          </w:p>
        </w:tc>
        <w:tc>
          <w:tcPr>
            <w:tcW w:w="1396" w:type="pct"/>
            <w:vAlign w:val="center"/>
          </w:tcPr>
          <w:p w14:paraId="5A02C2AE"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Farmer to farmer extension</w:t>
            </w:r>
          </w:p>
        </w:tc>
        <w:tc>
          <w:tcPr>
            <w:tcW w:w="524" w:type="pct"/>
            <w:vAlign w:val="center"/>
          </w:tcPr>
          <w:p w14:paraId="36F372F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348E3AD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.691</w:t>
            </w:r>
          </w:p>
        </w:tc>
        <w:tc>
          <w:tcPr>
            <w:tcW w:w="565" w:type="pct"/>
            <w:vAlign w:val="center"/>
          </w:tcPr>
          <w:p w14:paraId="4F73D3B2"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298D371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.688</w:t>
            </w:r>
          </w:p>
        </w:tc>
        <w:tc>
          <w:tcPr>
            <w:tcW w:w="766" w:type="pct"/>
            <w:vAlign w:val="center"/>
          </w:tcPr>
          <w:p w14:paraId="29876EFC"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2.06</w:t>
            </w:r>
          </w:p>
        </w:tc>
      </w:tr>
      <w:tr w:rsidR="005B02EE" w:rsidRPr="00996689" w14:paraId="3F00E889" w14:textId="77777777" w:rsidTr="00E116D0">
        <w:trPr>
          <w:trHeight w:val="20"/>
        </w:trPr>
        <w:tc>
          <w:tcPr>
            <w:tcW w:w="304" w:type="pct"/>
            <w:vAlign w:val="center"/>
          </w:tcPr>
          <w:p w14:paraId="24F70113" w14:textId="77777777" w:rsidR="005B02EE" w:rsidRPr="00996689" w:rsidRDefault="005B02EE" w:rsidP="00996689">
            <w:pPr>
              <w:pStyle w:val="ListParagraph"/>
              <w:spacing w:line="360" w:lineRule="auto"/>
              <w:ind w:left="0"/>
              <w:contextualSpacing w:val="0"/>
              <w:jc w:val="both"/>
              <w:rPr>
                <w:rFonts w:ascii="Times New Roman" w:hAnsi="Times New Roman" w:cs="Times New Roman"/>
                <w:sz w:val="24"/>
                <w:szCs w:val="24"/>
              </w:rPr>
            </w:pPr>
            <w:r w:rsidRPr="00996689">
              <w:rPr>
                <w:rFonts w:ascii="Times New Roman" w:hAnsi="Times New Roman" w:cs="Times New Roman"/>
                <w:sz w:val="24"/>
                <w:szCs w:val="24"/>
              </w:rPr>
              <w:t>vi</w:t>
            </w:r>
          </w:p>
        </w:tc>
        <w:tc>
          <w:tcPr>
            <w:tcW w:w="1396" w:type="pct"/>
            <w:vAlign w:val="center"/>
          </w:tcPr>
          <w:p w14:paraId="32F10B3F"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Assistance from External Agency</w:t>
            </w:r>
          </w:p>
        </w:tc>
        <w:tc>
          <w:tcPr>
            <w:tcW w:w="524" w:type="pct"/>
            <w:vAlign w:val="center"/>
          </w:tcPr>
          <w:p w14:paraId="6449457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69FA5D9D"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.559</w:t>
            </w:r>
          </w:p>
        </w:tc>
        <w:tc>
          <w:tcPr>
            <w:tcW w:w="565" w:type="pct"/>
            <w:vAlign w:val="center"/>
          </w:tcPr>
          <w:p w14:paraId="44E62E2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4D8520AD"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.587</w:t>
            </w:r>
          </w:p>
        </w:tc>
        <w:tc>
          <w:tcPr>
            <w:tcW w:w="766" w:type="pct"/>
            <w:vAlign w:val="center"/>
          </w:tcPr>
          <w:p w14:paraId="0743618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2.40</w:t>
            </w:r>
          </w:p>
        </w:tc>
      </w:tr>
      <w:tr w:rsidR="005B02EE" w:rsidRPr="00996689" w14:paraId="3251DBD0" w14:textId="77777777" w:rsidTr="00E116D0">
        <w:trPr>
          <w:trHeight w:val="525"/>
        </w:trPr>
        <w:tc>
          <w:tcPr>
            <w:tcW w:w="304" w:type="pct"/>
            <w:vAlign w:val="center"/>
          </w:tcPr>
          <w:p w14:paraId="20E5929C" w14:textId="77777777" w:rsidR="005B02EE" w:rsidRPr="00996689" w:rsidRDefault="005B02EE" w:rsidP="00996689">
            <w:pPr>
              <w:pStyle w:val="ListParagraph"/>
              <w:spacing w:line="360" w:lineRule="auto"/>
              <w:ind w:left="0"/>
              <w:contextualSpacing w:val="0"/>
              <w:jc w:val="both"/>
              <w:rPr>
                <w:rFonts w:ascii="Times New Roman" w:hAnsi="Times New Roman" w:cs="Times New Roman"/>
                <w:sz w:val="24"/>
                <w:szCs w:val="24"/>
              </w:rPr>
            </w:pPr>
            <w:r w:rsidRPr="00996689">
              <w:rPr>
                <w:rFonts w:ascii="Times New Roman" w:hAnsi="Times New Roman" w:cs="Times New Roman"/>
                <w:sz w:val="24"/>
                <w:szCs w:val="24"/>
              </w:rPr>
              <w:t>vii</w:t>
            </w:r>
          </w:p>
        </w:tc>
        <w:tc>
          <w:tcPr>
            <w:tcW w:w="1396" w:type="pct"/>
            <w:vAlign w:val="center"/>
          </w:tcPr>
          <w:p w14:paraId="22361F0D"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Social Participation</w:t>
            </w:r>
          </w:p>
        </w:tc>
        <w:tc>
          <w:tcPr>
            <w:tcW w:w="524" w:type="pct"/>
            <w:vAlign w:val="center"/>
          </w:tcPr>
          <w:p w14:paraId="1151E7EE"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0E3B3D6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.673</w:t>
            </w:r>
          </w:p>
        </w:tc>
        <w:tc>
          <w:tcPr>
            <w:tcW w:w="565" w:type="pct"/>
            <w:vAlign w:val="center"/>
          </w:tcPr>
          <w:p w14:paraId="11AF44C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0BEE4E2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.675</w:t>
            </w:r>
          </w:p>
        </w:tc>
        <w:tc>
          <w:tcPr>
            <w:tcW w:w="766" w:type="pct"/>
            <w:vAlign w:val="center"/>
          </w:tcPr>
          <w:p w14:paraId="5038E910"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2.53</w:t>
            </w:r>
          </w:p>
        </w:tc>
      </w:tr>
      <w:tr w:rsidR="005B02EE" w:rsidRPr="00996689" w14:paraId="55148FE5" w14:textId="77777777" w:rsidTr="00E116D0">
        <w:trPr>
          <w:trHeight w:val="297"/>
        </w:trPr>
        <w:tc>
          <w:tcPr>
            <w:tcW w:w="5000" w:type="pct"/>
            <w:gridSpan w:val="7"/>
            <w:vAlign w:val="center"/>
          </w:tcPr>
          <w:p w14:paraId="096A7B9B"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Physical and natural capital</w:t>
            </w:r>
          </w:p>
        </w:tc>
      </w:tr>
      <w:tr w:rsidR="005B02EE" w:rsidRPr="00996689" w14:paraId="4EC1919B" w14:textId="77777777" w:rsidTr="00E116D0">
        <w:trPr>
          <w:trHeight w:val="558"/>
        </w:trPr>
        <w:tc>
          <w:tcPr>
            <w:tcW w:w="304" w:type="pct"/>
            <w:vAlign w:val="center"/>
          </w:tcPr>
          <w:p w14:paraId="10E132F0" w14:textId="77777777" w:rsidR="005B02EE" w:rsidRPr="00996689" w:rsidRDefault="005B02EE" w:rsidP="00996689">
            <w:pPr>
              <w:spacing w:line="360" w:lineRule="auto"/>
              <w:jc w:val="both"/>
              <w:rPr>
                <w:rFonts w:ascii="Times New Roman" w:hAnsi="Times New Roman" w:cs="Times New Roman"/>
                <w:sz w:val="24"/>
                <w:szCs w:val="24"/>
              </w:rPr>
            </w:pPr>
            <w:proofErr w:type="spellStart"/>
            <w:r w:rsidRPr="00996689">
              <w:rPr>
                <w:rFonts w:ascii="Times New Roman" w:hAnsi="Times New Roman" w:cs="Times New Roman"/>
                <w:sz w:val="24"/>
                <w:szCs w:val="24"/>
              </w:rPr>
              <w:t>i</w:t>
            </w:r>
            <w:proofErr w:type="spellEnd"/>
          </w:p>
        </w:tc>
        <w:tc>
          <w:tcPr>
            <w:tcW w:w="1396" w:type="pct"/>
            <w:vAlign w:val="center"/>
          </w:tcPr>
          <w:p w14:paraId="2A6BE67F"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Herd-Size</w:t>
            </w:r>
          </w:p>
        </w:tc>
        <w:tc>
          <w:tcPr>
            <w:tcW w:w="524" w:type="pct"/>
            <w:vAlign w:val="center"/>
          </w:tcPr>
          <w:p w14:paraId="087670A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42CC7A5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.770</w:t>
            </w:r>
          </w:p>
        </w:tc>
        <w:tc>
          <w:tcPr>
            <w:tcW w:w="565" w:type="pct"/>
            <w:vAlign w:val="center"/>
          </w:tcPr>
          <w:p w14:paraId="397DC32E"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28B58D4F"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.770</w:t>
            </w:r>
          </w:p>
        </w:tc>
        <w:tc>
          <w:tcPr>
            <w:tcW w:w="766" w:type="pct"/>
            <w:vAlign w:val="center"/>
          </w:tcPr>
          <w:p w14:paraId="57FAE21F"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2.72</w:t>
            </w:r>
          </w:p>
        </w:tc>
      </w:tr>
      <w:tr w:rsidR="005B02EE" w:rsidRPr="00996689" w14:paraId="73207CE6" w14:textId="77777777" w:rsidTr="00E116D0">
        <w:trPr>
          <w:trHeight w:val="20"/>
        </w:trPr>
        <w:tc>
          <w:tcPr>
            <w:tcW w:w="304" w:type="pct"/>
            <w:vAlign w:val="center"/>
          </w:tcPr>
          <w:p w14:paraId="72FBD90C"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w:t>
            </w:r>
          </w:p>
        </w:tc>
        <w:tc>
          <w:tcPr>
            <w:tcW w:w="1396" w:type="pct"/>
            <w:vAlign w:val="center"/>
          </w:tcPr>
          <w:p w14:paraId="42C29739"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Number of Fodder Sources</w:t>
            </w:r>
          </w:p>
        </w:tc>
        <w:tc>
          <w:tcPr>
            <w:tcW w:w="524" w:type="pct"/>
            <w:vAlign w:val="center"/>
          </w:tcPr>
          <w:p w14:paraId="3E3034E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5A6A81E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.512</w:t>
            </w:r>
          </w:p>
        </w:tc>
        <w:tc>
          <w:tcPr>
            <w:tcW w:w="565" w:type="pct"/>
            <w:vAlign w:val="center"/>
          </w:tcPr>
          <w:p w14:paraId="43061152"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5AD35C8A"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.532</w:t>
            </w:r>
          </w:p>
        </w:tc>
        <w:tc>
          <w:tcPr>
            <w:tcW w:w="766" w:type="pct"/>
            <w:vAlign w:val="center"/>
          </w:tcPr>
          <w:p w14:paraId="79920D9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2.50</w:t>
            </w:r>
          </w:p>
        </w:tc>
      </w:tr>
      <w:tr w:rsidR="005B02EE" w:rsidRPr="00996689" w14:paraId="7D693800" w14:textId="77777777" w:rsidTr="00E116D0">
        <w:trPr>
          <w:trHeight w:val="20"/>
        </w:trPr>
        <w:tc>
          <w:tcPr>
            <w:tcW w:w="304" w:type="pct"/>
            <w:vAlign w:val="center"/>
          </w:tcPr>
          <w:p w14:paraId="406466FC"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lastRenderedPageBreak/>
              <w:t>iii</w:t>
            </w:r>
          </w:p>
        </w:tc>
        <w:tc>
          <w:tcPr>
            <w:tcW w:w="1396" w:type="pct"/>
            <w:vAlign w:val="center"/>
          </w:tcPr>
          <w:p w14:paraId="66CFACE2"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Operational land- Holding(</w:t>
            </w:r>
            <w:proofErr w:type="spellStart"/>
            <w:r w:rsidRPr="00996689">
              <w:rPr>
                <w:rFonts w:ascii="Times New Roman" w:hAnsi="Times New Roman" w:cs="Times New Roman"/>
                <w:sz w:val="24"/>
                <w:szCs w:val="24"/>
              </w:rPr>
              <w:t>hactre</w:t>
            </w:r>
            <w:proofErr w:type="spellEnd"/>
            <w:r w:rsidRPr="00996689">
              <w:rPr>
                <w:rFonts w:ascii="Times New Roman" w:hAnsi="Times New Roman" w:cs="Times New Roman"/>
                <w:sz w:val="24"/>
                <w:szCs w:val="24"/>
              </w:rPr>
              <w:t>)</w:t>
            </w:r>
          </w:p>
        </w:tc>
        <w:tc>
          <w:tcPr>
            <w:tcW w:w="524" w:type="pct"/>
            <w:vAlign w:val="center"/>
          </w:tcPr>
          <w:p w14:paraId="4828440D"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4BC77A6B"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.642</w:t>
            </w:r>
          </w:p>
        </w:tc>
        <w:tc>
          <w:tcPr>
            <w:tcW w:w="565" w:type="pct"/>
            <w:vAlign w:val="center"/>
          </w:tcPr>
          <w:p w14:paraId="3EB0309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0844E2E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.646</w:t>
            </w:r>
          </w:p>
        </w:tc>
        <w:tc>
          <w:tcPr>
            <w:tcW w:w="766" w:type="pct"/>
            <w:vAlign w:val="center"/>
          </w:tcPr>
          <w:p w14:paraId="55C18DC9"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1.97</w:t>
            </w:r>
          </w:p>
        </w:tc>
      </w:tr>
      <w:tr w:rsidR="005B02EE" w:rsidRPr="00996689" w14:paraId="59CEAB68" w14:textId="77777777" w:rsidTr="00E116D0">
        <w:trPr>
          <w:trHeight w:val="20"/>
        </w:trPr>
        <w:tc>
          <w:tcPr>
            <w:tcW w:w="304" w:type="pct"/>
            <w:vAlign w:val="center"/>
          </w:tcPr>
          <w:p w14:paraId="48964BFD"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iv</w:t>
            </w:r>
          </w:p>
        </w:tc>
        <w:tc>
          <w:tcPr>
            <w:tcW w:w="1396" w:type="pct"/>
            <w:vAlign w:val="center"/>
          </w:tcPr>
          <w:p w14:paraId="48EE09A4"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Number of sources of flood-related information</w:t>
            </w:r>
          </w:p>
        </w:tc>
        <w:tc>
          <w:tcPr>
            <w:tcW w:w="524" w:type="pct"/>
            <w:vAlign w:val="center"/>
          </w:tcPr>
          <w:p w14:paraId="6EF4C58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3F4A8391"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.667</w:t>
            </w:r>
          </w:p>
        </w:tc>
        <w:tc>
          <w:tcPr>
            <w:tcW w:w="565" w:type="pct"/>
            <w:vAlign w:val="center"/>
          </w:tcPr>
          <w:p w14:paraId="28A61C1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0790134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.670</w:t>
            </w:r>
          </w:p>
        </w:tc>
        <w:tc>
          <w:tcPr>
            <w:tcW w:w="766" w:type="pct"/>
            <w:vAlign w:val="center"/>
          </w:tcPr>
          <w:p w14:paraId="3D3FF60A"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2.62</w:t>
            </w:r>
          </w:p>
        </w:tc>
      </w:tr>
      <w:tr w:rsidR="005B02EE" w:rsidRPr="00996689" w14:paraId="5FC523F6" w14:textId="77777777" w:rsidTr="00E116D0">
        <w:trPr>
          <w:trHeight w:val="20"/>
        </w:trPr>
        <w:tc>
          <w:tcPr>
            <w:tcW w:w="304" w:type="pct"/>
            <w:vAlign w:val="center"/>
          </w:tcPr>
          <w:p w14:paraId="6892A373" w14:textId="77777777" w:rsidR="005B02EE" w:rsidRPr="00996689" w:rsidRDefault="005B02EE" w:rsidP="00996689">
            <w:pPr>
              <w:pStyle w:val="ListParagraph"/>
              <w:spacing w:line="360" w:lineRule="auto"/>
              <w:ind w:left="0"/>
              <w:contextualSpacing w:val="0"/>
              <w:jc w:val="both"/>
              <w:rPr>
                <w:rFonts w:ascii="Times New Roman" w:hAnsi="Times New Roman" w:cs="Times New Roman"/>
                <w:sz w:val="24"/>
                <w:szCs w:val="24"/>
              </w:rPr>
            </w:pPr>
            <w:r w:rsidRPr="00996689">
              <w:rPr>
                <w:rFonts w:ascii="Times New Roman" w:hAnsi="Times New Roman" w:cs="Times New Roman"/>
                <w:sz w:val="24"/>
                <w:szCs w:val="24"/>
              </w:rPr>
              <w:t>v</w:t>
            </w:r>
          </w:p>
        </w:tc>
        <w:tc>
          <w:tcPr>
            <w:tcW w:w="1396" w:type="pct"/>
            <w:vAlign w:val="center"/>
          </w:tcPr>
          <w:p w14:paraId="5C95577B"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Distance of market from Household (km)</w:t>
            </w:r>
          </w:p>
        </w:tc>
        <w:tc>
          <w:tcPr>
            <w:tcW w:w="524" w:type="pct"/>
            <w:vAlign w:val="center"/>
          </w:tcPr>
          <w:p w14:paraId="6849E851"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76625512"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.924</w:t>
            </w:r>
          </w:p>
        </w:tc>
        <w:tc>
          <w:tcPr>
            <w:tcW w:w="565" w:type="pct"/>
            <w:vAlign w:val="center"/>
          </w:tcPr>
          <w:p w14:paraId="3566981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3BE56A4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.956</w:t>
            </w:r>
          </w:p>
        </w:tc>
        <w:tc>
          <w:tcPr>
            <w:tcW w:w="766" w:type="pct"/>
            <w:vAlign w:val="center"/>
          </w:tcPr>
          <w:p w14:paraId="6B2AB09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3.16</w:t>
            </w:r>
          </w:p>
        </w:tc>
      </w:tr>
      <w:tr w:rsidR="005B02EE" w:rsidRPr="00996689" w14:paraId="559B5A24" w14:textId="77777777" w:rsidTr="00E116D0">
        <w:trPr>
          <w:trHeight w:val="20"/>
        </w:trPr>
        <w:tc>
          <w:tcPr>
            <w:tcW w:w="304" w:type="pct"/>
            <w:vAlign w:val="center"/>
          </w:tcPr>
          <w:p w14:paraId="29017A7F" w14:textId="77777777" w:rsidR="005B02EE" w:rsidRPr="00996689" w:rsidRDefault="005B02EE" w:rsidP="00996689">
            <w:pPr>
              <w:pStyle w:val="ListParagraph"/>
              <w:spacing w:line="360" w:lineRule="auto"/>
              <w:ind w:left="0"/>
              <w:contextualSpacing w:val="0"/>
              <w:jc w:val="both"/>
              <w:rPr>
                <w:rFonts w:ascii="Times New Roman" w:hAnsi="Times New Roman" w:cs="Times New Roman"/>
                <w:sz w:val="24"/>
                <w:szCs w:val="24"/>
              </w:rPr>
            </w:pPr>
            <w:r w:rsidRPr="00996689">
              <w:rPr>
                <w:rFonts w:ascii="Times New Roman" w:hAnsi="Times New Roman" w:cs="Times New Roman"/>
                <w:sz w:val="24"/>
                <w:szCs w:val="24"/>
              </w:rPr>
              <w:t>vi</w:t>
            </w:r>
          </w:p>
        </w:tc>
        <w:tc>
          <w:tcPr>
            <w:tcW w:w="1396" w:type="pct"/>
            <w:vAlign w:val="center"/>
          </w:tcPr>
          <w:p w14:paraId="38C523B8"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Distance of veterinary Centre/ Artificial Insemination Centre from household(km)</w:t>
            </w:r>
          </w:p>
        </w:tc>
        <w:tc>
          <w:tcPr>
            <w:tcW w:w="524" w:type="pct"/>
            <w:vAlign w:val="center"/>
          </w:tcPr>
          <w:p w14:paraId="7DF80B8D"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2FE02BE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.936</w:t>
            </w:r>
          </w:p>
        </w:tc>
        <w:tc>
          <w:tcPr>
            <w:tcW w:w="565" w:type="pct"/>
            <w:vAlign w:val="center"/>
          </w:tcPr>
          <w:p w14:paraId="4600937C"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1F26C4BB"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.966</w:t>
            </w:r>
          </w:p>
        </w:tc>
        <w:tc>
          <w:tcPr>
            <w:tcW w:w="766" w:type="pct"/>
            <w:vAlign w:val="center"/>
          </w:tcPr>
          <w:p w14:paraId="2D55F4C1"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3.21</w:t>
            </w:r>
          </w:p>
        </w:tc>
      </w:tr>
      <w:tr w:rsidR="005B02EE" w:rsidRPr="00996689" w14:paraId="37169A86" w14:textId="77777777" w:rsidTr="00E116D0">
        <w:trPr>
          <w:trHeight w:val="321"/>
        </w:trPr>
        <w:tc>
          <w:tcPr>
            <w:tcW w:w="5000" w:type="pct"/>
            <w:gridSpan w:val="7"/>
            <w:vAlign w:val="center"/>
          </w:tcPr>
          <w:p w14:paraId="43DE029A"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Economic Capital</w:t>
            </w:r>
          </w:p>
        </w:tc>
      </w:tr>
      <w:tr w:rsidR="005B02EE" w:rsidRPr="00996689" w14:paraId="0481FF9F" w14:textId="77777777" w:rsidTr="00E116D0">
        <w:trPr>
          <w:trHeight w:val="20"/>
        </w:trPr>
        <w:tc>
          <w:tcPr>
            <w:tcW w:w="304" w:type="pct"/>
            <w:vAlign w:val="center"/>
          </w:tcPr>
          <w:p w14:paraId="7932D294" w14:textId="77777777" w:rsidR="005B02EE" w:rsidRPr="00996689" w:rsidRDefault="005B02EE" w:rsidP="00996689">
            <w:pPr>
              <w:spacing w:line="360" w:lineRule="auto"/>
              <w:jc w:val="both"/>
              <w:rPr>
                <w:rFonts w:ascii="Times New Roman" w:hAnsi="Times New Roman" w:cs="Times New Roman"/>
                <w:sz w:val="24"/>
                <w:szCs w:val="24"/>
              </w:rPr>
            </w:pPr>
            <w:proofErr w:type="spellStart"/>
            <w:r w:rsidRPr="00996689">
              <w:rPr>
                <w:rFonts w:ascii="Times New Roman" w:hAnsi="Times New Roman" w:cs="Times New Roman"/>
                <w:sz w:val="24"/>
                <w:szCs w:val="24"/>
              </w:rPr>
              <w:t>i</w:t>
            </w:r>
            <w:proofErr w:type="spellEnd"/>
          </w:p>
        </w:tc>
        <w:tc>
          <w:tcPr>
            <w:tcW w:w="1396" w:type="pct"/>
            <w:vAlign w:val="center"/>
          </w:tcPr>
          <w:p w14:paraId="2DC5780B"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Annual income(rupees)</w:t>
            </w:r>
          </w:p>
        </w:tc>
        <w:tc>
          <w:tcPr>
            <w:tcW w:w="524" w:type="pct"/>
            <w:vAlign w:val="center"/>
          </w:tcPr>
          <w:p w14:paraId="0B9B16A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57C0407B"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.606</w:t>
            </w:r>
          </w:p>
        </w:tc>
        <w:tc>
          <w:tcPr>
            <w:tcW w:w="565" w:type="pct"/>
            <w:vAlign w:val="center"/>
          </w:tcPr>
          <w:p w14:paraId="0576A3A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3370DF89"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.629</w:t>
            </w:r>
          </w:p>
        </w:tc>
        <w:tc>
          <w:tcPr>
            <w:tcW w:w="766" w:type="pct"/>
            <w:vAlign w:val="center"/>
          </w:tcPr>
          <w:p w14:paraId="0C3C6882"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3.20</w:t>
            </w:r>
          </w:p>
        </w:tc>
      </w:tr>
      <w:tr w:rsidR="005B02EE" w:rsidRPr="00996689" w14:paraId="4FB19D92" w14:textId="77777777" w:rsidTr="00E116D0">
        <w:trPr>
          <w:trHeight w:val="20"/>
        </w:trPr>
        <w:tc>
          <w:tcPr>
            <w:tcW w:w="304" w:type="pct"/>
            <w:vAlign w:val="center"/>
          </w:tcPr>
          <w:p w14:paraId="0A3839AD"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w:t>
            </w:r>
          </w:p>
        </w:tc>
        <w:tc>
          <w:tcPr>
            <w:tcW w:w="1396" w:type="pct"/>
            <w:vAlign w:val="center"/>
          </w:tcPr>
          <w:p w14:paraId="2A095D31"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Proportion of household expenditure to livestock</w:t>
            </w:r>
          </w:p>
        </w:tc>
        <w:tc>
          <w:tcPr>
            <w:tcW w:w="524" w:type="pct"/>
            <w:vAlign w:val="center"/>
          </w:tcPr>
          <w:p w14:paraId="4448F53F"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3DF54090"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.645</w:t>
            </w:r>
          </w:p>
        </w:tc>
        <w:tc>
          <w:tcPr>
            <w:tcW w:w="565" w:type="pct"/>
            <w:vAlign w:val="center"/>
          </w:tcPr>
          <w:p w14:paraId="04BAA38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071FB23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.670</w:t>
            </w:r>
          </w:p>
        </w:tc>
        <w:tc>
          <w:tcPr>
            <w:tcW w:w="766" w:type="pct"/>
            <w:vAlign w:val="center"/>
          </w:tcPr>
          <w:p w14:paraId="6604580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2.39</w:t>
            </w:r>
          </w:p>
        </w:tc>
      </w:tr>
      <w:tr w:rsidR="005B02EE" w:rsidRPr="00996689" w14:paraId="0358B04F" w14:textId="77777777" w:rsidTr="00E116D0">
        <w:trPr>
          <w:trHeight w:val="20"/>
        </w:trPr>
        <w:tc>
          <w:tcPr>
            <w:tcW w:w="304" w:type="pct"/>
            <w:vAlign w:val="center"/>
          </w:tcPr>
          <w:p w14:paraId="6BF6B723"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iii</w:t>
            </w:r>
          </w:p>
        </w:tc>
        <w:tc>
          <w:tcPr>
            <w:tcW w:w="1396" w:type="pct"/>
            <w:vAlign w:val="center"/>
          </w:tcPr>
          <w:p w14:paraId="72DCB665"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Average number of milch animal</w:t>
            </w:r>
          </w:p>
        </w:tc>
        <w:tc>
          <w:tcPr>
            <w:tcW w:w="524" w:type="pct"/>
            <w:vAlign w:val="center"/>
          </w:tcPr>
          <w:p w14:paraId="184E2420"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08CC949A"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.734</w:t>
            </w:r>
          </w:p>
        </w:tc>
        <w:tc>
          <w:tcPr>
            <w:tcW w:w="565" w:type="pct"/>
            <w:vAlign w:val="center"/>
          </w:tcPr>
          <w:p w14:paraId="2B6D9B8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26F4841A"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.736</w:t>
            </w:r>
          </w:p>
        </w:tc>
        <w:tc>
          <w:tcPr>
            <w:tcW w:w="766" w:type="pct"/>
            <w:vAlign w:val="center"/>
          </w:tcPr>
          <w:p w14:paraId="0D7CAF2B"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2.78</w:t>
            </w:r>
          </w:p>
        </w:tc>
      </w:tr>
      <w:tr w:rsidR="005B02EE" w:rsidRPr="00996689" w14:paraId="47217B1A" w14:textId="77777777" w:rsidTr="00E116D0">
        <w:trPr>
          <w:trHeight w:val="20"/>
        </w:trPr>
        <w:tc>
          <w:tcPr>
            <w:tcW w:w="304" w:type="pct"/>
            <w:vAlign w:val="center"/>
          </w:tcPr>
          <w:p w14:paraId="7C707633"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iv</w:t>
            </w:r>
          </w:p>
        </w:tc>
        <w:tc>
          <w:tcPr>
            <w:tcW w:w="1396" w:type="pct"/>
            <w:vAlign w:val="center"/>
          </w:tcPr>
          <w:p w14:paraId="017388E1"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Proportion of crossbred to Herd Size</w:t>
            </w:r>
          </w:p>
        </w:tc>
        <w:tc>
          <w:tcPr>
            <w:tcW w:w="524" w:type="pct"/>
            <w:vAlign w:val="center"/>
          </w:tcPr>
          <w:p w14:paraId="4856C713"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44200B9B"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.568</w:t>
            </w:r>
          </w:p>
        </w:tc>
        <w:tc>
          <w:tcPr>
            <w:tcW w:w="565" w:type="pct"/>
            <w:vAlign w:val="center"/>
          </w:tcPr>
          <w:p w14:paraId="1C6A073D"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2AA45F0A"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.581</w:t>
            </w:r>
          </w:p>
        </w:tc>
        <w:tc>
          <w:tcPr>
            <w:tcW w:w="766" w:type="pct"/>
            <w:vAlign w:val="center"/>
          </w:tcPr>
          <w:p w14:paraId="7EDEDF1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2.22</w:t>
            </w:r>
          </w:p>
        </w:tc>
      </w:tr>
      <w:tr w:rsidR="005B02EE" w:rsidRPr="00996689" w14:paraId="43F2E8EE" w14:textId="77777777" w:rsidTr="00E116D0">
        <w:trPr>
          <w:trHeight w:val="20"/>
        </w:trPr>
        <w:tc>
          <w:tcPr>
            <w:tcW w:w="1" w:type="pct"/>
            <w:gridSpan w:val="7"/>
            <w:vAlign w:val="center"/>
          </w:tcPr>
          <w:p w14:paraId="6A7C7720" w14:textId="77777777" w:rsidR="005B02EE" w:rsidRPr="00996689" w:rsidRDefault="005B02EE" w:rsidP="00996689">
            <w:pPr>
              <w:pStyle w:val="NormalWeb"/>
              <w:spacing w:before="0" w:beforeAutospacing="0" w:after="0" w:afterAutospacing="0" w:line="360" w:lineRule="auto"/>
              <w:ind w:left="720"/>
              <w:jc w:val="both"/>
              <w:rPr>
                <w:rFonts w:eastAsiaTheme="minorHAnsi"/>
                <w:b/>
              </w:rPr>
            </w:pPr>
            <w:r w:rsidRPr="00996689">
              <w:rPr>
                <w:rFonts w:eastAsiaTheme="minorHAnsi"/>
                <w:b/>
              </w:rPr>
              <w:t>*Indicates extraction value was below cut-off value (0.45)</w:t>
            </w:r>
          </w:p>
        </w:tc>
      </w:tr>
    </w:tbl>
    <w:p w14:paraId="58DED84A" w14:textId="77777777" w:rsidR="005B02EE" w:rsidRPr="00996689" w:rsidRDefault="005B02EE" w:rsidP="00996689">
      <w:pPr>
        <w:tabs>
          <w:tab w:val="left" w:pos="722"/>
        </w:tabs>
        <w:spacing w:before="100" w:after="100" w:line="360" w:lineRule="auto"/>
        <w:jc w:val="both"/>
        <w:rPr>
          <w:rFonts w:ascii="Times New Roman" w:hAnsi="Times New Roman" w:cs="Times New Roman"/>
          <w:b/>
          <w:noProof/>
          <w:spacing w:val="-3"/>
          <w:w w:val="95"/>
          <w:sz w:val="24"/>
          <w:szCs w:val="24"/>
        </w:rPr>
      </w:pPr>
    </w:p>
    <w:p w14:paraId="781C62F3" w14:textId="2F697B7A" w:rsidR="005B02EE" w:rsidRPr="00996689" w:rsidRDefault="005B02EE" w:rsidP="00996689">
      <w:pPr>
        <w:tabs>
          <w:tab w:val="left" w:pos="722"/>
        </w:tabs>
        <w:spacing w:before="100" w:after="100"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Adaptive capacity to flood-induced livelihood vulnerability</w:t>
      </w:r>
    </w:p>
    <w:p w14:paraId="0278F5F9" w14:textId="6DEBFD28" w:rsidR="00E81936" w:rsidRPr="00996689" w:rsidRDefault="005B02EE"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r w:rsidRPr="00996689">
        <w:rPr>
          <w:rFonts w:ascii="Times New Roman" w:hAnsi="Times New Roman" w:cs="Times New Roman"/>
          <w:sz w:val="24"/>
          <w:szCs w:val="24"/>
        </w:rPr>
        <w:tab/>
      </w:r>
      <w:r w:rsidR="00E81936" w:rsidRPr="00996689">
        <w:rPr>
          <w:rFonts w:ascii="Times New Roman" w:hAnsi="Times New Roman" w:cs="Times New Roman"/>
          <w:sz w:val="24"/>
          <w:szCs w:val="24"/>
        </w:rPr>
        <w:t>Table 5 presents the mean values of adaptive capacity and its constituent components at the household level among respondents in the study area. The results indicate that livestock-</w:t>
      </w:r>
      <w:proofErr w:type="spellStart"/>
      <w:r w:rsidR="00E81936" w:rsidRPr="00996689">
        <w:rPr>
          <w:rFonts w:ascii="Times New Roman" w:hAnsi="Times New Roman" w:cs="Times New Roman"/>
          <w:sz w:val="24"/>
          <w:szCs w:val="24"/>
        </w:rPr>
        <w:t>rearers</w:t>
      </w:r>
      <w:proofErr w:type="spellEnd"/>
      <w:r w:rsidR="00E81936" w:rsidRPr="00996689">
        <w:rPr>
          <w:rFonts w:ascii="Times New Roman" w:hAnsi="Times New Roman" w:cs="Times New Roman"/>
          <w:sz w:val="24"/>
          <w:szCs w:val="24"/>
        </w:rPr>
        <w:t xml:space="preserve"> from the minor flood-prone district (Dhenkanal) had a higher mean score (4.31 ± 0.12) in the human capital category compared to those from the major flood-prone district (Balasore), with mean of 3.95 ± 0.11. In terms of social capital, both districts showed comparable mean values, with Dhenkanal and Balasore having mean score value of 4.28 ± 0.22 and 4.83 ± 0.21, respectively. For physical and natural capital, the minor flood-prone district exhibited a higher mean value (6.34 ± 0.31), as well as in economic capital (5.12 ± 0.20), when compared to the major flood-prone district. At the state level, the overall mean scores of the adaptive capacity </w:t>
      </w:r>
      <w:r w:rsidR="00E81936" w:rsidRPr="00996689">
        <w:rPr>
          <w:rFonts w:ascii="Times New Roman" w:hAnsi="Times New Roman" w:cs="Times New Roman"/>
          <w:sz w:val="24"/>
          <w:szCs w:val="24"/>
        </w:rPr>
        <w:lastRenderedPageBreak/>
        <w:t>components across the study area were 4.13 ± 0.08 for human capital, 4.56 ± 0.15 for social capital, 5.88 ± 0.23 for physical and natural capital, and 4.63 ± 0.15 for economic capital.</w:t>
      </w:r>
    </w:p>
    <w:p w14:paraId="5F158F8B" w14:textId="5F5CB42C" w:rsidR="005B02EE" w:rsidRPr="00996689" w:rsidRDefault="005B02EE" w:rsidP="00996689">
      <w:pPr>
        <w:tabs>
          <w:tab w:val="left" w:pos="720"/>
        </w:tabs>
        <w:autoSpaceDE w:val="0"/>
        <w:autoSpaceDN w:val="0"/>
        <w:adjustRightInd w:val="0"/>
        <w:spacing w:before="100" w:after="100"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Table</w:t>
      </w:r>
      <w:r w:rsidR="00164BEF" w:rsidRPr="00996689">
        <w:rPr>
          <w:rFonts w:ascii="Times New Roman" w:hAnsi="Times New Roman" w:cs="Times New Roman"/>
          <w:b/>
          <w:sz w:val="24"/>
          <w:szCs w:val="24"/>
        </w:rPr>
        <w:t xml:space="preserve"> </w:t>
      </w:r>
      <w:proofErr w:type="gramStart"/>
      <w:r w:rsidR="00164BEF" w:rsidRPr="00996689">
        <w:rPr>
          <w:rFonts w:ascii="Times New Roman" w:hAnsi="Times New Roman" w:cs="Times New Roman"/>
          <w:b/>
          <w:sz w:val="24"/>
          <w:szCs w:val="24"/>
        </w:rPr>
        <w:t>5</w:t>
      </w:r>
      <w:r w:rsidRPr="00996689">
        <w:rPr>
          <w:rFonts w:ascii="Times New Roman" w:hAnsi="Times New Roman" w:cs="Times New Roman"/>
          <w:b/>
          <w:sz w:val="24"/>
          <w:szCs w:val="24"/>
        </w:rPr>
        <w:t> </w:t>
      </w:r>
      <w:r w:rsidRPr="00996689">
        <w:rPr>
          <w:rFonts w:ascii="Times New Roman" w:hAnsi="Times New Roman" w:cs="Times New Roman"/>
          <w:b/>
          <w:sz w:val="24"/>
          <w:szCs w:val="24"/>
          <w:rtl/>
          <w:cs/>
        </w:rPr>
        <w:t>:</w:t>
      </w:r>
      <w:proofErr w:type="gramEnd"/>
      <w:r w:rsidRPr="00996689">
        <w:rPr>
          <w:rFonts w:ascii="Times New Roman" w:hAnsi="Times New Roman" w:cs="Times New Roman"/>
          <w:b/>
          <w:sz w:val="24"/>
          <w:szCs w:val="24"/>
        </w:rPr>
        <w:t xml:space="preserve"> Average Value of adaptive capacity and its components (n=120) (Mean ± S.E)                                                                                                               </w:t>
      </w:r>
    </w:p>
    <w:tbl>
      <w:tblPr>
        <w:tblStyle w:val="TableGrid"/>
        <w:tblW w:w="4963" w:type="pct"/>
        <w:tblLook w:val="04A0" w:firstRow="1" w:lastRow="0" w:firstColumn="1" w:lastColumn="0" w:noHBand="0" w:noVBand="1"/>
      </w:tblPr>
      <w:tblGrid>
        <w:gridCol w:w="2136"/>
        <w:gridCol w:w="2487"/>
        <w:gridCol w:w="2402"/>
        <w:gridCol w:w="1924"/>
      </w:tblGrid>
      <w:tr w:rsidR="005B02EE" w:rsidRPr="00996689" w14:paraId="28431830" w14:textId="77777777" w:rsidTr="00E116D0">
        <w:trPr>
          <w:trHeight w:val="1035"/>
        </w:trPr>
        <w:tc>
          <w:tcPr>
            <w:tcW w:w="1193" w:type="pct"/>
            <w:vAlign w:val="center"/>
          </w:tcPr>
          <w:p w14:paraId="5930BF15" w14:textId="77777777" w:rsidR="005B02EE" w:rsidRPr="00996689" w:rsidRDefault="005B02EE" w:rsidP="00996689">
            <w:pPr>
              <w:tabs>
                <w:tab w:val="left" w:pos="195"/>
                <w:tab w:val="right" w:pos="9360"/>
              </w:tabs>
              <w:spacing w:before="40" w:after="40"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Component</w:t>
            </w:r>
          </w:p>
        </w:tc>
        <w:tc>
          <w:tcPr>
            <w:tcW w:w="1389" w:type="pct"/>
            <w:vAlign w:val="center"/>
          </w:tcPr>
          <w:p w14:paraId="3E1F5E92" w14:textId="77777777" w:rsidR="005B02EE" w:rsidRPr="00996689" w:rsidRDefault="005B02EE" w:rsidP="00996689">
            <w:pPr>
              <w:pStyle w:val="NormalWeb"/>
              <w:spacing w:before="40" w:beforeAutospacing="0" w:after="40" w:afterAutospacing="0" w:line="360" w:lineRule="auto"/>
              <w:jc w:val="both"/>
              <w:rPr>
                <w:rFonts w:eastAsiaTheme="minorHAnsi"/>
                <w:b/>
              </w:rPr>
            </w:pPr>
            <w:r w:rsidRPr="00996689">
              <w:rPr>
                <w:rFonts w:eastAsiaTheme="minorHAnsi"/>
                <w:b/>
              </w:rPr>
              <w:t xml:space="preserve">Minor </w:t>
            </w:r>
          </w:p>
          <w:p w14:paraId="547BEDFD" w14:textId="77777777" w:rsidR="005B02EE" w:rsidRPr="00996689" w:rsidRDefault="005B02EE" w:rsidP="00996689">
            <w:pPr>
              <w:pStyle w:val="NormalWeb"/>
              <w:spacing w:before="40" w:beforeAutospacing="0" w:after="40" w:afterAutospacing="0" w:line="360" w:lineRule="auto"/>
              <w:jc w:val="both"/>
              <w:rPr>
                <w:rFonts w:eastAsiaTheme="minorHAnsi"/>
                <w:b/>
              </w:rPr>
            </w:pPr>
            <w:r w:rsidRPr="00996689">
              <w:rPr>
                <w:rFonts w:eastAsiaTheme="minorHAnsi"/>
                <w:b/>
              </w:rPr>
              <w:t>Flood-prone District</w:t>
            </w:r>
          </w:p>
          <w:p w14:paraId="3165F2C8" w14:textId="77777777" w:rsidR="005B02EE" w:rsidRPr="00996689" w:rsidRDefault="005B02EE" w:rsidP="00996689">
            <w:pPr>
              <w:pStyle w:val="NormalWeb"/>
              <w:spacing w:before="40" w:beforeAutospacing="0" w:after="40" w:afterAutospacing="0" w:line="360" w:lineRule="auto"/>
              <w:jc w:val="both"/>
              <w:rPr>
                <w:rFonts w:eastAsiaTheme="minorHAnsi"/>
                <w:b/>
              </w:rPr>
            </w:pPr>
            <w:r w:rsidRPr="00996689">
              <w:rPr>
                <w:rFonts w:eastAsiaTheme="minorHAnsi"/>
                <w:b/>
              </w:rPr>
              <w:t>(Dhenkanal; n</w:t>
            </w:r>
            <w:r w:rsidRPr="00996689">
              <w:rPr>
                <w:rFonts w:eastAsiaTheme="minorHAnsi"/>
                <w:b/>
                <w:vertAlign w:val="subscript"/>
              </w:rPr>
              <w:t>1</w:t>
            </w:r>
            <w:r w:rsidRPr="00996689">
              <w:rPr>
                <w:rFonts w:eastAsiaTheme="minorHAnsi"/>
                <w:b/>
              </w:rPr>
              <w:t>=60)</w:t>
            </w:r>
          </w:p>
        </w:tc>
        <w:tc>
          <w:tcPr>
            <w:tcW w:w="1342" w:type="pct"/>
            <w:vAlign w:val="center"/>
          </w:tcPr>
          <w:p w14:paraId="2F1F9D67" w14:textId="77777777" w:rsidR="005B02EE" w:rsidRPr="00996689" w:rsidRDefault="005B02EE" w:rsidP="00996689">
            <w:pPr>
              <w:pStyle w:val="NormalWeb"/>
              <w:spacing w:before="40" w:beforeAutospacing="0" w:after="40" w:afterAutospacing="0" w:line="360" w:lineRule="auto"/>
              <w:jc w:val="both"/>
              <w:rPr>
                <w:rFonts w:eastAsiaTheme="minorHAnsi"/>
                <w:b/>
              </w:rPr>
            </w:pPr>
            <w:r w:rsidRPr="00996689">
              <w:rPr>
                <w:rFonts w:eastAsiaTheme="minorHAnsi"/>
                <w:b/>
              </w:rPr>
              <w:t xml:space="preserve">Major </w:t>
            </w:r>
          </w:p>
          <w:p w14:paraId="6AE63B7A" w14:textId="77777777" w:rsidR="005B02EE" w:rsidRPr="00996689" w:rsidRDefault="005B02EE" w:rsidP="00996689">
            <w:pPr>
              <w:pStyle w:val="NormalWeb"/>
              <w:spacing w:before="40" w:beforeAutospacing="0" w:after="40" w:afterAutospacing="0" w:line="360" w:lineRule="auto"/>
              <w:jc w:val="both"/>
              <w:rPr>
                <w:rFonts w:eastAsiaTheme="minorHAnsi"/>
                <w:b/>
              </w:rPr>
            </w:pPr>
            <w:r w:rsidRPr="00996689">
              <w:rPr>
                <w:rFonts w:eastAsiaTheme="minorHAnsi"/>
                <w:b/>
              </w:rPr>
              <w:t>Food-prone District</w:t>
            </w:r>
          </w:p>
          <w:p w14:paraId="1D84A6F7" w14:textId="77777777" w:rsidR="005B02EE" w:rsidRPr="00996689" w:rsidRDefault="005B02EE" w:rsidP="00996689">
            <w:pPr>
              <w:pStyle w:val="NormalWeb"/>
              <w:spacing w:before="40" w:beforeAutospacing="0" w:after="40" w:afterAutospacing="0" w:line="360" w:lineRule="auto"/>
              <w:jc w:val="both"/>
              <w:rPr>
                <w:rFonts w:eastAsiaTheme="minorHAnsi"/>
                <w:b/>
              </w:rPr>
            </w:pPr>
            <w:r w:rsidRPr="00996689">
              <w:rPr>
                <w:rFonts w:eastAsiaTheme="minorHAnsi"/>
                <w:b/>
              </w:rPr>
              <w:t>(Balasore; n</w:t>
            </w:r>
            <w:r w:rsidRPr="00996689">
              <w:rPr>
                <w:rFonts w:eastAsiaTheme="minorHAnsi"/>
                <w:b/>
                <w:vertAlign w:val="subscript"/>
              </w:rPr>
              <w:t>2</w:t>
            </w:r>
            <w:r w:rsidRPr="00996689">
              <w:rPr>
                <w:rFonts w:eastAsiaTheme="minorHAnsi"/>
                <w:b/>
              </w:rPr>
              <w:t>=60)</w:t>
            </w:r>
          </w:p>
        </w:tc>
        <w:tc>
          <w:tcPr>
            <w:tcW w:w="1075" w:type="pct"/>
            <w:shd w:val="clear" w:color="auto" w:fill="auto"/>
            <w:vAlign w:val="center"/>
          </w:tcPr>
          <w:p w14:paraId="05061E16" w14:textId="77777777" w:rsidR="005B02EE" w:rsidRPr="00996689" w:rsidRDefault="005B02EE" w:rsidP="00996689">
            <w:pPr>
              <w:pStyle w:val="NormalWeb"/>
              <w:spacing w:before="40" w:beforeAutospacing="0" w:after="40" w:afterAutospacing="0" w:line="360" w:lineRule="auto"/>
              <w:jc w:val="both"/>
              <w:rPr>
                <w:rFonts w:eastAsiaTheme="minorHAnsi"/>
                <w:b/>
              </w:rPr>
            </w:pPr>
            <w:r w:rsidRPr="00996689">
              <w:rPr>
                <w:rFonts w:eastAsiaTheme="minorHAnsi"/>
                <w:b/>
              </w:rPr>
              <w:t>Overall</w:t>
            </w:r>
          </w:p>
          <w:p w14:paraId="56BCE8FD" w14:textId="77777777" w:rsidR="005B02EE" w:rsidRPr="00996689" w:rsidRDefault="005B02EE" w:rsidP="00996689">
            <w:pPr>
              <w:pStyle w:val="NormalWeb"/>
              <w:spacing w:before="40" w:beforeAutospacing="0" w:after="40" w:afterAutospacing="0" w:line="360" w:lineRule="auto"/>
              <w:jc w:val="both"/>
              <w:rPr>
                <w:rFonts w:eastAsiaTheme="minorHAnsi"/>
                <w:b/>
              </w:rPr>
            </w:pPr>
            <w:r w:rsidRPr="00996689">
              <w:rPr>
                <w:rFonts w:eastAsiaTheme="minorHAnsi"/>
                <w:b/>
              </w:rPr>
              <w:t>(Odisha; n=120)</w:t>
            </w:r>
          </w:p>
        </w:tc>
      </w:tr>
      <w:tr w:rsidR="005B02EE" w:rsidRPr="00996689" w14:paraId="0EE3F7F8" w14:textId="77777777" w:rsidTr="00E116D0">
        <w:trPr>
          <w:trHeight w:val="458"/>
        </w:trPr>
        <w:tc>
          <w:tcPr>
            <w:tcW w:w="1193" w:type="pct"/>
            <w:vAlign w:val="center"/>
          </w:tcPr>
          <w:p w14:paraId="3103C0F4" w14:textId="77777777" w:rsidR="005B02EE" w:rsidRPr="00996689" w:rsidRDefault="005B02EE" w:rsidP="00996689">
            <w:pPr>
              <w:tabs>
                <w:tab w:val="left" w:pos="195"/>
                <w:tab w:val="right" w:pos="9360"/>
              </w:tabs>
              <w:spacing w:before="40" w:after="40" w:line="360" w:lineRule="auto"/>
              <w:jc w:val="both"/>
              <w:rPr>
                <w:rFonts w:ascii="Times New Roman" w:hAnsi="Times New Roman" w:cs="Times New Roman"/>
                <w:sz w:val="24"/>
                <w:szCs w:val="24"/>
              </w:rPr>
            </w:pPr>
            <w:r w:rsidRPr="00996689">
              <w:rPr>
                <w:rFonts w:ascii="Times New Roman" w:hAnsi="Times New Roman" w:cs="Times New Roman"/>
                <w:sz w:val="24"/>
                <w:szCs w:val="24"/>
              </w:rPr>
              <w:t>Human capital</w:t>
            </w:r>
          </w:p>
        </w:tc>
        <w:tc>
          <w:tcPr>
            <w:tcW w:w="1389" w:type="pct"/>
            <w:shd w:val="clear" w:color="auto" w:fill="auto"/>
            <w:vAlign w:val="center"/>
          </w:tcPr>
          <w:p w14:paraId="780E3079"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4.31 ± 0.12</w:t>
            </w:r>
          </w:p>
        </w:tc>
        <w:tc>
          <w:tcPr>
            <w:tcW w:w="1342" w:type="pct"/>
            <w:shd w:val="clear" w:color="auto" w:fill="auto"/>
            <w:vAlign w:val="center"/>
          </w:tcPr>
          <w:p w14:paraId="53667802"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3.95 ± 0.11</w:t>
            </w:r>
          </w:p>
        </w:tc>
        <w:tc>
          <w:tcPr>
            <w:tcW w:w="1075" w:type="pct"/>
            <w:shd w:val="clear" w:color="auto" w:fill="auto"/>
            <w:vAlign w:val="center"/>
          </w:tcPr>
          <w:p w14:paraId="1D16CDDA"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4.13 ± 0.08</w:t>
            </w:r>
          </w:p>
        </w:tc>
      </w:tr>
      <w:tr w:rsidR="005B02EE" w:rsidRPr="00996689" w14:paraId="1FBF93EB" w14:textId="77777777" w:rsidTr="00E116D0">
        <w:trPr>
          <w:trHeight w:val="440"/>
        </w:trPr>
        <w:tc>
          <w:tcPr>
            <w:tcW w:w="1193" w:type="pct"/>
            <w:vAlign w:val="center"/>
          </w:tcPr>
          <w:p w14:paraId="5AAC9B6A" w14:textId="77777777" w:rsidR="005B02EE" w:rsidRPr="00996689" w:rsidRDefault="005B02EE" w:rsidP="00996689">
            <w:pPr>
              <w:tabs>
                <w:tab w:val="left" w:pos="195"/>
                <w:tab w:val="right" w:pos="9360"/>
              </w:tabs>
              <w:spacing w:before="40" w:after="40" w:line="360" w:lineRule="auto"/>
              <w:jc w:val="both"/>
              <w:rPr>
                <w:rFonts w:ascii="Times New Roman" w:hAnsi="Times New Roman" w:cs="Times New Roman"/>
                <w:sz w:val="24"/>
                <w:szCs w:val="24"/>
              </w:rPr>
            </w:pPr>
            <w:r w:rsidRPr="00996689">
              <w:rPr>
                <w:rFonts w:ascii="Times New Roman" w:hAnsi="Times New Roman" w:cs="Times New Roman"/>
                <w:sz w:val="24"/>
                <w:szCs w:val="24"/>
              </w:rPr>
              <w:t>Social capital</w:t>
            </w:r>
          </w:p>
        </w:tc>
        <w:tc>
          <w:tcPr>
            <w:tcW w:w="1389" w:type="pct"/>
            <w:shd w:val="clear" w:color="auto" w:fill="auto"/>
            <w:vAlign w:val="center"/>
          </w:tcPr>
          <w:p w14:paraId="2AD325CC"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4.28 ± 0.22</w:t>
            </w:r>
          </w:p>
        </w:tc>
        <w:tc>
          <w:tcPr>
            <w:tcW w:w="1342" w:type="pct"/>
            <w:shd w:val="clear" w:color="auto" w:fill="auto"/>
            <w:vAlign w:val="center"/>
          </w:tcPr>
          <w:p w14:paraId="015DD95B"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4.83 ± 0.21</w:t>
            </w:r>
          </w:p>
        </w:tc>
        <w:tc>
          <w:tcPr>
            <w:tcW w:w="1075" w:type="pct"/>
            <w:shd w:val="clear" w:color="auto" w:fill="auto"/>
            <w:vAlign w:val="center"/>
          </w:tcPr>
          <w:p w14:paraId="08682E29"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4.56 ± 0.15</w:t>
            </w:r>
          </w:p>
        </w:tc>
      </w:tr>
      <w:tr w:rsidR="005B02EE" w:rsidRPr="00996689" w14:paraId="38D30149" w14:textId="77777777" w:rsidTr="00E116D0">
        <w:trPr>
          <w:trHeight w:val="737"/>
        </w:trPr>
        <w:tc>
          <w:tcPr>
            <w:tcW w:w="1193" w:type="pct"/>
            <w:vAlign w:val="center"/>
          </w:tcPr>
          <w:p w14:paraId="139A661E" w14:textId="77777777" w:rsidR="005B02EE" w:rsidRPr="00996689" w:rsidRDefault="005B02EE" w:rsidP="00996689">
            <w:pPr>
              <w:tabs>
                <w:tab w:val="left" w:pos="195"/>
                <w:tab w:val="right" w:pos="9360"/>
              </w:tabs>
              <w:spacing w:before="40" w:after="40" w:line="360" w:lineRule="auto"/>
              <w:jc w:val="both"/>
              <w:rPr>
                <w:rFonts w:ascii="Times New Roman" w:hAnsi="Times New Roman" w:cs="Times New Roman"/>
                <w:sz w:val="24"/>
                <w:szCs w:val="24"/>
              </w:rPr>
            </w:pPr>
            <w:r w:rsidRPr="00996689">
              <w:rPr>
                <w:rFonts w:ascii="Times New Roman" w:hAnsi="Times New Roman" w:cs="Times New Roman"/>
                <w:sz w:val="24"/>
                <w:szCs w:val="24"/>
              </w:rPr>
              <w:t>Physical and natural capital</w:t>
            </w:r>
          </w:p>
        </w:tc>
        <w:tc>
          <w:tcPr>
            <w:tcW w:w="1389" w:type="pct"/>
            <w:shd w:val="clear" w:color="auto" w:fill="auto"/>
            <w:vAlign w:val="center"/>
          </w:tcPr>
          <w:p w14:paraId="254C5086"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6.34 ± 0.31</w:t>
            </w:r>
          </w:p>
        </w:tc>
        <w:tc>
          <w:tcPr>
            <w:tcW w:w="1342" w:type="pct"/>
            <w:shd w:val="clear" w:color="auto" w:fill="auto"/>
            <w:vAlign w:val="center"/>
          </w:tcPr>
          <w:p w14:paraId="7BB9E8AC"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5.42 ± 0.23</w:t>
            </w:r>
          </w:p>
        </w:tc>
        <w:tc>
          <w:tcPr>
            <w:tcW w:w="1075" w:type="pct"/>
            <w:shd w:val="clear" w:color="auto" w:fill="auto"/>
            <w:vAlign w:val="center"/>
          </w:tcPr>
          <w:p w14:paraId="26201BB0"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5.88 ± 0.23</w:t>
            </w:r>
          </w:p>
        </w:tc>
      </w:tr>
      <w:tr w:rsidR="005B02EE" w:rsidRPr="00996689" w14:paraId="297D1698" w14:textId="77777777" w:rsidTr="00E116D0">
        <w:trPr>
          <w:trHeight w:val="413"/>
        </w:trPr>
        <w:tc>
          <w:tcPr>
            <w:tcW w:w="1193" w:type="pct"/>
            <w:vAlign w:val="center"/>
          </w:tcPr>
          <w:p w14:paraId="11E518E7" w14:textId="77777777" w:rsidR="005B02EE" w:rsidRPr="00996689" w:rsidRDefault="005B02EE" w:rsidP="00996689">
            <w:pPr>
              <w:tabs>
                <w:tab w:val="left" w:pos="195"/>
                <w:tab w:val="right" w:pos="9360"/>
              </w:tabs>
              <w:spacing w:before="40" w:after="40" w:line="360" w:lineRule="auto"/>
              <w:jc w:val="both"/>
              <w:rPr>
                <w:rFonts w:ascii="Times New Roman" w:hAnsi="Times New Roman" w:cs="Times New Roman"/>
                <w:sz w:val="24"/>
                <w:szCs w:val="24"/>
              </w:rPr>
            </w:pPr>
            <w:r w:rsidRPr="00996689">
              <w:rPr>
                <w:rFonts w:ascii="Times New Roman" w:hAnsi="Times New Roman" w:cs="Times New Roman"/>
                <w:sz w:val="24"/>
                <w:szCs w:val="24"/>
              </w:rPr>
              <w:t>Economic capital</w:t>
            </w:r>
          </w:p>
        </w:tc>
        <w:tc>
          <w:tcPr>
            <w:tcW w:w="1389" w:type="pct"/>
            <w:shd w:val="clear" w:color="auto" w:fill="auto"/>
            <w:vAlign w:val="center"/>
          </w:tcPr>
          <w:p w14:paraId="1CF8FF0E"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5.12 ± 0.20</w:t>
            </w:r>
          </w:p>
        </w:tc>
        <w:tc>
          <w:tcPr>
            <w:tcW w:w="1342" w:type="pct"/>
            <w:shd w:val="clear" w:color="auto" w:fill="auto"/>
            <w:vAlign w:val="center"/>
          </w:tcPr>
          <w:p w14:paraId="175D8B37"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4.14 ± 0.20</w:t>
            </w:r>
          </w:p>
        </w:tc>
        <w:tc>
          <w:tcPr>
            <w:tcW w:w="1075" w:type="pct"/>
            <w:shd w:val="clear" w:color="auto" w:fill="auto"/>
            <w:vAlign w:val="center"/>
          </w:tcPr>
          <w:p w14:paraId="7AB26943"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4.63 ± 0.15</w:t>
            </w:r>
          </w:p>
        </w:tc>
      </w:tr>
      <w:tr w:rsidR="005B02EE" w:rsidRPr="00996689" w14:paraId="30E1B395" w14:textId="77777777" w:rsidTr="00E116D0">
        <w:trPr>
          <w:trHeight w:val="440"/>
        </w:trPr>
        <w:tc>
          <w:tcPr>
            <w:tcW w:w="1193" w:type="pct"/>
            <w:vAlign w:val="center"/>
          </w:tcPr>
          <w:p w14:paraId="3ED88462" w14:textId="77777777" w:rsidR="005B02EE" w:rsidRPr="00996689" w:rsidRDefault="005B02EE" w:rsidP="00996689">
            <w:pPr>
              <w:tabs>
                <w:tab w:val="left" w:pos="195"/>
                <w:tab w:val="right" w:pos="9360"/>
              </w:tabs>
              <w:spacing w:before="40" w:after="40" w:line="360" w:lineRule="auto"/>
              <w:jc w:val="both"/>
              <w:rPr>
                <w:rFonts w:ascii="Times New Roman" w:hAnsi="Times New Roman" w:cs="Times New Roman"/>
                <w:sz w:val="24"/>
                <w:szCs w:val="24"/>
              </w:rPr>
            </w:pPr>
            <w:r w:rsidRPr="00996689">
              <w:rPr>
                <w:rFonts w:ascii="Times New Roman" w:hAnsi="Times New Roman" w:cs="Times New Roman"/>
                <w:sz w:val="24"/>
                <w:szCs w:val="24"/>
              </w:rPr>
              <w:t>Adaptive capacity</w:t>
            </w:r>
          </w:p>
        </w:tc>
        <w:tc>
          <w:tcPr>
            <w:tcW w:w="1389" w:type="pct"/>
            <w:shd w:val="clear" w:color="auto" w:fill="auto"/>
            <w:vAlign w:val="center"/>
          </w:tcPr>
          <w:p w14:paraId="135B822A"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20.04 ± 0.46</w:t>
            </w:r>
          </w:p>
        </w:tc>
        <w:tc>
          <w:tcPr>
            <w:tcW w:w="1342" w:type="pct"/>
            <w:shd w:val="clear" w:color="auto" w:fill="auto"/>
            <w:vAlign w:val="center"/>
          </w:tcPr>
          <w:p w14:paraId="389D4193"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18.34 ± 0.42</w:t>
            </w:r>
          </w:p>
        </w:tc>
        <w:tc>
          <w:tcPr>
            <w:tcW w:w="1075" w:type="pct"/>
            <w:shd w:val="clear" w:color="auto" w:fill="auto"/>
            <w:vAlign w:val="center"/>
          </w:tcPr>
          <w:p w14:paraId="03E986B6"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19.19 ± 0.36</w:t>
            </w:r>
          </w:p>
        </w:tc>
      </w:tr>
    </w:tbl>
    <w:p w14:paraId="5DB32F32" w14:textId="04EC216F" w:rsidR="005B02EE" w:rsidRPr="00996689" w:rsidRDefault="005B02EE"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        </w:t>
      </w:r>
      <w:r w:rsidRPr="00996689">
        <w:rPr>
          <w:rFonts w:ascii="Times New Roman" w:hAnsi="Times New Roman" w:cs="Times New Roman"/>
          <w:sz w:val="24"/>
          <w:szCs w:val="24"/>
        </w:rPr>
        <w:tab/>
      </w:r>
    </w:p>
    <w:p w14:paraId="497D8015" w14:textId="4CDB3AD6" w:rsidR="0029115F" w:rsidRPr="00996689" w:rsidRDefault="0029115F"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r w:rsidRPr="00996689">
        <w:rPr>
          <w:rFonts w:ascii="Times New Roman" w:hAnsi="Times New Roman" w:cs="Times New Roman"/>
          <w:noProof/>
          <w:sz w:val="24"/>
          <w:szCs w:val="24"/>
        </w:rPr>
        <w:drawing>
          <wp:anchor distT="0" distB="0" distL="114300" distR="114300" simplePos="0" relativeHeight="251658240" behindDoc="1" locked="0" layoutInCell="1" allowOverlap="1" wp14:anchorId="2CA98790" wp14:editId="1810B9A1">
            <wp:simplePos x="0" y="0"/>
            <wp:positionH relativeFrom="column">
              <wp:posOffset>228600</wp:posOffset>
            </wp:positionH>
            <wp:positionV relativeFrom="paragraph">
              <wp:posOffset>74930</wp:posOffset>
            </wp:positionV>
            <wp:extent cx="4968240" cy="2948940"/>
            <wp:effectExtent l="0" t="0" r="3810" b="3810"/>
            <wp:wrapTight wrapText="bothSides">
              <wp:wrapPolygon edited="0">
                <wp:start x="0" y="0"/>
                <wp:lineTo x="0" y="21488"/>
                <wp:lineTo x="21534" y="21488"/>
                <wp:lineTo x="21534" y="0"/>
                <wp:lineTo x="0" y="0"/>
              </wp:wrapPolygon>
            </wp:wrapTight>
            <wp:docPr id="1540196153" name="Chart 1">
              <a:extLst xmlns:a="http://schemas.openxmlformats.org/drawingml/2006/main">
                <a:ext uri="{FF2B5EF4-FFF2-40B4-BE49-F238E27FC236}">
                  <a16:creationId xmlns:a16="http://schemas.microsoft.com/office/drawing/2014/main" id="{E885D58A-7909-9BF0-8085-F14B74314A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2A67950D" w14:textId="2C08135A" w:rsidR="0029115F" w:rsidRPr="00996689" w:rsidRDefault="0029115F"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10EBC151" w14:textId="29BAED39" w:rsidR="0029115F" w:rsidRPr="00996689" w:rsidRDefault="0029115F"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781DBBC2" w14:textId="6DFBA6B5" w:rsidR="0029115F" w:rsidRPr="00996689" w:rsidRDefault="0029115F"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0125EF15" w14:textId="77777777" w:rsidR="0029115F" w:rsidRPr="00996689" w:rsidRDefault="0029115F"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7AC280EC" w14:textId="77777777" w:rsidR="004D5BB4" w:rsidRPr="00996689" w:rsidRDefault="004D5BB4"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26707ECC" w14:textId="77777777" w:rsidR="004D5BB4" w:rsidRPr="00996689" w:rsidRDefault="004D5BB4"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2FDDEEE0" w14:textId="77777777" w:rsidR="001E5969" w:rsidRPr="00996689" w:rsidRDefault="001E5969"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2066DFBF" w14:textId="77777777" w:rsidR="001E5969" w:rsidRPr="00996689" w:rsidRDefault="001E5969"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63F220D9" w14:textId="77777777" w:rsidR="001E5969" w:rsidRPr="00996689" w:rsidRDefault="001E5969"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51791C58" w14:textId="05DFCA24" w:rsidR="001E5969" w:rsidRPr="00996689" w:rsidRDefault="001E5969"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r w:rsidRPr="00996689">
        <w:rPr>
          <w:rFonts w:ascii="Times New Roman" w:hAnsi="Times New Roman" w:cs="Times New Roman"/>
          <w:b/>
          <w:sz w:val="24"/>
          <w:szCs w:val="24"/>
        </w:rPr>
        <w:t>Fig 1: Radar Chart showing Indicators of Adaptive capacity against Flood (</w:t>
      </w:r>
      <w:r w:rsidRPr="00996689">
        <w:rPr>
          <w:rFonts w:ascii="Times New Roman" w:eastAsia="Calibri" w:hAnsi="Times New Roman" w:cs="Times New Roman"/>
          <w:b/>
          <w:bCs/>
          <w:kern w:val="24"/>
          <w:sz w:val="24"/>
          <w:szCs w:val="24"/>
        </w:rPr>
        <w:t>n=120)</w:t>
      </w:r>
    </w:p>
    <w:p w14:paraId="71CB5798" w14:textId="77777777" w:rsidR="001E5969" w:rsidRDefault="001E5969"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r w:rsidRPr="00996689">
        <w:rPr>
          <w:rFonts w:ascii="Times New Roman" w:hAnsi="Times New Roman" w:cs="Times New Roman"/>
          <w:sz w:val="24"/>
          <w:szCs w:val="24"/>
        </w:rPr>
        <w:t>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minor flood-prone district had a higher mean value of adaptive capacity (20.04 ± 0.46) than major flood-prone district (18.34 ± 0.42). Similarly, the adaptive capacity of the respondents of the overall study area was 19.19 ± 0.36.</w:t>
      </w:r>
    </w:p>
    <w:p w14:paraId="226910E7" w14:textId="77777777" w:rsidR="00793A3C" w:rsidRPr="00996689" w:rsidRDefault="00793A3C"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3E2689B9" w14:textId="61DADC23" w:rsidR="005B02EE" w:rsidRPr="00996689" w:rsidRDefault="005B02EE" w:rsidP="00996689">
      <w:pPr>
        <w:spacing w:before="100" w:after="100" w:line="360" w:lineRule="auto"/>
        <w:jc w:val="both"/>
        <w:rPr>
          <w:rFonts w:ascii="Times New Roman" w:hAnsi="Times New Roman" w:cs="Times New Roman"/>
          <w:b/>
          <w:noProof/>
          <w:spacing w:val="5"/>
          <w:sz w:val="24"/>
          <w:szCs w:val="24"/>
        </w:rPr>
      </w:pPr>
      <w:r w:rsidRPr="00996689">
        <w:rPr>
          <w:rFonts w:ascii="Times New Roman" w:hAnsi="Times New Roman" w:cs="Times New Roman"/>
          <w:b/>
          <w:bCs/>
          <w:sz w:val="24"/>
          <w:szCs w:val="24"/>
          <w:cs/>
        </w:rPr>
        <w:lastRenderedPageBreak/>
        <w:t>Indicators of exposure and their suitability &amp;</w:t>
      </w:r>
      <w:r w:rsidRPr="00996689">
        <w:rPr>
          <w:rFonts w:ascii="Times New Roman" w:hAnsi="Times New Roman" w:cs="Times New Roman"/>
          <w:b/>
          <w:bCs/>
          <w:sz w:val="24"/>
          <w:szCs w:val="24"/>
        </w:rPr>
        <w:t xml:space="preserve"> </w:t>
      </w:r>
      <w:r w:rsidRPr="00996689">
        <w:rPr>
          <w:rFonts w:ascii="Times New Roman" w:hAnsi="Times New Roman" w:cs="Times New Roman"/>
          <w:b/>
          <w:bCs/>
          <w:sz w:val="24"/>
          <w:szCs w:val="24"/>
          <w:cs/>
        </w:rPr>
        <w:t>weightage</w:t>
      </w:r>
      <w:r w:rsidRPr="00996689">
        <w:rPr>
          <w:rFonts w:ascii="Times New Roman" w:hAnsi="Times New Roman" w:cs="Times New Roman"/>
          <w:b/>
          <w:noProof/>
          <w:spacing w:val="5"/>
          <w:sz w:val="24"/>
          <w:szCs w:val="24"/>
        </w:rPr>
        <w:t> </w:t>
      </w:r>
      <w:r w:rsidRPr="00996689">
        <w:rPr>
          <w:rFonts w:ascii="Times New Roman" w:hAnsi="Times New Roman" w:cs="Times New Roman"/>
          <w:b/>
          <w:bCs/>
          <w:noProof/>
          <w:spacing w:val="-2"/>
          <w:w w:val="95"/>
          <w:sz w:val="24"/>
          <w:szCs w:val="24"/>
          <w:rtl/>
          <w:cs/>
        </w:rPr>
        <w:t xml:space="preserve"> </w:t>
      </w:r>
    </w:p>
    <w:p w14:paraId="07147B07" w14:textId="33BA2AFC" w:rsidR="00793A3C" w:rsidRPr="00996689" w:rsidRDefault="005B02EE" w:rsidP="00996689">
      <w:pPr>
        <w:tabs>
          <w:tab w:val="left" w:pos="720"/>
        </w:tabs>
        <w:autoSpaceDE w:val="0"/>
        <w:autoSpaceDN w:val="0"/>
        <w:adjustRightInd w:val="0"/>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            There had been four (4) indicators for exposure identified to the flood-induced vulnerability among respondents of the study area. Principal Component Analysis was applied to these four indicators of exposure to test their suitability as well as to calculate weightage of each suitable indicator. </w:t>
      </w:r>
    </w:p>
    <w:p w14:paraId="7682E4D4" w14:textId="075653E9" w:rsidR="005B02EE" w:rsidRPr="00996689" w:rsidRDefault="005B02EE" w:rsidP="00996689">
      <w:pPr>
        <w:spacing w:line="360" w:lineRule="auto"/>
        <w:ind w:left="1440" w:hanging="1440"/>
        <w:jc w:val="both"/>
        <w:rPr>
          <w:rFonts w:ascii="Times New Roman" w:hAnsi="Times New Roman" w:cs="Times New Roman"/>
          <w:b/>
          <w:bCs/>
          <w:sz w:val="24"/>
          <w:szCs w:val="24"/>
        </w:rPr>
      </w:pPr>
      <w:r w:rsidRPr="00996689">
        <w:rPr>
          <w:rFonts w:ascii="Times New Roman" w:hAnsi="Times New Roman" w:cs="Times New Roman"/>
          <w:b/>
          <w:bCs/>
          <w:sz w:val="24"/>
          <w:szCs w:val="24"/>
        </w:rPr>
        <w:t>Table </w:t>
      </w:r>
      <w:r w:rsidR="00164BEF" w:rsidRPr="00996689">
        <w:rPr>
          <w:rFonts w:ascii="Times New Roman" w:hAnsi="Times New Roman" w:cs="Times New Roman"/>
          <w:b/>
          <w:bCs/>
          <w:sz w:val="24"/>
          <w:szCs w:val="24"/>
        </w:rPr>
        <w:t>6</w:t>
      </w:r>
      <w:r w:rsidRPr="00996689">
        <w:rPr>
          <w:rFonts w:ascii="Times New Roman" w:hAnsi="Times New Roman" w:cs="Times New Roman"/>
          <w:b/>
          <w:bCs/>
          <w:sz w:val="24"/>
          <w:szCs w:val="24"/>
        </w:rPr>
        <w:t xml:space="preserve">: </w:t>
      </w:r>
      <w:r w:rsidRPr="00996689">
        <w:rPr>
          <w:rFonts w:ascii="Times New Roman" w:hAnsi="Times New Roman" w:cs="Times New Roman"/>
          <w:b/>
          <w:bCs/>
          <w:sz w:val="24"/>
          <w:szCs w:val="24"/>
          <w:cs/>
        </w:rPr>
        <w:t xml:space="preserve">Determinants of exposure to </w:t>
      </w:r>
      <w:r w:rsidRPr="00996689">
        <w:rPr>
          <w:rFonts w:ascii="Times New Roman" w:hAnsi="Times New Roman" w:cs="Times New Roman"/>
          <w:b/>
          <w:bCs/>
          <w:sz w:val="24"/>
          <w:szCs w:val="24"/>
        </w:rPr>
        <w:t xml:space="preserve">the </w:t>
      </w:r>
      <w:r w:rsidRPr="00996689">
        <w:rPr>
          <w:rFonts w:ascii="Times New Roman" w:hAnsi="Times New Roman" w:cs="Times New Roman"/>
          <w:b/>
          <w:bCs/>
          <w:sz w:val="24"/>
          <w:szCs w:val="24"/>
          <w:cs/>
        </w:rPr>
        <w:t>flood</w:t>
      </w:r>
      <w:r w:rsidRPr="00996689">
        <w:rPr>
          <w:rFonts w:ascii="Times New Roman" w:hAnsi="Times New Roman" w:cs="Times New Roman"/>
          <w:b/>
          <w:bCs/>
          <w:sz w:val="24"/>
          <w:szCs w:val="24"/>
          <w:rtl/>
          <w:cs/>
        </w:rPr>
        <w:t>-</w:t>
      </w:r>
      <w:r w:rsidRPr="00996689">
        <w:rPr>
          <w:rFonts w:ascii="Times New Roman" w:hAnsi="Times New Roman" w:cs="Times New Roman"/>
          <w:b/>
          <w:bCs/>
          <w:sz w:val="24"/>
          <w:szCs w:val="24"/>
          <w:cs/>
        </w:rPr>
        <w:t>driven vulnerability of study area</w:t>
      </w:r>
      <w:proofErr w:type="gramStart"/>
      <w:r w:rsidRPr="00996689">
        <w:rPr>
          <w:rFonts w:ascii="Times New Roman" w:hAnsi="Times New Roman" w:cs="Times New Roman"/>
          <w:b/>
          <w:bCs/>
          <w:sz w:val="24"/>
          <w:szCs w:val="24"/>
        </w:rPr>
        <w:t xml:space="preserve">   (</w:t>
      </w:r>
      <w:proofErr w:type="gramEnd"/>
      <w:r w:rsidRPr="00996689">
        <w:rPr>
          <w:rFonts w:ascii="Times New Roman" w:hAnsi="Times New Roman" w:cs="Times New Roman"/>
          <w:b/>
          <w:bCs/>
          <w:sz w:val="24"/>
          <w:szCs w:val="24"/>
        </w:rPr>
        <w:t>n=120)</w:t>
      </w:r>
    </w:p>
    <w:tbl>
      <w:tblPr>
        <w:tblStyle w:val="TableGrid"/>
        <w:tblW w:w="5000" w:type="pct"/>
        <w:tblLook w:val="04A0" w:firstRow="1" w:lastRow="0" w:firstColumn="1" w:lastColumn="0" w:noHBand="0" w:noVBand="1"/>
      </w:tblPr>
      <w:tblGrid>
        <w:gridCol w:w="530"/>
        <w:gridCol w:w="3933"/>
        <w:gridCol w:w="1298"/>
        <w:gridCol w:w="1785"/>
        <w:gridCol w:w="1470"/>
      </w:tblGrid>
      <w:tr w:rsidR="005B02EE" w:rsidRPr="00996689" w14:paraId="53D1DE73" w14:textId="77777777" w:rsidTr="00E116D0">
        <w:trPr>
          <w:trHeight w:val="323"/>
        </w:trPr>
        <w:tc>
          <w:tcPr>
            <w:tcW w:w="2475" w:type="pct"/>
            <w:gridSpan w:val="2"/>
            <w:vMerge w:val="restart"/>
            <w:vAlign w:val="center"/>
          </w:tcPr>
          <w:p w14:paraId="16918DC2"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bCs/>
                <w:sz w:val="24"/>
                <w:szCs w:val="24"/>
              </w:rPr>
              <w:t>Indicators of Exposure</w:t>
            </w:r>
          </w:p>
        </w:tc>
        <w:tc>
          <w:tcPr>
            <w:tcW w:w="1709" w:type="pct"/>
            <w:gridSpan w:val="2"/>
            <w:vAlign w:val="center"/>
          </w:tcPr>
          <w:p w14:paraId="68F7FEF3"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1</w:t>
            </w:r>
            <w:r w:rsidRPr="00996689">
              <w:rPr>
                <w:rFonts w:ascii="Times New Roman" w:hAnsi="Times New Roman" w:cs="Times New Roman"/>
                <w:b/>
                <w:sz w:val="24"/>
                <w:szCs w:val="24"/>
                <w:vertAlign w:val="superscript"/>
              </w:rPr>
              <w:t>st</w:t>
            </w:r>
            <w:r w:rsidRPr="00996689">
              <w:rPr>
                <w:rFonts w:ascii="Times New Roman" w:hAnsi="Times New Roman" w:cs="Times New Roman"/>
                <w:b/>
                <w:sz w:val="24"/>
                <w:szCs w:val="24"/>
              </w:rPr>
              <w:t xml:space="preserve"> Run of Factor analysis</w:t>
            </w:r>
          </w:p>
        </w:tc>
        <w:tc>
          <w:tcPr>
            <w:tcW w:w="816" w:type="pct"/>
            <w:vMerge w:val="restart"/>
            <w:vAlign w:val="center"/>
          </w:tcPr>
          <w:p w14:paraId="0CFCA851"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Weightage</w:t>
            </w:r>
          </w:p>
        </w:tc>
      </w:tr>
      <w:tr w:rsidR="005B02EE" w:rsidRPr="00996689" w14:paraId="4FF52E13" w14:textId="77777777" w:rsidTr="00E116D0">
        <w:trPr>
          <w:trHeight w:val="431"/>
        </w:trPr>
        <w:tc>
          <w:tcPr>
            <w:tcW w:w="2475" w:type="pct"/>
            <w:gridSpan w:val="2"/>
            <w:vMerge/>
            <w:vAlign w:val="center"/>
          </w:tcPr>
          <w:p w14:paraId="354FD65E" w14:textId="77777777" w:rsidR="005B02EE" w:rsidRPr="00996689" w:rsidRDefault="005B02EE" w:rsidP="00996689">
            <w:pPr>
              <w:spacing w:line="360" w:lineRule="auto"/>
              <w:jc w:val="both"/>
              <w:rPr>
                <w:rFonts w:ascii="Times New Roman" w:hAnsi="Times New Roman" w:cs="Times New Roman"/>
                <w:b/>
                <w:sz w:val="24"/>
                <w:szCs w:val="24"/>
              </w:rPr>
            </w:pPr>
          </w:p>
        </w:tc>
        <w:tc>
          <w:tcPr>
            <w:tcW w:w="1709" w:type="pct"/>
            <w:gridSpan w:val="2"/>
            <w:vAlign w:val="center"/>
          </w:tcPr>
          <w:p w14:paraId="52DF9FE6"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Communalities</w:t>
            </w:r>
          </w:p>
        </w:tc>
        <w:tc>
          <w:tcPr>
            <w:tcW w:w="816" w:type="pct"/>
            <w:vMerge/>
            <w:vAlign w:val="center"/>
          </w:tcPr>
          <w:p w14:paraId="68062CE5" w14:textId="77777777" w:rsidR="005B02EE" w:rsidRPr="00996689" w:rsidRDefault="005B02EE" w:rsidP="00996689">
            <w:pPr>
              <w:spacing w:line="360" w:lineRule="auto"/>
              <w:jc w:val="both"/>
              <w:rPr>
                <w:rFonts w:ascii="Times New Roman" w:hAnsi="Times New Roman" w:cs="Times New Roman"/>
                <w:sz w:val="24"/>
                <w:szCs w:val="24"/>
              </w:rPr>
            </w:pPr>
          </w:p>
        </w:tc>
      </w:tr>
      <w:tr w:rsidR="005B02EE" w:rsidRPr="00996689" w14:paraId="10F7889F" w14:textId="77777777" w:rsidTr="00E116D0">
        <w:trPr>
          <w:trHeight w:val="347"/>
        </w:trPr>
        <w:tc>
          <w:tcPr>
            <w:tcW w:w="2475" w:type="pct"/>
            <w:gridSpan w:val="2"/>
            <w:vMerge/>
            <w:vAlign w:val="center"/>
          </w:tcPr>
          <w:p w14:paraId="0BF5636D" w14:textId="77777777" w:rsidR="005B02EE" w:rsidRPr="00996689" w:rsidRDefault="005B02EE" w:rsidP="00996689">
            <w:pPr>
              <w:spacing w:line="360" w:lineRule="auto"/>
              <w:jc w:val="both"/>
              <w:rPr>
                <w:rFonts w:ascii="Times New Roman" w:hAnsi="Times New Roman" w:cs="Times New Roman"/>
                <w:b/>
                <w:sz w:val="24"/>
                <w:szCs w:val="24"/>
              </w:rPr>
            </w:pPr>
          </w:p>
        </w:tc>
        <w:tc>
          <w:tcPr>
            <w:tcW w:w="720" w:type="pct"/>
            <w:vAlign w:val="center"/>
          </w:tcPr>
          <w:p w14:paraId="5FF3FBE0"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 xml:space="preserve">    Initial</w:t>
            </w:r>
          </w:p>
        </w:tc>
        <w:tc>
          <w:tcPr>
            <w:tcW w:w="990" w:type="pct"/>
            <w:vAlign w:val="center"/>
          </w:tcPr>
          <w:p w14:paraId="2E12B1D1"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Extraction</w:t>
            </w:r>
          </w:p>
        </w:tc>
        <w:tc>
          <w:tcPr>
            <w:tcW w:w="816" w:type="pct"/>
            <w:vMerge/>
            <w:vAlign w:val="center"/>
          </w:tcPr>
          <w:p w14:paraId="1E3C78EB" w14:textId="77777777" w:rsidR="005B02EE" w:rsidRPr="00996689" w:rsidRDefault="005B02EE" w:rsidP="00996689">
            <w:pPr>
              <w:spacing w:line="360" w:lineRule="auto"/>
              <w:jc w:val="both"/>
              <w:rPr>
                <w:rFonts w:ascii="Times New Roman" w:hAnsi="Times New Roman" w:cs="Times New Roman"/>
                <w:sz w:val="24"/>
                <w:szCs w:val="24"/>
              </w:rPr>
            </w:pPr>
          </w:p>
        </w:tc>
      </w:tr>
      <w:tr w:rsidR="005B02EE" w:rsidRPr="00996689" w14:paraId="18BAE7C4" w14:textId="77777777" w:rsidTr="00E116D0">
        <w:trPr>
          <w:trHeight w:val="359"/>
        </w:trPr>
        <w:tc>
          <w:tcPr>
            <w:tcW w:w="294" w:type="pct"/>
            <w:vAlign w:val="center"/>
          </w:tcPr>
          <w:p w14:paraId="0340E68D" w14:textId="77777777" w:rsidR="005B02EE" w:rsidRPr="00996689" w:rsidRDefault="005B02EE" w:rsidP="00996689">
            <w:pPr>
              <w:spacing w:line="360" w:lineRule="auto"/>
              <w:jc w:val="both"/>
              <w:rPr>
                <w:rFonts w:ascii="Times New Roman" w:hAnsi="Times New Roman" w:cs="Times New Roman"/>
                <w:sz w:val="24"/>
                <w:szCs w:val="24"/>
              </w:rPr>
            </w:pPr>
            <w:proofErr w:type="spellStart"/>
            <w:r w:rsidRPr="00996689">
              <w:rPr>
                <w:rFonts w:ascii="Times New Roman" w:hAnsi="Times New Roman" w:cs="Times New Roman"/>
                <w:sz w:val="24"/>
                <w:szCs w:val="24"/>
              </w:rPr>
              <w:t>i</w:t>
            </w:r>
            <w:proofErr w:type="spellEnd"/>
            <w:r w:rsidRPr="00996689">
              <w:rPr>
                <w:rFonts w:ascii="Times New Roman" w:hAnsi="Times New Roman" w:cs="Times New Roman"/>
                <w:sz w:val="24"/>
                <w:szCs w:val="24"/>
              </w:rPr>
              <w:t>.</w:t>
            </w:r>
          </w:p>
        </w:tc>
        <w:tc>
          <w:tcPr>
            <w:tcW w:w="2180" w:type="pct"/>
          </w:tcPr>
          <w:p w14:paraId="6BD957D5"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Frequency of flood</w:t>
            </w:r>
          </w:p>
        </w:tc>
        <w:tc>
          <w:tcPr>
            <w:tcW w:w="720" w:type="pct"/>
            <w:vAlign w:val="center"/>
          </w:tcPr>
          <w:p w14:paraId="0C0B7175"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990" w:type="pct"/>
            <w:vAlign w:val="center"/>
          </w:tcPr>
          <w:p w14:paraId="2E0C4F46" w14:textId="77777777" w:rsidR="005B02EE" w:rsidRPr="00996689" w:rsidRDefault="005B02EE" w:rsidP="00996689">
            <w:pPr>
              <w:pStyle w:val="NormalWeb"/>
              <w:spacing w:before="120" w:beforeAutospacing="0" w:after="120" w:afterAutospacing="0" w:line="360" w:lineRule="auto"/>
              <w:jc w:val="both"/>
              <w:rPr>
                <w:rFonts w:eastAsiaTheme="minorHAnsi"/>
              </w:rPr>
            </w:pPr>
            <w:r w:rsidRPr="00996689">
              <w:rPr>
                <w:rFonts w:eastAsiaTheme="minorHAnsi"/>
              </w:rPr>
              <w:t xml:space="preserve">        .937</w:t>
            </w:r>
          </w:p>
        </w:tc>
        <w:tc>
          <w:tcPr>
            <w:tcW w:w="816" w:type="pct"/>
            <w:vAlign w:val="center"/>
          </w:tcPr>
          <w:p w14:paraId="294A0BFE" w14:textId="77777777" w:rsidR="005B02EE" w:rsidRPr="00996689" w:rsidRDefault="005B02EE" w:rsidP="00996689">
            <w:pPr>
              <w:pStyle w:val="NormalWeb"/>
              <w:spacing w:before="120" w:beforeAutospacing="0" w:after="120" w:afterAutospacing="0" w:line="360" w:lineRule="auto"/>
              <w:jc w:val="both"/>
              <w:rPr>
                <w:rFonts w:eastAsiaTheme="minorHAnsi"/>
              </w:rPr>
            </w:pPr>
            <w:r w:rsidRPr="00996689">
              <w:rPr>
                <w:rFonts w:eastAsiaTheme="minorHAnsi"/>
              </w:rPr>
              <w:t xml:space="preserve">      2.86</w:t>
            </w:r>
          </w:p>
        </w:tc>
      </w:tr>
      <w:tr w:rsidR="005B02EE" w:rsidRPr="00996689" w14:paraId="60A3AD3A" w14:textId="77777777" w:rsidTr="00E116D0">
        <w:trPr>
          <w:trHeight w:val="287"/>
        </w:trPr>
        <w:tc>
          <w:tcPr>
            <w:tcW w:w="294" w:type="pct"/>
            <w:vAlign w:val="center"/>
          </w:tcPr>
          <w:p w14:paraId="555A1189"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w:t>
            </w:r>
          </w:p>
        </w:tc>
        <w:tc>
          <w:tcPr>
            <w:tcW w:w="2180" w:type="pct"/>
          </w:tcPr>
          <w:p w14:paraId="7B5F8B9C"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Duration of flood</w:t>
            </w:r>
          </w:p>
        </w:tc>
        <w:tc>
          <w:tcPr>
            <w:tcW w:w="720" w:type="pct"/>
            <w:vAlign w:val="center"/>
          </w:tcPr>
          <w:p w14:paraId="1B7BCD85"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990" w:type="pct"/>
            <w:vAlign w:val="center"/>
          </w:tcPr>
          <w:p w14:paraId="778825E1" w14:textId="77777777" w:rsidR="005B02EE" w:rsidRPr="00996689" w:rsidRDefault="005B02EE" w:rsidP="00996689">
            <w:pPr>
              <w:pStyle w:val="NormalWeb"/>
              <w:spacing w:before="120" w:beforeAutospacing="0" w:after="120" w:afterAutospacing="0" w:line="360" w:lineRule="auto"/>
              <w:jc w:val="both"/>
              <w:rPr>
                <w:rFonts w:eastAsiaTheme="minorHAnsi"/>
              </w:rPr>
            </w:pPr>
            <w:r w:rsidRPr="00996689">
              <w:rPr>
                <w:rFonts w:eastAsiaTheme="minorHAnsi"/>
              </w:rPr>
              <w:t xml:space="preserve">        .753</w:t>
            </w:r>
          </w:p>
        </w:tc>
        <w:tc>
          <w:tcPr>
            <w:tcW w:w="816" w:type="pct"/>
            <w:vAlign w:val="center"/>
          </w:tcPr>
          <w:p w14:paraId="3D221C47" w14:textId="77777777" w:rsidR="005B02EE" w:rsidRPr="00996689" w:rsidRDefault="005B02EE" w:rsidP="00996689">
            <w:pPr>
              <w:pStyle w:val="NormalWeb"/>
              <w:spacing w:before="120" w:beforeAutospacing="0" w:after="120" w:afterAutospacing="0" w:line="360" w:lineRule="auto"/>
              <w:jc w:val="both"/>
              <w:rPr>
                <w:rFonts w:eastAsiaTheme="minorHAnsi"/>
              </w:rPr>
            </w:pPr>
            <w:r w:rsidRPr="00996689">
              <w:rPr>
                <w:rFonts w:eastAsiaTheme="minorHAnsi"/>
              </w:rPr>
              <w:t xml:space="preserve">      2.48</w:t>
            </w:r>
          </w:p>
        </w:tc>
      </w:tr>
      <w:tr w:rsidR="005B02EE" w:rsidRPr="00996689" w14:paraId="0F67A6CF" w14:textId="77777777" w:rsidTr="00E116D0">
        <w:trPr>
          <w:trHeight w:val="277"/>
        </w:trPr>
        <w:tc>
          <w:tcPr>
            <w:tcW w:w="294" w:type="pct"/>
            <w:vAlign w:val="center"/>
          </w:tcPr>
          <w:p w14:paraId="02397752"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iii.</w:t>
            </w:r>
          </w:p>
        </w:tc>
        <w:tc>
          <w:tcPr>
            <w:tcW w:w="2180" w:type="pct"/>
          </w:tcPr>
          <w:p w14:paraId="71A331D1"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Proximity of household to river (km)</w:t>
            </w:r>
          </w:p>
        </w:tc>
        <w:tc>
          <w:tcPr>
            <w:tcW w:w="720" w:type="pct"/>
            <w:vAlign w:val="center"/>
          </w:tcPr>
          <w:p w14:paraId="1CBB2580"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990" w:type="pct"/>
            <w:vAlign w:val="center"/>
          </w:tcPr>
          <w:p w14:paraId="529A72BF" w14:textId="77777777" w:rsidR="005B02EE" w:rsidRPr="00996689" w:rsidRDefault="005B02EE" w:rsidP="00996689">
            <w:pPr>
              <w:pStyle w:val="NormalWeb"/>
              <w:spacing w:before="120" w:beforeAutospacing="0" w:after="120" w:afterAutospacing="0" w:line="360" w:lineRule="auto"/>
              <w:jc w:val="both"/>
              <w:rPr>
                <w:rFonts w:eastAsiaTheme="minorHAnsi"/>
              </w:rPr>
            </w:pPr>
            <w:r w:rsidRPr="00996689">
              <w:rPr>
                <w:rFonts w:eastAsiaTheme="minorHAnsi"/>
              </w:rPr>
              <w:t xml:space="preserve">        .824</w:t>
            </w:r>
          </w:p>
        </w:tc>
        <w:tc>
          <w:tcPr>
            <w:tcW w:w="816" w:type="pct"/>
            <w:vAlign w:val="center"/>
          </w:tcPr>
          <w:p w14:paraId="0A30DBA9" w14:textId="77777777" w:rsidR="005B02EE" w:rsidRPr="00996689" w:rsidRDefault="005B02EE" w:rsidP="00996689">
            <w:pPr>
              <w:pStyle w:val="NormalWeb"/>
              <w:spacing w:before="120" w:beforeAutospacing="0" w:after="120" w:afterAutospacing="0" w:line="360" w:lineRule="auto"/>
              <w:jc w:val="both"/>
              <w:rPr>
                <w:rFonts w:eastAsiaTheme="minorHAnsi"/>
              </w:rPr>
            </w:pPr>
            <w:r w:rsidRPr="00996689">
              <w:rPr>
                <w:rFonts w:eastAsiaTheme="minorHAnsi"/>
              </w:rPr>
              <w:t xml:space="preserve">      2.78</w:t>
            </w:r>
          </w:p>
        </w:tc>
      </w:tr>
      <w:tr w:rsidR="005B02EE" w:rsidRPr="00996689" w14:paraId="6C723194" w14:textId="77777777" w:rsidTr="00E116D0">
        <w:trPr>
          <w:trHeight w:val="287"/>
        </w:trPr>
        <w:tc>
          <w:tcPr>
            <w:tcW w:w="294" w:type="pct"/>
            <w:vAlign w:val="center"/>
          </w:tcPr>
          <w:p w14:paraId="16770075"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iv.</w:t>
            </w:r>
          </w:p>
        </w:tc>
        <w:tc>
          <w:tcPr>
            <w:tcW w:w="2180" w:type="pct"/>
          </w:tcPr>
          <w:p w14:paraId="6E595740"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Incidence of Very Heavy Rainfall in mm (124.5-244.4)</w:t>
            </w:r>
          </w:p>
        </w:tc>
        <w:tc>
          <w:tcPr>
            <w:tcW w:w="720" w:type="pct"/>
            <w:vAlign w:val="center"/>
          </w:tcPr>
          <w:p w14:paraId="74752EC7"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990" w:type="pct"/>
            <w:vAlign w:val="center"/>
          </w:tcPr>
          <w:p w14:paraId="4E90844C" w14:textId="77777777" w:rsidR="005B02EE" w:rsidRPr="00996689" w:rsidRDefault="005B02EE" w:rsidP="00996689">
            <w:pPr>
              <w:pStyle w:val="NormalWeb"/>
              <w:spacing w:before="120" w:beforeAutospacing="0" w:after="120" w:afterAutospacing="0" w:line="360" w:lineRule="auto"/>
              <w:jc w:val="both"/>
              <w:rPr>
                <w:rFonts w:eastAsiaTheme="minorHAnsi"/>
              </w:rPr>
            </w:pPr>
            <w:r w:rsidRPr="00996689">
              <w:rPr>
                <w:rFonts w:eastAsiaTheme="minorHAnsi"/>
              </w:rPr>
              <w:t xml:space="preserve">        .746</w:t>
            </w:r>
          </w:p>
        </w:tc>
        <w:tc>
          <w:tcPr>
            <w:tcW w:w="816" w:type="pct"/>
            <w:vAlign w:val="center"/>
          </w:tcPr>
          <w:p w14:paraId="19304921" w14:textId="77777777" w:rsidR="005B02EE" w:rsidRPr="00996689" w:rsidRDefault="005B02EE" w:rsidP="00996689">
            <w:pPr>
              <w:pStyle w:val="NormalWeb"/>
              <w:spacing w:before="120" w:beforeAutospacing="0" w:after="120" w:afterAutospacing="0" w:line="360" w:lineRule="auto"/>
              <w:jc w:val="both"/>
              <w:rPr>
                <w:rFonts w:eastAsiaTheme="minorHAnsi"/>
              </w:rPr>
            </w:pPr>
            <w:r w:rsidRPr="00996689">
              <w:rPr>
                <w:rFonts w:eastAsiaTheme="minorHAnsi"/>
              </w:rPr>
              <w:t xml:space="preserve">     2.56</w:t>
            </w:r>
          </w:p>
        </w:tc>
      </w:tr>
    </w:tbl>
    <w:p w14:paraId="73E4FC9D" w14:textId="551634A9" w:rsidR="005B02EE" w:rsidRPr="00996689" w:rsidRDefault="005B02EE" w:rsidP="00996689">
      <w:pPr>
        <w:spacing w:line="360" w:lineRule="auto"/>
        <w:ind w:firstLine="720"/>
        <w:jc w:val="both"/>
        <w:rPr>
          <w:rFonts w:ascii="Times New Roman" w:hAnsi="Times New Roman" w:cs="Times New Roman"/>
          <w:sz w:val="24"/>
          <w:szCs w:val="24"/>
        </w:rPr>
      </w:pPr>
      <w:r w:rsidRPr="00996689">
        <w:rPr>
          <w:rFonts w:ascii="Times New Roman" w:hAnsi="Times New Roman" w:cs="Times New Roman"/>
          <w:sz w:val="24"/>
          <w:szCs w:val="24"/>
        </w:rPr>
        <w:t xml:space="preserve">Results shown in the Table </w:t>
      </w:r>
      <w:r w:rsidR="00164BEF" w:rsidRPr="00996689">
        <w:rPr>
          <w:rFonts w:ascii="Times New Roman" w:hAnsi="Times New Roman" w:cs="Times New Roman"/>
          <w:sz w:val="24"/>
          <w:szCs w:val="24"/>
        </w:rPr>
        <w:t>6</w:t>
      </w:r>
      <w:r w:rsidRPr="00996689">
        <w:rPr>
          <w:rFonts w:ascii="Times New Roman" w:hAnsi="Times New Roman" w:cs="Times New Roman"/>
          <w:sz w:val="24"/>
          <w:szCs w:val="24"/>
        </w:rPr>
        <w:t xml:space="preserve"> indicated that among the four indicators, frequency of flood (2.86) had the highest influence to exposure followed by the proximity of household to the river in km (2.78), the incidence of very heavy rainfall in mm (2.56), duration of the flood (2.48).</w:t>
      </w:r>
    </w:p>
    <w:p w14:paraId="32BC0AFF" w14:textId="7F8B45BA" w:rsidR="005B02EE" w:rsidRPr="00996689" w:rsidRDefault="005B02EE" w:rsidP="00996689">
      <w:pPr>
        <w:spacing w:line="360" w:lineRule="auto"/>
        <w:jc w:val="both"/>
        <w:rPr>
          <w:rFonts w:ascii="Times New Roman" w:hAnsi="Times New Roman" w:cs="Times New Roman"/>
          <w:b/>
          <w:bCs/>
          <w:sz w:val="24"/>
          <w:szCs w:val="24"/>
        </w:rPr>
      </w:pPr>
      <w:r w:rsidRPr="00996689">
        <w:rPr>
          <w:rFonts w:ascii="Times New Roman" w:hAnsi="Times New Roman" w:cs="Times New Roman"/>
          <w:b/>
          <w:bCs/>
          <w:sz w:val="24"/>
          <w:szCs w:val="24"/>
          <w:cs/>
        </w:rPr>
        <w:t>Indicators of sensitivity and their suitability &amp;weightage</w:t>
      </w:r>
      <w:r w:rsidRPr="00996689">
        <w:rPr>
          <w:rFonts w:ascii="Times New Roman" w:hAnsi="Times New Roman" w:cs="Times New Roman"/>
          <w:b/>
          <w:bCs/>
          <w:sz w:val="24"/>
          <w:szCs w:val="24"/>
        </w:rPr>
        <w:t> </w:t>
      </w:r>
      <w:r w:rsidRPr="00996689">
        <w:rPr>
          <w:rFonts w:ascii="Times New Roman" w:hAnsi="Times New Roman" w:cs="Times New Roman"/>
          <w:b/>
          <w:bCs/>
          <w:sz w:val="24"/>
          <w:szCs w:val="24"/>
          <w:rtl/>
          <w:cs/>
        </w:rPr>
        <w:t xml:space="preserve"> </w:t>
      </w:r>
    </w:p>
    <w:p w14:paraId="72FEAB21" w14:textId="0DB43D41" w:rsidR="005B02EE" w:rsidRDefault="005B02EE" w:rsidP="00996689">
      <w:pPr>
        <w:spacing w:line="360" w:lineRule="auto"/>
        <w:ind w:firstLine="720"/>
        <w:jc w:val="both"/>
        <w:rPr>
          <w:rFonts w:ascii="Times New Roman" w:hAnsi="Times New Roman" w:cs="Times New Roman"/>
          <w:sz w:val="24"/>
          <w:szCs w:val="24"/>
        </w:rPr>
      </w:pPr>
      <w:r w:rsidRPr="00996689">
        <w:rPr>
          <w:rFonts w:ascii="Times New Roman" w:hAnsi="Times New Roman" w:cs="Times New Roman"/>
          <w:sz w:val="24"/>
          <w:szCs w:val="24"/>
        </w:rPr>
        <w:t>Principal Component Analysis (PCA) was used to test the suitability as well as to calculate weightage of the six (6) identified indicators of sensitivity of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study area. Result portrayed in Table </w:t>
      </w:r>
      <w:r w:rsidR="00164BEF" w:rsidRPr="00996689">
        <w:rPr>
          <w:rFonts w:ascii="Times New Roman" w:hAnsi="Times New Roman" w:cs="Times New Roman"/>
          <w:sz w:val="24"/>
          <w:szCs w:val="24"/>
        </w:rPr>
        <w:t>7</w:t>
      </w:r>
      <w:r w:rsidRPr="00996689">
        <w:rPr>
          <w:rFonts w:ascii="Times New Roman" w:hAnsi="Times New Roman" w:cs="Times New Roman"/>
          <w:sz w:val="24"/>
          <w:szCs w:val="24"/>
        </w:rPr>
        <w:t xml:space="preserve"> explained that among these 6 indicators, proportion of income from agriculture (1.71) was the most sensitive indicators to flood-induced livelihood vulnerability followed by proportion of income from livestock (1.63), cropping intensity (1.39), average milk productivity of animal in kg (1.34), dependent ratio (1.30), average lactation period of the herd (1.15).</w:t>
      </w:r>
    </w:p>
    <w:p w14:paraId="6430482D" w14:textId="77777777" w:rsidR="00793A3C" w:rsidRDefault="00793A3C" w:rsidP="00996689">
      <w:pPr>
        <w:spacing w:line="360" w:lineRule="auto"/>
        <w:ind w:firstLine="720"/>
        <w:jc w:val="both"/>
        <w:rPr>
          <w:rFonts w:ascii="Times New Roman" w:hAnsi="Times New Roman" w:cs="Times New Roman"/>
          <w:sz w:val="24"/>
          <w:szCs w:val="24"/>
        </w:rPr>
      </w:pPr>
    </w:p>
    <w:p w14:paraId="6644E462" w14:textId="77777777" w:rsidR="00793A3C" w:rsidRPr="00996689" w:rsidRDefault="00793A3C" w:rsidP="00996689">
      <w:pPr>
        <w:spacing w:line="360" w:lineRule="auto"/>
        <w:ind w:firstLine="720"/>
        <w:jc w:val="both"/>
        <w:rPr>
          <w:rFonts w:ascii="Times New Roman" w:hAnsi="Times New Roman" w:cs="Times New Roman"/>
          <w:sz w:val="24"/>
          <w:szCs w:val="24"/>
        </w:rPr>
      </w:pPr>
    </w:p>
    <w:p w14:paraId="2EF810AB" w14:textId="71A14BCC" w:rsidR="005B02EE" w:rsidRPr="00996689" w:rsidRDefault="005B02EE" w:rsidP="00996689">
      <w:pPr>
        <w:spacing w:line="360" w:lineRule="auto"/>
        <w:jc w:val="both"/>
        <w:rPr>
          <w:rFonts w:ascii="Times New Roman" w:hAnsi="Times New Roman" w:cs="Times New Roman"/>
          <w:b/>
          <w:bCs/>
          <w:sz w:val="24"/>
          <w:szCs w:val="24"/>
        </w:rPr>
      </w:pPr>
      <w:r w:rsidRPr="00996689">
        <w:rPr>
          <w:rFonts w:ascii="Times New Roman" w:hAnsi="Times New Roman" w:cs="Times New Roman"/>
          <w:b/>
          <w:bCs/>
          <w:sz w:val="24"/>
          <w:szCs w:val="24"/>
        </w:rPr>
        <w:lastRenderedPageBreak/>
        <w:t>Table </w:t>
      </w:r>
      <w:r w:rsidR="00164BEF" w:rsidRPr="00996689">
        <w:rPr>
          <w:rFonts w:ascii="Times New Roman" w:hAnsi="Times New Roman" w:cs="Times New Roman"/>
          <w:b/>
          <w:bCs/>
          <w:sz w:val="24"/>
          <w:szCs w:val="24"/>
        </w:rPr>
        <w:t>7</w:t>
      </w:r>
      <w:r w:rsidRPr="00996689">
        <w:rPr>
          <w:rFonts w:ascii="Times New Roman" w:hAnsi="Times New Roman" w:cs="Times New Roman"/>
          <w:b/>
          <w:bCs/>
          <w:sz w:val="24"/>
          <w:szCs w:val="24"/>
        </w:rPr>
        <w:t xml:space="preserve">:  </w:t>
      </w:r>
      <w:r w:rsidRPr="00996689">
        <w:rPr>
          <w:rFonts w:ascii="Times New Roman" w:hAnsi="Times New Roman" w:cs="Times New Roman"/>
          <w:b/>
          <w:bCs/>
          <w:sz w:val="24"/>
          <w:szCs w:val="24"/>
          <w:cs/>
        </w:rPr>
        <w:t>Determinants of sensitivity to flood</w:t>
      </w:r>
      <w:r w:rsidRPr="00996689">
        <w:rPr>
          <w:rFonts w:ascii="Times New Roman" w:hAnsi="Times New Roman" w:cs="Times New Roman"/>
          <w:b/>
          <w:bCs/>
          <w:sz w:val="24"/>
          <w:szCs w:val="24"/>
          <w:rtl/>
          <w:cs/>
        </w:rPr>
        <w:t>-</w:t>
      </w:r>
      <w:r w:rsidRPr="00996689">
        <w:rPr>
          <w:rFonts w:ascii="Times New Roman" w:hAnsi="Times New Roman" w:cs="Times New Roman"/>
          <w:b/>
          <w:bCs/>
          <w:sz w:val="24"/>
          <w:szCs w:val="24"/>
          <w:cs/>
        </w:rPr>
        <w:t>driven vulnerability of study area</w:t>
      </w:r>
      <w:r w:rsidRPr="00996689">
        <w:rPr>
          <w:rFonts w:ascii="Times New Roman" w:hAnsi="Times New Roman" w:cs="Times New Roman"/>
          <w:b/>
          <w:bCs/>
          <w:sz w:val="24"/>
          <w:szCs w:val="24"/>
        </w:rPr>
        <w:t xml:space="preserve">  </w:t>
      </w:r>
    </w:p>
    <w:p w14:paraId="7DA43760" w14:textId="77777777" w:rsidR="005B02EE" w:rsidRPr="00996689" w:rsidRDefault="005B02EE" w:rsidP="00996689">
      <w:pPr>
        <w:spacing w:line="360" w:lineRule="auto"/>
        <w:ind w:left="6480" w:firstLine="720"/>
        <w:jc w:val="both"/>
        <w:rPr>
          <w:rFonts w:ascii="Times New Roman" w:hAnsi="Times New Roman" w:cs="Times New Roman"/>
          <w:b/>
          <w:bCs/>
          <w:sz w:val="24"/>
          <w:szCs w:val="24"/>
        </w:rPr>
      </w:pPr>
      <w:r w:rsidRPr="00996689">
        <w:rPr>
          <w:rFonts w:ascii="Times New Roman" w:hAnsi="Times New Roman" w:cs="Times New Roman"/>
          <w:b/>
          <w:bCs/>
          <w:sz w:val="24"/>
          <w:szCs w:val="24"/>
        </w:rPr>
        <w:t xml:space="preserve">       (n=120)</w:t>
      </w:r>
    </w:p>
    <w:tbl>
      <w:tblPr>
        <w:tblStyle w:val="TableGrid"/>
        <w:tblW w:w="4939" w:type="pct"/>
        <w:tblLayout w:type="fixed"/>
        <w:tblLook w:val="04A0" w:firstRow="1" w:lastRow="0" w:firstColumn="1" w:lastColumn="0" w:noHBand="0" w:noVBand="1"/>
      </w:tblPr>
      <w:tblGrid>
        <w:gridCol w:w="551"/>
        <w:gridCol w:w="4088"/>
        <w:gridCol w:w="1167"/>
        <w:gridCol w:w="1582"/>
        <w:gridCol w:w="1518"/>
      </w:tblGrid>
      <w:tr w:rsidR="005B02EE" w:rsidRPr="00996689" w14:paraId="07B2DAF5" w14:textId="77777777" w:rsidTr="00E116D0">
        <w:trPr>
          <w:trHeight w:val="510"/>
        </w:trPr>
        <w:tc>
          <w:tcPr>
            <w:tcW w:w="2605" w:type="pct"/>
            <w:gridSpan w:val="2"/>
            <w:vMerge w:val="restart"/>
            <w:vAlign w:val="center"/>
          </w:tcPr>
          <w:p w14:paraId="1FED541D"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bCs/>
                <w:sz w:val="24"/>
                <w:szCs w:val="24"/>
              </w:rPr>
              <w:t>Indicators of Sensitivity</w:t>
            </w:r>
          </w:p>
        </w:tc>
        <w:tc>
          <w:tcPr>
            <w:tcW w:w="1543" w:type="pct"/>
            <w:gridSpan w:val="2"/>
            <w:vAlign w:val="center"/>
          </w:tcPr>
          <w:p w14:paraId="6EC0A849"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1</w:t>
            </w:r>
            <w:r w:rsidRPr="00996689">
              <w:rPr>
                <w:rFonts w:ascii="Times New Roman" w:hAnsi="Times New Roman" w:cs="Times New Roman"/>
                <w:b/>
                <w:sz w:val="24"/>
                <w:szCs w:val="24"/>
                <w:vertAlign w:val="superscript"/>
              </w:rPr>
              <w:t>st</w:t>
            </w:r>
            <w:r w:rsidRPr="00996689">
              <w:rPr>
                <w:rFonts w:ascii="Times New Roman" w:hAnsi="Times New Roman" w:cs="Times New Roman"/>
                <w:b/>
                <w:sz w:val="24"/>
                <w:szCs w:val="24"/>
              </w:rPr>
              <w:t xml:space="preserve"> Run of Factor analysis</w:t>
            </w:r>
          </w:p>
        </w:tc>
        <w:tc>
          <w:tcPr>
            <w:tcW w:w="852" w:type="pct"/>
            <w:vMerge w:val="restart"/>
            <w:vAlign w:val="center"/>
          </w:tcPr>
          <w:p w14:paraId="7004EADC"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Weightage</w:t>
            </w:r>
          </w:p>
        </w:tc>
      </w:tr>
      <w:tr w:rsidR="005B02EE" w:rsidRPr="00996689" w14:paraId="7E097943" w14:textId="77777777" w:rsidTr="00E116D0">
        <w:trPr>
          <w:trHeight w:val="510"/>
        </w:trPr>
        <w:tc>
          <w:tcPr>
            <w:tcW w:w="2605" w:type="pct"/>
            <w:gridSpan w:val="2"/>
            <w:vMerge/>
            <w:vAlign w:val="center"/>
          </w:tcPr>
          <w:p w14:paraId="7386A52B" w14:textId="77777777" w:rsidR="005B02EE" w:rsidRPr="00996689" w:rsidRDefault="005B02EE" w:rsidP="00996689">
            <w:pPr>
              <w:spacing w:line="360" w:lineRule="auto"/>
              <w:jc w:val="both"/>
              <w:rPr>
                <w:rFonts w:ascii="Times New Roman" w:hAnsi="Times New Roman" w:cs="Times New Roman"/>
                <w:b/>
                <w:sz w:val="24"/>
                <w:szCs w:val="24"/>
              </w:rPr>
            </w:pPr>
          </w:p>
        </w:tc>
        <w:tc>
          <w:tcPr>
            <w:tcW w:w="1543" w:type="pct"/>
            <w:gridSpan w:val="2"/>
            <w:vAlign w:val="center"/>
          </w:tcPr>
          <w:p w14:paraId="0F7B5D5B"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Communalities</w:t>
            </w:r>
          </w:p>
        </w:tc>
        <w:tc>
          <w:tcPr>
            <w:tcW w:w="852" w:type="pct"/>
            <w:vMerge/>
            <w:vAlign w:val="center"/>
          </w:tcPr>
          <w:p w14:paraId="0AB933EB" w14:textId="77777777" w:rsidR="005B02EE" w:rsidRPr="00996689" w:rsidRDefault="005B02EE" w:rsidP="00996689">
            <w:pPr>
              <w:spacing w:line="360" w:lineRule="auto"/>
              <w:jc w:val="both"/>
              <w:rPr>
                <w:rFonts w:ascii="Times New Roman" w:hAnsi="Times New Roman" w:cs="Times New Roman"/>
                <w:sz w:val="24"/>
                <w:szCs w:val="24"/>
              </w:rPr>
            </w:pPr>
          </w:p>
        </w:tc>
      </w:tr>
      <w:tr w:rsidR="005B02EE" w:rsidRPr="00996689" w14:paraId="790BE6E9" w14:textId="77777777" w:rsidTr="00164BEF">
        <w:trPr>
          <w:trHeight w:val="510"/>
        </w:trPr>
        <w:tc>
          <w:tcPr>
            <w:tcW w:w="2605" w:type="pct"/>
            <w:gridSpan w:val="2"/>
            <w:vMerge/>
            <w:vAlign w:val="center"/>
          </w:tcPr>
          <w:p w14:paraId="4C7DF6B3" w14:textId="77777777" w:rsidR="005B02EE" w:rsidRPr="00996689" w:rsidRDefault="005B02EE" w:rsidP="00996689">
            <w:pPr>
              <w:spacing w:line="360" w:lineRule="auto"/>
              <w:jc w:val="both"/>
              <w:rPr>
                <w:rFonts w:ascii="Times New Roman" w:hAnsi="Times New Roman" w:cs="Times New Roman"/>
                <w:b/>
                <w:sz w:val="24"/>
                <w:szCs w:val="24"/>
              </w:rPr>
            </w:pPr>
          </w:p>
        </w:tc>
        <w:tc>
          <w:tcPr>
            <w:tcW w:w="655" w:type="pct"/>
            <w:vAlign w:val="center"/>
          </w:tcPr>
          <w:p w14:paraId="176E1882"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Initial</w:t>
            </w:r>
          </w:p>
        </w:tc>
        <w:tc>
          <w:tcPr>
            <w:tcW w:w="888" w:type="pct"/>
            <w:vAlign w:val="center"/>
          </w:tcPr>
          <w:p w14:paraId="75AEE0C8"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Extraction</w:t>
            </w:r>
          </w:p>
        </w:tc>
        <w:tc>
          <w:tcPr>
            <w:tcW w:w="852" w:type="pct"/>
            <w:vMerge/>
            <w:vAlign w:val="center"/>
          </w:tcPr>
          <w:p w14:paraId="50F24347" w14:textId="77777777" w:rsidR="005B02EE" w:rsidRPr="00996689" w:rsidRDefault="005B02EE" w:rsidP="00996689">
            <w:pPr>
              <w:spacing w:line="360" w:lineRule="auto"/>
              <w:jc w:val="both"/>
              <w:rPr>
                <w:rFonts w:ascii="Times New Roman" w:hAnsi="Times New Roman" w:cs="Times New Roman"/>
                <w:sz w:val="24"/>
                <w:szCs w:val="24"/>
              </w:rPr>
            </w:pPr>
          </w:p>
        </w:tc>
      </w:tr>
      <w:tr w:rsidR="005B02EE" w:rsidRPr="00996689" w14:paraId="07F42071" w14:textId="77777777" w:rsidTr="00164BEF">
        <w:trPr>
          <w:trHeight w:val="510"/>
        </w:trPr>
        <w:tc>
          <w:tcPr>
            <w:tcW w:w="310" w:type="pct"/>
            <w:vAlign w:val="center"/>
          </w:tcPr>
          <w:p w14:paraId="58A67CF7" w14:textId="77777777" w:rsidR="005B02EE" w:rsidRPr="00996689" w:rsidRDefault="005B02EE" w:rsidP="00996689">
            <w:pPr>
              <w:spacing w:line="360" w:lineRule="auto"/>
              <w:jc w:val="both"/>
              <w:rPr>
                <w:rFonts w:ascii="Times New Roman" w:hAnsi="Times New Roman" w:cs="Times New Roman"/>
                <w:sz w:val="24"/>
                <w:szCs w:val="24"/>
              </w:rPr>
            </w:pPr>
            <w:proofErr w:type="spellStart"/>
            <w:r w:rsidRPr="00996689">
              <w:rPr>
                <w:rFonts w:ascii="Times New Roman" w:hAnsi="Times New Roman" w:cs="Times New Roman"/>
                <w:sz w:val="24"/>
                <w:szCs w:val="24"/>
              </w:rPr>
              <w:t>i</w:t>
            </w:r>
            <w:proofErr w:type="spellEnd"/>
            <w:r w:rsidRPr="00996689">
              <w:rPr>
                <w:rFonts w:ascii="Times New Roman" w:hAnsi="Times New Roman" w:cs="Times New Roman"/>
                <w:sz w:val="24"/>
                <w:szCs w:val="24"/>
              </w:rPr>
              <w:t>.</w:t>
            </w:r>
          </w:p>
        </w:tc>
        <w:tc>
          <w:tcPr>
            <w:tcW w:w="2295" w:type="pct"/>
          </w:tcPr>
          <w:p w14:paraId="0615078B"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  Cropping Intensity</w:t>
            </w:r>
          </w:p>
        </w:tc>
        <w:tc>
          <w:tcPr>
            <w:tcW w:w="655" w:type="pct"/>
            <w:vAlign w:val="center"/>
          </w:tcPr>
          <w:p w14:paraId="6FCF23FA"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888" w:type="pct"/>
            <w:vAlign w:val="center"/>
          </w:tcPr>
          <w:p w14:paraId="78A42EC5"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.667</w:t>
            </w:r>
          </w:p>
        </w:tc>
        <w:tc>
          <w:tcPr>
            <w:tcW w:w="852" w:type="pct"/>
            <w:vAlign w:val="center"/>
          </w:tcPr>
          <w:p w14:paraId="4DA32CA2"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1.39</w:t>
            </w:r>
          </w:p>
        </w:tc>
      </w:tr>
      <w:tr w:rsidR="005B02EE" w:rsidRPr="00996689" w14:paraId="47FC2D41" w14:textId="77777777" w:rsidTr="00164BEF">
        <w:trPr>
          <w:trHeight w:val="510"/>
        </w:trPr>
        <w:tc>
          <w:tcPr>
            <w:tcW w:w="310" w:type="pct"/>
            <w:vAlign w:val="center"/>
          </w:tcPr>
          <w:p w14:paraId="3B8D3D82"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w:t>
            </w:r>
          </w:p>
        </w:tc>
        <w:tc>
          <w:tcPr>
            <w:tcW w:w="2295" w:type="pct"/>
          </w:tcPr>
          <w:p w14:paraId="347D6F61"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  Proportion of Income from livestock</w:t>
            </w:r>
          </w:p>
        </w:tc>
        <w:tc>
          <w:tcPr>
            <w:tcW w:w="655" w:type="pct"/>
            <w:vAlign w:val="center"/>
          </w:tcPr>
          <w:p w14:paraId="4B26BD32"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888" w:type="pct"/>
            <w:vAlign w:val="center"/>
          </w:tcPr>
          <w:p w14:paraId="283502A7"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.798</w:t>
            </w:r>
          </w:p>
        </w:tc>
        <w:tc>
          <w:tcPr>
            <w:tcW w:w="852" w:type="pct"/>
            <w:vAlign w:val="center"/>
          </w:tcPr>
          <w:p w14:paraId="14B39231"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1.63</w:t>
            </w:r>
          </w:p>
        </w:tc>
      </w:tr>
      <w:tr w:rsidR="005B02EE" w:rsidRPr="00996689" w14:paraId="58564D62" w14:textId="77777777" w:rsidTr="00164BEF">
        <w:trPr>
          <w:trHeight w:val="510"/>
        </w:trPr>
        <w:tc>
          <w:tcPr>
            <w:tcW w:w="310" w:type="pct"/>
            <w:vAlign w:val="center"/>
          </w:tcPr>
          <w:p w14:paraId="3060ED15"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iii.</w:t>
            </w:r>
          </w:p>
        </w:tc>
        <w:tc>
          <w:tcPr>
            <w:tcW w:w="2295" w:type="pct"/>
          </w:tcPr>
          <w:tbl>
            <w:tblPr>
              <w:tblW w:w="0" w:type="auto"/>
              <w:tblBorders>
                <w:top w:val="nil"/>
                <w:left w:val="nil"/>
                <w:bottom w:val="nil"/>
                <w:right w:val="nil"/>
              </w:tblBorders>
              <w:tblLayout w:type="fixed"/>
              <w:tblLook w:val="0000" w:firstRow="0" w:lastRow="0" w:firstColumn="0" w:lastColumn="0" w:noHBand="0" w:noVBand="0"/>
            </w:tblPr>
            <w:tblGrid>
              <w:gridCol w:w="3847"/>
            </w:tblGrid>
            <w:tr w:rsidR="005B02EE" w:rsidRPr="00996689" w14:paraId="2BA25EE0" w14:textId="77777777" w:rsidTr="00E116D0">
              <w:trPr>
                <w:trHeight w:val="141"/>
              </w:trPr>
              <w:tc>
                <w:tcPr>
                  <w:tcW w:w="3847" w:type="dxa"/>
                </w:tcPr>
                <w:p w14:paraId="117409A3"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The proportion of income from agriculture</w:t>
                  </w:r>
                </w:p>
              </w:tc>
            </w:tr>
          </w:tbl>
          <w:p w14:paraId="0F1E74BF" w14:textId="77777777" w:rsidR="005B02EE" w:rsidRPr="00996689" w:rsidRDefault="005B02EE" w:rsidP="00996689">
            <w:pPr>
              <w:spacing w:line="360" w:lineRule="auto"/>
              <w:jc w:val="both"/>
              <w:rPr>
                <w:rFonts w:ascii="Times New Roman" w:hAnsi="Times New Roman" w:cs="Times New Roman"/>
                <w:sz w:val="24"/>
                <w:szCs w:val="24"/>
              </w:rPr>
            </w:pPr>
          </w:p>
        </w:tc>
        <w:tc>
          <w:tcPr>
            <w:tcW w:w="655" w:type="pct"/>
            <w:vAlign w:val="center"/>
          </w:tcPr>
          <w:p w14:paraId="1E716DCC"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888" w:type="pct"/>
            <w:vAlign w:val="center"/>
          </w:tcPr>
          <w:p w14:paraId="008DFD9C"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.793</w:t>
            </w:r>
          </w:p>
        </w:tc>
        <w:tc>
          <w:tcPr>
            <w:tcW w:w="852" w:type="pct"/>
            <w:vAlign w:val="center"/>
          </w:tcPr>
          <w:p w14:paraId="6246FC9F"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1.71</w:t>
            </w:r>
          </w:p>
        </w:tc>
      </w:tr>
      <w:tr w:rsidR="005B02EE" w:rsidRPr="00996689" w14:paraId="5D000CF6" w14:textId="77777777" w:rsidTr="00164BEF">
        <w:trPr>
          <w:trHeight w:val="510"/>
        </w:trPr>
        <w:tc>
          <w:tcPr>
            <w:tcW w:w="310" w:type="pct"/>
            <w:vAlign w:val="center"/>
          </w:tcPr>
          <w:p w14:paraId="01E383F1"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iv.</w:t>
            </w:r>
          </w:p>
        </w:tc>
        <w:tc>
          <w:tcPr>
            <w:tcW w:w="2295" w:type="pct"/>
          </w:tcPr>
          <w:tbl>
            <w:tblPr>
              <w:tblW w:w="0" w:type="auto"/>
              <w:tblBorders>
                <w:top w:val="nil"/>
                <w:left w:val="nil"/>
                <w:bottom w:val="nil"/>
                <w:right w:val="nil"/>
              </w:tblBorders>
              <w:tblLayout w:type="fixed"/>
              <w:tblLook w:val="0000" w:firstRow="0" w:lastRow="0" w:firstColumn="0" w:lastColumn="0" w:noHBand="0" w:noVBand="0"/>
            </w:tblPr>
            <w:tblGrid>
              <w:gridCol w:w="3794"/>
            </w:tblGrid>
            <w:tr w:rsidR="005B02EE" w:rsidRPr="00996689" w14:paraId="2EA06ADE" w14:textId="77777777" w:rsidTr="00E116D0">
              <w:trPr>
                <w:trHeight w:val="712"/>
              </w:trPr>
              <w:tc>
                <w:tcPr>
                  <w:tcW w:w="3794" w:type="dxa"/>
                </w:tcPr>
                <w:p w14:paraId="10497824"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Average Lactation period </w:t>
                  </w:r>
                </w:p>
                <w:p w14:paraId="6D92AA69"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(all animal) </w:t>
                  </w:r>
                </w:p>
              </w:tc>
            </w:tr>
          </w:tbl>
          <w:p w14:paraId="5B308FB4" w14:textId="77777777" w:rsidR="005B02EE" w:rsidRPr="00996689" w:rsidRDefault="005B02EE" w:rsidP="00996689">
            <w:pPr>
              <w:spacing w:line="360" w:lineRule="auto"/>
              <w:jc w:val="both"/>
              <w:rPr>
                <w:rFonts w:ascii="Times New Roman" w:hAnsi="Times New Roman" w:cs="Times New Roman"/>
                <w:sz w:val="24"/>
                <w:szCs w:val="24"/>
              </w:rPr>
            </w:pPr>
          </w:p>
        </w:tc>
        <w:tc>
          <w:tcPr>
            <w:tcW w:w="655" w:type="pct"/>
            <w:vAlign w:val="center"/>
          </w:tcPr>
          <w:p w14:paraId="7105CA0C"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888" w:type="pct"/>
            <w:vAlign w:val="center"/>
          </w:tcPr>
          <w:p w14:paraId="06253084"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.506</w:t>
            </w:r>
          </w:p>
        </w:tc>
        <w:tc>
          <w:tcPr>
            <w:tcW w:w="852" w:type="pct"/>
            <w:vAlign w:val="center"/>
          </w:tcPr>
          <w:p w14:paraId="5BC2D8B2"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1.15</w:t>
            </w:r>
          </w:p>
        </w:tc>
      </w:tr>
      <w:tr w:rsidR="005B02EE" w:rsidRPr="00996689" w14:paraId="61A8EA88" w14:textId="77777777" w:rsidTr="00164BEF">
        <w:trPr>
          <w:trHeight w:val="393"/>
        </w:trPr>
        <w:tc>
          <w:tcPr>
            <w:tcW w:w="310" w:type="pct"/>
            <w:vAlign w:val="center"/>
          </w:tcPr>
          <w:p w14:paraId="65FE3393"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v.</w:t>
            </w:r>
          </w:p>
        </w:tc>
        <w:tc>
          <w:tcPr>
            <w:tcW w:w="2295" w:type="pct"/>
          </w:tcPr>
          <w:tbl>
            <w:tblPr>
              <w:tblW w:w="0" w:type="auto"/>
              <w:tblBorders>
                <w:top w:val="nil"/>
                <w:left w:val="nil"/>
                <w:bottom w:val="nil"/>
                <w:right w:val="nil"/>
              </w:tblBorders>
              <w:tblLayout w:type="fixed"/>
              <w:tblLook w:val="0000" w:firstRow="0" w:lastRow="0" w:firstColumn="0" w:lastColumn="0" w:noHBand="0" w:noVBand="0"/>
            </w:tblPr>
            <w:tblGrid>
              <w:gridCol w:w="4053"/>
            </w:tblGrid>
            <w:tr w:rsidR="005B02EE" w:rsidRPr="00996689" w14:paraId="72DD7340" w14:textId="77777777" w:rsidTr="00E116D0">
              <w:trPr>
                <w:trHeight w:val="141"/>
              </w:trPr>
              <w:tc>
                <w:tcPr>
                  <w:tcW w:w="4053" w:type="dxa"/>
                </w:tcPr>
                <w:p w14:paraId="640D720E"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Average daily milk production of animal </w:t>
                  </w:r>
                  <w:proofErr w:type="gramStart"/>
                  <w:r w:rsidRPr="00996689">
                    <w:rPr>
                      <w:rFonts w:ascii="Times New Roman" w:hAnsi="Times New Roman" w:cs="Times New Roman"/>
                      <w:sz w:val="24"/>
                      <w:szCs w:val="24"/>
                    </w:rPr>
                    <w:t>( kg</w:t>
                  </w:r>
                  <w:proofErr w:type="gramEnd"/>
                  <w:r w:rsidRPr="00996689">
                    <w:rPr>
                      <w:rFonts w:ascii="Times New Roman" w:hAnsi="Times New Roman" w:cs="Times New Roman"/>
                      <w:sz w:val="24"/>
                      <w:szCs w:val="24"/>
                    </w:rPr>
                    <w:t xml:space="preserve"> ) </w:t>
                  </w:r>
                </w:p>
              </w:tc>
            </w:tr>
          </w:tbl>
          <w:p w14:paraId="349B5B3B" w14:textId="77777777" w:rsidR="005B02EE" w:rsidRPr="00996689" w:rsidRDefault="005B02EE" w:rsidP="00996689">
            <w:pPr>
              <w:spacing w:line="360" w:lineRule="auto"/>
              <w:jc w:val="both"/>
              <w:rPr>
                <w:rFonts w:ascii="Times New Roman" w:hAnsi="Times New Roman" w:cs="Times New Roman"/>
                <w:sz w:val="24"/>
                <w:szCs w:val="24"/>
              </w:rPr>
            </w:pPr>
          </w:p>
        </w:tc>
        <w:tc>
          <w:tcPr>
            <w:tcW w:w="655" w:type="pct"/>
            <w:vAlign w:val="center"/>
          </w:tcPr>
          <w:p w14:paraId="4707BF60"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888" w:type="pct"/>
            <w:vAlign w:val="center"/>
          </w:tcPr>
          <w:p w14:paraId="0F4590A8"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.525</w:t>
            </w:r>
          </w:p>
        </w:tc>
        <w:tc>
          <w:tcPr>
            <w:tcW w:w="852" w:type="pct"/>
            <w:vAlign w:val="center"/>
          </w:tcPr>
          <w:p w14:paraId="7ACB3B25"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1.34</w:t>
            </w:r>
          </w:p>
        </w:tc>
      </w:tr>
      <w:tr w:rsidR="005B02EE" w:rsidRPr="00996689" w14:paraId="56453126" w14:textId="77777777" w:rsidTr="00164BEF">
        <w:trPr>
          <w:trHeight w:val="461"/>
        </w:trPr>
        <w:tc>
          <w:tcPr>
            <w:tcW w:w="310" w:type="pct"/>
            <w:vAlign w:val="center"/>
          </w:tcPr>
          <w:p w14:paraId="283A596C"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vi.</w:t>
            </w:r>
          </w:p>
        </w:tc>
        <w:tc>
          <w:tcPr>
            <w:tcW w:w="2295" w:type="pct"/>
          </w:tcPr>
          <w:p w14:paraId="61853AEE"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  Dependent Ratio</w:t>
            </w:r>
          </w:p>
        </w:tc>
        <w:tc>
          <w:tcPr>
            <w:tcW w:w="655" w:type="pct"/>
            <w:vAlign w:val="center"/>
          </w:tcPr>
          <w:p w14:paraId="4F32AD3A"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888" w:type="pct"/>
            <w:vAlign w:val="center"/>
          </w:tcPr>
          <w:p w14:paraId="662C7212"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.744</w:t>
            </w:r>
          </w:p>
        </w:tc>
        <w:tc>
          <w:tcPr>
            <w:tcW w:w="852" w:type="pct"/>
            <w:vAlign w:val="center"/>
          </w:tcPr>
          <w:p w14:paraId="5220FADF"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1.30</w:t>
            </w:r>
          </w:p>
        </w:tc>
      </w:tr>
    </w:tbl>
    <w:p w14:paraId="53FB6EE1" w14:textId="77777777" w:rsidR="00793A3C" w:rsidRDefault="00793A3C" w:rsidP="00996689">
      <w:pPr>
        <w:spacing w:line="360" w:lineRule="auto"/>
        <w:jc w:val="both"/>
        <w:rPr>
          <w:rFonts w:ascii="Times New Roman" w:hAnsi="Times New Roman" w:cs="Times New Roman"/>
          <w:b/>
          <w:bCs/>
          <w:sz w:val="24"/>
          <w:szCs w:val="24"/>
        </w:rPr>
      </w:pPr>
    </w:p>
    <w:p w14:paraId="15239FAA" w14:textId="7BFA7F88" w:rsidR="005B02EE" w:rsidRPr="00996689" w:rsidRDefault="005B02EE" w:rsidP="00996689">
      <w:pPr>
        <w:spacing w:line="360" w:lineRule="auto"/>
        <w:jc w:val="both"/>
        <w:rPr>
          <w:rFonts w:ascii="Times New Roman" w:hAnsi="Times New Roman" w:cs="Times New Roman"/>
          <w:b/>
          <w:bCs/>
          <w:sz w:val="24"/>
          <w:szCs w:val="24"/>
        </w:rPr>
      </w:pPr>
      <w:r w:rsidRPr="00996689">
        <w:rPr>
          <w:rFonts w:ascii="Times New Roman" w:hAnsi="Times New Roman" w:cs="Times New Roman"/>
          <w:b/>
          <w:bCs/>
          <w:sz w:val="24"/>
          <w:szCs w:val="24"/>
        </w:rPr>
        <w:t>Vulnerability to flood among the livestock-</w:t>
      </w:r>
      <w:proofErr w:type="spellStart"/>
      <w:r w:rsidRPr="00996689">
        <w:rPr>
          <w:rFonts w:ascii="Times New Roman" w:hAnsi="Times New Roman" w:cs="Times New Roman"/>
          <w:b/>
          <w:bCs/>
          <w:sz w:val="24"/>
          <w:szCs w:val="24"/>
        </w:rPr>
        <w:t>rearers</w:t>
      </w:r>
      <w:proofErr w:type="spellEnd"/>
      <w:r w:rsidRPr="00996689">
        <w:rPr>
          <w:rFonts w:ascii="Times New Roman" w:hAnsi="Times New Roman" w:cs="Times New Roman"/>
          <w:b/>
          <w:bCs/>
          <w:sz w:val="24"/>
          <w:szCs w:val="24"/>
        </w:rPr>
        <w:t xml:space="preserve"> of the study area </w:t>
      </w:r>
    </w:p>
    <w:p w14:paraId="12B0F508" w14:textId="5A22EA5A" w:rsidR="005B02EE" w:rsidRPr="00996689" w:rsidRDefault="005B02EE" w:rsidP="00996689">
      <w:pPr>
        <w:spacing w:line="360" w:lineRule="auto"/>
        <w:ind w:firstLine="720"/>
        <w:jc w:val="both"/>
        <w:rPr>
          <w:rFonts w:ascii="Times New Roman" w:hAnsi="Times New Roman" w:cs="Times New Roman"/>
          <w:sz w:val="24"/>
          <w:szCs w:val="24"/>
        </w:rPr>
      </w:pPr>
      <w:r w:rsidRPr="00996689">
        <w:rPr>
          <w:rFonts w:ascii="Times New Roman" w:hAnsi="Times New Roman" w:cs="Times New Roman"/>
          <w:sz w:val="24"/>
          <w:szCs w:val="24"/>
        </w:rPr>
        <w:t xml:space="preserve">Data presented in </w:t>
      </w:r>
      <w:r w:rsidR="008567FD" w:rsidRPr="00996689">
        <w:rPr>
          <w:rFonts w:ascii="Times New Roman" w:hAnsi="Times New Roman" w:cs="Times New Roman"/>
          <w:sz w:val="24"/>
          <w:szCs w:val="24"/>
        </w:rPr>
        <w:t>Fig 2.</w:t>
      </w:r>
      <w:r w:rsidRPr="00996689">
        <w:rPr>
          <w:rFonts w:ascii="Times New Roman" w:hAnsi="Times New Roman" w:cs="Times New Roman"/>
          <w:sz w:val="24"/>
          <w:szCs w:val="24"/>
        </w:rPr>
        <w:t xml:space="preserve"> indicated the average mean value for the adaptive capacity, exposure, and sensitivity of the study area, by calculating separately. The same table also indicated the overall vulnerability value, which was calculated as a function of adaptive capacity, exposure and sensitivity and finally, it was quantified by subtraction of sum of exposure and sensitivity from the adaptive capacity. The mean values of vulnerability and its components of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study area were explained in </w:t>
      </w:r>
      <w:r w:rsidR="008567FD" w:rsidRPr="00996689">
        <w:rPr>
          <w:rFonts w:ascii="Times New Roman" w:hAnsi="Times New Roman" w:cs="Times New Roman"/>
          <w:sz w:val="24"/>
          <w:szCs w:val="24"/>
        </w:rPr>
        <w:t>Fig.2</w:t>
      </w:r>
    </w:p>
    <w:p w14:paraId="521A986B" w14:textId="77777777" w:rsidR="0029115F" w:rsidRPr="00996689" w:rsidRDefault="0029115F" w:rsidP="00996689">
      <w:pPr>
        <w:spacing w:before="240" w:line="360" w:lineRule="auto"/>
        <w:ind w:firstLine="720"/>
        <w:jc w:val="both"/>
        <w:rPr>
          <w:rFonts w:ascii="Times New Roman" w:hAnsi="Times New Roman" w:cs="Times New Roman"/>
          <w:sz w:val="24"/>
          <w:szCs w:val="24"/>
        </w:rPr>
      </w:pPr>
    </w:p>
    <w:p w14:paraId="3E34B656" w14:textId="214F88EB" w:rsidR="0029115F" w:rsidRPr="00996689" w:rsidRDefault="009A30A6" w:rsidP="00996689">
      <w:pPr>
        <w:spacing w:before="240" w:line="360" w:lineRule="auto"/>
        <w:ind w:firstLine="720"/>
        <w:jc w:val="both"/>
        <w:rPr>
          <w:rFonts w:ascii="Times New Roman" w:hAnsi="Times New Roman" w:cs="Times New Roman"/>
          <w:sz w:val="24"/>
          <w:szCs w:val="24"/>
        </w:rPr>
      </w:pPr>
      <w:r w:rsidRPr="00996689">
        <w:rPr>
          <w:rFonts w:ascii="Times New Roman" w:hAnsi="Times New Roman" w:cs="Times New Roman"/>
          <w:noProof/>
          <w:sz w:val="24"/>
          <w:szCs w:val="24"/>
        </w:rPr>
        <w:lastRenderedPageBreak/>
        <w:drawing>
          <wp:inline distT="0" distB="0" distL="0" distR="0" wp14:anchorId="03445D91" wp14:editId="70996534">
            <wp:extent cx="4937760" cy="3196590"/>
            <wp:effectExtent l="0" t="0" r="15240" b="3810"/>
            <wp:docPr id="1393230874" name="Chart 1">
              <a:extLst xmlns:a="http://schemas.openxmlformats.org/drawingml/2006/main">
                <a:ext uri="{FF2B5EF4-FFF2-40B4-BE49-F238E27FC236}">
                  <a16:creationId xmlns:a16="http://schemas.microsoft.com/office/drawing/2014/main" id="{E6F02FE0-E1F0-8E5C-B4E4-E34B550F6D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1934D8" w14:textId="5328BAB2" w:rsidR="009A30A6" w:rsidRPr="00996689" w:rsidRDefault="009A30A6" w:rsidP="00996689">
      <w:pPr>
        <w:spacing w:line="360" w:lineRule="auto"/>
        <w:ind w:right="-330"/>
        <w:jc w:val="both"/>
        <w:rPr>
          <w:rFonts w:ascii="Times New Roman" w:eastAsia="Calibri" w:hAnsi="Times New Roman" w:cs="Times New Roman"/>
          <w:b/>
          <w:bCs/>
          <w:kern w:val="24"/>
          <w:sz w:val="24"/>
          <w:szCs w:val="24"/>
        </w:rPr>
      </w:pPr>
      <w:r w:rsidRPr="00996689">
        <w:rPr>
          <w:rFonts w:ascii="Times New Roman" w:hAnsi="Times New Roman" w:cs="Times New Roman"/>
          <w:b/>
          <w:sz w:val="24"/>
          <w:szCs w:val="24"/>
        </w:rPr>
        <w:t xml:space="preserve">Fig 2: </w:t>
      </w:r>
      <w:r w:rsidR="008567FD" w:rsidRPr="00996689">
        <w:rPr>
          <w:rFonts w:ascii="Times New Roman" w:hAnsi="Times New Roman" w:cs="Times New Roman"/>
          <w:b/>
          <w:sz w:val="24"/>
          <w:szCs w:val="24"/>
        </w:rPr>
        <w:t xml:space="preserve">Average value of vulnerability and its components in the study area </w:t>
      </w:r>
      <w:r w:rsidR="008567FD" w:rsidRPr="00996689">
        <w:rPr>
          <w:rFonts w:ascii="Times New Roman" w:hAnsi="Times New Roman" w:cs="Times New Roman"/>
          <w:b/>
          <w:bCs/>
          <w:sz w:val="24"/>
          <w:szCs w:val="24"/>
        </w:rPr>
        <w:t xml:space="preserve">(n=120)        </w:t>
      </w:r>
    </w:p>
    <w:p w14:paraId="24A89AA7" w14:textId="7E2C0579" w:rsidR="008567FD" w:rsidRPr="00996689" w:rsidRDefault="008567FD" w:rsidP="00996689">
      <w:pPr>
        <w:spacing w:line="360" w:lineRule="auto"/>
        <w:ind w:firstLine="720"/>
        <w:jc w:val="both"/>
        <w:rPr>
          <w:rFonts w:ascii="Times New Roman" w:hAnsi="Times New Roman" w:cs="Times New Roman"/>
          <w:sz w:val="24"/>
          <w:szCs w:val="24"/>
        </w:rPr>
      </w:pPr>
      <w:r w:rsidRPr="00996689">
        <w:rPr>
          <w:rFonts w:ascii="Times New Roman" w:hAnsi="Times New Roman" w:cs="Times New Roman"/>
          <w:sz w:val="24"/>
          <w:szCs w:val="24"/>
        </w:rPr>
        <w:t>The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major flood-prone district had a higher degree of exposure (7.23 ± 0.16) than the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minor flood-prone district (3.67 ± 0.15) towards flood. Results also indicated that the degree of exposure differs among the two districts and increases with the increase in the degree of flood proneness. Similarly, mean exposure value of respondents of the overall study area was 5.45 ± 0.20. The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minor flood-prone district, major flood-prone district, and overall study area had sensitivity value 3.17 ± 0.05, 2.51 ± 0.06 and 2.84 ± 0.05 respectively.</w:t>
      </w:r>
    </w:p>
    <w:p w14:paraId="7341C278" w14:textId="77777777" w:rsidR="008567FD" w:rsidRPr="00996689" w:rsidRDefault="008567FD" w:rsidP="00996689">
      <w:pPr>
        <w:spacing w:before="240" w:line="360" w:lineRule="auto"/>
        <w:ind w:firstLine="720"/>
        <w:jc w:val="both"/>
        <w:rPr>
          <w:rFonts w:ascii="Times New Roman" w:hAnsi="Times New Roman" w:cs="Times New Roman"/>
          <w:sz w:val="24"/>
          <w:szCs w:val="24"/>
        </w:rPr>
      </w:pPr>
      <w:r w:rsidRPr="00996689">
        <w:rPr>
          <w:rFonts w:ascii="Times New Roman" w:hAnsi="Times New Roman" w:cs="Times New Roman"/>
          <w:sz w:val="24"/>
          <w:szCs w:val="24"/>
        </w:rPr>
        <w:t>Livelihood vulnerability of each household was calculated by subtracting the sum of exposure and sensitivity from adaptive capacity. The district having lower livelihood vulnerability value indicated that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that district were more vulnerable. Therefore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major flood-prone district (Balasore) were more vulnerable than minor flood-prone district (Dhenkanal). It was found out that mean value of livelihood vulnerability of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each district was positive and increased with increase in the degree of flood proneness.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major flood-prone district had the lower adaptive capacity and higher exposure than the minor flood-prone district. This could be the reasons for the higher vulnerability of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major flood-prone district (Balasore) than the minor flood-prone district (Dhenkanal). Similarly, the average vulnerability value of respondents of the minor flood-prone district, major flood-prone district and overall study area was 13.20 ± 0.40, 8.60 ± 0.51 and 10.90 ± 0.44 respectively.</w:t>
      </w:r>
    </w:p>
    <w:p w14:paraId="0F55048E" w14:textId="77777777" w:rsidR="0029115F" w:rsidRPr="00996689" w:rsidRDefault="0029115F" w:rsidP="00996689">
      <w:pPr>
        <w:spacing w:before="240" w:line="360" w:lineRule="auto"/>
        <w:ind w:firstLine="720"/>
        <w:jc w:val="both"/>
        <w:rPr>
          <w:rFonts w:ascii="Times New Roman" w:hAnsi="Times New Roman" w:cs="Times New Roman"/>
          <w:sz w:val="24"/>
          <w:szCs w:val="24"/>
        </w:rPr>
      </w:pPr>
    </w:p>
    <w:p w14:paraId="635D6264" w14:textId="543A5520" w:rsidR="005B02EE" w:rsidRPr="00996689" w:rsidRDefault="005B02EE" w:rsidP="00996689">
      <w:pPr>
        <w:spacing w:line="360" w:lineRule="auto"/>
        <w:ind w:left="720" w:hanging="720"/>
        <w:jc w:val="both"/>
        <w:rPr>
          <w:rFonts w:ascii="Times New Roman" w:hAnsi="Times New Roman" w:cs="Times New Roman"/>
          <w:b/>
          <w:noProof/>
          <w:spacing w:val="-3"/>
          <w:w w:val="95"/>
          <w:sz w:val="24"/>
          <w:szCs w:val="24"/>
        </w:rPr>
      </w:pPr>
      <w:r w:rsidRPr="00996689">
        <w:rPr>
          <w:rFonts w:ascii="Times New Roman" w:hAnsi="Times New Roman" w:cs="Times New Roman"/>
          <w:b/>
          <w:noProof/>
          <w:spacing w:val="-3"/>
          <w:w w:val="95"/>
          <w:sz w:val="24"/>
          <w:szCs w:val="24"/>
        </w:rPr>
        <w:t xml:space="preserve">Distribution of respondents of the study area </w:t>
      </w:r>
      <w:r w:rsidRPr="00996689">
        <w:rPr>
          <w:rFonts w:ascii="Times New Roman" w:hAnsi="Times New Roman" w:cs="Times New Roman"/>
          <w:b/>
          <w:sz w:val="24"/>
          <w:szCs w:val="24"/>
        </w:rPr>
        <w:t>as per their Vulnerability against Flood</w:t>
      </w:r>
    </w:p>
    <w:p w14:paraId="1094721F" w14:textId="030F459B" w:rsidR="005B02EE" w:rsidRPr="00996689" w:rsidRDefault="005B02EE" w:rsidP="00996689">
      <w:pPr>
        <w:spacing w:line="360" w:lineRule="auto"/>
        <w:ind w:firstLine="720"/>
        <w:jc w:val="both"/>
        <w:rPr>
          <w:rFonts w:ascii="Times New Roman" w:hAnsi="Times New Roman" w:cs="Times New Roman"/>
          <w:sz w:val="24"/>
          <w:szCs w:val="24"/>
        </w:rPr>
      </w:pPr>
      <w:r w:rsidRPr="00996689">
        <w:rPr>
          <w:rFonts w:ascii="Times New Roman" w:hAnsi="Times New Roman" w:cs="Times New Roman"/>
          <w:sz w:val="24"/>
          <w:szCs w:val="24"/>
        </w:rPr>
        <w:t xml:space="preserve">Fig </w:t>
      </w:r>
      <w:r w:rsidR="001E5969" w:rsidRPr="00996689">
        <w:rPr>
          <w:rFonts w:ascii="Times New Roman" w:hAnsi="Times New Roman" w:cs="Times New Roman"/>
          <w:sz w:val="24"/>
          <w:szCs w:val="24"/>
        </w:rPr>
        <w:t>2</w:t>
      </w:r>
      <w:r w:rsidR="00164BEF" w:rsidRPr="00996689">
        <w:rPr>
          <w:rFonts w:ascii="Times New Roman" w:hAnsi="Times New Roman" w:cs="Times New Roman"/>
          <w:sz w:val="24"/>
          <w:szCs w:val="24"/>
        </w:rPr>
        <w:t xml:space="preserve">. </w:t>
      </w:r>
      <w:r w:rsidRPr="00996689">
        <w:rPr>
          <w:rFonts w:ascii="Times New Roman" w:hAnsi="Times New Roman" w:cs="Times New Roman"/>
          <w:sz w:val="24"/>
          <w:szCs w:val="24"/>
        </w:rPr>
        <w:t xml:space="preserve">showed the distribution of respondents of the study area in three types of </w:t>
      </w:r>
      <w:r w:rsidR="00EF47D7" w:rsidRPr="00996689">
        <w:rPr>
          <w:rFonts w:ascii="Times New Roman" w:hAnsi="Times New Roman" w:cs="Times New Roman"/>
          <w:sz w:val="24"/>
          <w:szCs w:val="24"/>
        </w:rPr>
        <w:t>categories</w:t>
      </w:r>
      <w:r w:rsidRPr="00996689">
        <w:rPr>
          <w:rFonts w:ascii="Times New Roman" w:hAnsi="Times New Roman" w:cs="Times New Roman"/>
          <w:sz w:val="24"/>
          <w:szCs w:val="24"/>
        </w:rPr>
        <w:t xml:space="preserve"> based on their vulnerability against flood. In the minor flood-prone district, majority of the respondents (60.00%) were less vulnerable against flood, because their adaptive capacity is higher than the combined effect of exposure and sensitivity to flooding and they have the ability to cope up the flood. Likewise, respondents (48.33%) of the major flood-prone district were highly vulnerable against flood because their adaptive capacity is not to such extent to cope up the effect of flood, because their adaptive capacity is higher than the combined effect of exposure and sensitivity to flooding. Likewise, 42.50 per cent of respondents on an overall basis were having a moderate level of vulnerability against flood.</w:t>
      </w:r>
    </w:p>
    <w:p w14:paraId="29EABB65" w14:textId="77777777" w:rsidR="005B02EE" w:rsidRPr="00996689" w:rsidRDefault="005B02EE" w:rsidP="00996689">
      <w:pPr>
        <w:spacing w:line="360" w:lineRule="auto"/>
        <w:jc w:val="both"/>
        <w:rPr>
          <w:rFonts w:ascii="Times New Roman" w:hAnsi="Times New Roman" w:cs="Times New Roman"/>
          <w:sz w:val="24"/>
          <w:szCs w:val="24"/>
          <w:vertAlign w:val="subscript"/>
        </w:rPr>
      </w:pPr>
      <w:r w:rsidRPr="00996689">
        <w:rPr>
          <w:rFonts w:ascii="Times New Roman" w:hAnsi="Times New Roman" w:cs="Times New Roman"/>
          <w:noProof/>
          <w:sz w:val="24"/>
          <w:szCs w:val="24"/>
          <w:vertAlign w:val="subscript"/>
          <w:lang w:eastAsia="en-IN"/>
        </w:rPr>
        <w:drawing>
          <wp:inline distT="0" distB="0" distL="0" distR="0" wp14:anchorId="55FB72FB" wp14:editId="08B8F593">
            <wp:extent cx="5424853" cy="376310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8A2921" w14:textId="001FB1AE" w:rsidR="00E46687" w:rsidRPr="00C058C6" w:rsidRDefault="005B02EE" w:rsidP="00C058C6">
      <w:pPr>
        <w:spacing w:line="360" w:lineRule="auto"/>
        <w:ind w:left="1440" w:hanging="1440"/>
        <w:jc w:val="both"/>
        <w:rPr>
          <w:rFonts w:ascii="Times New Roman" w:eastAsia="Calibri" w:hAnsi="Times New Roman" w:cs="Times New Roman"/>
          <w:b/>
          <w:bCs/>
          <w:kern w:val="24"/>
          <w:sz w:val="24"/>
          <w:szCs w:val="24"/>
        </w:rPr>
      </w:pPr>
      <w:r w:rsidRPr="00996689">
        <w:rPr>
          <w:rFonts w:ascii="Times New Roman" w:hAnsi="Times New Roman" w:cs="Times New Roman"/>
          <w:b/>
          <w:sz w:val="24"/>
          <w:szCs w:val="24"/>
        </w:rPr>
        <w:t xml:space="preserve">Fig </w:t>
      </w:r>
      <w:r w:rsidR="009A30A6" w:rsidRPr="00996689">
        <w:rPr>
          <w:rFonts w:ascii="Times New Roman" w:hAnsi="Times New Roman" w:cs="Times New Roman"/>
          <w:b/>
          <w:sz w:val="24"/>
          <w:szCs w:val="24"/>
        </w:rPr>
        <w:t>3</w:t>
      </w:r>
      <w:r w:rsidRPr="00996689">
        <w:rPr>
          <w:rFonts w:ascii="Times New Roman" w:hAnsi="Times New Roman" w:cs="Times New Roman"/>
          <w:b/>
          <w:sz w:val="24"/>
          <w:szCs w:val="24"/>
        </w:rPr>
        <w:t>: Distribution of the respondents as per their Vulnerability against Flood (</w:t>
      </w:r>
      <w:r w:rsidRPr="00996689">
        <w:rPr>
          <w:rFonts w:ascii="Times New Roman" w:eastAsia="Calibri" w:hAnsi="Times New Roman" w:cs="Times New Roman"/>
          <w:b/>
          <w:bCs/>
          <w:kern w:val="24"/>
          <w:sz w:val="24"/>
          <w:szCs w:val="24"/>
        </w:rPr>
        <w:t>n=120)</w:t>
      </w:r>
    </w:p>
    <w:p w14:paraId="2A0FF55C" w14:textId="0AAD574D" w:rsidR="005B02EE" w:rsidRPr="00996689" w:rsidRDefault="00793A3C" w:rsidP="00793A3C">
      <w:pPr>
        <w:spacing w:line="360" w:lineRule="auto"/>
        <w:jc w:val="center"/>
        <w:rPr>
          <w:rFonts w:ascii="Times New Roman" w:eastAsia="Times New Roman" w:hAnsi="Times New Roman" w:cs="Times New Roman"/>
          <w:b/>
          <w:bCs/>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t>CONCLUSIONS</w:t>
      </w:r>
    </w:p>
    <w:p w14:paraId="6ECF286F" w14:textId="5E70E743" w:rsidR="00E81936" w:rsidRPr="00996689" w:rsidRDefault="00E81936"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The study concluded that the overall Livelihood Vulnerability Index (LVI) for livestock </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was 10.90 ± 0.44. Among the indicators of adaptive capacity, the distance to the nearest veterinary or artificial insemination centre, annual income, distance to the nearest market, and age of the household head emerged as the most influential. The frequency of flood events was </w:t>
      </w:r>
      <w:r w:rsidRPr="00996689">
        <w:rPr>
          <w:rFonts w:ascii="Times New Roman" w:hAnsi="Times New Roman" w:cs="Times New Roman"/>
          <w:sz w:val="24"/>
          <w:szCs w:val="24"/>
        </w:rPr>
        <w:lastRenderedPageBreak/>
        <w:t xml:space="preserve">identified as the most critical exposure indicator, while the proportion of income derived from agriculture was the most sensitive indicator influencing flood-induced livelihood vulnerability. In the minor flood-prone district, a majority of respondents (60.00%) were classified as less vulnerable, whereas in the major flood-prone district, nearly half (48.33%) were categorized as highly vulnerable. Across the overall study area, 42.50% of respondents experienced a moderate level of vulnerability. The findings reinforce the notion that adaptive capacity is directly linked to enhanced resilience within </w:t>
      </w:r>
      <w:proofErr w:type="spellStart"/>
      <w:r w:rsidRPr="00996689">
        <w:rPr>
          <w:rFonts w:ascii="Times New Roman" w:hAnsi="Times New Roman" w:cs="Times New Roman"/>
          <w:sz w:val="24"/>
          <w:szCs w:val="24"/>
        </w:rPr>
        <w:t>agro</w:t>
      </w:r>
      <w:proofErr w:type="spellEnd"/>
      <w:r w:rsidRPr="00996689">
        <w:rPr>
          <w:rFonts w:ascii="Times New Roman" w:hAnsi="Times New Roman" w:cs="Times New Roman"/>
          <w:sz w:val="24"/>
          <w:szCs w:val="24"/>
        </w:rPr>
        <w:t>-ecosystems. Therefore, it is imperative for research and development departments in Odisha to address these issues through targeted interventions such as capacity-building programs, flood management workshops, and the promotion of innovative approaches like farmer-to-farmer extension systems to strengthen the adaptive capacity of livestock-rearing communities.</w:t>
      </w:r>
    </w:p>
    <w:p w14:paraId="7497B92F" w14:textId="4ED036A6" w:rsidR="0006718D" w:rsidRPr="00793A3C" w:rsidRDefault="00793A3C" w:rsidP="00793A3C">
      <w:pPr>
        <w:spacing w:line="360" w:lineRule="auto"/>
        <w:jc w:val="center"/>
        <w:rPr>
          <w:rFonts w:ascii="Times New Roman" w:eastAsia="Times New Roman" w:hAnsi="Times New Roman" w:cs="Times New Roman"/>
          <w:b/>
          <w:bCs/>
          <w:kern w:val="0"/>
          <w:sz w:val="28"/>
          <w:szCs w:val="28"/>
          <w:lang w:eastAsia="en-IN"/>
          <w14:ligatures w14:val="none"/>
        </w:rPr>
      </w:pPr>
      <w:r w:rsidRPr="00793A3C">
        <w:rPr>
          <w:rFonts w:ascii="Times New Roman" w:eastAsia="Times New Roman" w:hAnsi="Times New Roman" w:cs="Times New Roman"/>
          <w:b/>
          <w:bCs/>
          <w:kern w:val="0"/>
          <w:sz w:val="28"/>
          <w:szCs w:val="28"/>
          <w:lang w:eastAsia="en-IN"/>
          <w14:ligatures w14:val="none"/>
        </w:rPr>
        <w:t>REFERENCES</w:t>
      </w:r>
    </w:p>
    <w:p w14:paraId="76BD6AFF" w14:textId="77777777" w:rsidR="00C058C6" w:rsidRPr="00793A3C" w:rsidRDefault="00C058C6"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kern w:val="0"/>
          <w:sz w:val="24"/>
          <w:szCs w:val="24"/>
        </w:rPr>
        <w:t>Aryal D, Wang L, Adhikari TR, Zhou J, Li X, Shrestha M, Wang Y, Chen D. 2020. A Model-Based Flood Hazard Mapping on the Southern Slope of Himalaya. </w:t>
      </w:r>
      <w:r w:rsidRPr="00793A3C">
        <w:rPr>
          <w:rFonts w:ascii="Times New Roman" w:hAnsi="Times New Roman" w:cs="Times New Roman"/>
          <w:i/>
          <w:iCs/>
          <w:kern w:val="0"/>
          <w:sz w:val="24"/>
          <w:szCs w:val="24"/>
        </w:rPr>
        <w:t>Water</w:t>
      </w:r>
      <w:r w:rsidRPr="00793A3C">
        <w:rPr>
          <w:rFonts w:ascii="Times New Roman" w:hAnsi="Times New Roman" w:cs="Times New Roman"/>
          <w:kern w:val="0"/>
          <w:sz w:val="24"/>
          <w:szCs w:val="24"/>
        </w:rPr>
        <w:t xml:space="preserve">.; 12(2):540. </w:t>
      </w:r>
      <w:hyperlink r:id="rId10" w:history="1">
        <w:r w:rsidRPr="00793A3C">
          <w:rPr>
            <w:rStyle w:val="Hyperlink"/>
            <w:rFonts w:ascii="Times New Roman" w:hAnsi="Times New Roman" w:cs="Times New Roman"/>
            <w:kern w:val="0"/>
            <w:sz w:val="24"/>
            <w:szCs w:val="24"/>
          </w:rPr>
          <w:t>https://doi.org/10.3390/w12020540</w:t>
        </w:r>
      </w:hyperlink>
    </w:p>
    <w:p w14:paraId="5BBEBBC3" w14:textId="77777777" w:rsidR="00C058C6" w:rsidRPr="00793A3C" w:rsidRDefault="00C058C6"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bookmarkStart w:id="1" w:name="_Hlk199864498"/>
      <w:r w:rsidRPr="00793A3C">
        <w:rPr>
          <w:rFonts w:ascii="Times New Roman" w:hAnsi="Times New Roman" w:cs="Times New Roman"/>
          <w:color w:val="222222"/>
          <w:sz w:val="24"/>
          <w:szCs w:val="24"/>
          <w:shd w:val="clear" w:color="auto" w:fill="FFFFFF"/>
        </w:rPr>
        <w:t>Behera</w:t>
      </w:r>
      <w:bookmarkEnd w:id="1"/>
      <w:r w:rsidRPr="00793A3C">
        <w:rPr>
          <w:rFonts w:ascii="Times New Roman" w:hAnsi="Times New Roman" w:cs="Times New Roman"/>
          <w:color w:val="222222"/>
          <w:sz w:val="24"/>
          <w:szCs w:val="24"/>
          <w:shd w:val="clear" w:color="auto" w:fill="FFFFFF"/>
        </w:rPr>
        <w:t>, J., Jha, S. K., Bhuyan, M., &amp; Malla, A. K. (2020). Socio-economic Status of the Livestock-</w:t>
      </w:r>
      <w:proofErr w:type="spellStart"/>
      <w:r w:rsidRPr="00793A3C">
        <w:rPr>
          <w:rFonts w:ascii="Times New Roman" w:hAnsi="Times New Roman" w:cs="Times New Roman"/>
          <w:color w:val="222222"/>
          <w:sz w:val="24"/>
          <w:szCs w:val="24"/>
          <w:shd w:val="clear" w:color="auto" w:fill="FFFFFF"/>
        </w:rPr>
        <w:t>rearers</w:t>
      </w:r>
      <w:proofErr w:type="spellEnd"/>
      <w:r w:rsidRPr="00793A3C">
        <w:rPr>
          <w:rFonts w:ascii="Times New Roman" w:hAnsi="Times New Roman" w:cs="Times New Roman"/>
          <w:color w:val="222222"/>
          <w:sz w:val="24"/>
          <w:szCs w:val="24"/>
          <w:shd w:val="clear" w:color="auto" w:fill="FFFFFF"/>
        </w:rPr>
        <w:t xml:space="preserve"> in the Flood-prone Districts of Odisha. </w:t>
      </w:r>
      <w:r w:rsidRPr="00793A3C">
        <w:rPr>
          <w:rFonts w:ascii="Times New Roman" w:hAnsi="Times New Roman" w:cs="Times New Roman"/>
          <w:i/>
          <w:iCs/>
          <w:color w:val="222222"/>
          <w:sz w:val="24"/>
          <w:szCs w:val="24"/>
          <w:shd w:val="clear" w:color="auto" w:fill="FFFFFF"/>
        </w:rPr>
        <w:t>Asian Journal of Agricultural Extension, Economics &amp; Sociology</w:t>
      </w:r>
      <w:r w:rsidRPr="00793A3C">
        <w:rPr>
          <w:rFonts w:ascii="Times New Roman" w:hAnsi="Times New Roman" w:cs="Times New Roman"/>
          <w:color w:val="222222"/>
          <w:sz w:val="24"/>
          <w:szCs w:val="24"/>
          <w:shd w:val="clear" w:color="auto" w:fill="FFFFFF"/>
        </w:rPr>
        <w:t>, </w:t>
      </w:r>
      <w:r w:rsidRPr="00793A3C">
        <w:rPr>
          <w:rFonts w:ascii="Times New Roman" w:hAnsi="Times New Roman" w:cs="Times New Roman"/>
          <w:i/>
          <w:iCs/>
          <w:color w:val="222222"/>
          <w:sz w:val="24"/>
          <w:szCs w:val="24"/>
          <w:shd w:val="clear" w:color="auto" w:fill="FFFFFF"/>
        </w:rPr>
        <w:t>38</w:t>
      </w:r>
      <w:r w:rsidRPr="00793A3C">
        <w:rPr>
          <w:rFonts w:ascii="Times New Roman" w:hAnsi="Times New Roman" w:cs="Times New Roman"/>
          <w:color w:val="222222"/>
          <w:sz w:val="24"/>
          <w:szCs w:val="24"/>
          <w:shd w:val="clear" w:color="auto" w:fill="FFFFFF"/>
        </w:rPr>
        <w:t>(8), 61-67.</w:t>
      </w:r>
    </w:p>
    <w:p w14:paraId="3F35FCE2" w14:textId="77777777" w:rsidR="00C058C6" w:rsidRPr="00793A3C" w:rsidRDefault="00C058C6" w:rsidP="00793A3C">
      <w:pPr>
        <w:autoSpaceDE w:val="0"/>
        <w:autoSpaceDN w:val="0"/>
        <w:adjustRightInd w:val="0"/>
        <w:spacing w:before="120" w:after="120" w:line="480" w:lineRule="auto"/>
        <w:ind w:left="720" w:hanging="720"/>
        <w:jc w:val="lowKashida"/>
        <w:rPr>
          <w:rFonts w:ascii="Times New Roman" w:hAnsi="Times New Roman" w:cs="Times New Roman"/>
          <w:b/>
          <w:color w:val="000000" w:themeColor="text1"/>
          <w:sz w:val="24"/>
          <w:szCs w:val="24"/>
        </w:rPr>
      </w:pPr>
      <w:r w:rsidRPr="00793A3C">
        <w:rPr>
          <w:rFonts w:ascii="Times New Roman" w:hAnsi="Times New Roman" w:cs="Times New Roman"/>
          <w:color w:val="000000" w:themeColor="text1"/>
          <w:sz w:val="24"/>
          <w:szCs w:val="24"/>
        </w:rPr>
        <w:t>Deressa, T. T., Hassan, R. M. and Ringler, C. (2008). Measuring Ethiopian farmers’ vulnerability to climate change across regional states. IFPRI Discussion Paper00806. Washington DC: International Food Policy Research Institute.</w:t>
      </w:r>
    </w:p>
    <w:p w14:paraId="15334A2A" w14:textId="77777777" w:rsidR="00C058C6" w:rsidRPr="00793A3C" w:rsidRDefault="00C058C6"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kern w:val="0"/>
          <w:sz w:val="24"/>
          <w:szCs w:val="24"/>
        </w:rPr>
        <w:t xml:space="preserve">Deressa, T.T., Hassan, R.M., Ringler, C. (2009). Assessing household vulnerability to climate change. The case of farmers in the Nile basin of Ethiopia. IFPRI discussion paper 00935. International Food Policy Research Institute, Washington. DFID. (1999). Sustainable Livelihood Guidance Sheets. Retrieved from </w:t>
      </w:r>
      <w:hyperlink r:id="rId11" w:history="1">
        <w:r w:rsidRPr="00793A3C">
          <w:rPr>
            <w:rStyle w:val="Hyperlink"/>
            <w:rFonts w:ascii="Times New Roman" w:hAnsi="Times New Roman" w:cs="Times New Roman"/>
            <w:kern w:val="0"/>
            <w:sz w:val="24"/>
            <w:szCs w:val="24"/>
          </w:rPr>
          <w:t>http://www.eldis.org/vfile/upload/1 /document/0901/section2.pdf</w:t>
        </w:r>
      </w:hyperlink>
      <w:r w:rsidRPr="00793A3C">
        <w:rPr>
          <w:rFonts w:ascii="Times New Roman" w:hAnsi="Times New Roman" w:cs="Times New Roman"/>
          <w:kern w:val="0"/>
          <w:sz w:val="24"/>
          <w:szCs w:val="24"/>
        </w:rPr>
        <w:t xml:space="preserve"> </w:t>
      </w:r>
    </w:p>
    <w:p w14:paraId="6BB0DB7C" w14:textId="77777777" w:rsidR="00C058C6" w:rsidRPr="00793A3C" w:rsidRDefault="00C058C6" w:rsidP="00793A3C">
      <w:pPr>
        <w:autoSpaceDE w:val="0"/>
        <w:autoSpaceDN w:val="0"/>
        <w:adjustRightInd w:val="0"/>
        <w:spacing w:before="120" w:after="120" w:line="480" w:lineRule="auto"/>
        <w:ind w:left="720" w:hanging="720"/>
        <w:jc w:val="both"/>
        <w:rPr>
          <w:rFonts w:ascii="Times New Roman" w:eastAsia="Times New Roman" w:hAnsi="Times New Roman" w:cs="Times New Roman"/>
          <w:b/>
          <w:bCs/>
          <w:kern w:val="0"/>
          <w:sz w:val="24"/>
          <w:szCs w:val="24"/>
          <w:lang w:eastAsia="en-IN"/>
          <w14:ligatures w14:val="none"/>
        </w:rPr>
      </w:pPr>
      <w:r w:rsidRPr="00793A3C">
        <w:rPr>
          <w:rFonts w:ascii="Times New Roman" w:hAnsi="Times New Roman" w:cs="Times New Roman"/>
          <w:color w:val="000000" w:themeColor="text1"/>
          <w:sz w:val="24"/>
          <w:szCs w:val="24"/>
        </w:rPr>
        <w:lastRenderedPageBreak/>
        <w:t xml:space="preserve">Feroz, S.M. and Chauhan, A.K. (2010). Performance of Dairy self-help groups in India: Principal component Analysis approach. </w:t>
      </w:r>
      <w:r w:rsidRPr="00793A3C">
        <w:rPr>
          <w:rFonts w:ascii="Times New Roman" w:hAnsi="Times New Roman" w:cs="Times New Roman"/>
          <w:i/>
          <w:color w:val="000000" w:themeColor="text1"/>
          <w:sz w:val="24"/>
          <w:szCs w:val="24"/>
        </w:rPr>
        <w:t>Indian journal of agricultural Economics</w:t>
      </w:r>
      <w:r w:rsidRPr="00793A3C">
        <w:rPr>
          <w:rFonts w:ascii="Times New Roman" w:hAnsi="Times New Roman" w:cs="Times New Roman"/>
          <w:color w:val="000000" w:themeColor="text1"/>
          <w:sz w:val="24"/>
          <w:szCs w:val="24"/>
        </w:rPr>
        <w:t xml:space="preserve">, </w:t>
      </w:r>
      <w:r w:rsidRPr="00793A3C">
        <w:rPr>
          <w:rFonts w:ascii="Times New Roman" w:hAnsi="Times New Roman" w:cs="Times New Roman"/>
          <w:b/>
          <w:color w:val="000000" w:themeColor="text1"/>
          <w:sz w:val="24"/>
          <w:szCs w:val="24"/>
        </w:rPr>
        <w:t>65</w:t>
      </w:r>
      <w:r w:rsidRPr="00793A3C">
        <w:rPr>
          <w:rFonts w:ascii="Times New Roman" w:hAnsi="Times New Roman" w:cs="Times New Roman"/>
          <w:color w:val="000000" w:themeColor="text1"/>
          <w:sz w:val="24"/>
          <w:szCs w:val="24"/>
        </w:rPr>
        <w:t xml:space="preserve"> (2): 308-318</w:t>
      </w:r>
      <w:r w:rsidRPr="00793A3C">
        <w:rPr>
          <w:rFonts w:ascii="Times New Roman" w:hAnsi="Times New Roman" w:cs="Times New Roman"/>
          <w:b/>
          <w:color w:val="000000" w:themeColor="text1"/>
          <w:sz w:val="24"/>
          <w:szCs w:val="24"/>
        </w:rPr>
        <w:t>.</w:t>
      </w:r>
    </w:p>
    <w:p w14:paraId="7AE12705" w14:textId="77777777" w:rsidR="00C058C6" w:rsidRPr="00793A3C" w:rsidRDefault="00C058C6"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kern w:val="0"/>
          <w:sz w:val="24"/>
          <w:szCs w:val="24"/>
        </w:rPr>
        <w:t>IPCC. (2001). “Climate Change 2001, “Impact, adaptation and vulnerability. Inter-Governmental Panel on Climate Change, Report of the working group II, Cambridge, UK, 967.</w:t>
      </w:r>
    </w:p>
    <w:p w14:paraId="2AA2D823" w14:textId="77777777" w:rsidR="00C058C6" w:rsidRPr="00793A3C" w:rsidRDefault="00C058C6" w:rsidP="00793A3C">
      <w:pPr>
        <w:autoSpaceDE w:val="0"/>
        <w:autoSpaceDN w:val="0"/>
        <w:adjustRightInd w:val="0"/>
        <w:spacing w:before="120" w:after="120" w:line="480" w:lineRule="auto"/>
        <w:ind w:left="720" w:hanging="720"/>
        <w:jc w:val="lowKashida"/>
        <w:rPr>
          <w:rFonts w:ascii="Times New Roman" w:hAnsi="Times New Roman" w:cs="Times New Roman"/>
          <w:b/>
          <w:color w:val="000000" w:themeColor="text1"/>
          <w:sz w:val="24"/>
          <w:szCs w:val="24"/>
        </w:rPr>
      </w:pPr>
      <w:r w:rsidRPr="00793A3C">
        <w:rPr>
          <w:rFonts w:ascii="Times New Roman" w:hAnsi="Times New Roman" w:cs="Times New Roman"/>
          <w:color w:val="000000" w:themeColor="text1"/>
          <w:sz w:val="24"/>
          <w:szCs w:val="24"/>
        </w:rPr>
        <w:t xml:space="preserve">Kaiser H.F. (1958). The varimax criterion for analytic rotation in factor analysis. </w:t>
      </w:r>
      <w:r w:rsidRPr="00793A3C">
        <w:rPr>
          <w:rFonts w:ascii="Times New Roman" w:hAnsi="Times New Roman" w:cs="Times New Roman"/>
          <w:i/>
          <w:iCs/>
          <w:color w:val="000000" w:themeColor="text1"/>
          <w:sz w:val="24"/>
          <w:szCs w:val="24"/>
        </w:rPr>
        <w:t>Psychometrika</w:t>
      </w:r>
      <w:r w:rsidRPr="00793A3C">
        <w:rPr>
          <w:rFonts w:ascii="Times New Roman" w:hAnsi="Times New Roman" w:cs="Times New Roman"/>
          <w:color w:val="000000" w:themeColor="text1"/>
          <w:sz w:val="24"/>
          <w:szCs w:val="24"/>
        </w:rPr>
        <w:t xml:space="preserve">, </w:t>
      </w:r>
      <w:r w:rsidRPr="00793A3C">
        <w:rPr>
          <w:rFonts w:ascii="Times New Roman" w:hAnsi="Times New Roman" w:cs="Times New Roman"/>
          <w:b/>
          <w:bCs/>
          <w:color w:val="000000" w:themeColor="text1"/>
          <w:sz w:val="24"/>
          <w:szCs w:val="24"/>
        </w:rPr>
        <w:t xml:space="preserve">23 </w:t>
      </w:r>
      <w:r w:rsidRPr="00793A3C">
        <w:rPr>
          <w:rFonts w:ascii="Times New Roman" w:hAnsi="Times New Roman" w:cs="Times New Roman"/>
          <w:color w:val="000000" w:themeColor="text1"/>
          <w:sz w:val="24"/>
          <w:szCs w:val="24"/>
        </w:rPr>
        <w:t>(3): 187 – 200.</w:t>
      </w:r>
    </w:p>
    <w:p w14:paraId="444A9127" w14:textId="77777777" w:rsidR="00C058C6" w:rsidRPr="00793A3C" w:rsidRDefault="00C058C6"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kern w:val="0"/>
          <w:sz w:val="24"/>
          <w:szCs w:val="24"/>
        </w:rPr>
        <w:t xml:space="preserve">Maiti, S., Jha, S. K., Garai, S., Nag, A., Chakravarty, R., Kadian, K.S., Chandel, B. S., Datta, K. K. and Upadhyay, R.C. (2015). Assessment of social vulnerability to climate change in the eastern coast of India. Climatic Change, 131: 287-306. DOI 10.1007/s 10584-015-1379-1. </w:t>
      </w:r>
    </w:p>
    <w:p w14:paraId="7BAF6838" w14:textId="77777777" w:rsidR="00C058C6" w:rsidRPr="00793A3C" w:rsidRDefault="00C058C6" w:rsidP="00793A3C">
      <w:pPr>
        <w:autoSpaceDE w:val="0"/>
        <w:autoSpaceDN w:val="0"/>
        <w:adjustRightInd w:val="0"/>
        <w:spacing w:before="120" w:after="120" w:line="480" w:lineRule="auto"/>
        <w:ind w:left="720" w:hanging="720"/>
        <w:jc w:val="lowKashida"/>
        <w:rPr>
          <w:rFonts w:ascii="Times New Roman" w:hAnsi="Times New Roman" w:cs="Times New Roman"/>
          <w:color w:val="000000" w:themeColor="text1"/>
          <w:sz w:val="24"/>
          <w:szCs w:val="24"/>
        </w:rPr>
      </w:pPr>
      <w:r w:rsidRPr="00793A3C">
        <w:rPr>
          <w:rFonts w:ascii="Times New Roman" w:hAnsi="Times New Roman" w:cs="Times New Roman"/>
          <w:color w:val="000000" w:themeColor="text1"/>
          <w:sz w:val="24"/>
          <w:szCs w:val="24"/>
        </w:rPr>
        <w:t xml:space="preserve">Maiti, S., Jha, S. K., Garai, S., Nag, A., Chakravarty, R., Kadian, K.S., Chandel, B. S., Datta, K. K. and Upadhyay, R.C. (2014). Adoption strategies followed by the livestock </w:t>
      </w:r>
      <w:proofErr w:type="spellStart"/>
      <w:r w:rsidRPr="00793A3C">
        <w:rPr>
          <w:rFonts w:ascii="Times New Roman" w:hAnsi="Times New Roman" w:cs="Times New Roman"/>
          <w:color w:val="000000" w:themeColor="text1"/>
          <w:sz w:val="24"/>
          <w:szCs w:val="24"/>
        </w:rPr>
        <w:t>rearer</w:t>
      </w:r>
      <w:proofErr w:type="spellEnd"/>
      <w:r w:rsidRPr="00793A3C">
        <w:rPr>
          <w:rFonts w:ascii="Times New Roman" w:hAnsi="Times New Roman" w:cs="Times New Roman"/>
          <w:color w:val="000000" w:themeColor="text1"/>
          <w:sz w:val="24"/>
          <w:szCs w:val="24"/>
        </w:rPr>
        <w:t xml:space="preserve"> of coastal Odisha and West Bengal to cope up with climate change.  </w:t>
      </w:r>
      <w:r w:rsidRPr="00793A3C">
        <w:rPr>
          <w:rFonts w:ascii="Times New Roman" w:hAnsi="Times New Roman" w:cs="Times New Roman"/>
          <w:i/>
          <w:color w:val="000000" w:themeColor="text1"/>
          <w:sz w:val="24"/>
          <w:szCs w:val="24"/>
        </w:rPr>
        <w:t>Indian Journal of Animal sciences</w:t>
      </w:r>
      <w:r w:rsidRPr="00793A3C">
        <w:rPr>
          <w:rFonts w:ascii="Times New Roman" w:hAnsi="Times New Roman" w:cs="Times New Roman"/>
          <w:color w:val="000000" w:themeColor="text1"/>
          <w:sz w:val="24"/>
          <w:szCs w:val="24"/>
        </w:rPr>
        <w:t xml:space="preserve">, </w:t>
      </w:r>
      <w:r w:rsidRPr="00793A3C">
        <w:rPr>
          <w:rFonts w:ascii="Times New Roman" w:hAnsi="Times New Roman" w:cs="Times New Roman"/>
          <w:b/>
          <w:color w:val="000000" w:themeColor="text1"/>
          <w:sz w:val="24"/>
          <w:szCs w:val="24"/>
        </w:rPr>
        <w:t xml:space="preserve">84 </w:t>
      </w:r>
      <w:r w:rsidRPr="00793A3C">
        <w:rPr>
          <w:rFonts w:ascii="Times New Roman" w:hAnsi="Times New Roman" w:cs="Times New Roman"/>
          <w:color w:val="000000" w:themeColor="text1"/>
          <w:sz w:val="24"/>
          <w:szCs w:val="24"/>
        </w:rPr>
        <w:t>(6): 652-659.</w:t>
      </w:r>
    </w:p>
    <w:p w14:paraId="133E317F" w14:textId="77777777" w:rsidR="00C058C6" w:rsidRPr="00793A3C" w:rsidRDefault="00C058C6"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bCs/>
          <w:color w:val="000000" w:themeColor="text1"/>
          <w:sz w:val="24"/>
          <w:szCs w:val="24"/>
        </w:rPr>
        <w:t>Messner, F., &amp; Meyer, V. (2006). Flood damage, vulnerability and risk perception–challenges for flood damage research. In </w:t>
      </w:r>
      <w:r w:rsidRPr="00793A3C">
        <w:rPr>
          <w:rFonts w:ascii="Times New Roman" w:hAnsi="Times New Roman" w:cs="Times New Roman"/>
          <w:bCs/>
          <w:i/>
          <w:iCs/>
          <w:color w:val="000000" w:themeColor="text1"/>
          <w:sz w:val="24"/>
          <w:szCs w:val="24"/>
        </w:rPr>
        <w:t>Flood risk management: hazards, vulnerability and mitigation measures</w:t>
      </w:r>
      <w:r w:rsidRPr="00793A3C">
        <w:rPr>
          <w:rFonts w:ascii="Times New Roman" w:hAnsi="Times New Roman" w:cs="Times New Roman"/>
          <w:bCs/>
          <w:color w:val="000000" w:themeColor="text1"/>
          <w:sz w:val="24"/>
          <w:szCs w:val="24"/>
        </w:rPr>
        <w:t> (pp. 149-167). Dordrecht: Springer Netherlands.</w:t>
      </w:r>
    </w:p>
    <w:p w14:paraId="53FD8012" w14:textId="77777777" w:rsidR="00C058C6" w:rsidRPr="00793A3C" w:rsidRDefault="00C058C6"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color w:val="222222"/>
          <w:sz w:val="24"/>
          <w:szCs w:val="24"/>
          <w:shd w:val="clear" w:color="auto" w:fill="FFFFFF"/>
        </w:rPr>
        <w:t>Mishra, S., Mazumdar, S., &amp; Suar, D. (2010). Place attachment and flood preparedness. </w:t>
      </w:r>
      <w:r w:rsidRPr="00793A3C">
        <w:rPr>
          <w:rFonts w:ascii="Times New Roman" w:hAnsi="Times New Roman" w:cs="Times New Roman"/>
          <w:i/>
          <w:iCs/>
          <w:color w:val="222222"/>
          <w:sz w:val="24"/>
          <w:szCs w:val="24"/>
          <w:shd w:val="clear" w:color="auto" w:fill="FFFFFF"/>
        </w:rPr>
        <w:t>Journal of environmental psychology</w:t>
      </w:r>
      <w:r w:rsidRPr="00793A3C">
        <w:rPr>
          <w:rFonts w:ascii="Times New Roman" w:hAnsi="Times New Roman" w:cs="Times New Roman"/>
          <w:color w:val="222222"/>
          <w:sz w:val="24"/>
          <w:szCs w:val="24"/>
          <w:shd w:val="clear" w:color="auto" w:fill="FFFFFF"/>
        </w:rPr>
        <w:t>, </w:t>
      </w:r>
      <w:r w:rsidRPr="00793A3C">
        <w:rPr>
          <w:rFonts w:ascii="Times New Roman" w:hAnsi="Times New Roman" w:cs="Times New Roman"/>
          <w:i/>
          <w:iCs/>
          <w:color w:val="222222"/>
          <w:sz w:val="24"/>
          <w:szCs w:val="24"/>
          <w:shd w:val="clear" w:color="auto" w:fill="FFFFFF"/>
        </w:rPr>
        <w:t>30</w:t>
      </w:r>
      <w:r w:rsidRPr="00793A3C">
        <w:rPr>
          <w:rFonts w:ascii="Times New Roman" w:hAnsi="Times New Roman" w:cs="Times New Roman"/>
          <w:color w:val="222222"/>
          <w:sz w:val="24"/>
          <w:szCs w:val="24"/>
          <w:shd w:val="clear" w:color="auto" w:fill="FFFFFF"/>
        </w:rPr>
        <w:t>(2), 187-197.</w:t>
      </w:r>
    </w:p>
    <w:p w14:paraId="3F270F73" w14:textId="77777777" w:rsidR="00C058C6" w:rsidRPr="00793A3C" w:rsidRDefault="00C058C6" w:rsidP="00793A3C">
      <w:pPr>
        <w:autoSpaceDE w:val="0"/>
        <w:autoSpaceDN w:val="0"/>
        <w:adjustRightInd w:val="0"/>
        <w:spacing w:before="120" w:after="120" w:line="480" w:lineRule="auto"/>
        <w:ind w:left="720" w:hanging="720"/>
        <w:jc w:val="lowKashida"/>
        <w:rPr>
          <w:rFonts w:ascii="Times New Roman" w:hAnsi="Times New Roman" w:cs="Times New Roman"/>
          <w:color w:val="000000" w:themeColor="text1"/>
          <w:sz w:val="24"/>
          <w:szCs w:val="24"/>
        </w:rPr>
      </w:pPr>
      <w:r w:rsidRPr="00793A3C">
        <w:rPr>
          <w:rFonts w:ascii="Times New Roman" w:hAnsi="Times New Roman" w:cs="Times New Roman"/>
          <w:color w:val="000000" w:themeColor="text1"/>
          <w:sz w:val="24"/>
          <w:szCs w:val="24"/>
        </w:rPr>
        <w:t xml:space="preserve">Nyong, A., Dabi, D., </w:t>
      </w:r>
      <w:proofErr w:type="spellStart"/>
      <w:r w:rsidRPr="00793A3C">
        <w:rPr>
          <w:rFonts w:ascii="Times New Roman" w:hAnsi="Times New Roman" w:cs="Times New Roman"/>
          <w:color w:val="000000" w:themeColor="text1"/>
          <w:sz w:val="24"/>
          <w:szCs w:val="24"/>
        </w:rPr>
        <w:t>Adepetu</w:t>
      </w:r>
      <w:proofErr w:type="spellEnd"/>
      <w:r w:rsidRPr="00793A3C">
        <w:rPr>
          <w:rFonts w:ascii="Times New Roman" w:hAnsi="Times New Roman" w:cs="Times New Roman"/>
          <w:color w:val="000000" w:themeColor="text1"/>
          <w:sz w:val="24"/>
          <w:szCs w:val="24"/>
        </w:rPr>
        <w:t xml:space="preserve">, A., Berthe, A. and </w:t>
      </w:r>
      <w:proofErr w:type="spellStart"/>
      <w:r w:rsidRPr="00793A3C">
        <w:rPr>
          <w:rFonts w:ascii="Times New Roman" w:hAnsi="Times New Roman" w:cs="Times New Roman"/>
          <w:color w:val="000000" w:themeColor="text1"/>
          <w:sz w:val="24"/>
          <w:szCs w:val="24"/>
        </w:rPr>
        <w:t>Ibemegbulem</w:t>
      </w:r>
      <w:proofErr w:type="spellEnd"/>
      <w:r w:rsidRPr="00793A3C">
        <w:rPr>
          <w:rFonts w:ascii="Times New Roman" w:hAnsi="Times New Roman" w:cs="Times New Roman"/>
          <w:color w:val="000000" w:themeColor="text1"/>
          <w:sz w:val="24"/>
          <w:szCs w:val="24"/>
        </w:rPr>
        <w:t>, V. (2008).</w:t>
      </w:r>
      <w:r w:rsidRPr="00793A3C">
        <w:rPr>
          <w:rFonts w:ascii="Times New Roman" w:hAnsi="Times New Roman" w:cs="Times New Roman"/>
          <w:b/>
          <w:color w:val="000000" w:themeColor="text1"/>
          <w:sz w:val="24"/>
          <w:szCs w:val="24"/>
        </w:rPr>
        <w:t xml:space="preserve"> </w:t>
      </w:r>
      <w:r w:rsidRPr="00793A3C">
        <w:rPr>
          <w:rFonts w:ascii="Times New Roman" w:hAnsi="Times New Roman" w:cs="Times New Roman"/>
          <w:color w:val="000000" w:themeColor="text1"/>
          <w:sz w:val="24"/>
          <w:szCs w:val="24"/>
        </w:rPr>
        <w:t>Vulnerability in the Sahelian zone of Northern Nigeria: A household-level</w:t>
      </w:r>
      <w:r w:rsidRPr="00793A3C">
        <w:rPr>
          <w:rFonts w:ascii="Times New Roman" w:hAnsi="Times New Roman" w:cs="Times New Roman"/>
          <w:b/>
          <w:color w:val="000000" w:themeColor="text1"/>
          <w:sz w:val="24"/>
          <w:szCs w:val="24"/>
        </w:rPr>
        <w:t xml:space="preserve"> </w:t>
      </w:r>
      <w:r w:rsidRPr="00793A3C">
        <w:rPr>
          <w:rFonts w:ascii="Times New Roman" w:hAnsi="Times New Roman" w:cs="Times New Roman"/>
          <w:color w:val="000000" w:themeColor="text1"/>
          <w:sz w:val="24"/>
          <w:szCs w:val="24"/>
        </w:rPr>
        <w:t xml:space="preserve">Assessment. In: Climate change </w:t>
      </w:r>
      <w:r w:rsidRPr="00793A3C">
        <w:rPr>
          <w:rFonts w:ascii="Times New Roman" w:hAnsi="Times New Roman" w:cs="Times New Roman"/>
          <w:color w:val="000000" w:themeColor="text1"/>
          <w:sz w:val="24"/>
          <w:szCs w:val="24"/>
        </w:rPr>
        <w:lastRenderedPageBreak/>
        <w:t>and vulnerability. [Eds: Leary, N., Conde,</w:t>
      </w:r>
      <w:r w:rsidRPr="00793A3C">
        <w:rPr>
          <w:rFonts w:ascii="Times New Roman" w:hAnsi="Times New Roman" w:cs="Times New Roman"/>
          <w:b/>
          <w:color w:val="000000" w:themeColor="text1"/>
          <w:sz w:val="24"/>
          <w:szCs w:val="24"/>
        </w:rPr>
        <w:t xml:space="preserve"> </w:t>
      </w:r>
      <w:r w:rsidRPr="00793A3C">
        <w:rPr>
          <w:rFonts w:ascii="Times New Roman" w:hAnsi="Times New Roman" w:cs="Times New Roman"/>
          <w:color w:val="000000" w:themeColor="text1"/>
          <w:sz w:val="24"/>
          <w:szCs w:val="24"/>
        </w:rPr>
        <w:t xml:space="preserve">C., Kulkarni, J., Nyong, A. and </w:t>
      </w:r>
      <w:proofErr w:type="spellStart"/>
      <w:r w:rsidRPr="00793A3C">
        <w:rPr>
          <w:rFonts w:ascii="Times New Roman" w:hAnsi="Times New Roman" w:cs="Times New Roman"/>
          <w:color w:val="000000" w:themeColor="text1"/>
          <w:sz w:val="24"/>
          <w:szCs w:val="24"/>
        </w:rPr>
        <w:t>Pulbin</w:t>
      </w:r>
      <w:proofErr w:type="spellEnd"/>
      <w:r w:rsidRPr="00793A3C">
        <w:rPr>
          <w:rFonts w:ascii="Times New Roman" w:hAnsi="Times New Roman" w:cs="Times New Roman"/>
          <w:color w:val="000000" w:themeColor="text1"/>
          <w:sz w:val="24"/>
          <w:szCs w:val="24"/>
        </w:rPr>
        <w:t>, J], Earthscan, London, UK, 218-238.</w:t>
      </w:r>
    </w:p>
    <w:p w14:paraId="5888919B" w14:textId="77777777" w:rsidR="00C058C6" w:rsidRPr="00793A3C" w:rsidRDefault="00C058C6"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bookmarkStart w:id="2" w:name="_Hlk199864699"/>
      <w:r w:rsidRPr="00793A3C">
        <w:rPr>
          <w:rFonts w:ascii="Times New Roman" w:hAnsi="Times New Roman" w:cs="Times New Roman"/>
          <w:kern w:val="0"/>
          <w:sz w:val="24"/>
          <w:szCs w:val="24"/>
        </w:rPr>
        <w:t>Patnaik, Unmesh &amp; Narayanan, K, 2010</w:t>
      </w:r>
      <w:bookmarkEnd w:id="2"/>
      <w:r w:rsidRPr="00793A3C">
        <w:rPr>
          <w:rFonts w:ascii="Times New Roman" w:hAnsi="Times New Roman" w:cs="Times New Roman"/>
          <w:kern w:val="0"/>
          <w:sz w:val="24"/>
          <w:szCs w:val="24"/>
        </w:rPr>
        <w:t>. "</w:t>
      </w:r>
      <w:hyperlink r:id="rId12" w:history="1">
        <w:r w:rsidRPr="00793A3C">
          <w:rPr>
            <w:rStyle w:val="Hyperlink"/>
            <w:rFonts w:ascii="Times New Roman" w:hAnsi="Times New Roman" w:cs="Times New Roman"/>
            <w:b/>
            <w:bCs/>
            <w:kern w:val="0"/>
            <w:sz w:val="24"/>
            <w:szCs w:val="24"/>
          </w:rPr>
          <w:t>Vulnerability and Coping to Disasters: A Study of Household Behaviour in Flood Prone Region of India</w:t>
        </w:r>
      </w:hyperlink>
      <w:r w:rsidRPr="00793A3C">
        <w:rPr>
          <w:rFonts w:ascii="Times New Roman" w:hAnsi="Times New Roman" w:cs="Times New Roman"/>
          <w:kern w:val="0"/>
          <w:sz w:val="24"/>
          <w:szCs w:val="24"/>
        </w:rPr>
        <w:t>," </w:t>
      </w:r>
      <w:hyperlink r:id="rId13" w:history="1">
        <w:r w:rsidRPr="00793A3C">
          <w:rPr>
            <w:rStyle w:val="Hyperlink"/>
            <w:rFonts w:ascii="Times New Roman" w:hAnsi="Times New Roman" w:cs="Times New Roman"/>
            <w:kern w:val="0"/>
            <w:sz w:val="24"/>
            <w:szCs w:val="24"/>
          </w:rPr>
          <w:t>MPRA Paper</w:t>
        </w:r>
      </w:hyperlink>
      <w:r w:rsidRPr="00793A3C">
        <w:rPr>
          <w:rFonts w:ascii="Times New Roman" w:hAnsi="Times New Roman" w:cs="Times New Roman"/>
          <w:kern w:val="0"/>
          <w:sz w:val="24"/>
          <w:szCs w:val="24"/>
        </w:rPr>
        <w:t> 21992, University Library of Munich, Germany.</w:t>
      </w:r>
    </w:p>
    <w:p w14:paraId="0A46D78E" w14:textId="77777777" w:rsidR="00C058C6" w:rsidRPr="00793A3C" w:rsidRDefault="00C058C6"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kern w:val="0"/>
          <w:sz w:val="24"/>
          <w:szCs w:val="24"/>
        </w:rPr>
        <w:t xml:space="preserve">Piya, L., Maharjan, K.L., Joshi, N.P. (2012). Vulnerability of rural households to climate change and extremes: Analysis of </w:t>
      </w:r>
      <w:proofErr w:type="spellStart"/>
      <w:r w:rsidRPr="00793A3C">
        <w:rPr>
          <w:rFonts w:ascii="Times New Roman" w:hAnsi="Times New Roman" w:cs="Times New Roman"/>
          <w:kern w:val="0"/>
          <w:sz w:val="24"/>
          <w:szCs w:val="24"/>
        </w:rPr>
        <w:t>Chepang</w:t>
      </w:r>
      <w:proofErr w:type="spellEnd"/>
      <w:r w:rsidRPr="00793A3C">
        <w:rPr>
          <w:rFonts w:ascii="Times New Roman" w:hAnsi="Times New Roman" w:cs="Times New Roman"/>
          <w:kern w:val="0"/>
          <w:sz w:val="24"/>
          <w:szCs w:val="24"/>
        </w:rPr>
        <w:t xml:space="preserve"> households in the mid-hills of Nepal. Selected paper prepared for presentation at the International Association of Agricultural Economics (IAAE) Triennial Conference, Foz do Iguacu, Brazil, In 2012 Conference, August: 18-24.</w:t>
      </w:r>
    </w:p>
    <w:p w14:paraId="5AC819CF" w14:textId="77777777" w:rsidR="00C058C6" w:rsidRPr="00793A3C" w:rsidRDefault="00C058C6"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bookmarkStart w:id="3" w:name="_Hlk199862794"/>
      <w:r w:rsidRPr="00793A3C">
        <w:rPr>
          <w:rFonts w:ascii="Times New Roman" w:hAnsi="Times New Roman" w:cs="Times New Roman"/>
          <w:kern w:val="0"/>
          <w:sz w:val="24"/>
          <w:szCs w:val="24"/>
        </w:rPr>
        <w:t xml:space="preserve">Rai, C. K., &amp; Singh, K. (2019). </w:t>
      </w:r>
      <w:bookmarkEnd w:id="3"/>
      <w:r w:rsidRPr="00793A3C">
        <w:rPr>
          <w:rFonts w:ascii="Times New Roman" w:hAnsi="Times New Roman" w:cs="Times New Roman"/>
          <w:kern w:val="0"/>
          <w:sz w:val="24"/>
          <w:szCs w:val="24"/>
        </w:rPr>
        <w:t xml:space="preserve">Mapping of Climate-Induced Vulnerability of Tribal Livestock </w:t>
      </w:r>
      <w:proofErr w:type="spellStart"/>
      <w:r w:rsidRPr="00793A3C">
        <w:rPr>
          <w:rFonts w:ascii="Times New Roman" w:hAnsi="Times New Roman" w:cs="Times New Roman"/>
          <w:kern w:val="0"/>
          <w:sz w:val="24"/>
          <w:szCs w:val="24"/>
        </w:rPr>
        <w:t>Rearers</w:t>
      </w:r>
      <w:proofErr w:type="spellEnd"/>
      <w:r w:rsidRPr="00793A3C">
        <w:rPr>
          <w:rFonts w:ascii="Times New Roman" w:hAnsi="Times New Roman" w:cs="Times New Roman"/>
          <w:kern w:val="0"/>
          <w:sz w:val="24"/>
          <w:szCs w:val="24"/>
        </w:rPr>
        <w:t xml:space="preserve"> of Mountain </w:t>
      </w:r>
      <w:proofErr w:type="spellStart"/>
      <w:r w:rsidRPr="00793A3C">
        <w:rPr>
          <w:rFonts w:ascii="Times New Roman" w:hAnsi="Times New Roman" w:cs="Times New Roman"/>
          <w:kern w:val="0"/>
          <w:sz w:val="24"/>
          <w:szCs w:val="24"/>
        </w:rPr>
        <w:t>Agro</w:t>
      </w:r>
      <w:proofErr w:type="spellEnd"/>
      <w:r w:rsidRPr="00793A3C">
        <w:rPr>
          <w:rFonts w:ascii="Times New Roman" w:hAnsi="Times New Roman" w:cs="Times New Roman"/>
          <w:kern w:val="0"/>
          <w:sz w:val="24"/>
          <w:szCs w:val="24"/>
        </w:rPr>
        <w:t>-Ecosystem of Himachal. </w:t>
      </w:r>
      <w:r w:rsidRPr="00793A3C">
        <w:rPr>
          <w:rFonts w:ascii="Times New Roman" w:hAnsi="Times New Roman" w:cs="Times New Roman"/>
          <w:i/>
          <w:iCs/>
          <w:kern w:val="0"/>
          <w:sz w:val="24"/>
          <w:szCs w:val="24"/>
        </w:rPr>
        <w:t>Indian Journal of Extension Education</w:t>
      </w:r>
      <w:r w:rsidRPr="00793A3C">
        <w:rPr>
          <w:rFonts w:ascii="Times New Roman" w:hAnsi="Times New Roman" w:cs="Times New Roman"/>
          <w:kern w:val="0"/>
          <w:sz w:val="24"/>
          <w:szCs w:val="24"/>
        </w:rPr>
        <w:t>, </w:t>
      </w:r>
      <w:r w:rsidRPr="00793A3C">
        <w:rPr>
          <w:rFonts w:ascii="Times New Roman" w:hAnsi="Times New Roman" w:cs="Times New Roman"/>
          <w:i/>
          <w:iCs/>
          <w:kern w:val="0"/>
          <w:sz w:val="24"/>
          <w:szCs w:val="24"/>
        </w:rPr>
        <w:t>55</w:t>
      </w:r>
      <w:r w:rsidRPr="00793A3C">
        <w:rPr>
          <w:rFonts w:ascii="Times New Roman" w:hAnsi="Times New Roman" w:cs="Times New Roman"/>
          <w:kern w:val="0"/>
          <w:sz w:val="24"/>
          <w:szCs w:val="24"/>
        </w:rPr>
        <w:t>(3), 61-66.</w:t>
      </w:r>
    </w:p>
    <w:p w14:paraId="4992EF05" w14:textId="77777777" w:rsidR="00C058C6" w:rsidRPr="00793A3C" w:rsidRDefault="00C058C6"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kern w:val="0"/>
          <w:sz w:val="24"/>
          <w:szCs w:val="24"/>
        </w:rPr>
        <w:t xml:space="preserve">Ravindranath, N. H., Rao, S., Sharma, N., Nair, M., Gopalakrishnan, R., Rao, A.S., Malaviya, S., Tiwari, R., Sagadevan, A., </w:t>
      </w:r>
      <w:proofErr w:type="spellStart"/>
      <w:r w:rsidRPr="00793A3C">
        <w:rPr>
          <w:rFonts w:ascii="Times New Roman" w:hAnsi="Times New Roman" w:cs="Times New Roman"/>
          <w:kern w:val="0"/>
          <w:sz w:val="24"/>
          <w:szCs w:val="24"/>
        </w:rPr>
        <w:t>Munsi</w:t>
      </w:r>
      <w:proofErr w:type="spellEnd"/>
      <w:r w:rsidRPr="00793A3C">
        <w:rPr>
          <w:rFonts w:ascii="Times New Roman" w:hAnsi="Times New Roman" w:cs="Times New Roman"/>
          <w:kern w:val="0"/>
          <w:sz w:val="24"/>
          <w:szCs w:val="24"/>
        </w:rPr>
        <w:t xml:space="preserve">, M., Krishna, N. and Bala, G. (2011). Climate Change vulnerability profiles for North east India. </w:t>
      </w:r>
      <w:r w:rsidRPr="00793A3C">
        <w:rPr>
          <w:rFonts w:ascii="Times New Roman" w:hAnsi="Times New Roman" w:cs="Times New Roman"/>
          <w:i/>
          <w:iCs/>
          <w:kern w:val="0"/>
          <w:sz w:val="24"/>
          <w:szCs w:val="24"/>
        </w:rPr>
        <w:t>Current Science</w:t>
      </w:r>
      <w:r w:rsidRPr="00793A3C">
        <w:rPr>
          <w:rFonts w:ascii="Times New Roman" w:hAnsi="Times New Roman" w:cs="Times New Roman"/>
          <w:kern w:val="0"/>
          <w:sz w:val="24"/>
          <w:szCs w:val="24"/>
        </w:rPr>
        <w:t>, 101 (3): 384-394.</w:t>
      </w:r>
    </w:p>
    <w:p w14:paraId="24E85DF9" w14:textId="77777777" w:rsidR="00C058C6" w:rsidRPr="00793A3C" w:rsidRDefault="00C058C6"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kern w:val="0"/>
          <w:sz w:val="24"/>
          <w:szCs w:val="24"/>
        </w:rPr>
        <w:t>Sam, A. S., Kumar, R., Kächele, H., &amp; Müller, K. (2017). Vulnerabilities to flood hazards among rural households in India. </w:t>
      </w:r>
      <w:r w:rsidRPr="00793A3C">
        <w:rPr>
          <w:rFonts w:ascii="Times New Roman" w:hAnsi="Times New Roman" w:cs="Times New Roman"/>
          <w:i/>
          <w:iCs/>
          <w:kern w:val="0"/>
          <w:sz w:val="24"/>
          <w:szCs w:val="24"/>
        </w:rPr>
        <w:t>Natural hazards</w:t>
      </w:r>
      <w:r w:rsidRPr="00793A3C">
        <w:rPr>
          <w:rFonts w:ascii="Times New Roman" w:hAnsi="Times New Roman" w:cs="Times New Roman"/>
          <w:kern w:val="0"/>
          <w:sz w:val="24"/>
          <w:szCs w:val="24"/>
        </w:rPr>
        <w:t>, </w:t>
      </w:r>
      <w:r w:rsidRPr="00793A3C">
        <w:rPr>
          <w:rFonts w:ascii="Times New Roman" w:hAnsi="Times New Roman" w:cs="Times New Roman"/>
          <w:i/>
          <w:iCs/>
          <w:kern w:val="0"/>
          <w:sz w:val="24"/>
          <w:szCs w:val="24"/>
        </w:rPr>
        <w:t>88</w:t>
      </w:r>
      <w:r w:rsidRPr="00793A3C">
        <w:rPr>
          <w:rFonts w:ascii="Times New Roman" w:hAnsi="Times New Roman" w:cs="Times New Roman"/>
          <w:kern w:val="0"/>
          <w:sz w:val="24"/>
          <w:szCs w:val="24"/>
        </w:rPr>
        <w:t>, 1133-1153.</w:t>
      </w:r>
    </w:p>
    <w:p w14:paraId="79F13403" w14:textId="77777777" w:rsidR="002D5864" w:rsidRPr="00996689" w:rsidRDefault="002D5864" w:rsidP="00996689">
      <w:pPr>
        <w:spacing w:line="360" w:lineRule="auto"/>
        <w:rPr>
          <w:rFonts w:ascii="Times New Roman" w:hAnsi="Times New Roman" w:cs="Times New Roman"/>
          <w:sz w:val="24"/>
          <w:szCs w:val="24"/>
        </w:rPr>
      </w:pPr>
    </w:p>
    <w:sectPr w:rsidR="002D5864" w:rsidRPr="0099668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EDF1A" w14:textId="77777777" w:rsidR="0016557F" w:rsidRDefault="0016557F" w:rsidP="00410523">
      <w:pPr>
        <w:spacing w:after="0" w:line="240" w:lineRule="auto"/>
      </w:pPr>
      <w:r>
        <w:separator/>
      </w:r>
    </w:p>
  </w:endnote>
  <w:endnote w:type="continuationSeparator" w:id="0">
    <w:p w14:paraId="6863B46E" w14:textId="77777777" w:rsidR="0016557F" w:rsidRDefault="0016557F" w:rsidP="0041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1907" w14:textId="77777777" w:rsidR="002D3F6A" w:rsidRDefault="002D3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9527" w14:textId="77777777" w:rsidR="002D3F6A" w:rsidRDefault="002D3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8F9F6" w14:textId="77777777" w:rsidR="002D3F6A" w:rsidRDefault="002D3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5A9C2" w14:textId="77777777" w:rsidR="0016557F" w:rsidRDefault="0016557F" w:rsidP="00410523">
      <w:pPr>
        <w:spacing w:after="0" w:line="240" w:lineRule="auto"/>
      </w:pPr>
      <w:r>
        <w:separator/>
      </w:r>
    </w:p>
  </w:footnote>
  <w:footnote w:type="continuationSeparator" w:id="0">
    <w:p w14:paraId="4EAD24E3" w14:textId="77777777" w:rsidR="0016557F" w:rsidRDefault="0016557F" w:rsidP="00410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04A3" w14:textId="714E7172" w:rsidR="002D3F6A" w:rsidRDefault="002D3F6A">
    <w:pPr>
      <w:pStyle w:val="Header"/>
    </w:pPr>
    <w:r>
      <w:rPr>
        <w:noProof/>
      </w:rPr>
      <w:pict w14:anchorId="61D98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85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2D4C5" w14:textId="723DE20D" w:rsidR="002D3F6A" w:rsidRDefault="002D3F6A">
    <w:pPr>
      <w:pStyle w:val="Header"/>
    </w:pPr>
    <w:r>
      <w:rPr>
        <w:noProof/>
      </w:rPr>
      <w:pict w14:anchorId="12737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85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6CEA8" w14:textId="6F81EFA0" w:rsidR="002D3F6A" w:rsidRDefault="002D3F6A">
    <w:pPr>
      <w:pStyle w:val="Header"/>
    </w:pPr>
    <w:r>
      <w:rPr>
        <w:noProof/>
      </w:rPr>
      <w:pict w14:anchorId="75E50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85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96672"/>
    <w:multiLevelType w:val="multilevel"/>
    <w:tmpl w:val="F6B89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D11347"/>
    <w:multiLevelType w:val="hybridMultilevel"/>
    <w:tmpl w:val="84C2B03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DF4602D"/>
    <w:multiLevelType w:val="hybridMultilevel"/>
    <w:tmpl w:val="233AB78E"/>
    <w:lvl w:ilvl="0" w:tplc="4009000F">
      <w:start w:val="1"/>
      <w:numFmt w:val="decimal"/>
      <w:lvlText w:val="%1."/>
      <w:lvlJc w:val="left"/>
      <w:pPr>
        <w:ind w:left="1446" w:hanging="360"/>
      </w:pPr>
      <w:rPr>
        <w:rFonts w:hint="default"/>
      </w:rPr>
    </w:lvl>
    <w:lvl w:ilvl="1" w:tplc="40090019" w:tentative="1">
      <w:start w:val="1"/>
      <w:numFmt w:val="lowerLetter"/>
      <w:lvlText w:val="%2."/>
      <w:lvlJc w:val="left"/>
      <w:pPr>
        <w:ind w:left="2166" w:hanging="360"/>
      </w:pPr>
    </w:lvl>
    <w:lvl w:ilvl="2" w:tplc="4009001B" w:tentative="1">
      <w:start w:val="1"/>
      <w:numFmt w:val="lowerRoman"/>
      <w:lvlText w:val="%3."/>
      <w:lvlJc w:val="right"/>
      <w:pPr>
        <w:ind w:left="2886" w:hanging="180"/>
      </w:pPr>
    </w:lvl>
    <w:lvl w:ilvl="3" w:tplc="4009000F" w:tentative="1">
      <w:start w:val="1"/>
      <w:numFmt w:val="decimal"/>
      <w:lvlText w:val="%4."/>
      <w:lvlJc w:val="left"/>
      <w:pPr>
        <w:ind w:left="3606" w:hanging="360"/>
      </w:pPr>
    </w:lvl>
    <w:lvl w:ilvl="4" w:tplc="40090019" w:tentative="1">
      <w:start w:val="1"/>
      <w:numFmt w:val="lowerLetter"/>
      <w:lvlText w:val="%5."/>
      <w:lvlJc w:val="left"/>
      <w:pPr>
        <w:ind w:left="4326" w:hanging="360"/>
      </w:pPr>
    </w:lvl>
    <w:lvl w:ilvl="5" w:tplc="4009001B" w:tentative="1">
      <w:start w:val="1"/>
      <w:numFmt w:val="lowerRoman"/>
      <w:lvlText w:val="%6."/>
      <w:lvlJc w:val="right"/>
      <w:pPr>
        <w:ind w:left="5046" w:hanging="180"/>
      </w:pPr>
    </w:lvl>
    <w:lvl w:ilvl="6" w:tplc="4009000F" w:tentative="1">
      <w:start w:val="1"/>
      <w:numFmt w:val="decimal"/>
      <w:lvlText w:val="%7."/>
      <w:lvlJc w:val="left"/>
      <w:pPr>
        <w:ind w:left="5766" w:hanging="360"/>
      </w:pPr>
    </w:lvl>
    <w:lvl w:ilvl="7" w:tplc="40090019" w:tentative="1">
      <w:start w:val="1"/>
      <w:numFmt w:val="lowerLetter"/>
      <w:lvlText w:val="%8."/>
      <w:lvlJc w:val="left"/>
      <w:pPr>
        <w:ind w:left="6486" w:hanging="360"/>
      </w:pPr>
    </w:lvl>
    <w:lvl w:ilvl="8" w:tplc="4009001B" w:tentative="1">
      <w:start w:val="1"/>
      <w:numFmt w:val="lowerRoman"/>
      <w:lvlText w:val="%9."/>
      <w:lvlJc w:val="right"/>
      <w:pPr>
        <w:ind w:left="720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28"/>
    <w:rsid w:val="0006718D"/>
    <w:rsid w:val="00083B7C"/>
    <w:rsid w:val="000A6F49"/>
    <w:rsid w:val="00110F49"/>
    <w:rsid w:val="001114FF"/>
    <w:rsid w:val="00120646"/>
    <w:rsid w:val="00135224"/>
    <w:rsid w:val="00164BEF"/>
    <w:rsid w:val="0016557F"/>
    <w:rsid w:val="001A36F5"/>
    <w:rsid w:val="001E5969"/>
    <w:rsid w:val="001F14B8"/>
    <w:rsid w:val="00210F1F"/>
    <w:rsid w:val="00280548"/>
    <w:rsid w:val="0029115F"/>
    <w:rsid w:val="002D3F6A"/>
    <w:rsid w:val="002D5864"/>
    <w:rsid w:val="002E1EE5"/>
    <w:rsid w:val="0031119F"/>
    <w:rsid w:val="00334C05"/>
    <w:rsid w:val="00364617"/>
    <w:rsid w:val="003D1FF5"/>
    <w:rsid w:val="00410523"/>
    <w:rsid w:val="00423BCD"/>
    <w:rsid w:val="0044372A"/>
    <w:rsid w:val="00482ED0"/>
    <w:rsid w:val="0049159D"/>
    <w:rsid w:val="004C0B51"/>
    <w:rsid w:val="004D5BB4"/>
    <w:rsid w:val="005202DA"/>
    <w:rsid w:val="005475B8"/>
    <w:rsid w:val="00564C5D"/>
    <w:rsid w:val="005770F8"/>
    <w:rsid w:val="005B02EE"/>
    <w:rsid w:val="005B3548"/>
    <w:rsid w:val="005C6381"/>
    <w:rsid w:val="005D1D6A"/>
    <w:rsid w:val="005F6173"/>
    <w:rsid w:val="006302A4"/>
    <w:rsid w:val="00640B28"/>
    <w:rsid w:val="00646468"/>
    <w:rsid w:val="0065611F"/>
    <w:rsid w:val="006617F0"/>
    <w:rsid w:val="006640A6"/>
    <w:rsid w:val="006974A7"/>
    <w:rsid w:val="006A510D"/>
    <w:rsid w:val="006A74A9"/>
    <w:rsid w:val="006B0BD8"/>
    <w:rsid w:val="00713B05"/>
    <w:rsid w:val="00722D41"/>
    <w:rsid w:val="007408D4"/>
    <w:rsid w:val="007522E5"/>
    <w:rsid w:val="007567DC"/>
    <w:rsid w:val="00793A3C"/>
    <w:rsid w:val="00794ECF"/>
    <w:rsid w:val="00796316"/>
    <w:rsid w:val="007A31AD"/>
    <w:rsid w:val="007B5356"/>
    <w:rsid w:val="007E1291"/>
    <w:rsid w:val="007F434D"/>
    <w:rsid w:val="00847E0A"/>
    <w:rsid w:val="008567FD"/>
    <w:rsid w:val="008B2DC8"/>
    <w:rsid w:val="009100C9"/>
    <w:rsid w:val="009151E1"/>
    <w:rsid w:val="00996689"/>
    <w:rsid w:val="009A30A6"/>
    <w:rsid w:val="009F1788"/>
    <w:rsid w:val="00A3265F"/>
    <w:rsid w:val="00AF0723"/>
    <w:rsid w:val="00B400E2"/>
    <w:rsid w:val="00B45198"/>
    <w:rsid w:val="00B663C9"/>
    <w:rsid w:val="00BB0002"/>
    <w:rsid w:val="00BC0C9C"/>
    <w:rsid w:val="00C058C6"/>
    <w:rsid w:val="00C12FBE"/>
    <w:rsid w:val="00C67E82"/>
    <w:rsid w:val="00CA4091"/>
    <w:rsid w:val="00CB5543"/>
    <w:rsid w:val="00CC5F5F"/>
    <w:rsid w:val="00CE35EF"/>
    <w:rsid w:val="00D033AF"/>
    <w:rsid w:val="00D47303"/>
    <w:rsid w:val="00E43246"/>
    <w:rsid w:val="00E46687"/>
    <w:rsid w:val="00E55C41"/>
    <w:rsid w:val="00E81936"/>
    <w:rsid w:val="00EC0A3A"/>
    <w:rsid w:val="00EF251D"/>
    <w:rsid w:val="00EF47D7"/>
    <w:rsid w:val="00F03B53"/>
    <w:rsid w:val="00F14A06"/>
    <w:rsid w:val="00F20413"/>
    <w:rsid w:val="00F20E98"/>
    <w:rsid w:val="00F3342B"/>
    <w:rsid w:val="00F77E38"/>
    <w:rsid w:val="00F93895"/>
    <w:rsid w:val="00FE68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43DB3D"/>
  <w15:chartTrackingRefBased/>
  <w15:docId w15:val="{845651E8-18B1-4C59-A472-F53F39EE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0A6"/>
  </w:style>
  <w:style w:type="paragraph" w:styleId="Heading1">
    <w:name w:val="heading 1"/>
    <w:basedOn w:val="Normal"/>
    <w:next w:val="Normal"/>
    <w:link w:val="Heading1Char"/>
    <w:uiPriority w:val="9"/>
    <w:qFormat/>
    <w:rsid w:val="00640B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0B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0B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0B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0B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0B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B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B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B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B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0B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0B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0B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0B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0B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B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B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B28"/>
    <w:rPr>
      <w:rFonts w:eastAsiaTheme="majorEastAsia" w:cstheme="majorBidi"/>
      <w:color w:val="272727" w:themeColor="text1" w:themeTint="D8"/>
    </w:rPr>
  </w:style>
  <w:style w:type="paragraph" w:styleId="Title">
    <w:name w:val="Title"/>
    <w:basedOn w:val="Normal"/>
    <w:next w:val="Normal"/>
    <w:link w:val="TitleChar"/>
    <w:uiPriority w:val="10"/>
    <w:qFormat/>
    <w:rsid w:val="00640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B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B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B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B28"/>
    <w:pPr>
      <w:spacing w:before="160"/>
      <w:jc w:val="center"/>
    </w:pPr>
    <w:rPr>
      <w:i/>
      <w:iCs/>
      <w:color w:val="404040" w:themeColor="text1" w:themeTint="BF"/>
    </w:rPr>
  </w:style>
  <w:style w:type="character" w:customStyle="1" w:styleId="QuoteChar">
    <w:name w:val="Quote Char"/>
    <w:basedOn w:val="DefaultParagraphFont"/>
    <w:link w:val="Quote"/>
    <w:uiPriority w:val="29"/>
    <w:rsid w:val="00640B28"/>
    <w:rPr>
      <w:i/>
      <w:iCs/>
      <w:color w:val="404040" w:themeColor="text1" w:themeTint="BF"/>
    </w:rPr>
  </w:style>
  <w:style w:type="paragraph" w:styleId="ListParagraph">
    <w:name w:val="List Paragraph"/>
    <w:basedOn w:val="Normal"/>
    <w:uiPriority w:val="34"/>
    <w:qFormat/>
    <w:rsid w:val="00640B28"/>
    <w:pPr>
      <w:ind w:left="720"/>
      <w:contextualSpacing/>
    </w:pPr>
  </w:style>
  <w:style w:type="character" w:styleId="IntenseEmphasis">
    <w:name w:val="Intense Emphasis"/>
    <w:basedOn w:val="DefaultParagraphFont"/>
    <w:uiPriority w:val="21"/>
    <w:qFormat/>
    <w:rsid w:val="00640B28"/>
    <w:rPr>
      <w:i/>
      <w:iCs/>
      <w:color w:val="2F5496" w:themeColor="accent1" w:themeShade="BF"/>
    </w:rPr>
  </w:style>
  <w:style w:type="paragraph" w:styleId="IntenseQuote">
    <w:name w:val="Intense Quote"/>
    <w:basedOn w:val="Normal"/>
    <w:next w:val="Normal"/>
    <w:link w:val="IntenseQuoteChar"/>
    <w:uiPriority w:val="30"/>
    <w:qFormat/>
    <w:rsid w:val="00640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0B28"/>
    <w:rPr>
      <w:i/>
      <w:iCs/>
      <w:color w:val="2F5496" w:themeColor="accent1" w:themeShade="BF"/>
    </w:rPr>
  </w:style>
  <w:style w:type="character" w:styleId="IntenseReference">
    <w:name w:val="Intense Reference"/>
    <w:basedOn w:val="DefaultParagraphFont"/>
    <w:uiPriority w:val="32"/>
    <w:qFormat/>
    <w:rsid w:val="00640B28"/>
    <w:rPr>
      <w:b/>
      <w:bCs/>
      <w:smallCaps/>
      <w:color w:val="2F5496" w:themeColor="accent1" w:themeShade="BF"/>
      <w:spacing w:val="5"/>
    </w:rPr>
  </w:style>
  <w:style w:type="paragraph" w:styleId="NormalWeb">
    <w:name w:val="Normal (Web)"/>
    <w:basedOn w:val="Normal"/>
    <w:uiPriority w:val="99"/>
    <w:unhideWhenUsed/>
    <w:rsid w:val="00FE68B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69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6687"/>
    <w:rPr>
      <w:color w:val="0563C1" w:themeColor="hyperlink"/>
      <w:u w:val="single"/>
    </w:rPr>
  </w:style>
  <w:style w:type="paragraph" w:styleId="Header">
    <w:name w:val="header"/>
    <w:basedOn w:val="Normal"/>
    <w:link w:val="HeaderChar"/>
    <w:uiPriority w:val="99"/>
    <w:unhideWhenUsed/>
    <w:rsid w:val="00410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523"/>
  </w:style>
  <w:style w:type="paragraph" w:styleId="Footer">
    <w:name w:val="footer"/>
    <w:basedOn w:val="Normal"/>
    <w:link w:val="FooterChar"/>
    <w:uiPriority w:val="99"/>
    <w:unhideWhenUsed/>
    <w:rsid w:val="00410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523"/>
  </w:style>
  <w:style w:type="character" w:styleId="Strong">
    <w:name w:val="Strong"/>
    <w:basedOn w:val="DefaultParagraphFont"/>
    <w:uiPriority w:val="22"/>
    <w:qFormat/>
    <w:rsid w:val="00BC0C9C"/>
    <w:rPr>
      <w:b/>
      <w:bCs/>
    </w:rPr>
  </w:style>
  <w:style w:type="character" w:styleId="UnresolvedMention">
    <w:name w:val="Unresolved Mention"/>
    <w:basedOn w:val="DefaultParagraphFont"/>
    <w:uiPriority w:val="99"/>
    <w:semiHidden/>
    <w:unhideWhenUsed/>
    <w:rsid w:val="0013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1708">
      <w:bodyDiv w:val="1"/>
      <w:marLeft w:val="0"/>
      <w:marRight w:val="0"/>
      <w:marTop w:val="0"/>
      <w:marBottom w:val="0"/>
      <w:divBdr>
        <w:top w:val="none" w:sz="0" w:space="0" w:color="auto"/>
        <w:left w:val="none" w:sz="0" w:space="0" w:color="auto"/>
        <w:bottom w:val="none" w:sz="0" w:space="0" w:color="auto"/>
        <w:right w:val="none" w:sz="0" w:space="0" w:color="auto"/>
      </w:divBdr>
    </w:div>
    <w:div w:id="289475920">
      <w:bodyDiv w:val="1"/>
      <w:marLeft w:val="0"/>
      <w:marRight w:val="0"/>
      <w:marTop w:val="0"/>
      <w:marBottom w:val="0"/>
      <w:divBdr>
        <w:top w:val="none" w:sz="0" w:space="0" w:color="auto"/>
        <w:left w:val="none" w:sz="0" w:space="0" w:color="auto"/>
        <w:bottom w:val="none" w:sz="0" w:space="0" w:color="auto"/>
        <w:right w:val="none" w:sz="0" w:space="0" w:color="auto"/>
      </w:divBdr>
    </w:div>
    <w:div w:id="639844028">
      <w:bodyDiv w:val="1"/>
      <w:marLeft w:val="0"/>
      <w:marRight w:val="0"/>
      <w:marTop w:val="0"/>
      <w:marBottom w:val="0"/>
      <w:divBdr>
        <w:top w:val="none" w:sz="0" w:space="0" w:color="auto"/>
        <w:left w:val="none" w:sz="0" w:space="0" w:color="auto"/>
        <w:bottom w:val="none" w:sz="0" w:space="0" w:color="auto"/>
        <w:right w:val="none" w:sz="0" w:space="0" w:color="auto"/>
      </w:divBdr>
    </w:div>
    <w:div w:id="870872621">
      <w:bodyDiv w:val="1"/>
      <w:marLeft w:val="0"/>
      <w:marRight w:val="0"/>
      <w:marTop w:val="0"/>
      <w:marBottom w:val="0"/>
      <w:divBdr>
        <w:top w:val="none" w:sz="0" w:space="0" w:color="auto"/>
        <w:left w:val="none" w:sz="0" w:space="0" w:color="auto"/>
        <w:bottom w:val="none" w:sz="0" w:space="0" w:color="auto"/>
        <w:right w:val="none" w:sz="0" w:space="0" w:color="auto"/>
      </w:divBdr>
    </w:div>
    <w:div w:id="1082721681">
      <w:bodyDiv w:val="1"/>
      <w:marLeft w:val="0"/>
      <w:marRight w:val="0"/>
      <w:marTop w:val="0"/>
      <w:marBottom w:val="0"/>
      <w:divBdr>
        <w:top w:val="none" w:sz="0" w:space="0" w:color="auto"/>
        <w:left w:val="none" w:sz="0" w:space="0" w:color="auto"/>
        <w:bottom w:val="none" w:sz="0" w:space="0" w:color="auto"/>
        <w:right w:val="none" w:sz="0" w:space="0" w:color="auto"/>
      </w:divBdr>
    </w:div>
    <w:div w:id="1275598728">
      <w:bodyDiv w:val="1"/>
      <w:marLeft w:val="0"/>
      <w:marRight w:val="0"/>
      <w:marTop w:val="0"/>
      <w:marBottom w:val="0"/>
      <w:divBdr>
        <w:top w:val="none" w:sz="0" w:space="0" w:color="auto"/>
        <w:left w:val="none" w:sz="0" w:space="0" w:color="auto"/>
        <w:bottom w:val="none" w:sz="0" w:space="0" w:color="auto"/>
        <w:right w:val="none" w:sz="0" w:space="0" w:color="auto"/>
      </w:divBdr>
    </w:div>
    <w:div w:id="1753502292">
      <w:bodyDiv w:val="1"/>
      <w:marLeft w:val="0"/>
      <w:marRight w:val="0"/>
      <w:marTop w:val="0"/>
      <w:marBottom w:val="0"/>
      <w:divBdr>
        <w:top w:val="none" w:sz="0" w:space="0" w:color="auto"/>
        <w:left w:val="none" w:sz="0" w:space="0" w:color="auto"/>
        <w:bottom w:val="none" w:sz="0" w:space="0" w:color="auto"/>
        <w:right w:val="none" w:sz="0" w:space="0" w:color="auto"/>
      </w:divBdr>
    </w:div>
    <w:div w:id="210876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ideas.repec.org/s/pra/mprapa.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ideas.repec.org/p/pra/mprapa/21992.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dis.org/vfile/upload/1%20/document/0901/section2.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3390/w1202054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OneDrive\Desktop\Vulnerability%20paper\Rada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OneDrive\Desktop\Vulnerability%20paper\Line%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1" i="0" u="none" strike="noStrike" kern="1200" cap="none" spc="20" baseline="0">
                <a:solidFill>
                  <a:schemeClr val="tx1">
                    <a:lumMod val="50000"/>
                    <a:lumOff val="50000"/>
                  </a:schemeClr>
                </a:solidFill>
                <a:latin typeface="+mn-lt"/>
                <a:ea typeface="+mn-ea"/>
                <a:cs typeface="+mn-cs"/>
              </a:defRPr>
            </a:pPr>
            <a:r>
              <a:rPr lang="en-IN"/>
              <a:t>Adaptive Capacity</a:t>
            </a:r>
          </a:p>
        </c:rich>
      </c:tx>
      <c:overlay val="0"/>
      <c:spPr>
        <a:noFill/>
        <a:ln>
          <a:noFill/>
        </a:ln>
        <a:effectLst/>
      </c:spPr>
      <c:txPr>
        <a:bodyPr rot="0" spcFirstLastPara="1" vertOverflow="ellipsis" vert="horz" wrap="square" anchor="ctr" anchorCtr="1"/>
        <a:lstStyle/>
        <a:p>
          <a:pPr>
            <a:defRPr sz="1680" b="1"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radarChart>
        <c:radarStyle val="marker"/>
        <c:varyColors val="0"/>
        <c:ser>
          <c:idx val="0"/>
          <c:order val="0"/>
          <c:tx>
            <c:strRef>
              <c:f>Sheet1!$B$1</c:f>
              <c:strCache>
                <c:ptCount val="1"/>
                <c:pt idx="0">
                  <c:v>Minor Flood-Prone</c:v>
                </c:pt>
              </c:strCache>
            </c:strRef>
          </c:tx>
          <c:spPr>
            <a:ln w="15875" cap="rnd">
              <a:solidFill>
                <a:schemeClr val="accent1"/>
              </a:solidFill>
              <a:round/>
            </a:ln>
            <a:effectLst/>
          </c:spPr>
          <c:marker>
            <c:symbol val="none"/>
          </c:marker>
          <c:cat>
            <c:strRef>
              <c:f>Sheet1!$A$2:$A$5</c:f>
              <c:strCache>
                <c:ptCount val="4"/>
                <c:pt idx="0">
                  <c:v>Human</c:v>
                </c:pt>
                <c:pt idx="1">
                  <c:v>Social</c:v>
                </c:pt>
                <c:pt idx="2">
                  <c:v>Physical &amp; Natural</c:v>
                </c:pt>
                <c:pt idx="3">
                  <c:v>Economic</c:v>
                </c:pt>
              </c:strCache>
            </c:strRef>
          </c:cat>
          <c:val>
            <c:numRef>
              <c:f>Sheet1!$B$2:$B$5</c:f>
              <c:numCache>
                <c:formatCode>General</c:formatCode>
                <c:ptCount val="4"/>
                <c:pt idx="0">
                  <c:v>4.3099999999999996</c:v>
                </c:pt>
                <c:pt idx="1">
                  <c:v>4.28</c:v>
                </c:pt>
                <c:pt idx="2">
                  <c:v>6.34</c:v>
                </c:pt>
                <c:pt idx="3">
                  <c:v>5.12</c:v>
                </c:pt>
              </c:numCache>
            </c:numRef>
          </c:val>
          <c:extLst>
            <c:ext xmlns:c16="http://schemas.microsoft.com/office/drawing/2014/chart" uri="{C3380CC4-5D6E-409C-BE32-E72D297353CC}">
              <c16:uniqueId val="{00000000-D95B-4A73-89D2-981805428274}"/>
            </c:ext>
          </c:extLst>
        </c:ser>
        <c:ser>
          <c:idx val="1"/>
          <c:order val="1"/>
          <c:tx>
            <c:strRef>
              <c:f>Sheet1!$C$1</c:f>
              <c:strCache>
                <c:ptCount val="1"/>
                <c:pt idx="0">
                  <c:v>Major Flood-Prone</c:v>
                </c:pt>
              </c:strCache>
            </c:strRef>
          </c:tx>
          <c:spPr>
            <a:ln w="15875" cap="rnd">
              <a:solidFill>
                <a:schemeClr val="accent2"/>
              </a:solidFill>
              <a:round/>
            </a:ln>
            <a:effectLst/>
          </c:spPr>
          <c:marker>
            <c:symbol val="none"/>
          </c:marker>
          <c:cat>
            <c:strRef>
              <c:f>Sheet1!$A$2:$A$5</c:f>
              <c:strCache>
                <c:ptCount val="4"/>
                <c:pt idx="0">
                  <c:v>Human</c:v>
                </c:pt>
                <c:pt idx="1">
                  <c:v>Social</c:v>
                </c:pt>
                <c:pt idx="2">
                  <c:v>Physical &amp; Natural</c:v>
                </c:pt>
                <c:pt idx="3">
                  <c:v>Economic</c:v>
                </c:pt>
              </c:strCache>
            </c:strRef>
          </c:cat>
          <c:val>
            <c:numRef>
              <c:f>Sheet1!$C$2:$C$5</c:f>
              <c:numCache>
                <c:formatCode>General</c:formatCode>
                <c:ptCount val="4"/>
                <c:pt idx="0">
                  <c:v>3.95</c:v>
                </c:pt>
                <c:pt idx="1">
                  <c:v>4.83</c:v>
                </c:pt>
                <c:pt idx="2">
                  <c:v>5.42</c:v>
                </c:pt>
                <c:pt idx="3">
                  <c:v>4.1399999999999997</c:v>
                </c:pt>
              </c:numCache>
            </c:numRef>
          </c:val>
          <c:extLst>
            <c:ext xmlns:c16="http://schemas.microsoft.com/office/drawing/2014/chart" uri="{C3380CC4-5D6E-409C-BE32-E72D297353CC}">
              <c16:uniqueId val="{00000001-D95B-4A73-89D2-981805428274}"/>
            </c:ext>
          </c:extLst>
        </c:ser>
        <c:dLbls>
          <c:showLegendKey val="0"/>
          <c:showVal val="0"/>
          <c:showCatName val="0"/>
          <c:showSerName val="0"/>
          <c:showPercent val="0"/>
          <c:showBubbleSize val="0"/>
        </c:dLbls>
        <c:axId val="1010560591"/>
        <c:axId val="1010563951"/>
      </c:radarChart>
      <c:catAx>
        <c:axId val="1010560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50000"/>
                    <a:lumOff val="50000"/>
                  </a:schemeClr>
                </a:solidFill>
                <a:latin typeface="+mn-lt"/>
                <a:ea typeface="+mn-ea"/>
                <a:cs typeface="+mn-cs"/>
              </a:defRPr>
            </a:pPr>
            <a:endParaRPr lang="en-US"/>
          </a:p>
        </c:txPr>
        <c:crossAx val="1010563951"/>
        <c:crosses val="autoZero"/>
        <c:auto val="1"/>
        <c:lblAlgn val="ctr"/>
        <c:lblOffset val="100"/>
        <c:noMultiLvlLbl val="0"/>
      </c:catAx>
      <c:valAx>
        <c:axId val="10105639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lumMod val="50000"/>
                    <a:lumOff val="50000"/>
                  </a:schemeClr>
                </a:solidFill>
                <a:latin typeface="+mn-lt"/>
                <a:ea typeface="+mn-ea"/>
                <a:cs typeface="+mn-cs"/>
              </a:defRPr>
            </a:pPr>
            <a:endParaRPr lang="en-US"/>
          </a:p>
        </c:txPr>
        <c:crossAx val="1010560591"/>
        <c:crosses val="autoZero"/>
        <c:crossBetween val="between"/>
      </c:valAx>
      <c:spPr>
        <a:noFill/>
        <a:ln w="31750">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cap="flat" cmpd="sng" algn="ctr">
      <a:solidFill>
        <a:schemeClr val="accent1"/>
      </a:solidFill>
      <a:round/>
    </a:ln>
    <a:effectLst/>
  </c:spPr>
  <c:txPr>
    <a:bodyPr/>
    <a:lstStyle/>
    <a:p>
      <a:pPr>
        <a:defRPr sz="1400" b="1"/>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t>vulnerability and its components </a:t>
            </a:r>
          </a:p>
        </c:rich>
      </c:tx>
      <c:layout>
        <c:manualLayout>
          <c:xMode val="edge"/>
          <c:yMode val="edge"/>
          <c:x val="0.22817513566431205"/>
          <c:y val="3.4231921266581089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tx>
            <c:strRef>
              <c:f>Sheet3!$B$1</c:f>
              <c:strCache>
                <c:ptCount val="1"/>
                <c:pt idx="0">
                  <c:v>Minor Flood-Prone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Sheet3!$A$2:$A$5</c:f>
              <c:strCache>
                <c:ptCount val="4"/>
                <c:pt idx="0">
                  <c:v>Adaptive Capacity</c:v>
                </c:pt>
                <c:pt idx="1">
                  <c:v>Exposure</c:v>
                </c:pt>
                <c:pt idx="2">
                  <c:v>Sensitivity</c:v>
                </c:pt>
                <c:pt idx="3">
                  <c:v>Vulnerability</c:v>
                </c:pt>
              </c:strCache>
            </c:strRef>
          </c:cat>
          <c:val>
            <c:numRef>
              <c:f>Sheet3!$B$2:$B$5</c:f>
              <c:numCache>
                <c:formatCode>General</c:formatCode>
                <c:ptCount val="4"/>
                <c:pt idx="0">
                  <c:v>20.04</c:v>
                </c:pt>
                <c:pt idx="1">
                  <c:v>3.67</c:v>
                </c:pt>
                <c:pt idx="2">
                  <c:v>3.17</c:v>
                </c:pt>
                <c:pt idx="3">
                  <c:v>13.2</c:v>
                </c:pt>
              </c:numCache>
            </c:numRef>
          </c:val>
          <c:extLst>
            <c:ext xmlns:c16="http://schemas.microsoft.com/office/drawing/2014/chart" uri="{C3380CC4-5D6E-409C-BE32-E72D297353CC}">
              <c16:uniqueId val="{00000000-BF10-4B35-BAB8-53D6C4B6F334}"/>
            </c:ext>
          </c:extLst>
        </c:ser>
        <c:ser>
          <c:idx val="1"/>
          <c:order val="1"/>
          <c:tx>
            <c:strRef>
              <c:f>Sheet3!$C$1</c:f>
              <c:strCache>
                <c:ptCount val="1"/>
                <c:pt idx="0">
                  <c:v>Major Flood-Prone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Sheet3!$A$2:$A$5</c:f>
              <c:strCache>
                <c:ptCount val="4"/>
                <c:pt idx="0">
                  <c:v>Adaptive Capacity</c:v>
                </c:pt>
                <c:pt idx="1">
                  <c:v>Exposure</c:v>
                </c:pt>
                <c:pt idx="2">
                  <c:v>Sensitivity</c:v>
                </c:pt>
                <c:pt idx="3">
                  <c:v>Vulnerability</c:v>
                </c:pt>
              </c:strCache>
            </c:strRef>
          </c:cat>
          <c:val>
            <c:numRef>
              <c:f>Sheet3!$C$2:$C$5</c:f>
              <c:numCache>
                <c:formatCode>General</c:formatCode>
                <c:ptCount val="4"/>
                <c:pt idx="0">
                  <c:v>18.350000000000001</c:v>
                </c:pt>
                <c:pt idx="1">
                  <c:v>7.23</c:v>
                </c:pt>
                <c:pt idx="2">
                  <c:v>2.5099999999999998</c:v>
                </c:pt>
                <c:pt idx="3">
                  <c:v>8.6</c:v>
                </c:pt>
              </c:numCache>
            </c:numRef>
          </c:val>
          <c:extLst>
            <c:ext xmlns:c16="http://schemas.microsoft.com/office/drawing/2014/chart" uri="{C3380CC4-5D6E-409C-BE32-E72D297353CC}">
              <c16:uniqueId val="{00000001-BF10-4B35-BAB8-53D6C4B6F334}"/>
            </c:ext>
          </c:extLst>
        </c:ser>
        <c:ser>
          <c:idx val="2"/>
          <c:order val="2"/>
          <c:tx>
            <c:strRef>
              <c:f>Sheet3!$D$1</c:f>
              <c:strCache>
                <c:ptCount val="1"/>
                <c:pt idx="0">
                  <c:v>Overall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Sheet3!$A$2:$A$5</c:f>
              <c:strCache>
                <c:ptCount val="4"/>
                <c:pt idx="0">
                  <c:v>Adaptive Capacity</c:v>
                </c:pt>
                <c:pt idx="1">
                  <c:v>Exposure</c:v>
                </c:pt>
                <c:pt idx="2">
                  <c:v>Sensitivity</c:v>
                </c:pt>
                <c:pt idx="3">
                  <c:v>Vulnerability</c:v>
                </c:pt>
              </c:strCache>
            </c:strRef>
          </c:cat>
          <c:val>
            <c:numRef>
              <c:f>Sheet3!$D$2:$D$5</c:f>
              <c:numCache>
                <c:formatCode>General</c:formatCode>
                <c:ptCount val="4"/>
                <c:pt idx="0">
                  <c:v>19.190000000000001</c:v>
                </c:pt>
                <c:pt idx="1">
                  <c:v>5.45</c:v>
                </c:pt>
                <c:pt idx="2">
                  <c:v>2.84</c:v>
                </c:pt>
                <c:pt idx="3">
                  <c:v>10.9</c:v>
                </c:pt>
              </c:numCache>
            </c:numRef>
          </c:val>
          <c:extLst>
            <c:ext xmlns:c16="http://schemas.microsoft.com/office/drawing/2014/chart" uri="{C3380CC4-5D6E-409C-BE32-E72D297353CC}">
              <c16:uniqueId val="{00000002-BF10-4B35-BAB8-53D6C4B6F334}"/>
            </c:ext>
          </c:extLst>
        </c:ser>
        <c:dLbls>
          <c:showLegendKey val="0"/>
          <c:showVal val="0"/>
          <c:showCatName val="0"/>
          <c:showSerName val="0"/>
          <c:showPercent val="0"/>
          <c:showBubbleSize val="0"/>
        </c:dLbls>
        <c:gapWidth val="100"/>
        <c:axId val="1010586511"/>
        <c:axId val="1010597071"/>
      </c:barChart>
      <c:catAx>
        <c:axId val="1010586511"/>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10597071"/>
        <c:crosses val="autoZero"/>
        <c:auto val="1"/>
        <c:lblAlgn val="ctr"/>
        <c:lblOffset val="100"/>
        <c:noMultiLvlLbl val="0"/>
      </c:catAx>
      <c:valAx>
        <c:axId val="1010597071"/>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10586511"/>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982423514547076"/>
          <c:y val="0.15659157968012188"/>
          <c:w val="0.81880493553173228"/>
          <c:h val="0.48150577407452272"/>
        </c:manualLayout>
      </c:layout>
      <c:bar3DChart>
        <c:barDir val="col"/>
        <c:grouping val="percentStacked"/>
        <c:varyColors val="0"/>
        <c:ser>
          <c:idx val="0"/>
          <c:order val="0"/>
          <c:tx>
            <c:strRef>
              <c:f>Sheet1!$B$1</c:f>
              <c:strCache>
                <c:ptCount val="1"/>
                <c:pt idx="0">
                  <c:v>Less vulnerable(14.69-21.97)</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Sheet1!$A$2:$A$4</c:f>
              <c:strCache>
                <c:ptCount val="3"/>
                <c:pt idx="0">
                  <c:v>Minor (n1=60)</c:v>
                </c:pt>
                <c:pt idx="1">
                  <c:v>Major (n2=60)</c:v>
                </c:pt>
                <c:pt idx="2">
                  <c:v>Overall (n=120)</c:v>
                </c:pt>
              </c:strCache>
            </c:strRef>
          </c:cat>
          <c:val>
            <c:numRef>
              <c:f>Sheet1!$B$2:$B$4</c:f>
              <c:numCache>
                <c:formatCode>0.00</c:formatCode>
                <c:ptCount val="3"/>
                <c:pt idx="0">
                  <c:v>60</c:v>
                </c:pt>
                <c:pt idx="1">
                  <c:v>6.67</c:v>
                </c:pt>
                <c:pt idx="2">
                  <c:v>33.33</c:v>
                </c:pt>
              </c:numCache>
            </c:numRef>
          </c:val>
          <c:extLst>
            <c:ext xmlns:c16="http://schemas.microsoft.com/office/drawing/2014/chart" uri="{C3380CC4-5D6E-409C-BE32-E72D297353CC}">
              <c16:uniqueId val="{00000000-B155-4D92-823C-2D435FC5B584}"/>
            </c:ext>
          </c:extLst>
        </c:ser>
        <c:ser>
          <c:idx val="1"/>
          <c:order val="1"/>
          <c:tx>
            <c:strRef>
              <c:f>Sheet1!$C$1</c:f>
              <c:strCache>
                <c:ptCount val="1"/>
                <c:pt idx="0">
                  <c:v>Moderately vulnerable (8.53-14.68)</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Sheet1!$A$2:$A$4</c:f>
              <c:strCache>
                <c:ptCount val="3"/>
                <c:pt idx="0">
                  <c:v>Minor (n1=60)</c:v>
                </c:pt>
                <c:pt idx="1">
                  <c:v>Major (n2=60)</c:v>
                </c:pt>
                <c:pt idx="2">
                  <c:v>Overall (n=120)</c:v>
                </c:pt>
              </c:strCache>
            </c:strRef>
          </c:cat>
          <c:val>
            <c:numRef>
              <c:f>Sheet1!$C$2:$C$4</c:f>
              <c:numCache>
                <c:formatCode>0.00</c:formatCode>
                <c:ptCount val="3"/>
                <c:pt idx="0">
                  <c:v>21.67</c:v>
                </c:pt>
                <c:pt idx="1">
                  <c:v>45</c:v>
                </c:pt>
                <c:pt idx="2">
                  <c:v>42.5</c:v>
                </c:pt>
              </c:numCache>
            </c:numRef>
          </c:val>
          <c:extLst>
            <c:ext xmlns:c16="http://schemas.microsoft.com/office/drawing/2014/chart" uri="{C3380CC4-5D6E-409C-BE32-E72D297353CC}">
              <c16:uniqueId val="{00000001-B155-4D92-823C-2D435FC5B584}"/>
            </c:ext>
          </c:extLst>
        </c:ser>
        <c:ser>
          <c:idx val="2"/>
          <c:order val="2"/>
          <c:tx>
            <c:strRef>
              <c:f>Sheet1!$D$1</c:f>
              <c:strCache>
                <c:ptCount val="1"/>
                <c:pt idx="0">
                  <c:v>Highly vulnerable(0.24-8.52)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Sheet1!$A$2:$A$4</c:f>
              <c:strCache>
                <c:ptCount val="3"/>
                <c:pt idx="0">
                  <c:v>Minor (n1=60)</c:v>
                </c:pt>
                <c:pt idx="1">
                  <c:v>Major (n2=60)</c:v>
                </c:pt>
                <c:pt idx="2">
                  <c:v>Overall (n=120)</c:v>
                </c:pt>
              </c:strCache>
            </c:strRef>
          </c:cat>
          <c:val>
            <c:numRef>
              <c:f>Sheet1!$D$2:$D$4</c:f>
              <c:numCache>
                <c:formatCode>0.00</c:formatCode>
                <c:ptCount val="3"/>
                <c:pt idx="0">
                  <c:v>18.329999999999998</c:v>
                </c:pt>
                <c:pt idx="1">
                  <c:v>48.33</c:v>
                </c:pt>
                <c:pt idx="2">
                  <c:v>24.17</c:v>
                </c:pt>
              </c:numCache>
            </c:numRef>
          </c:val>
          <c:extLst>
            <c:ext xmlns:c16="http://schemas.microsoft.com/office/drawing/2014/chart" uri="{C3380CC4-5D6E-409C-BE32-E72D297353CC}">
              <c16:uniqueId val="{00000002-B155-4D92-823C-2D435FC5B584}"/>
            </c:ext>
          </c:extLst>
        </c:ser>
        <c:dLbls>
          <c:showLegendKey val="0"/>
          <c:showVal val="1"/>
          <c:showCatName val="0"/>
          <c:showSerName val="0"/>
          <c:showPercent val="0"/>
          <c:showBubbleSize val="0"/>
        </c:dLbls>
        <c:gapWidth val="150"/>
        <c:shape val="box"/>
        <c:axId val="-608246320"/>
        <c:axId val="-608236528"/>
        <c:axId val="0"/>
      </c:bar3DChart>
      <c:catAx>
        <c:axId val="-608246320"/>
        <c:scaling>
          <c:orientation val="minMax"/>
        </c:scaling>
        <c:delete val="1"/>
        <c:axPos val="b"/>
        <c:title>
          <c:tx>
            <c:rich>
              <a:bodyPr rot="0" spcFirstLastPara="1" vertOverflow="ellipsis" vert="horz" wrap="square" anchor="ctr" anchorCtr="1"/>
              <a:lstStyle/>
              <a:p>
                <a:pPr>
                  <a:defRPr sz="11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Respondents</a:t>
                </a:r>
                <a:endParaRPr lang="en-IN"/>
              </a:p>
            </c:rich>
          </c:tx>
          <c:layout>
            <c:manualLayout>
              <c:xMode val="edge"/>
              <c:yMode val="edge"/>
              <c:x val="0.42708575923123615"/>
              <c:y val="0.74904426610135255"/>
            </c:manualLayout>
          </c:layout>
          <c:overlay val="0"/>
          <c:spPr>
            <a:noFill/>
            <a:ln>
              <a:noFill/>
            </a:ln>
            <a:effectLst/>
          </c:spPr>
          <c:txPr>
            <a:bodyPr rot="0" spcFirstLastPara="1" vertOverflow="ellipsis" vert="horz" wrap="square" anchor="ctr" anchorCtr="1"/>
            <a:lstStyle/>
            <a:p>
              <a:pPr>
                <a:defRPr sz="11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608236528"/>
        <c:crosses val="autoZero"/>
        <c:auto val="1"/>
        <c:lblAlgn val="ctr"/>
        <c:lblOffset val="100"/>
        <c:noMultiLvlLbl val="0"/>
      </c:catAx>
      <c:valAx>
        <c:axId val="-608236528"/>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11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rPr>
                  <a:t>Per cent</a:t>
                </a:r>
                <a:r>
                  <a:rPr lang="en-US"/>
                  <a:t>age</a:t>
                </a:r>
                <a:endParaRPr lang="en-IN"/>
              </a:p>
            </c:rich>
          </c:tx>
          <c:overlay val="0"/>
          <c:spPr>
            <a:noFill/>
            <a:ln>
              <a:noFill/>
            </a:ln>
            <a:effectLst/>
          </c:spPr>
          <c:txPr>
            <a:bodyPr rot="-5400000" spcFirstLastPara="1" vertOverflow="ellipsis" vert="horz" wrap="square" anchor="ctr" anchorCtr="1"/>
            <a:lstStyle/>
            <a:p>
              <a:pPr>
                <a:defRPr sz="11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08246320"/>
        <c:crosses val="autoZero"/>
        <c:crossBetween val="between"/>
      </c:valAx>
      <c:spPr>
        <a:noFill/>
        <a:ln>
          <a:noFill/>
        </a:ln>
        <a:effectLst/>
      </c:spPr>
    </c:plotArea>
    <c:legend>
      <c:legendPos val="b"/>
      <c:layout>
        <c:manualLayout>
          <c:xMode val="edge"/>
          <c:yMode val="edge"/>
          <c:x val="1.6683338035514285E-2"/>
          <c:y val="0.86981980617807386"/>
          <c:w val="0.94926090264775531"/>
          <c:h val="9.1718655360387646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a:noFill/>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1197" b="1" kern="1200" cap="all"/>
  </cs:axisTitle>
  <cs:categoryAxis>
    <cs:lnRef idx="0"/>
    <cs:fillRef idx="0"/>
    <cs:effectRef idx="0"/>
    <cs:fontRef idx="minor">
      <a:schemeClr val="lt1">
        <a:lumMod val="85000"/>
      </a:schemeClr>
    </cs:fontRef>
    <cs:spPr/>
    <cs:defRPr sz="1197"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7" kern="1200"/>
  </cs:dataLabel>
  <cs:dataLabelCallout>
    <cs:lnRef idx="0"/>
    <cs:fillRef idx="0"/>
    <cs:effectRef idx="0"/>
    <cs:fontRef idx="minor">
      <a:schemeClr val="dk1">
        <a:lumMod val="65000"/>
        <a:lumOff val="35000"/>
      </a:schemeClr>
    </cs:fontRef>
    <cs:spPr>
      <a:solidFill>
        <a:schemeClr val="lt1"/>
      </a:solidFill>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7"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7"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1197"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28"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1197"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7"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0.25435</cdr:x>
      <cdr:y>0.6403</cdr:y>
    </cdr:from>
    <cdr:to>
      <cdr:x>0.98986</cdr:x>
      <cdr:y>0.71506</cdr:y>
    </cdr:to>
    <cdr:sp macro="" textlink="">
      <cdr:nvSpPr>
        <cdr:cNvPr id="2" name="Rectangle 1"/>
        <cdr:cNvSpPr/>
      </cdr:nvSpPr>
      <cdr:spPr>
        <a:xfrm xmlns:a="http://schemas.openxmlformats.org/drawingml/2006/main">
          <a:off x="1487510" y="2537138"/>
          <a:ext cx="4301544" cy="29621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1200">
              <a:solidFill>
                <a:schemeClr val="tx1"/>
              </a:solidFill>
              <a:latin typeface="Times New Roman" panose="02020603050405020304" pitchFamily="18" charset="0"/>
              <a:cs typeface="Times New Roman" panose="02020603050405020304" pitchFamily="18" charset="0"/>
            </a:rPr>
            <a:t>Minor</a:t>
          </a:r>
          <a:r>
            <a:rPr lang="en-US" sz="1200" baseline="0">
              <a:solidFill>
                <a:schemeClr val="tx1"/>
              </a:solidFill>
              <a:latin typeface="Times New Roman" panose="02020603050405020304" pitchFamily="18" charset="0"/>
              <a:cs typeface="Times New Roman" panose="02020603050405020304" pitchFamily="18" charset="0"/>
            </a:rPr>
            <a:t> (n</a:t>
          </a:r>
          <a:r>
            <a:rPr lang="en-US" sz="1200" baseline="-25000">
              <a:solidFill>
                <a:schemeClr val="tx1"/>
              </a:solidFill>
              <a:latin typeface="Times New Roman" panose="02020603050405020304" pitchFamily="18" charset="0"/>
              <a:cs typeface="Times New Roman" panose="02020603050405020304" pitchFamily="18" charset="0"/>
            </a:rPr>
            <a:t>1</a:t>
          </a:r>
          <a:r>
            <a:rPr lang="en-US" sz="1200" baseline="0">
              <a:solidFill>
                <a:schemeClr val="tx1"/>
              </a:solidFill>
              <a:latin typeface="Times New Roman" panose="02020603050405020304" pitchFamily="18" charset="0"/>
              <a:cs typeface="Times New Roman" panose="02020603050405020304" pitchFamily="18" charset="0"/>
            </a:rPr>
            <a:t> =60)         Major (n</a:t>
          </a:r>
          <a:r>
            <a:rPr lang="en-US" sz="1200" baseline="-25000">
              <a:solidFill>
                <a:schemeClr val="tx1"/>
              </a:solidFill>
              <a:latin typeface="Times New Roman" panose="02020603050405020304" pitchFamily="18" charset="0"/>
              <a:cs typeface="Times New Roman" panose="02020603050405020304" pitchFamily="18" charset="0"/>
            </a:rPr>
            <a:t>2</a:t>
          </a:r>
          <a:r>
            <a:rPr lang="en-US" sz="1200" baseline="0">
              <a:solidFill>
                <a:schemeClr val="tx1"/>
              </a:solidFill>
              <a:latin typeface="Times New Roman" panose="02020603050405020304" pitchFamily="18" charset="0"/>
              <a:cs typeface="Times New Roman" panose="02020603050405020304" pitchFamily="18" charset="0"/>
            </a:rPr>
            <a:t> =60)       Overall (n=120)</a:t>
          </a:r>
          <a:endParaRPr lang="en-US" sz="1200" baseline="-25000">
            <a:solidFill>
              <a:schemeClr val="tx1"/>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2743</TotalTime>
  <Pages>19</Pages>
  <Words>4797</Words>
  <Characters>27343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jeebanjyoti behera</dc:creator>
  <cp:keywords/>
  <dc:description/>
  <cp:lastModifiedBy>SDI 1084</cp:lastModifiedBy>
  <cp:revision>94</cp:revision>
  <dcterms:created xsi:type="dcterms:W3CDTF">2025-06-03T11:24:00Z</dcterms:created>
  <dcterms:modified xsi:type="dcterms:W3CDTF">2025-06-14T11:56:00Z</dcterms:modified>
</cp:coreProperties>
</file>