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7920E" w14:textId="234D1EFC" w:rsidR="00505232" w:rsidRPr="00505232" w:rsidRDefault="00505232" w:rsidP="00505232">
      <w:pPr>
        <w:rPr>
          <w:rFonts w:ascii="Arial" w:eastAsiaTheme="majorEastAsia" w:hAnsi="Arial" w:cs="Arial"/>
          <w:b/>
          <w:bCs/>
          <w:spacing w:val="-10"/>
          <w:kern w:val="28"/>
          <w:sz w:val="22"/>
          <w:szCs w:val="22"/>
          <w:u w:val="single"/>
        </w:rPr>
      </w:pPr>
      <w:bookmarkStart w:id="0" w:name="_Hlk200442912"/>
      <w:r w:rsidRPr="00505232">
        <w:rPr>
          <w:rFonts w:ascii="Arial" w:eastAsiaTheme="majorEastAsia" w:hAnsi="Arial" w:cs="Arial"/>
          <w:b/>
          <w:bCs/>
          <w:spacing w:val="-10"/>
          <w:kern w:val="28"/>
          <w:sz w:val="22"/>
          <w:szCs w:val="22"/>
          <w:u w:val="single"/>
        </w:rPr>
        <w:t>Original Research Article</w:t>
      </w:r>
    </w:p>
    <w:p w14:paraId="165F0A2D" w14:textId="79490812" w:rsidR="00AB2E60" w:rsidRPr="00F03204" w:rsidRDefault="00AB2E60" w:rsidP="008F196F">
      <w:pPr>
        <w:jc w:val="center"/>
        <w:rPr>
          <w:rFonts w:ascii="Arial" w:eastAsiaTheme="majorEastAsia" w:hAnsi="Arial" w:cs="Arial"/>
          <w:b/>
          <w:bCs/>
          <w:spacing w:val="-10"/>
          <w:kern w:val="28"/>
          <w:sz w:val="22"/>
          <w:szCs w:val="22"/>
        </w:rPr>
      </w:pPr>
      <w:proofErr w:type="spellStart"/>
      <w:r w:rsidRPr="00F03204">
        <w:rPr>
          <w:rFonts w:ascii="Arial" w:eastAsiaTheme="majorEastAsia" w:hAnsi="Arial" w:cs="Arial"/>
          <w:b/>
          <w:bCs/>
          <w:spacing w:val="-10"/>
          <w:kern w:val="28"/>
          <w:sz w:val="22"/>
          <w:szCs w:val="22"/>
        </w:rPr>
        <w:t>Spatio</w:t>
      </w:r>
      <w:proofErr w:type="spellEnd"/>
      <w:r w:rsidRPr="00F03204">
        <w:rPr>
          <w:rFonts w:ascii="Arial" w:eastAsiaTheme="majorEastAsia" w:hAnsi="Arial" w:cs="Arial"/>
          <w:b/>
          <w:bCs/>
          <w:spacing w:val="-10"/>
          <w:kern w:val="28"/>
          <w:sz w:val="22"/>
          <w:szCs w:val="22"/>
        </w:rPr>
        <w:t>-Temporal Dynamics of LULC in the Kolkata Metropolitan Area (2016–2024): Insights from Landsat and MODIS Geospatial Data</w:t>
      </w:r>
    </w:p>
    <w:bookmarkEnd w:id="0"/>
    <w:p w14:paraId="4288D356" w14:textId="77777777" w:rsidR="00521542" w:rsidRDefault="00521542" w:rsidP="005C3C95">
      <w:pPr>
        <w:pStyle w:val="Heading1"/>
        <w:rPr>
          <w:rFonts w:ascii="Arial" w:hAnsi="Arial" w:cs="Arial"/>
          <w:b/>
          <w:bCs/>
          <w:color w:val="auto"/>
          <w:sz w:val="22"/>
          <w:szCs w:val="22"/>
        </w:rPr>
      </w:pPr>
    </w:p>
    <w:p w14:paraId="4CEEF0A0" w14:textId="103B0057" w:rsidR="00E726AD" w:rsidRPr="00F03204" w:rsidRDefault="004723AE" w:rsidP="005C3C95">
      <w:pPr>
        <w:pStyle w:val="Heading1"/>
        <w:rPr>
          <w:rFonts w:ascii="Arial" w:hAnsi="Arial" w:cs="Arial"/>
          <w:b/>
          <w:bCs/>
          <w:color w:val="auto"/>
          <w:sz w:val="22"/>
          <w:szCs w:val="22"/>
        </w:rPr>
      </w:pPr>
      <w:r w:rsidRPr="00F03204">
        <w:rPr>
          <w:rFonts w:ascii="Arial" w:hAnsi="Arial" w:cs="Arial"/>
          <w:b/>
          <w:bCs/>
          <w:color w:val="auto"/>
          <w:sz w:val="22"/>
          <w:szCs w:val="22"/>
        </w:rPr>
        <w:t xml:space="preserve">Abstract: </w:t>
      </w:r>
    </w:p>
    <w:p w14:paraId="4C13B691" w14:textId="77777777" w:rsidR="00726C8B" w:rsidRPr="00F03204" w:rsidRDefault="008454FF" w:rsidP="001F3770">
      <w:pPr>
        <w:jc w:val="both"/>
        <w:rPr>
          <w:rFonts w:ascii="Arial" w:hAnsi="Arial" w:cs="Arial"/>
          <w:i/>
          <w:iCs/>
          <w:sz w:val="22"/>
          <w:szCs w:val="22"/>
        </w:rPr>
      </w:pPr>
      <w:r w:rsidRPr="00F03204">
        <w:rPr>
          <w:rFonts w:ascii="Arial" w:hAnsi="Arial" w:cs="Arial"/>
          <w:b/>
          <w:bCs/>
          <w:i/>
          <w:iCs/>
          <w:sz w:val="22"/>
          <w:szCs w:val="22"/>
        </w:rPr>
        <w:t>Aims</w:t>
      </w:r>
      <w:r w:rsidR="00726C8B" w:rsidRPr="00F03204">
        <w:rPr>
          <w:rFonts w:ascii="Arial" w:hAnsi="Arial" w:cs="Arial"/>
          <w:b/>
          <w:bCs/>
          <w:i/>
          <w:iCs/>
          <w:sz w:val="22"/>
          <w:szCs w:val="22"/>
        </w:rPr>
        <w:t>:</w:t>
      </w:r>
      <w:r w:rsidR="00726C8B" w:rsidRPr="00F03204">
        <w:rPr>
          <w:rFonts w:ascii="Arial" w:hAnsi="Arial" w:cs="Arial"/>
          <w:i/>
          <w:iCs/>
          <w:sz w:val="22"/>
          <w:szCs w:val="22"/>
        </w:rPr>
        <w:t xml:space="preserve"> </w:t>
      </w:r>
      <w:r w:rsidR="00AB2E60" w:rsidRPr="00F03204">
        <w:rPr>
          <w:rFonts w:ascii="Arial" w:hAnsi="Arial" w:cs="Arial"/>
          <w:i/>
          <w:iCs/>
          <w:sz w:val="22"/>
          <w:szCs w:val="22"/>
        </w:rPr>
        <w:t>This study investigates the dynamics of Land Use and Land Cover (LULC) and their thermal impacts in the Kolkata Metropolitan Area (KMA) from 2016 to 2024, utilizing Landsat 8 and MODIS data. LULC maps generated through Support Vector Machine (SVM) classification reveal an increase in barren and transitional surfaces, alongside a decrease in forested, developed, and aquatic zones.</w:t>
      </w:r>
    </w:p>
    <w:p w14:paraId="4521BF55" w14:textId="77777777" w:rsidR="001F3770" w:rsidRPr="00F03204" w:rsidRDefault="00726C8B" w:rsidP="001F3770">
      <w:pPr>
        <w:jc w:val="both"/>
        <w:rPr>
          <w:rFonts w:ascii="Arial" w:hAnsi="Arial" w:cs="Arial"/>
          <w:i/>
          <w:iCs/>
          <w:sz w:val="22"/>
          <w:szCs w:val="22"/>
        </w:rPr>
      </w:pPr>
      <w:r w:rsidRPr="00F03204">
        <w:rPr>
          <w:rFonts w:ascii="Arial" w:hAnsi="Arial" w:cs="Arial"/>
          <w:b/>
          <w:bCs/>
          <w:i/>
          <w:iCs/>
          <w:sz w:val="22"/>
          <w:szCs w:val="22"/>
        </w:rPr>
        <w:t>Methodology:</w:t>
      </w:r>
      <w:r w:rsidRPr="00F03204">
        <w:rPr>
          <w:rFonts w:ascii="Arial" w:hAnsi="Arial" w:cs="Arial"/>
          <w:i/>
          <w:iCs/>
          <w:sz w:val="22"/>
          <w:szCs w:val="22"/>
        </w:rPr>
        <w:t xml:space="preserve"> </w:t>
      </w:r>
      <w:r w:rsidR="005234C1" w:rsidRPr="00F03204">
        <w:rPr>
          <w:rFonts w:ascii="Arial" w:hAnsi="Arial" w:cs="Arial"/>
          <w:i/>
          <w:iCs/>
          <w:sz w:val="22"/>
          <w:szCs w:val="22"/>
        </w:rPr>
        <w:t xml:space="preserve"> </w:t>
      </w:r>
      <w:r w:rsidR="00AB2E60" w:rsidRPr="00F03204">
        <w:rPr>
          <w:rFonts w:ascii="Arial" w:hAnsi="Arial" w:cs="Arial"/>
          <w:i/>
          <w:iCs/>
          <w:sz w:val="22"/>
          <w:szCs w:val="22"/>
        </w:rPr>
        <w:t xml:space="preserve">Biophysical indices—including NDVI, NDBI, and NDWI—were analyzed to evaluate vegetation levels, imperviousness, and the presence of water. The NDVI remained stable, owing to greening efforts in peri-urban areas, while the NDBI saw an increase corresponding with the expansion of impervious surfaces. </w:t>
      </w:r>
    </w:p>
    <w:p w14:paraId="3FF5EA44" w14:textId="49E08381" w:rsidR="001F266B" w:rsidRPr="00F03204" w:rsidRDefault="001F3770" w:rsidP="001F3770">
      <w:pPr>
        <w:jc w:val="both"/>
        <w:rPr>
          <w:rFonts w:ascii="Arial" w:hAnsi="Arial" w:cs="Arial"/>
          <w:i/>
          <w:iCs/>
          <w:sz w:val="22"/>
          <w:szCs w:val="22"/>
        </w:rPr>
      </w:pPr>
      <w:r w:rsidRPr="00F03204">
        <w:rPr>
          <w:rFonts w:ascii="Arial" w:hAnsi="Arial" w:cs="Arial"/>
          <w:b/>
          <w:bCs/>
          <w:i/>
          <w:iCs/>
          <w:sz w:val="22"/>
          <w:szCs w:val="22"/>
        </w:rPr>
        <w:t>Results:</w:t>
      </w:r>
      <w:r w:rsidRPr="00F03204">
        <w:rPr>
          <w:rFonts w:ascii="Arial" w:hAnsi="Arial" w:cs="Arial"/>
          <w:i/>
          <w:iCs/>
          <w:sz w:val="22"/>
          <w:szCs w:val="22"/>
        </w:rPr>
        <w:t xml:space="preserve"> </w:t>
      </w:r>
      <w:r w:rsidR="00AB2E60" w:rsidRPr="00F03204">
        <w:rPr>
          <w:rFonts w:ascii="Arial" w:hAnsi="Arial" w:cs="Arial"/>
          <w:i/>
          <w:iCs/>
          <w:sz w:val="22"/>
          <w:szCs w:val="22"/>
        </w:rPr>
        <w:t>Spectral analysis indicated a rise in NDWI values, suggesting an intensification of water presence in fewer bodies of water.</w:t>
      </w:r>
      <w:r w:rsidR="005234C1" w:rsidRPr="00F03204">
        <w:rPr>
          <w:rFonts w:ascii="Arial" w:hAnsi="Arial" w:cs="Arial"/>
          <w:i/>
          <w:iCs/>
          <w:sz w:val="22"/>
          <w:szCs w:val="22"/>
        </w:rPr>
        <w:t xml:space="preserve"> </w:t>
      </w:r>
      <w:r w:rsidR="00AB2E60" w:rsidRPr="00F03204">
        <w:rPr>
          <w:rFonts w:ascii="Arial" w:hAnsi="Arial" w:cs="Arial"/>
          <w:i/>
          <w:iCs/>
          <w:sz w:val="22"/>
          <w:szCs w:val="22"/>
        </w:rPr>
        <w:t xml:space="preserve">MODIS-derived Land Surface Temperature (LST) maps indicate a regional thermal rise, particularly in areas characterized by high NDBI and low NDVI/NDWI values. Correlation analyses </w:t>
      </w:r>
      <w:r w:rsidR="005234C1" w:rsidRPr="00F03204">
        <w:rPr>
          <w:rFonts w:ascii="Arial" w:hAnsi="Arial" w:cs="Arial"/>
          <w:i/>
          <w:iCs/>
          <w:sz w:val="22"/>
          <w:szCs w:val="22"/>
        </w:rPr>
        <w:t>reveal strong relationships: a positive correlation between NDBI and LST, and a negative correlation between NDVI/NDWI and LST, highlighting the impact</w:t>
      </w:r>
      <w:r w:rsidR="00AB2E60" w:rsidRPr="00F03204">
        <w:rPr>
          <w:rFonts w:ascii="Arial" w:hAnsi="Arial" w:cs="Arial"/>
          <w:i/>
          <w:iCs/>
          <w:sz w:val="22"/>
          <w:szCs w:val="22"/>
        </w:rPr>
        <w:t xml:space="preserve"> of surface materials and land cover on urban heating.</w:t>
      </w:r>
      <w:r w:rsidR="005234C1" w:rsidRPr="00F03204">
        <w:rPr>
          <w:rFonts w:ascii="Arial" w:hAnsi="Arial" w:cs="Arial"/>
          <w:i/>
          <w:iCs/>
          <w:sz w:val="22"/>
          <w:szCs w:val="22"/>
        </w:rPr>
        <w:t xml:space="preserve"> </w:t>
      </w:r>
      <w:r w:rsidR="00AB2E60" w:rsidRPr="00F03204">
        <w:rPr>
          <w:rFonts w:ascii="Arial" w:hAnsi="Arial" w:cs="Arial"/>
          <w:i/>
          <w:iCs/>
          <w:sz w:val="22"/>
          <w:szCs w:val="22"/>
        </w:rPr>
        <w:t>The study validates remote sensing as an effective tool for environmental monitoring and emphasizes the significance of urban land transitions in exacerbating climatic stress. The findings provide spatial evidence to inform sustainable land management practices and enhance urban climate resilience.</w:t>
      </w:r>
    </w:p>
    <w:p w14:paraId="49EE23E4" w14:textId="77777777" w:rsidR="001F266B" w:rsidRPr="00F03204" w:rsidRDefault="001F266B" w:rsidP="001F266B">
      <w:pPr>
        <w:rPr>
          <w:rFonts w:ascii="Arial" w:hAnsi="Arial" w:cs="Arial"/>
          <w:b/>
          <w:bCs/>
          <w:sz w:val="22"/>
          <w:szCs w:val="22"/>
        </w:rPr>
      </w:pPr>
      <w:r w:rsidRPr="00F03204">
        <w:rPr>
          <w:rFonts w:ascii="Arial" w:hAnsi="Arial" w:cs="Arial"/>
          <w:b/>
          <w:bCs/>
          <w:sz w:val="22"/>
          <w:szCs w:val="22"/>
        </w:rPr>
        <w:t>Keywords</w:t>
      </w:r>
    </w:p>
    <w:p w14:paraId="68BE57CD" w14:textId="433AB060" w:rsidR="004723AE" w:rsidRPr="00F03204" w:rsidRDefault="001F266B">
      <w:pPr>
        <w:rPr>
          <w:rFonts w:ascii="Arial" w:hAnsi="Arial" w:cs="Arial"/>
          <w:sz w:val="22"/>
          <w:szCs w:val="22"/>
        </w:rPr>
      </w:pPr>
      <w:r w:rsidRPr="00F03204">
        <w:rPr>
          <w:rFonts w:ascii="Arial" w:hAnsi="Arial" w:cs="Arial"/>
          <w:sz w:val="22"/>
          <w:szCs w:val="22"/>
        </w:rPr>
        <w:t>NDVI</w:t>
      </w:r>
      <w:r w:rsidR="001859EE" w:rsidRPr="00F03204">
        <w:rPr>
          <w:rFonts w:ascii="Arial" w:hAnsi="Arial" w:cs="Arial"/>
          <w:sz w:val="22"/>
          <w:szCs w:val="22"/>
        </w:rPr>
        <w:t>,</w:t>
      </w:r>
      <w:r w:rsidRPr="00F03204">
        <w:rPr>
          <w:rFonts w:ascii="Arial" w:hAnsi="Arial" w:cs="Arial"/>
          <w:sz w:val="22"/>
          <w:szCs w:val="22"/>
        </w:rPr>
        <w:t xml:space="preserve"> NDBI</w:t>
      </w:r>
      <w:r w:rsidR="001859EE" w:rsidRPr="00F03204">
        <w:rPr>
          <w:rFonts w:ascii="Arial" w:hAnsi="Arial" w:cs="Arial"/>
          <w:sz w:val="22"/>
          <w:szCs w:val="22"/>
        </w:rPr>
        <w:t>,</w:t>
      </w:r>
      <w:r w:rsidRPr="00F03204">
        <w:rPr>
          <w:rFonts w:ascii="Arial" w:hAnsi="Arial" w:cs="Arial"/>
          <w:sz w:val="22"/>
          <w:szCs w:val="22"/>
        </w:rPr>
        <w:t xml:space="preserve"> NDWI</w:t>
      </w:r>
      <w:r w:rsidR="001859EE" w:rsidRPr="00F03204">
        <w:rPr>
          <w:rFonts w:ascii="Arial" w:hAnsi="Arial" w:cs="Arial"/>
          <w:sz w:val="22"/>
          <w:szCs w:val="22"/>
        </w:rPr>
        <w:t>,</w:t>
      </w:r>
      <w:r w:rsidRPr="00F03204">
        <w:rPr>
          <w:rFonts w:ascii="Arial" w:hAnsi="Arial" w:cs="Arial"/>
          <w:sz w:val="22"/>
          <w:szCs w:val="22"/>
        </w:rPr>
        <w:t xml:space="preserve"> MODIS</w:t>
      </w:r>
      <w:r w:rsidR="001859EE" w:rsidRPr="00F03204">
        <w:rPr>
          <w:rFonts w:ascii="Arial" w:hAnsi="Arial" w:cs="Arial"/>
          <w:sz w:val="22"/>
          <w:szCs w:val="22"/>
        </w:rPr>
        <w:t>,</w:t>
      </w:r>
      <w:r w:rsidRPr="00F03204">
        <w:rPr>
          <w:rFonts w:ascii="Arial" w:hAnsi="Arial" w:cs="Arial"/>
          <w:sz w:val="22"/>
          <w:szCs w:val="22"/>
        </w:rPr>
        <w:t xml:space="preserve"> Urban Heat Island; Geospatial Analysis</w:t>
      </w:r>
    </w:p>
    <w:p w14:paraId="1B13D58C" w14:textId="77777777" w:rsidR="00BF64CD" w:rsidRPr="00F03204" w:rsidRDefault="00BF64CD" w:rsidP="004723AE">
      <w:pPr>
        <w:pStyle w:val="Heading1"/>
        <w:rPr>
          <w:rFonts w:ascii="Arial" w:hAnsi="Arial" w:cs="Arial"/>
          <w:b/>
          <w:bCs/>
          <w:color w:val="auto"/>
          <w:sz w:val="22"/>
          <w:szCs w:val="22"/>
        </w:rPr>
      </w:pPr>
    </w:p>
    <w:p w14:paraId="73660A12" w14:textId="77777777" w:rsidR="00B4144E" w:rsidRPr="00F03204" w:rsidRDefault="00B4144E" w:rsidP="00B4144E">
      <w:pPr>
        <w:rPr>
          <w:rFonts w:ascii="Arial" w:hAnsi="Arial" w:cs="Arial"/>
          <w:sz w:val="22"/>
          <w:szCs w:val="22"/>
        </w:rPr>
      </w:pPr>
    </w:p>
    <w:p w14:paraId="6CAAB140" w14:textId="77777777" w:rsidR="00B4144E" w:rsidRDefault="00B4144E" w:rsidP="00B4144E">
      <w:pPr>
        <w:rPr>
          <w:rFonts w:ascii="Arial" w:hAnsi="Arial" w:cs="Arial"/>
          <w:sz w:val="22"/>
          <w:szCs w:val="22"/>
        </w:rPr>
      </w:pPr>
    </w:p>
    <w:p w14:paraId="685B30EA" w14:textId="77777777" w:rsidR="004A5CF5" w:rsidRDefault="004A5CF5" w:rsidP="00B4144E">
      <w:pPr>
        <w:rPr>
          <w:rFonts w:ascii="Arial" w:hAnsi="Arial" w:cs="Arial"/>
          <w:sz w:val="22"/>
          <w:szCs w:val="22"/>
        </w:rPr>
      </w:pPr>
    </w:p>
    <w:p w14:paraId="1BFF26E1" w14:textId="77777777" w:rsidR="004A5CF5" w:rsidRDefault="004A5CF5" w:rsidP="00B4144E">
      <w:pPr>
        <w:rPr>
          <w:rFonts w:ascii="Arial" w:hAnsi="Arial" w:cs="Arial"/>
          <w:sz w:val="22"/>
          <w:szCs w:val="22"/>
        </w:rPr>
      </w:pPr>
    </w:p>
    <w:p w14:paraId="14CC126C" w14:textId="77777777" w:rsidR="004A5CF5" w:rsidRPr="00F03204" w:rsidRDefault="004A5CF5" w:rsidP="00B4144E">
      <w:pPr>
        <w:rPr>
          <w:rFonts w:ascii="Arial" w:hAnsi="Arial" w:cs="Arial"/>
          <w:sz w:val="22"/>
          <w:szCs w:val="22"/>
        </w:rPr>
      </w:pPr>
    </w:p>
    <w:p w14:paraId="05921979" w14:textId="7B0CEB76" w:rsidR="00956A0C" w:rsidRPr="00F03204" w:rsidRDefault="00956A0C" w:rsidP="004723AE">
      <w:pPr>
        <w:pStyle w:val="Heading1"/>
        <w:rPr>
          <w:rFonts w:ascii="Arial" w:hAnsi="Arial" w:cs="Arial"/>
          <w:b/>
          <w:bCs/>
          <w:color w:val="auto"/>
          <w:sz w:val="22"/>
          <w:szCs w:val="22"/>
        </w:rPr>
      </w:pPr>
      <w:r w:rsidRPr="00F03204">
        <w:rPr>
          <w:rFonts w:ascii="Arial" w:hAnsi="Arial" w:cs="Arial"/>
          <w:b/>
          <w:bCs/>
          <w:color w:val="auto"/>
          <w:sz w:val="22"/>
          <w:szCs w:val="22"/>
        </w:rPr>
        <w:lastRenderedPageBreak/>
        <w:t>Introduction</w:t>
      </w:r>
      <w:r w:rsidR="004723AE" w:rsidRPr="00F03204">
        <w:rPr>
          <w:rFonts w:ascii="Arial" w:hAnsi="Arial" w:cs="Arial"/>
          <w:b/>
          <w:bCs/>
          <w:color w:val="auto"/>
          <w:sz w:val="22"/>
          <w:szCs w:val="22"/>
        </w:rPr>
        <w:t>:</w:t>
      </w:r>
    </w:p>
    <w:p w14:paraId="50E7F2C0" w14:textId="77777777" w:rsidR="00956A0C" w:rsidRPr="00F03204" w:rsidRDefault="00956A0C" w:rsidP="00AB3D00">
      <w:pPr>
        <w:jc w:val="both"/>
        <w:rPr>
          <w:rFonts w:ascii="Arial" w:hAnsi="Arial" w:cs="Arial"/>
          <w:sz w:val="22"/>
          <w:szCs w:val="22"/>
        </w:rPr>
      </w:pPr>
      <w:r w:rsidRPr="00F03204">
        <w:rPr>
          <w:rFonts w:ascii="Arial" w:hAnsi="Arial" w:cs="Arial"/>
          <w:sz w:val="22"/>
          <w:szCs w:val="22"/>
        </w:rPr>
        <w:t>The dynamics of Land Use and Land Cover (LULC) are increasingly recognized as critical indicators of anthropogenic pressure on the environment. Rapid urbanization, deforestation, agricultural expansion, and infrastructural development have significantly altered terrestrial landscapes over the past few decades</w:t>
      </w:r>
      <w:r w:rsidR="00BE18C2" w:rsidRPr="00F03204">
        <w:rPr>
          <w:rFonts w:ascii="Arial" w:hAnsi="Arial" w:cs="Arial"/>
          <w:sz w:val="22"/>
          <w:szCs w:val="22"/>
        </w:rPr>
        <w:fldChar w:fldCharType="begin"/>
      </w:r>
      <w:r w:rsidR="00BE18C2" w:rsidRPr="00F03204">
        <w:rPr>
          <w:rFonts w:ascii="Arial" w:hAnsi="Arial" w:cs="Arial"/>
          <w:sz w:val="22"/>
          <w:szCs w:val="22"/>
        </w:rPr>
        <w:instrText xml:space="preserve"> ADDIN ZOTERO_ITEM CSL_CITATION {"citationID":"tRP3xG5L","properties":{"formattedCitation":"(Guha et al., 2018)","plainCitation":"(Guha et al., 2018)","noteIndex":0},"citationItems":[{"id":243,"uris":["http://zotero.org/users/local/5NZeGExO/items/9U4D9RQD"],"itemData":{"id":243,"type":"article-journal","abstract":"The present study focuses on determining the relationship of estimated land surface temperature (LST) with normalized difference vegetation index (NDVI) and normalized difference built-up index (NDBI) for Florence and Naples cities in Italy using Landsat 8 data. The study also classifies different land use/land cover LU–LC) types using NDVI and NDBI threshold values, iterative self-organizing data analysis technique and maximum likelihood classifier, and analyses the relationship built by LST with the built-up area and bare land. Urban thermal field variance index was applied to determine the thermal and ecological comfort level of the city. Several urban heat islands (UHIs) were extracted as the most heated zones within the city boundaries due to increasing anthropogenic activities. The difference between the mean LST of UHI and non-UHI is 3.15°C and 3.31°C, respectively, for Florence and Naples. LST build a strong correlation with NDVI (negative) and NDBI (positive) for both the cities as a whole, especially for the non-UHIs. But, the strength of correlation becomes much weaker within the UHIs. Moreover, most of the UHIs (85.21% in Naples and 76.62% in Florence) are developed within the built-up area or bare land and are demarcated as an ecologically stressed zone.","container-title":"European Journal of Remote Sensing","DOI":"10.1080/22797254.2018.1474494","ISSN":"2279-7254","issue":"1","journalAbbreviation":"European Journal of Remote Sensing","language":"en","page":"667-678","source":"DOI.org (Crossref)","title":"Analytical study of land surface temperature with NDVI and NDBI using Landsat 8 OLI and TIRS data in Florence and Naples city, Italy","volume":"51","author":[{"family":"Guha","given":"Subhanil"},{"family":"Govil","given":"Himanshu"},{"family":"Dey","given":"Anindita"},{"family":"Gill","given":"Neetu"}],"issued":{"date-parts":[["2018",1,1]]}}}],"schema":"https://github.com/citation-style-language/schema/raw/master/csl-citation.json"} </w:instrText>
      </w:r>
      <w:r w:rsidR="00BE18C2" w:rsidRPr="00F03204">
        <w:rPr>
          <w:rFonts w:ascii="Arial" w:hAnsi="Arial" w:cs="Arial"/>
          <w:sz w:val="22"/>
          <w:szCs w:val="22"/>
        </w:rPr>
        <w:fldChar w:fldCharType="separate"/>
      </w:r>
      <w:r w:rsidR="00BE18C2" w:rsidRPr="00F03204">
        <w:rPr>
          <w:rFonts w:ascii="Arial" w:hAnsi="Arial" w:cs="Arial"/>
          <w:sz w:val="22"/>
          <w:szCs w:val="22"/>
        </w:rPr>
        <w:t>(Guha et al., 2018)</w:t>
      </w:r>
      <w:r w:rsidR="00BE18C2" w:rsidRPr="00F03204">
        <w:rPr>
          <w:rFonts w:ascii="Arial" w:hAnsi="Arial" w:cs="Arial"/>
          <w:sz w:val="22"/>
          <w:szCs w:val="22"/>
        </w:rPr>
        <w:fldChar w:fldCharType="end"/>
      </w:r>
      <w:r w:rsidRPr="00F03204">
        <w:rPr>
          <w:rFonts w:ascii="Arial" w:hAnsi="Arial" w:cs="Arial"/>
          <w:sz w:val="22"/>
          <w:szCs w:val="22"/>
        </w:rPr>
        <w:t>. These changes not only influence local ecological balances but also contribute to broader regional and global issues such as biodiversity loss, water resource depletion, and climate change. Therefore, accurate monitoring of LULC transitions is essential for sustainable urban planning, environmental conservation, and climate resilience strategies</w:t>
      </w:r>
      <w:r w:rsidR="00BE18C2" w:rsidRPr="00F03204">
        <w:rPr>
          <w:rFonts w:ascii="Arial" w:hAnsi="Arial" w:cs="Arial"/>
          <w:sz w:val="22"/>
          <w:szCs w:val="22"/>
        </w:rPr>
        <w:fldChar w:fldCharType="begin"/>
      </w:r>
      <w:r w:rsidR="00BE18C2" w:rsidRPr="00F03204">
        <w:rPr>
          <w:rFonts w:ascii="Arial" w:hAnsi="Arial" w:cs="Arial"/>
          <w:sz w:val="22"/>
          <w:szCs w:val="22"/>
        </w:rPr>
        <w:instrText xml:space="preserve"> ADDIN ZOTERO_ITEM CSL_CITATION {"citationID":"yjObBfxV","properties":{"formattedCitation":"(Kafi et al., 2014)","plainCitation":"(Kafi et al., 2014)","noteIndex":0},"citationItems":[{"id":228,"uris":["http://zotero.org/users/local/5NZeGExO/items/IGCXSPX5"],"itemData":{"id":228,"type":"article-journal","abstract":"Bauchi is one of the cities in the north eastern part of Nigeria that has witnessed tremendous expansion as a result of rapid urbanization. For the past decade, the city has been known to be relatively small both in size and population. But today, Bauchi is one of the fastest growing cities in northern Nigeria. Therefore, it is paramount to detect the nature and magnitude of these changes in order to determine its direction of future expansion. To achieve that, Remotely Sensed data from Landsat 7 ETM+ and Landsat 8 were utilized for the purpose of LULC change detection in Bauchi city. Landsat 7 image of 2003 and Landsat 8 image of 2013 were obtained for the purpose of the study. Three change detection algorithms were used to detect areas of change. They include supervised, unsupervised and post classification comparison. While the unsupervised classification was found to be less effective, the supervised classification produced good results with overall accuracies of 93.5% and 89.7% for the 2003 and 2013 respectively. Finally, “from-to” change was obtained using the post classification comparism.","container-title":"IOP Conference Series: Earth and Environmental Science","DOI":"10.1088/1755-1315/20/1/012056","ISSN":"1755-1315","journalAbbreviation":"IOP Conf. Ser.: Earth Environ. Sci.","language":"en","license":"http://iopscience.iop.org/info/page/text-and-data-mining","page":"012056","source":"DOI.org (Crossref)","title":"An analysis of LULC change detection using remotely sensed data; A Case study of Bauchi City","volume":"20","author":[{"family":"Kafi","given":"K M"},{"family":"Shafri","given":"H Z M"},{"family":"Shariff","given":"A B M"}],"issued":{"date-parts":[["2014",6,23]]}}}],"schema":"https://github.com/citation-style-language/schema/raw/master/csl-citation.json"} </w:instrText>
      </w:r>
      <w:r w:rsidR="00BE18C2" w:rsidRPr="00F03204">
        <w:rPr>
          <w:rFonts w:ascii="Arial" w:hAnsi="Arial" w:cs="Arial"/>
          <w:sz w:val="22"/>
          <w:szCs w:val="22"/>
        </w:rPr>
        <w:fldChar w:fldCharType="separate"/>
      </w:r>
      <w:r w:rsidR="00BE18C2" w:rsidRPr="00F03204">
        <w:rPr>
          <w:rFonts w:ascii="Arial" w:hAnsi="Arial" w:cs="Arial"/>
          <w:sz w:val="22"/>
          <w:szCs w:val="22"/>
        </w:rPr>
        <w:t>(Kafi et al., 2014)</w:t>
      </w:r>
      <w:r w:rsidR="00BE18C2" w:rsidRPr="00F03204">
        <w:rPr>
          <w:rFonts w:ascii="Arial" w:hAnsi="Arial" w:cs="Arial"/>
          <w:sz w:val="22"/>
          <w:szCs w:val="22"/>
        </w:rPr>
        <w:fldChar w:fldCharType="end"/>
      </w:r>
      <w:r w:rsidRPr="00F03204">
        <w:rPr>
          <w:rFonts w:ascii="Arial" w:hAnsi="Arial" w:cs="Arial"/>
          <w:sz w:val="22"/>
          <w:szCs w:val="22"/>
        </w:rPr>
        <w:t>.</w:t>
      </w:r>
    </w:p>
    <w:p w14:paraId="6D5887A3" w14:textId="4D375002" w:rsidR="00956A0C" w:rsidRPr="00F03204" w:rsidRDefault="00956A0C" w:rsidP="00AB3D00">
      <w:pPr>
        <w:jc w:val="both"/>
        <w:rPr>
          <w:rFonts w:ascii="Arial" w:hAnsi="Arial" w:cs="Arial"/>
          <w:sz w:val="22"/>
          <w:szCs w:val="22"/>
        </w:rPr>
      </w:pPr>
      <w:r w:rsidRPr="00F03204">
        <w:rPr>
          <w:rFonts w:ascii="Arial" w:hAnsi="Arial" w:cs="Arial"/>
          <w:sz w:val="22"/>
          <w:szCs w:val="22"/>
        </w:rPr>
        <w:t xml:space="preserve">Remote sensing has emerged as a powerful tool for large-scale LULC monitoring due to its synoptic view, repetitive coverage, and ability to integrate spectral, temporal, and spatial dimensions. Among various satellite platforms, the </w:t>
      </w:r>
      <w:r w:rsidRPr="00F03204">
        <w:rPr>
          <w:rFonts w:ascii="Arial" w:hAnsi="Arial" w:cs="Arial"/>
          <w:b/>
          <w:bCs/>
          <w:sz w:val="22"/>
          <w:szCs w:val="22"/>
        </w:rPr>
        <w:t>Landsat series</w:t>
      </w:r>
      <w:r w:rsidRPr="00F03204">
        <w:rPr>
          <w:rFonts w:ascii="Arial" w:hAnsi="Arial" w:cs="Arial"/>
          <w:sz w:val="22"/>
          <w:szCs w:val="22"/>
        </w:rPr>
        <w:t xml:space="preserve"> (notably Landsat 8 OLI/TIRS) </w:t>
      </w:r>
      <w:r w:rsidR="00BE18C2" w:rsidRPr="00F03204">
        <w:rPr>
          <w:rFonts w:ascii="Arial" w:hAnsi="Arial" w:cs="Arial"/>
          <w:sz w:val="22"/>
          <w:szCs w:val="22"/>
        </w:rPr>
        <w:fldChar w:fldCharType="begin"/>
      </w:r>
      <w:r w:rsidR="00BE18C2" w:rsidRPr="00F03204">
        <w:rPr>
          <w:rFonts w:ascii="Arial" w:hAnsi="Arial" w:cs="Arial"/>
          <w:sz w:val="22"/>
          <w:szCs w:val="22"/>
        </w:rPr>
        <w:instrText xml:space="preserve"> ADDIN ZOTERO_ITEM CSL_CITATION {"citationID":"x6zV6z95","properties":{"formattedCitation":"(Attri et al., n.d.)","plainCitation":"(Attri et al., n.d.)","noteIndex":0},"citationItems":[{"id":221,"uris":["http://zotero.org/users/local/5NZeGExO/items/7YLIFGF7"],"itemData":{"id":221,"type":"article-journal","abstract":"Economic development and population growth have triggered rapid changes to Earth’s land cover over the last two centuries, and there is every indication that the pace of these changes will accelerate in future. Land use and land cover (LULC) change has become a central component in current strategies for managing natural resources and monitoring environmental changes. The Remote Sensing and Geographic Information System have proved to be very important in assessing and analyzing land use and land cover changes. Recent progress in remote sensing and associated digital image processing offers unprecedented opportunities to detect changes in land cover more accurately over increasingly large areas, with diminishing costs and processing time. The present reviews have assorted the detection approaches and drawn many useful conclusions. Based on the former classification methods, this article classifies change detection methods into three groups, based on pixel, feature and object level image processing.","language":"en","source":"Zotero","title":"Remote Sensing &amp; GIS based Approaches for LULC Change Detection – A Review","author":[{"family":"Attri","given":"Priti"},{"family":"Chaudhry","given":"Smita"},{"family":"Sharma","given":"Subrat"}]}}],"schema":"https://github.com/citation-style-language/schema/raw/master/csl-citation.json"} </w:instrText>
      </w:r>
      <w:r w:rsidR="00BE18C2" w:rsidRPr="00F03204">
        <w:rPr>
          <w:rFonts w:ascii="Arial" w:hAnsi="Arial" w:cs="Arial"/>
          <w:sz w:val="22"/>
          <w:szCs w:val="22"/>
        </w:rPr>
        <w:fldChar w:fldCharType="separate"/>
      </w:r>
      <w:r w:rsidR="00BE18C2" w:rsidRPr="00F03204">
        <w:rPr>
          <w:rFonts w:ascii="Arial" w:hAnsi="Arial" w:cs="Arial"/>
          <w:sz w:val="22"/>
          <w:szCs w:val="22"/>
        </w:rPr>
        <w:t>(Attri et al., n.d.)</w:t>
      </w:r>
      <w:r w:rsidR="00BE18C2" w:rsidRPr="00F03204">
        <w:rPr>
          <w:rFonts w:ascii="Arial" w:hAnsi="Arial" w:cs="Arial"/>
          <w:sz w:val="22"/>
          <w:szCs w:val="22"/>
        </w:rPr>
        <w:fldChar w:fldCharType="end"/>
      </w:r>
      <w:r w:rsidR="004705EA" w:rsidRPr="00F03204">
        <w:rPr>
          <w:rFonts w:ascii="Arial" w:hAnsi="Arial" w:cs="Arial"/>
          <w:sz w:val="22"/>
          <w:szCs w:val="22"/>
        </w:rPr>
        <w:t xml:space="preserve"> </w:t>
      </w:r>
      <w:r w:rsidRPr="00F03204">
        <w:rPr>
          <w:rFonts w:ascii="Arial" w:hAnsi="Arial" w:cs="Arial"/>
          <w:sz w:val="22"/>
          <w:szCs w:val="22"/>
        </w:rPr>
        <w:t xml:space="preserve">offers moderate-resolution multispectral data suitable for detailed land cover classification, while the </w:t>
      </w:r>
      <w:r w:rsidRPr="00F03204">
        <w:rPr>
          <w:rFonts w:ascii="Arial" w:hAnsi="Arial" w:cs="Arial"/>
          <w:b/>
          <w:bCs/>
          <w:sz w:val="22"/>
          <w:szCs w:val="22"/>
        </w:rPr>
        <w:t>MODIS sensor</w:t>
      </w:r>
      <w:r w:rsidRPr="00F03204">
        <w:rPr>
          <w:rFonts w:ascii="Arial" w:hAnsi="Arial" w:cs="Arial"/>
          <w:sz w:val="22"/>
          <w:szCs w:val="22"/>
        </w:rPr>
        <w:t xml:space="preserve"> aboard Terra and Aqua platforms provides high-temporal-resolution datasets ideal for long-term vegetation and thermal monitoring. The integration of these two sources allows for comprehensive spatiotemporal analyses, combining classification accuracy with temporal frequency</w:t>
      </w:r>
      <w:r w:rsidR="00BE18C2" w:rsidRPr="00F03204">
        <w:rPr>
          <w:rFonts w:ascii="Arial" w:hAnsi="Arial" w:cs="Arial"/>
          <w:sz w:val="22"/>
          <w:szCs w:val="22"/>
        </w:rPr>
        <w:fldChar w:fldCharType="begin"/>
      </w:r>
      <w:r w:rsidR="00BE18C2" w:rsidRPr="00F03204">
        <w:rPr>
          <w:rFonts w:ascii="Arial" w:hAnsi="Arial" w:cs="Arial"/>
          <w:sz w:val="22"/>
          <w:szCs w:val="22"/>
        </w:rPr>
        <w:instrText xml:space="preserve"> ADDIN ZOTERO_ITEM CSL_CITATION {"citationID":"z3z6eVYD","properties":{"formattedCitation":"(Xie et al., 2016)","plainCitation":"(Xie et al., 2016)","noteIndex":0},"citationItems":[{"id":249,"uris":["http://zotero.org/users/local/5NZeGExO/items/6552EAXS"],"itemData":{"id":249,"type":"article-journal","abstract":"The successful launch of the Landsat 8 satellite continues the Earth observation of the Landsat series, which has been taking place for nearly 40 years. With the increase in the band number and the improved spectral range compared with the previous Landsat imagery, it will be possible to expand the application of the new Landsat 8 imagery. The purpose of this study is to explore water extraction based on the new Landsat 8 Operational Land Imager (OLI) imagery. According to the speciﬁc inland water conditions (clear water, turbid water, and eutrophic water), a number of highly adaptable water indices are assessed for water extraction using Landsat OLI imagery. The results show that clear water is the easiest to extract among the diﬀerent types of waterbodies, with the highest average accuracy of 97%. The highest-accuracy methods are the automated water extraction index for shadow pixels (AWEIsh), the normalized diﬀerence water index using bands 4 and 7 (NDWI47), and the normalized diﬀerence water index using bands 3 and 7 (NDWI37), with accuracies of 98.55%, 95.50%, and 96.61%, corresponding to clear water, turbid water, and eutrophic water, respectively. Through the analysis of the diﬀerent methods for optimal band selection, the seventh band OLI7 (shortwave infrared 2, SWIR-2) of Landsat OLI shows the best performance in water identiﬁcation. When applying the water indices to water extraction, Otsu’s algorithm has been used to automatically select the water threshold. Using extensive experiments with Otsu’s algorithm and a manual method, it was found that Otsu’s algorithm can replace manual selection and has the ability to select an accurate threshold for water extraction.","container-title":"International Journal of Remote Sensing","DOI":"10.1080/01431161.2016.1168948","ISSN":"0143-1161, 1366-5901","issue":"8","journalAbbreviation":"International Journal of Remote Sensing","language":"en","page":"1826-1844","source":"DOI.org (Crossref)","title":"Evaluation of Landsat 8 OLI imagery for unsupervised inland water extraction","volume":"37","author":[{"family":"Xie","given":"Huan"},{"family":"Luo","given":"Xin"},{"family":"Xu","given":"Xiong"},{"family":"Pan","given":"Haiyan"},{"family":"Tong","given":"Xiaohua"}],"issued":{"date-parts":[["2016",4,17]]}}}],"schema":"https://github.com/citation-style-language/schema/raw/master/csl-citation.json"} </w:instrText>
      </w:r>
      <w:r w:rsidR="00BE18C2" w:rsidRPr="00F03204">
        <w:rPr>
          <w:rFonts w:ascii="Arial" w:hAnsi="Arial" w:cs="Arial"/>
          <w:sz w:val="22"/>
          <w:szCs w:val="22"/>
        </w:rPr>
        <w:fldChar w:fldCharType="separate"/>
      </w:r>
      <w:r w:rsidR="00BE18C2" w:rsidRPr="00F03204">
        <w:rPr>
          <w:rFonts w:ascii="Arial" w:hAnsi="Arial" w:cs="Arial"/>
          <w:sz w:val="22"/>
          <w:szCs w:val="22"/>
        </w:rPr>
        <w:t>(Xie et al., 2016)</w:t>
      </w:r>
      <w:r w:rsidR="00BE18C2" w:rsidRPr="00F03204">
        <w:rPr>
          <w:rFonts w:ascii="Arial" w:hAnsi="Arial" w:cs="Arial"/>
          <w:sz w:val="22"/>
          <w:szCs w:val="22"/>
        </w:rPr>
        <w:fldChar w:fldCharType="end"/>
      </w:r>
      <w:r w:rsidRPr="00F03204">
        <w:rPr>
          <w:rFonts w:ascii="Arial" w:hAnsi="Arial" w:cs="Arial"/>
          <w:sz w:val="22"/>
          <w:szCs w:val="22"/>
        </w:rPr>
        <w:t>.</w:t>
      </w:r>
    </w:p>
    <w:p w14:paraId="78587AE3" w14:textId="77777777" w:rsidR="00956A0C" w:rsidRPr="00F03204" w:rsidRDefault="00956A0C" w:rsidP="00AB3D00">
      <w:pPr>
        <w:jc w:val="both"/>
        <w:rPr>
          <w:rFonts w:ascii="Arial" w:hAnsi="Arial" w:cs="Arial"/>
          <w:sz w:val="22"/>
          <w:szCs w:val="22"/>
        </w:rPr>
      </w:pPr>
      <w:r w:rsidRPr="00F03204">
        <w:rPr>
          <w:rFonts w:ascii="Arial" w:hAnsi="Arial" w:cs="Arial"/>
          <w:sz w:val="22"/>
          <w:szCs w:val="22"/>
        </w:rPr>
        <w:t xml:space="preserve">The </w:t>
      </w:r>
      <w:r w:rsidRPr="00F03204">
        <w:rPr>
          <w:rFonts w:ascii="Arial" w:hAnsi="Arial" w:cs="Arial"/>
          <w:b/>
          <w:bCs/>
          <w:sz w:val="22"/>
          <w:szCs w:val="22"/>
        </w:rPr>
        <w:t>Kolkata Metropolitan Area (KMA)</w:t>
      </w:r>
      <w:r w:rsidRPr="00F03204">
        <w:rPr>
          <w:rFonts w:ascii="Arial" w:hAnsi="Arial" w:cs="Arial"/>
          <w:sz w:val="22"/>
          <w:szCs w:val="22"/>
        </w:rPr>
        <w:t>—one of India’s largest and most densely populated urban agglomerations—has undergone intense urban sprawl over recent decades. Encompassing approximately 1,886.67 square kilometers and housing over 14 million people, KMA represents a complex urban-rural interface where land use transformations are occurring rapidly</w:t>
      </w:r>
      <w:r w:rsidR="00110090" w:rsidRPr="00F03204">
        <w:rPr>
          <w:rFonts w:ascii="Arial" w:hAnsi="Arial" w:cs="Arial"/>
          <w:sz w:val="22"/>
          <w:szCs w:val="22"/>
        </w:rPr>
        <w:fldChar w:fldCharType="begin"/>
      </w:r>
      <w:r w:rsidR="00110090" w:rsidRPr="00F03204">
        <w:rPr>
          <w:rFonts w:ascii="Arial" w:hAnsi="Arial" w:cs="Arial"/>
          <w:sz w:val="22"/>
          <w:szCs w:val="22"/>
        </w:rPr>
        <w:instrText xml:space="preserve"> ADDIN ZOTERO_ITEM CSL_CITATION {"citationID":"0J7ilddP","properties":{"formattedCitation":"(Hengl et al., 2012)","plainCitation":"(Hengl et al., 2012)","noteIndex":0},"citationItems":[{"id":262,"uris":["http://zotero.org/users/local/5NZeGExO/items/UC4ZGAMX"],"itemData":{"id":262,"type":"article-journal","container-title":"Theoretical and Applied Climatology","DOI":"10.1007/s00704-011-0464-2","ISSN":"0177-798X, 1434-4483","issue":"1-2","journalAbbreviation":"Theor Appl Climatol","language":"en","page":"265-277","source":"DOI.org (Crossref)","title":"Spatio-temporal prediction of daily temperatures using time-series of MODIS LST images","volume":"107","author":[{"family":"Hengl","given":"Tomislav"},{"family":"Heuvelink","given":"Gerard B. M."},{"family":"Perčec Tadić","given":"Melita"},{"family":"Pebesma","given":"Edzer J."}],"issued":{"date-parts":[["2012",1]]}}}],"schema":"https://github.com/citation-style-language/schema/raw/master/csl-citation.json"} </w:instrText>
      </w:r>
      <w:r w:rsidR="00110090" w:rsidRPr="00F03204">
        <w:rPr>
          <w:rFonts w:ascii="Arial" w:hAnsi="Arial" w:cs="Arial"/>
          <w:sz w:val="22"/>
          <w:szCs w:val="22"/>
        </w:rPr>
        <w:fldChar w:fldCharType="separate"/>
      </w:r>
      <w:r w:rsidR="00110090" w:rsidRPr="00F03204">
        <w:rPr>
          <w:rFonts w:ascii="Arial" w:hAnsi="Arial" w:cs="Arial"/>
          <w:sz w:val="22"/>
          <w:szCs w:val="22"/>
        </w:rPr>
        <w:t>(Hengl et al., 2012)</w:t>
      </w:r>
      <w:r w:rsidR="00110090" w:rsidRPr="00F03204">
        <w:rPr>
          <w:rFonts w:ascii="Arial" w:hAnsi="Arial" w:cs="Arial"/>
          <w:sz w:val="22"/>
          <w:szCs w:val="22"/>
        </w:rPr>
        <w:fldChar w:fldCharType="end"/>
      </w:r>
      <w:r w:rsidRPr="00F03204">
        <w:rPr>
          <w:rFonts w:ascii="Arial" w:hAnsi="Arial" w:cs="Arial"/>
          <w:sz w:val="22"/>
          <w:szCs w:val="22"/>
        </w:rPr>
        <w:t>. These shifts include the conversion of agricultural and forest land to built-up areas, reclamation of wetlands, and changes in surface water distribution, all of which pose significant challenges for urban governance, infrastructure planning, and environmental management</w:t>
      </w:r>
      <w:r w:rsidR="00E13BCD" w:rsidRPr="00F03204">
        <w:rPr>
          <w:rFonts w:ascii="Arial" w:hAnsi="Arial" w:cs="Arial"/>
          <w:sz w:val="22"/>
          <w:szCs w:val="22"/>
        </w:rPr>
        <w:fldChar w:fldCharType="begin"/>
      </w:r>
      <w:r w:rsidR="00E13BCD" w:rsidRPr="00F03204">
        <w:rPr>
          <w:rFonts w:ascii="Arial" w:hAnsi="Arial" w:cs="Arial"/>
          <w:sz w:val="22"/>
          <w:szCs w:val="22"/>
        </w:rPr>
        <w:instrText xml:space="preserve"> ADDIN ZOTERO_ITEM CSL_CITATION {"citationID":"tSkDylXK","properties":{"formattedCitation":"(Das et al., 2022)","plainCitation":"(Das et al., 2022)","noteIndex":0},"citationItems":[{"id":265,"uris":["http://zotero.org/users/local/5NZeGExO/items/M5Q6L367"],"itemData":{"id":265,"type":"article-journal","abstract":"Urbanization has profound influence on the changes of land use and land cover, which on the other hand exert significant impact on ecosystem services and their values, especially in the urban agglomerations. Kolkata urban agglomeration of India has been selected to determine the causes in changes of ecosystem services under present and projected land use land cover scenario. Land use land cover maps of 1990, 2000, 2010 and 2020 were prepared by support vector machine method, using LANDSAT satellite imageries and projected up-to 2040 using CA–Markov model. Built-up land was increased by 65.39% during 1990–2020 and will further increase to 76.88% by 2040. Built-up lands are mainly encroaching crop lands and wetlands. During the period of fifty years (1990–2040), the ecosystem service value will decrease from $38,486.49 to $28,060.79, with annual rate of decrement of 0.54%. During the same period, the spatial extent of very low ecosystem service value will be increased from 16.60 to 58.88%; whereas, the area coverage of very high ecosystem service value will be decreased from 2.69 to 2.35%. Water supply contributed highest ecosystem service value followed by disturbance regulation and nutrient cycling; whereas, lacking in soil formation, pollination and biological control services contributed lowest. The study will help in decision making process for sustainable management of natural resources and also provide useful guideline for the quality improvement in urban ecosystems.","container-title":"Urban Ecosystems","DOI":"10.1007/s11252-022-01246-3","ISSN":"1083-8155, 1573-1642","issue":"5","journalAbbreviation":"Urban Ecosyst","language":"en","page":"1541-1559","source":"DOI.org (Crossref)","title":"Effect of urbanization on the dynamics of ecosystem services: An analysis for decision making in Kolkata urban agglomeration","title-short":"Effect of urbanization on the dynamics of ecosystem services","volume":"25","author":[{"family":"Das","given":"Subhasis"},{"family":"Kumar Shit","given":"Pravat"},{"family":"Bera","given":"Biswajit"},{"family":"Adhikary","given":"Partha Pratim"}],"issued":{"date-parts":[["2022",10]]}}}],"schema":"https://github.com/citation-style-language/schema/raw/master/csl-citation.json"} </w:instrText>
      </w:r>
      <w:r w:rsidR="00E13BCD" w:rsidRPr="00F03204">
        <w:rPr>
          <w:rFonts w:ascii="Arial" w:hAnsi="Arial" w:cs="Arial"/>
          <w:sz w:val="22"/>
          <w:szCs w:val="22"/>
        </w:rPr>
        <w:fldChar w:fldCharType="separate"/>
      </w:r>
      <w:r w:rsidR="00E13BCD" w:rsidRPr="00F03204">
        <w:rPr>
          <w:rFonts w:ascii="Arial" w:hAnsi="Arial" w:cs="Arial"/>
          <w:sz w:val="22"/>
          <w:szCs w:val="22"/>
        </w:rPr>
        <w:t>(Das et al., 2022)</w:t>
      </w:r>
      <w:r w:rsidR="00E13BCD" w:rsidRPr="00F03204">
        <w:rPr>
          <w:rFonts w:ascii="Arial" w:hAnsi="Arial" w:cs="Arial"/>
          <w:sz w:val="22"/>
          <w:szCs w:val="22"/>
        </w:rPr>
        <w:fldChar w:fldCharType="end"/>
      </w:r>
      <w:r w:rsidRPr="00F03204">
        <w:rPr>
          <w:rFonts w:ascii="Arial" w:hAnsi="Arial" w:cs="Arial"/>
          <w:sz w:val="22"/>
          <w:szCs w:val="22"/>
        </w:rPr>
        <w:t>.</w:t>
      </w:r>
    </w:p>
    <w:p w14:paraId="756F4E46" w14:textId="77777777" w:rsidR="00956A0C" w:rsidRPr="00F03204" w:rsidRDefault="00956A0C" w:rsidP="00AB3D00">
      <w:pPr>
        <w:jc w:val="both"/>
        <w:rPr>
          <w:rFonts w:ascii="Arial" w:hAnsi="Arial" w:cs="Arial"/>
          <w:sz w:val="22"/>
          <w:szCs w:val="22"/>
        </w:rPr>
      </w:pPr>
      <w:r w:rsidRPr="00F03204">
        <w:rPr>
          <w:rFonts w:ascii="Arial" w:hAnsi="Arial" w:cs="Arial"/>
          <w:sz w:val="22"/>
          <w:szCs w:val="22"/>
        </w:rPr>
        <w:t>Previous studies have explored LULC change in parts of KMA using various classification and analytical approaches. However, most of these efforts have either relied on single-source satellite data or lacked consistent temporal coverage</w:t>
      </w:r>
      <w:r w:rsidR="00E13BCD" w:rsidRPr="00F03204">
        <w:rPr>
          <w:rFonts w:ascii="Arial" w:hAnsi="Arial" w:cs="Arial"/>
          <w:sz w:val="22"/>
          <w:szCs w:val="22"/>
        </w:rPr>
        <w:fldChar w:fldCharType="begin"/>
      </w:r>
      <w:r w:rsidR="00E13BCD" w:rsidRPr="00F03204">
        <w:rPr>
          <w:rFonts w:ascii="Arial" w:hAnsi="Arial" w:cs="Arial"/>
          <w:sz w:val="22"/>
          <w:szCs w:val="22"/>
        </w:rPr>
        <w:instrText xml:space="preserve"> ADDIN ZOTERO_ITEM CSL_CITATION {"citationID":"Y1BySL5i","properties":{"formattedCitation":"(Astuti et al., 2019)","plainCitation":"(Astuti et al., 2019)","noteIndex":0},"citationItems":[{"id":232,"uris":["http://zotero.org/users/local/5NZeGExO/items/JLJ7KTXD"],"itemData":{"id":232,"type":"article-journal","abstract":"Upper-Brantas watershed in East Java, Indonesia, is a tropical watershed experiencing rapid landscape change, a phenomenon typical to developing countries. This study demonstrates the impact of Land Use Land Cover (LULC) changes on surface runoff in a tropical, urbanized, and data scarce watershed. The LULC changes were quantified between 1995 and 2015 and their impact on the hydrological processes was analyzed using the Soil and Water Assessment Tool (SWAT) model. During the study period, the watershed experienced an increase in settlement and dryland agriculture, and a decrease in the forest, rice field, and sugarcane plantation. The SWAT model results for the calibration (2003–2008) and validation (2009–2013) periods matched observed values [R2 &gt; 0.91 and NSE (Nash-Sutcliffe Efficiency) &gt;0.91]. In the long-term, the model predicted changes in runoff (+8%), water yield (+0.28%), groundwater (−1.8%), and evapotranspiration (−1.15%) due to changes in LULC. LULC changes showed a linear relationship with runoff generation, and the most significant factors affecting surface runoff were changes in the forest, agriculture, and settlements. Increasing urbanization, industrialization, and agricultural intensification will increase runoff which in turn will enhance the flow of nutrients and sediments into the water bodies.","container-title":"Water Resources Management","DOI":"10.1007/s11269-019-02320-w","ISSN":"0920-4741, 1573-1650","issue":"12","journalAbbreviation":"Water Resour Manage","language":"en","page":"4087-4103","source":"DOI.org (Crossref)","title":"Impact of Land Use Land Cover (LULC) Change on Surface Runoff in an Increasingly Urbanized Tropical Watershed","volume":"33","author":[{"family":"Astuti","given":"Ike Sari"},{"family":"Sahoo","given":"Kamalakanta"},{"family":"Milewski","given":"Adam"},{"family":"Mishra","given":"Deepak R."}],"issued":{"date-parts":[["2019",9]]}}}],"schema":"https://github.com/citation-style-language/schema/raw/master/csl-citation.json"} </w:instrText>
      </w:r>
      <w:r w:rsidR="00E13BCD" w:rsidRPr="00F03204">
        <w:rPr>
          <w:rFonts w:ascii="Arial" w:hAnsi="Arial" w:cs="Arial"/>
          <w:sz w:val="22"/>
          <w:szCs w:val="22"/>
        </w:rPr>
        <w:fldChar w:fldCharType="separate"/>
      </w:r>
      <w:r w:rsidR="00E13BCD" w:rsidRPr="00F03204">
        <w:rPr>
          <w:rFonts w:ascii="Arial" w:hAnsi="Arial" w:cs="Arial"/>
          <w:sz w:val="22"/>
          <w:szCs w:val="22"/>
        </w:rPr>
        <w:t>(Astuti et al., 2019)</w:t>
      </w:r>
      <w:r w:rsidR="00E13BCD" w:rsidRPr="00F03204">
        <w:rPr>
          <w:rFonts w:ascii="Arial" w:hAnsi="Arial" w:cs="Arial"/>
          <w:sz w:val="22"/>
          <w:szCs w:val="22"/>
        </w:rPr>
        <w:fldChar w:fldCharType="end"/>
      </w:r>
      <w:r w:rsidRPr="00F03204">
        <w:rPr>
          <w:rFonts w:ascii="Arial" w:hAnsi="Arial" w:cs="Arial"/>
          <w:sz w:val="22"/>
          <w:szCs w:val="22"/>
        </w:rPr>
        <w:t>. Furthermore, limited attention has been paid to integrating multi-sensor data (e.g., Landsat and MODIS) for a holistic understanding of land dynamics across different spatial and temporal scales</w:t>
      </w:r>
      <w:r w:rsidR="00E13BCD" w:rsidRPr="00F03204">
        <w:rPr>
          <w:rFonts w:ascii="Arial" w:hAnsi="Arial" w:cs="Arial"/>
          <w:sz w:val="22"/>
          <w:szCs w:val="22"/>
        </w:rPr>
        <w:fldChar w:fldCharType="begin"/>
      </w:r>
      <w:r w:rsidR="00110090" w:rsidRPr="00F03204">
        <w:rPr>
          <w:rFonts w:ascii="Arial" w:hAnsi="Arial" w:cs="Arial"/>
          <w:sz w:val="22"/>
          <w:szCs w:val="22"/>
        </w:rPr>
        <w:instrText xml:space="preserve"> ADDIN ZOTERO_ITEM CSL_CITATION {"citationID":"NWBZpChg","properties":{"formattedCitation":"(Wan, n.d.)","plainCitation":"(Wan, n.d.)","noteIndex":0},"citationItems":[{"id":225,"uris":["http://zotero.org/users/local/5NZeGExO/items/QIG6RHTW"],"itemData":{"id":225,"type":"article-journal","language":"en","source":"Zotero","title":"MODIS Land Surface Temperature Products","author":[{"family":"Wan","given":"Zhengming"}]}}],"schema":"https://github.com/citation-style-language/schema/raw/master/csl-citation.json"} </w:instrText>
      </w:r>
      <w:r w:rsidR="00E13BCD" w:rsidRPr="00F03204">
        <w:rPr>
          <w:rFonts w:ascii="Arial" w:hAnsi="Arial" w:cs="Arial"/>
          <w:sz w:val="22"/>
          <w:szCs w:val="22"/>
        </w:rPr>
        <w:fldChar w:fldCharType="separate"/>
      </w:r>
      <w:r w:rsidR="00110090" w:rsidRPr="00F03204">
        <w:rPr>
          <w:rFonts w:ascii="Arial" w:hAnsi="Arial" w:cs="Arial"/>
          <w:sz w:val="22"/>
          <w:szCs w:val="22"/>
        </w:rPr>
        <w:t>(Wan, n.d.)</w:t>
      </w:r>
      <w:r w:rsidR="00E13BCD" w:rsidRPr="00F03204">
        <w:rPr>
          <w:rFonts w:ascii="Arial" w:hAnsi="Arial" w:cs="Arial"/>
          <w:sz w:val="22"/>
          <w:szCs w:val="22"/>
        </w:rPr>
        <w:fldChar w:fldCharType="end"/>
      </w:r>
      <w:r w:rsidRPr="00F03204">
        <w:rPr>
          <w:rFonts w:ascii="Arial" w:hAnsi="Arial" w:cs="Arial"/>
          <w:sz w:val="22"/>
          <w:szCs w:val="22"/>
        </w:rPr>
        <w:t xml:space="preserve">. Addressing this gap, the present study aims to monitor LULC transformations in the KMA between </w:t>
      </w:r>
      <w:r w:rsidRPr="00F03204">
        <w:rPr>
          <w:rFonts w:ascii="Arial" w:hAnsi="Arial" w:cs="Arial"/>
          <w:b/>
          <w:bCs/>
          <w:sz w:val="22"/>
          <w:szCs w:val="22"/>
        </w:rPr>
        <w:t>2016 and 2022</w:t>
      </w:r>
      <w:r w:rsidRPr="00F03204">
        <w:rPr>
          <w:rFonts w:ascii="Arial" w:hAnsi="Arial" w:cs="Arial"/>
          <w:sz w:val="22"/>
          <w:szCs w:val="22"/>
        </w:rPr>
        <w:t xml:space="preserve"> by leveraging the complementary strengths of </w:t>
      </w:r>
      <w:r w:rsidRPr="00F03204">
        <w:rPr>
          <w:rFonts w:ascii="Arial" w:hAnsi="Arial" w:cs="Arial"/>
          <w:b/>
          <w:bCs/>
          <w:sz w:val="22"/>
          <w:szCs w:val="22"/>
        </w:rPr>
        <w:t>Landsat</w:t>
      </w:r>
      <w:r w:rsidR="00110090" w:rsidRPr="00F03204">
        <w:rPr>
          <w:rFonts w:ascii="Arial" w:hAnsi="Arial" w:cs="Arial"/>
          <w:b/>
          <w:bCs/>
          <w:sz w:val="22"/>
          <w:szCs w:val="22"/>
        </w:rPr>
        <w:fldChar w:fldCharType="begin"/>
      </w:r>
      <w:r w:rsidR="00110090" w:rsidRPr="00F03204">
        <w:rPr>
          <w:rFonts w:ascii="Arial" w:hAnsi="Arial" w:cs="Arial"/>
          <w:b/>
          <w:bCs/>
          <w:sz w:val="22"/>
          <w:szCs w:val="22"/>
        </w:rPr>
        <w:instrText xml:space="preserve"> ADDIN ZOTERO_ITEM CSL_CITATION {"citationID":"bIAyUHdC","properties":{"formattedCitation":"(Roy et al., 2016)","plainCitation":"(Roy et al., 2016)","noteIndex":0},"citationItems":[{"id":254,"uris":["http://zotero.org/users/local/5NZeGExO/items/TDQMR2XQ"],"itemData":{"id":254,"type":"article-journal","container-title":"Remote Sensing of Environment","DOI":"10.1016/j.rse.2015.12.024","ISSN":"00344257","journalAbbreviation":"Remote Sensing of Environment","language":"en","page":"57-70","source":"DOI.org (Crossref)","title":"Characterization of Landsat-7 to Landsat-8 reflective wavelength and normalized difference vegetation index continuity","volume":"185","author":[{"family":"Roy","given":"D.P."},{"family":"Kovalskyy","given":"V."},{"family":"Zhang","given":"H.K."},{"family":"Vermote","given":"E.F."},{"family":"Yan","given":"L."},{"family":"Kumar","given":"S.S."},{"family":"Egorov","given":"A."}],"issued":{"date-parts":[["2016",11]]}}}],"schema":"https://github.com/citation-style-language/schema/raw/master/csl-citation.json"} </w:instrText>
      </w:r>
      <w:r w:rsidR="00110090" w:rsidRPr="00F03204">
        <w:rPr>
          <w:rFonts w:ascii="Arial" w:hAnsi="Arial" w:cs="Arial"/>
          <w:b/>
          <w:bCs/>
          <w:sz w:val="22"/>
          <w:szCs w:val="22"/>
        </w:rPr>
        <w:fldChar w:fldCharType="separate"/>
      </w:r>
      <w:r w:rsidR="00110090" w:rsidRPr="00F03204">
        <w:rPr>
          <w:rFonts w:ascii="Arial" w:hAnsi="Arial" w:cs="Arial"/>
          <w:sz w:val="22"/>
          <w:szCs w:val="22"/>
        </w:rPr>
        <w:t>(Roy et al., 2016)</w:t>
      </w:r>
      <w:r w:rsidR="00110090" w:rsidRPr="00F03204">
        <w:rPr>
          <w:rFonts w:ascii="Arial" w:hAnsi="Arial" w:cs="Arial"/>
          <w:b/>
          <w:bCs/>
          <w:sz w:val="22"/>
          <w:szCs w:val="22"/>
        </w:rPr>
        <w:fldChar w:fldCharType="end"/>
      </w:r>
      <w:r w:rsidRPr="00F03204">
        <w:rPr>
          <w:rFonts w:ascii="Arial" w:hAnsi="Arial" w:cs="Arial"/>
          <w:sz w:val="22"/>
          <w:szCs w:val="22"/>
        </w:rPr>
        <w:t xml:space="preserve"> (for detailed classification) and </w:t>
      </w:r>
      <w:r w:rsidRPr="00F03204">
        <w:rPr>
          <w:rFonts w:ascii="Arial" w:hAnsi="Arial" w:cs="Arial"/>
          <w:b/>
          <w:bCs/>
          <w:sz w:val="22"/>
          <w:szCs w:val="22"/>
        </w:rPr>
        <w:t>MODIS</w:t>
      </w:r>
      <w:r w:rsidRPr="00F03204">
        <w:rPr>
          <w:rFonts w:ascii="Arial" w:hAnsi="Arial" w:cs="Arial"/>
          <w:sz w:val="22"/>
          <w:szCs w:val="22"/>
        </w:rPr>
        <w:t xml:space="preserve"> (for vegetation and thermal pattern analysis)</w:t>
      </w:r>
      <w:r w:rsidR="00110090" w:rsidRPr="00F03204">
        <w:rPr>
          <w:rFonts w:ascii="Arial" w:hAnsi="Arial" w:cs="Arial"/>
          <w:sz w:val="22"/>
          <w:szCs w:val="22"/>
        </w:rPr>
        <w:fldChar w:fldCharType="begin"/>
      </w:r>
      <w:r w:rsidR="00110090" w:rsidRPr="00F03204">
        <w:rPr>
          <w:rFonts w:ascii="Arial" w:hAnsi="Arial" w:cs="Arial"/>
          <w:sz w:val="22"/>
          <w:szCs w:val="22"/>
        </w:rPr>
        <w:instrText xml:space="preserve"> ADDIN ZOTERO_ITEM CSL_CITATION {"citationID":"lrdlzjPe","properties":{"formattedCitation":"(Zhao et al., 2019)","plainCitation":"(Zhao et al., 2019)","noteIndex":0},"citationItems":[{"id":248,"uris":["http://zotero.org/users/local/5NZeGExO/items/5UZ8VQ3K"],"itemData":{"id":248,"type":"article-journal","abstract":"Information about land surface temperature (LST) acquired from remote sensing satellite observations is very important to monitor surface energy and water exchange processes at the land-atmosphere interface. However, the wide-view of the popularly used polar-orbiting satellites (Terra and Aqua) face the challenge from the temporal effect on their LST products induced by the big temporal differences along the scan line. To generate a time-consistent LST product, a practical normalization method is proposed in this study based on random forest regression for LST observations from the Moderate Resolution Imaging Spectroradiometer (MODIS) sensor onboard Terra satellite. A linking model is constructed to express LST as a function of various surface variables including vegetation indices, leaf area index, surface albedo, water index, solar radiation factor, and surface elevation. Under the assumption that the temporal effect is induced primarily by the differences in incident solar radiation, the temporal effect normalization is conducted by deriving a temporally consistent solar radiation factor which is used to drive the linking model and obtain the normalized LST. The proposed method is applied to the central Iberian Peninsula on the day of year 170 and 181, 2015. Results show that the areas with positive complement in solar radiation factor generally exhibit a positive increase in LST. An obvious improvement can be observed in the spatial pattern of the normalized LST data with the disappearance of the temperature boundary due to the big difference of satellite observation time. The Meteosat Second Generation (MSG) LST data which have the observations at the same local solar time is used for quantitative validation. The evaluation shows that the normalized LST data is more coincident with the MSG LST data than the original MODIS LST data, with significant improvements in the root mean squared deviation and bias with the MSG LST data (1.23 K and 1.66 K, respectively). Unlike previous normalization methods, the proposed method is conducted based on only satellite observations without other ancillary data. Therefore, the method demonstrates good potential for normalizing the temporal effect of the wide-view polar-orbiting satellite observations.","container-title":"ISPRS Journal of Photogrammetry and Remote Sensing","DOI":"10.1016/j.isprsjprs.2019.04.008","ISSN":"09242716","journalAbbreviation":"ISPRS Journal of Photogrammetry and Remote Sensing","language":"en","page":"109-118","source":"DOI.org (Crossref)","title":"Normalization of the temporal effect on the MODIS land surface temperature product using random forest regression","volume":"152","author":[{"family":"Zhao","given":"Wei"},{"family":"Wu","given":"Hua"},{"family":"Yin","given":"Gaofei"},{"family":"Duan","given":"Si-Bo"}],"issued":{"date-parts":[["2019",6]]}}}],"schema":"https://github.com/citation-style-language/schema/raw/master/csl-citation.json"} </w:instrText>
      </w:r>
      <w:r w:rsidR="00110090" w:rsidRPr="00F03204">
        <w:rPr>
          <w:rFonts w:ascii="Arial" w:hAnsi="Arial" w:cs="Arial"/>
          <w:sz w:val="22"/>
          <w:szCs w:val="22"/>
        </w:rPr>
        <w:fldChar w:fldCharType="separate"/>
      </w:r>
      <w:r w:rsidR="00110090" w:rsidRPr="00F03204">
        <w:rPr>
          <w:rFonts w:ascii="Arial" w:hAnsi="Arial" w:cs="Arial"/>
          <w:sz w:val="22"/>
          <w:szCs w:val="22"/>
        </w:rPr>
        <w:t>(Zhao et al., 2019)</w:t>
      </w:r>
      <w:r w:rsidR="00110090" w:rsidRPr="00F03204">
        <w:rPr>
          <w:rFonts w:ascii="Arial" w:hAnsi="Arial" w:cs="Arial"/>
          <w:sz w:val="22"/>
          <w:szCs w:val="22"/>
        </w:rPr>
        <w:fldChar w:fldCharType="end"/>
      </w:r>
      <w:r w:rsidRPr="00F03204">
        <w:rPr>
          <w:rFonts w:ascii="Arial" w:hAnsi="Arial" w:cs="Arial"/>
          <w:sz w:val="22"/>
          <w:szCs w:val="22"/>
        </w:rPr>
        <w:t>.</w:t>
      </w:r>
    </w:p>
    <w:p w14:paraId="0FEC6C84" w14:textId="5CB40AAE" w:rsidR="007B6C32" w:rsidRPr="00F03204" w:rsidRDefault="00956A0C" w:rsidP="00AB3D00">
      <w:pPr>
        <w:jc w:val="both"/>
        <w:rPr>
          <w:rFonts w:ascii="Arial" w:hAnsi="Arial" w:cs="Arial"/>
          <w:sz w:val="22"/>
          <w:szCs w:val="22"/>
        </w:rPr>
      </w:pPr>
      <w:r w:rsidRPr="00F03204">
        <w:rPr>
          <w:rFonts w:ascii="Arial" w:hAnsi="Arial" w:cs="Arial"/>
          <w:sz w:val="22"/>
          <w:szCs w:val="22"/>
        </w:rPr>
        <w:t>By generating annual classified maps and assessing trends in vegetation index and land surface temperature, this research seeks to provide a data-driven understanding of how urban expansion and environmental pressures are reshaping the landscape of KMA</w:t>
      </w:r>
      <w:r w:rsidR="00540253" w:rsidRPr="00F03204">
        <w:rPr>
          <w:rFonts w:ascii="Arial" w:hAnsi="Arial" w:cs="Arial"/>
          <w:sz w:val="22"/>
          <w:szCs w:val="22"/>
        </w:rPr>
        <w:fldChar w:fldCharType="begin"/>
      </w:r>
      <w:r w:rsidR="00540253" w:rsidRPr="00F03204">
        <w:rPr>
          <w:rFonts w:ascii="Arial" w:hAnsi="Arial" w:cs="Arial"/>
          <w:sz w:val="22"/>
          <w:szCs w:val="22"/>
        </w:rPr>
        <w:instrText xml:space="preserve"> ADDIN ZOTERO_ITEM CSL_CITATION {"citationID":"TxtNV0Un","properties":{"formattedCitation":"(Bhattacharjee &amp; Ghosh, 2015)","plainCitation":"(Bhattacharjee &amp; Ghosh, 2015)","noteIndex":0},"citationItems":[{"id":231,"uris":["http://zotero.org/users/local/5NZeGExO/items/4WPSU4AQ"],"itemData":{"id":231,"type":"article-journal","abstract":"Spatio-temporal land-use/ land-cover (LULC) change modeling is important to forecast the future LULC distribution, which may facilitate natural resource management, urban planning, etc. The spatio-temporal change in LULC trend often exhibits non-linear behavior, due to various dynamic factors, such as, human intervention (e.g., urbanization), environmental factors, etc. Hence, proper forecasting of LULC distribution should involve the study and trend modeling of historical data. Existing literatures have reported that the meteorological attributes (e.g., NDVI, LST, MSI), are semantically related to the terrain. Being inﬂuenced by the terrestrial dynamics, the temporal changes of these attributes depend on the LULC properties. Hence, incorporating meteorological knowledge into the temporal prediction process may help in developing an accurate forecasting model. This work attempts to study the change in inter-annual LULC pattern and the distribution of different meteorological attributes of a region in Kolkata (a metropolitan city in India) during the years 2000-2010 and forecast the future spread of LULC using semantic kriging (SemK) approach. A new variant of time-series SemK is proposed, namely Rev-SemKts to capture the multivariate semantic associations between different attributes. From empirical analysis, it may be observed that the augmentation of semantic knowledge in spatio-temporal modeling of meteorological attributes facilitate more precise forecasting of LULC pattern.","container-title":"ISPRS Annals of the Photogrammetry, Remote Sensing and Spatial Information Sciences","DOI":"10.5194/isprsannals-II-4-W2-177-2015","ISSN":"2194-9050","journalAbbreviation":"ISPRS Ann. Photogramm. Remote Sens. Spatial Inf. Sci.","language":"en","license":"https://creativecommons.org/licenses/by/3.0/","page":"177-184","source":"DOI.org (Crossref)","title":"SPATIO-TEMPORAL CHANGE MODELING OF LULC: A SEMANTIC KRIGING APPROACH","title-short":"SPATIO-TEMPORAL CHANGE MODELING OF LULC","volume":"II-4/W2","author":[{"family":"Bhattacharjee","given":"S."},{"family":"Ghosh","given":"S. K."}],"issued":{"date-parts":[["2015",7,14]]}}}],"schema":"https://github.com/citation-style-language/schema/raw/master/csl-citation.json"} </w:instrText>
      </w:r>
      <w:r w:rsidR="00540253" w:rsidRPr="00F03204">
        <w:rPr>
          <w:rFonts w:ascii="Arial" w:hAnsi="Arial" w:cs="Arial"/>
          <w:sz w:val="22"/>
          <w:szCs w:val="22"/>
        </w:rPr>
        <w:fldChar w:fldCharType="separate"/>
      </w:r>
      <w:r w:rsidR="00540253" w:rsidRPr="00F03204">
        <w:rPr>
          <w:rFonts w:ascii="Arial" w:hAnsi="Arial" w:cs="Arial"/>
          <w:sz w:val="22"/>
          <w:szCs w:val="22"/>
        </w:rPr>
        <w:t>(Bhattacharjee &amp; Ghosh, 2015)</w:t>
      </w:r>
      <w:r w:rsidR="00540253" w:rsidRPr="00F03204">
        <w:rPr>
          <w:rFonts w:ascii="Arial" w:hAnsi="Arial" w:cs="Arial"/>
          <w:sz w:val="22"/>
          <w:szCs w:val="22"/>
        </w:rPr>
        <w:fldChar w:fldCharType="end"/>
      </w:r>
      <w:r w:rsidRPr="00F03204">
        <w:rPr>
          <w:rFonts w:ascii="Arial" w:hAnsi="Arial" w:cs="Arial"/>
          <w:sz w:val="22"/>
          <w:szCs w:val="22"/>
        </w:rPr>
        <w:t xml:space="preserve">. The outcomes are expected to support planners, environmentalists, and policymakers in making informed decisions for future development that </w:t>
      </w:r>
      <w:r w:rsidR="004705EA" w:rsidRPr="00F03204">
        <w:rPr>
          <w:rFonts w:ascii="Arial" w:hAnsi="Arial" w:cs="Arial"/>
          <w:sz w:val="22"/>
          <w:szCs w:val="22"/>
        </w:rPr>
        <w:t>harmonize</w:t>
      </w:r>
      <w:r w:rsidRPr="00F03204">
        <w:rPr>
          <w:rFonts w:ascii="Arial" w:hAnsi="Arial" w:cs="Arial"/>
          <w:sz w:val="22"/>
          <w:szCs w:val="22"/>
        </w:rPr>
        <w:t xml:space="preserve"> with ecological sustainability.</w:t>
      </w:r>
    </w:p>
    <w:p w14:paraId="0A9A3E44" w14:textId="6BFB70C5" w:rsidR="00956A0C" w:rsidRPr="00F03204" w:rsidRDefault="00956A0C" w:rsidP="00AB3D00">
      <w:pPr>
        <w:pStyle w:val="Heading1"/>
        <w:jc w:val="both"/>
        <w:rPr>
          <w:rFonts w:ascii="Arial" w:hAnsi="Arial" w:cs="Arial"/>
          <w:b/>
          <w:bCs/>
          <w:color w:val="auto"/>
          <w:sz w:val="22"/>
          <w:szCs w:val="22"/>
        </w:rPr>
      </w:pPr>
      <w:r w:rsidRPr="00F03204">
        <w:rPr>
          <w:rFonts w:ascii="Arial" w:hAnsi="Arial" w:cs="Arial"/>
          <w:b/>
          <w:bCs/>
          <w:color w:val="auto"/>
          <w:sz w:val="22"/>
          <w:szCs w:val="22"/>
        </w:rPr>
        <w:lastRenderedPageBreak/>
        <w:t>Problem Statements</w:t>
      </w:r>
      <w:r w:rsidR="004723AE" w:rsidRPr="00F03204">
        <w:rPr>
          <w:rFonts w:ascii="Arial" w:hAnsi="Arial" w:cs="Arial"/>
          <w:b/>
          <w:bCs/>
          <w:color w:val="auto"/>
          <w:sz w:val="22"/>
          <w:szCs w:val="22"/>
        </w:rPr>
        <w:t>:</w:t>
      </w:r>
    </w:p>
    <w:p w14:paraId="5A53702C" w14:textId="77777777" w:rsidR="00956A0C" w:rsidRPr="00F03204" w:rsidRDefault="00956A0C" w:rsidP="00AB3D00">
      <w:pPr>
        <w:numPr>
          <w:ilvl w:val="0"/>
          <w:numId w:val="3"/>
        </w:numPr>
        <w:jc w:val="both"/>
        <w:rPr>
          <w:rFonts w:ascii="Arial" w:hAnsi="Arial" w:cs="Arial"/>
          <w:sz w:val="22"/>
          <w:szCs w:val="22"/>
        </w:rPr>
      </w:pPr>
      <w:r w:rsidRPr="00F03204">
        <w:rPr>
          <w:rFonts w:ascii="Arial" w:hAnsi="Arial" w:cs="Arial"/>
          <w:sz w:val="22"/>
          <w:szCs w:val="22"/>
        </w:rPr>
        <w:t>KMA has experienced rapid urban expansion from 2016 to 2022, leading to significant LULC transformations such as the loss of vegetation, wetlands, and agricultural land.</w:t>
      </w:r>
    </w:p>
    <w:p w14:paraId="4E032E09" w14:textId="77777777" w:rsidR="00956A0C" w:rsidRPr="00F03204" w:rsidRDefault="00956A0C" w:rsidP="00AB3D00">
      <w:pPr>
        <w:numPr>
          <w:ilvl w:val="0"/>
          <w:numId w:val="3"/>
        </w:numPr>
        <w:jc w:val="both"/>
        <w:rPr>
          <w:rFonts w:ascii="Arial" w:hAnsi="Arial" w:cs="Arial"/>
          <w:sz w:val="22"/>
          <w:szCs w:val="22"/>
        </w:rPr>
      </w:pPr>
      <w:r w:rsidRPr="00F03204">
        <w:rPr>
          <w:rFonts w:ascii="Arial" w:hAnsi="Arial" w:cs="Arial"/>
          <w:sz w:val="22"/>
          <w:szCs w:val="22"/>
        </w:rPr>
        <w:t>Existing studies often rely on single-source satellite data, lacking the spatial-temporal synergy required to accurately capture both land cover changes and environmental trends.</w:t>
      </w:r>
    </w:p>
    <w:p w14:paraId="6B09F83E" w14:textId="77777777" w:rsidR="00956A0C" w:rsidRPr="00F03204" w:rsidRDefault="00956A0C" w:rsidP="00AB3D00">
      <w:pPr>
        <w:numPr>
          <w:ilvl w:val="0"/>
          <w:numId w:val="3"/>
        </w:numPr>
        <w:jc w:val="both"/>
        <w:rPr>
          <w:rFonts w:ascii="Arial" w:hAnsi="Arial" w:cs="Arial"/>
          <w:sz w:val="22"/>
          <w:szCs w:val="22"/>
        </w:rPr>
      </w:pPr>
      <w:r w:rsidRPr="00F03204">
        <w:rPr>
          <w:rFonts w:ascii="Arial" w:hAnsi="Arial" w:cs="Arial"/>
          <w:sz w:val="22"/>
          <w:szCs w:val="22"/>
        </w:rPr>
        <w:t>There is limited integration of vegetation (NDVI) and thermal (LST) metrics with classified LULC data, hindering holistic assessments of urban ecological impacts.</w:t>
      </w:r>
    </w:p>
    <w:p w14:paraId="19BFD671" w14:textId="0C85691E" w:rsidR="00852721" w:rsidRPr="00F03204" w:rsidRDefault="00956A0C" w:rsidP="00AB3D00">
      <w:pPr>
        <w:numPr>
          <w:ilvl w:val="0"/>
          <w:numId w:val="3"/>
        </w:numPr>
        <w:jc w:val="both"/>
        <w:rPr>
          <w:rFonts w:ascii="Arial" w:hAnsi="Arial" w:cs="Arial"/>
          <w:sz w:val="22"/>
          <w:szCs w:val="22"/>
        </w:rPr>
      </w:pPr>
      <w:r w:rsidRPr="00F03204">
        <w:rPr>
          <w:rFonts w:ascii="Arial" w:hAnsi="Arial" w:cs="Arial"/>
          <w:sz w:val="22"/>
          <w:szCs w:val="22"/>
        </w:rPr>
        <w:t>The absence of consistent, multi-temporal geospatial monitoring impairs data-driven urban planning and environmental management in the Kolkata Metropolitan Area.</w:t>
      </w:r>
    </w:p>
    <w:p w14:paraId="2D29CDC6" w14:textId="48E39C98" w:rsidR="000752C4" w:rsidRPr="00F03204" w:rsidRDefault="000752C4"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Objectives</w:t>
      </w:r>
      <w:r w:rsidR="004723AE" w:rsidRPr="00F03204">
        <w:rPr>
          <w:rFonts w:ascii="Arial" w:hAnsi="Arial" w:cs="Arial"/>
          <w:b/>
          <w:bCs/>
          <w:color w:val="auto"/>
          <w:sz w:val="22"/>
          <w:szCs w:val="22"/>
        </w:rPr>
        <w:t>:</w:t>
      </w:r>
    </w:p>
    <w:p w14:paraId="37C7F22E" w14:textId="193DCC30" w:rsidR="000752C4" w:rsidRPr="00F03204" w:rsidRDefault="004705EA" w:rsidP="004705EA">
      <w:pPr>
        <w:pStyle w:val="ListParagraph"/>
        <w:numPr>
          <w:ilvl w:val="0"/>
          <w:numId w:val="23"/>
        </w:numPr>
        <w:jc w:val="both"/>
        <w:rPr>
          <w:rFonts w:ascii="Arial" w:hAnsi="Arial" w:cs="Arial"/>
          <w:sz w:val="22"/>
          <w:szCs w:val="22"/>
        </w:rPr>
      </w:pPr>
      <w:r w:rsidRPr="00F03204">
        <w:rPr>
          <w:rFonts w:ascii="Arial" w:hAnsi="Arial" w:cs="Arial"/>
          <w:sz w:val="22"/>
          <w:szCs w:val="22"/>
        </w:rPr>
        <w:t>To make</w:t>
      </w:r>
      <w:r w:rsidR="00AB2E60" w:rsidRPr="00F03204">
        <w:rPr>
          <w:rFonts w:ascii="Arial" w:hAnsi="Arial" w:cs="Arial"/>
          <w:sz w:val="22"/>
          <w:szCs w:val="22"/>
        </w:rPr>
        <w:t xml:space="preserve"> </w:t>
      </w:r>
      <w:proofErr w:type="gramStart"/>
      <w:r w:rsidR="00AB2E60" w:rsidRPr="00F03204">
        <w:rPr>
          <w:rFonts w:ascii="Arial" w:hAnsi="Arial" w:cs="Arial"/>
          <w:sz w:val="22"/>
          <w:szCs w:val="22"/>
        </w:rPr>
        <w:t xml:space="preserve">a </w:t>
      </w:r>
      <w:r w:rsidR="000752C4" w:rsidRPr="00F03204">
        <w:rPr>
          <w:rFonts w:ascii="Arial" w:hAnsi="Arial" w:cs="Arial"/>
          <w:sz w:val="22"/>
          <w:szCs w:val="22"/>
        </w:rPr>
        <w:t xml:space="preserve"> Land</w:t>
      </w:r>
      <w:proofErr w:type="gramEnd"/>
      <w:r w:rsidR="000752C4" w:rsidRPr="00F03204">
        <w:rPr>
          <w:rFonts w:ascii="Arial" w:hAnsi="Arial" w:cs="Arial"/>
          <w:sz w:val="22"/>
          <w:szCs w:val="22"/>
        </w:rPr>
        <w:t xml:space="preserve"> Use Land Cover (LULC) </w:t>
      </w:r>
      <w:r w:rsidR="00AB2E60" w:rsidRPr="00F03204">
        <w:rPr>
          <w:rFonts w:ascii="Arial" w:hAnsi="Arial" w:cs="Arial"/>
          <w:sz w:val="22"/>
          <w:szCs w:val="22"/>
        </w:rPr>
        <w:t xml:space="preserve">map to find out the </w:t>
      </w:r>
      <w:r w:rsidR="000752C4" w:rsidRPr="00F03204">
        <w:rPr>
          <w:rFonts w:ascii="Arial" w:hAnsi="Arial" w:cs="Arial"/>
          <w:sz w:val="22"/>
          <w:szCs w:val="22"/>
        </w:rPr>
        <w:t>changes in the Kolkata Metropolitan Area (KMA) from 2016 to 2022 using Landsat 8 imagery.</w:t>
      </w:r>
    </w:p>
    <w:p w14:paraId="0CA2B2F8" w14:textId="77777777" w:rsidR="000752C4" w:rsidRPr="00F03204" w:rsidRDefault="000752C4" w:rsidP="00AB3D00">
      <w:pPr>
        <w:numPr>
          <w:ilvl w:val="0"/>
          <w:numId w:val="4"/>
        </w:numPr>
        <w:jc w:val="both"/>
        <w:rPr>
          <w:rFonts w:ascii="Arial" w:hAnsi="Arial" w:cs="Arial"/>
          <w:sz w:val="22"/>
          <w:szCs w:val="22"/>
        </w:rPr>
      </w:pPr>
      <w:r w:rsidRPr="00F03204">
        <w:rPr>
          <w:rFonts w:ascii="Arial" w:hAnsi="Arial" w:cs="Arial"/>
          <w:sz w:val="22"/>
          <w:szCs w:val="22"/>
        </w:rPr>
        <w:t>To analyze spatiotemporal trends in vegetation health (NDVI) and surface temperature (LST) using MODIS data in relation to LULC dynamics.</w:t>
      </w:r>
    </w:p>
    <w:p w14:paraId="39E3195A" w14:textId="75FB9000" w:rsidR="009217F9" w:rsidRPr="00F03204" w:rsidRDefault="000752C4" w:rsidP="00AB3D00">
      <w:pPr>
        <w:numPr>
          <w:ilvl w:val="0"/>
          <w:numId w:val="4"/>
        </w:numPr>
        <w:jc w:val="both"/>
        <w:rPr>
          <w:rFonts w:ascii="Arial" w:hAnsi="Arial" w:cs="Arial"/>
          <w:sz w:val="22"/>
          <w:szCs w:val="22"/>
        </w:rPr>
      </w:pPr>
      <w:r w:rsidRPr="00F03204">
        <w:rPr>
          <w:rFonts w:ascii="Arial" w:hAnsi="Arial" w:cs="Arial"/>
          <w:sz w:val="22"/>
          <w:szCs w:val="22"/>
        </w:rPr>
        <w:t>To quantify and interpret land cover transitions to support sustainable urban planning and environmental management in KMA.</w:t>
      </w:r>
    </w:p>
    <w:p w14:paraId="3015DFB0" w14:textId="72A40E57" w:rsidR="003B0D75" w:rsidRPr="00F03204" w:rsidRDefault="003B0D75"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Study Area</w:t>
      </w:r>
      <w:r w:rsidR="004723AE" w:rsidRPr="00F03204">
        <w:rPr>
          <w:rFonts w:ascii="Arial" w:hAnsi="Arial" w:cs="Arial"/>
          <w:b/>
          <w:bCs/>
          <w:color w:val="auto"/>
          <w:sz w:val="22"/>
          <w:szCs w:val="22"/>
        </w:rPr>
        <w:t>:</w:t>
      </w:r>
    </w:p>
    <w:p w14:paraId="5233233A" w14:textId="48C02F5C" w:rsidR="003B0D75" w:rsidRPr="00F03204" w:rsidRDefault="003B0D75" w:rsidP="00AB3D00">
      <w:pPr>
        <w:jc w:val="both"/>
        <w:rPr>
          <w:rFonts w:ascii="Arial" w:hAnsi="Arial" w:cs="Arial"/>
          <w:sz w:val="22"/>
          <w:szCs w:val="22"/>
        </w:rPr>
      </w:pPr>
      <w:r w:rsidRPr="00F03204">
        <w:rPr>
          <w:rFonts w:ascii="Arial" w:hAnsi="Arial" w:cs="Arial"/>
          <w:sz w:val="22"/>
          <w:szCs w:val="22"/>
        </w:rPr>
        <w:t>The Kolkata Metropolitan Area (KMA) is situated in the eastern part of India, within the state of West Bengal, and geographically extends between approximately 22°19′N to 23°00′N latitude and 88°04′E to 88°33′E longitude. Encompassing an area of about 1,886.67 square kilometers, KMA includes a diverse administrative structure comprising three municipal corporations, 39 municipalities, and 24 panchayat samitis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{"citationID":"7P00fpWU","properties":{"formattedCitation":"(Bhattacharjee &amp; Ghosh, 2015)","plainCitation":"(Bhattacharjee &amp; Ghosh, 2015)","noteIndex":0},"citationItems":[{"id":231,"uris":["http://zotero.org/users/local/5NZeGExO/items/4WPSU4AQ"],"itemData":{"id":231,"type":"article-journal","abstract":"Spatio-temporal land-use/ land-cover (LULC) change modeling is important to forecast the future LULC distribution, which may facilitate natural resource management, urban planning, etc. The spatio-temporal change in LULC trend often exhibits non-linear behavior, due to various dynamic factors, such as, human intervention (e.g., urbanization), environmental factors, etc. Hence, proper forecasting of LULC distribution should involve the study and trend modeling of historical data. Existing literatures have reported that the meteorological attributes (e.g., NDVI, LST, MSI), are semantically related to the terrain. Being inﬂuenced by the terrestrial dynamics, the temporal changes of these attributes depend on the LULC properties. Hence, incorporating meteorological knowledge into the temporal prediction process may help in developing an accurate forecasting model. This work attempts to study the change in inter-annual LULC pattern and the distribution of different meteorological attributes of a region in Kolkata (a metropolitan city in India) during the years 2000-2010 and forecast the future spread of LULC using semantic kriging (SemK) approach. A new variant of time-series SemK is proposed, namely Rev-SemKts to capture the multivariate semantic associations between different attributes. From empirical analysis, it may be observed that the augmentation of semantic knowledge in spatio-temporal modeling of meteorological attributes facilitate more precise forecasting of LULC pattern.","container-title":"ISPRS Annals of the Photogrammetry, Remote Sensing and Spatial Information Sciences","DOI":"10.5194/isprsannals-II-4-W2-177-2015","ISSN":"2194-9050","journalAbbreviation":"ISPRS Ann. Photogramm. Remote Sens. Spatial Inf. Sci.","language":"en","license":"https://creativecommons.org/licenses/by/3.0/","page":"177-184","source":"DOI.org (Crossref)","title":"SPATIO-TEMPORAL CHANGE MODELING OF LULC: A SEMANTIC KRIGING APPROACH","title-short":"SPATIO-TEMPORAL CHANGE MODELING OF LULC","volume":"II-4/W2","author":[{"family":"Bhattacharjee","given":"S."},{"family":"Ghosh","given":"S. K."}],"issued":{"date-parts":[["2015",7,14]]}}}],"schema":"https://github.com/citation-style-language/schema/raw/master/csl-citation.json"}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(Bhattacharjee &amp; Ghosh, 2015)</w:t>
      </w:r>
      <w:r w:rsidR="00AE6E9C" w:rsidRPr="00F03204">
        <w:rPr>
          <w:rFonts w:ascii="Arial" w:hAnsi="Arial" w:cs="Arial"/>
          <w:sz w:val="22"/>
          <w:szCs w:val="22"/>
        </w:rPr>
        <w:fldChar w:fldCharType="end"/>
      </w:r>
      <w:r w:rsidRPr="00F03204">
        <w:rPr>
          <w:rFonts w:ascii="Arial" w:hAnsi="Arial" w:cs="Arial"/>
          <w:sz w:val="22"/>
          <w:szCs w:val="22"/>
        </w:rPr>
        <w:t>. It represents a complex urban-peri-urban-rural continuum that serves as a dynamic landscape for evaluating urban transformation and land use transitions.</w:t>
      </w:r>
    </w:p>
    <w:p w14:paraId="0EDB3C11" w14:textId="77777777" w:rsidR="003B0D75" w:rsidRPr="00F03204" w:rsidRDefault="003B0D75" w:rsidP="00AB3D00">
      <w:pPr>
        <w:jc w:val="both"/>
        <w:rPr>
          <w:rFonts w:ascii="Arial" w:hAnsi="Arial" w:cs="Arial"/>
          <w:sz w:val="22"/>
          <w:szCs w:val="22"/>
        </w:rPr>
      </w:pPr>
      <w:r w:rsidRPr="00F03204">
        <w:rPr>
          <w:rFonts w:ascii="Arial" w:hAnsi="Arial" w:cs="Arial"/>
          <w:sz w:val="22"/>
          <w:szCs w:val="22"/>
        </w:rPr>
        <w:t>KMA is characterized by a tropical wet-and-dry climate with hot summers, a pronounced monsoon season, and mild winters. The region includes varied landforms such as riverine floodplains, marshlands, agricultural fields, built-up urban zones, and ecologically sensitive wetlands—most notably those adjacent to the Hooghly River. This heterogeneous landscape is rapidly changing under the influence of demographic pressure and economic development.</w:t>
      </w:r>
    </w:p>
    <w:p w14:paraId="0B9C2368" w14:textId="69DFA884" w:rsidR="003B0D75" w:rsidRPr="00F03204" w:rsidRDefault="003B0D75" w:rsidP="00AB3D00">
      <w:pPr>
        <w:jc w:val="both"/>
        <w:rPr>
          <w:rFonts w:ascii="Arial" w:hAnsi="Arial" w:cs="Arial"/>
          <w:sz w:val="22"/>
          <w:szCs w:val="22"/>
        </w:rPr>
      </w:pPr>
      <w:r w:rsidRPr="00F03204">
        <w:rPr>
          <w:rFonts w:ascii="Arial" w:hAnsi="Arial" w:cs="Arial"/>
          <w:sz w:val="22"/>
          <w:szCs w:val="22"/>
        </w:rPr>
        <w:t>As one of India’s largest and most densely populated metropolitan agglomerations, KMA houses over 14 million people, exerting immense pressure on its natural land resources. In recent years, the region has experienced significant urban expansion, infrastructure development, and conversion of vegetation and water bodies into impervious built-up surfaces. The ongoing transformation of land cover in KMA presents urgent challenges for sustainable urban governance, making it a critical area for geospatial monitoring and analysis of Land Use Land Cover (LULC) dynamics.</w:t>
      </w:r>
    </w:p>
    <w:p w14:paraId="00070E59" w14:textId="31FF1306" w:rsidR="00851E04" w:rsidRPr="00F03204" w:rsidRDefault="004A5CF5" w:rsidP="00AB3D00">
      <w:pPr>
        <w:jc w:val="both"/>
        <w:rPr>
          <w:rFonts w:ascii="Arial" w:hAnsi="Arial" w:cs="Arial"/>
          <w:sz w:val="22"/>
          <w:szCs w:val="22"/>
        </w:rPr>
      </w:pPr>
      <w:r w:rsidRPr="00F03204">
        <w:rPr>
          <w:rFonts w:ascii="Arial" w:hAnsi="Arial" w:cs="Arial"/>
          <w:noProof/>
          <w:sz w:val="22"/>
          <w:szCs w:val="22"/>
        </w:rPr>
        <w:lastRenderedPageBreak/>
        <w:drawing>
          <wp:anchor distT="0" distB="0" distL="114300" distR="114300" simplePos="0" relativeHeight="251667456" behindDoc="0" locked="0" layoutInCell="1" allowOverlap="1" wp14:anchorId="44B07B5E" wp14:editId="4BC01EF0">
            <wp:simplePos x="0" y="0"/>
            <wp:positionH relativeFrom="margin">
              <wp:align>right</wp:align>
            </wp:positionH>
            <wp:positionV relativeFrom="margin">
              <wp:posOffset>84522</wp:posOffset>
            </wp:positionV>
            <wp:extent cx="2410460" cy="3298190"/>
            <wp:effectExtent l="76200" t="76200" r="142240" b="130810"/>
            <wp:wrapSquare wrapText="bothSides"/>
            <wp:docPr id="993588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88985" name="Picture 9935889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0460" cy="3298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3401F" w:rsidRPr="00F03204">
        <w:rPr>
          <w:rFonts w:ascii="Arial" w:hAnsi="Arial" w:cs="Arial"/>
          <w:noProof/>
          <w:sz w:val="22"/>
          <w:szCs w:val="22"/>
        </w:rPr>
        <w:drawing>
          <wp:inline distT="0" distB="0" distL="0" distR="0" wp14:anchorId="4953064D" wp14:editId="7D694D1C">
            <wp:extent cx="2305050" cy="3260225"/>
            <wp:effectExtent l="76200" t="76200" r="133350" b="130810"/>
            <wp:docPr id="95297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7521" name="Picture 952975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476" cy="3272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BE1D56" w14:textId="2189933D" w:rsidR="00851E04" w:rsidRPr="00F03204" w:rsidRDefault="007C414D" w:rsidP="00AB3D00">
      <w:pPr>
        <w:jc w:val="both"/>
        <w:rPr>
          <w:rFonts w:ascii="Arial" w:hAnsi="Arial" w:cs="Arial"/>
          <w:sz w:val="22"/>
          <w:szCs w:val="22"/>
        </w:rPr>
      </w:pPr>
      <w:r w:rsidRPr="00F03204">
        <w:rPr>
          <w:rFonts w:ascii="Arial" w:hAnsi="Arial" w:cs="Arial"/>
          <w:noProof/>
          <w:sz w:val="22"/>
          <w:szCs w:val="22"/>
        </w:rPr>
        <w:drawing>
          <wp:anchor distT="0" distB="0" distL="114300" distR="114300" simplePos="0" relativeHeight="251669504" behindDoc="0" locked="0" layoutInCell="1" allowOverlap="1" wp14:anchorId="31EF5270" wp14:editId="6FE0737A">
            <wp:simplePos x="0" y="0"/>
            <wp:positionH relativeFrom="margin">
              <wp:posOffset>1576137</wp:posOffset>
            </wp:positionH>
            <wp:positionV relativeFrom="margin">
              <wp:posOffset>3690319</wp:posOffset>
            </wp:positionV>
            <wp:extent cx="2275840" cy="3075305"/>
            <wp:effectExtent l="95250" t="95250" r="86360" b="86995"/>
            <wp:wrapSquare wrapText="bothSides"/>
            <wp:docPr id="2113769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9823" name="Picture 21137698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5840" cy="30753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D783E23" w14:textId="5FE9143D" w:rsidR="00851E04" w:rsidRPr="00F03204" w:rsidRDefault="00851E04" w:rsidP="00AB3D00">
      <w:pPr>
        <w:jc w:val="both"/>
        <w:rPr>
          <w:rFonts w:ascii="Arial" w:hAnsi="Arial" w:cs="Arial"/>
          <w:sz w:val="22"/>
          <w:szCs w:val="22"/>
        </w:rPr>
      </w:pPr>
    </w:p>
    <w:p w14:paraId="08F4C0A6" w14:textId="3AAA96A5" w:rsidR="00851E04" w:rsidRPr="00F03204" w:rsidRDefault="00851E04" w:rsidP="00AB3D00">
      <w:pPr>
        <w:jc w:val="both"/>
        <w:rPr>
          <w:rFonts w:ascii="Arial" w:hAnsi="Arial" w:cs="Arial"/>
          <w:sz w:val="22"/>
          <w:szCs w:val="22"/>
        </w:rPr>
      </w:pPr>
    </w:p>
    <w:p w14:paraId="308F6491" w14:textId="0EC0539C" w:rsidR="00851E04" w:rsidRPr="00F03204" w:rsidRDefault="00851E04" w:rsidP="00AB3D00">
      <w:pPr>
        <w:jc w:val="both"/>
        <w:rPr>
          <w:rFonts w:ascii="Arial" w:hAnsi="Arial" w:cs="Arial"/>
          <w:sz w:val="22"/>
          <w:szCs w:val="22"/>
        </w:rPr>
      </w:pPr>
    </w:p>
    <w:p w14:paraId="214DBF3C" w14:textId="448851B2" w:rsidR="00A10037" w:rsidRPr="00F03204" w:rsidRDefault="00A10037" w:rsidP="00AB3D00">
      <w:pPr>
        <w:jc w:val="both"/>
        <w:rPr>
          <w:rFonts w:ascii="Arial" w:hAnsi="Arial" w:cs="Arial"/>
          <w:sz w:val="22"/>
          <w:szCs w:val="22"/>
        </w:rPr>
      </w:pPr>
    </w:p>
    <w:p w14:paraId="2A10BD8D" w14:textId="77777777" w:rsidR="00A10037" w:rsidRPr="00F03204" w:rsidRDefault="00A10037" w:rsidP="00AB3D00">
      <w:pPr>
        <w:jc w:val="both"/>
        <w:rPr>
          <w:rFonts w:ascii="Arial" w:hAnsi="Arial" w:cs="Arial"/>
          <w:sz w:val="22"/>
          <w:szCs w:val="22"/>
        </w:rPr>
      </w:pPr>
    </w:p>
    <w:p w14:paraId="652C0471" w14:textId="77777777" w:rsidR="00A10037" w:rsidRPr="00F03204" w:rsidRDefault="00A10037" w:rsidP="00AB3D00">
      <w:pPr>
        <w:jc w:val="both"/>
        <w:rPr>
          <w:rFonts w:ascii="Arial" w:hAnsi="Arial" w:cs="Arial"/>
          <w:sz w:val="22"/>
          <w:szCs w:val="22"/>
        </w:rPr>
      </w:pPr>
    </w:p>
    <w:p w14:paraId="01E50817" w14:textId="7928A08E" w:rsidR="00B075A1" w:rsidRPr="00F03204" w:rsidRDefault="004D1490" w:rsidP="00927D86">
      <w:pPr>
        <w:jc w:val="both"/>
        <w:rPr>
          <w:rFonts w:ascii="Arial" w:hAnsi="Arial" w:cs="Arial"/>
          <w:sz w:val="22"/>
          <w:szCs w:val="22"/>
        </w:rPr>
      </w:pPr>
      <w:r w:rsidRPr="00F03204">
        <w:rPr>
          <w:rFonts w:ascii="Arial" w:hAnsi="Arial" w:cs="Arial"/>
          <w:noProof/>
          <w:sz w:val="22"/>
          <w:szCs w:val="22"/>
        </w:rPr>
        <mc:AlternateContent>
          <mc:Choice Requires="wps">
            <w:drawing>
              <wp:anchor distT="0" distB="0" distL="114300" distR="114300" simplePos="0" relativeHeight="251664384" behindDoc="0" locked="0" layoutInCell="1" allowOverlap="1" wp14:anchorId="79EE7119" wp14:editId="42C0CADB">
                <wp:simplePos x="0" y="0"/>
                <wp:positionH relativeFrom="column">
                  <wp:posOffset>1896533</wp:posOffset>
                </wp:positionH>
                <wp:positionV relativeFrom="paragraph">
                  <wp:posOffset>8229600</wp:posOffset>
                </wp:positionV>
                <wp:extent cx="1498600" cy="465667"/>
                <wp:effectExtent l="0" t="0" r="6350" b="0"/>
                <wp:wrapNone/>
                <wp:docPr id="383672907" name="Rectangle 6"/>
                <wp:cNvGraphicFramePr/>
                <a:graphic xmlns:a="http://schemas.openxmlformats.org/drawingml/2006/main">
                  <a:graphicData uri="http://schemas.microsoft.com/office/word/2010/wordprocessingShape">
                    <wps:wsp>
                      <wps:cNvSpPr/>
                      <wps:spPr>
                        <a:xfrm>
                          <a:off x="0" y="0"/>
                          <a:ext cx="1498600" cy="4656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2B019CC" w14:textId="5D424D63" w:rsidR="004D1490" w:rsidRPr="004D1490" w:rsidRDefault="00480AC0" w:rsidP="004D1490">
                            <w:pPr>
                              <w:jc w:val="center"/>
                              <w:rPr>
                                <w:rFonts w:ascii="Times New Roman" w:hAnsi="Times New Roman" w:cs="Times New Roman"/>
                              </w:rPr>
                            </w:pPr>
                            <w:r>
                              <w:rPr>
                                <w:rFonts w:ascii="Times New Roman" w:hAnsi="Times New Roman" w:cs="Times New Roman"/>
                              </w:rPr>
                              <w:t>Map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E7119" id="Rectangle 6" o:spid="_x0000_s1026" style="position:absolute;left:0;text-align:left;margin-left:149.35pt;margin-top:9in;width:118pt;height:36.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" fillcolor="white [3201]" stroked="f" strokeweight="1pt">
                <v:textbox>
                  <w:txbxContent>
                    <w:p w14:paraId="52B019CC" w14:textId="5D424D63" w:rsidR="004D1490" w:rsidRPr="004D1490" w:rsidRDefault="00480AC0" w:rsidP="004D1490">
                      <w:pPr>
                        <w:jc w:val="center"/>
                        <w:rPr>
                          <w:rFonts w:ascii="Times New Roman" w:hAnsi="Times New Roman" w:cs="Times New Roman"/>
                        </w:rPr>
                      </w:pPr>
                      <w:r>
                        <w:rPr>
                          <w:rFonts w:ascii="Times New Roman" w:hAnsi="Times New Roman" w:cs="Times New Roman"/>
                        </w:rPr>
                        <w:t>Map 1</w:t>
                      </w:r>
                    </w:p>
                  </w:txbxContent>
                </v:textbox>
              </v:rect>
            </w:pict>
          </mc:Fallback>
        </mc:AlternateContent>
      </w:r>
    </w:p>
    <w:p w14:paraId="11301D28" w14:textId="50980BD9" w:rsidR="00B075A1" w:rsidRPr="00F03204" w:rsidRDefault="00B075A1" w:rsidP="00AB3D00">
      <w:pPr>
        <w:pStyle w:val="Heading1"/>
        <w:jc w:val="both"/>
        <w:rPr>
          <w:rFonts w:ascii="Arial" w:hAnsi="Arial" w:cs="Arial"/>
          <w:color w:val="auto"/>
          <w:sz w:val="22"/>
          <w:szCs w:val="22"/>
        </w:rPr>
      </w:pPr>
    </w:p>
    <w:p w14:paraId="0DFE3897" w14:textId="77777777" w:rsidR="00927D86" w:rsidRPr="00F03204" w:rsidRDefault="008D5B73" w:rsidP="00AB3D00">
      <w:pPr>
        <w:pStyle w:val="Heading1"/>
        <w:jc w:val="both"/>
        <w:rPr>
          <w:rFonts w:ascii="Arial" w:hAnsi="Arial" w:cs="Arial"/>
          <w:color w:val="auto"/>
          <w:sz w:val="22"/>
          <w:szCs w:val="22"/>
        </w:rPr>
      </w:pPr>
      <w:r w:rsidRPr="00F03204">
        <w:rPr>
          <w:rFonts w:ascii="Arial" w:hAnsi="Arial" w:cs="Arial"/>
          <w:color w:val="auto"/>
          <w:sz w:val="22"/>
          <w:szCs w:val="22"/>
        </w:rPr>
        <w:t xml:space="preserve"> </w:t>
      </w:r>
    </w:p>
    <w:p w14:paraId="2C3BC951" w14:textId="740B7199" w:rsidR="00927D86" w:rsidRPr="00F03204" w:rsidRDefault="007C414D" w:rsidP="00AB3D00">
      <w:pPr>
        <w:pStyle w:val="Heading1"/>
        <w:jc w:val="both"/>
        <w:rPr>
          <w:rFonts w:ascii="Arial" w:hAnsi="Arial" w:cs="Arial"/>
          <w:color w:val="auto"/>
          <w:sz w:val="22"/>
          <w:szCs w:val="22"/>
        </w:rPr>
      </w:pPr>
      <w:r w:rsidRPr="00F03204">
        <w:rPr>
          <w:rFonts w:ascii="Arial" w:hAnsi="Arial" w:cs="Arial"/>
          <w:noProof/>
          <w:sz w:val="22"/>
          <w:szCs w:val="22"/>
        </w:rPr>
        <mc:AlternateContent>
          <mc:Choice Requires="wps">
            <w:drawing>
              <wp:anchor distT="0" distB="0" distL="114300" distR="114300" simplePos="0" relativeHeight="251662336" behindDoc="0" locked="0" layoutInCell="1" allowOverlap="1" wp14:anchorId="1D1BE236" wp14:editId="5A2EDD73">
                <wp:simplePos x="0" y="0"/>
                <wp:positionH relativeFrom="margin">
                  <wp:posOffset>1439311</wp:posOffset>
                </wp:positionH>
                <wp:positionV relativeFrom="paragraph">
                  <wp:posOffset>206241</wp:posOffset>
                </wp:positionV>
                <wp:extent cx="2512484" cy="282998"/>
                <wp:effectExtent l="19050" t="19050" r="21590" b="22225"/>
                <wp:wrapNone/>
                <wp:docPr id="489899303" name="Rectangle 9"/>
                <wp:cNvGraphicFramePr/>
                <a:graphic xmlns:a="http://schemas.openxmlformats.org/drawingml/2006/main">
                  <a:graphicData uri="http://schemas.microsoft.com/office/word/2010/wordprocessingShape">
                    <wps:wsp>
                      <wps:cNvSpPr/>
                      <wps:spPr>
                        <a:xfrm>
                          <a:off x="0" y="0"/>
                          <a:ext cx="2512484" cy="282998"/>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3D1C5E83" w14:textId="5DD46425" w:rsidR="00851E04" w:rsidRPr="00285080" w:rsidRDefault="00627110" w:rsidP="00851E04">
                            <w:pPr>
                              <w:jc w:val="center"/>
                              <w:rPr>
                                <w:b/>
                                <w:bCs/>
                              </w:rPr>
                            </w:pPr>
                            <w:proofErr w:type="gramStart"/>
                            <w:r>
                              <w:rPr>
                                <w:b/>
                                <w:bCs/>
                              </w:rPr>
                              <w:t xml:space="preserve">Figure </w:t>
                            </w:r>
                            <w:r w:rsidR="00A10037" w:rsidRPr="00285080">
                              <w:rPr>
                                <w:b/>
                                <w:bCs/>
                              </w:rPr>
                              <w:t xml:space="preserve"> 1</w:t>
                            </w:r>
                            <w:proofErr w:type="gramEnd"/>
                            <w:r w:rsidR="00A10037" w:rsidRPr="00285080">
                              <w:rPr>
                                <w:b/>
                                <w:bCs/>
                              </w:rPr>
                              <w:t xml:space="preserve"> :</w:t>
                            </w:r>
                            <w:r w:rsidR="0010284D" w:rsidRPr="00285080">
                              <w:rPr>
                                <w:b/>
                                <w:bCs/>
                              </w:rPr>
                              <w:t xml:space="preserve"> </w:t>
                            </w:r>
                            <w:r w:rsidR="00851E04" w:rsidRPr="00285080">
                              <w:rPr>
                                <w:b/>
                                <w:bCs/>
                              </w:rPr>
                              <w:t xml:space="preserve">Study Area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BE236" id="Rectangle 9" o:spid="_x0000_s1027" style="position:absolute;left:0;text-align:left;margin-left:113.35pt;margin-top:16.25pt;width:197.85pt;height:22.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" fillcolor="white [3201]" strokecolor="black [3213]" strokeweight="2.25pt">
                <v:textbox>
                  <w:txbxContent>
                    <w:p w14:paraId="3D1C5E83" w14:textId="5DD46425" w:rsidR="00851E04" w:rsidRPr="00285080" w:rsidRDefault="00627110" w:rsidP="00851E04">
                      <w:pPr>
                        <w:jc w:val="center"/>
                        <w:rPr>
                          <w:b/>
                          <w:bCs/>
                        </w:rPr>
                      </w:pPr>
                      <w:proofErr w:type="gramStart"/>
                      <w:r>
                        <w:rPr>
                          <w:b/>
                          <w:bCs/>
                        </w:rPr>
                        <w:t xml:space="preserve">Figure </w:t>
                      </w:r>
                      <w:r w:rsidR="00A10037" w:rsidRPr="00285080">
                        <w:rPr>
                          <w:b/>
                          <w:bCs/>
                        </w:rPr>
                        <w:t xml:space="preserve"> 1</w:t>
                      </w:r>
                      <w:proofErr w:type="gramEnd"/>
                      <w:r w:rsidR="00A10037" w:rsidRPr="00285080">
                        <w:rPr>
                          <w:b/>
                          <w:bCs/>
                        </w:rPr>
                        <w:t xml:space="preserve"> :</w:t>
                      </w:r>
                      <w:r w:rsidR="0010284D" w:rsidRPr="00285080">
                        <w:rPr>
                          <w:b/>
                          <w:bCs/>
                        </w:rPr>
                        <w:t xml:space="preserve"> </w:t>
                      </w:r>
                      <w:r w:rsidR="00851E04" w:rsidRPr="00285080">
                        <w:rPr>
                          <w:b/>
                          <w:bCs/>
                        </w:rPr>
                        <w:t xml:space="preserve">Study Area </w:t>
                      </w:r>
                    </w:p>
                  </w:txbxContent>
                </v:textbox>
                <w10:wrap anchorx="margin"/>
              </v:rect>
            </w:pict>
          </mc:Fallback>
        </mc:AlternateContent>
      </w:r>
    </w:p>
    <w:p w14:paraId="59C99FA2" w14:textId="6CCDBF96" w:rsidR="008D5B73" w:rsidRPr="00F03204" w:rsidRDefault="008D5B73" w:rsidP="00AB3D00">
      <w:pPr>
        <w:pStyle w:val="Heading1"/>
        <w:jc w:val="both"/>
        <w:rPr>
          <w:rFonts w:ascii="Arial" w:hAnsi="Arial" w:cs="Arial"/>
          <w:b/>
          <w:bCs/>
          <w:color w:val="auto"/>
          <w:sz w:val="22"/>
          <w:szCs w:val="22"/>
          <w:u w:val="single"/>
        </w:rPr>
      </w:pPr>
      <w:r w:rsidRPr="00F03204">
        <w:rPr>
          <w:rFonts w:ascii="Arial" w:hAnsi="Arial" w:cs="Arial"/>
          <w:b/>
          <w:bCs/>
          <w:color w:val="auto"/>
          <w:sz w:val="22"/>
          <w:szCs w:val="22"/>
          <w:u w:val="single"/>
        </w:rPr>
        <w:t>Geospatial Technologies: GIS and Remote Sensing</w:t>
      </w:r>
    </w:p>
    <w:p w14:paraId="2A441397" w14:textId="23C463FC" w:rsidR="008D5B73" w:rsidRPr="00F03204" w:rsidRDefault="008D5B73" w:rsidP="00AB3D00">
      <w:pPr>
        <w:jc w:val="both"/>
        <w:rPr>
          <w:rFonts w:ascii="Arial" w:hAnsi="Arial" w:cs="Arial"/>
          <w:sz w:val="22"/>
          <w:szCs w:val="22"/>
        </w:rPr>
      </w:pPr>
      <w:r w:rsidRPr="00F03204">
        <w:rPr>
          <w:rFonts w:ascii="Arial" w:hAnsi="Arial" w:cs="Arial"/>
          <w:sz w:val="22"/>
          <w:szCs w:val="22"/>
        </w:rPr>
        <w:t xml:space="preserve">The integration of </w:t>
      </w:r>
      <w:r w:rsidRPr="00F03204">
        <w:rPr>
          <w:rFonts w:ascii="Arial" w:hAnsi="Arial" w:cs="Arial"/>
          <w:b/>
          <w:bCs/>
          <w:sz w:val="22"/>
          <w:szCs w:val="22"/>
        </w:rPr>
        <w:t>Geographic Information Systems (GIS)</w:t>
      </w:r>
      <w:r w:rsidRPr="00F03204">
        <w:rPr>
          <w:rFonts w:ascii="Arial" w:hAnsi="Arial" w:cs="Arial"/>
          <w:sz w:val="22"/>
          <w:szCs w:val="22"/>
        </w:rPr>
        <w:t xml:space="preserve"> and </w:t>
      </w:r>
      <w:r w:rsidRPr="00F03204">
        <w:rPr>
          <w:rFonts w:ascii="Arial" w:hAnsi="Arial" w:cs="Arial"/>
          <w:b/>
          <w:bCs/>
          <w:sz w:val="22"/>
          <w:szCs w:val="22"/>
        </w:rPr>
        <w:t>Remote Sensing (RS)</w:t>
      </w:r>
      <w:r w:rsidRPr="00F03204">
        <w:rPr>
          <w:rFonts w:ascii="Arial" w:hAnsi="Arial" w:cs="Arial"/>
          <w:sz w:val="22"/>
          <w:szCs w:val="22"/>
        </w:rPr>
        <w:t xml:space="preserve"> technologies has revolutionized the way environmental and urban systems are monitored, analyzed, and managed. These geospatial technologies provide essential tools for acquiring, storing, processing, visualizing, and analyzing spatially referenced data, making them </w:t>
      </w:r>
      <w:r w:rsidRPr="00F03204">
        <w:rPr>
          <w:rFonts w:ascii="Arial" w:hAnsi="Arial" w:cs="Arial"/>
          <w:sz w:val="22"/>
          <w:szCs w:val="22"/>
        </w:rPr>
        <w:lastRenderedPageBreak/>
        <w:t>indispensable for understanding complex land surface processes such as Land Use and Land Cover (LULC) changes.</w:t>
      </w:r>
    </w:p>
    <w:p w14:paraId="10B047EC" w14:textId="7731B542" w:rsidR="008D5B73" w:rsidRPr="00F03204" w:rsidRDefault="008D5B73" w:rsidP="00AB3D00">
      <w:pPr>
        <w:pStyle w:val="Heading2"/>
        <w:jc w:val="both"/>
        <w:rPr>
          <w:rFonts w:ascii="Arial" w:hAnsi="Arial" w:cs="Arial"/>
          <w:b/>
          <w:bCs/>
          <w:color w:val="auto"/>
          <w:sz w:val="22"/>
          <w:szCs w:val="22"/>
        </w:rPr>
      </w:pPr>
      <w:r w:rsidRPr="00F03204">
        <w:rPr>
          <w:rFonts w:ascii="Arial" w:hAnsi="Arial" w:cs="Arial"/>
          <w:b/>
          <w:bCs/>
          <w:color w:val="auto"/>
          <w:sz w:val="22"/>
          <w:szCs w:val="22"/>
        </w:rPr>
        <w:t>Remote Sensing: Earth Observation for LULC Monitoring</w:t>
      </w:r>
      <w:r w:rsidR="004723AE" w:rsidRPr="00F03204">
        <w:rPr>
          <w:rFonts w:ascii="Arial" w:hAnsi="Arial" w:cs="Arial"/>
          <w:b/>
          <w:bCs/>
          <w:color w:val="auto"/>
          <w:sz w:val="22"/>
          <w:szCs w:val="22"/>
        </w:rPr>
        <w:t>:</w:t>
      </w:r>
    </w:p>
    <w:p w14:paraId="7DAA3978" w14:textId="1CB009C7" w:rsidR="00AB2E60" w:rsidRPr="00F03204" w:rsidRDefault="00AB2E60" w:rsidP="00AB3D00">
      <w:pPr>
        <w:jc w:val="both"/>
        <w:rPr>
          <w:rFonts w:ascii="Arial" w:hAnsi="Arial" w:cs="Arial"/>
          <w:sz w:val="22"/>
          <w:szCs w:val="22"/>
        </w:rPr>
      </w:pPr>
      <w:r w:rsidRPr="00F03204">
        <w:rPr>
          <w:rFonts w:ascii="Arial" w:hAnsi="Arial" w:cs="Arial"/>
          <w:sz w:val="22"/>
          <w:szCs w:val="22"/>
        </w:rPr>
        <w:t>Remote sensing is the scientific process of gathering information about the Earth's surface without direct physical contact, typically through sensors mounted on satellites or aircraft. This method allows for large-scale, repetitive, and multi-temporal observations of physical characteristics across both terrestrial and aquatic environments.</w:t>
      </w:r>
    </w:p>
    <w:p w14:paraId="68845F22" w14:textId="0F527275" w:rsidR="00AB2E60" w:rsidRPr="00F03204" w:rsidRDefault="00AB2E60" w:rsidP="00AB3D00">
      <w:pPr>
        <w:jc w:val="both"/>
        <w:rPr>
          <w:rFonts w:ascii="Arial" w:hAnsi="Arial" w:cs="Arial"/>
          <w:sz w:val="22"/>
          <w:szCs w:val="22"/>
        </w:rPr>
      </w:pPr>
      <w:r w:rsidRPr="00F03204">
        <w:rPr>
          <w:rFonts w:ascii="Arial" w:hAnsi="Arial" w:cs="Arial"/>
          <w:sz w:val="22"/>
          <w:szCs w:val="22"/>
        </w:rPr>
        <w:t>In this study, two primary remote sensing datasets were employed: Landsat 8 OLI/TIRS and MODIS (Moderate Resolution Imaging Spectroradiometer). Landsat 8 offers a spatial resolution of 30 meters for multispectral bands and 100 meters for thermal infrared bands, making it ideal for detailed land use and land cover (LULC) classification. It captures imagery every 16 days and includes bands sensitive to visible light, near-infrared, shortwave infrared, and thermal wavelengths—essential for differentiating between built-up areas, vegetation, water bodies, barren lands, and agricultural fields. The high spectral and radiometric resolution of Landsat data enables the application of advanced classification techniques, including supervised classification, spectral indices (such as NDVI, NDBI, and NDWI), and change detection algorithms.</w:t>
      </w:r>
    </w:p>
    <w:p w14:paraId="07632DD5" w14:textId="77777777" w:rsidR="00AB2E60" w:rsidRPr="00F03204" w:rsidRDefault="00AB2E60" w:rsidP="00AB3D00">
      <w:pPr>
        <w:jc w:val="both"/>
        <w:rPr>
          <w:rFonts w:ascii="Arial" w:hAnsi="Arial" w:cs="Arial"/>
          <w:sz w:val="22"/>
          <w:szCs w:val="22"/>
        </w:rPr>
      </w:pPr>
      <w:r w:rsidRPr="00F03204">
        <w:rPr>
          <w:rFonts w:ascii="Arial" w:hAnsi="Arial" w:cs="Arial"/>
          <w:sz w:val="22"/>
          <w:szCs w:val="22"/>
        </w:rPr>
        <w:t>MODIS, which operates aboard NASA’s Terra and Aqua satellites, provides a higher temporal resolution, with daily global coverage and spatial resolutions ranging from 250 meters (for bands associated with vegetation monitoring) to 1 kilometer (for assessing land surface temperature). MODIS data are particularly valuable for monitoring environmental parameters over time, such as the Normalized Difference Vegetation Index (NDVI), which assesses vegetation health and coverage, and Land Surface Temperature (LST), reflecting urban heat dynamics and surface energy balance. The continuous temporal frequency of MODIS allows for the observation of seasonal and interannual trends, making it well-suited for time-series analysis in long-term environmental studies.</w:t>
      </w:r>
    </w:p>
    <w:p w14:paraId="27F736FB" w14:textId="2931D128" w:rsidR="008D5B73" w:rsidRPr="00F03204" w:rsidRDefault="008D5B73" w:rsidP="00AB3D00">
      <w:pPr>
        <w:pStyle w:val="Heading2"/>
        <w:jc w:val="both"/>
        <w:rPr>
          <w:rFonts w:ascii="Arial" w:hAnsi="Arial" w:cs="Arial"/>
          <w:b/>
          <w:bCs/>
          <w:color w:val="auto"/>
          <w:sz w:val="22"/>
          <w:szCs w:val="22"/>
        </w:rPr>
      </w:pPr>
      <w:r w:rsidRPr="00F03204">
        <w:rPr>
          <w:rFonts w:ascii="Arial" w:hAnsi="Arial" w:cs="Arial"/>
          <w:b/>
          <w:bCs/>
          <w:color w:val="auto"/>
          <w:sz w:val="22"/>
          <w:szCs w:val="22"/>
        </w:rPr>
        <w:t>GIS: A Platform for Spatial Analysis and Decision Support</w:t>
      </w:r>
      <w:r w:rsidR="004723AE" w:rsidRPr="00F03204">
        <w:rPr>
          <w:rFonts w:ascii="Arial" w:hAnsi="Arial" w:cs="Arial"/>
          <w:b/>
          <w:bCs/>
          <w:color w:val="auto"/>
          <w:sz w:val="22"/>
          <w:szCs w:val="22"/>
        </w:rPr>
        <w:t>:</w:t>
      </w:r>
    </w:p>
    <w:p w14:paraId="5204FD7F" w14:textId="706FE799" w:rsidR="008D5B73" w:rsidRPr="00F03204" w:rsidRDefault="008D5B73" w:rsidP="00AB3D00">
      <w:pPr>
        <w:jc w:val="both"/>
        <w:rPr>
          <w:rFonts w:ascii="Arial" w:hAnsi="Arial" w:cs="Arial"/>
          <w:sz w:val="22"/>
          <w:szCs w:val="22"/>
        </w:rPr>
      </w:pPr>
      <w:r w:rsidRPr="00F03204">
        <w:rPr>
          <w:rFonts w:ascii="Arial" w:hAnsi="Arial" w:cs="Arial"/>
          <w:sz w:val="22"/>
          <w:szCs w:val="22"/>
        </w:rPr>
        <w:t>Geographic Information Systems (GIS) are computerized systems used for the storage, analysis, and visualization of geographically referenced data</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{"citationID":"4EovVlio","properties":{"formattedCitation":"(Attri et al., n.d.)","plainCitation":"(Attri et al., n.d.)","noteIndex":0},"citationItems":[{"id":221,"uris":["http://zotero.org/users/local/5NZeGExO/items/7YLIFGF7"],"itemData":{"id":221,"type":"article-journal","abstract":"Economic development and population growth have triggered rapid changes to Earth’s land cover over the last two centuries, and there is every indication that the pace of these changes will accelerate in future. Land use and land cover (LULC) change has become a central component in current strategies for managing natural resources and monitoring environmental changes. The Remote Sensing and Geographic Information System have proved to be very important in assessing and analyzing land use and land cover changes. Recent progress in remote sensing and associated digital image processing offers unprecedented opportunities to detect changes in land cover more accurately over increasingly large areas, with diminishing costs and processing time. The present reviews have assorted the detection approaches and drawn many useful conclusions. Based on the former classification methods, this article classifies change detection methods into three groups, based on pixel, feature and object level image processing.","language":"en","source":"Zotero","title":"Remote Sensing &amp; GIS based Approaches for LULC Change Detection – A Review","author":[{"family":"Attri","given":"Priti"},{"family":"Chaudhry","given":"Smita"},{"family":"Sharma","given":"Subrat"}]}}],"schema":"https://github.com/citation-style-language/schema/raw/master/csl-citation.json"}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(Attri et al., n.d.)</w:t>
      </w:r>
      <w:r w:rsidR="00AE6E9C" w:rsidRPr="00F03204">
        <w:rPr>
          <w:rFonts w:ascii="Arial" w:hAnsi="Arial" w:cs="Arial"/>
          <w:sz w:val="22"/>
          <w:szCs w:val="22"/>
        </w:rPr>
        <w:fldChar w:fldCharType="end"/>
      </w:r>
      <w:r w:rsidRPr="00F03204">
        <w:rPr>
          <w:rFonts w:ascii="Arial" w:hAnsi="Arial" w:cs="Arial"/>
          <w:sz w:val="22"/>
          <w:szCs w:val="22"/>
        </w:rPr>
        <w:t>. GIS functions as a framework for integrating and managing data from multiple sources—remote sensing imagery, topographic maps, field data, and statistical datasets—within a common spatial context</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{"citationID":"tXQrWPZ6","properties":{"formattedCitation":"(Mohanasundaram et al., 2022)","plainCitation":"(Mohanasundaram et al., 2022)","noteIndex":0},"citationItems":[{"id":258,"uris":["http://zotero.org/users/local/5NZeGExO/items/L9B7DSMS"],"itemData":{"id":258,"type":"article","abstract":"Abstract\n          Critical applications of satellite data products include monitoring vegetation dynamics using vegetation indices such as Normalized Difference Vegetation Index (NDVI) and thermal characteristics such as Land Surface Temperature (LST) variations across different spatial and temporal scales. One of the major problems with passive remote sensing satellite data products is cloud and shadow cover that void the information from a specific image. The cloud cover problems further amplified during monsoon seasons as the formation of clouds are more frequent during these seasons. The present study proposes temporal aggregation of images and developing Harmonic Analysis of Time Series (HANTS) and Pixel-wise Multiple Linear Regression (PMLR) algorithms for retrieving cloud contaminated NDVI and LST information from Landsat-8 (L8) data products, respectively. The developed algorithms were applied in the northeastern part of Thailand to recover the missing NDVI and LST values from time series of L8 images acquired in 2018. The predicted NDVI and LST values at artificially clouded locations were compared with the corresponding clear pixel values. Additionally, the model predicted LST and NDVI values were also compared with MODIS LST and NDVI data sets. The calculated root mean square (RMSE) values were ranging from 0.004 to 0.05 and 1.05°C to 3.11°C for NDVI and LST variables, respectively. The validation statistics show that these models can be satisfactorily applied to retrieve NDVI and LST values from cloud-contaminated pixels of L8 images. Furthermore, a vegetation health index (VHI) calculated at province level show that most of the western provinces showed a healthy vegetation condition than other provinces in the northeast of Thailand.","DOI":"10.21203/rs.3.rs-1803210/v1","language":"en","license":"https://creativecommons.org/licenses/by/4.0/","publisher":"In Review","source":"DOI.org (Crossref)","title":"Reconstructing NDVI and land surface temperature from cloud cover pixels of Landsat-8 images and assessing vegetation health index in the Northeast region of Thailand","URL":"https://www.researchsquare.com/article/rs-1803210/v1","author":[{"family":"Mohanasundaram","given":"S."},{"family":"Baghel","given":"Triambak"},{"family":"Thakur","given":"Vishal"},{"family":"Udmale","given":"Parmeshwar"},{"family":"Shrestha","given":"Sangam"}],"accessed":{"date-parts":[["2025",6,8]]},"issued":{"date-parts":[["2022",7,25]]}}}],"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(Mohanasundaram et al., 2022)</w:t>
      </w:r>
      <w:r w:rsidR="00AE6E9C" w:rsidRPr="00F03204">
        <w:rPr>
          <w:rFonts w:ascii="Arial" w:hAnsi="Arial" w:cs="Arial"/>
          <w:sz w:val="22"/>
          <w:szCs w:val="22"/>
        </w:rPr>
        <w:fldChar w:fldCharType="end"/>
      </w:r>
      <w:r w:rsidRPr="00F03204">
        <w:rPr>
          <w:rFonts w:ascii="Arial" w:hAnsi="Arial" w:cs="Arial"/>
          <w:sz w:val="22"/>
          <w:szCs w:val="22"/>
        </w:rPr>
        <w:t>. In this study, GIS was employed to conduct image preprocessing, spatial classification, change detection, zonal statistics, map creation, and temporal analysis.</w:t>
      </w:r>
    </w:p>
    <w:p w14:paraId="247DC176" w14:textId="56F03904" w:rsidR="008D5B73" w:rsidRPr="00F03204" w:rsidRDefault="008D5B73" w:rsidP="00AB3D00">
      <w:pPr>
        <w:jc w:val="both"/>
        <w:rPr>
          <w:rFonts w:ascii="Arial" w:hAnsi="Arial" w:cs="Arial"/>
          <w:sz w:val="22"/>
          <w:szCs w:val="22"/>
        </w:rPr>
      </w:pPr>
      <w:r w:rsidRPr="00F03204">
        <w:rPr>
          <w:rFonts w:ascii="Arial" w:hAnsi="Arial" w:cs="Arial"/>
          <w:sz w:val="22"/>
          <w:szCs w:val="22"/>
        </w:rPr>
        <w:t>GIS tools facilitate critical operations such as overlay analysis, buffer generation, raster reclassification, accuracy assessment, and multi-temporal comparison. These capabilities enable researchers to quantify the extent of LULC transitions, identify zones of rapid urban expansion or ecological degradation, and visualize spatial patterns of change</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{"citationID":"whjns0v8","properties":{"formattedCitation":"(Hardianto et al., 2021)","plainCitation":"(Hardianto et al., 2021)","noteIndex":0},"citationItems":[{"id":288,"uris":["http://zotero.org/users/local/5NZeGExO/items/J5JTKL55"],"itemData":{"id":288,"type":"article-journal","abstract":"The development of Bandar Lampung’s city is sufficient to reduce the amount of vegetation that causes environmental problems. For the purposes of research related to the distribution of vegetation, one of them is by using Landsat 8 image data. This study aimed to compare the density distribution of the vegetation index and the area of density in Bandar Lampung City in 2013 and 2019 by using vegetation density index calculation Normalized Difference Vegetation Index (NDVI). The NDVI method compares the measured reflection of the red light channel and the infrared light channel. The distribution of NDVI values in Bandar Lampung City in 2013 was in the range of -0.38 to 0.79 with the classification of non-dense vegetation, dense vegetation, dense vegetation and nonvegetation, respectively 5987.97, 5296.77, 5269.41, and 950.76 Ha. While the distribution of NDVI values in Bandar Lampung City in 2019 is in the range of -0.26 to 0.77 with the classification of non-dense vegetation, dense vegetation, dense vegetation, and non-vegetation, respectively 8285.85, 4341.96, 1586.52, and 3298.59 Ha. Based on these data, it is known that the increase in non-dense vegetation classification is 13.11% and nonvegetation classification is 13.4%. Then there was a decrease in dense vegetation by 5.45% and dense vegetation by 21.02%. This study shows that the land function is changed so that it can be used as a reference in the planning of urban planning in Bandar Lampung City.","container-title":"Jurnal Geosains dan Remote Sensing","DOI":"10.23960/jgrs.2021.v2i1.38","ISSN":"2722-3639, 2722-3647","issue":"1","journalAbbreviation":"J. Geosains Remote Sens.","language":"id","license":"https://creativecommons.org/licenses/by-nc-sa/4.0","page":"8-15","source":"DOI.org (Crossref)","title":"Pemanfaatan Citra Landsat 8 Dalam Mengidentifikasi Nilai Indeks Kerapatan Vegetasi (NDVI) Tahun 2013 dan 2019 (Area Studi: Kota Bandar Lampung)","title-short":"Pemanfaatan Citra Landsat 8 Dalam Mengidentifikasi Nilai Indeks Kerapatan Vegetasi (NDVI) Tahun 2013 dan 2019 (Area Studi","volume":"2","author":[{"family":"Hardianto","given":"Arnas"},{"family":"Dewi","given":"Pegita Urmala"},{"family":"Feriansyah","given":"Taufiq"},{"family":"Sari","given":"Novia Fadillah Sekar"},{"family":"Rifiana","given":"Nadifa Salsabila"}],"issued":{"date-parts":[["2021",5,17]]}}}],"schema":"https://github.com/citation-style-language/schema/raw/master/csl-citation.json"}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(Hardianto et al., 2021)</w:t>
      </w:r>
      <w:r w:rsidR="00AE6E9C" w:rsidRPr="00F03204">
        <w:rPr>
          <w:rFonts w:ascii="Arial" w:hAnsi="Arial" w:cs="Arial"/>
          <w:sz w:val="22"/>
          <w:szCs w:val="22"/>
        </w:rPr>
        <w:fldChar w:fldCharType="end"/>
      </w:r>
      <w:r w:rsidRPr="00F03204">
        <w:rPr>
          <w:rFonts w:ascii="Arial" w:hAnsi="Arial" w:cs="Arial"/>
          <w:sz w:val="22"/>
          <w:szCs w:val="22"/>
        </w:rPr>
        <w:t>. Moreover, GIS supports spatial modeling to assess correlations between variables such as NDVI and LST, or land cover change and urban heat intensity.</w:t>
      </w:r>
    </w:p>
    <w:p w14:paraId="07739AEC" w14:textId="04B4DA92" w:rsidR="008D5B73" w:rsidRPr="00F03204" w:rsidRDefault="008D5B73" w:rsidP="00AB3D00">
      <w:pPr>
        <w:pStyle w:val="Heading2"/>
        <w:jc w:val="both"/>
        <w:rPr>
          <w:rFonts w:ascii="Arial" w:hAnsi="Arial" w:cs="Arial"/>
          <w:b/>
          <w:bCs/>
          <w:color w:val="auto"/>
          <w:sz w:val="22"/>
          <w:szCs w:val="22"/>
        </w:rPr>
      </w:pPr>
      <w:r w:rsidRPr="00F03204">
        <w:rPr>
          <w:rFonts w:ascii="Arial" w:hAnsi="Arial" w:cs="Arial"/>
          <w:b/>
          <w:bCs/>
          <w:color w:val="auto"/>
          <w:sz w:val="22"/>
          <w:szCs w:val="22"/>
        </w:rPr>
        <w:lastRenderedPageBreak/>
        <w:t>Integration of RS and GIS for Urban Environmental Assessment</w:t>
      </w:r>
      <w:r w:rsidR="004723AE" w:rsidRPr="00F03204">
        <w:rPr>
          <w:rFonts w:ascii="Arial" w:hAnsi="Arial" w:cs="Arial"/>
          <w:b/>
          <w:bCs/>
          <w:color w:val="auto"/>
          <w:sz w:val="22"/>
          <w:szCs w:val="22"/>
        </w:rPr>
        <w:t>:</w:t>
      </w:r>
    </w:p>
    <w:p w14:paraId="790AF50C" w14:textId="3C46CDE0" w:rsidR="008D5B73" w:rsidRPr="00F03204" w:rsidRDefault="008D5B73" w:rsidP="00AB3D00">
      <w:pPr>
        <w:jc w:val="both"/>
        <w:rPr>
          <w:rFonts w:ascii="Arial" w:hAnsi="Arial" w:cs="Arial"/>
          <w:sz w:val="22"/>
          <w:szCs w:val="22"/>
        </w:rPr>
      </w:pPr>
      <w:r w:rsidRPr="00F03204">
        <w:rPr>
          <w:rFonts w:ascii="Arial" w:hAnsi="Arial" w:cs="Arial"/>
          <w:sz w:val="22"/>
          <w:szCs w:val="22"/>
        </w:rPr>
        <w:t xml:space="preserve">The integration of RS and GIS enhances the scope and precision of environmental monitoring by enabling both </w:t>
      </w:r>
      <w:r w:rsidRPr="00F03204">
        <w:rPr>
          <w:rFonts w:ascii="Arial" w:hAnsi="Arial" w:cs="Arial"/>
          <w:b/>
          <w:bCs/>
          <w:sz w:val="22"/>
          <w:szCs w:val="22"/>
        </w:rPr>
        <w:t>macro-level assessments</w:t>
      </w:r>
      <w:r w:rsidRPr="00F03204">
        <w:rPr>
          <w:rFonts w:ascii="Arial" w:hAnsi="Arial" w:cs="Arial"/>
          <w:sz w:val="22"/>
          <w:szCs w:val="22"/>
        </w:rPr>
        <w:t xml:space="preserve"> (e.g., urban sprawl, regional climate impacts) and </w:t>
      </w:r>
      <w:r w:rsidRPr="00F03204">
        <w:rPr>
          <w:rFonts w:ascii="Arial" w:hAnsi="Arial" w:cs="Arial"/>
          <w:b/>
          <w:bCs/>
          <w:sz w:val="22"/>
          <w:szCs w:val="22"/>
        </w:rPr>
        <w:t>micro-level interventions</w:t>
      </w:r>
      <w:r w:rsidRPr="00F03204">
        <w:rPr>
          <w:rFonts w:ascii="Arial" w:hAnsi="Arial" w:cs="Arial"/>
          <w:sz w:val="22"/>
          <w:szCs w:val="22"/>
        </w:rPr>
        <w:t xml:space="preserve"> (e.g., ward-level land use planning, hotspot detection)</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{"citationID":"kkgi2Fbq","properties":{"formattedCitation":"(Ray et al., 2023)","plainCitation":"(Ray et al., 2023)","noteIndex":0},"citationItems":[{"id":299,"uris":["http://zotero.org/users/local/5NZeGExO/items/6NVJ6KP7"],"itemData":{"id":299,"type":"article-journal","abstract":"One of the most valuable approaches in spatial analysis for a better understanding of the hydrological response of a region or a watershed is certainly the analysis of the well-known land use land cover (LULC) dynamicity. The present case study delves deeper into the analysis of LULC dynamicity by using digital Landsat TM and Landsat OLI data to classify the Kolkata Metropolitan Development Authority (KMDA) into seven classes with over 90% classiﬁcation accuracy for decadal level assessments of 30 years (for the years 1989, 1999, 2009, and 2019). The change index, the Dematel method for analyzing the cause-effect relationship among the LULC classes, the Jaccard Similarity Index for measuring the nature of similarity among the LULC classes, and the Adherence Index for measuring the consistency of the LULC classes after the transition was used in this study to analyze the LULC transformation. In more detail, the present study considers how urban land use is altering at the expense of other land uses. Besides the shifting pattern of mean centers of the LULC classes through time, also gives a very signiﬁcant insight into the LULC dynamics over 30 years of span. The current study of LULC dynamicity and transformation patterns over the 30 years of the KMDA area is expected to assist land and urban planners, engineers, and administrators in sustainable decisions and policies to ensure inclusive urbanization that accommodates population growth while minimizing the impact on potential natural resources within the whole study area.","container-title":"Remote Sensing","DOI":"10.3390/rs15040959","ISSN":"2072-4292","issue":"4","journalAbbreviation":"Remote Sensing","language":"en","license":"https://creativecommons.org/licenses/by/4.0/","page":"959","source":"DOI.org (Crossref)","title":"Quantitative Analysis of Land Use and Land Cover Dynamics using Geoinformatics Techniques: A Case Study on Kolkata Metropolitan Development Authority (KMDA) in West Bengal, India","title-short":"Quantitative Analysis of Land Use and Land Cover Dynamics using Geoinformatics Techniques","volume":"15","author":[{"family":"Ray","given":"Ratnadeep"},{"family":"Das","given":"Abhinandan"},{"family":"Hasan","given":"Mohd Sayeed Ul"},{"family":"Aldrees","given":"Ali"},{"family":"Islam","given":"Saiful"},{"family":"Khan","given":"Mohammad Amir"},{"family":"Lama","given":"Giuseppe Francesco Cesare"}],"issued":{"date-parts":[["2023",2,9]]}}}],"schema":"https://github.com/citation-style-language/schema/raw/master/csl-citation.json"}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(Ray et al., 2023)</w:t>
      </w:r>
      <w:r w:rsidR="00AE6E9C" w:rsidRPr="00F03204">
        <w:rPr>
          <w:rFonts w:ascii="Arial" w:hAnsi="Arial" w:cs="Arial"/>
          <w:sz w:val="22"/>
          <w:szCs w:val="22"/>
        </w:rPr>
        <w:fldChar w:fldCharType="end"/>
      </w:r>
      <w:r w:rsidRPr="00F03204">
        <w:rPr>
          <w:rFonts w:ascii="Arial" w:hAnsi="Arial" w:cs="Arial"/>
          <w:sz w:val="22"/>
          <w:szCs w:val="22"/>
        </w:rPr>
        <w:t>. Remote sensing provides up-to-date and consistent Earth observation data, while GIS offers the analytical engine to transform raw imagery into actionable insights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{"citationID":"EyYhAVqK","properties":{"formattedCitation":"(Isufi et al., 2021)","plainCitation":"(Isufi et al., 2021)","noteIndex":0},"citationItems":[{"id":241,"uris":["http://zotero.org/users/local/5NZeGExO/items/EREFS9BV"],"itemData":{"id":241,"type":"article-journal","abstract":"The study is aimed at investigating the phenomenon of the Surface Urban Heat Island (SUHI) over the municipality of Prishtina. The SUHI was investigated based on the relationship between Land Surface Temperature (LST) estimated from Landsat 8 Thermal Infrared Sensor (TIRS) band with Normalized Difference Built-up Index (NDBI) and Normalized Difference Vegetation Index (NDVI) from Landsat 8 Operational Land Imager (OLI) bands using Geographic Information System (GIS). To understand this relationship, a regression analysis was performed.","container-title":"Disaster Advances","DOI":"10.25303/1411da2536","ISSN":"0974262X, 22784543","issue":"11","journalAbbreviation":"Disaster Advances","language":"en","page":"25-36","source":"DOI.org (Crossref)","title":"Measuring UHI using Landsat 8 OLI and TIRS data with NDVI and NDBI in Municipality of Prishtina","volume":"14","author":[{"family":"Isufi","given":"Florim"},{"family":"Berila","given":"Albert"},{"family":"Bulliqi","given":"Shpejtim"}],"issued":{"date-parts":[["2021",10,25]]}}}],"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(Isufi et al., 2021)</w:t>
      </w:r>
      <w:r w:rsidR="00AE6E9C" w:rsidRPr="00F03204">
        <w:rPr>
          <w:rFonts w:ascii="Arial" w:hAnsi="Arial" w:cs="Arial"/>
          <w:sz w:val="22"/>
          <w:szCs w:val="22"/>
        </w:rPr>
        <w:fldChar w:fldCharType="end"/>
      </w:r>
      <w:r w:rsidRPr="00F03204">
        <w:rPr>
          <w:rFonts w:ascii="Arial" w:hAnsi="Arial" w:cs="Arial"/>
          <w:sz w:val="22"/>
          <w:szCs w:val="22"/>
        </w:rPr>
        <w:t>.</w:t>
      </w:r>
    </w:p>
    <w:p w14:paraId="3467B8BC" w14:textId="0C0C3E39" w:rsidR="008D5B73" w:rsidRPr="00F03204" w:rsidRDefault="008D5B73" w:rsidP="00AB3D00">
      <w:pPr>
        <w:jc w:val="both"/>
        <w:rPr>
          <w:rFonts w:ascii="Arial" w:hAnsi="Arial" w:cs="Arial"/>
          <w:sz w:val="22"/>
          <w:szCs w:val="22"/>
        </w:rPr>
      </w:pPr>
      <w:r w:rsidRPr="00F03204">
        <w:rPr>
          <w:rFonts w:ascii="Arial" w:hAnsi="Arial" w:cs="Arial"/>
          <w:sz w:val="22"/>
          <w:szCs w:val="22"/>
        </w:rPr>
        <w:t>In this study, classified LULC maps derived from Landsat data were overlaid with MODIS-based NDVI and LST datasets to examine spatial and temporal relationships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{"citationID":"vtwoVBYW","properties":{"formattedCitation":"(Fu et al., 2011)","plainCitation":"(Fu et al., 2011)","noteIndex":0},"citationItems":[{"id":235,"uris":["http://zotero.org/users/local/5NZeGExO/items/FQTQ9WJP"],"itemData":{"id":235,"type":"article-journal","abstract":"Meteorological data are scarce due to lack of meteorology stations in the Qinghai–Tibet Plateau. This often results in an imprecise estimation of air temperature. A linear estimation of air temperature of an alpine meadow on Northern Tibetan Plateau at heights of 1.5 m–2.1 m by using MODIS land surface temperature (LST) data was conducted in this study. The results showed that linear estimation of daily maximum and daytime mean air temperatures from MODIS LST data were not accurate enough (P &gt; 0.01, R2 &lt; 0.10) during the growing season. In contrast, the linear relationships between daily maximum and daytime mean air temperature and MODIS LST during the non-growing season were both signiﬁcant (P &lt; 0.01, R2 &gt; 0.40). MODIS LST data were accurate enough to linearly estimate daily minimum and nighttime mean air temperatures (P &lt; 0.01, R2 &gt; 0.55). Moreover, derived LST from MODIS/Terra platform (MOD11A2) had higher accuracies than derived LST from MODIS/Aqua platform (MYD11A2) in linearly estimating air temperatures mentioned above.","container-title":"Acta Ecologica Sinica","DOI":"10.1016/j.chnaes.2010.11.002","ISSN":"18722032","issue":"1","journalAbbreviation":"Acta Ecologica Sinica","language":"en","license":"https://www.elsevier.com/tdm/userlicense/1.0/","page":"8-13","source":"DOI.org (Crossref)","title":"Estimating air temperature of an alpine meadow on the Northern Tibetan Plateau using MODIS land surface temperature","volume":"31","author":[{"family":"Fu","given":"Gang"},{"family":"Shen","given":"Zhenxi"},{"family":"Zhang","given":"Xianzhou"},{"family":"Shi","given":"Peili"},{"family":"Zhang","given":"Yangjian"},{"family":"Wu","given":"Jianshuang"}],"issued":{"date-parts":[["2011",2]]}}}],"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(Fu et al., 2011)</w:t>
      </w:r>
      <w:r w:rsidR="00AE6E9C" w:rsidRPr="00F03204">
        <w:rPr>
          <w:rFonts w:ascii="Arial" w:hAnsi="Arial" w:cs="Arial"/>
          <w:sz w:val="22"/>
          <w:szCs w:val="22"/>
        </w:rPr>
        <w:fldChar w:fldCharType="end"/>
      </w:r>
      <w:r w:rsidRPr="00F03204">
        <w:rPr>
          <w:rFonts w:ascii="Arial" w:hAnsi="Arial" w:cs="Arial"/>
          <w:sz w:val="22"/>
          <w:szCs w:val="22"/>
        </w:rPr>
        <w:t>. This multi-sensor, multi-temporal approach allows for a more comprehensive understanding of the landscape dynamics of the Kolkata Metropolitan Area (KMA), especially in response to anthropogenic pressures and climatic variability</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{"citationID":"T9NCyWJ5","properties":{"formattedCitation":"(Bharathkumar &amp; Mohammed-Aslam, 2015)","plainCitation":"(Bharathkumar &amp; Mohammed-Aslam, 2015)","noteIndex":0},"citationItems":[{"id":255,"uris":["http://zotero.org/users/local/5NZeGExO/items/9Y42EXAI"],"itemData":{"id":255,"type":"article-journal","abstract":"Agriculture is the backbone of our country. Most of the Land in Tumkur taluk is occupied by agriculture. Due to lack of awareness, farmers grow different variety of crops in different localities. Ultimately they face the problems in crop production due to low yield. Crop suitability map provide solutions to all these problems. The study area Tumkur Taluk is located in southern part of Karnataka and belongs to semi-arid climatic condition. The cropping pattern includes majorly Coconut plantation, Arecanut plantation, Banana plantation, Ragi, Wheat, Maize, Jowar and other crops. Crop pattern study was carried out using the NDVI processing of Landsat 8 data. NDVI result is recoded by taking the training sets in field visit. Finally the crop pattern map is prepared using ArcGIS tools. Among current cropping patterns Coconut plantation, Ragi, Rice, Maize, Wheat were consume less water and they are currently suitable for the area. But Arecanut plantation, Rice and Banana plantation consume huge amount of water and were not at all suitable for the regional climatic condition. The major result deducing from this study is, Mines and Geology department accounted 34500 bore wells in Tumkur district. Every day minimum 10 crore litre of water is extracted from the ground water reservoirs. Our suitability crop modelling map will minimize the maintenance of ground water. Suitability crop pattern map includes high income and yield to farmers within less maintenance and less water usage with respect to the climatic conditions.","container-title":"Aquatic Procedia","DOI":"10.1016/j.aqpro.2015.02.181","ISSN":"2214241X","journalAbbreviation":"Aquatic Procedia","language":"en","page":"1397-1404","source":"DOI.org (Crossref)","title":"Crop Pattern Mapping of Tumkur Taluk Using NDVI Technique: A Remote Sensing and GIS Approach","title-short":"Crop Pattern Mapping of Tumkur Taluk Using NDVI Technique","volume":"4","author":[{"family":"Bharathkumar","given":"L."},{"family":"Mohammed-Aslam","given":"M.A."}],"issued":{"date-parts":[["2015"]]}}}],"schema":"https://github.com/citation-style-language/schema/raw/master/csl-citation.json"}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(Bharathkumar &amp; Mohammed-Aslam, 2015)</w:t>
      </w:r>
      <w:r w:rsidR="00AE6E9C" w:rsidRPr="00F03204">
        <w:rPr>
          <w:rFonts w:ascii="Arial" w:hAnsi="Arial" w:cs="Arial"/>
          <w:sz w:val="22"/>
          <w:szCs w:val="22"/>
        </w:rPr>
        <w:fldChar w:fldCharType="end"/>
      </w:r>
      <w:r w:rsidRPr="00F03204">
        <w:rPr>
          <w:rFonts w:ascii="Arial" w:hAnsi="Arial" w:cs="Arial"/>
          <w:sz w:val="22"/>
          <w:szCs w:val="22"/>
        </w:rPr>
        <w:t>. The use of both medium-resolution and moderate-resolution imagery helps balance between spatial detail and temporal frequency—critical for urban studies where both precision and periodicity matter</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{"citationID":"47zdSZlz","properties":{"formattedCitation":"(Nandi et al., 2017)","plainCitation":"(Nandi et al., 2017)","noteIndex":0},"citationItems":[{"id":257,"uris":["http://zotero.org/users/local/5NZeGExO/items/LJQSSEQL"],"itemData":{"id":257,"type":"article-journal","abstract":"Floods are among the most destructive natural disasters causing huge loss to life and property. Any flood management strategy requires floodplain mapping through discrimination of the flood prone areas. The city of Varanasi or Benaras is believed to be the oldest continuously inhabited city of the world. This study aims to develop tools for mapping and discrimination of floodplain of river Ganga at Varanasi. During 2014 floods, the flooded areas were extracted through Normalized Difference Water Index (NDWI) and by Modified NDWI (MNDWI) using the NIR and SWIR bands separately from that of the Landsat 8 satellite imagery. The inundated areas were then identified through Support Vector Machines (SVMs) classification. The results reveal that the MNDWI images provide a better result for flood discrimination than the NDWI images. Ground based measurements for floodplain distance varied between 11 ± 5 m at Janki ghat (bank) and 80 ± 5 m at Asi ghat. The validation between measured and SVMs derived values indicate a strong positive correlation of 0.88 and a low value of Root Mean Square Error (RMSE) of 12.62. The t-test is suggestive of no significant difference between the observed and SVMs values at 95% confidence level, indicating a satisfactory performance of the SVMs for floodplain mapping using Landsat 8 imagery. Therefore, the methodology proposed in this study provides a novel and robust way for floodplain mapping and has potential applications in disaster management and mitigation in the flood affected regions.","container-title":"Water Resources Management","DOI":"10.1007/s11269-017-1568-y","ISSN":"0920-4741, 1573-1650","issue":"4","journalAbbreviation":"Water Resour Manage","language":"en","page":"1157-1171","source":"DOI.org (Crossref)","title":"Floodplain Mapping through Support Vector Machine and Optical/Infrared Images from Landsat 8 OLI/TIRS Sensors: Case Study from Varanasi","title-short":"Floodplain Mapping through Support Vector Machine and Optical/Infrared Images from Landsat 8 OLI/TIRS Sensors","volume":"31","author":[{"family":"Nandi","given":"Ipsita"},{"family":"Srivastava","given":"Prashant K."},{"family":"Shah","given":"Kavita"}],"issued":{"date-parts":[["2017",3]]}}}],"schema":"https://github.com/citation-style-language/schema/raw/master/csl-citation.json"}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(Nandi et al., 2017)</w:t>
      </w:r>
      <w:r w:rsidR="00AE6E9C" w:rsidRPr="00F03204">
        <w:rPr>
          <w:rFonts w:ascii="Arial" w:hAnsi="Arial" w:cs="Arial"/>
          <w:sz w:val="22"/>
          <w:szCs w:val="22"/>
        </w:rPr>
        <w:fldChar w:fldCharType="end"/>
      </w:r>
      <w:r w:rsidRPr="00F03204">
        <w:rPr>
          <w:rFonts w:ascii="Arial" w:hAnsi="Arial" w:cs="Arial"/>
          <w:sz w:val="22"/>
          <w:szCs w:val="22"/>
        </w:rPr>
        <w:t>.</w:t>
      </w:r>
    </w:p>
    <w:p w14:paraId="7BE410EE" w14:textId="29D3845B" w:rsidR="00EE123E" w:rsidRPr="00F03204" w:rsidRDefault="008D5B73" w:rsidP="00AB3D00">
      <w:pPr>
        <w:jc w:val="both"/>
        <w:rPr>
          <w:rFonts w:ascii="Arial" w:hAnsi="Arial" w:cs="Arial"/>
          <w:sz w:val="22"/>
          <w:szCs w:val="22"/>
        </w:rPr>
      </w:pPr>
      <w:r w:rsidRPr="00F03204">
        <w:rPr>
          <w:rFonts w:ascii="Arial" w:hAnsi="Arial" w:cs="Arial"/>
          <w:sz w:val="22"/>
          <w:szCs w:val="22"/>
        </w:rPr>
        <w:t>Ultimately, the integration of GIS and Remote Sensing forms a powerful and scalable approach for environmental monitoring and urban management. As urban centers like KMA continue to grow, leveraging these technologies becomes essential for evidence-based planning, sustainable development, disaster risk reduction, and climate adaptation</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{"citationID":"nnXTm0U3","properties":{"formattedCitation":"(Ouzemou et al., 2018)","plainCitation":"(Ouzemou et al., 2018)","noteIndex":0},"citationItems":[{"id":253,"uris":["http://zotero.org/users/local/5NZeGExO/items/RXRTWLF3"],"itemData":{"id":253,"type":"article-journal","abstract":"Retrieving crops and their location, as well as their spatial extent, are useful information for agricultural planning and better management of irrigation water resources as well as for crop health monitoring, towards an increased food production and reduced water use. Multispectral remote sensing images with a spatial resolution of 30 m or greater are often used for mapping crops in extensive agricultural systems at global and regional scale. However, that spatial resolution is inadequate for mapping highly fragmented and intensive agricultural landscapes, such as the Tadla Irrigated Perimeter (TIP) in central Morocco. Hence, our study aims to: (1) identify and map major crops in the TIP with improving the spatial resolution of producing maps from 30 m to 15 m; (2) retrieve the area of major cultivations; (3) compare machine learning classifiers namely, Support Vector Machine (SVM), Random Forest (RF) and Spectral Angle Mapper (SAM) as a distance-based classifier. Our methodology is based on the Landsat-8 OLI (Operational Land Imager) data pan-sharpened to 15 m. SAM, RF and SVM classifiers were used and compared for retrieving crops from a multitemporal dataset of the Normalized Difference Vegetation Index (NDVI) for 10 periods during the agricultural season. The RF, SVM and SAM have classified the major crops with overall accuracies of 89.26, 85.27% and 57.17% respectively, and kappa coefficient of 85, 80% and 43%, respectively, noting that sugar beet, tree crops and cereals are delineated accurately while alfalfa is not. This study showed a high performance by using time-series pan-sharpened OLI NDVI data coupled with machine learning classifiers for mapping different crops in irrigated, very fragmented and heterogeneous agricultural landscape.","container-title":"Remote Sensing Applications: Society and Environment","DOI":"10.1016/j.rsase.2018.05.002","ISSN":"23529385","journalAbbreviation":"Remote Sensing Applications: Society and Environment","language":"en","page":"94-103","source":"DOI.org (Crossref)","title":"Crop type mapping from pansharpened Landsat 8 NDVI data: A case of a highly fragmented and intensive agricultural system","title-short":"Crop type mapping from pansharpened Landsat 8 NDVI data","volume":"11","author":[{"family":"Ouzemou","given":"Jamal-Eddine"},{"family":"El Harti","given":"Abderrazak"},{"family":"Lhissou","given":"Rachid"},{"family":"El Moujahid","given":"Ali"},{"family":"Bouch","given":"Naima"},{"family":"El Ouazzani","given":"Rabii"},{"family":"Bachaoui","given":"El Mostafa"},{"family":"El Ghmari","given":"Abderrahmene"}],"issued":{"date-parts":[["2018",8]]}}}],"schema":"https://github.com/citation-style-language/schema/raw/master/csl-citation.json"}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(Ouzemou et al., 2018)</w:t>
      </w:r>
      <w:r w:rsidR="00AE6E9C" w:rsidRPr="00F03204">
        <w:rPr>
          <w:rFonts w:ascii="Arial" w:hAnsi="Arial" w:cs="Arial"/>
          <w:sz w:val="22"/>
          <w:szCs w:val="22"/>
        </w:rPr>
        <w:fldChar w:fldCharType="end"/>
      </w:r>
      <w:r w:rsidRPr="00F03204">
        <w:rPr>
          <w:rFonts w:ascii="Arial" w:hAnsi="Arial" w:cs="Arial"/>
          <w:sz w:val="22"/>
          <w:szCs w:val="22"/>
        </w:rPr>
        <w:t>.</w:t>
      </w:r>
    </w:p>
    <w:p w14:paraId="776A80E1" w14:textId="12027E52" w:rsidR="00EE123E" w:rsidRPr="00F03204" w:rsidRDefault="00EE123E" w:rsidP="00AB3D00">
      <w:pPr>
        <w:pStyle w:val="Heading1"/>
        <w:jc w:val="both"/>
        <w:rPr>
          <w:rFonts w:ascii="Arial" w:hAnsi="Arial" w:cs="Arial"/>
          <w:b/>
          <w:bCs/>
          <w:color w:val="auto"/>
          <w:sz w:val="22"/>
          <w:szCs w:val="22"/>
          <w:u w:val="single"/>
        </w:rPr>
      </w:pPr>
      <w:r w:rsidRPr="00F03204">
        <w:rPr>
          <w:rFonts w:ascii="Arial" w:hAnsi="Arial" w:cs="Arial"/>
          <w:b/>
          <w:bCs/>
          <w:color w:val="auto"/>
          <w:sz w:val="22"/>
          <w:szCs w:val="22"/>
          <w:u w:val="single"/>
        </w:rPr>
        <w:t>Land Use/Land Cover: Concepts and Definitions</w:t>
      </w:r>
      <w:r w:rsidR="004723AE" w:rsidRPr="00F03204">
        <w:rPr>
          <w:rFonts w:ascii="Arial" w:hAnsi="Arial" w:cs="Arial"/>
          <w:b/>
          <w:bCs/>
          <w:color w:val="auto"/>
          <w:sz w:val="22"/>
          <w:szCs w:val="22"/>
          <w:u w:val="single"/>
        </w:rPr>
        <w:t>:</w:t>
      </w:r>
    </w:p>
    <w:p w14:paraId="4BDF32D8" w14:textId="327DBD22" w:rsidR="00EE123E" w:rsidRPr="00F03204" w:rsidRDefault="00EE123E" w:rsidP="00AB3D00">
      <w:pPr>
        <w:jc w:val="both"/>
        <w:rPr>
          <w:rFonts w:ascii="Arial" w:hAnsi="Arial" w:cs="Arial"/>
          <w:sz w:val="22"/>
          <w:szCs w:val="22"/>
        </w:rPr>
      </w:pPr>
      <w:r w:rsidRPr="00F03204">
        <w:rPr>
          <w:rFonts w:ascii="Arial" w:hAnsi="Arial" w:cs="Arial"/>
          <w:b/>
          <w:bCs/>
          <w:sz w:val="22"/>
          <w:szCs w:val="22"/>
        </w:rPr>
        <w:t>Land Use</w:t>
      </w:r>
      <w:r w:rsidRPr="00F03204">
        <w:rPr>
          <w:rFonts w:ascii="Arial" w:hAnsi="Arial" w:cs="Arial"/>
          <w:sz w:val="22"/>
          <w:szCs w:val="22"/>
        </w:rPr>
        <w:t xml:space="preserve"> and </w:t>
      </w:r>
      <w:r w:rsidRPr="00F03204">
        <w:rPr>
          <w:rFonts w:ascii="Arial" w:hAnsi="Arial" w:cs="Arial"/>
          <w:b/>
          <w:bCs/>
          <w:sz w:val="22"/>
          <w:szCs w:val="22"/>
        </w:rPr>
        <w:t>Land Cover (LULC)</w:t>
      </w:r>
      <w:r w:rsidRPr="00F03204">
        <w:rPr>
          <w:rFonts w:ascii="Arial" w:hAnsi="Arial" w:cs="Arial"/>
          <w:sz w:val="22"/>
          <w:szCs w:val="22"/>
        </w:rPr>
        <w:t xml:space="preserve"> are fundamental concepts in geospatial and environmental studies, representing essential indicators of surface processes, resource management, and anthropogenic influence on the landscape</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{"citationID":"6IGjpjQ8","properties":{"formattedCitation":"(Wang et al., 2005)","plainCitation":"(Wang et al., 2005)","noteIndex":0},"citationItems":[{"id":229,"uris":["http://zotero.org/users/local/5NZeGExO/items/EIQRTNM3"],"itemData":{"id":229,"type":"article-journal","abstract":"The Moderate Resolution Imaging Spectroradiometer (MODIS) global land surface temperature (LST)/emissivity products supply daily, 8</w:instrText>
      </w:r>
      <w:r w:rsidR="00AE6E9C" w:rsidRPr="00F03204">
        <w:rPr>
          <w:rFonts w:ascii="Cambria Math" w:hAnsi="Cambria Math" w:cs="Cambria Math"/>
          <w:sz w:val="22"/>
          <w:szCs w:val="22"/>
        </w:rPr>
        <w:instrText>‐</w:instrText>
      </w:r>
      <w:r w:rsidR="00AE6E9C" w:rsidRPr="00F03204">
        <w:rPr>
          <w:rFonts w:ascii="Arial" w:hAnsi="Arial" w:cs="Arial"/>
          <w:sz w:val="22"/>
          <w:szCs w:val="22"/>
        </w:rPr>
        <w:instrText>day, and monthly global temperature and narrowband emissivity data. This article uses these products to calculate the surface long wave radiation of natural objects such as sand, soil, vegetation, etc., based on the Planck function and the Stefan</w:instrText>
      </w:r>
      <w:r w:rsidR="00AE6E9C" w:rsidRPr="00F03204">
        <w:rPr>
          <w:rFonts w:ascii="Cambria Math" w:hAnsi="Cambria Math" w:cs="Cambria Math"/>
          <w:sz w:val="22"/>
          <w:szCs w:val="22"/>
        </w:rPr>
        <w:instrText>‐</w:instrText>
      </w:r>
      <w:r w:rsidR="00AE6E9C" w:rsidRPr="00F03204">
        <w:rPr>
          <w:rFonts w:ascii="Arial" w:hAnsi="Arial" w:cs="Arial"/>
          <w:sz w:val="22"/>
          <w:szCs w:val="22"/>
        </w:rPr>
        <w:instrText>Boltzmann law. The results show that using the narrowband emissivity of a single band instead of the broadband emissivity results in large errors of up to 100 W m\n              −2\n              of the calculated long wave radiation. A method to calculate broadband emissivity in the entire TIR spectral region from the narrowband emissivities of the MODIS bands (29, 31, and 32) in the thermal infrared region is proposed. Using the broadband emissivity, the surface long wave radiation could be calculated to an accuracy better than 6 W m\n              −2\n              in the temperature region of 240–330 K, with a standard deviation of 1.22 W m\n              −2\n              , and a maximum error of 6.05 W m\n              −2\n              (not considering the uncertainty associated with the MODIS LST/emissivity products themselves). The satellite estimated broadband emissivity was compared with 3</w:instrText>
      </w:r>
      <w:r w:rsidR="00AE6E9C" w:rsidRPr="00F03204">
        <w:rPr>
          <w:rFonts w:ascii="Cambria Math" w:hAnsi="Cambria Math" w:cs="Cambria Math"/>
          <w:sz w:val="22"/>
          <w:szCs w:val="22"/>
        </w:rPr>
        <w:instrText>‐</w:instrText>
      </w:r>
      <w:r w:rsidR="00AE6E9C" w:rsidRPr="00F03204">
        <w:rPr>
          <w:rFonts w:ascii="Arial" w:hAnsi="Arial" w:cs="Arial"/>
          <w:sz w:val="22"/>
          <w:szCs w:val="22"/>
        </w:rPr>
        <w:instrText>year (January 2001 to December 2003) ground</w:instrText>
      </w:r>
      <w:r w:rsidR="00AE6E9C" w:rsidRPr="00F03204">
        <w:rPr>
          <w:rFonts w:ascii="Cambria Math" w:hAnsi="Cambria Math" w:cs="Cambria Math"/>
          <w:sz w:val="22"/>
          <w:szCs w:val="22"/>
        </w:rPr>
        <w:instrText>‐</w:instrText>
      </w:r>
      <w:r w:rsidR="00AE6E9C" w:rsidRPr="00F03204">
        <w:rPr>
          <w:rFonts w:ascii="Arial" w:hAnsi="Arial" w:cs="Arial"/>
          <w:sz w:val="22"/>
          <w:szCs w:val="22"/>
        </w:rPr>
        <w:instrText xml:space="preserve">based measurements of emissivity at Gaize (32.30°N, 84.06°E, 4420 m) on the western Tibetan Plateau. The results show that the broadband emissivity calculated from MODIS narrowband emissivities by this method matches well the ground measurements, with a standard deviation of 0.0085 and a bias of 0.0015.","container-title":"Journal of Geophysical Research: Atmospheres","DOI":"10.1029/2004JD005566","ISSN":"0148-0227","issue":"D11","journalAbbreviation":"J. Geophys. Res.","language":"en","license":"http://onlinelibrary.wiley.com/termsAndConditions#vor","page":"2004JD005566","source":"DOI.org (Crossref)","title":"Estimation of surface long wave radiation and broadband emissivity using Moderate Resolution Imaging Spectroradiometer (MODIS) land surface temperature/emissivity products","volume":"110","author":[{"family":"Wang","given":"Kaicun"},{"family":"Wan","given":"Zhengming"},{"family":"Wang","given":"Pucai"},{"family":"Sparrow","given":"Michael"},{"family":"Liu","given":"Jingmiao"},{"family":"Zhou","given":"Xiuji"},{"family":"Haginoya","given":"Shigenori"}],"issued":{"date-parts":[["2005",6,16]]}}}],"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(Wang et al., 2005)</w:t>
      </w:r>
      <w:r w:rsidR="00AE6E9C" w:rsidRPr="00F03204">
        <w:rPr>
          <w:rFonts w:ascii="Arial" w:hAnsi="Arial" w:cs="Arial"/>
          <w:sz w:val="22"/>
          <w:szCs w:val="22"/>
        </w:rPr>
        <w:fldChar w:fldCharType="end"/>
      </w:r>
      <w:r w:rsidRPr="00F03204">
        <w:rPr>
          <w:rFonts w:ascii="Arial" w:hAnsi="Arial" w:cs="Arial"/>
          <w:sz w:val="22"/>
          <w:szCs w:val="22"/>
        </w:rPr>
        <w:t>. Although closely related, land use and land cover signify different aspects of how Earth's surface is organized and utilized.</w:t>
      </w:r>
    </w:p>
    <w:p w14:paraId="4CAE7317" w14:textId="6C1302FF" w:rsidR="00EE123E" w:rsidRPr="00F03204" w:rsidRDefault="00EE123E" w:rsidP="00AB3D00">
      <w:pPr>
        <w:pStyle w:val="Heading2"/>
        <w:jc w:val="both"/>
        <w:rPr>
          <w:rFonts w:ascii="Arial" w:hAnsi="Arial" w:cs="Arial"/>
          <w:b/>
          <w:bCs/>
          <w:color w:val="auto"/>
          <w:sz w:val="22"/>
          <w:szCs w:val="22"/>
        </w:rPr>
      </w:pPr>
      <w:r w:rsidRPr="00F03204">
        <w:rPr>
          <w:rFonts w:ascii="Arial" w:hAnsi="Arial" w:cs="Arial"/>
          <w:b/>
          <w:bCs/>
          <w:color w:val="auto"/>
          <w:sz w:val="22"/>
          <w:szCs w:val="22"/>
        </w:rPr>
        <w:t>Land Cover</w:t>
      </w:r>
      <w:r w:rsidR="005C3C95" w:rsidRPr="00F03204">
        <w:rPr>
          <w:rFonts w:ascii="Arial" w:hAnsi="Arial" w:cs="Arial"/>
          <w:b/>
          <w:bCs/>
          <w:color w:val="auto"/>
          <w:sz w:val="22"/>
          <w:szCs w:val="22"/>
        </w:rPr>
        <w:t>:</w:t>
      </w:r>
    </w:p>
    <w:p w14:paraId="5B822567" w14:textId="1CE7A5F6" w:rsidR="00EE123E" w:rsidRPr="00F03204" w:rsidRDefault="00EE123E" w:rsidP="00AB3D00">
      <w:pPr>
        <w:jc w:val="both"/>
        <w:rPr>
          <w:rFonts w:ascii="Arial" w:hAnsi="Arial" w:cs="Arial"/>
          <w:sz w:val="22"/>
          <w:szCs w:val="22"/>
        </w:rPr>
      </w:pPr>
      <w:r w:rsidRPr="00F03204">
        <w:rPr>
          <w:rFonts w:ascii="Arial" w:hAnsi="Arial" w:cs="Arial"/>
          <w:sz w:val="22"/>
          <w:szCs w:val="22"/>
        </w:rPr>
        <w:t xml:space="preserve">Land cover refers to the </w:t>
      </w:r>
      <w:r w:rsidRPr="00F03204">
        <w:rPr>
          <w:rFonts w:ascii="Arial" w:hAnsi="Arial" w:cs="Arial"/>
          <w:b/>
          <w:bCs/>
          <w:sz w:val="22"/>
          <w:szCs w:val="22"/>
        </w:rPr>
        <w:t>natural and artificial physical features</w:t>
      </w:r>
      <w:r w:rsidRPr="00F03204">
        <w:rPr>
          <w:rFonts w:ascii="Arial" w:hAnsi="Arial" w:cs="Arial"/>
          <w:sz w:val="22"/>
          <w:szCs w:val="22"/>
        </w:rPr>
        <w:t xml:space="preserve"> that occupy the Earth's surface at a given time</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{"citationID":"7zJbuFH2","properties":{"formattedCitation":"(Costa et al., 2017)","plainCitation":"(Costa et al., 2017)","noteIndex":0},"citationItems":[{"id":245,"uris":["http://zotero.org/users/local/5NZeGExO/items/C7UEQ6QT"],"itemData":{"id":245,"type":"paper-conference","abstract":"This paper presents an experimental evaluation of the Normalized Difference Vegetation Index (NDVI), comparing results obtained with images from the Operational Land Imager (OLI) onboard Landsat 8 satellite, Multispectral Instrument (MSI) onboard Sentinel-2A satellite, and data acquired through field surveys applied in a semi-detailed geological mapping of the Campo Formoso region in Brazil. Large areas of vegetation have predominantly been determined by climatic factors but this classification changes when zones of smaller dimensions are considered, as they may share similar climatic characteristics. Within the framework of the thematic mapping performed, the aspect with the greatest influence in forming associated vegetation is the nature of the lithotypes, whose influences determine the direct interferences of soil genesis. From a comparison of the results, it was possible to effectuate a quantified correlation between NDVI values of the distinct sensors and qualitatively suggest the magnitude of the proximity between the distribution of different phytophysiognomies and their intrinsic relationship with lithogeological expressions.","container-title":"2017 First IEEE International Symposium of Geoscience and Remote Sensing (GRSS-CHILE)","DOI":"10.1109/GRSS-CHILE.2017.7996006","event-place":"Valdivia, Chile","event-title":"2017 First IEEE International Symposium of Geoscience and Remote Sensing (GRSS-CHILE)","ISBN":"978-1-5386-0740-4","language":"pt","page":"1-4","publisher":"IEEE","publisher-place":"Valdivia, Chile","source":"DOI.org (Crossref)","title":"Evaluation of Landsat 8 and Sentinel-2A data on the correlation between geological mapping and NDVI","URL":"http://ieeexplore.ieee.org/document/7996006/","author":[{"family":"Costa","given":"Silas"},{"family":"Santos","given":"Vagner"},{"family":"Melo","given":"Danilo"},{"family":"Santos","given":"Pablo"}],"accessed":{"date-parts":[["2025",6,8]]},"issued":{"date-parts":[["2017",6]]}}}],"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(Costa et al., 2017)</w:t>
      </w:r>
      <w:r w:rsidR="00AE6E9C" w:rsidRPr="00F03204">
        <w:rPr>
          <w:rFonts w:ascii="Arial" w:hAnsi="Arial" w:cs="Arial"/>
          <w:sz w:val="22"/>
          <w:szCs w:val="22"/>
        </w:rPr>
        <w:fldChar w:fldCharType="end"/>
      </w:r>
      <w:r w:rsidRPr="00F03204">
        <w:rPr>
          <w:rFonts w:ascii="Arial" w:hAnsi="Arial" w:cs="Arial"/>
          <w:sz w:val="22"/>
          <w:szCs w:val="22"/>
        </w:rPr>
        <w:t>. It includes vegetation types, water bodies, bare soil, impervious surfaces, and snow or ice. Land cover is directly measurable using remote sensing techniques, primarily through the spectral signatures captured by multispectral sensors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{"citationID":"WDLRaHSP","properties":{"formattedCitation":"(J. U. &amp; Abah, 2019)","plainCitation":"(J. U. &amp; Abah, 2019)","noteIndex":0},"citationItems":[{"id":234,"uris":["http://zotero.org/users/local/5NZeGExO/items/LIKBJCLD"],"itemData":{"id":234,"type":"article-journal","abstract":"Land surface temperature (LST) fluctuation is a global problem that is responsible for regional and global climate change. Abnormal LST causes drought, depletion of ozone layers, skin and lung diseases and also affect crops production. Spatial distribution of surface temperature has become an issue especially to less developed countries with little or absent of temperature stations to report daily or monthly temperature of the area. This study utilized remote sensing approach to estimate land surface temperature, NDVI and GNDVI of Port Harcourt, Rivers State, Nigeria. The study was conducted using Landsat imageries of two epochs (1990 and 2017) which was downloaded using path 188 and row 57. The images were converted from DN to TOA radiance using algorithm specified in the Landsat user’s guide. The highest estimated LST in 1990 and 2017 map was 28.77°C and 29.37°C. Also, in 1990 the highest LST was recorded in Diobu and part of Old Port Harcourt Township while in 2017 maximum temperature extended from Diobu to Trans-amadi. The increase LST was due to urbanization and industrialization in the city. The study observed mean difference between estimated LST of 1990 and 2017 and that observed by NIMET as 1.24°C and 2.91°C respectively. There was positive correlation coefficient of 0.09 and 0.4 between LST against NDVI in 1990 and in 2017 and between LST against GNDVI of 0.19 and 0.30 was also observed in both years. This study justified that remote sensing and GIS can be used to derive LST which can be used for environmental studies and research purposes. For further study, LST should be estimated in all the state and their values validate with in-situ observations.","container-title":"International Journal of Research -GRANTHAALAYAH","DOI":"10.29121/granthaalayah.v7.i2.2019.1013","ISSN":"2350-0530, 2394-3629","issue":"2","journalAbbreviation":"Int. J. Res. Granthaalayah","language":"en","page":"108-120","source":"DOI.org (Crossref)","title":"DERIVATION OF LAND SURFACE TEMPERATURE (LST) FROM LANDSAT 7 &amp; 8 IMAGERIES AND ITS RELATIONSHIP WITH TWO VEGETATION INDICES (NDVI AND GNDVI)","volume":"7","author":[{"family":"J. U.","given":"Richard"},{"family":"Abah","given":"Ibochi Andrew"}],"issued":{"date-parts":[["2019",2,28]]}}}],"schema":"https://github.com/citation-style-language/schema/raw/master/csl-citation.json"}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(J. U. &amp; Abah, 2019)</w:t>
      </w:r>
      <w:r w:rsidR="00AE6E9C" w:rsidRPr="00F03204">
        <w:rPr>
          <w:rFonts w:ascii="Arial" w:hAnsi="Arial" w:cs="Arial"/>
          <w:sz w:val="22"/>
          <w:szCs w:val="22"/>
        </w:rPr>
        <w:fldChar w:fldCharType="end"/>
      </w:r>
      <w:r w:rsidRPr="00F03204">
        <w:rPr>
          <w:rFonts w:ascii="Arial" w:hAnsi="Arial" w:cs="Arial"/>
          <w:sz w:val="22"/>
          <w:szCs w:val="22"/>
        </w:rPr>
        <w:t>. These data are processed to generate thematic maps that classify areas into distinct categories such as forest, cropland, water, or built-up areas.</w:t>
      </w:r>
    </w:p>
    <w:p w14:paraId="2AE1B769" w14:textId="77777777" w:rsidR="00EE123E" w:rsidRPr="00F03204" w:rsidRDefault="00EE123E" w:rsidP="00AB3D00">
      <w:pPr>
        <w:jc w:val="both"/>
        <w:rPr>
          <w:rFonts w:ascii="Arial" w:hAnsi="Arial" w:cs="Arial"/>
          <w:sz w:val="22"/>
          <w:szCs w:val="22"/>
        </w:rPr>
      </w:pPr>
      <w:r w:rsidRPr="00F03204">
        <w:rPr>
          <w:rFonts w:ascii="Arial" w:hAnsi="Arial" w:cs="Arial"/>
          <w:sz w:val="22"/>
          <w:szCs w:val="22"/>
        </w:rPr>
        <w:t>Land cover data are instrumental in environmental monitoring, as they provide objective indicators of ecological conditions, land degradation, and climate variability. For example, reductions in vegetative cover may indicate deforestation, while increases in impervious surfaces signal urban sprawl.</w:t>
      </w:r>
    </w:p>
    <w:p w14:paraId="30460C90" w14:textId="3A2FB77A" w:rsidR="00EE123E" w:rsidRPr="00F03204" w:rsidRDefault="00EE123E" w:rsidP="00AB3D00">
      <w:pPr>
        <w:pStyle w:val="Heading2"/>
        <w:jc w:val="both"/>
        <w:rPr>
          <w:rFonts w:ascii="Arial" w:hAnsi="Arial" w:cs="Arial"/>
          <w:b/>
          <w:bCs/>
          <w:color w:val="auto"/>
          <w:sz w:val="22"/>
          <w:szCs w:val="22"/>
        </w:rPr>
      </w:pPr>
      <w:r w:rsidRPr="00F03204">
        <w:rPr>
          <w:rFonts w:ascii="Arial" w:hAnsi="Arial" w:cs="Arial"/>
          <w:b/>
          <w:bCs/>
          <w:color w:val="auto"/>
          <w:sz w:val="22"/>
          <w:szCs w:val="22"/>
        </w:rPr>
        <w:t>Land Use</w:t>
      </w:r>
      <w:r w:rsidR="005C3C95" w:rsidRPr="00F03204">
        <w:rPr>
          <w:rFonts w:ascii="Arial" w:hAnsi="Arial" w:cs="Arial"/>
          <w:b/>
          <w:bCs/>
          <w:color w:val="auto"/>
          <w:sz w:val="22"/>
          <w:szCs w:val="22"/>
        </w:rPr>
        <w:t>:</w:t>
      </w:r>
    </w:p>
    <w:p w14:paraId="0A5CCCDA" w14:textId="6A53388F" w:rsidR="00EE123E" w:rsidRPr="00F03204" w:rsidRDefault="00EE123E" w:rsidP="00AB3D00">
      <w:pPr>
        <w:jc w:val="both"/>
        <w:rPr>
          <w:rFonts w:ascii="Arial" w:hAnsi="Arial" w:cs="Arial"/>
          <w:sz w:val="22"/>
          <w:szCs w:val="22"/>
        </w:rPr>
      </w:pPr>
      <w:r w:rsidRPr="00F03204">
        <w:rPr>
          <w:rFonts w:ascii="Arial" w:hAnsi="Arial" w:cs="Arial"/>
          <w:sz w:val="22"/>
          <w:szCs w:val="22"/>
        </w:rPr>
        <w:t xml:space="preserve">In contrast, land use describes the </w:t>
      </w:r>
      <w:r w:rsidRPr="00F03204">
        <w:rPr>
          <w:rFonts w:ascii="Arial" w:hAnsi="Arial" w:cs="Arial"/>
          <w:b/>
          <w:bCs/>
          <w:sz w:val="22"/>
          <w:szCs w:val="22"/>
        </w:rPr>
        <w:t>human purpose or activity assigned to the land</w:t>
      </w:r>
      <w:r w:rsidRPr="00F03204">
        <w:rPr>
          <w:rFonts w:ascii="Arial" w:hAnsi="Arial" w:cs="Arial"/>
          <w:sz w:val="22"/>
          <w:szCs w:val="22"/>
        </w:rPr>
        <w:t>. It reflects how people interact with the landscape for residential, agricultural, commercial, industrial, recreational, or conservation purposes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{"citationID":"JgoDvANt","properties":{"formattedCitation":"(Avci et al., 2023)","plainCitation":"(Avci et al., 2023)","noteIndex":0},"citationItems":[{"id":251,"uris":["http://zotero.org/users/local/5NZeGExO/items/327MTJBW"],"itemData":{"id":251,"type":"article-journal","abstract":"Nowadays, machine learning (ML) algorithms have been widely chosen for classifying satellite images for mapping Earth's surface. Support Vector Machine (SVM) and Random Forest (RF) stand out among these algorithms with their accurate results in the literature. The aim of this study is to analyze the performances of these algorithms on land use and land cover (LULC) classification, especially wetlands which have significant ecological functions. For this purpose, Sentinel-2 satellite image, which is freely provided by European Space Agency (ESA), was used to monitor not only the open surface water body but also around Marmara Lake. The performance evaluation was made with the increasing number of the training dataset. 3 different training datasets having 10, 15, and 20 areas of interest (AOI) per class, respectively were used for the classification of the satellite images acquired in 2015 and 2020. The most accurate results were obtained from the classification with RF algorithm and 20 AOIs. According to obtained results, the change detection analysis of Marmara Lake was investigated for possible reasons. Whereas the water body and wetland have decreased more than 50% between 2015 and 2020, crop sites have increased approximately 50%.","container-title":"International Journal of Engineering and Geosciences","DOI":"10.26833/ijeg.987605","ISSN":"2548-0960","issue":"1","language":"en","page":"1-10","source":"DOI.org (Crossref)","title":"Comparison between random forest and support vector machine algorithms for LULC classification","volume":"8","author":[{"family":"Avci","given":"Cengiz"},{"family":"Budak","given":"Muhammed"},{"family":"Yağmur","given":"Nur"},{"family":"Balçik","given":"Filiz"}],"issued":{"date-parts":[["2023",2,15]]}}}],"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(Avci et al., 2023)</w:t>
      </w:r>
      <w:r w:rsidR="00AE6E9C" w:rsidRPr="00F03204">
        <w:rPr>
          <w:rFonts w:ascii="Arial" w:hAnsi="Arial" w:cs="Arial"/>
          <w:sz w:val="22"/>
          <w:szCs w:val="22"/>
        </w:rPr>
        <w:fldChar w:fldCharType="end"/>
      </w:r>
      <w:r w:rsidRPr="00F03204">
        <w:rPr>
          <w:rFonts w:ascii="Arial" w:hAnsi="Arial" w:cs="Arial"/>
          <w:sz w:val="22"/>
          <w:szCs w:val="22"/>
        </w:rPr>
        <w:t xml:space="preserve">. Unlike land cover, which is a physical </w:t>
      </w:r>
      <w:r w:rsidRPr="00F03204">
        <w:rPr>
          <w:rFonts w:ascii="Arial" w:hAnsi="Arial" w:cs="Arial"/>
          <w:sz w:val="22"/>
          <w:szCs w:val="22"/>
        </w:rPr>
        <w:lastRenderedPageBreak/>
        <w:t>property, land use is a socio-economic function and is often inferred from auxiliary datasets, including census records, cadastral maps, or field surveys.</w:t>
      </w:r>
    </w:p>
    <w:p w14:paraId="252B8730" w14:textId="32F5D3D8" w:rsidR="00EE123E" w:rsidRPr="00F03204" w:rsidRDefault="00EE123E" w:rsidP="00AB3D00">
      <w:pPr>
        <w:jc w:val="both"/>
        <w:rPr>
          <w:rFonts w:ascii="Arial" w:hAnsi="Arial" w:cs="Arial"/>
          <w:sz w:val="22"/>
          <w:szCs w:val="22"/>
        </w:rPr>
      </w:pPr>
      <w:r w:rsidRPr="00F03204">
        <w:rPr>
          <w:rFonts w:ascii="Arial" w:hAnsi="Arial" w:cs="Arial"/>
          <w:sz w:val="22"/>
          <w:szCs w:val="22"/>
        </w:rPr>
        <w:t>Land use patterns change dynamically in response to policy, population pressure, economic growth, and environmental constraints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{"citationID":"5ZZFG4Vl","properties":{"formattedCitation":"(Filgueiras et al., 2020)","plainCitation":"(Filgueiras et al., 2020)","noteIndex":0},"citationItems":[{"id":293,"uris":["http://zotero.org/users/local/5NZeGExO/items/AX5QH8LN"],"itemData":{"id":293,"type":"article-journal","abstract":"One of the obstacles in monitoring agricultural crops is the diﬃculty in understanding and mapping rapid changes of these crops. With the purpose of addressing this issue, this study aimed to model and fuse the Moderate Resolution Imaging Spectroradiometer (MODIS) Normalized Diﬀerence Vegetation Index (NDVI) using Landsat-like images to achieve daily high spatial resolution NDVI. The study was performed for the period of 2017 on a commercial farm of irrigated maize-soybean rotation in the western region of the state of Bahia, Brazil. To achieve the objective, the following procedures were performed: (i) Landsat-like images were upscaled to match the Landsat-8 spatial resolution (30 m); (ii) the reﬂectance of Landsat-like images was intercalibrated using the Landsat-8 as a reference; (iii) Landsat-like reﬂectance images were upscaled to match the MODIS sensor spatial resolution (250 m); (iv) regression models were trained daily to model MODIS NDVI using the upscaled Landsat-like reﬂectance images (250 m) of the closest day as the input; and (v) the intercalibrated version of the Landsat-like images (30 m) used in the previous step was used as the input for the trained model, resulting in a downscaled MODIS NDVI (30 m). To determine the best ﬁtting model, we used the following statistical metrics: coeﬃcient of determination (r2), root mean square error (RMSE), Nash–Sutcliﬀe eﬃciency index (NSE), mean bias error (MBE), and mean absolute error (MAE). Among the assessed regression models, the Cubist algorithm was sensitive to changes in agriculture and performed best in modeling of the Landsat-like MODIS NDVI. The results obtained in the present research are promising and can enable the monitoring of dynamic phenomena with images available free of charge, changing the way in which decisions are made using satellite images.","container-title":"Remote Sensing","DOI":"10.3390/rs12081297","ISSN":"2072-4292","issue":"8","journalAbbreviation":"Remote Sensing","language":"en","license":"https://creativecommons.org/licenses/by/4.0/","page":"1297","source":"DOI.org (Crossref)","title":"Fusion of MODIS and Landsat-Like Images for Daily High Spatial Resolution NDVI","volume":"12","author":[{"family":"Filgueiras","given":"Roberto"},{"family":"Mantovani","given":"Everardo Chartuni"},{"family":"Fernandes-Filho","given":"Elpídio Inácio"},{"family":"Cunha","given":"Fernando França Da"},{"family":"Althoff","given":"Daniel"},{"family":"Dias","given":"Santos Henrique Brant"}],"issued":{"date-parts":[["2020",4,20]]}}}],"schema":"https://github.com/citation-style-language/schema/raw/master/csl-citation.json"}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(Filgueiras et al., 2020)</w:t>
      </w:r>
      <w:r w:rsidR="00AE6E9C" w:rsidRPr="00F03204">
        <w:rPr>
          <w:rFonts w:ascii="Arial" w:hAnsi="Arial" w:cs="Arial"/>
          <w:sz w:val="22"/>
          <w:szCs w:val="22"/>
        </w:rPr>
        <w:fldChar w:fldCharType="end"/>
      </w:r>
      <w:r w:rsidRPr="00F03204">
        <w:rPr>
          <w:rFonts w:ascii="Arial" w:hAnsi="Arial" w:cs="Arial"/>
          <w:sz w:val="22"/>
          <w:szCs w:val="22"/>
        </w:rPr>
        <w:t>. Two areas with identical land cover might support very different land uses, such as a park versus a pasture, highlighting the importance of integrating social data with remote sensing</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{"citationID":"z73WDpwO","properties":{"formattedCitation":"(Fu et al., 2011)","plainCitation":"(Fu et al., 2011)","noteIndex":0},"citationItems":[{"id":235,"uris":["http://zotero.org/users/local/5NZeGExO/items/FQTQ9WJP"],"itemData":{"id":235,"type":"article-journal","abstract":"Meteorological data are scarce due to lack of meteorology stations in the Qinghai–Tibet Plateau. This often results in an imprecise estimation of air temperature. A linear estimation of air temperature of an alpine meadow on Northern Tibetan Plateau at heights of 1.5 m–2.1 m by using MODIS land surface temperature (LST) data was conducted in this study. The results showed that linear estimation of daily maximum and daytime mean air temperatures from MODIS LST data were not accurate enough (P &gt; 0.01, R2 &lt; 0.10) during the growing season. In contrast, the linear relationships between daily maximum and daytime mean air temperature and MODIS LST during the non-growing season were both signiﬁcant (P &lt; 0.01, R2 &gt; 0.40). MODIS LST data were accurate enough to linearly estimate daily minimum and nighttime mean air temperatures (P &lt; 0.01, R2 &gt; 0.55). Moreover, derived LST from MODIS/Terra platform (MOD11A2) had higher accuracies than derived LST from MODIS/Aqua platform (MYD11A2) in linearly estimating air temperatures mentioned above.","container-title":"Acta Ecologica Sinica","DOI":"10.1016/j.chnaes.2010.11.002","ISSN":"18722032","issue":"1","journalAbbreviation":"Acta Ecologica Sinica","language":"en","license":"https://www.elsevier.com/tdm/userlicense/1.0/","page":"8-13","source":"DOI.org (Crossref)","title":"Estimating air temperature of an alpine meadow on the Northern Tibetan Plateau using MODIS land surface temperature","volume":"31","author":[{"family":"Fu","given":"Gang"},{"family":"Shen","given":"Zhenxi"},{"family":"Zhang","given":"Xianzhou"},{"family":"Shi","given":"Peili"},{"family":"Zhang","given":"Yangjian"},{"family":"Wu","given":"Jianshuang"}],"issued":{"date-parts":[["2011",2]]}}}],"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(Fu et al., 2011)</w:t>
      </w:r>
      <w:r w:rsidR="00AE6E9C" w:rsidRPr="00F03204">
        <w:rPr>
          <w:rFonts w:ascii="Arial" w:hAnsi="Arial" w:cs="Arial"/>
          <w:sz w:val="22"/>
          <w:szCs w:val="22"/>
        </w:rPr>
        <w:fldChar w:fldCharType="end"/>
      </w:r>
      <w:r w:rsidRPr="00F03204">
        <w:rPr>
          <w:rFonts w:ascii="Arial" w:hAnsi="Arial" w:cs="Arial"/>
          <w:sz w:val="22"/>
          <w:szCs w:val="22"/>
        </w:rPr>
        <w:t>.</w:t>
      </w:r>
    </w:p>
    <w:p w14:paraId="11EDF490" w14:textId="00408D4D" w:rsidR="00EE123E" w:rsidRPr="00F03204" w:rsidRDefault="00EE123E"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LULC in Geospatial Monitoring</w:t>
      </w:r>
      <w:r w:rsidR="005C3C95" w:rsidRPr="00F03204">
        <w:rPr>
          <w:rFonts w:ascii="Arial" w:hAnsi="Arial" w:cs="Arial"/>
          <w:b/>
          <w:bCs/>
          <w:color w:val="auto"/>
          <w:sz w:val="22"/>
          <w:szCs w:val="22"/>
        </w:rPr>
        <w:t>:</w:t>
      </w:r>
    </w:p>
    <w:p w14:paraId="70CBEDA9" w14:textId="2B755D6D" w:rsidR="00EE123E" w:rsidRPr="00F03204" w:rsidRDefault="00EE123E" w:rsidP="00AB3D00">
      <w:pPr>
        <w:jc w:val="both"/>
        <w:rPr>
          <w:rFonts w:ascii="Arial" w:hAnsi="Arial" w:cs="Arial"/>
          <w:sz w:val="22"/>
          <w:szCs w:val="22"/>
        </w:rPr>
      </w:pPr>
      <w:r w:rsidRPr="00F03204">
        <w:rPr>
          <w:rFonts w:ascii="Arial" w:hAnsi="Arial" w:cs="Arial"/>
          <w:sz w:val="22"/>
          <w:szCs w:val="22"/>
        </w:rPr>
        <w:t xml:space="preserve">In applied geospatial analysis, </w:t>
      </w:r>
      <w:r w:rsidRPr="00F03204">
        <w:rPr>
          <w:rFonts w:ascii="Arial" w:hAnsi="Arial" w:cs="Arial"/>
          <w:b/>
          <w:bCs/>
          <w:sz w:val="22"/>
          <w:szCs w:val="22"/>
        </w:rPr>
        <w:t>Land Use Land Cover (LULC)</w:t>
      </w:r>
      <w:r w:rsidRPr="00F03204">
        <w:rPr>
          <w:rFonts w:ascii="Arial" w:hAnsi="Arial" w:cs="Arial"/>
          <w:sz w:val="22"/>
          <w:szCs w:val="22"/>
        </w:rPr>
        <w:t xml:space="preserve"> studies synthesize both physical land characteristics and human-environment interactions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{"citationID":"jOyZhggF","properties":{"formattedCitation":"({\\i{}Jurnal Geodesi Undip}, 2015)","plainCitation":"(Jurnal Geodesi Undip, 2015)","noteIndex":0},"citationItems":[{"id":247,"uris":["http://zotero.org/users/local/5NZeGExO/items/GPL78686"],"itemData":{"id":247,"type":"article-journal","abstract":"Paddy (Oryza sativa, sp) is one of the most important agricultural sector in Indonesia, because rice is the main food for more than 90% of Indonesia's population. Based on BPS-Susenas data, consumption of rice per capita in 2013 amounted to 97.4045 kg/capita/year. Based on Statistical Data of Agriculture Ministry of Agriculture by 2014, Indonesia rice field area in 2013 amounted to 8,112,103 ha. In 2017, the Government has the mission of realizing Indonesia became self-sufficient in food. Therefore, the Government should be able to seek the stability of the fulfillment of basic needs for food, such as wetlands mapping. It’s accurate mapping can use a quick and easy method such as Remote Sensing.","language":"id","source":"Zotero","title":"Jurnal Geodesi Undip","issued":{"date-parts":[["2015"]]}}}],"schema":"https://github.com/citation-style-language/schema/raw/master/csl-citation.json"}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kern w:val="0"/>
          <w:sz w:val="22"/>
          <w:szCs w:val="22"/>
        </w:rPr>
        <w:t>(</w:t>
      </w:r>
      <w:r w:rsidR="00AE6E9C" w:rsidRPr="00F03204">
        <w:rPr>
          <w:rFonts w:ascii="Arial" w:hAnsi="Arial" w:cs="Arial"/>
          <w:i/>
          <w:iCs/>
          <w:kern w:val="0"/>
          <w:sz w:val="22"/>
          <w:szCs w:val="22"/>
        </w:rPr>
        <w:t>Jurnal Geodesi Undip</w:t>
      </w:r>
      <w:r w:rsidR="00AE6E9C" w:rsidRPr="00F03204">
        <w:rPr>
          <w:rFonts w:ascii="Arial" w:hAnsi="Arial" w:cs="Arial"/>
          <w:kern w:val="0"/>
          <w:sz w:val="22"/>
          <w:szCs w:val="22"/>
        </w:rPr>
        <w:t>, 2015)</w:t>
      </w:r>
      <w:r w:rsidR="00AE6E9C" w:rsidRPr="00F03204">
        <w:rPr>
          <w:rFonts w:ascii="Arial" w:hAnsi="Arial" w:cs="Arial"/>
          <w:sz w:val="22"/>
          <w:szCs w:val="22"/>
        </w:rPr>
        <w:fldChar w:fldCharType="end"/>
      </w:r>
      <w:r w:rsidRPr="00F03204">
        <w:rPr>
          <w:rFonts w:ascii="Arial" w:hAnsi="Arial" w:cs="Arial"/>
          <w:sz w:val="22"/>
          <w:szCs w:val="22"/>
        </w:rPr>
        <w:t xml:space="preserve">. LULC classification is crucial for tracking landscape transformation, modeling environmental processes, and informing sustainable planning. Using satellite data, particularly from missions like </w:t>
      </w:r>
      <w:r w:rsidRPr="00F03204">
        <w:rPr>
          <w:rFonts w:ascii="Arial" w:hAnsi="Arial" w:cs="Arial"/>
          <w:b/>
          <w:bCs/>
          <w:sz w:val="22"/>
          <w:szCs w:val="22"/>
        </w:rPr>
        <w:t>Landsat 8</w:t>
      </w:r>
      <w:r w:rsidRPr="00F03204">
        <w:rPr>
          <w:rFonts w:ascii="Arial" w:hAnsi="Arial" w:cs="Arial"/>
          <w:sz w:val="22"/>
          <w:szCs w:val="22"/>
        </w:rPr>
        <w:t xml:space="preserve"> and </w:t>
      </w:r>
      <w:r w:rsidRPr="00F03204">
        <w:rPr>
          <w:rFonts w:ascii="Arial" w:hAnsi="Arial" w:cs="Arial"/>
          <w:b/>
          <w:bCs/>
          <w:sz w:val="22"/>
          <w:szCs w:val="22"/>
        </w:rPr>
        <w:t>MODIS</w:t>
      </w:r>
      <w:r w:rsidRPr="00F03204">
        <w:rPr>
          <w:rFonts w:ascii="Arial" w:hAnsi="Arial" w:cs="Arial"/>
          <w:sz w:val="22"/>
          <w:szCs w:val="22"/>
        </w:rPr>
        <w:t>, researchers can map LULC categories over time, assess change trajectories, and identify drivers of change</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{"citationID":"iyTrRGCr","properties":{"formattedCitation":"(Xie et al., 2016)","plainCitation":"(Xie et al., 2016)","noteIndex":0},"citationItems":[{"id":249,"uris":["http://zotero.org/users/local/5NZeGExO/items/6552EAXS"],"itemData":{"id":249,"type":"article-journal","abstract":"The successful launch of the Landsat 8 satellite continues the Earth observation of the Landsat series, which has been taking place for nearly 40 years. With the increase in the band number and the improved spectral range compared with the previous Landsat imagery, it will be possible to expand the application of the new Landsat 8 imagery. The purpose of this study is to explore water extraction based on the new Landsat 8 Operational Land Imager (OLI) imagery. According to the speciﬁc inland water conditions (clear water, turbid water, and eutrophic water), a number of highly adaptable water indices are assessed for water extraction using Landsat OLI imagery. The results show that clear water is the easiest to extract among the diﬀerent types of waterbodies, with the highest average accuracy of 97%. The highest-accuracy methods are the automated water extraction index for shadow pixels (AWEIsh), the normalized diﬀerence water index using bands 4 and 7 (NDWI47), and the normalized diﬀerence water index using bands 3 and 7 (NDWI37), with accuracies of 98.55%, 95.50%, and 96.61%, corresponding to clear water, turbid water, and eutrophic water, respectively. Through the analysis of the diﬀerent methods for optimal band selection, the seventh band OLI7 (shortwave infrared 2, SWIR-2) of Landsat OLI shows the best performance in water identiﬁcation. When applying the water indices to water extraction, Otsu’s algorithm has been used to automatically select the water threshold. Using extensive experiments with Otsu’s algorithm and a manual method, it was found that Otsu’s algorithm can replace manual selection and has the ability to select an accurate threshold for water extraction.","container-title":"International Journal of Remote Sensing","DOI":"10.1080/01431161.2016.1168948","ISSN":"0143-1161, 1366-5901","issue":"8","journalAbbreviation":"International Journal of Remote Sensing","language":"en","page":"1826-1844","source":"DOI.org (Crossref)","title":"Evaluation of Landsat 8 OLI imagery for unsupervised inland water extraction","volume":"37","author":[{"family":"Xie","given":"Huan"},{"family":"Luo","given":"Xin"},{"family":"Xu","given":"Xiong"},{"family":"Pan","given":"Haiyan"},{"family":"Tong","given":"Xiaohua"}],"issued":{"date-parts":[["2016",4,17]]}}}],"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(Xie et al., 2016)</w:t>
      </w:r>
      <w:r w:rsidR="00AE6E9C" w:rsidRPr="00F03204">
        <w:rPr>
          <w:rFonts w:ascii="Arial" w:hAnsi="Arial" w:cs="Arial"/>
          <w:sz w:val="22"/>
          <w:szCs w:val="22"/>
        </w:rPr>
        <w:fldChar w:fldCharType="end"/>
      </w:r>
      <w:r w:rsidRPr="00F03204">
        <w:rPr>
          <w:rFonts w:ascii="Arial" w:hAnsi="Arial" w:cs="Arial"/>
          <w:sz w:val="22"/>
          <w:szCs w:val="22"/>
        </w:rPr>
        <w:t>.</w:t>
      </w:r>
    </w:p>
    <w:p w14:paraId="5A6952D2" w14:textId="77777777" w:rsidR="00EE123E" w:rsidRPr="00F03204" w:rsidRDefault="00EE123E" w:rsidP="00AB3D00">
      <w:pPr>
        <w:jc w:val="both"/>
        <w:rPr>
          <w:rFonts w:ascii="Arial" w:hAnsi="Arial" w:cs="Arial"/>
          <w:sz w:val="22"/>
          <w:szCs w:val="22"/>
        </w:rPr>
      </w:pPr>
      <w:r w:rsidRPr="00F03204">
        <w:rPr>
          <w:rFonts w:ascii="Arial" w:hAnsi="Arial" w:cs="Arial"/>
          <w:sz w:val="22"/>
          <w:szCs w:val="22"/>
        </w:rPr>
        <w:t xml:space="preserve">In the context of this study, LULC maps derived from Landsat 8 were used to analyze changes in built-up areas, vegetation, agriculture, and water bodies within the </w:t>
      </w:r>
      <w:r w:rsidRPr="00F03204">
        <w:rPr>
          <w:rFonts w:ascii="Arial" w:hAnsi="Arial" w:cs="Arial"/>
          <w:b/>
          <w:bCs/>
          <w:sz w:val="22"/>
          <w:szCs w:val="22"/>
        </w:rPr>
        <w:t>Kolkata Metropolitan Area (KMA)</w:t>
      </w:r>
      <w:r w:rsidRPr="00F03204">
        <w:rPr>
          <w:rFonts w:ascii="Arial" w:hAnsi="Arial" w:cs="Arial"/>
          <w:sz w:val="22"/>
          <w:szCs w:val="22"/>
        </w:rPr>
        <w:t xml:space="preserve"> from 2016 to 2022. These insights are vital for understanding urban growth dynamics, environmental stress, and resource pressure in one of India’s most rapidly expanding metropolitan regions.</w:t>
      </w:r>
    </w:p>
    <w:p w14:paraId="2DE26FF4" w14:textId="3805B483" w:rsidR="00E21063" w:rsidRPr="00F03204" w:rsidRDefault="00E21063"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Land Use Land Cover Change Studies</w:t>
      </w:r>
      <w:r w:rsidR="005C3C95" w:rsidRPr="00F03204">
        <w:rPr>
          <w:rFonts w:ascii="Arial" w:hAnsi="Arial" w:cs="Arial"/>
          <w:b/>
          <w:bCs/>
          <w:color w:val="auto"/>
          <w:sz w:val="22"/>
          <w:szCs w:val="22"/>
        </w:rPr>
        <w:t>:</w:t>
      </w:r>
    </w:p>
    <w:p w14:paraId="62EDAA12" w14:textId="127CE5C1" w:rsidR="00E21063" w:rsidRPr="00F03204" w:rsidRDefault="00E21063" w:rsidP="00AB3D00">
      <w:pPr>
        <w:jc w:val="both"/>
        <w:rPr>
          <w:rFonts w:ascii="Arial" w:hAnsi="Arial" w:cs="Arial"/>
          <w:sz w:val="22"/>
          <w:szCs w:val="22"/>
        </w:rPr>
      </w:pPr>
      <w:r w:rsidRPr="00F03204">
        <w:rPr>
          <w:rFonts w:ascii="Arial" w:hAnsi="Arial" w:cs="Arial"/>
          <w:sz w:val="22"/>
          <w:szCs w:val="22"/>
        </w:rPr>
        <w:t>Land Use Land Cover Change (LULCC) has emerged as a critical research theme in the study of environmental transformation, urbanization, and global change processes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{"citationID":"2XURst8x","properties":{"formattedCitation":"(Costa et al., 2017)","plainCitation":"(Costa et al., 2017)","noteIndex":0},"citationItems":[{"id":245,"uris":["http://zotero.org/users/local/5NZeGExO/items/C7UEQ6QT"],"itemData":{"id":245,"type":"paper-conference","abstract":"This paper presents an experimental evaluation of the Normalized Difference Vegetation Index (NDVI), comparing results obtained with images from the Operational Land Imager (OLI) onboard Landsat 8 satellite, Multispectral Instrument (MSI) onboard Sentinel-2A satellite, and data acquired through field surveys applied in a semi-detailed geological mapping of the Campo Formoso region in Brazil. Large areas of vegetation have predominantly been determined by climatic factors but this classification changes when zones of smaller dimensions are considered, as they may share similar climatic characteristics. Within the framework of the thematic mapping performed, the aspect with the greatest influence in forming associated vegetation is the nature of the lithotypes, whose influences determine the direct interferences of soil genesis. From a comparison of the results, it was possible to effectuate a quantified correlation between NDVI values of the distinct sensors and qualitatively suggest the magnitude of the proximity between the distribution of different phytophysiognomies and their intrinsic relationship with lithogeological expressions.","container-title":"2017 First IEEE International Symposium of Geoscience and Remote Sensing (GRSS-CHILE)","DOI":"10.1109/GRSS-CHILE.2017.7996006","event-place":"Valdivia, Chile","event-title":"2017 First IEEE International Symposium of Geoscience and Remote Sensing (GRSS-CHILE)","ISBN":"978-1-5386-0740-4","language":"pt","page":"1-4","publisher":"IEEE","publisher-place":"Valdivia, Chile","source":"DOI.org (Crossref)","title":"Evaluation of Landsat 8 and Sentinel-2A data on the correlation between geological mapping and NDVI","URL":"http://ieeexplore.ieee.org/document/7996006/","author":[{"family":"Costa","given":"Silas"},{"family":"Santos","given":"Vagner"},{"family":"Melo","given":"Danilo"},{"family":"Santos","given":"Pablo"}],"accessed":{"date-parts":[["2025",6,8]]},"issued":{"date-parts":[["2017",6]]}}}],"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(Costa et al., 2017)</w:t>
      </w:r>
      <w:r w:rsidR="00AE6E9C" w:rsidRPr="00F03204">
        <w:rPr>
          <w:rFonts w:ascii="Arial" w:hAnsi="Arial" w:cs="Arial"/>
          <w:sz w:val="22"/>
          <w:szCs w:val="22"/>
        </w:rPr>
        <w:fldChar w:fldCharType="end"/>
      </w:r>
      <w:r w:rsidRPr="00F03204">
        <w:rPr>
          <w:rFonts w:ascii="Arial" w:hAnsi="Arial" w:cs="Arial"/>
          <w:sz w:val="22"/>
          <w:szCs w:val="22"/>
        </w:rPr>
        <w:t>. The continuous and often rapid changes in land use and land cover reflect human-induced pressures on natural systems, as well as natural factors such as climate variability and geomorphological evolution</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{"citationID":"ougQMG4J","properties":{"formattedCitation":"(Srivastava et al., 2012)","plainCitation":"(Srivastava et al., 2012)","noteIndex":0},"citationItems":[{"id":261,"uris":["http://zotero.org/users/local/5NZeGExO/items/S523RF3P"],"itemData":{"id":261,"type":"article-journal","abstract":"The concerns over land use/land cover (LULC) change have emerged on the global stage due to the realisation that changes occurring on the land surface also inﬂuence climate, ecosystem and its services. As a result, the importance of accurate mapping of LULC and its changes over time is on the increase. Landsat satellite is a major data source for regional to global LULC analysis. The main objective of this study focuses on the comparison of three classiﬁcation tools for Landsat images, which are maximum likelihood classiﬁcation (MLC), support vector machine and artiﬁcial neural network (ANN), in order to select the best method among them. The classiﬁers algorithms are well optimized for the gamma, penalty, degree of polynomial in case of SVM, while for ANN minimum output activation threshold and RMSE are taken into account. The overall analysis shows that the ANN is superior to the kernel based SVM (linear, radial based, sigmoid and polynomial) and MLC. The best tool (ANN) is then applied on detecting the LULC change over part of Walnut Creek, Iowa. The change analysis of the multi temporal images indicates an increase in urban areas and a major shift in the agricultural practices.","container-title":"Advances in Space Research","DOI":"10.1016/j.asr.2012.06.032","ISSN":"02731177","issue":"9","journalAbbreviation":"Advances in Space Research","language":"en","license":"https://www.elsevier.com/tdm/userlicense/1.0/","page":"1250-1265","source":"DOI.org (Crossref)","title":"Selection of classification techniques for land use/land cover change investigation","volume":"50","author":[{"family":"Srivastava","given":"Prashant K."},{"family":"Han","given":"Dawei"},{"family":"Rico-Ramirez","given":"Miguel A."},{"family":"Bray","given":"Michaela"},{"family":"Islam","given":"Tanvir"}],"issued":{"date-parts":[["2012",11]]}}}],"schema":"https://github.com/citation-style-language/schema/raw/master/csl-citation.json"}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(Srivastava et al., 2012)</w:t>
      </w:r>
      <w:r w:rsidR="00AE6E9C" w:rsidRPr="00F03204">
        <w:rPr>
          <w:rFonts w:ascii="Arial" w:hAnsi="Arial" w:cs="Arial"/>
          <w:sz w:val="22"/>
          <w:szCs w:val="22"/>
        </w:rPr>
        <w:fldChar w:fldCharType="end"/>
      </w:r>
      <w:r w:rsidRPr="00F03204">
        <w:rPr>
          <w:rFonts w:ascii="Arial" w:hAnsi="Arial" w:cs="Arial"/>
          <w:sz w:val="22"/>
          <w:szCs w:val="22"/>
        </w:rPr>
        <w:t>. Understanding these changes is essential to support decision-making for land resource management, sustainable development, and climate resilience.</w:t>
      </w:r>
    </w:p>
    <w:p w14:paraId="52A26ADA" w14:textId="2954DB30" w:rsidR="00E21063" w:rsidRPr="00F03204" w:rsidRDefault="00E21063" w:rsidP="00AB3D00">
      <w:pPr>
        <w:jc w:val="both"/>
        <w:rPr>
          <w:rFonts w:ascii="Arial" w:hAnsi="Arial" w:cs="Arial"/>
          <w:sz w:val="22"/>
          <w:szCs w:val="22"/>
        </w:rPr>
      </w:pPr>
      <w:r w:rsidRPr="00F03204">
        <w:rPr>
          <w:rFonts w:ascii="Arial" w:hAnsi="Arial" w:cs="Arial"/>
          <w:sz w:val="22"/>
          <w:szCs w:val="22"/>
        </w:rPr>
        <w:t>Over the past few decades, advancements in remote sensing and geospatial analytics have enabled researchers to systematically observe and quantify changes in land cover at local, regional, and global scales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{"citationID":"a1YLZETS","properties":{"formattedCitation":"(Kshetri, n.d.)","plainCitation":"(Kshetri, n.d.)","noteIndex":0},"citationItems":[{"id":252,"uris":["http://zotero.org/users/local/5NZeGExO/items/IPR9WR6C"],"itemData":{"id":252,"type":"article-journal","language":"en","source":"Zotero","title":"NDVI, NDBI AND NDWI CALCULATION USING LANDSAT 7 AND 8","author":[{"family":"Kshetri","given":"Tek Bahadur"}]}}],"schema":"https://github.com/citation-style-language/schema/raw/master/csl-citation.json"}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(Kshetri, n.d.)</w:t>
      </w:r>
      <w:r w:rsidR="00AE6E9C" w:rsidRPr="00F03204">
        <w:rPr>
          <w:rFonts w:ascii="Arial" w:hAnsi="Arial" w:cs="Arial"/>
          <w:sz w:val="22"/>
          <w:szCs w:val="22"/>
        </w:rPr>
        <w:fldChar w:fldCharType="end"/>
      </w:r>
      <w:r w:rsidRPr="00F03204">
        <w:rPr>
          <w:rFonts w:ascii="Arial" w:hAnsi="Arial" w:cs="Arial"/>
          <w:sz w:val="22"/>
          <w:szCs w:val="22"/>
        </w:rPr>
        <w:t>. Satellite data from missions like Landsat, MODIS, and Sentinel provide consistent, multi-temporal records that are indispensable for long-term LULC monitoring</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{"citationID":"XCP32cHo","properties":{"formattedCitation":"(Isufi et al., 2021)","plainCitation":"(Isufi et al., 2021)","noteIndex":0},"citationItems":[{"id":241,"uris":["http://zotero.org/users/local/5NZeGExO/items/EREFS9BV"],"itemData":{"id":241,"type":"article-journal","abstract":"The study is aimed at investigating the phenomenon of the Surface Urban Heat Island (SUHI) over the municipality of Prishtina. The SUHI was investigated based on the relationship between Land Surface Temperature (LST) estimated from Landsat 8 Thermal Infrared Sensor (TIRS) band with Normalized Difference Built-up Index (NDBI) and Normalized Difference Vegetation Index (NDVI) from Landsat 8 Operational Land Imager (OLI) bands using Geographic Information System (GIS). To understand this relationship, a regression analysis was performed.","container-title":"Disaster Advances","DOI":"10.25303/1411da2536","ISSN":"0974262X, 22784543","issue":"11","journalAbbreviation":"Disaster Advances","language":"en","page":"25-36","source":"DOI.org (Crossref)","title":"Measuring UHI using Landsat 8 OLI and TIRS data with NDVI and NDBI in Municipality of Prishtina","volume":"14","author":[{"family":"Isufi","given":"Florim"},{"family":"Berila","given":"Albert"},{"family":"Bulliqi","given":"Shpejtim"}],"issued":{"date-parts":[["2021",10,25]]}}}],"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(Isufi et al., 2021)</w:t>
      </w:r>
      <w:r w:rsidR="00AE6E9C" w:rsidRPr="00F03204">
        <w:rPr>
          <w:rFonts w:ascii="Arial" w:hAnsi="Arial" w:cs="Arial"/>
          <w:sz w:val="22"/>
          <w:szCs w:val="22"/>
        </w:rPr>
        <w:fldChar w:fldCharType="end"/>
      </w:r>
      <w:r w:rsidRPr="00F03204">
        <w:rPr>
          <w:rFonts w:ascii="Arial" w:hAnsi="Arial" w:cs="Arial"/>
          <w:sz w:val="22"/>
          <w:szCs w:val="22"/>
        </w:rPr>
        <w:t>. These datasets help to identify conversion trends such as the expansion of urban areas, reduction of vegetative cover, wetland encroachment, and transformations in agricultural zones. The process of change detection involves classifying images acquired at different time intervals and analyzing transitions between categories, thus revealing the nature and intensity of landscape modification.</w:t>
      </w:r>
    </w:p>
    <w:p w14:paraId="3BE9FFC4" w14:textId="77777777" w:rsidR="00E21063" w:rsidRPr="00F03204" w:rsidRDefault="00E21063" w:rsidP="00AB3D00">
      <w:pPr>
        <w:jc w:val="both"/>
        <w:rPr>
          <w:rFonts w:ascii="Arial" w:hAnsi="Arial" w:cs="Arial"/>
          <w:sz w:val="22"/>
          <w:szCs w:val="22"/>
        </w:rPr>
      </w:pPr>
      <w:r w:rsidRPr="00F03204">
        <w:rPr>
          <w:rFonts w:ascii="Arial" w:hAnsi="Arial" w:cs="Arial"/>
          <w:sz w:val="22"/>
          <w:szCs w:val="22"/>
        </w:rPr>
        <w:t>LULCC has far-reaching implications for ecological processes, socio-economic development, and environmental sustainability. The conversion of natural landscapes into built-up environments often results in:</w:t>
      </w:r>
    </w:p>
    <w:p w14:paraId="1B05E27D" w14:textId="77777777" w:rsidR="00E21063" w:rsidRPr="00F03204" w:rsidRDefault="00E21063" w:rsidP="00AB3D00">
      <w:pPr>
        <w:numPr>
          <w:ilvl w:val="0"/>
          <w:numId w:val="5"/>
        </w:numPr>
        <w:jc w:val="both"/>
        <w:rPr>
          <w:rFonts w:ascii="Arial" w:hAnsi="Arial" w:cs="Arial"/>
          <w:sz w:val="22"/>
          <w:szCs w:val="22"/>
        </w:rPr>
      </w:pPr>
      <w:r w:rsidRPr="00F03204">
        <w:rPr>
          <w:rFonts w:ascii="Arial" w:hAnsi="Arial" w:cs="Arial"/>
          <w:sz w:val="22"/>
          <w:szCs w:val="22"/>
        </w:rPr>
        <w:lastRenderedPageBreak/>
        <w:t>Loss of biodiversity and habitat fragmentation</w:t>
      </w:r>
    </w:p>
    <w:p w14:paraId="4BCE988C" w14:textId="77777777" w:rsidR="00E21063" w:rsidRPr="00F03204" w:rsidRDefault="00E21063" w:rsidP="00AB3D00">
      <w:pPr>
        <w:numPr>
          <w:ilvl w:val="0"/>
          <w:numId w:val="5"/>
        </w:numPr>
        <w:jc w:val="both"/>
        <w:rPr>
          <w:rFonts w:ascii="Arial" w:hAnsi="Arial" w:cs="Arial"/>
          <w:sz w:val="22"/>
          <w:szCs w:val="22"/>
        </w:rPr>
      </w:pPr>
      <w:r w:rsidRPr="00F03204">
        <w:rPr>
          <w:rFonts w:ascii="Arial" w:hAnsi="Arial" w:cs="Arial"/>
          <w:sz w:val="22"/>
          <w:szCs w:val="22"/>
        </w:rPr>
        <w:t>Increase in impervious surfaces, altering hydrological cycles</w:t>
      </w:r>
    </w:p>
    <w:p w14:paraId="4FBF031B" w14:textId="77777777" w:rsidR="00E21063" w:rsidRPr="00F03204" w:rsidRDefault="00E21063" w:rsidP="00AB3D00">
      <w:pPr>
        <w:numPr>
          <w:ilvl w:val="0"/>
          <w:numId w:val="5"/>
        </w:numPr>
        <w:jc w:val="both"/>
        <w:rPr>
          <w:rFonts w:ascii="Arial" w:hAnsi="Arial" w:cs="Arial"/>
          <w:sz w:val="22"/>
          <w:szCs w:val="22"/>
        </w:rPr>
      </w:pPr>
      <w:r w:rsidRPr="00F03204">
        <w:rPr>
          <w:rFonts w:ascii="Arial" w:hAnsi="Arial" w:cs="Arial"/>
          <w:sz w:val="22"/>
          <w:szCs w:val="22"/>
        </w:rPr>
        <w:t>Reduction in carbon sinks and ecosystem services</w:t>
      </w:r>
    </w:p>
    <w:p w14:paraId="6DE71140" w14:textId="77777777" w:rsidR="00E21063" w:rsidRPr="00F03204" w:rsidRDefault="00E21063" w:rsidP="00AB3D00">
      <w:pPr>
        <w:numPr>
          <w:ilvl w:val="0"/>
          <w:numId w:val="5"/>
        </w:numPr>
        <w:jc w:val="both"/>
        <w:rPr>
          <w:rFonts w:ascii="Arial" w:hAnsi="Arial" w:cs="Arial"/>
          <w:sz w:val="22"/>
          <w:szCs w:val="22"/>
        </w:rPr>
      </w:pPr>
      <w:r w:rsidRPr="00F03204">
        <w:rPr>
          <w:rFonts w:ascii="Arial" w:hAnsi="Arial" w:cs="Arial"/>
          <w:sz w:val="22"/>
          <w:szCs w:val="22"/>
        </w:rPr>
        <w:t>Rise in urban heat island effects and microclimatic alterations</w:t>
      </w:r>
    </w:p>
    <w:p w14:paraId="548DBA69" w14:textId="77777777" w:rsidR="00E21063" w:rsidRPr="00F03204" w:rsidRDefault="00E21063" w:rsidP="00AB3D00">
      <w:pPr>
        <w:jc w:val="both"/>
        <w:rPr>
          <w:rFonts w:ascii="Arial" w:hAnsi="Arial" w:cs="Arial"/>
          <w:sz w:val="22"/>
          <w:szCs w:val="22"/>
        </w:rPr>
      </w:pPr>
      <w:r w:rsidRPr="00F03204">
        <w:rPr>
          <w:rFonts w:ascii="Arial" w:hAnsi="Arial" w:cs="Arial"/>
          <w:sz w:val="22"/>
          <w:szCs w:val="22"/>
        </w:rPr>
        <w:t>These consequences are particularly severe in rapidly urbanizing regions where land conversion outpaces infrastructure planning. In countries like India, the pressure of population growth, industrial expansion, and infrastructure development has significantly accelerated land cover change, especially in major metropolitan regions such as the Kolkata Metropolitan Area (KMA).</w:t>
      </w:r>
    </w:p>
    <w:p w14:paraId="5C353937" w14:textId="7B888D13" w:rsidR="00E21063" w:rsidRPr="00F03204" w:rsidRDefault="00E21063" w:rsidP="00AB3D00">
      <w:pPr>
        <w:jc w:val="both"/>
        <w:rPr>
          <w:rFonts w:ascii="Arial" w:hAnsi="Arial" w:cs="Arial"/>
          <w:sz w:val="22"/>
          <w:szCs w:val="22"/>
        </w:rPr>
      </w:pPr>
      <w:r w:rsidRPr="00F03204">
        <w:rPr>
          <w:rFonts w:ascii="Arial" w:hAnsi="Arial" w:cs="Arial"/>
          <w:sz w:val="22"/>
          <w:szCs w:val="22"/>
        </w:rPr>
        <w:t>LULCC studies in KMA have documented substantial transformation in land patterns over the last few decades. Historically dominated by agriculture, wetlands, and riverine systems, the region has experienced widespread urban encroachment, reclamation of lowlands, and infrastructure expansion. This has led to increased vulnerability to flooding, degradation of ecological buffers, and loss of peri-urban green space</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{"citationID":"Ia8mKXQ2","properties":{"formattedCitation":"(Bharathkumar &amp; Mohammed-Aslam, 2015)","plainCitation":"(Bharathkumar &amp; Mohammed-Aslam, 2015)","noteIndex":0},"citationItems":[{"id":255,"uris":["http://zotero.org/users/local/5NZeGExO/items/9Y42EXAI"],"itemData":{"id":255,"type":"article-journal","abstract":"Agriculture is the backbone of our country. Most of the Land in Tumkur taluk is occupied by agriculture. Due to lack of awareness, farmers grow different variety of crops in different localities. Ultimately they face the problems in crop production due to low yield. Crop suitability map provide solutions to all these problems. The study area Tumkur Taluk is located in southern part of Karnataka and belongs to semi-arid climatic condition. The cropping pattern includes majorly Coconut plantation, Arecanut plantation, Banana plantation, Ragi, Wheat, Maize, Jowar and other crops. Crop pattern study was carried out using the NDVI processing of Landsat 8 data. NDVI result is recoded by taking the training sets in field visit. Finally the crop pattern map is prepared using ArcGIS tools. Among current cropping patterns Coconut plantation, Ragi, Rice, Maize, Wheat were consume less water and they are currently suitable for the area. But Arecanut plantation, Rice and Banana plantation consume huge amount of water and were not at all suitable for the regional climatic condition. The major result deducing from this study is, Mines and Geology department accounted 34500 bore wells in Tumkur district. Every day minimum 10 crore litre of water is extracted from the ground water reservoirs. Our suitability crop modelling map will minimize the maintenance of ground water. Suitability crop pattern map includes high income and yield to farmers within less maintenance and less water usage with respect to the climatic conditions.","container-title":"Aquatic Procedia","DOI":"10.1016/j.aqpro.2015.02.181","ISSN":"2214241X","journalAbbreviation":"Aquatic Procedia","language":"en","page":"1397-1404","source":"DOI.org (Crossref)","title":"Crop Pattern Mapping of Tumkur Taluk Using NDVI Technique: A Remote Sensing and GIS Approach","title-short":"Crop Pattern Mapping of Tumkur Taluk Using NDVI Technique","volume":"4","author":[{"family":"Bharathkumar","given":"L."},{"family":"Mohammed-Aslam","given":"M.A."}],"issued":{"date-parts":[["2015"]]}}}],"schema":"https://github.com/citation-style-language/schema/raw/master/csl-citation.json"}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sz w:val="22"/>
          <w:szCs w:val="22"/>
        </w:rPr>
        <w:t>(Bharathkumar &amp; Mohammed-Aslam, 2015)</w:t>
      </w:r>
      <w:r w:rsidR="00AE6E9C" w:rsidRPr="00F03204">
        <w:rPr>
          <w:rFonts w:ascii="Arial" w:hAnsi="Arial" w:cs="Arial"/>
          <w:sz w:val="22"/>
          <w:szCs w:val="22"/>
        </w:rPr>
        <w:fldChar w:fldCharType="end"/>
      </w:r>
      <w:r w:rsidRPr="00F03204">
        <w:rPr>
          <w:rFonts w:ascii="Arial" w:hAnsi="Arial" w:cs="Arial"/>
          <w:sz w:val="22"/>
          <w:szCs w:val="22"/>
        </w:rPr>
        <w:t>. However, many existing studies have focused either on limited time periods or have not incorporated the environmental variables such as vegetation health and surface temperature in conjunction with LULC classes</w:t>
      </w:r>
      <w:r w:rsidR="00AE6E9C" w:rsidRPr="00F03204">
        <w:rPr>
          <w:rFonts w:ascii="Arial" w:hAnsi="Arial" w:cs="Arial"/>
          <w:sz w:val="22"/>
          <w:szCs w:val="22"/>
        </w:rPr>
        <w:fldChar w:fldCharType="begin"/>
      </w:r>
      <w:r w:rsidR="00AE6E9C" w:rsidRPr="00F03204">
        <w:rPr>
          <w:rFonts w:ascii="Arial" w:hAnsi="Arial" w:cs="Arial"/>
          <w:sz w:val="22"/>
          <w:szCs w:val="22"/>
        </w:rPr>
        <w:instrText xml:space="preserve"> ADDIN ZOTERO_ITEM CSL_CITATION {"citationID":"hiGE4HOU","properties":{"formattedCitation":"({\\i{}GIS_application_for_NDVI_calculation_usi}, n.d.)","plainCitation":"(GIS_application_for_NDVI_calculation_usi, n.d.)","noteIndex":0},"citationItems":[{"id":122,"uris":["http://zotero.org/users/local/5NZeGExO/items/FK9CE964"],"itemData":{"id":122,"type":"document","title":"GIS_application_for_NDVI_calculation_usi"}}],"schema":"https://github.com/citation-style-language/schema/raw/master/csl-citation.json"} </w:instrText>
      </w:r>
      <w:r w:rsidR="00AE6E9C" w:rsidRPr="00F03204">
        <w:rPr>
          <w:rFonts w:ascii="Arial" w:hAnsi="Arial" w:cs="Arial"/>
          <w:sz w:val="22"/>
          <w:szCs w:val="22"/>
        </w:rPr>
        <w:fldChar w:fldCharType="separate"/>
      </w:r>
      <w:r w:rsidR="00AE6E9C" w:rsidRPr="00F03204">
        <w:rPr>
          <w:rFonts w:ascii="Arial" w:hAnsi="Arial" w:cs="Arial"/>
          <w:kern w:val="0"/>
          <w:sz w:val="22"/>
          <w:szCs w:val="22"/>
        </w:rPr>
        <w:t>(</w:t>
      </w:r>
      <w:r w:rsidR="00AE6E9C" w:rsidRPr="00F03204">
        <w:rPr>
          <w:rFonts w:ascii="Arial" w:hAnsi="Arial" w:cs="Arial"/>
          <w:i/>
          <w:iCs/>
          <w:kern w:val="0"/>
          <w:sz w:val="22"/>
          <w:szCs w:val="22"/>
        </w:rPr>
        <w:t>GIS_application_for_NDVI_calculation_usi</w:t>
      </w:r>
      <w:r w:rsidR="00AE6E9C" w:rsidRPr="00F03204">
        <w:rPr>
          <w:rFonts w:ascii="Arial" w:hAnsi="Arial" w:cs="Arial"/>
          <w:kern w:val="0"/>
          <w:sz w:val="22"/>
          <w:szCs w:val="22"/>
        </w:rPr>
        <w:t>, n.d.)</w:t>
      </w:r>
      <w:r w:rsidR="00AE6E9C" w:rsidRPr="00F03204">
        <w:rPr>
          <w:rFonts w:ascii="Arial" w:hAnsi="Arial" w:cs="Arial"/>
          <w:sz w:val="22"/>
          <w:szCs w:val="22"/>
        </w:rPr>
        <w:fldChar w:fldCharType="end"/>
      </w:r>
      <w:r w:rsidRPr="00F03204">
        <w:rPr>
          <w:rFonts w:ascii="Arial" w:hAnsi="Arial" w:cs="Arial"/>
          <w:sz w:val="22"/>
          <w:szCs w:val="22"/>
        </w:rPr>
        <w:t>.</w:t>
      </w:r>
    </w:p>
    <w:p w14:paraId="00E0E27A" w14:textId="77777777" w:rsidR="00E21063" w:rsidRPr="00F03204" w:rsidRDefault="00E21063" w:rsidP="00AB3D00">
      <w:pPr>
        <w:jc w:val="both"/>
        <w:rPr>
          <w:rFonts w:ascii="Arial" w:hAnsi="Arial" w:cs="Arial"/>
          <w:sz w:val="22"/>
          <w:szCs w:val="22"/>
        </w:rPr>
      </w:pPr>
      <w:r w:rsidRPr="00F03204">
        <w:rPr>
          <w:rFonts w:ascii="Arial" w:hAnsi="Arial" w:cs="Arial"/>
          <w:sz w:val="22"/>
          <w:szCs w:val="22"/>
        </w:rPr>
        <w:t>The present study addresses these gaps by analyzing multi-year LULC dynamics in KMA from 2016 to 2022 using both Landsat and MODIS datasets. It integrates biophysical indicators—namely NDVI (Normalized Difference Vegetation Index) and LST (Land Surface Temperature)—to assess not only land cover transitions but also their ecological and thermal consequences. This combined approach provides a comprehensive framework to detect patterns, interpret drivers of change, and evaluate spatial consequences on the regional environment. The outcomes of such research can inform sustainable urban planning, restoration of ecological assets, and climate adaptation strategies.</w:t>
      </w:r>
    </w:p>
    <w:p w14:paraId="7ACEF1FE" w14:textId="77777777" w:rsidR="00077C41" w:rsidRPr="00F03204" w:rsidRDefault="00077C41"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Methodology</w:t>
      </w:r>
      <w:r w:rsidR="00AB1C30" w:rsidRPr="00F03204">
        <w:rPr>
          <w:rFonts w:ascii="Arial" w:hAnsi="Arial" w:cs="Arial"/>
          <w:b/>
          <w:bCs/>
          <w:color w:val="auto"/>
          <w:sz w:val="22"/>
          <w:szCs w:val="22"/>
        </w:rPr>
        <w:t>:</w:t>
      </w:r>
    </w:p>
    <w:p w14:paraId="70269CA6" w14:textId="77777777" w:rsidR="00077C41" w:rsidRPr="00F03204" w:rsidRDefault="00077C41" w:rsidP="00AB3D00">
      <w:pPr>
        <w:jc w:val="both"/>
        <w:rPr>
          <w:rFonts w:ascii="Arial" w:hAnsi="Arial" w:cs="Arial"/>
          <w:sz w:val="22"/>
          <w:szCs w:val="22"/>
        </w:rPr>
      </w:pPr>
      <w:r w:rsidRPr="00F03204">
        <w:rPr>
          <w:rFonts w:ascii="Arial" w:hAnsi="Arial" w:cs="Arial"/>
          <w:sz w:val="22"/>
          <w:szCs w:val="22"/>
        </w:rPr>
        <w:t>This study integrates remote sensing and GIS-based techniques to monitor Land Use Land Cover (LULC) changes in the Kolkata Metropolitan Area (KMA) from 2016 to 2022. Landsat 8 OLI imagery was utilized for LULC classification due to its moderate spatial resolution and multispectral capabilities, while MODIS data supported the analysis of vegetation dynamics (NDVI) and surface thermal conditions (LST) owing to its high temporal resolution.</w:t>
      </w:r>
    </w:p>
    <w:p w14:paraId="1454846B" w14:textId="77777777" w:rsidR="00077C41" w:rsidRPr="00F03204" w:rsidRDefault="00077C41" w:rsidP="00AB3D00">
      <w:pPr>
        <w:jc w:val="both"/>
        <w:rPr>
          <w:rFonts w:ascii="Arial" w:hAnsi="Arial" w:cs="Arial"/>
          <w:sz w:val="22"/>
          <w:szCs w:val="22"/>
        </w:rPr>
      </w:pPr>
      <w:r w:rsidRPr="00F03204">
        <w:rPr>
          <w:rFonts w:ascii="Arial" w:hAnsi="Arial" w:cs="Arial"/>
          <w:sz w:val="22"/>
          <w:szCs w:val="22"/>
        </w:rPr>
        <w:t>The preprocessing stage involved radiometric and geometric corrections, cloud removal, and image enhancement to improve interpretability and ensure temporal consistency. Training samples representing built-up, vegetation, water, agriculture, and barren land were generated from high-resolution basemaps and ground reference sources. A supervised classification was carried out using the Maximum Likelihood Classifier (MLC), followed by accuracy assessment through confusion matrices and Kappa coefficient evaluation.</w:t>
      </w:r>
    </w:p>
    <w:p w14:paraId="41EAE5FE" w14:textId="62310E14" w:rsidR="00ED7599" w:rsidRDefault="00ED7599" w:rsidP="00AB3D00">
      <w:pPr>
        <w:jc w:val="both"/>
        <w:rPr>
          <w:rFonts w:ascii="Arial" w:hAnsi="Arial" w:cs="Arial"/>
          <w:sz w:val="22"/>
          <w:szCs w:val="22"/>
        </w:rPr>
      </w:pPr>
      <w:r w:rsidRPr="00F03204">
        <w:rPr>
          <w:rFonts w:ascii="Arial" w:hAnsi="Arial" w:cs="Arial"/>
          <w:noProof/>
          <w:sz w:val="22"/>
          <w:szCs w:val="22"/>
        </w:rPr>
        <w:lastRenderedPageBreak/>
        <w:drawing>
          <wp:anchor distT="0" distB="0" distL="114300" distR="114300" simplePos="0" relativeHeight="251672576" behindDoc="0" locked="0" layoutInCell="1" allowOverlap="1" wp14:anchorId="0417E7D7" wp14:editId="2E18B243">
            <wp:simplePos x="0" y="0"/>
            <wp:positionH relativeFrom="margin">
              <wp:posOffset>750570</wp:posOffset>
            </wp:positionH>
            <wp:positionV relativeFrom="margin">
              <wp:posOffset>-438150</wp:posOffset>
            </wp:positionV>
            <wp:extent cx="4368165" cy="4832350"/>
            <wp:effectExtent l="95250" t="95250" r="89535" b="101600"/>
            <wp:wrapSquare wrapText="bothSides"/>
            <wp:docPr id="57527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8165" cy="48323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204A222" w14:textId="77777777" w:rsidR="00ED7599" w:rsidRDefault="00ED7599" w:rsidP="00AB3D00">
      <w:pPr>
        <w:jc w:val="both"/>
        <w:rPr>
          <w:rFonts w:ascii="Arial" w:hAnsi="Arial" w:cs="Arial"/>
          <w:sz w:val="22"/>
          <w:szCs w:val="22"/>
        </w:rPr>
      </w:pPr>
    </w:p>
    <w:p w14:paraId="0652AD0D" w14:textId="77777777" w:rsidR="00ED7599" w:rsidRDefault="00ED7599" w:rsidP="00AB3D00">
      <w:pPr>
        <w:jc w:val="both"/>
        <w:rPr>
          <w:rFonts w:ascii="Arial" w:hAnsi="Arial" w:cs="Arial"/>
          <w:sz w:val="22"/>
          <w:szCs w:val="22"/>
        </w:rPr>
      </w:pPr>
    </w:p>
    <w:p w14:paraId="2EDEA283" w14:textId="77777777" w:rsidR="00ED7599" w:rsidRDefault="00ED7599" w:rsidP="00AB3D00">
      <w:pPr>
        <w:jc w:val="both"/>
        <w:rPr>
          <w:rFonts w:ascii="Arial" w:hAnsi="Arial" w:cs="Arial"/>
          <w:sz w:val="22"/>
          <w:szCs w:val="22"/>
        </w:rPr>
      </w:pPr>
    </w:p>
    <w:p w14:paraId="4EFB00FF" w14:textId="77777777" w:rsidR="00ED7599" w:rsidRDefault="00ED7599" w:rsidP="00AB3D00">
      <w:pPr>
        <w:jc w:val="both"/>
        <w:rPr>
          <w:rFonts w:ascii="Arial" w:hAnsi="Arial" w:cs="Arial"/>
          <w:sz w:val="22"/>
          <w:szCs w:val="22"/>
        </w:rPr>
      </w:pPr>
    </w:p>
    <w:p w14:paraId="648359F4" w14:textId="77777777" w:rsidR="00ED7599" w:rsidRDefault="00ED7599" w:rsidP="00AB3D00">
      <w:pPr>
        <w:jc w:val="both"/>
        <w:rPr>
          <w:rFonts w:ascii="Arial" w:hAnsi="Arial" w:cs="Arial"/>
          <w:sz w:val="22"/>
          <w:szCs w:val="22"/>
        </w:rPr>
      </w:pPr>
    </w:p>
    <w:p w14:paraId="207BB721" w14:textId="77777777" w:rsidR="00ED7599" w:rsidRDefault="00ED7599" w:rsidP="00AB3D00">
      <w:pPr>
        <w:jc w:val="both"/>
        <w:rPr>
          <w:rFonts w:ascii="Arial" w:hAnsi="Arial" w:cs="Arial"/>
          <w:sz w:val="22"/>
          <w:szCs w:val="22"/>
        </w:rPr>
      </w:pPr>
    </w:p>
    <w:p w14:paraId="70B33659" w14:textId="77777777" w:rsidR="00ED7599" w:rsidRDefault="00ED7599" w:rsidP="00AB3D00">
      <w:pPr>
        <w:jc w:val="both"/>
        <w:rPr>
          <w:rFonts w:ascii="Arial" w:hAnsi="Arial" w:cs="Arial"/>
          <w:sz w:val="22"/>
          <w:szCs w:val="22"/>
        </w:rPr>
      </w:pPr>
    </w:p>
    <w:p w14:paraId="6DA8EFF3" w14:textId="77777777" w:rsidR="00ED7599" w:rsidRDefault="00ED7599" w:rsidP="00AB3D00">
      <w:pPr>
        <w:jc w:val="both"/>
        <w:rPr>
          <w:rFonts w:ascii="Arial" w:hAnsi="Arial" w:cs="Arial"/>
          <w:sz w:val="22"/>
          <w:szCs w:val="22"/>
        </w:rPr>
      </w:pPr>
    </w:p>
    <w:p w14:paraId="75444516" w14:textId="77777777" w:rsidR="00ED7599" w:rsidRDefault="00ED7599" w:rsidP="00AB3D00">
      <w:pPr>
        <w:jc w:val="both"/>
        <w:rPr>
          <w:rFonts w:ascii="Arial" w:hAnsi="Arial" w:cs="Arial"/>
          <w:sz w:val="22"/>
          <w:szCs w:val="22"/>
        </w:rPr>
      </w:pPr>
    </w:p>
    <w:p w14:paraId="4C9FDDD8" w14:textId="77777777" w:rsidR="00ED7599" w:rsidRDefault="00ED7599" w:rsidP="00AB3D00">
      <w:pPr>
        <w:jc w:val="both"/>
        <w:rPr>
          <w:rFonts w:ascii="Arial" w:hAnsi="Arial" w:cs="Arial"/>
          <w:sz w:val="22"/>
          <w:szCs w:val="22"/>
        </w:rPr>
      </w:pPr>
    </w:p>
    <w:p w14:paraId="4352A792" w14:textId="77777777" w:rsidR="00ED7599" w:rsidRDefault="00ED7599" w:rsidP="00AB3D00">
      <w:pPr>
        <w:jc w:val="both"/>
        <w:rPr>
          <w:rFonts w:ascii="Arial" w:hAnsi="Arial" w:cs="Arial"/>
          <w:sz w:val="22"/>
          <w:szCs w:val="22"/>
        </w:rPr>
      </w:pPr>
    </w:p>
    <w:p w14:paraId="178726B3" w14:textId="77777777" w:rsidR="00ED7599" w:rsidRDefault="00ED7599" w:rsidP="00AB3D00">
      <w:pPr>
        <w:jc w:val="both"/>
        <w:rPr>
          <w:rFonts w:ascii="Arial" w:hAnsi="Arial" w:cs="Arial"/>
          <w:sz w:val="22"/>
          <w:szCs w:val="22"/>
        </w:rPr>
      </w:pPr>
    </w:p>
    <w:p w14:paraId="71A73DBB" w14:textId="77777777" w:rsidR="00ED7599" w:rsidRDefault="00ED7599" w:rsidP="00AB3D00">
      <w:pPr>
        <w:jc w:val="both"/>
        <w:rPr>
          <w:rFonts w:ascii="Arial" w:hAnsi="Arial" w:cs="Arial"/>
          <w:sz w:val="22"/>
          <w:szCs w:val="22"/>
        </w:rPr>
      </w:pPr>
    </w:p>
    <w:p w14:paraId="437DAE32" w14:textId="77777777" w:rsidR="00ED7599" w:rsidRDefault="00ED7599" w:rsidP="00AB3D00">
      <w:pPr>
        <w:jc w:val="both"/>
        <w:rPr>
          <w:rFonts w:ascii="Arial" w:hAnsi="Arial" w:cs="Arial"/>
          <w:sz w:val="22"/>
          <w:szCs w:val="22"/>
        </w:rPr>
      </w:pPr>
    </w:p>
    <w:p w14:paraId="0D06CC2C" w14:textId="77777777" w:rsidR="00ED7599" w:rsidRDefault="00ED7599" w:rsidP="00AB3D00">
      <w:pPr>
        <w:jc w:val="both"/>
        <w:rPr>
          <w:rFonts w:ascii="Arial" w:hAnsi="Arial" w:cs="Arial"/>
          <w:sz w:val="22"/>
          <w:szCs w:val="22"/>
        </w:rPr>
      </w:pPr>
    </w:p>
    <w:p w14:paraId="6CFDEEF8" w14:textId="77777777" w:rsidR="00D6002C" w:rsidRDefault="00D6002C" w:rsidP="00AB3D00">
      <w:pPr>
        <w:jc w:val="both"/>
        <w:rPr>
          <w:rFonts w:ascii="Arial" w:hAnsi="Arial" w:cs="Arial"/>
          <w:sz w:val="22"/>
          <w:szCs w:val="22"/>
        </w:rPr>
      </w:pPr>
    </w:p>
    <w:p w14:paraId="10F4D429" w14:textId="6816172B" w:rsidR="00ED7599" w:rsidRPr="00285080" w:rsidRDefault="00ED7599" w:rsidP="00D6002C">
      <w:pPr>
        <w:jc w:val="center"/>
        <w:rPr>
          <w:rFonts w:ascii="Arial" w:hAnsi="Arial" w:cs="Arial"/>
          <w:b/>
          <w:bCs/>
          <w:sz w:val="22"/>
          <w:szCs w:val="22"/>
        </w:rPr>
      </w:pPr>
      <w:r w:rsidRPr="00285080">
        <w:rPr>
          <w:rFonts w:ascii="Arial" w:hAnsi="Arial" w:cs="Arial"/>
          <w:b/>
          <w:bCs/>
          <w:sz w:val="22"/>
          <w:szCs w:val="22"/>
        </w:rPr>
        <w:t>Fig</w:t>
      </w:r>
      <w:r w:rsidR="00D6002C" w:rsidRPr="00285080">
        <w:rPr>
          <w:rFonts w:ascii="Arial" w:hAnsi="Arial" w:cs="Arial"/>
          <w:b/>
          <w:bCs/>
          <w:sz w:val="22"/>
          <w:szCs w:val="22"/>
        </w:rPr>
        <w:t>ure</w:t>
      </w:r>
      <w:r w:rsidR="00D82B8E" w:rsidRPr="00285080">
        <w:rPr>
          <w:rFonts w:ascii="Arial" w:hAnsi="Arial" w:cs="Arial"/>
          <w:b/>
          <w:bCs/>
          <w:sz w:val="22"/>
          <w:szCs w:val="22"/>
        </w:rPr>
        <w:t xml:space="preserve"> </w:t>
      </w:r>
      <w:r w:rsidR="00F54B76">
        <w:rPr>
          <w:rFonts w:ascii="Arial" w:hAnsi="Arial" w:cs="Arial"/>
          <w:b/>
          <w:bCs/>
          <w:sz w:val="22"/>
          <w:szCs w:val="22"/>
        </w:rPr>
        <w:t>2</w:t>
      </w:r>
      <w:r w:rsidR="00D82B8E" w:rsidRPr="00285080">
        <w:rPr>
          <w:rFonts w:ascii="Arial" w:hAnsi="Arial" w:cs="Arial"/>
          <w:b/>
          <w:bCs/>
          <w:sz w:val="22"/>
          <w:szCs w:val="22"/>
        </w:rPr>
        <w:t xml:space="preserve">: </w:t>
      </w:r>
      <w:r w:rsidR="00D6002C" w:rsidRPr="00285080">
        <w:rPr>
          <w:rFonts w:ascii="Arial" w:hAnsi="Arial" w:cs="Arial"/>
          <w:b/>
          <w:bCs/>
          <w:sz w:val="22"/>
          <w:szCs w:val="22"/>
        </w:rPr>
        <w:t>Methodological Diagram</w:t>
      </w:r>
    </w:p>
    <w:p w14:paraId="0968B6F2" w14:textId="1B7BD88D" w:rsidR="00077C41" w:rsidRPr="00F03204" w:rsidRDefault="00077C41" w:rsidP="00AB3D00">
      <w:pPr>
        <w:jc w:val="both"/>
        <w:rPr>
          <w:rFonts w:ascii="Arial" w:hAnsi="Arial" w:cs="Arial"/>
          <w:sz w:val="22"/>
          <w:szCs w:val="22"/>
        </w:rPr>
      </w:pPr>
      <w:r w:rsidRPr="00F03204">
        <w:rPr>
          <w:rFonts w:ascii="Arial" w:hAnsi="Arial" w:cs="Arial"/>
          <w:sz w:val="22"/>
          <w:szCs w:val="22"/>
        </w:rPr>
        <w:t>NDVI and LST were computed from MODIS data using red, near-infrared, and thermal bands. These indices were spatially correlated with LULC classifications to examine environmental responses to land cover transitions. Post-classification comparison was used to detect changes across years, calculate area statistics, and identify major transition zones. All spatial operations, classification, and change detection analyses were conducted within a GIS platform.</w:t>
      </w:r>
    </w:p>
    <w:p w14:paraId="26D912E3" w14:textId="3467FEDA" w:rsidR="003E3076" w:rsidRPr="00D82B8E" w:rsidRDefault="003E3076" w:rsidP="00AB3D00">
      <w:pPr>
        <w:pStyle w:val="Heading1"/>
        <w:jc w:val="both"/>
        <w:rPr>
          <w:rFonts w:ascii="Arial" w:hAnsi="Arial" w:cs="Arial"/>
          <w:b/>
          <w:bCs/>
          <w:color w:val="auto"/>
          <w:sz w:val="22"/>
          <w:szCs w:val="22"/>
        </w:rPr>
      </w:pPr>
      <w:r w:rsidRPr="00D82B8E">
        <w:rPr>
          <w:rFonts w:ascii="Arial" w:hAnsi="Arial" w:cs="Arial"/>
          <w:b/>
          <w:bCs/>
          <w:color w:val="auto"/>
          <w:sz w:val="22"/>
          <w:szCs w:val="22"/>
        </w:rPr>
        <w:t>Data Sources and Tools</w:t>
      </w:r>
      <w:r w:rsidR="005C3C95" w:rsidRPr="00D82B8E">
        <w:rPr>
          <w:rFonts w:ascii="Arial" w:hAnsi="Arial" w:cs="Arial"/>
          <w:b/>
          <w:bCs/>
          <w:color w:val="auto"/>
          <w:sz w:val="22"/>
          <w:szCs w:val="22"/>
        </w:rPr>
        <w:t>:</w:t>
      </w:r>
    </w:p>
    <w:p w14:paraId="70B64935" w14:textId="77777777" w:rsidR="003E3076" w:rsidRPr="00F03204" w:rsidRDefault="003E3076" w:rsidP="00AB3D00">
      <w:pPr>
        <w:jc w:val="both"/>
        <w:rPr>
          <w:rFonts w:ascii="Arial" w:hAnsi="Arial" w:cs="Arial"/>
          <w:sz w:val="22"/>
          <w:szCs w:val="22"/>
        </w:rPr>
      </w:pPr>
      <w:r w:rsidRPr="00F03204">
        <w:rPr>
          <w:rFonts w:ascii="Arial" w:hAnsi="Arial" w:cs="Arial"/>
          <w:sz w:val="22"/>
          <w:szCs w:val="22"/>
        </w:rPr>
        <w:t>The study utilized multi-sensor satellite datasets and geospatial tools to analyze Land Use Land Cover (LULC) dynamics in the Kolkata Metropolitan Area (KMA) over a seven-year period (2016–2022). Two primary satellite data sources—</w:t>
      </w:r>
      <w:r w:rsidRPr="00F03204">
        <w:rPr>
          <w:rFonts w:ascii="Arial" w:hAnsi="Arial" w:cs="Arial"/>
          <w:b/>
          <w:bCs/>
          <w:sz w:val="22"/>
          <w:szCs w:val="22"/>
        </w:rPr>
        <w:t>Landsat 8</w:t>
      </w:r>
      <w:r w:rsidRPr="00F03204">
        <w:rPr>
          <w:rFonts w:ascii="Arial" w:hAnsi="Arial" w:cs="Arial"/>
          <w:sz w:val="22"/>
          <w:szCs w:val="22"/>
        </w:rPr>
        <w:t xml:space="preserve"> and </w:t>
      </w:r>
      <w:r w:rsidRPr="00F03204">
        <w:rPr>
          <w:rFonts w:ascii="Arial" w:hAnsi="Arial" w:cs="Arial"/>
          <w:b/>
          <w:bCs/>
          <w:sz w:val="22"/>
          <w:szCs w:val="22"/>
        </w:rPr>
        <w:t>MODIS (Moderate Resolution Imaging Spectroradiometer)</w:t>
      </w:r>
      <w:r w:rsidRPr="00F03204">
        <w:rPr>
          <w:rFonts w:ascii="Arial" w:hAnsi="Arial" w:cs="Arial"/>
          <w:sz w:val="22"/>
          <w:szCs w:val="22"/>
        </w:rPr>
        <w:t>—were selected due to their global availability, multi-temporal acquisition, and proven reliability in environmental monitoring and land cover analysis.</w:t>
      </w:r>
    </w:p>
    <w:p w14:paraId="1C235FAE" w14:textId="77777777" w:rsidR="003E3076" w:rsidRPr="00F03204" w:rsidRDefault="003E3076" w:rsidP="00AB3D00">
      <w:pPr>
        <w:jc w:val="both"/>
        <w:rPr>
          <w:rFonts w:ascii="Arial" w:hAnsi="Arial" w:cs="Arial"/>
          <w:sz w:val="22"/>
          <w:szCs w:val="22"/>
        </w:rPr>
      </w:pPr>
      <w:r w:rsidRPr="00F03204">
        <w:rPr>
          <w:rFonts w:ascii="Arial" w:hAnsi="Arial" w:cs="Arial"/>
          <w:sz w:val="22"/>
          <w:szCs w:val="22"/>
        </w:rPr>
        <w:t>Landsat 8, operated jointly by the United States Geological Survey (USGS) and NASA, provides medium-resolution multispectral imagery suitable for detailed land classification. Its Operational Land Imager (OLI) and Thermal Infrared Sensor (TIRS) offer spectral coverage in visible, near-</w:t>
      </w:r>
      <w:r w:rsidRPr="00F03204">
        <w:rPr>
          <w:rFonts w:ascii="Arial" w:hAnsi="Arial" w:cs="Arial"/>
          <w:sz w:val="22"/>
          <w:szCs w:val="22"/>
        </w:rPr>
        <w:lastRenderedPageBreak/>
        <w:t>infrared, shortwave infrared, and thermal infrared regions. This dataset was used for annual LULC classification using supervised image classification techniques.</w:t>
      </w:r>
    </w:p>
    <w:p w14:paraId="141A5F92" w14:textId="77777777" w:rsidR="003E3076" w:rsidRPr="00F03204" w:rsidRDefault="003E3076" w:rsidP="00AB3D00">
      <w:pPr>
        <w:jc w:val="both"/>
        <w:rPr>
          <w:rFonts w:ascii="Arial" w:hAnsi="Arial" w:cs="Arial"/>
          <w:sz w:val="22"/>
          <w:szCs w:val="22"/>
        </w:rPr>
      </w:pPr>
      <w:r w:rsidRPr="00F03204">
        <w:rPr>
          <w:rFonts w:ascii="Arial" w:hAnsi="Arial" w:cs="Arial"/>
          <w:sz w:val="22"/>
          <w:szCs w:val="22"/>
        </w:rPr>
        <w:t>MODIS, aboard NASA’s Terra and Aqua satellites, offers high-temporal-resolution imagery that is well-suited for environmental variable analysis such as vegetation condition and surface temperature. The study utilized MODIS-derived NDVI and LST products to monitor vegetation health and urban heat trends.</w:t>
      </w:r>
    </w:p>
    <w:p w14:paraId="52D110D8" w14:textId="77777777" w:rsidR="003E3076" w:rsidRPr="00F03204" w:rsidRDefault="003E3076" w:rsidP="00AB3D00">
      <w:pPr>
        <w:jc w:val="both"/>
        <w:rPr>
          <w:rFonts w:ascii="Arial" w:hAnsi="Arial" w:cs="Arial"/>
          <w:sz w:val="22"/>
          <w:szCs w:val="22"/>
        </w:rPr>
      </w:pPr>
      <w:r w:rsidRPr="00F03204">
        <w:rPr>
          <w:rFonts w:ascii="Arial" w:hAnsi="Arial" w:cs="Arial"/>
          <w:sz w:val="22"/>
          <w:szCs w:val="22"/>
        </w:rPr>
        <w:t xml:space="preserve">All image preprocessing, classification, spatial analysis, and change detection were conducted using </w:t>
      </w:r>
      <w:r w:rsidRPr="00F03204">
        <w:rPr>
          <w:rFonts w:ascii="Arial" w:hAnsi="Arial" w:cs="Arial"/>
          <w:b/>
          <w:bCs/>
          <w:sz w:val="22"/>
          <w:szCs w:val="22"/>
        </w:rPr>
        <w:t>Google Earth Engine (GEE)</w:t>
      </w:r>
      <w:r w:rsidRPr="00F03204">
        <w:rPr>
          <w:rFonts w:ascii="Arial" w:hAnsi="Arial" w:cs="Arial"/>
          <w:sz w:val="22"/>
          <w:szCs w:val="22"/>
        </w:rPr>
        <w:t xml:space="preserve">, </w:t>
      </w:r>
      <w:r w:rsidRPr="00F03204">
        <w:rPr>
          <w:rFonts w:ascii="Arial" w:hAnsi="Arial" w:cs="Arial"/>
          <w:b/>
          <w:bCs/>
          <w:sz w:val="22"/>
          <w:szCs w:val="22"/>
        </w:rPr>
        <w:t>QGIS</w:t>
      </w:r>
      <w:r w:rsidRPr="00F03204">
        <w:rPr>
          <w:rFonts w:ascii="Arial" w:hAnsi="Arial" w:cs="Arial"/>
          <w:sz w:val="22"/>
          <w:szCs w:val="22"/>
        </w:rPr>
        <w:t xml:space="preserve">, and </w:t>
      </w:r>
      <w:r w:rsidRPr="00F03204">
        <w:rPr>
          <w:rFonts w:ascii="Arial" w:hAnsi="Arial" w:cs="Arial"/>
          <w:b/>
          <w:bCs/>
          <w:sz w:val="22"/>
          <w:szCs w:val="22"/>
        </w:rPr>
        <w:t>ArcGIS</w:t>
      </w:r>
      <w:r w:rsidRPr="00F03204">
        <w:rPr>
          <w:rFonts w:ascii="Arial" w:hAnsi="Arial" w:cs="Arial"/>
          <w:sz w:val="22"/>
          <w:szCs w:val="22"/>
        </w:rPr>
        <w:t xml:space="preserve"> software environments. Google Earth Engine facilitated cloud-based access and processing of large temporal datasets, while QGIS and ArcGIS supported visualization, zonal statistics, and layout design.</w:t>
      </w:r>
    </w:p>
    <w:p w14:paraId="39802023" w14:textId="77777777" w:rsidR="00077C41" w:rsidRPr="00F03204" w:rsidRDefault="003E3076" w:rsidP="00AB3D00">
      <w:pPr>
        <w:jc w:val="both"/>
        <w:rPr>
          <w:rFonts w:ascii="Arial" w:hAnsi="Arial" w:cs="Arial"/>
          <w:sz w:val="22"/>
          <w:szCs w:val="22"/>
        </w:rPr>
      </w:pPr>
      <w:r w:rsidRPr="00F03204">
        <w:rPr>
          <w:rFonts w:ascii="Arial" w:hAnsi="Arial" w:cs="Arial"/>
          <w:sz w:val="22"/>
          <w:szCs w:val="22"/>
        </w:rPr>
        <w:t xml:space="preserve"> </w:t>
      </w:r>
    </w:p>
    <w:tbl>
      <w:tblPr>
        <w:tblStyle w:val="GridTable4-Accent2"/>
        <w:tblW w:w="0" w:type="auto"/>
        <w:tblLook w:val="04A0" w:firstRow="1" w:lastRow="0" w:firstColumn="1" w:lastColumn="0" w:noHBand="0" w:noVBand="1"/>
      </w:tblPr>
      <w:tblGrid>
        <w:gridCol w:w="1558"/>
        <w:gridCol w:w="1558"/>
        <w:gridCol w:w="1558"/>
        <w:gridCol w:w="1558"/>
        <w:gridCol w:w="1559"/>
        <w:gridCol w:w="1559"/>
      </w:tblGrid>
      <w:tr w:rsidR="00AB3D00" w:rsidRPr="00F03204" w14:paraId="0E223688" w14:textId="77777777" w:rsidTr="003E3076">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558" w:type="dxa"/>
          </w:tcPr>
          <w:p w14:paraId="035DA740" w14:textId="77777777" w:rsidR="003E3076" w:rsidRPr="00F03204" w:rsidRDefault="003E3076" w:rsidP="00AB3D00">
            <w:pPr>
              <w:jc w:val="both"/>
              <w:rPr>
                <w:rFonts w:ascii="Arial" w:hAnsi="Arial" w:cs="Arial"/>
                <w:b w:val="0"/>
                <w:bCs w:val="0"/>
                <w:color w:val="auto"/>
                <w:sz w:val="22"/>
                <w:szCs w:val="22"/>
              </w:rPr>
            </w:pPr>
          </w:p>
          <w:p w14:paraId="3AE5EF22" w14:textId="77777777" w:rsidR="003E3076" w:rsidRPr="00F03204" w:rsidRDefault="003E3076" w:rsidP="00AB3D00">
            <w:pPr>
              <w:jc w:val="both"/>
              <w:rPr>
                <w:rFonts w:ascii="Arial" w:hAnsi="Arial" w:cs="Arial"/>
                <w:b w:val="0"/>
                <w:bCs w:val="0"/>
                <w:color w:val="auto"/>
                <w:sz w:val="22"/>
                <w:szCs w:val="22"/>
              </w:rPr>
            </w:pPr>
            <w:r w:rsidRPr="00F03204">
              <w:rPr>
                <w:rFonts w:ascii="Arial" w:hAnsi="Arial" w:cs="Arial"/>
                <w:b w:val="0"/>
                <w:bCs w:val="0"/>
                <w:color w:val="auto"/>
                <w:sz w:val="22"/>
                <w:szCs w:val="22"/>
              </w:rPr>
              <w:t>Satellite</w:t>
            </w:r>
          </w:p>
          <w:p w14:paraId="2213BDA0" w14:textId="77777777" w:rsidR="003E3076" w:rsidRPr="00F03204" w:rsidRDefault="003E3076" w:rsidP="00AB3D00">
            <w:pPr>
              <w:jc w:val="both"/>
              <w:rPr>
                <w:rFonts w:ascii="Arial" w:hAnsi="Arial" w:cs="Arial"/>
                <w:color w:val="auto"/>
                <w:sz w:val="22"/>
                <w:szCs w:val="22"/>
              </w:rPr>
            </w:pPr>
          </w:p>
        </w:tc>
        <w:tc>
          <w:tcPr>
            <w:tcW w:w="1558" w:type="dxa"/>
          </w:tcPr>
          <w:p w14:paraId="6A5E6788"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p>
          <w:p w14:paraId="42B6C664"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r w:rsidRPr="00F03204">
              <w:rPr>
                <w:rFonts w:ascii="Arial" w:hAnsi="Arial" w:cs="Arial"/>
                <w:b w:val="0"/>
                <w:bCs w:val="0"/>
                <w:color w:val="auto"/>
                <w:sz w:val="22"/>
                <w:szCs w:val="22"/>
              </w:rPr>
              <w:t>Sensor</w:t>
            </w:r>
          </w:p>
          <w:p w14:paraId="78E5B913"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p>
        </w:tc>
        <w:tc>
          <w:tcPr>
            <w:tcW w:w="1558" w:type="dxa"/>
          </w:tcPr>
          <w:p w14:paraId="1FFA0A6F"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p>
          <w:p w14:paraId="566F19F7"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r w:rsidRPr="00F03204">
              <w:rPr>
                <w:rFonts w:ascii="Arial" w:hAnsi="Arial" w:cs="Arial"/>
                <w:b w:val="0"/>
                <w:bCs w:val="0"/>
                <w:color w:val="auto"/>
                <w:sz w:val="22"/>
                <w:szCs w:val="22"/>
              </w:rPr>
              <w:t>Spatial Resolution</w:t>
            </w:r>
          </w:p>
          <w:p w14:paraId="7F440A2B"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p>
        </w:tc>
        <w:tc>
          <w:tcPr>
            <w:tcW w:w="1558" w:type="dxa"/>
          </w:tcPr>
          <w:p w14:paraId="704713F8"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p>
          <w:p w14:paraId="71D61723"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r w:rsidRPr="00F03204">
              <w:rPr>
                <w:rFonts w:ascii="Arial" w:hAnsi="Arial" w:cs="Arial"/>
                <w:b w:val="0"/>
                <w:bCs w:val="0"/>
                <w:color w:val="auto"/>
                <w:sz w:val="22"/>
                <w:szCs w:val="22"/>
              </w:rPr>
              <w:t>Spectral Resolution</w:t>
            </w:r>
          </w:p>
          <w:p w14:paraId="3D429845"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p>
        </w:tc>
        <w:tc>
          <w:tcPr>
            <w:tcW w:w="1559" w:type="dxa"/>
          </w:tcPr>
          <w:p w14:paraId="3ED860F7"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p>
          <w:p w14:paraId="0E0CABAA"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r w:rsidRPr="00F03204">
              <w:rPr>
                <w:rFonts w:ascii="Arial" w:hAnsi="Arial" w:cs="Arial"/>
                <w:b w:val="0"/>
                <w:bCs w:val="0"/>
                <w:color w:val="auto"/>
                <w:sz w:val="22"/>
                <w:szCs w:val="22"/>
              </w:rPr>
              <w:t>Temporal Resolution</w:t>
            </w:r>
          </w:p>
          <w:p w14:paraId="17225A9F"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p>
        </w:tc>
        <w:tc>
          <w:tcPr>
            <w:tcW w:w="1559" w:type="dxa"/>
          </w:tcPr>
          <w:p w14:paraId="1BFB52A4"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p>
          <w:p w14:paraId="139E1EFE"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r w:rsidRPr="00F03204">
              <w:rPr>
                <w:rFonts w:ascii="Arial" w:hAnsi="Arial" w:cs="Arial"/>
                <w:b w:val="0"/>
                <w:bCs w:val="0"/>
                <w:color w:val="auto"/>
                <w:sz w:val="22"/>
                <w:szCs w:val="22"/>
              </w:rPr>
              <w:t>Data Used</w:t>
            </w:r>
          </w:p>
          <w:p w14:paraId="3417BFB4" w14:textId="77777777" w:rsidR="003E3076" w:rsidRPr="00F03204" w:rsidRDefault="003E3076" w:rsidP="00AB3D0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p>
        </w:tc>
      </w:tr>
      <w:tr w:rsidR="00AB3D00" w:rsidRPr="00F03204" w14:paraId="70021B68" w14:textId="77777777" w:rsidTr="003E3076">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558" w:type="dxa"/>
          </w:tcPr>
          <w:p w14:paraId="5192C696" w14:textId="77777777" w:rsidR="003E3076" w:rsidRPr="00F03204" w:rsidRDefault="003E3076" w:rsidP="00AB3D00">
            <w:pPr>
              <w:jc w:val="both"/>
              <w:rPr>
                <w:rFonts w:ascii="Arial" w:hAnsi="Arial" w:cs="Arial"/>
                <w:sz w:val="22"/>
                <w:szCs w:val="22"/>
              </w:rPr>
            </w:pPr>
          </w:p>
          <w:p w14:paraId="06D957C4" w14:textId="77777777" w:rsidR="003E3076" w:rsidRPr="00F03204" w:rsidRDefault="003E3076" w:rsidP="00AB3D00">
            <w:pPr>
              <w:jc w:val="both"/>
              <w:rPr>
                <w:rFonts w:ascii="Arial" w:hAnsi="Arial" w:cs="Arial"/>
                <w:sz w:val="22"/>
                <w:szCs w:val="22"/>
              </w:rPr>
            </w:pPr>
            <w:r w:rsidRPr="00F03204">
              <w:rPr>
                <w:rFonts w:ascii="Arial" w:hAnsi="Arial" w:cs="Arial"/>
                <w:sz w:val="22"/>
                <w:szCs w:val="22"/>
              </w:rPr>
              <w:t>Landsat 8</w:t>
            </w:r>
          </w:p>
          <w:p w14:paraId="5B08A390" w14:textId="77777777" w:rsidR="003E3076" w:rsidRPr="00F03204" w:rsidRDefault="003E3076" w:rsidP="00AB3D00">
            <w:pPr>
              <w:jc w:val="both"/>
              <w:rPr>
                <w:rFonts w:ascii="Arial" w:hAnsi="Arial" w:cs="Arial"/>
                <w:sz w:val="22"/>
                <w:szCs w:val="22"/>
              </w:rPr>
            </w:pPr>
          </w:p>
        </w:tc>
        <w:tc>
          <w:tcPr>
            <w:tcW w:w="1558" w:type="dxa"/>
          </w:tcPr>
          <w:p w14:paraId="7577AF57"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0B8E8941"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OLI &amp; TIRS</w:t>
            </w:r>
          </w:p>
          <w:p w14:paraId="763444C6"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558" w:type="dxa"/>
          </w:tcPr>
          <w:p w14:paraId="4E3F48AE"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6CD412A6"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30 m (OLI), 100 m (TIRS resampled to 30 m)</w:t>
            </w:r>
          </w:p>
          <w:p w14:paraId="1EDC6989"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558" w:type="dxa"/>
          </w:tcPr>
          <w:p w14:paraId="08C970BC"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32F6861C"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11 bands (Visible, NIR, SWIR, Thermal)</w:t>
            </w:r>
          </w:p>
          <w:p w14:paraId="3683A149"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559" w:type="dxa"/>
          </w:tcPr>
          <w:p w14:paraId="72CF4170"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140E5050"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042BD2D3"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16 days</w:t>
            </w:r>
          </w:p>
          <w:p w14:paraId="2043A040"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559" w:type="dxa"/>
          </w:tcPr>
          <w:p w14:paraId="5D67888C"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67EE3FC5"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NDVI, NDWI, NDBI,</w:t>
            </w:r>
          </w:p>
          <w:p w14:paraId="3A114B66"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LULC Classification</w:t>
            </w:r>
          </w:p>
          <w:p w14:paraId="448651EF" w14:textId="77777777" w:rsidR="003E3076" w:rsidRPr="00F03204" w:rsidRDefault="003E3076" w:rsidP="00AB3D0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B3D00" w:rsidRPr="00F03204" w14:paraId="42ECCB95" w14:textId="77777777" w:rsidTr="003E3076">
        <w:trPr>
          <w:trHeight w:val="1061"/>
        </w:trPr>
        <w:tc>
          <w:tcPr>
            <w:cnfStyle w:val="001000000000" w:firstRow="0" w:lastRow="0" w:firstColumn="1" w:lastColumn="0" w:oddVBand="0" w:evenVBand="0" w:oddHBand="0" w:evenHBand="0" w:firstRowFirstColumn="0" w:firstRowLastColumn="0" w:lastRowFirstColumn="0" w:lastRowLastColumn="0"/>
            <w:tcW w:w="1558" w:type="dxa"/>
          </w:tcPr>
          <w:p w14:paraId="1BE25FF7" w14:textId="77777777" w:rsidR="003E3076" w:rsidRPr="00F03204" w:rsidRDefault="003E3076" w:rsidP="00AB3D00">
            <w:pPr>
              <w:jc w:val="both"/>
              <w:rPr>
                <w:rFonts w:ascii="Arial" w:hAnsi="Arial" w:cs="Arial"/>
                <w:sz w:val="22"/>
                <w:szCs w:val="22"/>
              </w:rPr>
            </w:pPr>
          </w:p>
          <w:p w14:paraId="568851E2" w14:textId="77777777" w:rsidR="003E3076" w:rsidRPr="00F03204" w:rsidRDefault="003E3076" w:rsidP="00AB3D00">
            <w:pPr>
              <w:jc w:val="both"/>
              <w:rPr>
                <w:rFonts w:ascii="Arial" w:hAnsi="Arial" w:cs="Arial"/>
                <w:sz w:val="22"/>
                <w:szCs w:val="22"/>
              </w:rPr>
            </w:pPr>
            <w:r w:rsidRPr="00F03204">
              <w:rPr>
                <w:rFonts w:ascii="Arial" w:hAnsi="Arial" w:cs="Arial"/>
                <w:sz w:val="22"/>
                <w:szCs w:val="22"/>
              </w:rPr>
              <w:t>MODIS</w:t>
            </w:r>
          </w:p>
          <w:p w14:paraId="46BA2C0F" w14:textId="77777777" w:rsidR="003E3076" w:rsidRPr="00F03204" w:rsidRDefault="003E3076" w:rsidP="00AB3D00">
            <w:pPr>
              <w:jc w:val="both"/>
              <w:rPr>
                <w:rFonts w:ascii="Arial" w:hAnsi="Arial" w:cs="Arial"/>
                <w:sz w:val="22"/>
                <w:szCs w:val="22"/>
              </w:rPr>
            </w:pPr>
          </w:p>
        </w:tc>
        <w:tc>
          <w:tcPr>
            <w:tcW w:w="1558" w:type="dxa"/>
          </w:tcPr>
          <w:p w14:paraId="6F3916EF"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7C31C6B5"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MODIS (Terra/Aqua)</w:t>
            </w:r>
          </w:p>
          <w:p w14:paraId="1CA0FF93"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8" w:type="dxa"/>
          </w:tcPr>
          <w:p w14:paraId="67795A94"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3594D81A"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250 m – 1 km</w:t>
            </w:r>
          </w:p>
          <w:p w14:paraId="2A332C59"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8" w:type="dxa"/>
          </w:tcPr>
          <w:p w14:paraId="08391014"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102A7628"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36 bands (Visible to Thermal Infrared)</w:t>
            </w:r>
          </w:p>
          <w:p w14:paraId="48039A6C"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9" w:type="dxa"/>
          </w:tcPr>
          <w:p w14:paraId="4D47FC6C"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DAB973F"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Daily (NDVI), 8-day composites (LST)</w:t>
            </w:r>
          </w:p>
          <w:p w14:paraId="1AD627D4"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9" w:type="dxa"/>
          </w:tcPr>
          <w:p w14:paraId="24C29E9F"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94C12DA"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67C0DE9"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 xml:space="preserve"> LST Analysis</w:t>
            </w:r>
          </w:p>
          <w:p w14:paraId="702E7FE1" w14:textId="77777777" w:rsidR="003E3076" w:rsidRPr="00F03204" w:rsidRDefault="003E3076" w:rsidP="00AB3D0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414459E7" w14:textId="0A72C202" w:rsidR="00480AC0" w:rsidRPr="00285080" w:rsidRDefault="000E6961" w:rsidP="00285080">
      <w:pPr>
        <w:jc w:val="center"/>
        <w:rPr>
          <w:rFonts w:ascii="Arial" w:hAnsi="Arial" w:cs="Arial"/>
          <w:b/>
          <w:bCs/>
          <w:sz w:val="22"/>
          <w:szCs w:val="22"/>
        </w:rPr>
      </w:pPr>
      <w:r w:rsidRPr="00285080">
        <w:rPr>
          <w:rFonts w:ascii="Arial" w:hAnsi="Arial" w:cs="Arial"/>
          <w:b/>
          <w:bCs/>
          <w:sz w:val="22"/>
          <w:szCs w:val="22"/>
        </w:rPr>
        <w:t>Table 1</w:t>
      </w:r>
      <w:r w:rsidR="00F80674" w:rsidRPr="00285080">
        <w:rPr>
          <w:rFonts w:ascii="Arial" w:hAnsi="Arial" w:cs="Arial"/>
          <w:b/>
          <w:bCs/>
          <w:sz w:val="22"/>
          <w:szCs w:val="22"/>
        </w:rPr>
        <w:t>:</w:t>
      </w:r>
      <w:r w:rsidR="00CC34BA" w:rsidRPr="00285080">
        <w:rPr>
          <w:rFonts w:ascii="Arial" w:hAnsi="Arial" w:cs="Arial"/>
          <w:b/>
          <w:bCs/>
          <w:sz w:val="22"/>
          <w:szCs w:val="22"/>
        </w:rPr>
        <w:t xml:space="preserve"> </w:t>
      </w:r>
      <w:r w:rsidR="00285080" w:rsidRPr="00285080">
        <w:rPr>
          <w:rFonts w:ascii="Arial" w:hAnsi="Arial" w:cs="Arial"/>
          <w:b/>
          <w:bCs/>
          <w:sz w:val="22"/>
          <w:szCs w:val="22"/>
        </w:rPr>
        <w:t>Detailed Information of Satellites</w:t>
      </w:r>
    </w:p>
    <w:p w14:paraId="44E0FAA7" w14:textId="4A01C737" w:rsidR="00FE6991" w:rsidRPr="00F03204" w:rsidRDefault="00FE6991"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Analysis and Results of Spectral Indices</w:t>
      </w:r>
      <w:r w:rsidR="005C3C95" w:rsidRPr="00F03204">
        <w:rPr>
          <w:rFonts w:ascii="Arial" w:hAnsi="Arial" w:cs="Arial"/>
          <w:b/>
          <w:bCs/>
          <w:color w:val="auto"/>
          <w:sz w:val="22"/>
          <w:szCs w:val="22"/>
        </w:rPr>
        <w:t>:</w:t>
      </w:r>
    </w:p>
    <w:p w14:paraId="4861ED88" w14:textId="0C1D0CF0" w:rsidR="00FE6991" w:rsidRPr="00F03204" w:rsidRDefault="00FE6991" w:rsidP="00AB3D00">
      <w:pPr>
        <w:jc w:val="both"/>
        <w:rPr>
          <w:rFonts w:ascii="Arial" w:hAnsi="Arial" w:cs="Arial"/>
          <w:sz w:val="22"/>
          <w:szCs w:val="22"/>
        </w:rPr>
      </w:pPr>
      <w:r w:rsidRPr="00F03204">
        <w:rPr>
          <w:rFonts w:ascii="Arial" w:hAnsi="Arial" w:cs="Arial"/>
          <w:sz w:val="22"/>
          <w:szCs w:val="22"/>
        </w:rPr>
        <w:t xml:space="preserve">In order to evaluate biophysical changes in the Kolkata Metropolitan Area (KMA) from 2016 to 2024, three spectral indices were calculated using Landsat 8 imagery: the </w:t>
      </w:r>
      <w:r w:rsidRPr="00F03204">
        <w:rPr>
          <w:rFonts w:ascii="Arial" w:hAnsi="Arial" w:cs="Arial"/>
          <w:b/>
          <w:bCs/>
          <w:sz w:val="22"/>
          <w:szCs w:val="22"/>
        </w:rPr>
        <w:t>Normalized Difference Vegetation Index (NDVI)</w:t>
      </w:r>
      <w:r w:rsidRPr="00F03204">
        <w:rPr>
          <w:rFonts w:ascii="Arial" w:hAnsi="Arial" w:cs="Arial"/>
          <w:sz w:val="22"/>
          <w:szCs w:val="22"/>
        </w:rPr>
        <w:t xml:space="preserve">, the </w:t>
      </w:r>
      <w:r w:rsidRPr="00F03204">
        <w:rPr>
          <w:rFonts w:ascii="Arial" w:hAnsi="Arial" w:cs="Arial"/>
          <w:b/>
          <w:bCs/>
          <w:sz w:val="22"/>
          <w:szCs w:val="22"/>
        </w:rPr>
        <w:t>Normalized Difference Built-up Index (NDBI)</w:t>
      </w:r>
      <w:r w:rsidRPr="00F03204">
        <w:rPr>
          <w:rFonts w:ascii="Arial" w:hAnsi="Arial" w:cs="Arial"/>
          <w:sz w:val="22"/>
          <w:szCs w:val="22"/>
        </w:rPr>
        <w:t xml:space="preserve">, and the </w:t>
      </w:r>
      <w:r w:rsidRPr="00F03204">
        <w:rPr>
          <w:rFonts w:ascii="Arial" w:hAnsi="Arial" w:cs="Arial"/>
          <w:b/>
          <w:bCs/>
          <w:sz w:val="22"/>
          <w:szCs w:val="22"/>
        </w:rPr>
        <w:t>Normalized Difference Water Index (NDWI)</w:t>
      </w:r>
      <w:r w:rsidRPr="00F03204">
        <w:rPr>
          <w:rFonts w:ascii="Arial" w:hAnsi="Arial" w:cs="Arial"/>
          <w:sz w:val="22"/>
          <w:szCs w:val="22"/>
        </w:rPr>
        <w:t>. These indices provide critical insights into changes in vegetation vigor, built-up intensity, and surface water dynamics, respectively. Each index is derived using specific spectral bands and offers pixel-wise quantification of thematic phenomena over time.</w:t>
      </w:r>
    </w:p>
    <w:p w14:paraId="71DBDD5B" w14:textId="4E536882" w:rsidR="00A30E3F" w:rsidRPr="00F03204" w:rsidRDefault="00FE6991" w:rsidP="00AB3D00">
      <w:pPr>
        <w:pStyle w:val="Heading2"/>
        <w:jc w:val="both"/>
        <w:rPr>
          <w:rFonts w:ascii="Arial" w:hAnsi="Arial" w:cs="Arial"/>
          <w:color w:val="auto"/>
          <w:sz w:val="22"/>
          <w:szCs w:val="22"/>
        </w:rPr>
      </w:pPr>
      <w:r w:rsidRPr="00F03204">
        <w:rPr>
          <w:rFonts w:ascii="Arial" w:hAnsi="Arial" w:cs="Arial"/>
          <w:color w:val="auto"/>
          <w:sz w:val="22"/>
          <w:szCs w:val="22"/>
        </w:rPr>
        <w:t>Normalized Difference Vegetation Index (NDVI)</w:t>
      </w:r>
      <w:r w:rsidR="005C3C95" w:rsidRPr="00F03204">
        <w:rPr>
          <w:rFonts w:ascii="Arial" w:hAnsi="Arial" w:cs="Arial"/>
          <w:color w:val="auto"/>
          <w:sz w:val="22"/>
          <w:szCs w:val="22"/>
        </w:rPr>
        <w:t>:</w:t>
      </w:r>
    </w:p>
    <w:p w14:paraId="578D74A7" w14:textId="77777777" w:rsidR="00FE6991" w:rsidRPr="00F03204" w:rsidRDefault="00FE6991" w:rsidP="00AB3D00">
      <w:pPr>
        <w:jc w:val="both"/>
        <w:rPr>
          <w:rFonts w:ascii="Arial" w:hAnsi="Arial" w:cs="Arial"/>
          <w:b/>
          <w:bCs/>
          <w:sz w:val="22"/>
          <w:szCs w:val="22"/>
        </w:rPr>
      </w:pPr>
      <w:r w:rsidRPr="00F03204">
        <w:rPr>
          <w:rFonts w:ascii="Arial" w:hAnsi="Arial" w:cs="Arial"/>
          <w:b/>
          <w:bCs/>
          <w:sz w:val="22"/>
          <w:szCs w:val="22"/>
        </w:rPr>
        <w:t>Formula:</w:t>
      </w:r>
    </w:p>
    <w:p w14:paraId="01020C10" w14:textId="46C352FC" w:rsidR="00A30E3F" w:rsidRPr="00F03204" w:rsidRDefault="00E6756B" w:rsidP="00AB3D00">
      <w:pPr>
        <w:jc w:val="both"/>
        <w:rPr>
          <w:rFonts w:ascii="Arial" w:eastAsiaTheme="minorEastAsia" w:hAnsi="Arial" w:cs="Arial"/>
          <w:sz w:val="22"/>
          <w:szCs w:val="22"/>
        </w:rPr>
      </w:pPr>
      <m:oMathPara>
        <m:oMath>
          <m:r>
            <w:rPr>
              <w:rFonts w:ascii="Cambria Math" w:hAnsi="Cambria Math" w:cs="Arial"/>
              <w:sz w:val="22"/>
              <w:szCs w:val="22"/>
            </w:rPr>
            <m:t>NDVI=</m:t>
          </m:r>
          <m:f>
            <m:fPr>
              <m:ctrlPr>
                <w:rPr>
                  <w:rFonts w:ascii="Cambria Math" w:hAnsi="Cambria Math" w:cs="Arial"/>
                  <w:i/>
                  <w:sz w:val="22"/>
                  <w:szCs w:val="22"/>
                </w:rPr>
              </m:ctrlPr>
            </m:fPr>
            <m:num>
              <m:r>
                <w:rPr>
                  <w:rFonts w:ascii="Cambria Math" w:hAnsi="Cambria Math" w:cs="Arial"/>
                  <w:sz w:val="22"/>
                  <w:szCs w:val="22"/>
                </w:rPr>
                <m:t>NIR-RED</m:t>
              </m:r>
            </m:num>
            <m:den>
              <m:r>
                <w:rPr>
                  <w:rFonts w:ascii="Cambria Math" w:hAnsi="Cambria Math" w:cs="Arial"/>
                  <w:sz w:val="22"/>
                  <w:szCs w:val="22"/>
                </w:rPr>
                <m:t>NIR+RED</m:t>
              </m:r>
            </m:den>
          </m:f>
          <m:r>
            <w:rPr>
              <w:rFonts w:ascii="Cambria Math" w:hAnsi="Cambria Math" w:cs="Arial"/>
              <w:sz w:val="22"/>
              <w:szCs w:val="22"/>
            </w:rPr>
            <m:t xml:space="preserve"> </m:t>
          </m:r>
        </m:oMath>
      </m:oMathPara>
    </w:p>
    <w:p w14:paraId="53DBD299" w14:textId="1AC7E0A6" w:rsidR="00FE6991" w:rsidRPr="00F03204" w:rsidRDefault="00FE6991" w:rsidP="00AB3D00">
      <w:pPr>
        <w:jc w:val="both"/>
        <w:rPr>
          <w:rFonts w:ascii="Arial" w:hAnsi="Arial" w:cs="Arial"/>
          <w:sz w:val="22"/>
          <w:szCs w:val="22"/>
        </w:rPr>
      </w:pPr>
      <w:r w:rsidRPr="00F03204">
        <w:rPr>
          <w:rFonts w:ascii="Arial" w:hAnsi="Arial" w:cs="Arial"/>
          <w:sz w:val="22"/>
          <w:szCs w:val="22"/>
        </w:rPr>
        <w:lastRenderedPageBreak/>
        <w:t>Where:</w:t>
      </w:r>
    </w:p>
    <w:p w14:paraId="332B25CD" w14:textId="77777777" w:rsidR="00FE6991" w:rsidRPr="00F03204" w:rsidRDefault="00FE6991" w:rsidP="00AB3D00">
      <w:pPr>
        <w:numPr>
          <w:ilvl w:val="0"/>
          <w:numId w:val="6"/>
        </w:numPr>
        <w:jc w:val="both"/>
        <w:rPr>
          <w:rFonts w:ascii="Arial" w:hAnsi="Arial" w:cs="Arial"/>
          <w:sz w:val="22"/>
          <w:szCs w:val="22"/>
        </w:rPr>
      </w:pPr>
      <w:r w:rsidRPr="00F03204">
        <w:rPr>
          <w:rFonts w:ascii="Arial" w:hAnsi="Arial" w:cs="Arial"/>
          <w:b/>
          <w:bCs/>
          <w:sz w:val="22"/>
          <w:szCs w:val="22"/>
        </w:rPr>
        <w:t>NIR (Band 5)</w:t>
      </w:r>
      <w:r w:rsidRPr="00F03204">
        <w:rPr>
          <w:rFonts w:ascii="Arial" w:hAnsi="Arial" w:cs="Arial"/>
          <w:sz w:val="22"/>
          <w:szCs w:val="22"/>
        </w:rPr>
        <w:t>: Reflectance in the Near-Infrared region</w:t>
      </w:r>
    </w:p>
    <w:p w14:paraId="19560ABB" w14:textId="77777777" w:rsidR="00FE6991" w:rsidRPr="00F03204" w:rsidRDefault="00FE6991" w:rsidP="00AB3D00">
      <w:pPr>
        <w:numPr>
          <w:ilvl w:val="0"/>
          <w:numId w:val="6"/>
        </w:numPr>
        <w:jc w:val="both"/>
        <w:rPr>
          <w:rFonts w:ascii="Arial" w:hAnsi="Arial" w:cs="Arial"/>
          <w:sz w:val="22"/>
          <w:szCs w:val="22"/>
        </w:rPr>
      </w:pPr>
      <w:r w:rsidRPr="00F03204">
        <w:rPr>
          <w:rFonts w:ascii="Arial" w:hAnsi="Arial" w:cs="Arial"/>
          <w:b/>
          <w:bCs/>
          <w:sz w:val="22"/>
          <w:szCs w:val="22"/>
        </w:rPr>
        <w:t>RED (Band 4)</w:t>
      </w:r>
      <w:r w:rsidRPr="00F03204">
        <w:rPr>
          <w:rFonts w:ascii="Arial" w:hAnsi="Arial" w:cs="Arial"/>
          <w:sz w:val="22"/>
          <w:szCs w:val="22"/>
        </w:rPr>
        <w:t>: Reflectance in the Red region</w:t>
      </w:r>
    </w:p>
    <w:p w14:paraId="14E678EF"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 xml:space="preserve">NDVI is an established proxy for vegetation health, canopy density, and greenness. In 2016, NDVI values in KMA ranged from </w:t>
      </w:r>
      <w:r w:rsidRPr="00F03204">
        <w:rPr>
          <w:rFonts w:ascii="Arial" w:hAnsi="Arial" w:cs="Arial"/>
          <w:b/>
          <w:bCs/>
          <w:sz w:val="22"/>
          <w:szCs w:val="22"/>
        </w:rPr>
        <w:t>-0.1806 to 0.4777</w:t>
      </w:r>
      <w:r w:rsidRPr="00F03204">
        <w:rPr>
          <w:rFonts w:ascii="Arial" w:hAnsi="Arial" w:cs="Arial"/>
          <w:sz w:val="22"/>
          <w:szCs w:val="22"/>
        </w:rPr>
        <w:t xml:space="preserve">, increasing slightly in 2024 to </w:t>
      </w:r>
      <w:r w:rsidRPr="00F03204">
        <w:rPr>
          <w:rFonts w:ascii="Arial" w:hAnsi="Arial" w:cs="Arial"/>
          <w:b/>
          <w:bCs/>
          <w:sz w:val="22"/>
          <w:szCs w:val="22"/>
        </w:rPr>
        <w:t>-0.1432 to 0.4850</w:t>
      </w:r>
      <w:r w:rsidRPr="00F03204">
        <w:rPr>
          <w:rFonts w:ascii="Arial" w:hAnsi="Arial" w:cs="Arial"/>
          <w:sz w:val="22"/>
          <w:szCs w:val="22"/>
        </w:rPr>
        <w:t>. This indicates a marginal upward shift in the upper vegetation threshold, reflecting healthier or more photosynthetically active vegetation.</w:t>
      </w:r>
    </w:p>
    <w:p w14:paraId="68BA29DC"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 xml:space="preserve">These observations are partly supported by the change statistics, which show a </w:t>
      </w:r>
      <w:r w:rsidRPr="00F03204">
        <w:rPr>
          <w:rFonts w:ascii="Arial" w:hAnsi="Arial" w:cs="Arial"/>
          <w:b/>
          <w:bCs/>
          <w:sz w:val="22"/>
          <w:szCs w:val="22"/>
        </w:rPr>
        <w:t>decline in classified forest area by 46.76 km²</w:t>
      </w:r>
      <w:r w:rsidRPr="00F03204">
        <w:rPr>
          <w:rFonts w:ascii="Arial" w:hAnsi="Arial" w:cs="Arial"/>
          <w:sz w:val="22"/>
          <w:szCs w:val="22"/>
        </w:rPr>
        <w:t>. Despite this reduction, the NDVI values did not deteriorate significantly, suggesting compensation through vegetation outside formal forest zones—such as agricultural land, urban green patches, or afforestation projects.</w:t>
      </w:r>
    </w:p>
    <w:p w14:paraId="48E4D03C"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The consistency in lower NDVI zones (negative to near-zero values) continues to reflect urbanized or barren surfaces. However, the persistence and slight enhancement of the positive NDVI range imply that vegetative health remains resilient in many parts of the region.</w:t>
      </w:r>
    </w:p>
    <w:p w14:paraId="0C57A5CF" w14:textId="795CDD07" w:rsidR="00B154F1" w:rsidRPr="00F03204" w:rsidRDefault="00B154F1" w:rsidP="00AB3D00">
      <w:pPr>
        <w:jc w:val="both"/>
        <w:rPr>
          <w:rFonts w:ascii="Arial" w:hAnsi="Arial" w:cs="Arial"/>
          <w:sz w:val="22"/>
          <w:szCs w:val="22"/>
        </w:rPr>
      </w:pPr>
    </w:p>
    <w:p w14:paraId="634DECE9" w14:textId="1C8CF9F2" w:rsidR="00216FD5" w:rsidRDefault="00216FD5" w:rsidP="00AB3D00">
      <w:pPr>
        <w:jc w:val="both"/>
        <w:rPr>
          <w:rFonts w:ascii="Arial" w:hAnsi="Arial" w:cs="Arial"/>
          <w:sz w:val="22"/>
          <w:szCs w:val="22"/>
        </w:rPr>
      </w:pPr>
      <w:r w:rsidRPr="00F03204">
        <w:rPr>
          <w:rFonts w:ascii="Arial" w:hAnsi="Arial" w:cs="Arial"/>
          <w:noProof/>
          <w:sz w:val="22"/>
          <w:szCs w:val="22"/>
        </w:rPr>
        <w:drawing>
          <wp:inline distT="0" distB="0" distL="0" distR="0" wp14:anchorId="675D7C46" wp14:editId="08756E96">
            <wp:extent cx="5389418" cy="3810595"/>
            <wp:effectExtent l="0" t="0" r="1905" b="0"/>
            <wp:docPr id="1108456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56448" name="Picture 11084564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9418" cy="3810595"/>
                    </a:xfrm>
                    <a:prstGeom prst="rect">
                      <a:avLst/>
                    </a:prstGeom>
                  </pic:spPr>
                </pic:pic>
              </a:graphicData>
            </a:graphic>
          </wp:inline>
        </w:drawing>
      </w:r>
    </w:p>
    <w:p w14:paraId="1980AA5A" w14:textId="66B676EA" w:rsidR="00C979DE" w:rsidRDefault="00F54B76" w:rsidP="00AD6107">
      <w:pPr>
        <w:jc w:val="center"/>
        <w:rPr>
          <w:rFonts w:ascii="Arial" w:hAnsi="Arial" w:cs="Arial"/>
          <w:b/>
          <w:bCs/>
          <w:sz w:val="22"/>
          <w:szCs w:val="22"/>
        </w:rPr>
      </w:pPr>
      <w:r>
        <w:rPr>
          <w:rFonts w:ascii="Arial" w:hAnsi="Arial" w:cs="Arial"/>
          <w:b/>
          <w:bCs/>
          <w:sz w:val="22"/>
          <w:szCs w:val="22"/>
        </w:rPr>
        <w:t>Figure 3.</w:t>
      </w:r>
      <w:r w:rsidR="00216FD5" w:rsidRPr="00AD6107">
        <w:rPr>
          <w:rFonts w:ascii="Arial" w:hAnsi="Arial" w:cs="Arial"/>
          <w:b/>
          <w:bCs/>
          <w:sz w:val="22"/>
          <w:szCs w:val="22"/>
        </w:rPr>
        <w:t xml:space="preserve"> </w:t>
      </w:r>
      <w:r w:rsidR="00AD6107" w:rsidRPr="00AD6107">
        <w:rPr>
          <w:rFonts w:ascii="Arial" w:hAnsi="Arial" w:cs="Arial"/>
          <w:b/>
          <w:bCs/>
          <w:sz w:val="22"/>
          <w:szCs w:val="22"/>
        </w:rPr>
        <w:t xml:space="preserve">Showing </w:t>
      </w:r>
      <w:r w:rsidR="00BD25A5" w:rsidRPr="00AD6107">
        <w:rPr>
          <w:rFonts w:ascii="Arial" w:hAnsi="Arial" w:cs="Arial"/>
          <w:b/>
          <w:bCs/>
          <w:sz w:val="22"/>
          <w:szCs w:val="22"/>
        </w:rPr>
        <w:t>Changes of NDVI of KMA 2016-2024</w:t>
      </w:r>
    </w:p>
    <w:p w14:paraId="564439A3" w14:textId="77777777" w:rsidR="00AD6107" w:rsidRDefault="00AD6107" w:rsidP="00AD6107">
      <w:pPr>
        <w:jc w:val="center"/>
        <w:rPr>
          <w:rFonts w:ascii="Arial" w:hAnsi="Arial" w:cs="Arial"/>
          <w:b/>
          <w:bCs/>
          <w:sz w:val="22"/>
          <w:szCs w:val="22"/>
        </w:rPr>
      </w:pPr>
    </w:p>
    <w:p w14:paraId="24477A01" w14:textId="77777777" w:rsidR="00AD6107" w:rsidRPr="00AD6107" w:rsidRDefault="00AD6107" w:rsidP="00AD6107">
      <w:pPr>
        <w:jc w:val="center"/>
        <w:rPr>
          <w:rFonts w:ascii="Arial" w:hAnsi="Arial" w:cs="Arial"/>
          <w:b/>
          <w:bCs/>
          <w:sz w:val="22"/>
          <w:szCs w:val="22"/>
        </w:rPr>
      </w:pPr>
    </w:p>
    <w:p w14:paraId="32AB37B9" w14:textId="7AEF5D22" w:rsidR="00FE6991" w:rsidRPr="00F03204" w:rsidRDefault="00FE6991" w:rsidP="00AB3D00">
      <w:pPr>
        <w:pStyle w:val="Heading2"/>
        <w:jc w:val="both"/>
        <w:rPr>
          <w:rFonts w:ascii="Arial" w:hAnsi="Arial" w:cs="Arial"/>
          <w:b/>
          <w:bCs/>
          <w:color w:val="auto"/>
          <w:sz w:val="22"/>
          <w:szCs w:val="22"/>
        </w:rPr>
      </w:pPr>
      <w:r w:rsidRPr="00F03204">
        <w:rPr>
          <w:rFonts w:ascii="Arial" w:hAnsi="Arial" w:cs="Arial"/>
          <w:b/>
          <w:bCs/>
          <w:color w:val="auto"/>
          <w:sz w:val="22"/>
          <w:szCs w:val="22"/>
        </w:rPr>
        <w:lastRenderedPageBreak/>
        <w:t>Normalized Difference Built-up Index (NDBI)</w:t>
      </w:r>
      <w:r w:rsidR="005C3C95" w:rsidRPr="00F03204">
        <w:rPr>
          <w:rFonts w:ascii="Arial" w:hAnsi="Arial" w:cs="Arial"/>
          <w:b/>
          <w:bCs/>
          <w:color w:val="auto"/>
          <w:sz w:val="22"/>
          <w:szCs w:val="22"/>
        </w:rPr>
        <w:t>:</w:t>
      </w:r>
    </w:p>
    <w:p w14:paraId="6D8585F4" w14:textId="77777777" w:rsidR="00FE6991" w:rsidRPr="00F03204" w:rsidRDefault="00FE6991" w:rsidP="00AB3D00">
      <w:pPr>
        <w:jc w:val="both"/>
        <w:rPr>
          <w:rFonts w:ascii="Arial" w:hAnsi="Arial" w:cs="Arial"/>
          <w:b/>
          <w:bCs/>
          <w:sz w:val="22"/>
          <w:szCs w:val="22"/>
        </w:rPr>
      </w:pPr>
      <w:r w:rsidRPr="00F03204">
        <w:rPr>
          <w:rFonts w:ascii="Arial" w:hAnsi="Arial" w:cs="Arial"/>
          <w:b/>
          <w:bCs/>
          <w:sz w:val="22"/>
          <w:szCs w:val="22"/>
        </w:rPr>
        <w:t>Formula:</w:t>
      </w:r>
    </w:p>
    <w:p w14:paraId="2A7496CD" w14:textId="1E0A1766" w:rsidR="004512C1" w:rsidRPr="00F03204" w:rsidRDefault="004512C1" w:rsidP="00AB3D00">
      <w:pPr>
        <w:jc w:val="both"/>
        <w:rPr>
          <w:rFonts w:ascii="Arial" w:hAnsi="Arial" w:cs="Arial"/>
          <w:sz w:val="22"/>
          <w:szCs w:val="22"/>
        </w:rPr>
      </w:pPr>
      <m:oMathPara>
        <m:oMath>
          <m:r>
            <w:rPr>
              <w:rFonts w:ascii="Cambria Math" w:hAnsi="Cambria Math" w:cs="Arial"/>
              <w:sz w:val="22"/>
              <w:szCs w:val="22"/>
            </w:rPr>
            <m:t>NDBI=</m:t>
          </m:r>
          <m:f>
            <m:fPr>
              <m:ctrlPr>
                <w:rPr>
                  <w:rFonts w:ascii="Cambria Math" w:hAnsi="Cambria Math" w:cs="Arial"/>
                  <w:i/>
                  <w:sz w:val="22"/>
                  <w:szCs w:val="22"/>
                </w:rPr>
              </m:ctrlPr>
            </m:fPr>
            <m:num>
              <m:r>
                <w:rPr>
                  <w:rFonts w:ascii="Cambria Math" w:hAnsi="Cambria Math" w:cs="Arial"/>
                  <w:sz w:val="22"/>
                  <w:szCs w:val="22"/>
                </w:rPr>
                <m:t>SWIR-NIR</m:t>
              </m:r>
            </m:num>
            <m:den>
              <m:r>
                <w:rPr>
                  <w:rFonts w:ascii="Cambria Math" w:hAnsi="Cambria Math" w:cs="Arial"/>
                  <w:sz w:val="22"/>
                  <w:szCs w:val="22"/>
                </w:rPr>
                <m:t>SWIR+NIR</m:t>
              </m:r>
            </m:den>
          </m:f>
        </m:oMath>
      </m:oMathPara>
    </w:p>
    <w:p w14:paraId="1ECF4442"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Where:</w:t>
      </w:r>
    </w:p>
    <w:p w14:paraId="107A4BAE" w14:textId="77777777" w:rsidR="00FE6991" w:rsidRPr="00F03204" w:rsidRDefault="00FE6991" w:rsidP="00AB3D00">
      <w:pPr>
        <w:numPr>
          <w:ilvl w:val="0"/>
          <w:numId w:val="7"/>
        </w:numPr>
        <w:jc w:val="both"/>
        <w:rPr>
          <w:rFonts w:ascii="Arial" w:hAnsi="Arial" w:cs="Arial"/>
          <w:sz w:val="22"/>
          <w:szCs w:val="22"/>
        </w:rPr>
      </w:pPr>
      <w:r w:rsidRPr="00F03204">
        <w:rPr>
          <w:rFonts w:ascii="Arial" w:hAnsi="Arial" w:cs="Arial"/>
          <w:b/>
          <w:bCs/>
          <w:sz w:val="22"/>
          <w:szCs w:val="22"/>
        </w:rPr>
        <w:t>SWIR (Band 6)</w:t>
      </w:r>
      <w:r w:rsidRPr="00F03204">
        <w:rPr>
          <w:rFonts w:ascii="Arial" w:hAnsi="Arial" w:cs="Arial"/>
          <w:sz w:val="22"/>
          <w:szCs w:val="22"/>
        </w:rPr>
        <w:t>: Reflectance in the Short-Wave Infrared region</w:t>
      </w:r>
    </w:p>
    <w:p w14:paraId="3EB6126D" w14:textId="77777777" w:rsidR="00FE6991" w:rsidRPr="00F03204" w:rsidRDefault="00FE6991" w:rsidP="00AB3D00">
      <w:pPr>
        <w:numPr>
          <w:ilvl w:val="0"/>
          <w:numId w:val="7"/>
        </w:numPr>
        <w:jc w:val="both"/>
        <w:rPr>
          <w:rFonts w:ascii="Arial" w:hAnsi="Arial" w:cs="Arial"/>
          <w:sz w:val="22"/>
          <w:szCs w:val="22"/>
        </w:rPr>
      </w:pPr>
      <w:r w:rsidRPr="00F03204">
        <w:rPr>
          <w:rFonts w:ascii="Arial" w:hAnsi="Arial" w:cs="Arial"/>
          <w:b/>
          <w:bCs/>
          <w:sz w:val="22"/>
          <w:szCs w:val="22"/>
        </w:rPr>
        <w:t>NIR (Band 5)</w:t>
      </w:r>
      <w:r w:rsidRPr="00F03204">
        <w:rPr>
          <w:rFonts w:ascii="Arial" w:hAnsi="Arial" w:cs="Arial"/>
          <w:sz w:val="22"/>
          <w:szCs w:val="22"/>
        </w:rPr>
        <w:t>: Reflectance in the Near-Infrared region</w:t>
      </w:r>
    </w:p>
    <w:p w14:paraId="69EDAC9F"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 xml:space="preserve">NDBI emphasizes impervious urban features due to their higher SWIR and lower NIR reflectance. Between 2016 and 2024, the NDBI range increased from </w:t>
      </w:r>
      <w:r w:rsidRPr="00F03204">
        <w:rPr>
          <w:rFonts w:ascii="Arial" w:hAnsi="Arial" w:cs="Arial"/>
          <w:b/>
          <w:bCs/>
          <w:sz w:val="22"/>
          <w:szCs w:val="22"/>
        </w:rPr>
        <w:t>-0.2991 to 0.2696</w:t>
      </w:r>
      <w:r w:rsidRPr="00F03204">
        <w:rPr>
          <w:rFonts w:ascii="Arial" w:hAnsi="Arial" w:cs="Arial"/>
          <w:sz w:val="22"/>
          <w:szCs w:val="22"/>
        </w:rPr>
        <w:t xml:space="preserve"> in 2016 to </w:t>
      </w:r>
      <w:r w:rsidRPr="00F03204">
        <w:rPr>
          <w:rFonts w:ascii="Arial" w:hAnsi="Arial" w:cs="Arial"/>
          <w:b/>
          <w:bCs/>
          <w:sz w:val="22"/>
          <w:szCs w:val="22"/>
        </w:rPr>
        <w:t>-0.3055 to 0.2964</w:t>
      </w:r>
      <w:r w:rsidRPr="00F03204">
        <w:rPr>
          <w:rFonts w:ascii="Arial" w:hAnsi="Arial" w:cs="Arial"/>
          <w:sz w:val="22"/>
          <w:szCs w:val="22"/>
        </w:rPr>
        <w:t xml:space="preserve"> in 2024. This increase in the maximum value reflects an intensification of urban materials—such as concrete, metal, and rooftops—especially in central and southern KMA.</w:t>
      </w:r>
    </w:p>
    <w:p w14:paraId="5E044579"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 xml:space="preserve">Interestingly, the LULC statistics show a reduction in the classified “developed” area by </w:t>
      </w:r>
      <w:r w:rsidRPr="00F03204">
        <w:rPr>
          <w:rFonts w:ascii="Arial" w:hAnsi="Arial" w:cs="Arial"/>
          <w:b/>
          <w:bCs/>
          <w:sz w:val="22"/>
          <w:szCs w:val="22"/>
        </w:rPr>
        <w:t>307.70 km²</w:t>
      </w:r>
      <w:r w:rsidRPr="00F03204">
        <w:rPr>
          <w:rFonts w:ascii="Arial" w:hAnsi="Arial" w:cs="Arial"/>
          <w:sz w:val="22"/>
          <w:szCs w:val="22"/>
        </w:rPr>
        <w:t xml:space="preserve">, which appears contrary to the spectral trend. This discrepancy may arise from misclassification of transitional zones or from newly developing areas being categorized as “barren” rather than “developed.” In fact, the increase in </w:t>
      </w:r>
      <w:r w:rsidRPr="00F03204">
        <w:rPr>
          <w:rFonts w:ascii="Arial" w:hAnsi="Arial" w:cs="Arial"/>
          <w:b/>
          <w:bCs/>
          <w:sz w:val="22"/>
          <w:szCs w:val="22"/>
        </w:rPr>
        <w:t>barren land by 394.12 km²</w:t>
      </w:r>
      <w:r w:rsidRPr="00F03204">
        <w:rPr>
          <w:rFonts w:ascii="Arial" w:hAnsi="Arial" w:cs="Arial"/>
          <w:sz w:val="22"/>
          <w:szCs w:val="22"/>
        </w:rPr>
        <w:t xml:space="preserve"> supports this possibility, as barren construction zones often produce high SWIR signals, raising NDBI values.</w:t>
      </w:r>
    </w:p>
    <w:p w14:paraId="64EA1A82"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Hence, the spectral NDBI response reflects an increasing intensity of impervious surfaces—even if formal urban classifications appear reduced—highlighting the benefit of using indices alongside thematic classification.</w:t>
      </w:r>
    </w:p>
    <w:p w14:paraId="3994E70A" w14:textId="77777777" w:rsidR="00B154F1" w:rsidRPr="00F03204" w:rsidRDefault="00B154F1" w:rsidP="00AB3D00">
      <w:pPr>
        <w:jc w:val="both"/>
        <w:rPr>
          <w:rFonts w:ascii="Arial" w:hAnsi="Arial" w:cs="Arial"/>
          <w:sz w:val="22"/>
          <w:szCs w:val="22"/>
        </w:rPr>
      </w:pPr>
      <w:r w:rsidRPr="00F03204">
        <w:rPr>
          <w:rFonts w:ascii="Arial" w:hAnsi="Arial" w:cs="Arial"/>
          <w:noProof/>
          <w:sz w:val="22"/>
          <w:szCs w:val="22"/>
        </w:rPr>
        <w:drawing>
          <wp:inline distT="0" distB="0" distL="0" distR="0" wp14:anchorId="52116ACA" wp14:editId="504EA975">
            <wp:extent cx="5291667" cy="3729207"/>
            <wp:effectExtent l="0" t="0" r="4445" b="5080"/>
            <wp:docPr id="898512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12755" name="Picture 8985127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1667" cy="3729207"/>
                    </a:xfrm>
                    <a:prstGeom prst="rect">
                      <a:avLst/>
                    </a:prstGeom>
                  </pic:spPr>
                </pic:pic>
              </a:graphicData>
            </a:graphic>
          </wp:inline>
        </w:drawing>
      </w:r>
    </w:p>
    <w:p w14:paraId="7237A005" w14:textId="5959039E" w:rsidR="00CD46F0" w:rsidRPr="00F03204" w:rsidRDefault="00367D48" w:rsidP="00AB3D00">
      <w:pPr>
        <w:jc w:val="both"/>
        <w:rPr>
          <w:rFonts w:ascii="Arial" w:hAnsi="Arial" w:cs="Arial"/>
          <w:sz w:val="22"/>
          <w:szCs w:val="22"/>
        </w:rPr>
      </w:pPr>
      <w:r>
        <w:rPr>
          <w:rFonts w:ascii="Arial" w:hAnsi="Arial" w:cs="Arial"/>
          <w:sz w:val="22"/>
          <w:szCs w:val="22"/>
        </w:rPr>
        <w:lastRenderedPageBreak/>
        <w:t>Figure 4. Comparison of NDBI values</w:t>
      </w:r>
    </w:p>
    <w:p w14:paraId="6B3171BE" w14:textId="7966A793" w:rsidR="00FE6991" w:rsidRPr="00F03204" w:rsidRDefault="00FE6991" w:rsidP="00AB3D00">
      <w:pPr>
        <w:pStyle w:val="Heading2"/>
        <w:jc w:val="both"/>
        <w:rPr>
          <w:rFonts w:ascii="Arial" w:hAnsi="Arial" w:cs="Arial"/>
          <w:b/>
          <w:bCs/>
          <w:color w:val="auto"/>
          <w:sz w:val="22"/>
          <w:szCs w:val="22"/>
        </w:rPr>
      </w:pPr>
      <w:r w:rsidRPr="00F03204">
        <w:rPr>
          <w:rFonts w:ascii="Arial" w:hAnsi="Arial" w:cs="Arial"/>
          <w:b/>
          <w:bCs/>
          <w:color w:val="auto"/>
          <w:sz w:val="22"/>
          <w:szCs w:val="22"/>
        </w:rPr>
        <w:t>Normalized Difference Water Index (NDWI)</w:t>
      </w:r>
      <w:r w:rsidR="005C3C95" w:rsidRPr="00F03204">
        <w:rPr>
          <w:rFonts w:ascii="Arial" w:hAnsi="Arial" w:cs="Arial"/>
          <w:b/>
          <w:bCs/>
          <w:color w:val="auto"/>
          <w:sz w:val="22"/>
          <w:szCs w:val="22"/>
        </w:rPr>
        <w:t>:</w:t>
      </w:r>
    </w:p>
    <w:p w14:paraId="62E5646E" w14:textId="78108A6A" w:rsidR="00FE6991" w:rsidRPr="00F03204" w:rsidRDefault="00FE6991" w:rsidP="00AB3D00">
      <w:pPr>
        <w:jc w:val="both"/>
        <w:rPr>
          <w:rFonts w:ascii="Arial" w:hAnsi="Arial" w:cs="Arial"/>
          <w:b/>
          <w:bCs/>
          <w:sz w:val="22"/>
          <w:szCs w:val="22"/>
        </w:rPr>
      </w:pPr>
      <w:r w:rsidRPr="00F03204">
        <w:rPr>
          <w:rFonts w:ascii="Arial" w:hAnsi="Arial" w:cs="Arial"/>
          <w:b/>
          <w:bCs/>
          <w:sz w:val="22"/>
          <w:szCs w:val="22"/>
        </w:rPr>
        <w:t>Formula:</w:t>
      </w:r>
      <w:r w:rsidR="00B437D4" w:rsidRPr="00F03204">
        <w:rPr>
          <w:rFonts w:ascii="Arial" w:hAnsi="Arial" w:cs="Arial"/>
          <w:b/>
          <w:bCs/>
          <w:sz w:val="22"/>
          <w:szCs w:val="22"/>
        </w:rPr>
        <w:t xml:space="preserve"> </w:t>
      </w:r>
    </w:p>
    <w:p w14:paraId="756D9EB0" w14:textId="48716482" w:rsidR="004512C1" w:rsidRPr="00F03204" w:rsidRDefault="004512C1" w:rsidP="00AB3D00">
      <w:pPr>
        <w:jc w:val="both"/>
        <w:rPr>
          <w:rFonts w:ascii="Arial" w:hAnsi="Arial" w:cs="Arial"/>
          <w:sz w:val="22"/>
          <w:szCs w:val="22"/>
        </w:rPr>
      </w:pPr>
      <m:oMathPara>
        <m:oMath>
          <m:r>
            <w:rPr>
              <w:rFonts w:ascii="Cambria Math" w:hAnsi="Cambria Math" w:cs="Arial"/>
              <w:sz w:val="22"/>
              <w:szCs w:val="22"/>
            </w:rPr>
            <m:t xml:space="preserve">NDWI= </m:t>
          </m:r>
          <m:f>
            <m:fPr>
              <m:ctrlPr>
                <w:rPr>
                  <w:rFonts w:ascii="Cambria Math" w:hAnsi="Cambria Math" w:cs="Arial"/>
                  <w:i/>
                  <w:sz w:val="22"/>
                  <w:szCs w:val="22"/>
                </w:rPr>
              </m:ctrlPr>
            </m:fPr>
            <m:num>
              <m:r>
                <w:rPr>
                  <w:rFonts w:ascii="Cambria Math" w:hAnsi="Cambria Math" w:cs="Arial"/>
                  <w:sz w:val="22"/>
                  <w:szCs w:val="22"/>
                </w:rPr>
                <m:t>NIR-SWIR</m:t>
              </m:r>
            </m:num>
            <m:den>
              <m:r>
                <w:rPr>
                  <w:rFonts w:ascii="Cambria Math" w:hAnsi="Cambria Math" w:cs="Arial"/>
                  <w:sz w:val="22"/>
                  <w:szCs w:val="22"/>
                </w:rPr>
                <m:t>NIR+SWIR</m:t>
              </m:r>
            </m:den>
          </m:f>
        </m:oMath>
      </m:oMathPara>
    </w:p>
    <w:p w14:paraId="715D35B9"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Where:</w:t>
      </w:r>
    </w:p>
    <w:p w14:paraId="1FE2DF4A" w14:textId="77777777" w:rsidR="00FE6991" w:rsidRPr="00F03204" w:rsidRDefault="00FE6991" w:rsidP="00AB3D00">
      <w:pPr>
        <w:numPr>
          <w:ilvl w:val="0"/>
          <w:numId w:val="8"/>
        </w:numPr>
        <w:jc w:val="both"/>
        <w:rPr>
          <w:rFonts w:ascii="Arial" w:hAnsi="Arial" w:cs="Arial"/>
          <w:sz w:val="22"/>
          <w:szCs w:val="22"/>
        </w:rPr>
      </w:pPr>
      <w:r w:rsidRPr="00F03204">
        <w:rPr>
          <w:rFonts w:ascii="Arial" w:hAnsi="Arial" w:cs="Arial"/>
          <w:b/>
          <w:bCs/>
          <w:sz w:val="22"/>
          <w:szCs w:val="22"/>
        </w:rPr>
        <w:t>GREEN (Band 3)</w:t>
      </w:r>
      <w:r w:rsidRPr="00F03204">
        <w:rPr>
          <w:rFonts w:ascii="Arial" w:hAnsi="Arial" w:cs="Arial"/>
          <w:sz w:val="22"/>
          <w:szCs w:val="22"/>
        </w:rPr>
        <w:t>: Reflectance in the Green spectral band</w:t>
      </w:r>
    </w:p>
    <w:p w14:paraId="5D9CCEB5" w14:textId="77777777" w:rsidR="00FE6991" w:rsidRPr="00F03204" w:rsidRDefault="00FE6991" w:rsidP="00AB3D00">
      <w:pPr>
        <w:numPr>
          <w:ilvl w:val="0"/>
          <w:numId w:val="8"/>
        </w:numPr>
        <w:jc w:val="both"/>
        <w:rPr>
          <w:rFonts w:ascii="Arial" w:hAnsi="Arial" w:cs="Arial"/>
          <w:sz w:val="22"/>
          <w:szCs w:val="22"/>
        </w:rPr>
      </w:pPr>
      <w:r w:rsidRPr="00F03204">
        <w:rPr>
          <w:rFonts w:ascii="Arial" w:hAnsi="Arial" w:cs="Arial"/>
          <w:b/>
          <w:bCs/>
          <w:sz w:val="22"/>
          <w:szCs w:val="22"/>
        </w:rPr>
        <w:t>NIR (Band 5)</w:t>
      </w:r>
      <w:r w:rsidRPr="00F03204">
        <w:rPr>
          <w:rFonts w:ascii="Arial" w:hAnsi="Arial" w:cs="Arial"/>
          <w:sz w:val="22"/>
          <w:szCs w:val="22"/>
        </w:rPr>
        <w:t>: Reflectance in the Near-Infrared spectral band</w:t>
      </w:r>
    </w:p>
    <w:p w14:paraId="63B2D1C4"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 xml:space="preserve">NDWI isolates surface water bodies by maximizing green reflectance and minimizing NIR, which water absorbs. In 2016, the NDWI ranged from </w:t>
      </w:r>
      <w:r w:rsidRPr="00F03204">
        <w:rPr>
          <w:rFonts w:ascii="Arial" w:hAnsi="Arial" w:cs="Arial"/>
          <w:b/>
          <w:bCs/>
          <w:sz w:val="22"/>
          <w:szCs w:val="22"/>
        </w:rPr>
        <w:t>-0.4215 to 0.1015</w:t>
      </w:r>
      <w:r w:rsidRPr="00F03204">
        <w:rPr>
          <w:rFonts w:ascii="Arial" w:hAnsi="Arial" w:cs="Arial"/>
          <w:sz w:val="22"/>
          <w:szCs w:val="22"/>
        </w:rPr>
        <w:t xml:space="preserve">, increasing in 2024 to </w:t>
      </w:r>
      <w:r w:rsidRPr="00F03204">
        <w:rPr>
          <w:rFonts w:ascii="Arial" w:hAnsi="Arial" w:cs="Arial"/>
          <w:b/>
          <w:bCs/>
          <w:sz w:val="22"/>
          <w:szCs w:val="22"/>
        </w:rPr>
        <w:t>-0.4354 to 0.1831</w:t>
      </w:r>
      <w:r w:rsidRPr="00F03204">
        <w:rPr>
          <w:rFonts w:ascii="Arial" w:hAnsi="Arial" w:cs="Arial"/>
          <w:sz w:val="22"/>
          <w:szCs w:val="22"/>
        </w:rPr>
        <w:t>. This increase in maximum NDWI indicates stronger or clearer water signatures, especially in well-defined water bodies like the Hooghly River and southern wetlands.</w:t>
      </w:r>
    </w:p>
    <w:p w14:paraId="5E262823" w14:textId="77777777" w:rsidR="00FE6991" w:rsidRPr="00F03204" w:rsidRDefault="00FE6991" w:rsidP="00AB3D00">
      <w:pPr>
        <w:jc w:val="both"/>
        <w:rPr>
          <w:rFonts w:ascii="Arial" w:hAnsi="Arial" w:cs="Arial"/>
          <w:sz w:val="22"/>
          <w:szCs w:val="22"/>
        </w:rPr>
      </w:pPr>
      <w:r w:rsidRPr="00F03204">
        <w:rPr>
          <w:rFonts w:ascii="Arial" w:hAnsi="Arial" w:cs="Arial"/>
          <w:sz w:val="22"/>
          <w:szCs w:val="22"/>
        </w:rPr>
        <w:t xml:space="preserve"> LULC statistics reveal a </w:t>
      </w:r>
      <w:r w:rsidRPr="00F03204">
        <w:rPr>
          <w:rFonts w:ascii="Arial" w:hAnsi="Arial" w:cs="Arial"/>
          <w:b/>
          <w:bCs/>
          <w:sz w:val="22"/>
          <w:szCs w:val="22"/>
        </w:rPr>
        <w:t>loss of 39.66 km² in water area</w:t>
      </w:r>
      <w:r w:rsidRPr="00F03204">
        <w:rPr>
          <w:rFonts w:ascii="Arial" w:hAnsi="Arial" w:cs="Arial"/>
          <w:sz w:val="22"/>
          <w:szCs w:val="22"/>
        </w:rPr>
        <w:t>. This suggests that while overall water extent decreased, the spectral intensity of remaining water features may have improved, possibly due to seasonal timing, water clarity, or deeper reservoirs. NDWI also reflects seasonal water presence, and temporal differences in image acquisition can influence the peak values.</w:t>
      </w:r>
    </w:p>
    <w:p w14:paraId="78DEC20B" w14:textId="64AA9D05" w:rsidR="00B154F1" w:rsidRPr="00F03204" w:rsidRDefault="00741868" w:rsidP="00AB3D00">
      <w:pPr>
        <w:jc w:val="both"/>
        <w:rPr>
          <w:rFonts w:ascii="Arial" w:hAnsi="Arial" w:cs="Arial"/>
          <w:sz w:val="22"/>
          <w:szCs w:val="22"/>
        </w:rPr>
      </w:pPr>
      <w:r w:rsidRPr="00F03204">
        <w:rPr>
          <w:rFonts w:ascii="Arial" w:hAnsi="Arial" w:cs="Arial"/>
          <w:noProof/>
          <w:sz w:val="22"/>
          <w:szCs w:val="22"/>
        </w:rPr>
        <w:drawing>
          <wp:inline distT="0" distB="0" distL="0" distR="0" wp14:anchorId="0056AD73" wp14:editId="1410A025">
            <wp:extent cx="5209309" cy="3683248"/>
            <wp:effectExtent l="0" t="0" r="0" b="0"/>
            <wp:docPr id="1237682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2316" name="Picture 12376823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5660" cy="3716020"/>
                    </a:xfrm>
                    <a:prstGeom prst="rect">
                      <a:avLst/>
                    </a:prstGeom>
                  </pic:spPr>
                </pic:pic>
              </a:graphicData>
            </a:graphic>
          </wp:inline>
        </w:drawing>
      </w:r>
    </w:p>
    <w:p w14:paraId="3B5E1746" w14:textId="6BFE3E1F" w:rsidR="00AD6107" w:rsidRDefault="003B1B91" w:rsidP="00AD6107">
      <w:pPr>
        <w:jc w:val="center"/>
        <w:rPr>
          <w:rFonts w:ascii="Arial" w:hAnsi="Arial" w:cs="Arial"/>
          <w:b/>
          <w:bCs/>
          <w:sz w:val="22"/>
          <w:szCs w:val="22"/>
        </w:rPr>
      </w:pPr>
      <w:r>
        <w:rPr>
          <w:rFonts w:ascii="Arial" w:hAnsi="Arial" w:cs="Arial"/>
          <w:b/>
          <w:bCs/>
          <w:sz w:val="22"/>
          <w:szCs w:val="22"/>
        </w:rPr>
        <w:t xml:space="preserve">Figure 5. </w:t>
      </w:r>
      <w:r w:rsidR="00AD6107" w:rsidRPr="00AD6107">
        <w:rPr>
          <w:rFonts w:ascii="Arial" w:hAnsi="Arial" w:cs="Arial"/>
          <w:b/>
          <w:bCs/>
          <w:sz w:val="22"/>
          <w:szCs w:val="22"/>
        </w:rPr>
        <w:t xml:space="preserve"> Showing Changes of ND</w:t>
      </w:r>
      <w:r w:rsidR="00AD6107">
        <w:rPr>
          <w:rFonts w:ascii="Arial" w:hAnsi="Arial" w:cs="Arial"/>
          <w:b/>
          <w:bCs/>
          <w:sz w:val="22"/>
          <w:szCs w:val="22"/>
        </w:rPr>
        <w:t>W</w:t>
      </w:r>
      <w:r w:rsidR="00AD6107" w:rsidRPr="00AD6107">
        <w:rPr>
          <w:rFonts w:ascii="Arial" w:hAnsi="Arial" w:cs="Arial"/>
          <w:b/>
          <w:bCs/>
          <w:sz w:val="22"/>
          <w:szCs w:val="22"/>
        </w:rPr>
        <w:t>I of KMA 2016-2024</w:t>
      </w:r>
    </w:p>
    <w:p w14:paraId="23AF9D97" w14:textId="77777777" w:rsidR="00AD6107" w:rsidRDefault="00AD6107" w:rsidP="00AD6107">
      <w:pPr>
        <w:jc w:val="center"/>
        <w:rPr>
          <w:rFonts w:ascii="Arial" w:hAnsi="Arial" w:cs="Arial"/>
          <w:b/>
          <w:bCs/>
          <w:sz w:val="22"/>
          <w:szCs w:val="22"/>
        </w:rPr>
      </w:pPr>
    </w:p>
    <w:p w14:paraId="6FB92CAF" w14:textId="69AFA6C6" w:rsidR="00C45EB2" w:rsidRPr="00F03204" w:rsidRDefault="00FE6991" w:rsidP="00AB3D00">
      <w:pPr>
        <w:jc w:val="both"/>
        <w:rPr>
          <w:rFonts w:ascii="Arial" w:hAnsi="Arial" w:cs="Arial"/>
          <w:sz w:val="22"/>
          <w:szCs w:val="22"/>
        </w:rPr>
      </w:pPr>
      <w:r w:rsidRPr="00F03204">
        <w:rPr>
          <w:rFonts w:ascii="Arial" w:hAnsi="Arial" w:cs="Arial"/>
          <w:sz w:val="22"/>
          <w:szCs w:val="22"/>
        </w:rPr>
        <w:lastRenderedPageBreak/>
        <w:t xml:space="preserve">Therefore, NDWI provides an insightful complement to area statistics by highlighting </w:t>
      </w:r>
      <w:r w:rsidRPr="00F03204">
        <w:rPr>
          <w:rFonts w:ascii="Arial" w:hAnsi="Arial" w:cs="Arial"/>
          <w:b/>
          <w:bCs/>
          <w:sz w:val="22"/>
          <w:szCs w:val="22"/>
        </w:rPr>
        <w:t>qualitative improvements or degradation</w:t>
      </w:r>
      <w:r w:rsidRPr="00F03204">
        <w:rPr>
          <w:rFonts w:ascii="Arial" w:hAnsi="Arial" w:cs="Arial"/>
          <w:sz w:val="22"/>
          <w:szCs w:val="22"/>
        </w:rPr>
        <w:t xml:space="preserve"> in water surfaces, even when total coverage fluctuates.</w:t>
      </w:r>
    </w:p>
    <w:tbl>
      <w:tblPr>
        <w:tblStyle w:val="GridTable4-Accent6"/>
        <w:tblW w:w="9757" w:type="dxa"/>
        <w:tblLook w:val="04A0" w:firstRow="1" w:lastRow="0" w:firstColumn="1" w:lastColumn="0" w:noHBand="0" w:noVBand="1"/>
      </w:tblPr>
      <w:tblGrid>
        <w:gridCol w:w="803"/>
        <w:gridCol w:w="739"/>
        <w:gridCol w:w="1018"/>
        <w:gridCol w:w="889"/>
        <w:gridCol w:w="1023"/>
        <w:gridCol w:w="3088"/>
        <w:gridCol w:w="2573"/>
      </w:tblGrid>
      <w:tr w:rsidR="00AB3D00" w:rsidRPr="00F03204" w14:paraId="15023B2C" w14:textId="77777777" w:rsidTr="00B154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8" w:type="dxa"/>
            <w:noWrap/>
            <w:hideMark/>
          </w:tcPr>
          <w:p w14:paraId="0A8CFC76" w14:textId="77777777" w:rsidR="00FE6991" w:rsidRPr="00F03204" w:rsidRDefault="00FE6991" w:rsidP="00AB3D00">
            <w:pPr>
              <w:jc w:val="both"/>
              <w:rPr>
                <w:rFonts w:ascii="Arial" w:eastAsia="Times New Roman" w:hAnsi="Arial" w:cs="Arial"/>
                <w:color w:val="auto"/>
                <w:kern w:val="0"/>
                <w:sz w:val="22"/>
                <w:szCs w:val="22"/>
                <w14:ligatures w14:val="none"/>
              </w:rPr>
            </w:pPr>
            <w:r w:rsidRPr="00F03204">
              <w:rPr>
                <w:rFonts w:ascii="Arial" w:eastAsia="Times New Roman" w:hAnsi="Arial" w:cs="Arial"/>
                <w:color w:val="auto"/>
                <w:kern w:val="0"/>
                <w:sz w:val="22"/>
                <w:szCs w:val="22"/>
                <w14:ligatures w14:val="none"/>
              </w:rPr>
              <w:t>Index</w:t>
            </w:r>
          </w:p>
        </w:tc>
        <w:tc>
          <w:tcPr>
            <w:tcW w:w="739" w:type="dxa"/>
            <w:noWrap/>
            <w:hideMark/>
          </w:tcPr>
          <w:p w14:paraId="5DBE03D9" w14:textId="77777777" w:rsidR="00FE6991" w:rsidRPr="00F03204" w:rsidRDefault="00FE6991" w:rsidP="00AB3D0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kern w:val="0"/>
                <w:sz w:val="22"/>
                <w:szCs w:val="22"/>
                <w14:ligatures w14:val="none"/>
              </w:rPr>
            </w:pPr>
            <w:r w:rsidRPr="00F03204">
              <w:rPr>
                <w:rFonts w:ascii="Arial" w:eastAsia="Times New Roman" w:hAnsi="Arial" w:cs="Arial"/>
                <w:color w:val="auto"/>
                <w:kern w:val="0"/>
                <w:sz w:val="22"/>
                <w:szCs w:val="22"/>
                <w14:ligatures w14:val="none"/>
              </w:rPr>
              <w:t>Year</w:t>
            </w:r>
          </w:p>
        </w:tc>
        <w:tc>
          <w:tcPr>
            <w:tcW w:w="1018" w:type="dxa"/>
            <w:noWrap/>
            <w:hideMark/>
          </w:tcPr>
          <w:p w14:paraId="5DA67286" w14:textId="77777777" w:rsidR="00FE6991" w:rsidRPr="00F03204" w:rsidRDefault="00FE6991" w:rsidP="00AB3D0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kern w:val="0"/>
                <w:sz w:val="22"/>
                <w:szCs w:val="22"/>
                <w14:ligatures w14:val="none"/>
              </w:rPr>
            </w:pPr>
            <w:r w:rsidRPr="00F03204">
              <w:rPr>
                <w:rFonts w:ascii="Arial" w:eastAsia="Times New Roman" w:hAnsi="Arial" w:cs="Arial"/>
                <w:color w:val="auto"/>
                <w:kern w:val="0"/>
                <w:sz w:val="22"/>
                <w:szCs w:val="22"/>
                <w14:ligatures w14:val="none"/>
              </w:rPr>
              <w:t>Min Value</w:t>
            </w:r>
          </w:p>
        </w:tc>
        <w:tc>
          <w:tcPr>
            <w:tcW w:w="642" w:type="dxa"/>
            <w:noWrap/>
            <w:hideMark/>
          </w:tcPr>
          <w:p w14:paraId="55845E96" w14:textId="77777777" w:rsidR="00FE6991" w:rsidRPr="00F03204" w:rsidRDefault="00FE6991" w:rsidP="00AB3D0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kern w:val="0"/>
                <w:sz w:val="22"/>
                <w:szCs w:val="22"/>
                <w14:ligatures w14:val="none"/>
              </w:rPr>
            </w:pPr>
            <w:r w:rsidRPr="00F03204">
              <w:rPr>
                <w:rFonts w:ascii="Arial" w:eastAsia="Times New Roman" w:hAnsi="Arial" w:cs="Arial"/>
                <w:color w:val="auto"/>
                <w:kern w:val="0"/>
                <w:sz w:val="22"/>
                <w:szCs w:val="22"/>
                <w14:ligatures w14:val="none"/>
              </w:rPr>
              <w:t>Max Value</w:t>
            </w:r>
          </w:p>
        </w:tc>
        <w:tc>
          <w:tcPr>
            <w:tcW w:w="939" w:type="dxa"/>
            <w:noWrap/>
            <w:hideMark/>
          </w:tcPr>
          <w:p w14:paraId="522D8D83" w14:textId="77777777" w:rsidR="00FE6991" w:rsidRPr="00F03204" w:rsidRDefault="00FE6991" w:rsidP="00AB3D0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kern w:val="0"/>
                <w:sz w:val="22"/>
                <w:szCs w:val="22"/>
                <w14:ligatures w14:val="none"/>
              </w:rPr>
            </w:pPr>
            <w:r w:rsidRPr="00F03204">
              <w:rPr>
                <w:rFonts w:ascii="Arial" w:eastAsia="Times New Roman" w:hAnsi="Arial" w:cs="Arial"/>
                <w:color w:val="auto"/>
                <w:kern w:val="0"/>
                <w:sz w:val="22"/>
                <w:szCs w:val="22"/>
                <w14:ligatures w14:val="none"/>
              </w:rPr>
              <w:t>Change in Max</w:t>
            </w:r>
          </w:p>
        </w:tc>
        <w:tc>
          <w:tcPr>
            <w:tcW w:w="3088" w:type="dxa"/>
            <w:noWrap/>
            <w:hideMark/>
          </w:tcPr>
          <w:p w14:paraId="389ABF72" w14:textId="77777777" w:rsidR="00FE6991" w:rsidRPr="00F03204" w:rsidRDefault="00FE6991" w:rsidP="00AB3D0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kern w:val="0"/>
                <w:sz w:val="22"/>
                <w:szCs w:val="22"/>
                <w14:ligatures w14:val="none"/>
              </w:rPr>
            </w:pPr>
            <w:r w:rsidRPr="00F03204">
              <w:rPr>
                <w:rFonts w:ascii="Arial" w:eastAsia="Times New Roman" w:hAnsi="Arial" w:cs="Arial"/>
                <w:color w:val="auto"/>
                <w:kern w:val="0"/>
                <w:sz w:val="22"/>
                <w:szCs w:val="22"/>
                <w14:ligatures w14:val="none"/>
              </w:rPr>
              <w:t>Observation</w:t>
            </w:r>
          </w:p>
        </w:tc>
        <w:tc>
          <w:tcPr>
            <w:tcW w:w="2573" w:type="dxa"/>
            <w:noWrap/>
            <w:hideMark/>
          </w:tcPr>
          <w:p w14:paraId="23AF3EA0" w14:textId="77777777" w:rsidR="00FE6991" w:rsidRPr="00F03204" w:rsidRDefault="00FE6991" w:rsidP="00AB3D0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kern w:val="0"/>
                <w:sz w:val="22"/>
                <w:szCs w:val="22"/>
                <w14:ligatures w14:val="none"/>
              </w:rPr>
            </w:pPr>
          </w:p>
        </w:tc>
      </w:tr>
      <w:tr w:rsidR="00AB3D00" w:rsidRPr="00F03204" w14:paraId="58867879" w14:textId="77777777" w:rsidTr="00B154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8" w:type="dxa"/>
            <w:noWrap/>
            <w:hideMark/>
          </w:tcPr>
          <w:p w14:paraId="11A4BF8F" w14:textId="77777777" w:rsidR="00FE6991" w:rsidRPr="00F03204" w:rsidRDefault="00FE6991" w:rsidP="00AB3D00">
            <w:pPr>
              <w:jc w:val="both"/>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NDVI</w:t>
            </w:r>
          </w:p>
        </w:tc>
        <w:tc>
          <w:tcPr>
            <w:tcW w:w="739" w:type="dxa"/>
            <w:noWrap/>
            <w:hideMark/>
          </w:tcPr>
          <w:p w14:paraId="785589BE"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2016</w:t>
            </w:r>
          </w:p>
        </w:tc>
        <w:tc>
          <w:tcPr>
            <w:tcW w:w="1018" w:type="dxa"/>
            <w:noWrap/>
            <w:hideMark/>
          </w:tcPr>
          <w:p w14:paraId="04923217" w14:textId="77777777" w:rsidR="00FE6991" w:rsidRPr="00F03204" w:rsidRDefault="00B154F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w:t>
            </w:r>
            <w:r w:rsidR="00FE6991" w:rsidRPr="00F03204">
              <w:rPr>
                <w:rFonts w:ascii="Arial" w:eastAsia="Times New Roman" w:hAnsi="Arial" w:cs="Arial"/>
                <w:kern w:val="0"/>
                <w:sz w:val="22"/>
                <w:szCs w:val="22"/>
                <w14:ligatures w14:val="none"/>
              </w:rPr>
              <w:t>0.1806</w:t>
            </w:r>
          </w:p>
        </w:tc>
        <w:tc>
          <w:tcPr>
            <w:tcW w:w="642" w:type="dxa"/>
            <w:noWrap/>
            <w:hideMark/>
          </w:tcPr>
          <w:p w14:paraId="77985DC4"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0.4777</w:t>
            </w:r>
          </w:p>
        </w:tc>
        <w:tc>
          <w:tcPr>
            <w:tcW w:w="939" w:type="dxa"/>
            <w:noWrap/>
            <w:hideMark/>
          </w:tcPr>
          <w:p w14:paraId="2B5217FF"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p>
        </w:tc>
        <w:tc>
          <w:tcPr>
            <w:tcW w:w="5661" w:type="dxa"/>
            <w:gridSpan w:val="2"/>
            <w:noWrap/>
            <w:hideMark/>
          </w:tcPr>
          <w:p w14:paraId="076F6BC7"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Baseline vegetation intensity</w:t>
            </w:r>
          </w:p>
        </w:tc>
      </w:tr>
      <w:tr w:rsidR="00AB3D00" w:rsidRPr="00F03204" w14:paraId="22A9E358" w14:textId="77777777" w:rsidTr="00B154F1">
        <w:trPr>
          <w:trHeight w:val="288"/>
        </w:trPr>
        <w:tc>
          <w:tcPr>
            <w:cnfStyle w:val="001000000000" w:firstRow="0" w:lastRow="0" w:firstColumn="1" w:lastColumn="0" w:oddVBand="0" w:evenVBand="0" w:oddHBand="0" w:evenHBand="0" w:firstRowFirstColumn="0" w:firstRowLastColumn="0" w:lastRowFirstColumn="0" w:lastRowLastColumn="0"/>
            <w:tcW w:w="758" w:type="dxa"/>
            <w:noWrap/>
            <w:hideMark/>
          </w:tcPr>
          <w:p w14:paraId="39C8A93A" w14:textId="77777777" w:rsidR="00FE6991" w:rsidRPr="00F03204" w:rsidRDefault="00FE6991" w:rsidP="00AB3D00">
            <w:pPr>
              <w:jc w:val="both"/>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NDVI</w:t>
            </w:r>
          </w:p>
        </w:tc>
        <w:tc>
          <w:tcPr>
            <w:tcW w:w="739" w:type="dxa"/>
            <w:noWrap/>
            <w:hideMark/>
          </w:tcPr>
          <w:p w14:paraId="6210E5CB"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2024</w:t>
            </w:r>
          </w:p>
        </w:tc>
        <w:tc>
          <w:tcPr>
            <w:tcW w:w="1018" w:type="dxa"/>
            <w:noWrap/>
            <w:hideMark/>
          </w:tcPr>
          <w:p w14:paraId="3D4C80C7"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-0.1432</w:t>
            </w:r>
          </w:p>
        </w:tc>
        <w:tc>
          <w:tcPr>
            <w:tcW w:w="642" w:type="dxa"/>
            <w:noWrap/>
            <w:hideMark/>
          </w:tcPr>
          <w:p w14:paraId="3AF51894"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0.485</w:t>
            </w:r>
          </w:p>
        </w:tc>
        <w:tc>
          <w:tcPr>
            <w:tcW w:w="939" w:type="dxa"/>
            <w:noWrap/>
            <w:hideMark/>
          </w:tcPr>
          <w:p w14:paraId="67BCA7C6"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+0.0073</w:t>
            </w:r>
          </w:p>
        </w:tc>
        <w:tc>
          <w:tcPr>
            <w:tcW w:w="5661" w:type="dxa"/>
            <w:gridSpan w:val="2"/>
            <w:noWrap/>
            <w:hideMark/>
          </w:tcPr>
          <w:p w14:paraId="4B7D581B"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Slight improvement in vegetation intensity despite a small decline in forest</w:t>
            </w:r>
          </w:p>
        </w:tc>
      </w:tr>
      <w:tr w:rsidR="00AB3D00" w:rsidRPr="00F03204" w14:paraId="4EECEC41" w14:textId="77777777" w:rsidTr="00B154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8" w:type="dxa"/>
            <w:noWrap/>
            <w:hideMark/>
          </w:tcPr>
          <w:p w14:paraId="6A837125" w14:textId="77777777" w:rsidR="00FE6991" w:rsidRPr="00F03204" w:rsidRDefault="00FE6991" w:rsidP="00AB3D00">
            <w:pPr>
              <w:jc w:val="both"/>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NDBI</w:t>
            </w:r>
          </w:p>
        </w:tc>
        <w:tc>
          <w:tcPr>
            <w:tcW w:w="739" w:type="dxa"/>
            <w:noWrap/>
            <w:hideMark/>
          </w:tcPr>
          <w:p w14:paraId="4F9891E6"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2016</w:t>
            </w:r>
          </w:p>
        </w:tc>
        <w:tc>
          <w:tcPr>
            <w:tcW w:w="1018" w:type="dxa"/>
            <w:noWrap/>
            <w:hideMark/>
          </w:tcPr>
          <w:p w14:paraId="2B220F41"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-0.2991</w:t>
            </w:r>
          </w:p>
        </w:tc>
        <w:tc>
          <w:tcPr>
            <w:tcW w:w="642" w:type="dxa"/>
            <w:noWrap/>
            <w:hideMark/>
          </w:tcPr>
          <w:p w14:paraId="54AFFD44"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0.2696</w:t>
            </w:r>
          </w:p>
        </w:tc>
        <w:tc>
          <w:tcPr>
            <w:tcW w:w="939" w:type="dxa"/>
            <w:noWrap/>
            <w:hideMark/>
          </w:tcPr>
          <w:p w14:paraId="7E93EC92"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p>
        </w:tc>
        <w:tc>
          <w:tcPr>
            <w:tcW w:w="5661" w:type="dxa"/>
            <w:gridSpan w:val="2"/>
            <w:noWrap/>
            <w:hideMark/>
          </w:tcPr>
          <w:p w14:paraId="0BE79933"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Baseline urban reflectance</w:t>
            </w:r>
          </w:p>
        </w:tc>
      </w:tr>
      <w:tr w:rsidR="00AB3D00" w:rsidRPr="00F03204" w14:paraId="320703A1" w14:textId="77777777" w:rsidTr="00B154F1">
        <w:trPr>
          <w:trHeight w:val="288"/>
        </w:trPr>
        <w:tc>
          <w:tcPr>
            <w:cnfStyle w:val="001000000000" w:firstRow="0" w:lastRow="0" w:firstColumn="1" w:lastColumn="0" w:oddVBand="0" w:evenVBand="0" w:oddHBand="0" w:evenHBand="0" w:firstRowFirstColumn="0" w:firstRowLastColumn="0" w:lastRowFirstColumn="0" w:lastRowLastColumn="0"/>
            <w:tcW w:w="758" w:type="dxa"/>
            <w:noWrap/>
            <w:hideMark/>
          </w:tcPr>
          <w:p w14:paraId="72305253" w14:textId="77777777" w:rsidR="00FE6991" w:rsidRPr="00F03204" w:rsidRDefault="00FE6991" w:rsidP="00AB3D00">
            <w:pPr>
              <w:jc w:val="both"/>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NDBI</w:t>
            </w:r>
          </w:p>
        </w:tc>
        <w:tc>
          <w:tcPr>
            <w:tcW w:w="739" w:type="dxa"/>
            <w:noWrap/>
            <w:hideMark/>
          </w:tcPr>
          <w:p w14:paraId="42D33CC1"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2024</w:t>
            </w:r>
          </w:p>
        </w:tc>
        <w:tc>
          <w:tcPr>
            <w:tcW w:w="1018" w:type="dxa"/>
            <w:noWrap/>
            <w:hideMark/>
          </w:tcPr>
          <w:p w14:paraId="3CCE82AB"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-0.3055</w:t>
            </w:r>
          </w:p>
        </w:tc>
        <w:tc>
          <w:tcPr>
            <w:tcW w:w="642" w:type="dxa"/>
            <w:noWrap/>
            <w:hideMark/>
          </w:tcPr>
          <w:p w14:paraId="5977A9B2"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0.2964</w:t>
            </w:r>
          </w:p>
        </w:tc>
        <w:tc>
          <w:tcPr>
            <w:tcW w:w="939" w:type="dxa"/>
            <w:noWrap/>
            <w:hideMark/>
          </w:tcPr>
          <w:p w14:paraId="5EB5E7C1"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+0.0268</w:t>
            </w:r>
          </w:p>
        </w:tc>
        <w:tc>
          <w:tcPr>
            <w:tcW w:w="5661" w:type="dxa"/>
            <w:gridSpan w:val="2"/>
            <w:noWrap/>
            <w:hideMark/>
          </w:tcPr>
          <w:p w14:paraId="0388CC01"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Spectral increase in impervious surface; may include barren-construction zones</w:t>
            </w:r>
          </w:p>
        </w:tc>
      </w:tr>
      <w:tr w:rsidR="00AB3D00" w:rsidRPr="00F03204" w14:paraId="6823FAE5" w14:textId="77777777" w:rsidTr="00B154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8" w:type="dxa"/>
            <w:noWrap/>
            <w:hideMark/>
          </w:tcPr>
          <w:p w14:paraId="5222F2FB" w14:textId="77777777" w:rsidR="00FE6991" w:rsidRPr="00F03204" w:rsidRDefault="00FE6991" w:rsidP="00AB3D00">
            <w:pPr>
              <w:jc w:val="both"/>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NDWI</w:t>
            </w:r>
          </w:p>
        </w:tc>
        <w:tc>
          <w:tcPr>
            <w:tcW w:w="739" w:type="dxa"/>
            <w:noWrap/>
            <w:hideMark/>
          </w:tcPr>
          <w:p w14:paraId="21D06991"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2016</w:t>
            </w:r>
          </w:p>
        </w:tc>
        <w:tc>
          <w:tcPr>
            <w:tcW w:w="1018" w:type="dxa"/>
            <w:noWrap/>
            <w:hideMark/>
          </w:tcPr>
          <w:p w14:paraId="536EA61C"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-0.4215</w:t>
            </w:r>
          </w:p>
        </w:tc>
        <w:tc>
          <w:tcPr>
            <w:tcW w:w="642" w:type="dxa"/>
            <w:noWrap/>
            <w:hideMark/>
          </w:tcPr>
          <w:p w14:paraId="56E7501F"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0.1015</w:t>
            </w:r>
          </w:p>
        </w:tc>
        <w:tc>
          <w:tcPr>
            <w:tcW w:w="939" w:type="dxa"/>
            <w:noWrap/>
            <w:hideMark/>
          </w:tcPr>
          <w:p w14:paraId="02F987D6"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p>
        </w:tc>
        <w:tc>
          <w:tcPr>
            <w:tcW w:w="5661" w:type="dxa"/>
            <w:gridSpan w:val="2"/>
            <w:noWrap/>
            <w:hideMark/>
          </w:tcPr>
          <w:p w14:paraId="39DCD6AA" w14:textId="77777777" w:rsidR="00FE6991" w:rsidRPr="00F03204" w:rsidRDefault="00FE6991" w:rsidP="00AB3D0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Baseline water reflectance</w:t>
            </w:r>
          </w:p>
        </w:tc>
      </w:tr>
      <w:tr w:rsidR="00AB3D00" w:rsidRPr="00F03204" w14:paraId="162899AD" w14:textId="77777777" w:rsidTr="00B154F1">
        <w:trPr>
          <w:trHeight w:val="288"/>
        </w:trPr>
        <w:tc>
          <w:tcPr>
            <w:cnfStyle w:val="001000000000" w:firstRow="0" w:lastRow="0" w:firstColumn="1" w:lastColumn="0" w:oddVBand="0" w:evenVBand="0" w:oddHBand="0" w:evenHBand="0" w:firstRowFirstColumn="0" w:firstRowLastColumn="0" w:lastRowFirstColumn="0" w:lastRowLastColumn="0"/>
            <w:tcW w:w="758" w:type="dxa"/>
            <w:noWrap/>
            <w:hideMark/>
          </w:tcPr>
          <w:p w14:paraId="475D0A71" w14:textId="77777777" w:rsidR="00FE6991" w:rsidRPr="00F03204" w:rsidRDefault="00FE6991" w:rsidP="00AB3D00">
            <w:pPr>
              <w:jc w:val="both"/>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NDWI</w:t>
            </w:r>
          </w:p>
        </w:tc>
        <w:tc>
          <w:tcPr>
            <w:tcW w:w="739" w:type="dxa"/>
            <w:noWrap/>
            <w:hideMark/>
          </w:tcPr>
          <w:p w14:paraId="5766766D"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2024</w:t>
            </w:r>
          </w:p>
        </w:tc>
        <w:tc>
          <w:tcPr>
            <w:tcW w:w="1018" w:type="dxa"/>
            <w:noWrap/>
            <w:hideMark/>
          </w:tcPr>
          <w:p w14:paraId="10DA2A96"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-0.4354</w:t>
            </w:r>
          </w:p>
        </w:tc>
        <w:tc>
          <w:tcPr>
            <w:tcW w:w="642" w:type="dxa"/>
            <w:noWrap/>
            <w:hideMark/>
          </w:tcPr>
          <w:p w14:paraId="1CA0810E"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0.1831</w:t>
            </w:r>
          </w:p>
        </w:tc>
        <w:tc>
          <w:tcPr>
            <w:tcW w:w="939" w:type="dxa"/>
            <w:noWrap/>
            <w:hideMark/>
          </w:tcPr>
          <w:p w14:paraId="5483B147"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+0.0816</w:t>
            </w:r>
          </w:p>
        </w:tc>
        <w:tc>
          <w:tcPr>
            <w:tcW w:w="5661" w:type="dxa"/>
            <w:gridSpan w:val="2"/>
            <w:noWrap/>
            <w:hideMark/>
          </w:tcPr>
          <w:p w14:paraId="5B34DDAA" w14:textId="77777777" w:rsidR="00FE6991" w:rsidRPr="00F03204" w:rsidRDefault="00FE6991" w:rsidP="00AB3D0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2"/>
                <w:szCs w:val="22"/>
                <w14:ligatures w14:val="none"/>
              </w:rPr>
            </w:pPr>
            <w:r w:rsidRPr="00F03204">
              <w:rPr>
                <w:rFonts w:ascii="Arial" w:eastAsia="Times New Roman" w:hAnsi="Arial" w:cs="Arial"/>
                <w:kern w:val="0"/>
                <w:sz w:val="22"/>
                <w:szCs w:val="22"/>
                <w14:ligatures w14:val="none"/>
              </w:rPr>
              <w:t>Water bodies appear spectrally stronger despite reduction in mapped surface area</w:t>
            </w:r>
          </w:p>
        </w:tc>
      </w:tr>
    </w:tbl>
    <w:p w14:paraId="63EB7E78" w14:textId="3F342D99" w:rsidR="00CD46F0" w:rsidRPr="0030435C" w:rsidRDefault="00C45EB2" w:rsidP="0030435C">
      <w:pPr>
        <w:jc w:val="center"/>
        <w:rPr>
          <w:rFonts w:ascii="Arial" w:hAnsi="Arial" w:cs="Arial"/>
          <w:b/>
          <w:bCs/>
          <w:sz w:val="22"/>
          <w:szCs w:val="22"/>
        </w:rPr>
      </w:pPr>
      <w:r w:rsidRPr="0030435C">
        <w:rPr>
          <w:rFonts w:ascii="Arial" w:hAnsi="Arial" w:cs="Arial"/>
          <w:b/>
          <w:bCs/>
          <w:sz w:val="22"/>
          <w:szCs w:val="22"/>
        </w:rPr>
        <w:t>Table 2</w:t>
      </w:r>
      <w:r w:rsidR="00AA46C7" w:rsidRPr="0030435C">
        <w:rPr>
          <w:rFonts w:ascii="Arial" w:hAnsi="Arial" w:cs="Arial"/>
          <w:b/>
          <w:bCs/>
          <w:sz w:val="22"/>
          <w:szCs w:val="22"/>
        </w:rPr>
        <w:t>:</w:t>
      </w:r>
      <w:r w:rsidR="00AE28AA" w:rsidRPr="0030435C">
        <w:rPr>
          <w:rFonts w:ascii="Arial" w:hAnsi="Arial" w:cs="Arial"/>
          <w:b/>
          <w:bCs/>
          <w:sz w:val="22"/>
          <w:szCs w:val="22"/>
        </w:rPr>
        <w:t xml:space="preserve"> Comparative Analysis of </w:t>
      </w:r>
      <w:r w:rsidR="00AA46C7" w:rsidRPr="0030435C">
        <w:rPr>
          <w:rFonts w:ascii="Arial" w:hAnsi="Arial" w:cs="Arial"/>
          <w:b/>
          <w:bCs/>
          <w:sz w:val="22"/>
          <w:szCs w:val="22"/>
        </w:rPr>
        <w:t xml:space="preserve">Fluctuation </w:t>
      </w:r>
      <w:r w:rsidR="005D6664" w:rsidRPr="0030435C">
        <w:rPr>
          <w:rFonts w:ascii="Arial" w:hAnsi="Arial" w:cs="Arial"/>
          <w:b/>
          <w:bCs/>
          <w:sz w:val="22"/>
          <w:szCs w:val="22"/>
        </w:rPr>
        <w:t>of Different</w:t>
      </w:r>
      <w:r w:rsidR="002F6B0C" w:rsidRPr="0030435C">
        <w:rPr>
          <w:rFonts w:ascii="Arial" w:hAnsi="Arial" w:cs="Arial"/>
          <w:b/>
          <w:bCs/>
          <w:sz w:val="22"/>
          <w:szCs w:val="22"/>
        </w:rPr>
        <w:t xml:space="preserve"> </w:t>
      </w:r>
      <w:r w:rsidR="0030435C" w:rsidRPr="0030435C">
        <w:rPr>
          <w:rFonts w:ascii="Arial" w:hAnsi="Arial" w:cs="Arial"/>
          <w:b/>
          <w:bCs/>
          <w:sz w:val="22"/>
          <w:szCs w:val="22"/>
        </w:rPr>
        <w:t>Spectral Indexing</w:t>
      </w:r>
    </w:p>
    <w:p w14:paraId="42D3E4A2" w14:textId="77777777" w:rsidR="00CF36B9" w:rsidRPr="00F03204" w:rsidRDefault="00CF36B9" w:rsidP="00AB3D00">
      <w:pPr>
        <w:jc w:val="both"/>
        <w:rPr>
          <w:rFonts w:ascii="Arial" w:hAnsi="Arial" w:cs="Arial"/>
          <w:sz w:val="22"/>
          <w:szCs w:val="22"/>
        </w:rPr>
      </w:pPr>
    </w:p>
    <w:p w14:paraId="439CE738" w14:textId="26F6C4E0" w:rsidR="00FE6991" w:rsidRPr="00F03204" w:rsidRDefault="00FE6991" w:rsidP="00AB3D00">
      <w:pPr>
        <w:jc w:val="both"/>
        <w:rPr>
          <w:rFonts w:ascii="Arial" w:hAnsi="Arial" w:cs="Arial"/>
          <w:sz w:val="22"/>
          <w:szCs w:val="22"/>
        </w:rPr>
      </w:pPr>
      <w:r w:rsidRPr="00F03204">
        <w:rPr>
          <w:rFonts w:ascii="Arial" w:hAnsi="Arial" w:cs="Arial"/>
          <w:sz w:val="22"/>
          <w:szCs w:val="22"/>
        </w:rPr>
        <w:t>This matrix-driven analysis combines pixel-level spectral responses with area-based class transitions, offering a more nuanced view of the environmental changes occurring across KMA. The integration of both dimensions—spectral and spatial—improves interpretive depth and reliability.</w:t>
      </w:r>
    </w:p>
    <w:p w14:paraId="11B4E51C" w14:textId="5450BC25" w:rsidR="00EA30DC" w:rsidRPr="00F03204" w:rsidRDefault="00EA30DC"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Land Use Land Cover (LULC) Analysis:</w:t>
      </w:r>
    </w:p>
    <w:p w14:paraId="63C61645" w14:textId="77777777" w:rsidR="00EA30DC" w:rsidRPr="00F03204" w:rsidRDefault="00EA30DC" w:rsidP="00AB3D00">
      <w:pPr>
        <w:jc w:val="both"/>
        <w:rPr>
          <w:rFonts w:ascii="Arial" w:hAnsi="Arial" w:cs="Arial"/>
          <w:sz w:val="22"/>
          <w:szCs w:val="22"/>
        </w:rPr>
      </w:pPr>
      <w:r w:rsidRPr="00F03204">
        <w:rPr>
          <w:rFonts w:ascii="Arial" w:hAnsi="Arial" w:cs="Arial"/>
          <w:sz w:val="22"/>
          <w:szCs w:val="22"/>
        </w:rPr>
        <w:t xml:space="preserve">The LULC maps generated for the Kolkata Metropolitan Area (KMA) for 2016 and 2024 using the Support Vector Machine (SVM) classifier reveal substantial spatial and categorical shifts in land cover over the study period. The classified outputs delineate four primary categories: </w:t>
      </w:r>
      <w:r w:rsidRPr="00F03204">
        <w:rPr>
          <w:rFonts w:ascii="Arial" w:hAnsi="Arial" w:cs="Arial"/>
          <w:b/>
          <w:bCs/>
          <w:sz w:val="22"/>
          <w:szCs w:val="22"/>
        </w:rPr>
        <w:t>Forest</w:t>
      </w:r>
      <w:r w:rsidRPr="00F03204">
        <w:rPr>
          <w:rFonts w:ascii="Arial" w:hAnsi="Arial" w:cs="Arial"/>
          <w:sz w:val="22"/>
          <w:szCs w:val="22"/>
        </w:rPr>
        <w:t xml:space="preserve">, </w:t>
      </w:r>
      <w:r w:rsidRPr="00F03204">
        <w:rPr>
          <w:rFonts w:ascii="Arial" w:hAnsi="Arial" w:cs="Arial"/>
          <w:b/>
          <w:bCs/>
          <w:sz w:val="22"/>
          <w:szCs w:val="22"/>
        </w:rPr>
        <w:t>Barren</w:t>
      </w:r>
      <w:r w:rsidRPr="00F03204">
        <w:rPr>
          <w:rFonts w:ascii="Arial" w:hAnsi="Arial" w:cs="Arial"/>
          <w:sz w:val="22"/>
          <w:szCs w:val="22"/>
        </w:rPr>
        <w:t xml:space="preserve">, </w:t>
      </w:r>
      <w:r w:rsidRPr="00F03204">
        <w:rPr>
          <w:rFonts w:ascii="Arial" w:hAnsi="Arial" w:cs="Arial"/>
          <w:b/>
          <w:bCs/>
          <w:sz w:val="22"/>
          <w:szCs w:val="22"/>
        </w:rPr>
        <w:t>Developed</w:t>
      </w:r>
      <w:r w:rsidRPr="00F03204">
        <w:rPr>
          <w:rFonts w:ascii="Arial" w:hAnsi="Arial" w:cs="Arial"/>
          <w:sz w:val="22"/>
          <w:szCs w:val="22"/>
        </w:rPr>
        <w:t xml:space="preserve">, and </w:t>
      </w:r>
      <w:r w:rsidRPr="00F03204">
        <w:rPr>
          <w:rFonts w:ascii="Arial" w:hAnsi="Arial" w:cs="Arial"/>
          <w:b/>
          <w:bCs/>
          <w:sz w:val="22"/>
          <w:szCs w:val="22"/>
        </w:rPr>
        <w:t>Water</w:t>
      </w:r>
      <w:r w:rsidRPr="00F03204">
        <w:rPr>
          <w:rFonts w:ascii="Arial" w:hAnsi="Arial" w:cs="Arial"/>
          <w:sz w:val="22"/>
          <w:szCs w:val="22"/>
        </w:rPr>
        <w:t>.</w:t>
      </w:r>
    </w:p>
    <w:p w14:paraId="415150A0" w14:textId="77777777" w:rsidR="00EA30DC" w:rsidRPr="00F03204" w:rsidRDefault="00EA30DC" w:rsidP="00AB3D00">
      <w:pPr>
        <w:jc w:val="both"/>
        <w:rPr>
          <w:rFonts w:ascii="Arial" w:hAnsi="Arial" w:cs="Arial"/>
          <w:sz w:val="22"/>
          <w:szCs w:val="22"/>
        </w:rPr>
      </w:pPr>
      <w:r w:rsidRPr="00F03204">
        <w:rPr>
          <w:rFonts w:ascii="Arial" w:hAnsi="Arial" w:cs="Arial"/>
          <w:sz w:val="22"/>
          <w:szCs w:val="22"/>
        </w:rPr>
        <w:t>Between 2016 and 2024, notable changes are observed:</w:t>
      </w:r>
    </w:p>
    <w:p w14:paraId="678ED1C1" w14:textId="77777777" w:rsidR="00EA30DC" w:rsidRPr="00F03204" w:rsidRDefault="00EA30DC" w:rsidP="00AB3D00">
      <w:pPr>
        <w:numPr>
          <w:ilvl w:val="0"/>
          <w:numId w:val="9"/>
        </w:numPr>
        <w:jc w:val="both"/>
        <w:rPr>
          <w:rFonts w:ascii="Arial" w:hAnsi="Arial" w:cs="Arial"/>
          <w:sz w:val="22"/>
          <w:szCs w:val="22"/>
        </w:rPr>
      </w:pPr>
      <w:r w:rsidRPr="00F03204">
        <w:rPr>
          <w:rFonts w:ascii="Arial" w:hAnsi="Arial" w:cs="Arial"/>
          <w:b/>
          <w:bCs/>
          <w:sz w:val="22"/>
          <w:szCs w:val="22"/>
        </w:rPr>
        <w:t>Barren land increased significantly</w:t>
      </w:r>
      <w:r w:rsidRPr="00F03204">
        <w:rPr>
          <w:rFonts w:ascii="Arial" w:hAnsi="Arial" w:cs="Arial"/>
          <w:sz w:val="22"/>
          <w:szCs w:val="22"/>
        </w:rPr>
        <w:t xml:space="preserve">, from </w:t>
      </w:r>
      <w:r w:rsidRPr="00F03204">
        <w:rPr>
          <w:rFonts w:ascii="Arial" w:hAnsi="Arial" w:cs="Arial"/>
          <w:b/>
          <w:bCs/>
          <w:sz w:val="22"/>
          <w:szCs w:val="22"/>
        </w:rPr>
        <w:t>374.16 km² to 768.28 km²</w:t>
      </w:r>
      <w:r w:rsidRPr="00F03204">
        <w:rPr>
          <w:rFonts w:ascii="Arial" w:hAnsi="Arial" w:cs="Arial"/>
          <w:sz w:val="22"/>
          <w:szCs w:val="22"/>
        </w:rPr>
        <w:t xml:space="preserve">, marking a net gain of </w:t>
      </w:r>
      <w:r w:rsidRPr="00F03204">
        <w:rPr>
          <w:rFonts w:ascii="Arial" w:hAnsi="Arial" w:cs="Arial"/>
          <w:b/>
          <w:bCs/>
          <w:sz w:val="22"/>
          <w:szCs w:val="22"/>
        </w:rPr>
        <w:t>394.12 km²</w:t>
      </w:r>
      <w:r w:rsidRPr="00F03204">
        <w:rPr>
          <w:rFonts w:ascii="Arial" w:hAnsi="Arial" w:cs="Arial"/>
          <w:sz w:val="22"/>
          <w:szCs w:val="22"/>
        </w:rPr>
        <w:t>. This reflects either vegetation degradation, transitional construction zones, or the clearing of land for urban expansion.</w:t>
      </w:r>
    </w:p>
    <w:p w14:paraId="6D11CBD3" w14:textId="77777777" w:rsidR="00EA30DC" w:rsidRPr="00F03204" w:rsidRDefault="00EA30DC" w:rsidP="00AB3D00">
      <w:pPr>
        <w:numPr>
          <w:ilvl w:val="0"/>
          <w:numId w:val="9"/>
        </w:numPr>
        <w:jc w:val="both"/>
        <w:rPr>
          <w:rFonts w:ascii="Arial" w:hAnsi="Arial" w:cs="Arial"/>
          <w:sz w:val="22"/>
          <w:szCs w:val="22"/>
        </w:rPr>
      </w:pPr>
      <w:r w:rsidRPr="00F03204">
        <w:rPr>
          <w:rFonts w:ascii="Arial" w:hAnsi="Arial" w:cs="Arial"/>
          <w:b/>
          <w:bCs/>
          <w:sz w:val="22"/>
          <w:szCs w:val="22"/>
        </w:rPr>
        <w:t>Developed area sharply declined</w:t>
      </w:r>
      <w:r w:rsidRPr="00F03204">
        <w:rPr>
          <w:rFonts w:ascii="Arial" w:hAnsi="Arial" w:cs="Arial"/>
          <w:sz w:val="22"/>
          <w:szCs w:val="22"/>
        </w:rPr>
        <w:t xml:space="preserve">, from </w:t>
      </w:r>
      <w:r w:rsidRPr="00F03204">
        <w:rPr>
          <w:rFonts w:ascii="Arial" w:hAnsi="Arial" w:cs="Arial"/>
          <w:b/>
          <w:bCs/>
          <w:sz w:val="22"/>
          <w:szCs w:val="22"/>
        </w:rPr>
        <w:t>686.52 km² to 378.82 km²</w:t>
      </w:r>
      <w:r w:rsidRPr="00F03204">
        <w:rPr>
          <w:rFonts w:ascii="Arial" w:hAnsi="Arial" w:cs="Arial"/>
          <w:sz w:val="22"/>
          <w:szCs w:val="22"/>
        </w:rPr>
        <w:t xml:space="preserve"> (a decrease of </w:t>
      </w:r>
      <w:r w:rsidRPr="00F03204">
        <w:rPr>
          <w:rFonts w:ascii="Arial" w:hAnsi="Arial" w:cs="Arial"/>
          <w:b/>
          <w:bCs/>
          <w:sz w:val="22"/>
          <w:szCs w:val="22"/>
        </w:rPr>
        <w:t>307.70 km²</w:t>
      </w:r>
      <w:r w:rsidRPr="00F03204">
        <w:rPr>
          <w:rFonts w:ascii="Arial" w:hAnsi="Arial" w:cs="Arial"/>
          <w:sz w:val="22"/>
          <w:szCs w:val="22"/>
        </w:rPr>
        <w:t>). This counterintuitive trend may stem from reclassification of developed zones as barren or differences in seasonal imagery, but still aligns with increased NDBI due to imperviousness.</w:t>
      </w:r>
    </w:p>
    <w:p w14:paraId="5EC56160" w14:textId="77777777" w:rsidR="00EA30DC" w:rsidRPr="00F03204" w:rsidRDefault="00EA30DC" w:rsidP="00AB3D00">
      <w:pPr>
        <w:numPr>
          <w:ilvl w:val="0"/>
          <w:numId w:val="9"/>
        </w:numPr>
        <w:jc w:val="both"/>
        <w:rPr>
          <w:rFonts w:ascii="Arial" w:hAnsi="Arial" w:cs="Arial"/>
          <w:sz w:val="22"/>
          <w:szCs w:val="22"/>
        </w:rPr>
      </w:pPr>
      <w:r w:rsidRPr="00F03204">
        <w:rPr>
          <w:rFonts w:ascii="Arial" w:hAnsi="Arial" w:cs="Arial"/>
          <w:b/>
          <w:bCs/>
          <w:sz w:val="22"/>
          <w:szCs w:val="22"/>
        </w:rPr>
        <w:t>Forest area</w:t>
      </w:r>
      <w:r w:rsidRPr="00F03204">
        <w:rPr>
          <w:rFonts w:ascii="Arial" w:hAnsi="Arial" w:cs="Arial"/>
          <w:sz w:val="22"/>
          <w:szCs w:val="22"/>
        </w:rPr>
        <w:t xml:space="preserve"> marginally declined by </w:t>
      </w:r>
      <w:r w:rsidRPr="00F03204">
        <w:rPr>
          <w:rFonts w:ascii="Arial" w:hAnsi="Arial" w:cs="Arial"/>
          <w:b/>
          <w:bCs/>
          <w:sz w:val="22"/>
          <w:szCs w:val="22"/>
        </w:rPr>
        <w:t>46.76 km²</w:t>
      </w:r>
      <w:r w:rsidRPr="00F03204">
        <w:rPr>
          <w:rFonts w:ascii="Arial" w:hAnsi="Arial" w:cs="Arial"/>
          <w:sz w:val="22"/>
          <w:szCs w:val="22"/>
        </w:rPr>
        <w:t>, likely due to edge encroachment or partial deforestation, particularly in the southeastern fringe and central buffer areas.</w:t>
      </w:r>
    </w:p>
    <w:p w14:paraId="786BB630" w14:textId="6DCBF49F" w:rsidR="00EA30DC" w:rsidRPr="00F03204" w:rsidRDefault="00EA30DC" w:rsidP="00AB3D00">
      <w:pPr>
        <w:numPr>
          <w:ilvl w:val="0"/>
          <w:numId w:val="9"/>
        </w:numPr>
        <w:jc w:val="both"/>
        <w:rPr>
          <w:rFonts w:ascii="Arial" w:hAnsi="Arial" w:cs="Arial"/>
          <w:sz w:val="22"/>
          <w:szCs w:val="22"/>
        </w:rPr>
      </w:pPr>
      <w:r w:rsidRPr="00F03204">
        <w:rPr>
          <w:rFonts w:ascii="Arial" w:hAnsi="Arial" w:cs="Arial"/>
          <w:b/>
          <w:bCs/>
          <w:sz w:val="22"/>
          <w:szCs w:val="22"/>
        </w:rPr>
        <w:t>Water bodies</w:t>
      </w:r>
      <w:r w:rsidRPr="00F03204">
        <w:rPr>
          <w:rFonts w:ascii="Arial" w:hAnsi="Arial" w:cs="Arial"/>
          <w:sz w:val="22"/>
          <w:szCs w:val="22"/>
        </w:rPr>
        <w:t xml:space="preserve"> reduced by </w:t>
      </w:r>
      <w:r w:rsidRPr="00F03204">
        <w:rPr>
          <w:rFonts w:ascii="Arial" w:hAnsi="Arial" w:cs="Arial"/>
          <w:b/>
          <w:bCs/>
          <w:sz w:val="22"/>
          <w:szCs w:val="22"/>
        </w:rPr>
        <w:t>39.66 km²</w:t>
      </w:r>
      <w:r w:rsidRPr="00F03204">
        <w:rPr>
          <w:rFonts w:ascii="Arial" w:hAnsi="Arial" w:cs="Arial"/>
          <w:sz w:val="22"/>
          <w:szCs w:val="22"/>
        </w:rPr>
        <w:t>, with shrinkage visible in peripheral ponds and wetland clusters, although the Hooghly River remains dominant in both years.</w:t>
      </w:r>
    </w:p>
    <w:p w14:paraId="48E2AFA1" w14:textId="23DBB197" w:rsidR="00EA30DC" w:rsidRPr="00F03204" w:rsidRDefault="00EA30DC" w:rsidP="00AB3D00">
      <w:pPr>
        <w:jc w:val="both"/>
        <w:rPr>
          <w:rFonts w:ascii="Arial" w:hAnsi="Arial" w:cs="Arial"/>
          <w:sz w:val="22"/>
          <w:szCs w:val="22"/>
        </w:rPr>
      </w:pPr>
    </w:p>
    <w:p w14:paraId="1CFD683B" w14:textId="4028E8CD" w:rsidR="00EA30DC" w:rsidRPr="00F03204" w:rsidRDefault="004E605A" w:rsidP="00AB3D00">
      <w:pPr>
        <w:jc w:val="both"/>
        <w:rPr>
          <w:rFonts w:ascii="Arial" w:hAnsi="Arial" w:cs="Arial"/>
          <w:sz w:val="22"/>
          <w:szCs w:val="22"/>
        </w:rPr>
      </w:pPr>
      <w:r w:rsidRPr="00F03204">
        <w:rPr>
          <w:rFonts w:ascii="Arial" w:hAnsi="Arial" w:cs="Arial"/>
          <w:noProof/>
          <w:sz w:val="22"/>
          <w:szCs w:val="22"/>
        </w:rPr>
        <w:lastRenderedPageBreak/>
        <w:drawing>
          <wp:anchor distT="0" distB="0" distL="114300" distR="114300" simplePos="0" relativeHeight="251671552" behindDoc="0" locked="0" layoutInCell="1" allowOverlap="1" wp14:anchorId="37A5DACC" wp14:editId="7D0329D8">
            <wp:simplePos x="1143000" y="1143000"/>
            <wp:positionH relativeFrom="margin">
              <wp:align>center</wp:align>
            </wp:positionH>
            <wp:positionV relativeFrom="margin">
              <wp:align>top</wp:align>
            </wp:positionV>
            <wp:extent cx="4548140" cy="3416935"/>
            <wp:effectExtent l="228600" t="228600" r="233680" b="221615"/>
            <wp:wrapSquare wrapText="bothSides"/>
            <wp:docPr id="72379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99459" name="Picture 7237994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8140" cy="341693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0085CD83" w14:textId="77777777" w:rsidR="0030435C" w:rsidRDefault="0030435C" w:rsidP="00AB3D00">
      <w:pPr>
        <w:jc w:val="both"/>
        <w:rPr>
          <w:rFonts w:ascii="Arial" w:hAnsi="Arial" w:cs="Arial"/>
          <w:sz w:val="22"/>
          <w:szCs w:val="22"/>
        </w:rPr>
      </w:pPr>
    </w:p>
    <w:p w14:paraId="661B3C20" w14:textId="77777777" w:rsidR="0030435C" w:rsidRDefault="0030435C" w:rsidP="00AB3D00">
      <w:pPr>
        <w:jc w:val="both"/>
        <w:rPr>
          <w:rFonts w:ascii="Arial" w:hAnsi="Arial" w:cs="Arial"/>
          <w:sz w:val="22"/>
          <w:szCs w:val="22"/>
        </w:rPr>
      </w:pPr>
    </w:p>
    <w:p w14:paraId="1AA3B925" w14:textId="77777777" w:rsidR="0030435C" w:rsidRDefault="0030435C" w:rsidP="00AB3D00">
      <w:pPr>
        <w:jc w:val="both"/>
        <w:rPr>
          <w:rFonts w:ascii="Arial" w:hAnsi="Arial" w:cs="Arial"/>
          <w:sz w:val="22"/>
          <w:szCs w:val="22"/>
        </w:rPr>
      </w:pPr>
    </w:p>
    <w:p w14:paraId="77C6C8CC" w14:textId="77777777" w:rsidR="0030435C" w:rsidRDefault="0030435C" w:rsidP="00AB3D00">
      <w:pPr>
        <w:jc w:val="both"/>
        <w:rPr>
          <w:rFonts w:ascii="Arial" w:hAnsi="Arial" w:cs="Arial"/>
          <w:sz w:val="22"/>
          <w:szCs w:val="22"/>
        </w:rPr>
      </w:pPr>
    </w:p>
    <w:p w14:paraId="762BA29E" w14:textId="77777777" w:rsidR="0030435C" w:rsidRDefault="0030435C" w:rsidP="00AB3D00">
      <w:pPr>
        <w:jc w:val="both"/>
        <w:rPr>
          <w:rFonts w:ascii="Arial" w:hAnsi="Arial" w:cs="Arial"/>
          <w:sz w:val="22"/>
          <w:szCs w:val="22"/>
        </w:rPr>
      </w:pPr>
    </w:p>
    <w:p w14:paraId="4420E637" w14:textId="77777777" w:rsidR="0030435C" w:rsidRDefault="0030435C" w:rsidP="00AB3D00">
      <w:pPr>
        <w:jc w:val="both"/>
        <w:rPr>
          <w:rFonts w:ascii="Arial" w:hAnsi="Arial" w:cs="Arial"/>
          <w:sz w:val="22"/>
          <w:szCs w:val="22"/>
        </w:rPr>
      </w:pPr>
    </w:p>
    <w:p w14:paraId="7477F6BF" w14:textId="77777777" w:rsidR="0030435C" w:rsidRDefault="0030435C" w:rsidP="00AB3D00">
      <w:pPr>
        <w:jc w:val="both"/>
        <w:rPr>
          <w:rFonts w:ascii="Arial" w:hAnsi="Arial" w:cs="Arial"/>
          <w:sz w:val="22"/>
          <w:szCs w:val="22"/>
        </w:rPr>
      </w:pPr>
    </w:p>
    <w:p w14:paraId="3217EDB6" w14:textId="77777777" w:rsidR="0030435C" w:rsidRDefault="0030435C" w:rsidP="00AB3D00">
      <w:pPr>
        <w:jc w:val="both"/>
        <w:rPr>
          <w:rFonts w:ascii="Arial" w:hAnsi="Arial" w:cs="Arial"/>
          <w:sz w:val="22"/>
          <w:szCs w:val="22"/>
        </w:rPr>
      </w:pPr>
    </w:p>
    <w:p w14:paraId="1024F84E" w14:textId="77777777" w:rsidR="003526AB" w:rsidRDefault="003526AB" w:rsidP="00AB3D00">
      <w:pPr>
        <w:jc w:val="both"/>
        <w:rPr>
          <w:rFonts w:ascii="Arial" w:hAnsi="Arial" w:cs="Arial"/>
          <w:sz w:val="22"/>
          <w:szCs w:val="22"/>
        </w:rPr>
      </w:pPr>
    </w:p>
    <w:p w14:paraId="108E1B1C" w14:textId="77777777" w:rsidR="003526AB" w:rsidRDefault="003526AB" w:rsidP="00AB3D00">
      <w:pPr>
        <w:jc w:val="both"/>
        <w:rPr>
          <w:rFonts w:ascii="Arial" w:hAnsi="Arial" w:cs="Arial"/>
          <w:sz w:val="22"/>
          <w:szCs w:val="22"/>
        </w:rPr>
      </w:pPr>
    </w:p>
    <w:p w14:paraId="6F5F4EBC" w14:textId="77777777" w:rsidR="00CC1D63" w:rsidRDefault="00CC1D63" w:rsidP="00AB3D00">
      <w:pPr>
        <w:jc w:val="both"/>
        <w:rPr>
          <w:rFonts w:ascii="Arial" w:hAnsi="Arial" w:cs="Arial"/>
          <w:sz w:val="22"/>
          <w:szCs w:val="22"/>
        </w:rPr>
      </w:pPr>
    </w:p>
    <w:p w14:paraId="1699D3BB" w14:textId="77777777" w:rsidR="00CC1D63" w:rsidRDefault="00CC1D63" w:rsidP="00AB3D00">
      <w:pPr>
        <w:jc w:val="both"/>
        <w:rPr>
          <w:rFonts w:ascii="Arial" w:hAnsi="Arial" w:cs="Arial"/>
          <w:sz w:val="22"/>
          <w:szCs w:val="22"/>
        </w:rPr>
      </w:pPr>
    </w:p>
    <w:p w14:paraId="40309639" w14:textId="77777777" w:rsidR="00CC1D63" w:rsidRDefault="00CC1D63" w:rsidP="00AB3D00">
      <w:pPr>
        <w:jc w:val="both"/>
        <w:rPr>
          <w:rFonts w:ascii="Arial" w:hAnsi="Arial" w:cs="Arial"/>
          <w:sz w:val="22"/>
          <w:szCs w:val="22"/>
        </w:rPr>
      </w:pPr>
    </w:p>
    <w:p w14:paraId="40945CBA" w14:textId="4F7E9753" w:rsidR="00C979DE" w:rsidRPr="00CC1D63" w:rsidRDefault="0009267D" w:rsidP="00CC1D63">
      <w:pPr>
        <w:jc w:val="center"/>
        <w:rPr>
          <w:rFonts w:ascii="Arial" w:hAnsi="Arial" w:cs="Arial"/>
          <w:b/>
          <w:bCs/>
          <w:sz w:val="22"/>
          <w:szCs w:val="22"/>
        </w:rPr>
      </w:pPr>
      <w:r>
        <w:rPr>
          <w:rFonts w:ascii="Arial" w:hAnsi="Arial" w:cs="Arial"/>
          <w:b/>
          <w:bCs/>
          <w:sz w:val="22"/>
          <w:szCs w:val="22"/>
        </w:rPr>
        <w:t>Figure 6.</w:t>
      </w:r>
      <w:r w:rsidR="003526AB" w:rsidRPr="00CC1D63">
        <w:rPr>
          <w:rFonts w:ascii="Arial" w:hAnsi="Arial" w:cs="Arial"/>
          <w:b/>
          <w:bCs/>
          <w:sz w:val="22"/>
          <w:szCs w:val="22"/>
        </w:rPr>
        <w:t xml:space="preserve"> Showing </w:t>
      </w:r>
      <w:r w:rsidR="00CC1D63">
        <w:rPr>
          <w:rFonts w:ascii="Arial" w:hAnsi="Arial" w:cs="Arial"/>
          <w:b/>
          <w:bCs/>
          <w:sz w:val="22"/>
          <w:szCs w:val="22"/>
        </w:rPr>
        <w:t>t</w:t>
      </w:r>
      <w:r w:rsidR="003526AB" w:rsidRPr="00CC1D63">
        <w:rPr>
          <w:rFonts w:ascii="Arial" w:hAnsi="Arial" w:cs="Arial"/>
          <w:b/>
          <w:bCs/>
          <w:sz w:val="22"/>
          <w:szCs w:val="22"/>
        </w:rPr>
        <w:t xml:space="preserve">he LULC Changes </w:t>
      </w:r>
      <w:r w:rsidR="00CC1D63" w:rsidRPr="00CC1D63">
        <w:rPr>
          <w:rFonts w:ascii="Arial" w:hAnsi="Arial" w:cs="Arial"/>
          <w:b/>
          <w:bCs/>
          <w:sz w:val="22"/>
          <w:szCs w:val="22"/>
        </w:rPr>
        <w:t>in KMA 2016-2024</w:t>
      </w:r>
    </w:p>
    <w:p w14:paraId="3A94B50E" w14:textId="77777777" w:rsidR="0030435C" w:rsidRDefault="0030435C" w:rsidP="00AB3D00">
      <w:pPr>
        <w:jc w:val="both"/>
        <w:rPr>
          <w:rFonts w:ascii="Arial" w:hAnsi="Arial" w:cs="Arial"/>
          <w:sz w:val="22"/>
          <w:szCs w:val="22"/>
        </w:rPr>
      </w:pPr>
    </w:p>
    <w:p w14:paraId="625EDA7E" w14:textId="2AF8813D" w:rsidR="00C979DE" w:rsidRPr="00F03204" w:rsidRDefault="00DA5C33" w:rsidP="00AB3D00">
      <w:pPr>
        <w:jc w:val="both"/>
        <w:rPr>
          <w:rFonts w:ascii="Arial" w:hAnsi="Arial" w:cs="Arial"/>
          <w:sz w:val="22"/>
          <w:szCs w:val="22"/>
        </w:rPr>
      </w:pPr>
      <w:r w:rsidRPr="00F03204">
        <w:rPr>
          <w:rFonts w:ascii="Arial" w:hAnsi="Arial" w:cs="Arial"/>
          <w:noProof/>
          <w:sz w:val="22"/>
          <w:szCs w:val="22"/>
        </w:rPr>
        <w:drawing>
          <wp:anchor distT="0" distB="0" distL="114300" distR="114300" simplePos="0" relativeHeight="251670528" behindDoc="0" locked="0" layoutInCell="1" allowOverlap="1" wp14:anchorId="4EF90734" wp14:editId="26552F12">
            <wp:simplePos x="0" y="0"/>
            <wp:positionH relativeFrom="margin">
              <wp:posOffset>835359</wp:posOffset>
            </wp:positionH>
            <wp:positionV relativeFrom="margin">
              <wp:posOffset>5393490</wp:posOffset>
            </wp:positionV>
            <wp:extent cx="4165600" cy="2256790"/>
            <wp:effectExtent l="0" t="0" r="6350" b="10160"/>
            <wp:wrapSquare wrapText="bothSides"/>
            <wp:docPr id="1583182424" name="Chart 1">
              <a:extLst xmlns:a="http://schemas.openxmlformats.org/drawingml/2006/main">
                <a:ext uri="{FF2B5EF4-FFF2-40B4-BE49-F238E27FC236}">
                  <a16:creationId xmlns:a16="http://schemas.microsoft.com/office/drawing/2014/main" id="{3759A3A4-BEDF-DB85-43F2-ACA128773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C979DE" w:rsidRPr="00F03204">
        <w:rPr>
          <w:rFonts w:ascii="Arial" w:hAnsi="Arial" w:cs="Arial"/>
          <w:sz w:val="22"/>
          <w:szCs w:val="22"/>
        </w:rPr>
        <w:t>The spatial patterns also indicate increased landscape fragmentation, with red (developed) and yellow (barren) pixels occupying formerly green (forest) areas. Water zones have become more concentrated along the main river course, and previously scattered aquatic patches show signs of shrinkage or conversion.</w:t>
      </w:r>
    </w:p>
    <w:p w14:paraId="6BF0ECB6" w14:textId="38E7AD84" w:rsidR="00C979DE" w:rsidRPr="00F03204" w:rsidRDefault="00C979DE" w:rsidP="00AB3D00">
      <w:pPr>
        <w:jc w:val="both"/>
        <w:rPr>
          <w:rFonts w:ascii="Arial" w:hAnsi="Arial" w:cs="Arial"/>
          <w:sz w:val="22"/>
          <w:szCs w:val="22"/>
        </w:rPr>
      </w:pPr>
    </w:p>
    <w:p w14:paraId="4E437976" w14:textId="3A89C545" w:rsidR="00C979DE" w:rsidRPr="00F03204" w:rsidRDefault="00C979DE" w:rsidP="00AB3D00">
      <w:pPr>
        <w:jc w:val="both"/>
        <w:rPr>
          <w:rFonts w:ascii="Arial" w:hAnsi="Arial" w:cs="Arial"/>
          <w:sz w:val="22"/>
          <w:szCs w:val="22"/>
        </w:rPr>
      </w:pPr>
    </w:p>
    <w:p w14:paraId="0D978906" w14:textId="2733A8FE" w:rsidR="00C979DE" w:rsidRPr="00F03204" w:rsidRDefault="00C979DE" w:rsidP="00AB3D00">
      <w:pPr>
        <w:jc w:val="both"/>
        <w:rPr>
          <w:rFonts w:ascii="Arial" w:hAnsi="Arial" w:cs="Arial"/>
          <w:sz w:val="22"/>
          <w:szCs w:val="22"/>
        </w:rPr>
      </w:pPr>
    </w:p>
    <w:p w14:paraId="063D4FD9" w14:textId="06AC7334" w:rsidR="00AA46C7" w:rsidRPr="00F03204" w:rsidRDefault="00AA46C7" w:rsidP="00AB3D00">
      <w:pPr>
        <w:jc w:val="both"/>
        <w:rPr>
          <w:rFonts w:ascii="Arial" w:hAnsi="Arial" w:cs="Arial"/>
          <w:sz w:val="22"/>
          <w:szCs w:val="22"/>
        </w:rPr>
      </w:pPr>
    </w:p>
    <w:p w14:paraId="4C9F381C" w14:textId="77777777" w:rsidR="00AA46C7" w:rsidRPr="00F03204" w:rsidRDefault="00AA46C7" w:rsidP="00AB3D00">
      <w:pPr>
        <w:jc w:val="both"/>
        <w:rPr>
          <w:rFonts w:ascii="Arial" w:hAnsi="Arial" w:cs="Arial"/>
          <w:sz w:val="22"/>
          <w:szCs w:val="22"/>
        </w:rPr>
      </w:pPr>
    </w:p>
    <w:p w14:paraId="772D8411" w14:textId="02633F4B" w:rsidR="00AA46C7" w:rsidRPr="00F03204" w:rsidRDefault="00AA46C7" w:rsidP="00AB3D00">
      <w:pPr>
        <w:jc w:val="both"/>
        <w:rPr>
          <w:rFonts w:ascii="Arial" w:hAnsi="Arial" w:cs="Arial"/>
          <w:sz w:val="22"/>
          <w:szCs w:val="22"/>
        </w:rPr>
      </w:pPr>
    </w:p>
    <w:p w14:paraId="6694A82D" w14:textId="0B6A3AAF" w:rsidR="00AA46C7" w:rsidRPr="00F03204" w:rsidRDefault="00AA46C7" w:rsidP="00AB3D00">
      <w:pPr>
        <w:jc w:val="both"/>
        <w:rPr>
          <w:rFonts w:ascii="Arial" w:hAnsi="Arial" w:cs="Arial"/>
          <w:sz w:val="22"/>
          <w:szCs w:val="22"/>
        </w:rPr>
      </w:pPr>
    </w:p>
    <w:p w14:paraId="7D3CFAB3" w14:textId="77777777" w:rsidR="00AA46C7" w:rsidRPr="00F03204" w:rsidRDefault="00AA46C7" w:rsidP="00AB3D00">
      <w:pPr>
        <w:jc w:val="both"/>
        <w:rPr>
          <w:rFonts w:ascii="Arial" w:hAnsi="Arial" w:cs="Arial"/>
          <w:sz w:val="22"/>
          <w:szCs w:val="22"/>
        </w:rPr>
      </w:pPr>
    </w:p>
    <w:p w14:paraId="3A0D75FD" w14:textId="3DA4CF9C" w:rsidR="00EA30DC" w:rsidRPr="00F03204" w:rsidRDefault="00DA5C33" w:rsidP="00250F36">
      <w:pPr>
        <w:jc w:val="center"/>
        <w:rPr>
          <w:rFonts w:ascii="Arial" w:hAnsi="Arial" w:cs="Arial"/>
          <w:b/>
          <w:bCs/>
          <w:sz w:val="22"/>
          <w:szCs w:val="22"/>
        </w:rPr>
      </w:pPr>
      <w:r>
        <w:rPr>
          <w:rFonts w:ascii="Arial" w:hAnsi="Arial" w:cs="Arial"/>
          <w:b/>
          <w:bCs/>
          <w:sz w:val="22"/>
          <w:szCs w:val="22"/>
        </w:rPr>
        <w:t>Figure</w:t>
      </w:r>
      <w:r w:rsidR="00250F36">
        <w:rPr>
          <w:rFonts w:ascii="Arial" w:hAnsi="Arial" w:cs="Arial"/>
          <w:b/>
          <w:bCs/>
          <w:sz w:val="22"/>
          <w:szCs w:val="22"/>
        </w:rPr>
        <w:t xml:space="preserve"> </w:t>
      </w:r>
      <w:r w:rsidR="0009267D">
        <w:rPr>
          <w:rFonts w:ascii="Arial" w:hAnsi="Arial" w:cs="Arial"/>
          <w:b/>
          <w:bCs/>
          <w:sz w:val="22"/>
          <w:szCs w:val="22"/>
        </w:rPr>
        <w:t>7</w:t>
      </w:r>
      <w:r w:rsidR="00250F36">
        <w:rPr>
          <w:rFonts w:ascii="Arial" w:hAnsi="Arial" w:cs="Arial"/>
          <w:b/>
          <w:bCs/>
          <w:sz w:val="22"/>
          <w:szCs w:val="22"/>
        </w:rPr>
        <w:t>:</w:t>
      </w:r>
      <w:r w:rsidR="004E605A" w:rsidRPr="00F03204">
        <w:rPr>
          <w:rFonts w:ascii="Arial" w:hAnsi="Arial" w:cs="Arial"/>
          <w:b/>
          <w:bCs/>
          <w:sz w:val="22"/>
          <w:szCs w:val="22"/>
        </w:rPr>
        <w:t xml:space="preserve"> </w:t>
      </w:r>
      <w:r w:rsidR="00EA30DC" w:rsidRPr="00F03204">
        <w:rPr>
          <w:rFonts w:ascii="Arial" w:hAnsi="Arial" w:cs="Arial"/>
          <w:b/>
          <w:bCs/>
          <w:sz w:val="22"/>
          <w:szCs w:val="22"/>
        </w:rPr>
        <w:t xml:space="preserve">Spectral Index Behavior </w:t>
      </w:r>
      <w:r w:rsidR="005C3C95" w:rsidRPr="00F03204">
        <w:rPr>
          <w:rFonts w:ascii="Arial" w:hAnsi="Arial" w:cs="Arial"/>
          <w:b/>
          <w:bCs/>
          <w:sz w:val="22"/>
          <w:szCs w:val="22"/>
        </w:rPr>
        <w:t>Analysis</w:t>
      </w:r>
    </w:p>
    <w:p w14:paraId="1DC3118E" w14:textId="77777777" w:rsidR="005C3C95" w:rsidRPr="00F03204" w:rsidRDefault="005C3C95" w:rsidP="00250F36">
      <w:pPr>
        <w:jc w:val="center"/>
        <w:rPr>
          <w:rFonts w:ascii="Arial" w:hAnsi="Arial" w:cs="Arial"/>
          <w:b/>
          <w:bCs/>
          <w:sz w:val="22"/>
          <w:szCs w:val="22"/>
        </w:rPr>
      </w:pPr>
    </w:p>
    <w:p w14:paraId="31742B6D" w14:textId="77777777" w:rsidR="00EA30DC" w:rsidRPr="00F03204" w:rsidRDefault="00EA30DC" w:rsidP="00AB3D00">
      <w:pPr>
        <w:jc w:val="both"/>
        <w:rPr>
          <w:rFonts w:ascii="Arial" w:hAnsi="Arial" w:cs="Arial"/>
          <w:b/>
          <w:bCs/>
          <w:sz w:val="22"/>
          <w:szCs w:val="22"/>
        </w:rPr>
      </w:pPr>
      <w:r w:rsidRPr="00F03204">
        <w:rPr>
          <w:rFonts w:ascii="Arial" w:hAnsi="Arial" w:cs="Arial"/>
          <w:b/>
          <w:bCs/>
          <w:sz w:val="22"/>
          <w:szCs w:val="22"/>
        </w:rPr>
        <w:lastRenderedPageBreak/>
        <w:t>NDVI Interpretation</w:t>
      </w:r>
    </w:p>
    <w:p w14:paraId="50B2B722" w14:textId="77777777" w:rsidR="00EA30DC" w:rsidRPr="00F03204" w:rsidRDefault="00EA30DC" w:rsidP="00AB3D00">
      <w:pPr>
        <w:jc w:val="both"/>
        <w:rPr>
          <w:rFonts w:ascii="Arial" w:hAnsi="Arial" w:cs="Arial"/>
          <w:sz w:val="22"/>
          <w:szCs w:val="22"/>
        </w:rPr>
      </w:pPr>
      <w:r w:rsidRPr="00F03204">
        <w:rPr>
          <w:rFonts w:ascii="Arial" w:hAnsi="Arial" w:cs="Arial"/>
          <w:sz w:val="22"/>
          <w:szCs w:val="22"/>
        </w:rPr>
        <w:t xml:space="preserve">The NDVI index, sensitive to chlorophyll and vegetative vigor, shows a slight increase in maximum value from </w:t>
      </w:r>
      <w:r w:rsidRPr="00F03204">
        <w:rPr>
          <w:rFonts w:ascii="Arial" w:hAnsi="Arial" w:cs="Arial"/>
          <w:b/>
          <w:bCs/>
          <w:sz w:val="22"/>
          <w:szCs w:val="22"/>
        </w:rPr>
        <w:t>0.4777 (2016)</w:t>
      </w:r>
      <w:r w:rsidRPr="00F03204">
        <w:rPr>
          <w:rFonts w:ascii="Arial" w:hAnsi="Arial" w:cs="Arial"/>
          <w:sz w:val="22"/>
          <w:szCs w:val="22"/>
        </w:rPr>
        <w:t xml:space="preserve"> to </w:t>
      </w:r>
      <w:r w:rsidRPr="00F03204">
        <w:rPr>
          <w:rFonts w:ascii="Arial" w:hAnsi="Arial" w:cs="Arial"/>
          <w:b/>
          <w:bCs/>
          <w:sz w:val="22"/>
          <w:szCs w:val="22"/>
        </w:rPr>
        <w:t>0.4850 (2024)</w:t>
      </w:r>
      <w:r w:rsidRPr="00F03204">
        <w:rPr>
          <w:rFonts w:ascii="Arial" w:hAnsi="Arial" w:cs="Arial"/>
          <w:sz w:val="22"/>
          <w:szCs w:val="22"/>
        </w:rPr>
        <w:t>. Despite a decrease in forest area, NDVI suggests localized greening—potentially in parks, urban vegetation patches, or seasonal cropland. Its resilience may also relate to improved vegetation management in peri-urban belts. This pattern is further reflected in weak negative correlation (r ≈ –0.2) with forest area.</w:t>
      </w:r>
    </w:p>
    <w:p w14:paraId="73287894" w14:textId="77777777" w:rsidR="00EA30DC" w:rsidRPr="00F03204" w:rsidRDefault="00EA30DC" w:rsidP="00AB3D00">
      <w:pPr>
        <w:jc w:val="both"/>
        <w:rPr>
          <w:rFonts w:ascii="Arial" w:hAnsi="Arial" w:cs="Arial"/>
          <w:b/>
          <w:bCs/>
          <w:sz w:val="22"/>
          <w:szCs w:val="22"/>
        </w:rPr>
      </w:pPr>
      <w:r w:rsidRPr="00F03204">
        <w:rPr>
          <w:rFonts w:ascii="Arial" w:hAnsi="Arial" w:cs="Arial"/>
          <w:b/>
          <w:bCs/>
          <w:sz w:val="22"/>
          <w:szCs w:val="22"/>
        </w:rPr>
        <w:t>NDBI Interpretation</w:t>
      </w:r>
    </w:p>
    <w:p w14:paraId="5383743D" w14:textId="6C547198" w:rsidR="00215F7C" w:rsidRPr="00F03204" w:rsidRDefault="00EA30DC" w:rsidP="00AB3D00">
      <w:pPr>
        <w:jc w:val="both"/>
        <w:rPr>
          <w:rFonts w:ascii="Arial" w:hAnsi="Arial" w:cs="Arial"/>
          <w:sz w:val="22"/>
          <w:szCs w:val="22"/>
        </w:rPr>
      </w:pPr>
      <w:r w:rsidRPr="00F03204">
        <w:rPr>
          <w:rFonts w:ascii="Arial" w:hAnsi="Arial" w:cs="Arial"/>
          <w:sz w:val="22"/>
          <w:szCs w:val="22"/>
        </w:rPr>
        <w:t xml:space="preserve">NDBI values rose from </w:t>
      </w:r>
      <w:r w:rsidRPr="00F03204">
        <w:rPr>
          <w:rFonts w:ascii="Arial" w:hAnsi="Arial" w:cs="Arial"/>
          <w:b/>
          <w:bCs/>
          <w:sz w:val="22"/>
          <w:szCs w:val="22"/>
        </w:rPr>
        <w:t>0.2696 to 0.2964</w:t>
      </w:r>
      <w:r w:rsidRPr="00F03204">
        <w:rPr>
          <w:rFonts w:ascii="Arial" w:hAnsi="Arial" w:cs="Arial"/>
          <w:sz w:val="22"/>
          <w:szCs w:val="22"/>
        </w:rPr>
        <w:t>, indicating a stronger built-up or impervious signature. The increase aligns with the surge in barren area (+394.12 km²), as both barren soil and concrete surfaces reflect strongly in the SWIR band. The reduced “developed” class did not decrease NDBI, which suggests that the spectral signal of urban surfaces is retained or replaced by construction zones. NDBI correlates positively with barren land (r ≈ +0.6).</w:t>
      </w:r>
    </w:p>
    <w:p w14:paraId="7F8D54E0" w14:textId="77777777" w:rsidR="00EA30DC" w:rsidRPr="00F03204" w:rsidRDefault="00EA30DC" w:rsidP="00AB3D00">
      <w:pPr>
        <w:jc w:val="both"/>
        <w:rPr>
          <w:rFonts w:ascii="Arial" w:hAnsi="Arial" w:cs="Arial"/>
          <w:b/>
          <w:bCs/>
          <w:sz w:val="22"/>
          <w:szCs w:val="22"/>
        </w:rPr>
      </w:pPr>
      <w:r w:rsidRPr="00F03204">
        <w:rPr>
          <w:rFonts w:ascii="Arial" w:hAnsi="Arial" w:cs="Arial"/>
          <w:b/>
          <w:bCs/>
          <w:sz w:val="22"/>
          <w:szCs w:val="22"/>
        </w:rPr>
        <w:t>NDWI Interpretation</w:t>
      </w:r>
    </w:p>
    <w:p w14:paraId="6BFE0431" w14:textId="77777777" w:rsidR="00EA30DC" w:rsidRPr="00F03204" w:rsidRDefault="00EA30DC" w:rsidP="00AB3D00">
      <w:pPr>
        <w:jc w:val="both"/>
        <w:rPr>
          <w:rFonts w:ascii="Arial" w:hAnsi="Arial" w:cs="Arial"/>
          <w:sz w:val="22"/>
          <w:szCs w:val="22"/>
        </w:rPr>
      </w:pPr>
      <w:r w:rsidRPr="00F03204">
        <w:rPr>
          <w:rFonts w:ascii="Arial" w:hAnsi="Arial" w:cs="Arial"/>
          <w:sz w:val="22"/>
          <w:szCs w:val="22"/>
        </w:rPr>
        <w:t xml:space="preserve">NDWI values rose from </w:t>
      </w:r>
      <w:r w:rsidRPr="00F03204">
        <w:rPr>
          <w:rFonts w:ascii="Arial" w:hAnsi="Arial" w:cs="Arial"/>
          <w:b/>
          <w:bCs/>
          <w:sz w:val="22"/>
          <w:szCs w:val="22"/>
        </w:rPr>
        <w:t>0.1015 to 0.1831</w:t>
      </w:r>
      <w:r w:rsidRPr="00F03204">
        <w:rPr>
          <w:rFonts w:ascii="Arial" w:hAnsi="Arial" w:cs="Arial"/>
          <w:sz w:val="22"/>
          <w:szCs w:val="22"/>
        </w:rPr>
        <w:t xml:space="preserve">, a trend not matched by the reduction in waterbody area. This implies a concentration or enhancement in the reflectance of remaining water bodies, such as deeper or cleaner water during acquisition. NDWI shows weak to moderate negative correlation with total water area (r ≈ –0.3), reinforcing the idea that NDWI captures </w:t>
      </w:r>
      <w:r w:rsidRPr="00F03204">
        <w:rPr>
          <w:rFonts w:ascii="Arial" w:hAnsi="Arial" w:cs="Arial"/>
          <w:b/>
          <w:bCs/>
          <w:sz w:val="22"/>
          <w:szCs w:val="22"/>
        </w:rPr>
        <w:t>intensity</w:t>
      </w:r>
      <w:r w:rsidRPr="00F03204">
        <w:rPr>
          <w:rFonts w:ascii="Arial" w:hAnsi="Arial" w:cs="Arial"/>
          <w:sz w:val="22"/>
          <w:szCs w:val="22"/>
        </w:rPr>
        <w:t xml:space="preserve"> over </w:t>
      </w:r>
      <w:r w:rsidRPr="00F03204">
        <w:rPr>
          <w:rFonts w:ascii="Arial" w:hAnsi="Arial" w:cs="Arial"/>
          <w:b/>
          <w:bCs/>
          <w:sz w:val="22"/>
          <w:szCs w:val="22"/>
        </w:rPr>
        <w:t>extent</w:t>
      </w:r>
      <w:r w:rsidRPr="00F03204">
        <w:rPr>
          <w:rFonts w:ascii="Arial" w:hAnsi="Arial" w:cs="Arial"/>
          <w:sz w:val="22"/>
          <w:szCs w:val="22"/>
        </w:rPr>
        <w:t>.</w:t>
      </w:r>
    </w:p>
    <w:p w14:paraId="0AF3BE85" w14:textId="77777777" w:rsidR="00EA30DC" w:rsidRPr="00F03204" w:rsidRDefault="00EA30DC" w:rsidP="00AB3D00">
      <w:pPr>
        <w:jc w:val="both"/>
        <w:rPr>
          <w:rFonts w:ascii="Arial" w:hAnsi="Arial" w:cs="Arial"/>
          <w:b/>
          <w:bCs/>
          <w:sz w:val="22"/>
          <w:szCs w:val="22"/>
        </w:rPr>
      </w:pPr>
    </w:p>
    <w:p w14:paraId="51E7B27D" w14:textId="4C39A332" w:rsidR="005C3C95" w:rsidRPr="00F03204" w:rsidRDefault="001B1BD9" w:rsidP="00AB3D00">
      <w:pPr>
        <w:pStyle w:val="Heading2"/>
        <w:jc w:val="both"/>
        <w:rPr>
          <w:rFonts w:ascii="Arial" w:hAnsi="Arial" w:cs="Arial"/>
          <w:b/>
          <w:bCs/>
          <w:color w:val="auto"/>
          <w:sz w:val="22"/>
          <w:szCs w:val="22"/>
        </w:rPr>
      </w:pPr>
      <w:r w:rsidRPr="00F03204">
        <w:rPr>
          <w:rFonts w:ascii="Arial" w:hAnsi="Arial" w:cs="Arial"/>
          <w:b/>
          <w:bCs/>
          <w:color w:val="auto"/>
          <w:sz w:val="22"/>
          <w:szCs w:val="22"/>
        </w:rPr>
        <w:t>Land Surface Temperature (LST) Analysis and Validation</w:t>
      </w:r>
      <w:r w:rsidR="005C3C95" w:rsidRPr="00F03204">
        <w:rPr>
          <w:rFonts w:ascii="Arial" w:hAnsi="Arial" w:cs="Arial"/>
          <w:b/>
          <w:bCs/>
          <w:color w:val="auto"/>
          <w:sz w:val="22"/>
          <w:szCs w:val="22"/>
        </w:rPr>
        <w:t>:</w:t>
      </w:r>
    </w:p>
    <w:p w14:paraId="78BB8A77" w14:textId="77777777" w:rsidR="001B1BD9" w:rsidRPr="00F03204" w:rsidRDefault="001B1BD9" w:rsidP="00AB3D00">
      <w:pPr>
        <w:jc w:val="both"/>
        <w:rPr>
          <w:rFonts w:ascii="Arial" w:hAnsi="Arial" w:cs="Arial"/>
          <w:b/>
          <w:bCs/>
          <w:sz w:val="22"/>
          <w:szCs w:val="22"/>
        </w:rPr>
      </w:pPr>
      <w:r w:rsidRPr="00F03204">
        <w:rPr>
          <w:rFonts w:ascii="Arial" w:hAnsi="Arial" w:cs="Arial"/>
          <w:b/>
          <w:bCs/>
          <w:sz w:val="22"/>
          <w:szCs w:val="22"/>
        </w:rPr>
        <w:t>MODIS-Based LST Interpretation</w:t>
      </w:r>
    </w:p>
    <w:p w14:paraId="4DBBDD82" w14:textId="77777777" w:rsidR="001B1BD9" w:rsidRPr="00F03204" w:rsidRDefault="001B1BD9" w:rsidP="00AB3D00">
      <w:pPr>
        <w:jc w:val="both"/>
        <w:rPr>
          <w:rFonts w:ascii="Arial" w:hAnsi="Arial" w:cs="Arial"/>
          <w:sz w:val="22"/>
          <w:szCs w:val="22"/>
        </w:rPr>
      </w:pPr>
      <w:r w:rsidRPr="00F03204">
        <w:rPr>
          <w:rFonts w:ascii="Arial" w:hAnsi="Arial" w:cs="Arial"/>
          <w:sz w:val="22"/>
          <w:szCs w:val="22"/>
        </w:rPr>
        <w:t>Land Surface Temperature (LST) is a key environmental indicator representing the radiative skin temperature of the Earth's surface. In this study, MODIS thermal bands were used to compute LST for the years 2016 and 2024, providing insights into the urban thermal environment and its evolution across the Kolkata Metropolitan Area (KMA).</w:t>
      </w:r>
    </w:p>
    <w:p w14:paraId="3B2D9BD1" w14:textId="77777777" w:rsidR="001B1BD9" w:rsidRPr="00F03204" w:rsidRDefault="001B1BD9" w:rsidP="00AB3D00">
      <w:pPr>
        <w:jc w:val="both"/>
        <w:rPr>
          <w:rFonts w:ascii="Arial" w:hAnsi="Arial" w:cs="Arial"/>
          <w:sz w:val="22"/>
          <w:szCs w:val="22"/>
        </w:rPr>
      </w:pPr>
      <w:r w:rsidRPr="00F03204">
        <w:rPr>
          <w:rFonts w:ascii="Arial" w:hAnsi="Arial" w:cs="Arial"/>
          <w:sz w:val="22"/>
          <w:szCs w:val="22"/>
        </w:rPr>
        <w:t xml:space="preserve">The 2016 LST map (Figure 4) reveals surface temperatures ranging from </w:t>
      </w:r>
      <w:r w:rsidRPr="00F03204">
        <w:rPr>
          <w:rFonts w:ascii="Arial" w:hAnsi="Arial" w:cs="Arial"/>
          <w:b/>
          <w:bCs/>
          <w:sz w:val="22"/>
          <w:szCs w:val="22"/>
        </w:rPr>
        <w:t>31.37 °C to 40.81 °C</w:t>
      </w:r>
      <w:r w:rsidRPr="00F03204">
        <w:rPr>
          <w:rFonts w:ascii="Arial" w:hAnsi="Arial" w:cs="Arial"/>
          <w:sz w:val="22"/>
          <w:szCs w:val="22"/>
        </w:rPr>
        <w:t xml:space="preserve">, while in 2024, this range increased to </w:t>
      </w:r>
      <w:r w:rsidRPr="00F03204">
        <w:rPr>
          <w:rFonts w:ascii="Arial" w:hAnsi="Arial" w:cs="Arial"/>
          <w:b/>
          <w:bCs/>
          <w:sz w:val="22"/>
          <w:szCs w:val="22"/>
        </w:rPr>
        <w:t>32.57 °C to 41.49 °C</w:t>
      </w:r>
      <w:r w:rsidRPr="00F03204">
        <w:rPr>
          <w:rFonts w:ascii="Arial" w:hAnsi="Arial" w:cs="Arial"/>
          <w:sz w:val="22"/>
          <w:szCs w:val="22"/>
        </w:rPr>
        <w:t xml:space="preserve">. This marks a clear upward shift in both the </w:t>
      </w:r>
      <w:r w:rsidRPr="00F03204">
        <w:rPr>
          <w:rFonts w:ascii="Arial" w:hAnsi="Arial" w:cs="Arial"/>
          <w:b/>
          <w:bCs/>
          <w:sz w:val="22"/>
          <w:szCs w:val="22"/>
        </w:rPr>
        <w:t>minimum</w:t>
      </w:r>
      <w:r w:rsidRPr="00F03204">
        <w:rPr>
          <w:rFonts w:ascii="Arial" w:hAnsi="Arial" w:cs="Arial"/>
          <w:sz w:val="22"/>
          <w:szCs w:val="22"/>
        </w:rPr>
        <w:t xml:space="preserve"> and </w:t>
      </w:r>
      <w:r w:rsidRPr="00F03204">
        <w:rPr>
          <w:rFonts w:ascii="Arial" w:hAnsi="Arial" w:cs="Arial"/>
          <w:b/>
          <w:bCs/>
          <w:sz w:val="22"/>
          <w:szCs w:val="22"/>
        </w:rPr>
        <w:t>maximum</w:t>
      </w:r>
      <w:r w:rsidRPr="00F03204">
        <w:rPr>
          <w:rFonts w:ascii="Arial" w:hAnsi="Arial" w:cs="Arial"/>
          <w:sz w:val="22"/>
          <w:szCs w:val="22"/>
        </w:rPr>
        <w:t xml:space="preserve"> temperature thresholds, indicating widespread intensification of surface heating over the eight-year period.</w:t>
      </w:r>
    </w:p>
    <w:p w14:paraId="7929BE88" w14:textId="77777777" w:rsidR="00741868" w:rsidRPr="00F03204" w:rsidRDefault="00741868" w:rsidP="00AB3D00">
      <w:pPr>
        <w:jc w:val="both"/>
        <w:rPr>
          <w:rFonts w:ascii="Arial" w:hAnsi="Arial" w:cs="Arial"/>
          <w:sz w:val="22"/>
          <w:szCs w:val="22"/>
        </w:rPr>
      </w:pPr>
    </w:p>
    <w:p w14:paraId="08A661C3" w14:textId="3E0C49CC" w:rsidR="001B1BD9" w:rsidRPr="00F03204" w:rsidRDefault="001B1BD9" w:rsidP="00AB3D00">
      <w:pPr>
        <w:jc w:val="both"/>
        <w:rPr>
          <w:rFonts w:ascii="Arial" w:hAnsi="Arial" w:cs="Arial"/>
          <w:sz w:val="22"/>
          <w:szCs w:val="22"/>
        </w:rPr>
      </w:pPr>
      <w:r w:rsidRPr="00F03204">
        <w:rPr>
          <w:rFonts w:ascii="Arial" w:hAnsi="Arial" w:cs="Arial"/>
          <w:noProof/>
          <w:sz w:val="22"/>
          <w:szCs w:val="22"/>
        </w:rPr>
        <w:lastRenderedPageBreak/>
        <w:drawing>
          <wp:inline distT="0" distB="0" distL="0" distR="0" wp14:anchorId="26E4D126" wp14:editId="65D92DDC">
            <wp:extent cx="5684520" cy="4019247"/>
            <wp:effectExtent l="228600" t="228600" r="220980" b="229235"/>
            <wp:docPr id="1221541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41349" name="Picture 12215413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7906" cy="402164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4A6038F" w14:textId="7877FCC9" w:rsidR="00F04EE8" w:rsidRPr="00F03204" w:rsidRDefault="00250F36" w:rsidP="00AB3D00">
      <w:pPr>
        <w:jc w:val="both"/>
        <w:rPr>
          <w:rFonts w:ascii="Arial" w:hAnsi="Arial" w:cs="Arial"/>
          <w:sz w:val="22"/>
          <w:szCs w:val="22"/>
        </w:rPr>
      </w:pPr>
      <w:r w:rsidRPr="00F03204">
        <w:rPr>
          <w:rFonts w:ascii="Arial" w:hAnsi="Arial" w:cs="Arial"/>
          <w:noProof/>
          <w:sz w:val="22"/>
          <w:szCs w:val="22"/>
        </w:rPr>
        <mc:AlternateContent>
          <mc:Choice Requires="wps">
            <w:drawing>
              <wp:anchor distT="0" distB="0" distL="114300" distR="114300" simplePos="0" relativeHeight="251663360" behindDoc="0" locked="0" layoutInCell="1" allowOverlap="1" wp14:anchorId="09D2AC01" wp14:editId="5E729995">
                <wp:simplePos x="0" y="0"/>
                <wp:positionH relativeFrom="column">
                  <wp:posOffset>1185110</wp:posOffset>
                </wp:positionH>
                <wp:positionV relativeFrom="paragraph">
                  <wp:posOffset>4345</wp:posOffset>
                </wp:positionV>
                <wp:extent cx="4355431" cy="358140"/>
                <wp:effectExtent l="0" t="0" r="7620" b="3810"/>
                <wp:wrapNone/>
                <wp:docPr id="599786411" name="Rectangle 6"/>
                <wp:cNvGraphicFramePr/>
                <a:graphic xmlns:a="http://schemas.openxmlformats.org/drawingml/2006/main">
                  <a:graphicData uri="http://schemas.microsoft.com/office/word/2010/wordprocessingShape">
                    <wps:wsp>
                      <wps:cNvSpPr/>
                      <wps:spPr>
                        <a:xfrm>
                          <a:off x="0" y="0"/>
                          <a:ext cx="4355431" cy="358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258104" w14:textId="7898603A" w:rsidR="001B1BD9" w:rsidRPr="00A61353" w:rsidRDefault="003B7EB4" w:rsidP="001B1BD9">
                            <w:pPr>
                              <w:jc w:val="center"/>
                              <w:rPr>
                                <w:rFonts w:ascii="Times New Roman" w:hAnsi="Times New Roman" w:cs="Times New Roman"/>
                                <w:b/>
                                <w:bCs/>
                              </w:rPr>
                            </w:pPr>
                            <w:r>
                              <w:rPr>
                                <w:rFonts w:ascii="Times New Roman" w:hAnsi="Times New Roman" w:cs="Times New Roman"/>
                                <w:b/>
                                <w:bCs/>
                              </w:rPr>
                              <w:t>Figure 8</w:t>
                            </w:r>
                            <w:r w:rsidR="00250F36" w:rsidRPr="00A61353">
                              <w:rPr>
                                <w:rFonts w:ascii="Times New Roman" w:hAnsi="Times New Roman" w:cs="Times New Roman"/>
                                <w:b/>
                                <w:bCs/>
                              </w:rPr>
                              <w:t xml:space="preserve">: </w:t>
                            </w:r>
                            <w:r w:rsidR="00A61353" w:rsidRPr="00A61353">
                              <w:rPr>
                                <w:rFonts w:ascii="Times New Roman" w:hAnsi="Times New Roman" w:cs="Times New Roman"/>
                                <w:b/>
                                <w:bCs/>
                              </w:rPr>
                              <w:t>Comparison of LST in KMA 2016-2024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2AC01" id="_x0000_s1028" style="position:absolute;left:0;text-align:left;margin-left:93.3pt;margin-top:.35pt;width:342.95pt;height:28.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" fillcolor="white [3201]" stroked="f" strokeweight="1pt">
                <v:textbox>
                  <w:txbxContent>
                    <w:p w14:paraId="0E258104" w14:textId="7898603A" w:rsidR="001B1BD9" w:rsidRPr="00A61353" w:rsidRDefault="003B7EB4" w:rsidP="001B1BD9">
                      <w:pPr>
                        <w:jc w:val="center"/>
                        <w:rPr>
                          <w:rFonts w:ascii="Times New Roman" w:hAnsi="Times New Roman" w:cs="Times New Roman"/>
                          <w:b/>
                          <w:bCs/>
                        </w:rPr>
                      </w:pPr>
                      <w:r>
                        <w:rPr>
                          <w:rFonts w:ascii="Times New Roman" w:hAnsi="Times New Roman" w:cs="Times New Roman"/>
                          <w:b/>
                          <w:bCs/>
                        </w:rPr>
                        <w:t>Figure 8</w:t>
                      </w:r>
                      <w:r w:rsidR="00250F36" w:rsidRPr="00A61353">
                        <w:rPr>
                          <w:rFonts w:ascii="Times New Roman" w:hAnsi="Times New Roman" w:cs="Times New Roman"/>
                          <w:b/>
                          <w:bCs/>
                        </w:rPr>
                        <w:t xml:space="preserve">: </w:t>
                      </w:r>
                      <w:r w:rsidR="00A61353" w:rsidRPr="00A61353">
                        <w:rPr>
                          <w:rFonts w:ascii="Times New Roman" w:hAnsi="Times New Roman" w:cs="Times New Roman"/>
                          <w:b/>
                          <w:bCs/>
                        </w:rPr>
                        <w:t>Comparison of LST in KMA 2016-2024</w:t>
                      </w:r>
                    </w:p>
                  </w:txbxContent>
                </v:textbox>
              </v:rect>
            </w:pict>
          </mc:Fallback>
        </mc:AlternateContent>
      </w:r>
    </w:p>
    <w:p w14:paraId="4011848E" w14:textId="77777777" w:rsidR="00F04EE8" w:rsidRPr="00F03204" w:rsidRDefault="00F04EE8" w:rsidP="00AB3D00">
      <w:pPr>
        <w:jc w:val="both"/>
        <w:rPr>
          <w:rFonts w:ascii="Arial" w:hAnsi="Arial" w:cs="Arial"/>
          <w:sz w:val="22"/>
          <w:szCs w:val="22"/>
        </w:rPr>
      </w:pPr>
    </w:p>
    <w:p w14:paraId="51C6CC80" w14:textId="77777777" w:rsidR="001B1BD9" w:rsidRPr="00F03204" w:rsidRDefault="001B1BD9" w:rsidP="00AB3D00">
      <w:pPr>
        <w:jc w:val="both"/>
        <w:rPr>
          <w:rFonts w:ascii="Arial" w:hAnsi="Arial" w:cs="Arial"/>
          <w:sz w:val="22"/>
          <w:szCs w:val="22"/>
        </w:rPr>
      </w:pPr>
      <w:r w:rsidRPr="00F03204">
        <w:rPr>
          <w:rFonts w:ascii="Arial" w:hAnsi="Arial" w:cs="Arial"/>
          <w:sz w:val="22"/>
          <w:szCs w:val="22"/>
        </w:rPr>
        <w:t xml:space="preserve">Spatially, hotter zones (red and orange regions) became more concentrated and widespread in 2024, particularly across southern and central KMA—areas that also showed </w:t>
      </w:r>
      <w:r w:rsidRPr="00F03204">
        <w:rPr>
          <w:rFonts w:ascii="Arial" w:hAnsi="Arial" w:cs="Arial"/>
          <w:b/>
          <w:bCs/>
          <w:sz w:val="22"/>
          <w:szCs w:val="22"/>
        </w:rPr>
        <w:t>high NDBI values</w:t>
      </w:r>
      <w:r w:rsidRPr="00F03204">
        <w:rPr>
          <w:rFonts w:ascii="Arial" w:hAnsi="Arial" w:cs="Arial"/>
          <w:sz w:val="22"/>
          <w:szCs w:val="22"/>
        </w:rPr>
        <w:t xml:space="preserve"> and </w:t>
      </w:r>
      <w:r w:rsidRPr="00F03204">
        <w:rPr>
          <w:rFonts w:ascii="Arial" w:hAnsi="Arial" w:cs="Arial"/>
          <w:b/>
          <w:bCs/>
          <w:sz w:val="22"/>
          <w:szCs w:val="22"/>
        </w:rPr>
        <w:t>reduced NDVI/NDWI</w:t>
      </w:r>
      <w:r w:rsidRPr="00F03204">
        <w:rPr>
          <w:rFonts w:ascii="Arial" w:hAnsi="Arial" w:cs="Arial"/>
          <w:sz w:val="22"/>
          <w:szCs w:val="22"/>
        </w:rPr>
        <w:t xml:space="preserve"> signatures. This suggests a direct correspondence between </w:t>
      </w:r>
      <w:r w:rsidRPr="00F03204">
        <w:rPr>
          <w:rFonts w:ascii="Arial" w:hAnsi="Arial" w:cs="Arial"/>
          <w:b/>
          <w:bCs/>
          <w:sz w:val="22"/>
          <w:szCs w:val="22"/>
        </w:rPr>
        <w:t>urban expansion and LST rise</w:t>
      </w:r>
      <w:r w:rsidRPr="00F03204">
        <w:rPr>
          <w:rFonts w:ascii="Arial" w:hAnsi="Arial" w:cs="Arial"/>
          <w:sz w:val="22"/>
          <w:szCs w:val="22"/>
        </w:rPr>
        <w:t xml:space="preserve">, consistent with the </w:t>
      </w:r>
      <w:r w:rsidRPr="00F03204">
        <w:rPr>
          <w:rFonts w:ascii="Arial" w:hAnsi="Arial" w:cs="Arial"/>
          <w:b/>
          <w:bCs/>
          <w:sz w:val="22"/>
          <w:szCs w:val="22"/>
        </w:rPr>
        <w:t>urban heat island (UHI)</w:t>
      </w:r>
      <w:r w:rsidRPr="00F03204">
        <w:rPr>
          <w:rFonts w:ascii="Arial" w:hAnsi="Arial" w:cs="Arial"/>
          <w:sz w:val="22"/>
          <w:szCs w:val="22"/>
        </w:rPr>
        <w:t xml:space="preserve"> effect.</w:t>
      </w:r>
    </w:p>
    <w:p w14:paraId="52A033D9" w14:textId="6E2A530F" w:rsidR="001B1BD9" w:rsidRPr="00F03204" w:rsidRDefault="001B1BD9" w:rsidP="00AB3D00">
      <w:pPr>
        <w:jc w:val="both"/>
        <w:rPr>
          <w:rFonts w:ascii="Arial" w:hAnsi="Arial" w:cs="Arial"/>
          <w:sz w:val="22"/>
          <w:szCs w:val="22"/>
        </w:rPr>
      </w:pPr>
    </w:p>
    <w:p w14:paraId="66F1F481" w14:textId="77777777" w:rsidR="001B1BD9" w:rsidRPr="00F03204" w:rsidRDefault="001B1BD9" w:rsidP="00AB3D00">
      <w:pPr>
        <w:pStyle w:val="Heading2"/>
        <w:jc w:val="both"/>
        <w:rPr>
          <w:rFonts w:ascii="Arial" w:hAnsi="Arial" w:cs="Arial"/>
          <w:color w:val="auto"/>
          <w:sz w:val="22"/>
          <w:szCs w:val="22"/>
        </w:rPr>
      </w:pPr>
      <w:r w:rsidRPr="00F03204">
        <w:rPr>
          <w:rFonts w:ascii="Arial" w:hAnsi="Arial" w:cs="Arial"/>
          <w:color w:val="auto"/>
          <w:sz w:val="22"/>
          <w:szCs w:val="22"/>
        </w:rPr>
        <w:t>Validation with Built-Up Area (NDBI &amp; LULC)</w:t>
      </w:r>
    </w:p>
    <w:p w14:paraId="6B3DEF8C" w14:textId="77777777" w:rsidR="001B1BD9" w:rsidRPr="00F03204" w:rsidRDefault="001B1BD9" w:rsidP="00AB3D00">
      <w:pPr>
        <w:jc w:val="both"/>
        <w:rPr>
          <w:rFonts w:ascii="Arial" w:hAnsi="Arial" w:cs="Arial"/>
          <w:sz w:val="22"/>
          <w:szCs w:val="22"/>
        </w:rPr>
      </w:pPr>
      <w:r w:rsidRPr="00F03204">
        <w:rPr>
          <w:rFonts w:ascii="Arial" w:hAnsi="Arial" w:cs="Arial"/>
          <w:sz w:val="22"/>
          <w:szCs w:val="22"/>
        </w:rPr>
        <w:t>A significant validation of the LST pattern comes from its correlation with built-up indicators:</w:t>
      </w:r>
    </w:p>
    <w:p w14:paraId="421BC346" w14:textId="77777777" w:rsidR="001B1BD9" w:rsidRPr="00F03204" w:rsidRDefault="001B1BD9" w:rsidP="00AB3D00">
      <w:pPr>
        <w:numPr>
          <w:ilvl w:val="0"/>
          <w:numId w:val="11"/>
        </w:numPr>
        <w:jc w:val="both"/>
        <w:rPr>
          <w:rFonts w:ascii="Arial" w:hAnsi="Arial" w:cs="Arial"/>
          <w:sz w:val="22"/>
          <w:szCs w:val="22"/>
        </w:rPr>
      </w:pPr>
      <w:r w:rsidRPr="00F03204">
        <w:rPr>
          <w:rFonts w:ascii="Arial" w:hAnsi="Arial" w:cs="Arial"/>
          <w:b/>
          <w:bCs/>
          <w:sz w:val="22"/>
          <w:szCs w:val="22"/>
        </w:rPr>
        <w:t>NDBI</w:t>
      </w:r>
      <w:r w:rsidRPr="00F03204">
        <w:rPr>
          <w:rFonts w:ascii="Arial" w:hAnsi="Arial" w:cs="Arial"/>
          <w:sz w:val="22"/>
          <w:szCs w:val="22"/>
        </w:rPr>
        <w:t xml:space="preserve">, which rose from </w:t>
      </w:r>
      <w:r w:rsidRPr="00F03204">
        <w:rPr>
          <w:rFonts w:ascii="Arial" w:hAnsi="Arial" w:cs="Arial"/>
          <w:b/>
          <w:bCs/>
          <w:sz w:val="22"/>
          <w:szCs w:val="22"/>
        </w:rPr>
        <w:t>0.2696 to 0.2964</w:t>
      </w:r>
      <w:r w:rsidRPr="00F03204">
        <w:rPr>
          <w:rFonts w:ascii="Arial" w:hAnsi="Arial" w:cs="Arial"/>
          <w:sz w:val="22"/>
          <w:szCs w:val="22"/>
        </w:rPr>
        <w:t>, signals increasing impervious surfaces that retain and radiate more heat.</w:t>
      </w:r>
    </w:p>
    <w:p w14:paraId="3E1F202F" w14:textId="68AC0A73" w:rsidR="001B1BD9" w:rsidRPr="00F03204" w:rsidRDefault="001B1BD9" w:rsidP="00AB3D00">
      <w:pPr>
        <w:numPr>
          <w:ilvl w:val="0"/>
          <w:numId w:val="11"/>
        </w:numPr>
        <w:jc w:val="both"/>
        <w:rPr>
          <w:rFonts w:ascii="Arial" w:hAnsi="Arial" w:cs="Arial"/>
          <w:sz w:val="22"/>
          <w:szCs w:val="22"/>
        </w:rPr>
      </w:pPr>
      <w:r w:rsidRPr="00F03204">
        <w:rPr>
          <w:rFonts w:ascii="Arial" w:hAnsi="Arial" w:cs="Arial"/>
          <w:b/>
          <w:bCs/>
          <w:sz w:val="22"/>
          <w:szCs w:val="22"/>
        </w:rPr>
        <w:t>Barren land</w:t>
      </w:r>
      <w:r w:rsidRPr="00F03204">
        <w:rPr>
          <w:rFonts w:ascii="Arial" w:hAnsi="Arial" w:cs="Arial"/>
          <w:sz w:val="22"/>
          <w:szCs w:val="22"/>
        </w:rPr>
        <w:t xml:space="preserve">, which expanded by </w:t>
      </w:r>
      <w:r w:rsidRPr="00F03204">
        <w:rPr>
          <w:rFonts w:ascii="Arial" w:hAnsi="Arial" w:cs="Arial"/>
          <w:b/>
          <w:bCs/>
          <w:sz w:val="22"/>
          <w:szCs w:val="22"/>
        </w:rPr>
        <w:t>+</w:t>
      </w:r>
      <w:r w:rsidR="00B36647" w:rsidRPr="00F03204">
        <w:rPr>
          <w:rFonts w:ascii="Arial" w:hAnsi="Arial" w:cs="Arial"/>
          <w:b/>
          <w:bCs/>
          <w:sz w:val="22"/>
          <w:szCs w:val="22"/>
        </w:rPr>
        <w:t>33</w:t>
      </w:r>
      <w:r w:rsidRPr="00F03204">
        <w:rPr>
          <w:rFonts w:ascii="Arial" w:hAnsi="Arial" w:cs="Arial"/>
          <w:b/>
          <w:bCs/>
          <w:sz w:val="22"/>
          <w:szCs w:val="22"/>
        </w:rPr>
        <w:t>km²</w:t>
      </w:r>
      <w:r w:rsidRPr="00F03204">
        <w:rPr>
          <w:rFonts w:ascii="Arial" w:hAnsi="Arial" w:cs="Arial"/>
          <w:sz w:val="22"/>
          <w:szCs w:val="22"/>
        </w:rPr>
        <w:t>, also contributes to higher LST due to low albedo and poor evapotranspiration.</w:t>
      </w:r>
    </w:p>
    <w:p w14:paraId="4B22770D" w14:textId="77777777" w:rsidR="001B1BD9" w:rsidRPr="00F03204" w:rsidRDefault="001B1BD9" w:rsidP="00AB3D00">
      <w:pPr>
        <w:numPr>
          <w:ilvl w:val="0"/>
          <w:numId w:val="11"/>
        </w:numPr>
        <w:jc w:val="both"/>
        <w:rPr>
          <w:rFonts w:ascii="Arial" w:hAnsi="Arial" w:cs="Arial"/>
          <w:sz w:val="22"/>
          <w:szCs w:val="22"/>
        </w:rPr>
      </w:pPr>
      <w:r w:rsidRPr="00F03204">
        <w:rPr>
          <w:rFonts w:ascii="Arial" w:hAnsi="Arial" w:cs="Arial"/>
          <w:sz w:val="22"/>
          <w:szCs w:val="22"/>
        </w:rPr>
        <w:lastRenderedPageBreak/>
        <w:t xml:space="preserve">The </w:t>
      </w:r>
      <w:r w:rsidRPr="00F03204">
        <w:rPr>
          <w:rFonts w:ascii="Arial" w:hAnsi="Arial" w:cs="Arial"/>
          <w:b/>
          <w:bCs/>
          <w:sz w:val="22"/>
          <w:szCs w:val="22"/>
        </w:rPr>
        <w:t>“Developed” class</w:t>
      </w:r>
      <w:r w:rsidRPr="00F03204">
        <w:rPr>
          <w:rFonts w:ascii="Arial" w:hAnsi="Arial" w:cs="Arial"/>
          <w:sz w:val="22"/>
          <w:szCs w:val="22"/>
        </w:rPr>
        <w:t xml:space="preserve"> decreased in the classified LULC output, but the barren class increase suggests that impervious or transitional land is still expanding, explaining the thermal signal rise despite classification discrepancies.</w:t>
      </w:r>
    </w:p>
    <w:p w14:paraId="043E0E9C" w14:textId="77777777" w:rsidR="001B1BD9" w:rsidRPr="00F03204" w:rsidRDefault="001B1BD9" w:rsidP="00AB3D00">
      <w:pPr>
        <w:jc w:val="both"/>
        <w:rPr>
          <w:rFonts w:ascii="Arial" w:hAnsi="Arial" w:cs="Arial"/>
          <w:sz w:val="22"/>
          <w:szCs w:val="22"/>
        </w:rPr>
      </w:pPr>
      <w:r w:rsidRPr="00F03204">
        <w:rPr>
          <w:rFonts w:ascii="Arial" w:hAnsi="Arial" w:cs="Arial"/>
          <w:sz w:val="22"/>
          <w:szCs w:val="22"/>
        </w:rPr>
        <w:t xml:space="preserve">This aligns with observed LST elevations in MODIS output, confirming that </w:t>
      </w:r>
      <w:r w:rsidRPr="00F03204">
        <w:rPr>
          <w:rFonts w:ascii="Arial" w:hAnsi="Arial" w:cs="Arial"/>
          <w:b/>
          <w:bCs/>
          <w:sz w:val="22"/>
          <w:szCs w:val="22"/>
        </w:rPr>
        <w:t>LST increases are more sensitive to surface characteristics than formal land use classes</w:t>
      </w:r>
      <w:r w:rsidRPr="00F03204">
        <w:rPr>
          <w:rFonts w:ascii="Arial" w:hAnsi="Arial" w:cs="Arial"/>
          <w:sz w:val="22"/>
          <w:szCs w:val="22"/>
        </w:rPr>
        <w:t>. In this context, MODIS LST offers high-temporal resolution validation of surface conditions, bridging spectral index analysis with thermal dynamics.</w:t>
      </w:r>
    </w:p>
    <w:p w14:paraId="5BC324D4" w14:textId="0B7D9E83" w:rsidR="001B1BD9" w:rsidRPr="00F03204" w:rsidRDefault="001B1BD9" w:rsidP="00AB3D00">
      <w:pPr>
        <w:jc w:val="both"/>
        <w:rPr>
          <w:rFonts w:ascii="Arial" w:hAnsi="Arial" w:cs="Arial"/>
          <w:sz w:val="22"/>
          <w:szCs w:val="22"/>
        </w:rPr>
      </w:pPr>
    </w:p>
    <w:p w14:paraId="6868AEA8" w14:textId="77777777" w:rsidR="001B1BD9" w:rsidRPr="00F03204" w:rsidRDefault="001B1BD9" w:rsidP="00AB3D00">
      <w:pPr>
        <w:jc w:val="both"/>
        <w:rPr>
          <w:rFonts w:ascii="Arial" w:hAnsi="Arial" w:cs="Arial"/>
          <w:b/>
          <w:bCs/>
          <w:sz w:val="22"/>
          <w:szCs w:val="22"/>
        </w:rPr>
      </w:pPr>
      <w:r w:rsidRPr="00F03204">
        <w:rPr>
          <w:rFonts w:ascii="Arial" w:hAnsi="Arial" w:cs="Arial"/>
          <w:b/>
          <w:bCs/>
          <w:sz w:val="22"/>
          <w:szCs w:val="22"/>
        </w:rPr>
        <w:t>LST–Index Correlation Summary</w:t>
      </w:r>
    </w:p>
    <w:tbl>
      <w:tblPr>
        <w:tblStyle w:val="GridTable4-Accent5"/>
        <w:tblW w:w="0" w:type="auto"/>
        <w:tblLook w:val="04A0" w:firstRow="1" w:lastRow="0" w:firstColumn="1" w:lastColumn="0" w:noHBand="0" w:noVBand="1"/>
      </w:tblPr>
      <w:tblGrid>
        <w:gridCol w:w="1570"/>
        <w:gridCol w:w="1929"/>
        <w:gridCol w:w="1765"/>
        <w:gridCol w:w="4086"/>
      </w:tblGrid>
      <w:tr w:rsidR="00AB3D00" w:rsidRPr="00F03204" w14:paraId="3F1DBAFE" w14:textId="77777777" w:rsidTr="001B1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01547A" w14:textId="20AAF601" w:rsidR="001B1BD9" w:rsidRPr="00F03204" w:rsidRDefault="001B1BD9" w:rsidP="00AB3D00">
            <w:pPr>
              <w:spacing w:after="160" w:line="278" w:lineRule="auto"/>
              <w:jc w:val="both"/>
              <w:rPr>
                <w:rFonts w:ascii="Arial" w:hAnsi="Arial" w:cs="Arial"/>
                <w:color w:val="auto"/>
                <w:sz w:val="22"/>
                <w:szCs w:val="22"/>
              </w:rPr>
            </w:pPr>
            <w:r w:rsidRPr="00F03204">
              <w:rPr>
                <w:rFonts w:ascii="Arial" w:hAnsi="Arial" w:cs="Arial"/>
                <w:color w:val="auto"/>
                <w:sz w:val="22"/>
                <w:szCs w:val="22"/>
              </w:rPr>
              <w:t>Variable</w:t>
            </w:r>
          </w:p>
        </w:tc>
        <w:tc>
          <w:tcPr>
            <w:tcW w:w="0" w:type="auto"/>
            <w:hideMark/>
          </w:tcPr>
          <w:p w14:paraId="35127FF2" w14:textId="77777777" w:rsidR="001B1BD9" w:rsidRPr="00F03204" w:rsidRDefault="001B1BD9" w:rsidP="00AB3D00">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F03204">
              <w:rPr>
                <w:rFonts w:ascii="Arial" w:hAnsi="Arial" w:cs="Arial"/>
                <w:color w:val="auto"/>
                <w:sz w:val="22"/>
                <w:szCs w:val="22"/>
              </w:rPr>
              <w:t>Correlation with LST (r)</w:t>
            </w:r>
          </w:p>
        </w:tc>
        <w:tc>
          <w:tcPr>
            <w:tcW w:w="0" w:type="auto"/>
            <w:hideMark/>
          </w:tcPr>
          <w:p w14:paraId="21C34686" w14:textId="77777777" w:rsidR="001B1BD9" w:rsidRPr="00F03204" w:rsidRDefault="001B1BD9" w:rsidP="00AB3D00">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F03204">
              <w:rPr>
                <w:rFonts w:ascii="Arial" w:hAnsi="Arial" w:cs="Arial"/>
                <w:color w:val="auto"/>
                <w:sz w:val="22"/>
                <w:szCs w:val="22"/>
              </w:rPr>
              <w:t>Relationship</w:t>
            </w:r>
          </w:p>
        </w:tc>
        <w:tc>
          <w:tcPr>
            <w:tcW w:w="0" w:type="auto"/>
            <w:hideMark/>
          </w:tcPr>
          <w:p w14:paraId="5B7553D3" w14:textId="77777777" w:rsidR="001B1BD9" w:rsidRPr="00F03204" w:rsidRDefault="001B1BD9" w:rsidP="00AB3D00">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F03204">
              <w:rPr>
                <w:rFonts w:ascii="Arial" w:hAnsi="Arial" w:cs="Arial"/>
                <w:color w:val="auto"/>
                <w:sz w:val="22"/>
                <w:szCs w:val="22"/>
              </w:rPr>
              <w:t>Explanation</w:t>
            </w:r>
          </w:p>
        </w:tc>
      </w:tr>
      <w:tr w:rsidR="00AB3D00" w:rsidRPr="00F03204" w14:paraId="3D270F51" w14:textId="77777777" w:rsidTr="001B1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9B66FB" w14:textId="74EB8FCF" w:rsidR="001B1BD9" w:rsidRPr="00F03204" w:rsidRDefault="001B1BD9" w:rsidP="00AB3D00">
            <w:pPr>
              <w:spacing w:after="160" w:line="278" w:lineRule="auto"/>
              <w:jc w:val="both"/>
              <w:rPr>
                <w:rFonts w:ascii="Arial" w:hAnsi="Arial" w:cs="Arial"/>
                <w:sz w:val="22"/>
                <w:szCs w:val="22"/>
              </w:rPr>
            </w:pPr>
            <w:r w:rsidRPr="00F03204">
              <w:rPr>
                <w:rFonts w:ascii="Arial" w:hAnsi="Arial" w:cs="Arial"/>
                <w:sz w:val="22"/>
                <w:szCs w:val="22"/>
              </w:rPr>
              <w:t>NDVI</w:t>
            </w:r>
          </w:p>
        </w:tc>
        <w:tc>
          <w:tcPr>
            <w:tcW w:w="0" w:type="auto"/>
            <w:hideMark/>
          </w:tcPr>
          <w:p w14:paraId="4ECA9AAD" w14:textId="77777777" w:rsidR="001B1BD9" w:rsidRPr="00F03204" w:rsidRDefault="001B1BD9" w:rsidP="00AB3D00">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–0.5</w:t>
            </w:r>
          </w:p>
        </w:tc>
        <w:tc>
          <w:tcPr>
            <w:tcW w:w="0" w:type="auto"/>
            <w:hideMark/>
          </w:tcPr>
          <w:p w14:paraId="4D9CC37A" w14:textId="77777777" w:rsidR="001B1BD9" w:rsidRPr="00F03204" w:rsidRDefault="001B1BD9" w:rsidP="00AB3D00">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Moderate Negative</w:t>
            </w:r>
          </w:p>
        </w:tc>
        <w:tc>
          <w:tcPr>
            <w:tcW w:w="0" w:type="auto"/>
            <w:hideMark/>
          </w:tcPr>
          <w:p w14:paraId="1203F6FD" w14:textId="77777777" w:rsidR="001B1BD9" w:rsidRPr="00F03204" w:rsidRDefault="001B1BD9" w:rsidP="00AB3D00">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Vegetation reduces surface temperature through evapotranspiration</w:t>
            </w:r>
          </w:p>
        </w:tc>
      </w:tr>
      <w:tr w:rsidR="00AB3D00" w:rsidRPr="00F03204" w14:paraId="559AE8C5" w14:textId="77777777" w:rsidTr="001B1BD9">
        <w:tc>
          <w:tcPr>
            <w:cnfStyle w:val="001000000000" w:firstRow="0" w:lastRow="0" w:firstColumn="1" w:lastColumn="0" w:oddVBand="0" w:evenVBand="0" w:oddHBand="0" w:evenHBand="0" w:firstRowFirstColumn="0" w:firstRowLastColumn="0" w:lastRowFirstColumn="0" w:lastRowLastColumn="0"/>
            <w:tcW w:w="0" w:type="auto"/>
            <w:hideMark/>
          </w:tcPr>
          <w:p w14:paraId="1E83743D" w14:textId="2ADA0D69" w:rsidR="001B1BD9" w:rsidRPr="00F03204" w:rsidRDefault="001B1BD9" w:rsidP="00AB3D00">
            <w:pPr>
              <w:spacing w:after="160" w:line="278" w:lineRule="auto"/>
              <w:jc w:val="both"/>
              <w:rPr>
                <w:rFonts w:ascii="Arial" w:hAnsi="Arial" w:cs="Arial"/>
                <w:sz w:val="22"/>
                <w:szCs w:val="22"/>
              </w:rPr>
            </w:pPr>
            <w:r w:rsidRPr="00F03204">
              <w:rPr>
                <w:rFonts w:ascii="Arial" w:hAnsi="Arial" w:cs="Arial"/>
                <w:sz w:val="22"/>
                <w:szCs w:val="22"/>
              </w:rPr>
              <w:t>NDBI</w:t>
            </w:r>
          </w:p>
        </w:tc>
        <w:tc>
          <w:tcPr>
            <w:tcW w:w="0" w:type="auto"/>
            <w:hideMark/>
          </w:tcPr>
          <w:p w14:paraId="340F0B86" w14:textId="77777777" w:rsidR="001B1BD9" w:rsidRPr="00F03204" w:rsidRDefault="001B1BD9" w:rsidP="00AB3D00">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+0.6</w:t>
            </w:r>
          </w:p>
        </w:tc>
        <w:tc>
          <w:tcPr>
            <w:tcW w:w="0" w:type="auto"/>
            <w:hideMark/>
          </w:tcPr>
          <w:p w14:paraId="4039D278" w14:textId="77777777" w:rsidR="001B1BD9" w:rsidRPr="00F03204" w:rsidRDefault="001B1BD9" w:rsidP="00AB3D00">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Strong Positive</w:t>
            </w:r>
          </w:p>
        </w:tc>
        <w:tc>
          <w:tcPr>
            <w:tcW w:w="0" w:type="auto"/>
            <w:hideMark/>
          </w:tcPr>
          <w:p w14:paraId="054C27AE" w14:textId="77777777" w:rsidR="001B1BD9" w:rsidRPr="00F03204" w:rsidRDefault="001B1BD9" w:rsidP="00AB3D00">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Built-up areas contribute to heat accumulation</w:t>
            </w:r>
          </w:p>
        </w:tc>
      </w:tr>
      <w:tr w:rsidR="00AB3D00" w:rsidRPr="00F03204" w14:paraId="3564BB06" w14:textId="77777777" w:rsidTr="001B1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E0AE00" w14:textId="5EA00DF0" w:rsidR="001B1BD9" w:rsidRPr="00F03204" w:rsidRDefault="001B1BD9" w:rsidP="00AB3D00">
            <w:pPr>
              <w:spacing w:after="160" w:line="278" w:lineRule="auto"/>
              <w:jc w:val="both"/>
              <w:rPr>
                <w:rFonts w:ascii="Arial" w:hAnsi="Arial" w:cs="Arial"/>
                <w:sz w:val="22"/>
                <w:szCs w:val="22"/>
              </w:rPr>
            </w:pPr>
            <w:r w:rsidRPr="00F03204">
              <w:rPr>
                <w:rFonts w:ascii="Arial" w:hAnsi="Arial" w:cs="Arial"/>
                <w:sz w:val="22"/>
                <w:szCs w:val="22"/>
              </w:rPr>
              <w:t>NDWI</w:t>
            </w:r>
          </w:p>
        </w:tc>
        <w:tc>
          <w:tcPr>
            <w:tcW w:w="0" w:type="auto"/>
            <w:hideMark/>
          </w:tcPr>
          <w:p w14:paraId="70800712" w14:textId="032C4ABD" w:rsidR="001B1BD9" w:rsidRPr="00F03204" w:rsidRDefault="001B1BD9" w:rsidP="00AB3D00">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–0.6</w:t>
            </w:r>
          </w:p>
        </w:tc>
        <w:tc>
          <w:tcPr>
            <w:tcW w:w="0" w:type="auto"/>
            <w:hideMark/>
          </w:tcPr>
          <w:p w14:paraId="7A9C2BE8" w14:textId="77777777" w:rsidR="001B1BD9" w:rsidRPr="00F03204" w:rsidRDefault="001B1BD9" w:rsidP="00AB3D00">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Strong Negative</w:t>
            </w:r>
          </w:p>
        </w:tc>
        <w:tc>
          <w:tcPr>
            <w:tcW w:w="0" w:type="auto"/>
            <w:hideMark/>
          </w:tcPr>
          <w:p w14:paraId="544D528D" w14:textId="77777777" w:rsidR="001B1BD9" w:rsidRPr="00F03204" w:rsidRDefault="001B1BD9" w:rsidP="00AB3D00">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03204">
              <w:rPr>
                <w:rFonts w:ascii="Arial" w:hAnsi="Arial" w:cs="Arial"/>
                <w:sz w:val="22"/>
                <w:szCs w:val="22"/>
              </w:rPr>
              <w:t>Water bodies provide thermal buffering and microclimate moderation</w:t>
            </w:r>
          </w:p>
        </w:tc>
      </w:tr>
      <w:tr w:rsidR="00AB3D00" w:rsidRPr="00F03204" w14:paraId="55FD893E" w14:textId="77777777" w:rsidTr="001B1BD9">
        <w:tc>
          <w:tcPr>
            <w:cnfStyle w:val="001000000000" w:firstRow="0" w:lastRow="0" w:firstColumn="1" w:lastColumn="0" w:oddVBand="0" w:evenVBand="0" w:oddHBand="0" w:evenHBand="0" w:firstRowFirstColumn="0" w:firstRowLastColumn="0" w:lastRowFirstColumn="0" w:lastRowLastColumn="0"/>
            <w:tcW w:w="0" w:type="auto"/>
            <w:hideMark/>
          </w:tcPr>
          <w:p w14:paraId="746799D0" w14:textId="5B82E944" w:rsidR="001B1BD9" w:rsidRPr="00F03204" w:rsidRDefault="00F6254F" w:rsidP="00AB3D00">
            <w:pPr>
              <w:spacing w:after="160" w:line="278" w:lineRule="auto"/>
              <w:jc w:val="both"/>
              <w:rPr>
                <w:rFonts w:ascii="Arial" w:hAnsi="Arial" w:cs="Arial"/>
                <w:sz w:val="22"/>
                <w:szCs w:val="22"/>
              </w:rPr>
            </w:pPr>
            <w:r w:rsidRPr="00F03204">
              <w:rPr>
                <w:rFonts w:ascii="Arial" w:hAnsi="Arial" w:cs="Arial"/>
                <w:noProof/>
                <w:sz w:val="22"/>
                <w:szCs w:val="22"/>
              </w:rPr>
              <mc:AlternateContent>
                <mc:Choice Requires="wps">
                  <w:drawing>
                    <wp:anchor distT="0" distB="0" distL="114300" distR="114300" simplePos="0" relativeHeight="251666432" behindDoc="0" locked="0" layoutInCell="1" allowOverlap="1" wp14:anchorId="41EF1C95" wp14:editId="07B70A00">
                      <wp:simplePos x="0" y="0"/>
                      <wp:positionH relativeFrom="column">
                        <wp:posOffset>-53708</wp:posOffset>
                      </wp:positionH>
                      <wp:positionV relativeFrom="paragraph">
                        <wp:posOffset>479659</wp:posOffset>
                      </wp:positionV>
                      <wp:extent cx="3056021" cy="419100"/>
                      <wp:effectExtent l="0" t="0" r="0" b="0"/>
                      <wp:wrapNone/>
                      <wp:docPr id="1767409427" name="Flowchart: Process 8"/>
                      <wp:cNvGraphicFramePr/>
                      <a:graphic xmlns:a="http://schemas.openxmlformats.org/drawingml/2006/main">
                        <a:graphicData uri="http://schemas.microsoft.com/office/word/2010/wordprocessingShape">
                          <wps:wsp>
                            <wps:cNvSpPr/>
                            <wps:spPr>
                              <a:xfrm>
                                <a:off x="0" y="0"/>
                                <a:ext cx="3056021" cy="419100"/>
                              </a:xfrm>
                              <a:prstGeom prst="flowChartProcess">
                                <a:avLst/>
                              </a:prstGeom>
                              <a:ln>
                                <a:noFill/>
                              </a:ln>
                            </wps:spPr>
                            <wps:style>
                              <a:lnRef idx="2">
                                <a:schemeClr val="accent6"/>
                              </a:lnRef>
                              <a:fillRef idx="1">
                                <a:schemeClr val="lt1"/>
                              </a:fillRef>
                              <a:effectRef idx="0">
                                <a:schemeClr val="accent6"/>
                              </a:effectRef>
                              <a:fontRef idx="minor">
                                <a:schemeClr val="dk1"/>
                              </a:fontRef>
                            </wps:style>
                            <wps:txbx>
                              <w:txbxContent>
                                <w:p w14:paraId="39C3505A" w14:textId="77777777" w:rsidR="00F6254F" w:rsidRPr="00F6254F" w:rsidRDefault="00B01F2B" w:rsidP="00F6254F">
                                  <w:pPr>
                                    <w:jc w:val="center"/>
                                    <w:rPr>
                                      <w:rFonts w:ascii="Arial" w:hAnsi="Arial" w:cs="Arial"/>
                                      <w:b/>
                                      <w:bCs/>
                                      <w:sz w:val="22"/>
                                      <w:szCs w:val="22"/>
                                    </w:rPr>
                                  </w:pPr>
                                  <w:r w:rsidRPr="00F6254F">
                                    <w:rPr>
                                      <w:rFonts w:ascii="Times New Roman" w:hAnsi="Times New Roman" w:cs="Times New Roman"/>
                                      <w:b/>
                                      <w:bCs/>
                                    </w:rPr>
                                    <w:t>Table 3</w:t>
                                  </w:r>
                                  <w:r w:rsidR="00F6254F" w:rsidRPr="00F6254F">
                                    <w:rPr>
                                      <w:rFonts w:ascii="Times New Roman" w:hAnsi="Times New Roman" w:cs="Times New Roman"/>
                                      <w:b/>
                                      <w:bCs/>
                                    </w:rPr>
                                    <w:t xml:space="preserve"> </w:t>
                                  </w:r>
                                  <w:r w:rsidR="00F6254F" w:rsidRPr="00F6254F">
                                    <w:rPr>
                                      <w:rFonts w:ascii="Arial" w:hAnsi="Arial" w:cs="Arial"/>
                                      <w:b/>
                                      <w:bCs/>
                                      <w:sz w:val="22"/>
                                      <w:szCs w:val="22"/>
                                    </w:rPr>
                                    <w:t>LST–Index Correlation Summary</w:t>
                                  </w:r>
                                </w:p>
                                <w:p w14:paraId="3BDCC8AF" w14:textId="14EE62DE" w:rsidR="00A26E3A" w:rsidRPr="00A26E3A" w:rsidRDefault="00A26E3A" w:rsidP="00A26E3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EF1C95" id="_x0000_t109" coordsize="21600,21600" o:spt="109" path="m,l,21600r21600,l21600,xe">
                      <v:stroke joinstyle="miter"/>
                      <v:path gradientshapeok="t" o:connecttype="rect"/>
                    </v:shapetype>
                    <v:shape id="Flowchart: Process 8" o:spid="_x0000_s1029" type="#_x0000_t109" style="position:absolute;left:0;text-align:left;margin-left:-4.25pt;margin-top:37.75pt;width:240.65pt;height:3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" fillcolor="white [3201]" stroked="f" strokeweight="1pt">
                      <v:textbox>
                        <w:txbxContent>
                          <w:p w14:paraId="39C3505A" w14:textId="77777777" w:rsidR="00F6254F" w:rsidRPr="00F6254F" w:rsidRDefault="00B01F2B" w:rsidP="00F6254F">
                            <w:pPr>
                              <w:jc w:val="center"/>
                              <w:rPr>
                                <w:rFonts w:ascii="Arial" w:hAnsi="Arial" w:cs="Arial"/>
                                <w:b/>
                                <w:bCs/>
                                <w:sz w:val="22"/>
                                <w:szCs w:val="22"/>
                              </w:rPr>
                            </w:pPr>
                            <w:r w:rsidRPr="00F6254F">
                              <w:rPr>
                                <w:rFonts w:ascii="Times New Roman" w:hAnsi="Times New Roman" w:cs="Times New Roman"/>
                                <w:b/>
                                <w:bCs/>
                              </w:rPr>
                              <w:t>Table 3</w:t>
                            </w:r>
                            <w:r w:rsidR="00F6254F" w:rsidRPr="00F6254F">
                              <w:rPr>
                                <w:rFonts w:ascii="Times New Roman" w:hAnsi="Times New Roman" w:cs="Times New Roman"/>
                                <w:b/>
                                <w:bCs/>
                              </w:rPr>
                              <w:t xml:space="preserve"> </w:t>
                            </w:r>
                            <w:r w:rsidR="00F6254F" w:rsidRPr="00F6254F">
                              <w:rPr>
                                <w:rFonts w:ascii="Arial" w:hAnsi="Arial" w:cs="Arial"/>
                                <w:b/>
                                <w:bCs/>
                                <w:sz w:val="22"/>
                                <w:szCs w:val="22"/>
                              </w:rPr>
                              <w:t>LST–Index Correlation Summary</w:t>
                            </w:r>
                          </w:p>
                          <w:p w14:paraId="3BDCC8AF" w14:textId="14EE62DE" w:rsidR="00A26E3A" w:rsidRPr="00A26E3A" w:rsidRDefault="00A26E3A" w:rsidP="00A26E3A">
                            <w:pPr>
                              <w:jc w:val="center"/>
                              <w:rPr>
                                <w:rFonts w:ascii="Times New Roman" w:hAnsi="Times New Roman" w:cs="Times New Roman"/>
                              </w:rPr>
                            </w:pPr>
                          </w:p>
                        </w:txbxContent>
                      </v:textbox>
                    </v:shape>
                  </w:pict>
                </mc:Fallback>
              </mc:AlternateContent>
            </w:r>
            <w:r w:rsidR="001B1BD9" w:rsidRPr="00F03204">
              <w:rPr>
                <w:rFonts w:ascii="Arial" w:hAnsi="Arial" w:cs="Arial"/>
                <w:sz w:val="22"/>
                <w:szCs w:val="22"/>
              </w:rPr>
              <w:t>Barren Area (LULC)</w:t>
            </w:r>
          </w:p>
        </w:tc>
        <w:tc>
          <w:tcPr>
            <w:tcW w:w="0" w:type="auto"/>
            <w:hideMark/>
          </w:tcPr>
          <w:p w14:paraId="4584A916" w14:textId="64DC7C14" w:rsidR="001B1BD9" w:rsidRPr="00F03204" w:rsidRDefault="001B1BD9" w:rsidP="00AB3D00">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+0.5</w:t>
            </w:r>
          </w:p>
        </w:tc>
        <w:tc>
          <w:tcPr>
            <w:tcW w:w="0" w:type="auto"/>
            <w:hideMark/>
          </w:tcPr>
          <w:p w14:paraId="0D5799D2" w14:textId="77777777" w:rsidR="001B1BD9" w:rsidRPr="00F03204" w:rsidRDefault="001B1BD9" w:rsidP="00AB3D00">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Moderate Positive</w:t>
            </w:r>
          </w:p>
        </w:tc>
        <w:tc>
          <w:tcPr>
            <w:tcW w:w="0" w:type="auto"/>
            <w:hideMark/>
          </w:tcPr>
          <w:p w14:paraId="74B4C52F" w14:textId="77777777" w:rsidR="001B1BD9" w:rsidRPr="00F03204" w:rsidRDefault="001B1BD9" w:rsidP="00AB3D00">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03204">
              <w:rPr>
                <w:rFonts w:ascii="Arial" w:hAnsi="Arial" w:cs="Arial"/>
                <w:sz w:val="22"/>
                <w:szCs w:val="22"/>
              </w:rPr>
              <w:t>Exposed soil heats rapidly, lacking vegetative cover</w:t>
            </w:r>
          </w:p>
        </w:tc>
      </w:tr>
    </w:tbl>
    <w:p w14:paraId="7A870263" w14:textId="2A821596" w:rsidR="001B1BD9" w:rsidRPr="00F03204" w:rsidRDefault="001B1BD9" w:rsidP="00AB3D00">
      <w:pPr>
        <w:jc w:val="both"/>
        <w:rPr>
          <w:rFonts w:ascii="Arial" w:hAnsi="Arial" w:cs="Arial"/>
          <w:sz w:val="22"/>
          <w:szCs w:val="22"/>
        </w:rPr>
      </w:pPr>
    </w:p>
    <w:p w14:paraId="28737B44" w14:textId="77777777" w:rsidR="001B1BD9" w:rsidRPr="00F03204" w:rsidRDefault="001B1BD9" w:rsidP="00AB3D00">
      <w:pPr>
        <w:jc w:val="both"/>
        <w:rPr>
          <w:rFonts w:ascii="Arial" w:hAnsi="Arial" w:cs="Arial"/>
          <w:b/>
          <w:bCs/>
          <w:sz w:val="22"/>
          <w:szCs w:val="22"/>
        </w:rPr>
      </w:pPr>
      <w:r w:rsidRPr="00F03204">
        <w:rPr>
          <w:rFonts w:ascii="Arial" w:hAnsi="Arial" w:cs="Arial"/>
          <w:b/>
          <w:bCs/>
          <w:sz w:val="22"/>
          <w:szCs w:val="22"/>
        </w:rPr>
        <w:t>Scientific Implications</w:t>
      </w:r>
    </w:p>
    <w:p w14:paraId="714C975F" w14:textId="77777777" w:rsidR="001B1BD9" w:rsidRPr="00F03204" w:rsidRDefault="001B1BD9" w:rsidP="00AB3D00">
      <w:pPr>
        <w:jc w:val="both"/>
        <w:rPr>
          <w:rFonts w:ascii="Arial" w:hAnsi="Arial" w:cs="Arial"/>
          <w:sz w:val="22"/>
          <w:szCs w:val="22"/>
        </w:rPr>
      </w:pPr>
      <w:r w:rsidRPr="00F03204">
        <w:rPr>
          <w:rFonts w:ascii="Arial" w:hAnsi="Arial" w:cs="Arial"/>
          <w:sz w:val="22"/>
          <w:szCs w:val="22"/>
        </w:rPr>
        <w:t xml:space="preserve">The rising LST trend in KMA, as confirmed by MODIS data and correlated indices, points toward escalating </w:t>
      </w:r>
      <w:r w:rsidRPr="00F03204">
        <w:rPr>
          <w:rFonts w:ascii="Arial" w:hAnsi="Arial" w:cs="Arial"/>
          <w:b/>
          <w:bCs/>
          <w:sz w:val="22"/>
          <w:szCs w:val="22"/>
        </w:rPr>
        <w:t>urban thermal risk</w:t>
      </w:r>
      <w:r w:rsidRPr="00F03204">
        <w:rPr>
          <w:rFonts w:ascii="Arial" w:hAnsi="Arial" w:cs="Arial"/>
          <w:sz w:val="22"/>
          <w:szCs w:val="22"/>
        </w:rPr>
        <w:t>. The intensification of heat-prone zones aligns with:</w:t>
      </w:r>
    </w:p>
    <w:p w14:paraId="22581625" w14:textId="77777777" w:rsidR="001B1BD9" w:rsidRPr="00F03204" w:rsidRDefault="001B1BD9" w:rsidP="00AB3D00">
      <w:pPr>
        <w:numPr>
          <w:ilvl w:val="0"/>
          <w:numId w:val="12"/>
        </w:numPr>
        <w:jc w:val="both"/>
        <w:rPr>
          <w:rFonts w:ascii="Arial" w:hAnsi="Arial" w:cs="Arial"/>
          <w:sz w:val="22"/>
          <w:szCs w:val="22"/>
        </w:rPr>
      </w:pPr>
      <w:r w:rsidRPr="00F03204">
        <w:rPr>
          <w:rFonts w:ascii="Arial" w:hAnsi="Arial" w:cs="Arial"/>
          <w:sz w:val="22"/>
          <w:szCs w:val="22"/>
        </w:rPr>
        <w:t>Vegetation loss (NDVI decline or stagnation)</w:t>
      </w:r>
    </w:p>
    <w:p w14:paraId="28563C05" w14:textId="77777777" w:rsidR="001B1BD9" w:rsidRPr="00F03204" w:rsidRDefault="001B1BD9" w:rsidP="00AB3D00">
      <w:pPr>
        <w:numPr>
          <w:ilvl w:val="0"/>
          <w:numId w:val="12"/>
        </w:numPr>
        <w:jc w:val="both"/>
        <w:rPr>
          <w:rFonts w:ascii="Arial" w:hAnsi="Arial" w:cs="Arial"/>
          <w:sz w:val="22"/>
          <w:szCs w:val="22"/>
        </w:rPr>
      </w:pPr>
      <w:r w:rsidRPr="00F03204">
        <w:rPr>
          <w:rFonts w:ascii="Arial" w:hAnsi="Arial" w:cs="Arial"/>
          <w:sz w:val="22"/>
          <w:szCs w:val="22"/>
        </w:rPr>
        <w:t>Expansion of impervious surfaces (NDBI rise)</w:t>
      </w:r>
    </w:p>
    <w:p w14:paraId="0F495699" w14:textId="77777777" w:rsidR="001B1BD9" w:rsidRPr="00F03204" w:rsidRDefault="001B1BD9" w:rsidP="00AB3D00">
      <w:pPr>
        <w:numPr>
          <w:ilvl w:val="0"/>
          <w:numId w:val="12"/>
        </w:numPr>
        <w:jc w:val="both"/>
        <w:rPr>
          <w:rFonts w:ascii="Arial" w:hAnsi="Arial" w:cs="Arial"/>
          <w:sz w:val="22"/>
          <w:szCs w:val="22"/>
        </w:rPr>
      </w:pPr>
      <w:r w:rsidRPr="00F03204">
        <w:rPr>
          <w:rFonts w:ascii="Arial" w:hAnsi="Arial" w:cs="Arial"/>
          <w:sz w:val="22"/>
          <w:szCs w:val="22"/>
        </w:rPr>
        <w:t>Shrinkage of water bodies (NDWI decline)</w:t>
      </w:r>
    </w:p>
    <w:p w14:paraId="4CA03899" w14:textId="2B08F104" w:rsidR="00215F7C" w:rsidRPr="00F03204" w:rsidRDefault="001B1BD9" w:rsidP="00AB3D00">
      <w:pPr>
        <w:jc w:val="both"/>
        <w:rPr>
          <w:rFonts w:ascii="Arial" w:hAnsi="Arial" w:cs="Arial"/>
          <w:sz w:val="22"/>
          <w:szCs w:val="22"/>
        </w:rPr>
      </w:pPr>
      <w:r w:rsidRPr="00F03204">
        <w:rPr>
          <w:rFonts w:ascii="Arial" w:hAnsi="Arial" w:cs="Arial"/>
          <w:sz w:val="22"/>
          <w:szCs w:val="22"/>
        </w:rPr>
        <w:t xml:space="preserve">These changes support the hypothesis that </w:t>
      </w:r>
      <w:r w:rsidRPr="00F03204">
        <w:rPr>
          <w:rFonts w:ascii="Arial" w:hAnsi="Arial" w:cs="Arial"/>
          <w:b/>
          <w:bCs/>
          <w:sz w:val="22"/>
          <w:szCs w:val="22"/>
        </w:rPr>
        <w:t>land cover transitions drive LST rise</w:t>
      </w:r>
      <w:r w:rsidRPr="00F03204">
        <w:rPr>
          <w:rFonts w:ascii="Arial" w:hAnsi="Arial" w:cs="Arial"/>
          <w:sz w:val="22"/>
          <w:szCs w:val="22"/>
        </w:rPr>
        <w:t>, and underscore the need for strategic vegetation restoration, green infrastructure, and water body conservation to mitigate UHI effects.</w:t>
      </w:r>
    </w:p>
    <w:p w14:paraId="7C4CD65A" w14:textId="40756C5E" w:rsidR="00215F7C" w:rsidRPr="00F03204" w:rsidRDefault="00F6254F" w:rsidP="00AB3D00">
      <w:pPr>
        <w:pStyle w:val="Heading1"/>
        <w:jc w:val="both"/>
        <w:rPr>
          <w:rFonts w:ascii="Arial" w:hAnsi="Arial" w:cs="Arial"/>
          <w:b/>
          <w:bCs/>
          <w:color w:val="auto"/>
          <w:sz w:val="22"/>
          <w:szCs w:val="22"/>
        </w:rPr>
      </w:pPr>
      <w:r>
        <w:rPr>
          <w:rFonts w:ascii="Arial" w:hAnsi="Arial" w:cs="Arial"/>
          <w:b/>
          <w:bCs/>
          <w:color w:val="auto"/>
          <w:sz w:val="22"/>
          <w:szCs w:val="22"/>
        </w:rPr>
        <w:t xml:space="preserve">Result and </w:t>
      </w:r>
      <w:r w:rsidR="00215F7C" w:rsidRPr="00F03204">
        <w:rPr>
          <w:rFonts w:ascii="Arial" w:hAnsi="Arial" w:cs="Arial"/>
          <w:b/>
          <w:bCs/>
          <w:color w:val="auto"/>
          <w:sz w:val="22"/>
          <w:szCs w:val="22"/>
        </w:rPr>
        <w:t>Discussion</w:t>
      </w:r>
      <w:r w:rsidR="005C3C95" w:rsidRPr="00F03204">
        <w:rPr>
          <w:rFonts w:ascii="Arial" w:hAnsi="Arial" w:cs="Arial"/>
          <w:b/>
          <w:bCs/>
          <w:color w:val="auto"/>
          <w:sz w:val="22"/>
          <w:szCs w:val="22"/>
        </w:rPr>
        <w:t>:</w:t>
      </w:r>
    </w:p>
    <w:p w14:paraId="2AC84401" w14:textId="77777777" w:rsidR="00215F7C" w:rsidRPr="00F03204" w:rsidRDefault="00215F7C" w:rsidP="00AB3D00">
      <w:pPr>
        <w:jc w:val="both"/>
        <w:rPr>
          <w:rFonts w:ascii="Arial" w:hAnsi="Arial" w:cs="Arial"/>
          <w:sz w:val="22"/>
          <w:szCs w:val="22"/>
        </w:rPr>
      </w:pPr>
      <w:r w:rsidRPr="00F03204">
        <w:rPr>
          <w:rFonts w:ascii="Arial" w:hAnsi="Arial" w:cs="Arial"/>
          <w:sz w:val="22"/>
          <w:szCs w:val="22"/>
        </w:rPr>
        <w:t xml:space="preserve">The present study utilized multi-temporal Landsat 8 and MODIS satellite datasets to evaluate Land Use Land Cover (LULC) transformations, biophysical index fluctuations (NDVI, NDBI, NDWI), and surface temperature dynamics (LST) across the Kolkata Metropolitan Area (KMA) </w:t>
      </w:r>
      <w:r w:rsidRPr="00F03204">
        <w:rPr>
          <w:rFonts w:ascii="Arial" w:hAnsi="Arial" w:cs="Arial"/>
          <w:sz w:val="22"/>
          <w:szCs w:val="22"/>
        </w:rPr>
        <w:lastRenderedPageBreak/>
        <w:t>between 2016 and 2024. The results reveal a complex interplay between anthropogenic land conversion and environmental parameters.</w:t>
      </w:r>
    </w:p>
    <w:p w14:paraId="5FE59BA0" w14:textId="61B8A8F5" w:rsidR="00215F7C" w:rsidRPr="00F03204" w:rsidRDefault="00215F7C" w:rsidP="00AB3D00">
      <w:pPr>
        <w:jc w:val="both"/>
        <w:rPr>
          <w:rFonts w:ascii="Arial" w:hAnsi="Arial" w:cs="Arial"/>
          <w:sz w:val="22"/>
          <w:szCs w:val="22"/>
        </w:rPr>
      </w:pPr>
      <w:r w:rsidRPr="00F03204">
        <w:rPr>
          <w:rFonts w:ascii="Arial" w:hAnsi="Arial" w:cs="Arial"/>
          <w:sz w:val="22"/>
          <w:szCs w:val="22"/>
        </w:rPr>
        <w:t xml:space="preserve">One of the most significant findings is the </w:t>
      </w:r>
      <w:r w:rsidRPr="00F03204">
        <w:rPr>
          <w:rFonts w:ascii="Arial" w:hAnsi="Arial" w:cs="Arial"/>
          <w:b/>
          <w:bCs/>
          <w:sz w:val="22"/>
          <w:szCs w:val="22"/>
        </w:rPr>
        <w:t>sharp increase in barren land by 3</w:t>
      </w:r>
      <w:r w:rsidR="00B36647" w:rsidRPr="00F03204">
        <w:rPr>
          <w:rFonts w:ascii="Arial" w:hAnsi="Arial" w:cs="Arial"/>
          <w:b/>
          <w:bCs/>
          <w:sz w:val="22"/>
          <w:szCs w:val="22"/>
        </w:rPr>
        <w:t>3</w:t>
      </w:r>
      <w:r w:rsidRPr="00F03204">
        <w:rPr>
          <w:rFonts w:ascii="Arial" w:hAnsi="Arial" w:cs="Arial"/>
          <w:b/>
          <w:bCs/>
          <w:sz w:val="22"/>
          <w:szCs w:val="22"/>
        </w:rPr>
        <w:t>.12 km²</w:t>
      </w:r>
      <w:r w:rsidRPr="00F03204">
        <w:rPr>
          <w:rFonts w:ascii="Arial" w:hAnsi="Arial" w:cs="Arial"/>
          <w:sz w:val="22"/>
          <w:szCs w:val="22"/>
        </w:rPr>
        <w:t xml:space="preserve">, largely replacing previously developed or vegetated zones. Simultaneously, the </w:t>
      </w:r>
      <w:r w:rsidRPr="00F03204">
        <w:rPr>
          <w:rFonts w:ascii="Arial" w:hAnsi="Arial" w:cs="Arial"/>
          <w:b/>
          <w:bCs/>
          <w:sz w:val="22"/>
          <w:szCs w:val="22"/>
        </w:rPr>
        <w:t>classified developed area decreased</w:t>
      </w:r>
      <w:r w:rsidRPr="00F03204">
        <w:rPr>
          <w:rFonts w:ascii="Arial" w:hAnsi="Arial" w:cs="Arial"/>
          <w:sz w:val="22"/>
          <w:szCs w:val="22"/>
        </w:rPr>
        <w:t xml:space="preserve"> by over </w:t>
      </w:r>
      <w:r w:rsidR="00B36647" w:rsidRPr="00F03204">
        <w:rPr>
          <w:rFonts w:ascii="Arial" w:hAnsi="Arial" w:cs="Arial"/>
          <w:sz w:val="22"/>
          <w:szCs w:val="22"/>
        </w:rPr>
        <w:t>132</w:t>
      </w:r>
      <w:r w:rsidRPr="00F03204">
        <w:rPr>
          <w:rFonts w:ascii="Arial" w:hAnsi="Arial" w:cs="Arial"/>
          <w:sz w:val="22"/>
          <w:szCs w:val="22"/>
        </w:rPr>
        <w:t xml:space="preserve"> km², which at first appears counterintuitive. However, this trend aligns with the </w:t>
      </w:r>
      <w:r w:rsidRPr="00F03204">
        <w:rPr>
          <w:rFonts w:ascii="Arial" w:hAnsi="Arial" w:cs="Arial"/>
          <w:b/>
          <w:bCs/>
          <w:sz w:val="22"/>
          <w:szCs w:val="22"/>
        </w:rPr>
        <w:t>increase in NDBI</w:t>
      </w:r>
      <w:r w:rsidRPr="00F03204">
        <w:rPr>
          <w:rFonts w:ascii="Arial" w:hAnsi="Arial" w:cs="Arial"/>
          <w:sz w:val="22"/>
          <w:szCs w:val="22"/>
        </w:rPr>
        <w:t>, suggesting that land classified as “barren” may still consist of impervious or semi-urbanized surfaces—such as ongoing construction sites or cleared zones—that radiate heat and suppress vegetative indices.</w:t>
      </w:r>
    </w:p>
    <w:p w14:paraId="06902AFC" w14:textId="77777777" w:rsidR="00215F7C" w:rsidRPr="00F03204" w:rsidRDefault="00215F7C" w:rsidP="00AB3D00">
      <w:pPr>
        <w:jc w:val="both"/>
        <w:rPr>
          <w:rFonts w:ascii="Arial" w:hAnsi="Arial" w:cs="Arial"/>
          <w:sz w:val="22"/>
          <w:szCs w:val="22"/>
        </w:rPr>
      </w:pPr>
      <w:r w:rsidRPr="00F03204">
        <w:rPr>
          <w:rFonts w:ascii="Arial" w:hAnsi="Arial" w:cs="Arial"/>
          <w:sz w:val="22"/>
          <w:szCs w:val="22"/>
        </w:rPr>
        <w:t xml:space="preserve">Similarly, </w:t>
      </w:r>
      <w:r w:rsidRPr="00F03204">
        <w:rPr>
          <w:rFonts w:ascii="Arial" w:hAnsi="Arial" w:cs="Arial"/>
          <w:b/>
          <w:bCs/>
          <w:sz w:val="22"/>
          <w:szCs w:val="22"/>
        </w:rPr>
        <w:t>NDVI values increased slightly</w:t>
      </w:r>
      <w:r w:rsidRPr="00F03204">
        <w:rPr>
          <w:rFonts w:ascii="Arial" w:hAnsi="Arial" w:cs="Arial"/>
          <w:sz w:val="22"/>
          <w:szCs w:val="22"/>
        </w:rPr>
        <w:t xml:space="preserve"> despite a net loss of forest area, highlighting that vegetative cover in non-forest zones—such as plantations, agriculture, and urban greenery—may have contributed to maintaining or improving photosynthetic activity. Meanwhile, the </w:t>
      </w:r>
      <w:r w:rsidRPr="00F03204">
        <w:rPr>
          <w:rFonts w:ascii="Arial" w:hAnsi="Arial" w:cs="Arial"/>
          <w:b/>
          <w:bCs/>
          <w:sz w:val="22"/>
          <w:szCs w:val="22"/>
        </w:rPr>
        <w:t>NDWI trend</w:t>
      </w:r>
      <w:r w:rsidRPr="00F03204">
        <w:rPr>
          <w:rFonts w:ascii="Arial" w:hAnsi="Arial" w:cs="Arial"/>
          <w:sz w:val="22"/>
          <w:szCs w:val="22"/>
        </w:rPr>
        <w:t xml:space="preserve"> shows spectral enhancement, even though water bodies decreased in area. This divergence likely reflects </w:t>
      </w:r>
      <w:r w:rsidRPr="00F03204">
        <w:rPr>
          <w:rFonts w:ascii="Arial" w:hAnsi="Arial" w:cs="Arial"/>
          <w:b/>
          <w:bCs/>
          <w:sz w:val="22"/>
          <w:szCs w:val="22"/>
        </w:rPr>
        <w:t>increased spectral concentration</w:t>
      </w:r>
      <w:r w:rsidRPr="00F03204">
        <w:rPr>
          <w:rFonts w:ascii="Arial" w:hAnsi="Arial" w:cs="Arial"/>
          <w:sz w:val="22"/>
          <w:szCs w:val="22"/>
        </w:rPr>
        <w:t xml:space="preserve"> of water in fewer but deeper or cleaner bodies, possibly due to changes in acquisition season or water table conditions.</w:t>
      </w:r>
    </w:p>
    <w:p w14:paraId="63CDC190" w14:textId="77777777" w:rsidR="00215F7C" w:rsidRPr="00F03204" w:rsidRDefault="00215F7C" w:rsidP="00AB3D00">
      <w:pPr>
        <w:jc w:val="both"/>
        <w:rPr>
          <w:rFonts w:ascii="Arial" w:hAnsi="Arial" w:cs="Arial"/>
          <w:sz w:val="22"/>
          <w:szCs w:val="22"/>
        </w:rPr>
      </w:pPr>
      <w:r w:rsidRPr="00F03204">
        <w:rPr>
          <w:rFonts w:ascii="Arial" w:hAnsi="Arial" w:cs="Arial"/>
          <w:sz w:val="22"/>
          <w:szCs w:val="22"/>
        </w:rPr>
        <w:t xml:space="preserve">The most striking outcome, however, is the </w:t>
      </w:r>
      <w:r w:rsidRPr="00F03204">
        <w:rPr>
          <w:rFonts w:ascii="Arial" w:hAnsi="Arial" w:cs="Arial"/>
          <w:b/>
          <w:bCs/>
          <w:sz w:val="22"/>
          <w:szCs w:val="22"/>
        </w:rPr>
        <w:t>rise in Land Surface Temperature (LST)</w:t>
      </w:r>
      <w:r w:rsidRPr="00F03204">
        <w:rPr>
          <w:rFonts w:ascii="Arial" w:hAnsi="Arial" w:cs="Arial"/>
          <w:sz w:val="22"/>
          <w:szCs w:val="22"/>
        </w:rPr>
        <w:t xml:space="preserve">. MODIS-derived maps show an increase in maximum temperature from </w:t>
      </w:r>
      <w:r w:rsidRPr="00F03204">
        <w:rPr>
          <w:rFonts w:ascii="Arial" w:hAnsi="Arial" w:cs="Arial"/>
          <w:b/>
          <w:bCs/>
          <w:sz w:val="22"/>
          <w:szCs w:val="22"/>
        </w:rPr>
        <w:t>40.81 °C in 2016 to 41.49 °C in 2024</w:t>
      </w:r>
      <w:r w:rsidRPr="00F03204">
        <w:rPr>
          <w:rFonts w:ascii="Arial" w:hAnsi="Arial" w:cs="Arial"/>
          <w:sz w:val="22"/>
          <w:szCs w:val="22"/>
        </w:rPr>
        <w:t xml:space="preserve">, alongside a similar elevation in minimum surface temperature. The spatial correlation of high-LST zones with areas of </w:t>
      </w:r>
      <w:r w:rsidRPr="00F03204">
        <w:rPr>
          <w:rFonts w:ascii="Arial" w:hAnsi="Arial" w:cs="Arial"/>
          <w:b/>
          <w:bCs/>
          <w:sz w:val="22"/>
          <w:szCs w:val="22"/>
        </w:rPr>
        <w:t>high NDBI and low NDVI/NDWI</w:t>
      </w:r>
      <w:r w:rsidRPr="00F03204">
        <w:rPr>
          <w:rFonts w:ascii="Arial" w:hAnsi="Arial" w:cs="Arial"/>
          <w:sz w:val="22"/>
          <w:szCs w:val="22"/>
        </w:rPr>
        <w:t xml:space="preserve"> confirms a strong biophysical influence on surface heating. Statistical correlation estimates reinforce these relationships, with </w:t>
      </w:r>
      <w:r w:rsidRPr="00F03204">
        <w:rPr>
          <w:rFonts w:ascii="Arial" w:hAnsi="Arial" w:cs="Arial"/>
          <w:b/>
          <w:bCs/>
          <w:sz w:val="22"/>
          <w:szCs w:val="22"/>
        </w:rPr>
        <w:t>LST positively correlated with NDBI (r ≈ +0.6)</w:t>
      </w:r>
      <w:r w:rsidRPr="00F03204">
        <w:rPr>
          <w:rFonts w:ascii="Arial" w:hAnsi="Arial" w:cs="Arial"/>
          <w:sz w:val="22"/>
          <w:szCs w:val="22"/>
        </w:rPr>
        <w:t xml:space="preserve"> and negatively correlated with </w:t>
      </w:r>
      <w:r w:rsidRPr="00F03204">
        <w:rPr>
          <w:rFonts w:ascii="Arial" w:hAnsi="Arial" w:cs="Arial"/>
          <w:b/>
          <w:bCs/>
          <w:sz w:val="22"/>
          <w:szCs w:val="22"/>
        </w:rPr>
        <w:t>NDVI and NDWI (r ≈ –0.5 to –0.6)</w:t>
      </w:r>
      <w:r w:rsidRPr="00F03204">
        <w:rPr>
          <w:rFonts w:ascii="Arial" w:hAnsi="Arial" w:cs="Arial"/>
          <w:sz w:val="22"/>
          <w:szCs w:val="22"/>
        </w:rPr>
        <w:t>.</w:t>
      </w:r>
    </w:p>
    <w:p w14:paraId="1534BB9A" w14:textId="42E333C9" w:rsidR="007F1376" w:rsidRPr="00F03204" w:rsidRDefault="00215F7C" w:rsidP="00AB3D00">
      <w:pPr>
        <w:jc w:val="both"/>
        <w:rPr>
          <w:rFonts w:ascii="Arial" w:hAnsi="Arial" w:cs="Arial"/>
          <w:sz w:val="22"/>
          <w:szCs w:val="22"/>
        </w:rPr>
      </w:pPr>
      <w:r w:rsidRPr="00F03204">
        <w:rPr>
          <w:rFonts w:ascii="Arial" w:hAnsi="Arial" w:cs="Arial"/>
          <w:sz w:val="22"/>
          <w:szCs w:val="22"/>
        </w:rPr>
        <w:t xml:space="preserve">These findings substantiate the hypothesis that </w:t>
      </w:r>
      <w:r w:rsidRPr="00F03204">
        <w:rPr>
          <w:rFonts w:ascii="Arial" w:hAnsi="Arial" w:cs="Arial"/>
          <w:b/>
          <w:bCs/>
          <w:sz w:val="22"/>
          <w:szCs w:val="22"/>
        </w:rPr>
        <w:t>LULC changes—especially increases in built-up and barren land—are driving thermal intensification</w:t>
      </w:r>
      <w:r w:rsidRPr="00F03204">
        <w:rPr>
          <w:rFonts w:ascii="Arial" w:hAnsi="Arial" w:cs="Arial"/>
          <w:sz w:val="22"/>
          <w:szCs w:val="22"/>
        </w:rPr>
        <w:t xml:space="preserve"> across KMA. Importantly, such changes are not evenly distributed; central and southern KMA experience more pronounced thermal amplification, highlighting spatial inequality in environmental vulnerability.</w:t>
      </w:r>
    </w:p>
    <w:p w14:paraId="41AC3FD5" w14:textId="22107B0D" w:rsidR="00215F7C" w:rsidRPr="00F03204" w:rsidRDefault="00215F7C"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 xml:space="preserve"> Conclusion</w:t>
      </w:r>
      <w:r w:rsidR="005C3C95" w:rsidRPr="00F03204">
        <w:rPr>
          <w:rFonts w:ascii="Arial" w:hAnsi="Arial" w:cs="Arial"/>
          <w:b/>
          <w:bCs/>
          <w:color w:val="auto"/>
          <w:sz w:val="22"/>
          <w:szCs w:val="22"/>
        </w:rPr>
        <w:t>:</w:t>
      </w:r>
    </w:p>
    <w:p w14:paraId="0819AEAA" w14:textId="77777777" w:rsidR="00215F7C" w:rsidRPr="00F03204" w:rsidRDefault="00215F7C" w:rsidP="00AB3D00">
      <w:pPr>
        <w:jc w:val="both"/>
        <w:rPr>
          <w:rFonts w:ascii="Arial" w:hAnsi="Arial" w:cs="Arial"/>
          <w:sz w:val="22"/>
          <w:szCs w:val="22"/>
        </w:rPr>
      </w:pPr>
      <w:r w:rsidRPr="00F03204">
        <w:rPr>
          <w:rFonts w:ascii="Arial" w:hAnsi="Arial" w:cs="Arial"/>
          <w:sz w:val="22"/>
          <w:szCs w:val="22"/>
        </w:rPr>
        <w:t>This study offers an integrated remote sensing–based assessment of LULC dynamics, spectral index behavior, and thermal change in the Kolkata Metropolitan Area from 2016 to 2024. The research draws several critical conclusions:</w:t>
      </w:r>
    </w:p>
    <w:p w14:paraId="5C4E72E4" w14:textId="77777777" w:rsidR="00215F7C" w:rsidRPr="00F03204" w:rsidRDefault="00215F7C" w:rsidP="00AB3D00">
      <w:pPr>
        <w:numPr>
          <w:ilvl w:val="0"/>
          <w:numId w:val="13"/>
        </w:numPr>
        <w:jc w:val="both"/>
        <w:rPr>
          <w:rFonts w:ascii="Arial" w:hAnsi="Arial" w:cs="Arial"/>
          <w:sz w:val="22"/>
          <w:szCs w:val="22"/>
        </w:rPr>
      </w:pPr>
      <w:r w:rsidRPr="00F03204">
        <w:rPr>
          <w:rFonts w:ascii="Arial" w:hAnsi="Arial" w:cs="Arial"/>
          <w:b/>
          <w:bCs/>
          <w:sz w:val="22"/>
          <w:szCs w:val="22"/>
        </w:rPr>
        <w:t>LULC Conversion</w:t>
      </w:r>
      <w:r w:rsidRPr="00F03204">
        <w:rPr>
          <w:rFonts w:ascii="Arial" w:hAnsi="Arial" w:cs="Arial"/>
          <w:sz w:val="22"/>
          <w:szCs w:val="22"/>
        </w:rPr>
        <w:t>: Forest and developed classes decreased, while barren land increased dramatically. These transformations suggest rapid land clearance and transitional urban growth patterns not fully captured by conventional LULC classification schemes.</w:t>
      </w:r>
    </w:p>
    <w:p w14:paraId="489A8B70" w14:textId="77777777" w:rsidR="00215F7C" w:rsidRPr="00F03204" w:rsidRDefault="00215F7C" w:rsidP="00AB3D00">
      <w:pPr>
        <w:numPr>
          <w:ilvl w:val="0"/>
          <w:numId w:val="13"/>
        </w:numPr>
        <w:jc w:val="both"/>
        <w:rPr>
          <w:rFonts w:ascii="Arial" w:hAnsi="Arial" w:cs="Arial"/>
          <w:sz w:val="22"/>
          <w:szCs w:val="22"/>
        </w:rPr>
      </w:pPr>
      <w:r w:rsidRPr="00F03204">
        <w:rPr>
          <w:rFonts w:ascii="Arial" w:hAnsi="Arial" w:cs="Arial"/>
          <w:b/>
          <w:bCs/>
          <w:sz w:val="22"/>
          <w:szCs w:val="22"/>
        </w:rPr>
        <w:t>Spectral Index Trends</w:t>
      </w:r>
      <w:r w:rsidRPr="00F03204">
        <w:rPr>
          <w:rFonts w:ascii="Arial" w:hAnsi="Arial" w:cs="Arial"/>
          <w:sz w:val="22"/>
          <w:szCs w:val="22"/>
        </w:rPr>
        <w:t>:</w:t>
      </w:r>
    </w:p>
    <w:p w14:paraId="6BE43621" w14:textId="77777777" w:rsidR="00215F7C" w:rsidRPr="00F03204" w:rsidRDefault="00215F7C" w:rsidP="00AB3D00">
      <w:pPr>
        <w:numPr>
          <w:ilvl w:val="1"/>
          <w:numId w:val="13"/>
        </w:numPr>
        <w:jc w:val="both"/>
        <w:rPr>
          <w:rFonts w:ascii="Arial" w:hAnsi="Arial" w:cs="Arial"/>
          <w:sz w:val="22"/>
          <w:szCs w:val="22"/>
        </w:rPr>
      </w:pPr>
      <w:r w:rsidRPr="00F03204">
        <w:rPr>
          <w:rFonts w:ascii="Arial" w:hAnsi="Arial" w:cs="Arial"/>
          <w:b/>
          <w:bCs/>
          <w:sz w:val="22"/>
          <w:szCs w:val="22"/>
        </w:rPr>
        <w:t>NDVI</w:t>
      </w:r>
      <w:r w:rsidRPr="00F03204">
        <w:rPr>
          <w:rFonts w:ascii="Arial" w:hAnsi="Arial" w:cs="Arial"/>
          <w:sz w:val="22"/>
          <w:szCs w:val="22"/>
        </w:rPr>
        <w:t xml:space="preserve"> remained stable or slightly improved, reflecting compensation of forest loss by other vegetative zones.</w:t>
      </w:r>
    </w:p>
    <w:p w14:paraId="2CFD8627" w14:textId="77777777" w:rsidR="00215F7C" w:rsidRPr="00F03204" w:rsidRDefault="00215F7C" w:rsidP="00AB3D00">
      <w:pPr>
        <w:numPr>
          <w:ilvl w:val="1"/>
          <w:numId w:val="13"/>
        </w:numPr>
        <w:jc w:val="both"/>
        <w:rPr>
          <w:rFonts w:ascii="Arial" w:hAnsi="Arial" w:cs="Arial"/>
          <w:sz w:val="22"/>
          <w:szCs w:val="22"/>
        </w:rPr>
      </w:pPr>
      <w:r w:rsidRPr="00F03204">
        <w:rPr>
          <w:rFonts w:ascii="Arial" w:hAnsi="Arial" w:cs="Arial"/>
          <w:b/>
          <w:bCs/>
          <w:sz w:val="22"/>
          <w:szCs w:val="22"/>
        </w:rPr>
        <w:t>NDBI</w:t>
      </w:r>
      <w:r w:rsidRPr="00F03204">
        <w:rPr>
          <w:rFonts w:ascii="Arial" w:hAnsi="Arial" w:cs="Arial"/>
          <w:sz w:val="22"/>
          <w:szCs w:val="22"/>
        </w:rPr>
        <w:t xml:space="preserve"> increased, reflecting intensification of impervious and semi-urbanized zones.</w:t>
      </w:r>
    </w:p>
    <w:p w14:paraId="15104AE1" w14:textId="77777777" w:rsidR="00215F7C" w:rsidRPr="00F03204" w:rsidRDefault="00215F7C" w:rsidP="00AB3D00">
      <w:pPr>
        <w:numPr>
          <w:ilvl w:val="1"/>
          <w:numId w:val="13"/>
        </w:numPr>
        <w:jc w:val="both"/>
        <w:rPr>
          <w:rFonts w:ascii="Arial" w:hAnsi="Arial" w:cs="Arial"/>
          <w:sz w:val="22"/>
          <w:szCs w:val="22"/>
        </w:rPr>
      </w:pPr>
      <w:r w:rsidRPr="00F03204">
        <w:rPr>
          <w:rFonts w:ascii="Arial" w:hAnsi="Arial" w:cs="Arial"/>
          <w:b/>
          <w:bCs/>
          <w:sz w:val="22"/>
          <w:szCs w:val="22"/>
        </w:rPr>
        <w:lastRenderedPageBreak/>
        <w:t>NDWI</w:t>
      </w:r>
      <w:r w:rsidRPr="00F03204">
        <w:rPr>
          <w:rFonts w:ascii="Arial" w:hAnsi="Arial" w:cs="Arial"/>
          <w:sz w:val="22"/>
          <w:szCs w:val="22"/>
        </w:rPr>
        <w:t xml:space="preserve"> increased in value but decreased in areal extent, suggesting concentrated rather than expanded water presence.</w:t>
      </w:r>
    </w:p>
    <w:p w14:paraId="2D1562DF" w14:textId="77777777" w:rsidR="00215F7C" w:rsidRPr="00F03204" w:rsidRDefault="00215F7C" w:rsidP="00AB3D00">
      <w:pPr>
        <w:numPr>
          <w:ilvl w:val="0"/>
          <w:numId w:val="13"/>
        </w:numPr>
        <w:jc w:val="both"/>
        <w:rPr>
          <w:rFonts w:ascii="Arial" w:hAnsi="Arial" w:cs="Arial"/>
          <w:sz w:val="22"/>
          <w:szCs w:val="22"/>
        </w:rPr>
      </w:pPr>
      <w:r w:rsidRPr="00F03204">
        <w:rPr>
          <w:rFonts w:ascii="Arial" w:hAnsi="Arial" w:cs="Arial"/>
          <w:b/>
          <w:bCs/>
          <w:sz w:val="22"/>
          <w:szCs w:val="22"/>
        </w:rPr>
        <w:t>Thermal Amplification</w:t>
      </w:r>
      <w:r w:rsidRPr="00F03204">
        <w:rPr>
          <w:rFonts w:ascii="Arial" w:hAnsi="Arial" w:cs="Arial"/>
          <w:sz w:val="22"/>
          <w:szCs w:val="22"/>
        </w:rPr>
        <w:t xml:space="preserve">: LST values increased significantly, with MODIS data indicating a rise of approximately </w:t>
      </w:r>
      <w:r w:rsidRPr="00F03204">
        <w:rPr>
          <w:rFonts w:ascii="Arial" w:hAnsi="Arial" w:cs="Arial"/>
          <w:b/>
          <w:bCs/>
          <w:sz w:val="22"/>
          <w:szCs w:val="22"/>
        </w:rPr>
        <w:t>0.7 °C in peak surface temperatures</w:t>
      </w:r>
      <w:r w:rsidRPr="00F03204">
        <w:rPr>
          <w:rFonts w:ascii="Arial" w:hAnsi="Arial" w:cs="Arial"/>
          <w:sz w:val="22"/>
          <w:szCs w:val="22"/>
        </w:rPr>
        <w:t>. This increase spatially aligns with NDBI hotspots and inversely correlates with vegetation and water availability.</w:t>
      </w:r>
    </w:p>
    <w:p w14:paraId="287EC347" w14:textId="77777777" w:rsidR="00215F7C" w:rsidRPr="00F03204" w:rsidRDefault="00215F7C" w:rsidP="00AB3D00">
      <w:pPr>
        <w:numPr>
          <w:ilvl w:val="0"/>
          <w:numId w:val="13"/>
        </w:numPr>
        <w:jc w:val="both"/>
        <w:rPr>
          <w:rFonts w:ascii="Arial" w:hAnsi="Arial" w:cs="Arial"/>
          <w:sz w:val="22"/>
          <w:szCs w:val="22"/>
        </w:rPr>
      </w:pPr>
      <w:r w:rsidRPr="00F03204">
        <w:rPr>
          <w:rFonts w:ascii="Arial" w:hAnsi="Arial" w:cs="Arial"/>
          <w:b/>
          <w:bCs/>
          <w:sz w:val="22"/>
          <w:szCs w:val="22"/>
        </w:rPr>
        <w:t>Index–LST Relationships</w:t>
      </w:r>
      <w:r w:rsidRPr="00F03204">
        <w:rPr>
          <w:rFonts w:ascii="Arial" w:hAnsi="Arial" w:cs="Arial"/>
          <w:sz w:val="22"/>
          <w:szCs w:val="22"/>
        </w:rPr>
        <w:t>: Correlation analysis confirms:</w:t>
      </w:r>
    </w:p>
    <w:p w14:paraId="22165276" w14:textId="77777777" w:rsidR="00215F7C" w:rsidRPr="00F03204" w:rsidRDefault="00215F7C" w:rsidP="00AB3D00">
      <w:pPr>
        <w:numPr>
          <w:ilvl w:val="1"/>
          <w:numId w:val="13"/>
        </w:numPr>
        <w:jc w:val="both"/>
        <w:rPr>
          <w:rFonts w:ascii="Arial" w:hAnsi="Arial" w:cs="Arial"/>
          <w:sz w:val="22"/>
          <w:szCs w:val="22"/>
        </w:rPr>
      </w:pPr>
      <w:r w:rsidRPr="00F03204">
        <w:rPr>
          <w:rFonts w:ascii="Arial" w:hAnsi="Arial" w:cs="Arial"/>
          <w:sz w:val="22"/>
          <w:szCs w:val="22"/>
        </w:rPr>
        <w:t>NDVI vs. LST → r ≈ –0.5</w:t>
      </w:r>
    </w:p>
    <w:p w14:paraId="4D664046" w14:textId="77777777" w:rsidR="00215F7C" w:rsidRPr="00F03204" w:rsidRDefault="00215F7C" w:rsidP="00AB3D00">
      <w:pPr>
        <w:numPr>
          <w:ilvl w:val="1"/>
          <w:numId w:val="13"/>
        </w:numPr>
        <w:jc w:val="both"/>
        <w:rPr>
          <w:rFonts w:ascii="Arial" w:hAnsi="Arial" w:cs="Arial"/>
          <w:sz w:val="22"/>
          <w:szCs w:val="22"/>
        </w:rPr>
      </w:pPr>
      <w:r w:rsidRPr="00F03204">
        <w:rPr>
          <w:rFonts w:ascii="Arial" w:hAnsi="Arial" w:cs="Arial"/>
          <w:sz w:val="22"/>
          <w:szCs w:val="22"/>
        </w:rPr>
        <w:t>NDBI vs. LST → r ≈ +0.6</w:t>
      </w:r>
    </w:p>
    <w:p w14:paraId="66BC9B3D" w14:textId="77777777" w:rsidR="00215F7C" w:rsidRPr="00F03204" w:rsidRDefault="00215F7C" w:rsidP="00AB3D00">
      <w:pPr>
        <w:numPr>
          <w:ilvl w:val="1"/>
          <w:numId w:val="13"/>
        </w:numPr>
        <w:jc w:val="both"/>
        <w:rPr>
          <w:rFonts w:ascii="Arial" w:hAnsi="Arial" w:cs="Arial"/>
          <w:sz w:val="22"/>
          <w:szCs w:val="22"/>
        </w:rPr>
      </w:pPr>
      <w:r w:rsidRPr="00F03204">
        <w:rPr>
          <w:rFonts w:ascii="Arial" w:hAnsi="Arial" w:cs="Arial"/>
          <w:sz w:val="22"/>
          <w:szCs w:val="22"/>
        </w:rPr>
        <w:t>NDWI vs. LST → r ≈ –0.6</w:t>
      </w:r>
    </w:p>
    <w:p w14:paraId="738F42AC" w14:textId="44747617" w:rsidR="005C3C95" w:rsidRPr="00F03204" w:rsidRDefault="00215F7C" w:rsidP="00AB3D00">
      <w:pPr>
        <w:jc w:val="both"/>
        <w:rPr>
          <w:rFonts w:ascii="Arial" w:hAnsi="Arial" w:cs="Arial"/>
          <w:sz w:val="22"/>
          <w:szCs w:val="22"/>
        </w:rPr>
      </w:pPr>
      <w:r w:rsidRPr="00F03204">
        <w:rPr>
          <w:rFonts w:ascii="Arial" w:hAnsi="Arial" w:cs="Arial"/>
          <w:sz w:val="22"/>
          <w:szCs w:val="22"/>
        </w:rPr>
        <w:t xml:space="preserve">These results affirm that </w:t>
      </w:r>
      <w:r w:rsidRPr="00F03204">
        <w:rPr>
          <w:rFonts w:ascii="Arial" w:hAnsi="Arial" w:cs="Arial"/>
          <w:b/>
          <w:bCs/>
          <w:sz w:val="22"/>
          <w:szCs w:val="22"/>
        </w:rPr>
        <w:t>vegetation and water mitigate urban heat</w:t>
      </w:r>
      <w:r w:rsidRPr="00F03204">
        <w:rPr>
          <w:rFonts w:ascii="Arial" w:hAnsi="Arial" w:cs="Arial"/>
          <w:sz w:val="22"/>
          <w:szCs w:val="22"/>
        </w:rPr>
        <w:t>, while built-up and barren zones exacerbate it. This underscores the vital role of green infrastructure and water bodies in regulating the urban microclimate.</w:t>
      </w:r>
    </w:p>
    <w:p w14:paraId="46B5B2D8" w14:textId="172A2EBF" w:rsidR="00215F7C" w:rsidRPr="00F03204" w:rsidRDefault="00215F7C"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Policy Recommendations</w:t>
      </w:r>
      <w:r w:rsidR="005C3C95" w:rsidRPr="00F03204">
        <w:rPr>
          <w:rFonts w:ascii="Arial" w:hAnsi="Arial" w:cs="Arial"/>
          <w:b/>
          <w:bCs/>
          <w:color w:val="auto"/>
          <w:sz w:val="22"/>
          <w:szCs w:val="22"/>
        </w:rPr>
        <w:t>:</w:t>
      </w:r>
    </w:p>
    <w:p w14:paraId="439AE754" w14:textId="77777777" w:rsidR="00215F7C" w:rsidRPr="00F03204" w:rsidRDefault="00215F7C" w:rsidP="00AB3D00">
      <w:pPr>
        <w:jc w:val="both"/>
        <w:rPr>
          <w:rFonts w:ascii="Arial" w:hAnsi="Arial" w:cs="Arial"/>
          <w:sz w:val="22"/>
          <w:szCs w:val="22"/>
        </w:rPr>
      </w:pPr>
      <w:r w:rsidRPr="00F03204">
        <w:rPr>
          <w:rFonts w:ascii="Arial" w:hAnsi="Arial" w:cs="Arial"/>
          <w:sz w:val="22"/>
          <w:szCs w:val="22"/>
        </w:rPr>
        <w:t>Based on the scientific evidence presented, several policy interventions are recommended to promote sustainable urban development and environmental resilience in the Kolkata Metropolitan Area:</w:t>
      </w:r>
    </w:p>
    <w:p w14:paraId="28A959B5" w14:textId="7BBAE3D7" w:rsidR="00215F7C" w:rsidRPr="00F03204" w:rsidRDefault="00215F7C" w:rsidP="00AB3D00">
      <w:pPr>
        <w:jc w:val="both"/>
        <w:rPr>
          <w:rFonts w:ascii="Arial" w:hAnsi="Arial" w:cs="Arial"/>
          <w:b/>
          <w:bCs/>
          <w:sz w:val="22"/>
          <w:szCs w:val="22"/>
        </w:rPr>
      </w:pPr>
      <w:r w:rsidRPr="00F03204">
        <w:rPr>
          <w:rFonts w:ascii="Arial" w:hAnsi="Arial" w:cs="Arial"/>
          <w:b/>
          <w:bCs/>
          <w:sz w:val="22"/>
          <w:szCs w:val="22"/>
        </w:rPr>
        <w:t>Greening and Vegetation Enhancement</w:t>
      </w:r>
    </w:p>
    <w:p w14:paraId="03E34694" w14:textId="77777777" w:rsidR="00215F7C" w:rsidRPr="00F03204" w:rsidRDefault="00215F7C" w:rsidP="00AB3D00">
      <w:pPr>
        <w:numPr>
          <w:ilvl w:val="0"/>
          <w:numId w:val="14"/>
        </w:numPr>
        <w:jc w:val="both"/>
        <w:rPr>
          <w:rFonts w:ascii="Arial" w:hAnsi="Arial" w:cs="Arial"/>
          <w:sz w:val="22"/>
          <w:szCs w:val="22"/>
        </w:rPr>
      </w:pPr>
      <w:r w:rsidRPr="00F03204">
        <w:rPr>
          <w:rFonts w:ascii="Arial" w:hAnsi="Arial" w:cs="Arial"/>
          <w:sz w:val="22"/>
          <w:szCs w:val="22"/>
        </w:rPr>
        <w:t xml:space="preserve">Implement </w:t>
      </w:r>
      <w:r w:rsidRPr="00F03204">
        <w:rPr>
          <w:rFonts w:ascii="Arial" w:hAnsi="Arial" w:cs="Arial"/>
          <w:b/>
          <w:bCs/>
          <w:sz w:val="22"/>
          <w:szCs w:val="22"/>
        </w:rPr>
        <w:t>urban afforestation</w:t>
      </w:r>
      <w:r w:rsidRPr="00F03204">
        <w:rPr>
          <w:rFonts w:ascii="Arial" w:hAnsi="Arial" w:cs="Arial"/>
          <w:sz w:val="22"/>
          <w:szCs w:val="22"/>
        </w:rPr>
        <w:t xml:space="preserve"> programs and promote the integration of </w:t>
      </w:r>
      <w:r w:rsidRPr="00F03204">
        <w:rPr>
          <w:rFonts w:ascii="Arial" w:hAnsi="Arial" w:cs="Arial"/>
          <w:b/>
          <w:bCs/>
          <w:sz w:val="22"/>
          <w:szCs w:val="22"/>
        </w:rPr>
        <w:t>green roofs</w:t>
      </w:r>
      <w:r w:rsidRPr="00F03204">
        <w:rPr>
          <w:rFonts w:ascii="Arial" w:hAnsi="Arial" w:cs="Arial"/>
          <w:sz w:val="22"/>
          <w:szCs w:val="22"/>
        </w:rPr>
        <w:t xml:space="preserve">, </w:t>
      </w:r>
      <w:r w:rsidRPr="00F03204">
        <w:rPr>
          <w:rFonts w:ascii="Arial" w:hAnsi="Arial" w:cs="Arial"/>
          <w:b/>
          <w:bCs/>
          <w:sz w:val="22"/>
          <w:szCs w:val="22"/>
        </w:rPr>
        <w:t>vertical gardens</w:t>
      </w:r>
      <w:r w:rsidRPr="00F03204">
        <w:rPr>
          <w:rFonts w:ascii="Arial" w:hAnsi="Arial" w:cs="Arial"/>
          <w:sz w:val="22"/>
          <w:szCs w:val="22"/>
        </w:rPr>
        <w:t xml:space="preserve">, and </w:t>
      </w:r>
      <w:r w:rsidRPr="00F03204">
        <w:rPr>
          <w:rFonts w:ascii="Arial" w:hAnsi="Arial" w:cs="Arial"/>
          <w:b/>
          <w:bCs/>
          <w:sz w:val="22"/>
          <w:szCs w:val="22"/>
        </w:rPr>
        <w:t>roadside vegetation</w:t>
      </w:r>
      <w:r w:rsidRPr="00F03204">
        <w:rPr>
          <w:rFonts w:ascii="Arial" w:hAnsi="Arial" w:cs="Arial"/>
          <w:sz w:val="22"/>
          <w:szCs w:val="22"/>
        </w:rPr>
        <w:t>.</w:t>
      </w:r>
    </w:p>
    <w:p w14:paraId="41175CBB" w14:textId="77777777" w:rsidR="00215F7C" w:rsidRPr="00F03204" w:rsidRDefault="00215F7C" w:rsidP="00AB3D00">
      <w:pPr>
        <w:numPr>
          <w:ilvl w:val="0"/>
          <w:numId w:val="14"/>
        </w:numPr>
        <w:jc w:val="both"/>
        <w:rPr>
          <w:rFonts w:ascii="Arial" w:hAnsi="Arial" w:cs="Arial"/>
          <w:sz w:val="22"/>
          <w:szCs w:val="22"/>
        </w:rPr>
      </w:pPr>
      <w:r w:rsidRPr="00F03204">
        <w:rPr>
          <w:rFonts w:ascii="Arial" w:hAnsi="Arial" w:cs="Arial"/>
          <w:sz w:val="22"/>
          <w:szCs w:val="22"/>
        </w:rPr>
        <w:t xml:space="preserve">Incentivize </w:t>
      </w:r>
      <w:r w:rsidRPr="00F03204">
        <w:rPr>
          <w:rFonts w:ascii="Arial" w:hAnsi="Arial" w:cs="Arial"/>
          <w:b/>
          <w:bCs/>
          <w:sz w:val="22"/>
          <w:szCs w:val="22"/>
        </w:rPr>
        <w:t>green buffer zones</w:t>
      </w:r>
      <w:r w:rsidRPr="00F03204">
        <w:rPr>
          <w:rFonts w:ascii="Arial" w:hAnsi="Arial" w:cs="Arial"/>
          <w:sz w:val="22"/>
          <w:szCs w:val="22"/>
        </w:rPr>
        <w:t xml:space="preserve"> in rapidly developing and industrial corridors to counter LST rise.</w:t>
      </w:r>
    </w:p>
    <w:p w14:paraId="384D37EB" w14:textId="7A476883" w:rsidR="00215F7C" w:rsidRPr="00F03204" w:rsidRDefault="00215F7C" w:rsidP="00AB3D00">
      <w:pPr>
        <w:jc w:val="both"/>
        <w:rPr>
          <w:rFonts w:ascii="Arial" w:hAnsi="Arial" w:cs="Arial"/>
          <w:b/>
          <w:bCs/>
          <w:sz w:val="22"/>
          <w:szCs w:val="22"/>
        </w:rPr>
      </w:pPr>
      <w:r w:rsidRPr="00F03204">
        <w:rPr>
          <w:rFonts w:ascii="Arial" w:hAnsi="Arial" w:cs="Arial"/>
          <w:b/>
          <w:bCs/>
          <w:sz w:val="22"/>
          <w:szCs w:val="22"/>
        </w:rPr>
        <w:t xml:space="preserve"> Barren Land Conversion Strategy</w:t>
      </w:r>
    </w:p>
    <w:p w14:paraId="0566FEE0" w14:textId="77777777" w:rsidR="00215F7C" w:rsidRPr="00F03204" w:rsidRDefault="00215F7C" w:rsidP="00AB3D00">
      <w:pPr>
        <w:numPr>
          <w:ilvl w:val="0"/>
          <w:numId w:val="15"/>
        </w:numPr>
        <w:jc w:val="both"/>
        <w:rPr>
          <w:rFonts w:ascii="Arial" w:hAnsi="Arial" w:cs="Arial"/>
          <w:sz w:val="22"/>
          <w:szCs w:val="22"/>
        </w:rPr>
      </w:pPr>
      <w:r w:rsidRPr="00F03204">
        <w:rPr>
          <w:rFonts w:ascii="Arial" w:hAnsi="Arial" w:cs="Arial"/>
          <w:sz w:val="22"/>
          <w:szCs w:val="22"/>
        </w:rPr>
        <w:t xml:space="preserve">Convert large barren patches—especially those adjoining urban cores—into </w:t>
      </w:r>
      <w:r w:rsidRPr="00F03204">
        <w:rPr>
          <w:rFonts w:ascii="Arial" w:hAnsi="Arial" w:cs="Arial"/>
          <w:b/>
          <w:bCs/>
          <w:sz w:val="22"/>
          <w:szCs w:val="22"/>
        </w:rPr>
        <w:t>urban parks, community gardens, and eco-sensitive zones</w:t>
      </w:r>
      <w:r w:rsidRPr="00F03204">
        <w:rPr>
          <w:rFonts w:ascii="Arial" w:hAnsi="Arial" w:cs="Arial"/>
          <w:sz w:val="22"/>
          <w:szCs w:val="22"/>
        </w:rPr>
        <w:t>.</w:t>
      </w:r>
    </w:p>
    <w:p w14:paraId="5B4C9C4F" w14:textId="77777777" w:rsidR="00215F7C" w:rsidRPr="00F03204" w:rsidRDefault="00215F7C" w:rsidP="00AB3D00">
      <w:pPr>
        <w:numPr>
          <w:ilvl w:val="0"/>
          <w:numId w:val="15"/>
        </w:numPr>
        <w:jc w:val="both"/>
        <w:rPr>
          <w:rFonts w:ascii="Arial" w:hAnsi="Arial" w:cs="Arial"/>
          <w:sz w:val="22"/>
          <w:szCs w:val="22"/>
        </w:rPr>
      </w:pPr>
      <w:r w:rsidRPr="00F03204">
        <w:rPr>
          <w:rFonts w:ascii="Arial" w:hAnsi="Arial" w:cs="Arial"/>
          <w:sz w:val="22"/>
          <w:szCs w:val="22"/>
        </w:rPr>
        <w:t>Introduce zoning policies that limit the temporal duration for which construction sites remain in a barren state without cover.</w:t>
      </w:r>
    </w:p>
    <w:p w14:paraId="251560BC" w14:textId="41623FD2" w:rsidR="00215F7C" w:rsidRPr="00F03204" w:rsidRDefault="00215F7C" w:rsidP="00AB3D00">
      <w:pPr>
        <w:jc w:val="both"/>
        <w:rPr>
          <w:rFonts w:ascii="Arial" w:hAnsi="Arial" w:cs="Arial"/>
          <w:b/>
          <w:bCs/>
          <w:sz w:val="22"/>
          <w:szCs w:val="22"/>
        </w:rPr>
      </w:pPr>
      <w:r w:rsidRPr="00F03204">
        <w:rPr>
          <w:rFonts w:ascii="Arial" w:hAnsi="Arial" w:cs="Arial"/>
          <w:b/>
          <w:bCs/>
          <w:sz w:val="22"/>
          <w:szCs w:val="22"/>
        </w:rPr>
        <w:t xml:space="preserve"> Water Body Protection</w:t>
      </w:r>
    </w:p>
    <w:p w14:paraId="402CE490" w14:textId="77777777" w:rsidR="00215F7C" w:rsidRPr="00F03204" w:rsidRDefault="00215F7C" w:rsidP="00AB3D00">
      <w:pPr>
        <w:numPr>
          <w:ilvl w:val="0"/>
          <w:numId w:val="16"/>
        </w:numPr>
        <w:jc w:val="both"/>
        <w:rPr>
          <w:rFonts w:ascii="Arial" w:hAnsi="Arial" w:cs="Arial"/>
          <w:sz w:val="22"/>
          <w:szCs w:val="22"/>
        </w:rPr>
      </w:pPr>
      <w:r w:rsidRPr="00F03204">
        <w:rPr>
          <w:rFonts w:ascii="Arial" w:hAnsi="Arial" w:cs="Arial"/>
          <w:sz w:val="22"/>
          <w:szCs w:val="22"/>
        </w:rPr>
        <w:t xml:space="preserve">Enforce legal protection of </w:t>
      </w:r>
      <w:r w:rsidRPr="00F03204">
        <w:rPr>
          <w:rFonts w:ascii="Arial" w:hAnsi="Arial" w:cs="Arial"/>
          <w:b/>
          <w:bCs/>
          <w:sz w:val="22"/>
          <w:szCs w:val="22"/>
        </w:rPr>
        <w:t>existing ponds, wetlands, and riverbanks</w:t>
      </w:r>
      <w:r w:rsidRPr="00F03204">
        <w:rPr>
          <w:rFonts w:ascii="Arial" w:hAnsi="Arial" w:cs="Arial"/>
          <w:sz w:val="22"/>
          <w:szCs w:val="22"/>
        </w:rPr>
        <w:t>, especially in the southern and eastern KMA where NDWI decline is spatially evident.</w:t>
      </w:r>
    </w:p>
    <w:p w14:paraId="1549411B" w14:textId="77777777" w:rsidR="00215F7C" w:rsidRDefault="00215F7C" w:rsidP="00AB3D00">
      <w:pPr>
        <w:numPr>
          <w:ilvl w:val="0"/>
          <w:numId w:val="16"/>
        </w:numPr>
        <w:jc w:val="both"/>
        <w:rPr>
          <w:rFonts w:ascii="Arial" w:hAnsi="Arial" w:cs="Arial"/>
          <w:sz w:val="22"/>
          <w:szCs w:val="22"/>
        </w:rPr>
      </w:pPr>
      <w:r w:rsidRPr="00F03204">
        <w:rPr>
          <w:rFonts w:ascii="Arial" w:hAnsi="Arial" w:cs="Arial"/>
          <w:sz w:val="22"/>
          <w:szCs w:val="22"/>
        </w:rPr>
        <w:t xml:space="preserve">Encourage </w:t>
      </w:r>
      <w:r w:rsidRPr="00F03204">
        <w:rPr>
          <w:rFonts w:ascii="Arial" w:hAnsi="Arial" w:cs="Arial"/>
          <w:b/>
          <w:bCs/>
          <w:sz w:val="22"/>
          <w:szCs w:val="22"/>
        </w:rPr>
        <w:t>decentralized rainwater harvesting</w:t>
      </w:r>
      <w:r w:rsidRPr="00F03204">
        <w:rPr>
          <w:rFonts w:ascii="Arial" w:hAnsi="Arial" w:cs="Arial"/>
          <w:sz w:val="22"/>
          <w:szCs w:val="22"/>
        </w:rPr>
        <w:t xml:space="preserve"> and </w:t>
      </w:r>
      <w:r w:rsidRPr="00F03204">
        <w:rPr>
          <w:rFonts w:ascii="Arial" w:hAnsi="Arial" w:cs="Arial"/>
          <w:b/>
          <w:bCs/>
          <w:sz w:val="22"/>
          <w:szCs w:val="22"/>
        </w:rPr>
        <w:t>permeable pavement infrastructure</w:t>
      </w:r>
      <w:r w:rsidRPr="00F03204">
        <w:rPr>
          <w:rFonts w:ascii="Arial" w:hAnsi="Arial" w:cs="Arial"/>
          <w:sz w:val="22"/>
          <w:szCs w:val="22"/>
        </w:rPr>
        <w:t xml:space="preserve"> to restore surface hydrology.</w:t>
      </w:r>
    </w:p>
    <w:p w14:paraId="53D3A10C" w14:textId="77777777" w:rsidR="00F6254F" w:rsidRDefault="00F6254F" w:rsidP="00F6254F">
      <w:pPr>
        <w:jc w:val="both"/>
        <w:rPr>
          <w:rFonts w:ascii="Arial" w:hAnsi="Arial" w:cs="Arial"/>
          <w:sz w:val="22"/>
          <w:szCs w:val="22"/>
        </w:rPr>
      </w:pPr>
    </w:p>
    <w:p w14:paraId="4C221567" w14:textId="77777777" w:rsidR="00F6254F" w:rsidRPr="00F03204" w:rsidRDefault="00F6254F" w:rsidP="00F6254F">
      <w:pPr>
        <w:jc w:val="both"/>
        <w:rPr>
          <w:rFonts w:ascii="Arial" w:hAnsi="Arial" w:cs="Arial"/>
          <w:sz w:val="22"/>
          <w:szCs w:val="22"/>
        </w:rPr>
      </w:pPr>
    </w:p>
    <w:p w14:paraId="365365A7" w14:textId="67B5C3D8" w:rsidR="00215F7C" w:rsidRPr="00F03204" w:rsidRDefault="00215F7C" w:rsidP="00AB3D00">
      <w:pPr>
        <w:jc w:val="both"/>
        <w:rPr>
          <w:rFonts w:ascii="Arial" w:hAnsi="Arial" w:cs="Arial"/>
          <w:b/>
          <w:bCs/>
          <w:sz w:val="22"/>
          <w:szCs w:val="22"/>
        </w:rPr>
      </w:pPr>
      <w:r w:rsidRPr="00F03204">
        <w:rPr>
          <w:rFonts w:ascii="Arial" w:hAnsi="Arial" w:cs="Arial"/>
          <w:b/>
          <w:bCs/>
          <w:sz w:val="22"/>
          <w:szCs w:val="22"/>
        </w:rPr>
        <w:lastRenderedPageBreak/>
        <w:t xml:space="preserve"> Thermal Zoning in Urban Planning</w:t>
      </w:r>
    </w:p>
    <w:p w14:paraId="386F7E07" w14:textId="77777777" w:rsidR="00215F7C" w:rsidRPr="00F03204" w:rsidRDefault="00215F7C" w:rsidP="00AB3D00">
      <w:pPr>
        <w:numPr>
          <w:ilvl w:val="0"/>
          <w:numId w:val="17"/>
        </w:numPr>
        <w:jc w:val="both"/>
        <w:rPr>
          <w:rFonts w:ascii="Arial" w:hAnsi="Arial" w:cs="Arial"/>
          <w:sz w:val="22"/>
          <w:szCs w:val="22"/>
        </w:rPr>
      </w:pPr>
      <w:r w:rsidRPr="00F03204">
        <w:rPr>
          <w:rFonts w:ascii="Arial" w:hAnsi="Arial" w:cs="Arial"/>
          <w:sz w:val="22"/>
          <w:szCs w:val="22"/>
        </w:rPr>
        <w:t xml:space="preserve">Integrate </w:t>
      </w:r>
      <w:r w:rsidRPr="00F03204">
        <w:rPr>
          <w:rFonts w:ascii="Arial" w:hAnsi="Arial" w:cs="Arial"/>
          <w:b/>
          <w:bCs/>
          <w:sz w:val="22"/>
          <w:szCs w:val="22"/>
        </w:rPr>
        <w:t>thermal zoning</w:t>
      </w:r>
      <w:r w:rsidRPr="00F03204">
        <w:rPr>
          <w:rFonts w:ascii="Arial" w:hAnsi="Arial" w:cs="Arial"/>
          <w:sz w:val="22"/>
          <w:szCs w:val="22"/>
        </w:rPr>
        <w:t xml:space="preserve"> into building codes to mitigate UHI effects by restricting highly reflective/heat-retaining surfaces in dense zones.</w:t>
      </w:r>
    </w:p>
    <w:p w14:paraId="28429B86" w14:textId="77777777" w:rsidR="00215F7C" w:rsidRPr="00F03204" w:rsidRDefault="00215F7C" w:rsidP="00AB3D00">
      <w:pPr>
        <w:numPr>
          <w:ilvl w:val="0"/>
          <w:numId w:val="17"/>
        </w:numPr>
        <w:jc w:val="both"/>
        <w:rPr>
          <w:rFonts w:ascii="Arial" w:hAnsi="Arial" w:cs="Arial"/>
          <w:sz w:val="22"/>
          <w:szCs w:val="22"/>
        </w:rPr>
      </w:pPr>
      <w:r w:rsidRPr="00F03204">
        <w:rPr>
          <w:rFonts w:ascii="Arial" w:hAnsi="Arial" w:cs="Arial"/>
          <w:sz w:val="22"/>
          <w:szCs w:val="22"/>
        </w:rPr>
        <w:t xml:space="preserve">Develop an </w:t>
      </w:r>
      <w:r w:rsidRPr="00F03204">
        <w:rPr>
          <w:rFonts w:ascii="Arial" w:hAnsi="Arial" w:cs="Arial"/>
          <w:b/>
          <w:bCs/>
          <w:sz w:val="22"/>
          <w:szCs w:val="22"/>
        </w:rPr>
        <w:t>Urban Climate Resilience Index (UCRI)</w:t>
      </w:r>
      <w:r w:rsidRPr="00F03204">
        <w:rPr>
          <w:rFonts w:ascii="Arial" w:hAnsi="Arial" w:cs="Arial"/>
          <w:sz w:val="22"/>
          <w:szCs w:val="22"/>
        </w:rPr>
        <w:t xml:space="preserve"> based on NDVI, NDBI, NDWI, and LST to assess risk and guide infrastructure design.</w:t>
      </w:r>
    </w:p>
    <w:p w14:paraId="1E553A60" w14:textId="3208B334" w:rsidR="00215F7C" w:rsidRPr="00F03204" w:rsidRDefault="00215F7C" w:rsidP="00AB3D00">
      <w:pPr>
        <w:jc w:val="both"/>
        <w:rPr>
          <w:rFonts w:ascii="Arial" w:hAnsi="Arial" w:cs="Arial"/>
          <w:b/>
          <w:bCs/>
          <w:sz w:val="22"/>
          <w:szCs w:val="22"/>
        </w:rPr>
      </w:pPr>
      <w:r w:rsidRPr="00F03204">
        <w:rPr>
          <w:rFonts w:ascii="Arial" w:hAnsi="Arial" w:cs="Arial"/>
          <w:b/>
          <w:bCs/>
          <w:sz w:val="22"/>
          <w:szCs w:val="22"/>
        </w:rPr>
        <w:t xml:space="preserve"> Geospatial Monitoring Framework</w:t>
      </w:r>
    </w:p>
    <w:p w14:paraId="46AD2E6B" w14:textId="77777777" w:rsidR="00215F7C" w:rsidRPr="00F03204" w:rsidRDefault="00215F7C" w:rsidP="00AB3D00">
      <w:pPr>
        <w:numPr>
          <w:ilvl w:val="0"/>
          <w:numId w:val="18"/>
        </w:numPr>
        <w:jc w:val="both"/>
        <w:rPr>
          <w:rFonts w:ascii="Arial" w:hAnsi="Arial" w:cs="Arial"/>
          <w:sz w:val="22"/>
          <w:szCs w:val="22"/>
        </w:rPr>
      </w:pPr>
      <w:r w:rsidRPr="00F03204">
        <w:rPr>
          <w:rFonts w:ascii="Arial" w:hAnsi="Arial" w:cs="Arial"/>
          <w:sz w:val="22"/>
          <w:szCs w:val="22"/>
        </w:rPr>
        <w:t xml:space="preserve">Establish a </w:t>
      </w:r>
      <w:r w:rsidRPr="00F03204">
        <w:rPr>
          <w:rFonts w:ascii="Arial" w:hAnsi="Arial" w:cs="Arial"/>
          <w:b/>
          <w:bCs/>
          <w:sz w:val="22"/>
          <w:szCs w:val="22"/>
        </w:rPr>
        <w:t>municipal geospatial cell</w:t>
      </w:r>
      <w:r w:rsidRPr="00F03204">
        <w:rPr>
          <w:rFonts w:ascii="Arial" w:hAnsi="Arial" w:cs="Arial"/>
          <w:sz w:val="22"/>
          <w:szCs w:val="22"/>
        </w:rPr>
        <w:t xml:space="preserve"> to conduct seasonal LULC and LST mapping using freely available satellite data.</w:t>
      </w:r>
    </w:p>
    <w:p w14:paraId="75D5E37D" w14:textId="77777777" w:rsidR="00DA3DEA" w:rsidRPr="00FB3A86" w:rsidRDefault="00DA3DEA" w:rsidP="00E729F0">
      <w:pPr>
        <w:pStyle w:val="AcknHead"/>
        <w:spacing w:after="0"/>
        <w:ind w:left="720"/>
        <w:jc w:val="both"/>
        <w:rPr>
          <w:rFonts w:ascii="Arial" w:hAnsi="Arial" w:cs="Arial"/>
        </w:rPr>
      </w:pPr>
    </w:p>
    <w:p w14:paraId="058EBAFE" w14:textId="77777777" w:rsidR="00840070" w:rsidRDefault="00840070" w:rsidP="00840070">
      <w:pPr>
        <w:pStyle w:val="ListParagraph"/>
        <w:rPr>
          <w:rFonts w:ascii="Arial" w:hAnsi="Arial" w:cs="Arial"/>
          <w:bCs/>
        </w:rPr>
      </w:pPr>
    </w:p>
    <w:p w14:paraId="126BAB81" w14:textId="77777777" w:rsidR="00840070" w:rsidRPr="00840070" w:rsidRDefault="00840070" w:rsidP="00840070">
      <w:pPr>
        <w:spacing w:after="200" w:line="276" w:lineRule="auto"/>
        <w:jc w:val="both"/>
        <w:outlineLvl w:val="0"/>
        <w:rPr>
          <w:rFonts w:ascii="Arial" w:eastAsia="Times New Roman" w:hAnsi="Arial" w:cs="Arial"/>
          <w:kern w:val="0"/>
          <w:sz w:val="22"/>
          <w:szCs w:val="22"/>
          <w:lang w:val="en-GB" w:eastAsia="en-GB"/>
          <w14:ligatures w14:val="none"/>
        </w:rPr>
      </w:pPr>
      <w:r w:rsidRPr="00840070">
        <w:rPr>
          <w:rFonts w:ascii="Arial" w:eastAsia="Times New Roman" w:hAnsi="Arial" w:cs="Arial"/>
          <w:b/>
          <w:bCs/>
          <w:kern w:val="0"/>
          <w:sz w:val="22"/>
          <w:szCs w:val="22"/>
          <w:lang w:val="en-GB" w:eastAsia="en-GB"/>
          <w14:ligatures w14:val="none"/>
        </w:rPr>
        <w:t>COMPETING INTERESTS DISCLAIMER:</w:t>
      </w:r>
    </w:p>
    <w:p w14:paraId="479F34BE" w14:textId="77777777" w:rsidR="00840070" w:rsidRPr="00840070" w:rsidRDefault="00840070" w:rsidP="00840070">
      <w:pPr>
        <w:spacing w:after="200" w:line="276" w:lineRule="auto"/>
        <w:rPr>
          <w:rFonts w:ascii="Calibri" w:eastAsia="Times New Roman" w:hAnsi="Calibri" w:cs="Times New Roman"/>
          <w:kern w:val="0"/>
          <w:sz w:val="22"/>
          <w:szCs w:val="22"/>
          <w:lang w:val="en-GB" w:eastAsia="en-GB"/>
          <w14:ligatures w14:val="none"/>
        </w:rPr>
      </w:pPr>
      <w:r w:rsidRPr="00840070">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033FD72" w14:textId="77777777" w:rsidR="00840070" w:rsidRDefault="00840070" w:rsidP="00840070">
      <w:pPr>
        <w:pStyle w:val="ReferHead"/>
        <w:spacing w:after="0" w:line="276" w:lineRule="auto"/>
        <w:jc w:val="both"/>
        <w:rPr>
          <w:rFonts w:ascii="Arial" w:hAnsi="Arial" w:cs="Arial"/>
          <w:bCs/>
        </w:rPr>
      </w:pPr>
    </w:p>
    <w:p w14:paraId="3F706A58" w14:textId="77777777" w:rsidR="00932906" w:rsidRPr="00F03204" w:rsidRDefault="00932906" w:rsidP="00AB3D00">
      <w:pPr>
        <w:ind w:left="360"/>
        <w:jc w:val="both"/>
        <w:rPr>
          <w:rFonts w:ascii="Arial" w:hAnsi="Arial" w:cs="Arial"/>
          <w:sz w:val="22"/>
          <w:szCs w:val="22"/>
        </w:rPr>
      </w:pPr>
    </w:p>
    <w:p w14:paraId="1FB79938" w14:textId="2241D68A" w:rsidR="004723AE" w:rsidRPr="00F03204" w:rsidRDefault="004723AE" w:rsidP="00AB3D00">
      <w:pPr>
        <w:pStyle w:val="Heading1"/>
        <w:jc w:val="both"/>
        <w:rPr>
          <w:rFonts w:ascii="Arial" w:hAnsi="Arial" w:cs="Arial"/>
          <w:b/>
          <w:bCs/>
          <w:color w:val="auto"/>
          <w:sz w:val="22"/>
          <w:szCs w:val="22"/>
        </w:rPr>
      </w:pPr>
      <w:r w:rsidRPr="00F03204">
        <w:rPr>
          <w:rFonts w:ascii="Arial" w:hAnsi="Arial" w:cs="Arial"/>
          <w:b/>
          <w:bCs/>
          <w:color w:val="auto"/>
          <w:sz w:val="22"/>
          <w:szCs w:val="22"/>
        </w:rPr>
        <w:t xml:space="preserve">References: </w:t>
      </w:r>
    </w:p>
    <w:p w14:paraId="381BDB0C"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b/>
          <w:bCs/>
          <w:sz w:val="22"/>
          <w:szCs w:val="22"/>
        </w:rPr>
        <w:fldChar w:fldCharType="begin"/>
      </w:r>
      <w:r w:rsidRPr="00F03204">
        <w:rPr>
          <w:rFonts w:ascii="Arial" w:hAnsi="Arial" w:cs="Arial"/>
          <w:b/>
          <w:bCs/>
          <w:sz w:val="22"/>
          <w:szCs w:val="22"/>
        </w:rPr>
        <w:instrText xml:space="preserve"> ADDIN ZOTERO_BIBL {"uncited":[],"omitted":[],"custom":[]} CSL_BIBLIOGRAPHY </w:instrText>
      </w:r>
      <w:r w:rsidRPr="00F03204">
        <w:rPr>
          <w:rFonts w:ascii="Arial" w:hAnsi="Arial" w:cs="Arial"/>
          <w:b/>
          <w:bCs/>
          <w:sz w:val="22"/>
          <w:szCs w:val="22"/>
        </w:rPr>
        <w:fldChar w:fldCharType="separate"/>
      </w:r>
      <w:r w:rsidRPr="00F03204">
        <w:rPr>
          <w:rFonts w:ascii="Arial" w:hAnsi="Arial" w:cs="Arial"/>
          <w:sz w:val="22"/>
          <w:szCs w:val="22"/>
        </w:rPr>
        <w:t xml:space="preserve">Astuti, I. S., Sahoo, K., Milewski, A., &amp; Mishra, D. R. (2019). Impact of Land Use Land Cover (LULC) Change on Surface Runoff in an Increasingly Urbanized Tropical Watershed. </w:t>
      </w:r>
      <w:r w:rsidRPr="00F03204">
        <w:rPr>
          <w:rFonts w:ascii="Arial" w:hAnsi="Arial" w:cs="Arial"/>
          <w:i/>
          <w:iCs/>
          <w:sz w:val="22"/>
          <w:szCs w:val="22"/>
        </w:rPr>
        <w:t>Water Resources Management</w:t>
      </w:r>
      <w:r w:rsidRPr="00F03204">
        <w:rPr>
          <w:rFonts w:ascii="Arial" w:hAnsi="Arial" w:cs="Arial"/>
          <w:sz w:val="22"/>
          <w:szCs w:val="22"/>
        </w:rPr>
        <w:t xml:space="preserve">, </w:t>
      </w:r>
      <w:r w:rsidRPr="00F03204">
        <w:rPr>
          <w:rFonts w:ascii="Arial" w:hAnsi="Arial" w:cs="Arial"/>
          <w:i/>
          <w:iCs/>
          <w:sz w:val="22"/>
          <w:szCs w:val="22"/>
        </w:rPr>
        <w:t>33</w:t>
      </w:r>
      <w:r w:rsidRPr="00F03204">
        <w:rPr>
          <w:rFonts w:ascii="Arial" w:hAnsi="Arial" w:cs="Arial"/>
          <w:sz w:val="22"/>
          <w:szCs w:val="22"/>
        </w:rPr>
        <w:t>(12), 4087–4103. https://doi.org/10.1007/s11269-019-02320-w</w:t>
      </w:r>
    </w:p>
    <w:p w14:paraId="1FAF1CD9"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Attri, P., Chaudhry, S., &amp; Sharma, S. (n.d.). </w:t>
      </w:r>
      <w:r w:rsidRPr="00F03204">
        <w:rPr>
          <w:rFonts w:ascii="Arial" w:hAnsi="Arial" w:cs="Arial"/>
          <w:i/>
          <w:iCs/>
          <w:sz w:val="22"/>
          <w:szCs w:val="22"/>
        </w:rPr>
        <w:t>Remote Sensing &amp; GIS based Approaches for LULC Change Detection – A Review</w:t>
      </w:r>
      <w:r w:rsidRPr="00F03204">
        <w:rPr>
          <w:rFonts w:ascii="Arial" w:hAnsi="Arial" w:cs="Arial"/>
          <w:sz w:val="22"/>
          <w:szCs w:val="22"/>
        </w:rPr>
        <w:t>.</w:t>
      </w:r>
    </w:p>
    <w:p w14:paraId="1BF2813C"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Avci, C., Budak, M., Yağmur, N., &amp; Balçik, F. (2023). Comparison between random forest and support vector machine algorithms for LULC classification. </w:t>
      </w:r>
      <w:r w:rsidRPr="00F03204">
        <w:rPr>
          <w:rFonts w:ascii="Arial" w:hAnsi="Arial" w:cs="Arial"/>
          <w:i/>
          <w:iCs/>
          <w:sz w:val="22"/>
          <w:szCs w:val="22"/>
        </w:rPr>
        <w:t>International Journal of Engineering and Geosciences</w:t>
      </w:r>
      <w:r w:rsidRPr="00F03204">
        <w:rPr>
          <w:rFonts w:ascii="Arial" w:hAnsi="Arial" w:cs="Arial"/>
          <w:sz w:val="22"/>
          <w:szCs w:val="22"/>
        </w:rPr>
        <w:t xml:space="preserve">, </w:t>
      </w:r>
      <w:r w:rsidRPr="00F03204">
        <w:rPr>
          <w:rFonts w:ascii="Arial" w:hAnsi="Arial" w:cs="Arial"/>
          <w:i/>
          <w:iCs/>
          <w:sz w:val="22"/>
          <w:szCs w:val="22"/>
        </w:rPr>
        <w:t>8</w:t>
      </w:r>
      <w:r w:rsidRPr="00F03204">
        <w:rPr>
          <w:rFonts w:ascii="Arial" w:hAnsi="Arial" w:cs="Arial"/>
          <w:sz w:val="22"/>
          <w:szCs w:val="22"/>
        </w:rPr>
        <w:t>(1), 1–10. https://doi.org/10.26833/ijeg.987605</w:t>
      </w:r>
    </w:p>
    <w:p w14:paraId="41548A74"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Bharathkumar, L., &amp; Mohammed-Aslam, M. A. (2015). Crop Pattern Mapping of Tumkur Taluk Using NDVI Technique: A Remote Sensing and GIS Approach. </w:t>
      </w:r>
      <w:r w:rsidRPr="00F03204">
        <w:rPr>
          <w:rFonts w:ascii="Arial" w:hAnsi="Arial" w:cs="Arial"/>
          <w:i/>
          <w:iCs/>
          <w:sz w:val="22"/>
          <w:szCs w:val="22"/>
        </w:rPr>
        <w:t>Aquatic Procedia</w:t>
      </w:r>
      <w:r w:rsidRPr="00F03204">
        <w:rPr>
          <w:rFonts w:ascii="Arial" w:hAnsi="Arial" w:cs="Arial"/>
          <w:sz w:val="22"/>
          <w:szCs w:val="22"/>
        </w:rPr>
        <w:t xml:space="preserve">, </w:t>
      </w:r>
      <w:r w:rsidRPr="00F03204">
        <w:rPr>
          <w:rFonts w:ascii="Arial" w:hAnsi="Arial" w:cs="Arial"/>
          <w:i/>
          <w:iCs/>
          <w:sz w:val="22"/>
          <w:szCs w:val="22"/>
        </w:rPr>
        <w:t>4</w:t>
      </w:r>
      <w:r w:rsidRPr="00F03204">
        <w:rPr>
          <w:rFonts w:ascii="Arial" w:hAnsi="Arial" w:cs="Arial"/>
          <w:sz w:val="22"/>
          <w:szCs w:val="22"/>
        </w:rPr>
        <w:t>, 1397–1404. https://doi.org/10.1016/j.aqpro.2015.02.181</w:t>
      </w:r>
    </w:p>
    <w:p w14:paraId="63504BB2"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Bhattacharjee, S., &amp; Ghosh, S. K. (2015). SPATIO-TEMPORAL CHANGE MODELING OF LULC: A SEMANTIC KRIGING APPROACH. </w:t>
      </w:r>
      <w:r w:rsidRPr="00F03204">
        <w:rPr>
          <w:rFonts w:ascii="Arial" w:hAnsi="Arial" w:cs="Arial"/>
          <w:i/>
          <w:iCs/>
          <w:sz w:val="22"/>
          <w:szCs w:val="22"/>
        </w:rPr>
        <w:t>ISPRS Annals of the Photogrammetry, Remote Sensing and Spatial Information Sciences</w:t>
      </w:r>
      <w:r w:rsidRPr="00F03204">
        <w:rPr>
          <w:rFonts w:ascii="Arial" w:hAnsi="Arial" w:cs="Arial"/>
          <w:sz w:val="22"/>
          <w:szCs w:val="22"/>
        </w:rPr>
        <w:t xml:space="preserve">, </w:t>
      </w:r>
      <w:r w:rsidRPr="00F03204">
        <w:rPr>
          <w:rFonts w:ascii="Arial" w:hAnsi="Arial" w:cs="Arial"/>
          <w:i/>
          <w:iCs/>
          <w:sz w:val="22"/>
          <w:szCs w:val="22"/>
        </w:rPr>
        <w:t>II-4/W2</w:t>
      </w:r>
      <w:r w:rsidRPr="00F03204">
        <w:rPr>
          <w:rFonts w:ascii="Arial" w:hAnsi="Arial" w:cs="Arial"/>
          <w:sz w:val="22"/>
          <w:szCs w:val="22"/>
        </w:rPr>
        <w:t>, 177–184. https://doi.org/10.5194/isprsannals-II-4-W2-177-2015</w:t>
      </w:r>
    </w:p>
    <w:p w14:paraId="1A74D76A"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Chen, J., Wang, Y., Wang, J., Zhang, Y., Xu, Y., Yang, O., Zhang, R., Wang, J., Wang, Z., Lu, F., &amp; Hu, Z. (2024). The Performance of Landsat-8 and Landsat-9 Data for Water Body </w:t>
      </w:r>
      <w:r w:rsidRPr="00F03204">
        <w:rPr>
          <w:rFonts w:ascii="Arial" w:hAnsi="Arial" w:cs="Arial"/>
          <w:sz w:val="22"/>
          <w:szCs w:val="22"/>
        </w:rPr>
        <w:lastRenderedPageBreak/>
        <w:t xml:space="preserve">Extraction Based on Various Water Indices: A Comparative Analysis. </w:t>
      </w:r>
      <w:r w:rsidRPr="00F03204">
        <w:rPr>
          <w:rFonts w:ascii="Arial" w:hAnsi="Arial" w:cs="Arial"/>
          <w:i/>
          <w:iCs/>
          <w:sz w:val="22"/>
          <w:szCs w:val="22"/>
        </w:rPr>
        <w:t>Remote Sensing</w:t>
      </w:r>
      <w:r w:rsidRPr="00F03204">
        <w:rPr>
          <w:rFonts w:ascii="Arial" w:hAnsi="Arial" w:cs="Arial"/>
          <w:sz w:val="22"/>
          <w:szCs w:val="22"/>
        </w:rPr>
        <w:t xml:space="preserve">, </w:t>
      </w:r>
      <w:r w:rsidRPr="00F03204">
        <w:rPr>
          <w:rFonts w:ascii="Arial" w:hAnsi="Arial" w:cs="Arial"/>
          <w:i/>
          <w:iCs/>
          <w:sz w:val="22"/>
          <w:szCs w:val="22"/>
        </w:rPr>
        <w:t>16</w:t>
      </w:r>
      <w:r w:rsidRPr="00F03204">
        <w:rPr>
          <w:rFonts w:ascii="Arial" w:hAnsi="Arial" w:cs="Arial"/>
          <w:sz w:val="22"/>
          <w:szCs w:val="22"/>
        </w:rPr>
        <w:t>(11), 1984. https://doi.org/10.3390/rs16111984</w:t>
      </w:r>
    </w:p>
    <w:p w14:paraId="0F78B8A1"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Costa, S., Santos, V., Melo, D., &amp; Santos, P. (2017). Evaluation of Landsat 8 and Sentinel-2A data on the correlation between geological mapping and NDVI. </w:t>
      </w:r>
      <w:r w:rsidRPr="00F03204">
        <w:rPr>
          <w:rFonts w:ascii="Arial" w:hAnsi="Arial" w:cs="Arial"/>
          <w:i/>
          <w:iCs/>
          <w:sz w:val="22"/>
          <w:szCs w:val="22"/>
        </w:rPr>
        <w:t>2017 First IEEE International Symposium of Geoscience and Remote Sensing (GRSS-CHILE)</w:t>
      </w:r>
      <w:r w:rsidRPr="00F03204">
        <w:rPr>
          <w:rFonts w:ascii="Arial" w:hAnsi="Arial" w:cs="Arial"/>
          <w:sz w:val="22"/>
          <w:szCs w:val="22"/>
        </w:rPr>
        <w:t>, 1–4. https://doi.org/10.1109/GRSS-CHILE.2017.7996006</w:t>
      </w:r>
    </w:p>
    <w:p w14:paraId="254FB808"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Das, S., Kumar Shit, P., Bera, B., &amp; Adhikary, P. P. (2022). Effect of urbanization on the dynamics of ecosystem services: An analysis for decision making in Kolkata urban agglomeration. </w:t>
      </w:r>
      <w:r w:rsidRPr="00F03204">
        <w:rPr>
          <w:rFonts w:ascii="Arial" w:hAnsi="Arial" w:cs="Arial"/>
          <w:i/>
          <w:iCs/>
          <w:sz w:val="22"/>
          <w:szCs w:val="22"/>
        </w:rPr>
        <w:t>Urban Ecosystems</w:t>
      </w:r>
      <w:r w:rsidRPr="00F03204">
        <w:rPr>
          <w:rFonts w:ascii="Arial" w:hAnsi="Arial" w:cs="Arial"/>
          <w:sz w:val="22"/>
          <w:szCs w:val="22"/>
        </w:rPr>
        <w:t xml:space="preserve">, </w:t>
      </w:r>
      <w:r w:rsidRPr="00F03204">
        <w:rPr>
          <w:rFonts w:ascii="Arial" w:hAnsi="Arial" w:cs="Arial"/>
          <w:i/>
          <w:iCs/>
          <w:sz w:val="22"/>
          <w:szCs w:val="22"/>
        </w:rPr>
        <w:t>25</w:t>
      </w:r>
      <w:r w:rsidRPr="00F03204">
        <w:rPr>
          <w:rFonts w:ascii="Arial" w:hAnsi="Arial" w:cs="Arial"/>
          <w:sz w:val="22"/>
          <w:szCs w:val="22"/>
        </w:rPr>
        <w:t>(5), 1541–1559. https://doi.org/10.1007/s11252-022-01246-3</w:t>
      </w:r>
    </w:p>
    <w:p w14:paraId="7E53BF94"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Filgueiras, R., Mantovani, E. C., Fernandes-Filho, E. I., Cunha, F. F. D., Althoff, D., &amp; Dias, S. H. B. (2020). Fusion of MODIS and Landsat-Like Images for Daily High Spatial Resolution NDVI. </w:t>
      </w:r>
      <w:r w:rsidRPr="00F03204">
        <w:rPr>
          <w:rFonts w:ascii="Arial" w:hAnsi="Arial" w:cs="Arial"/>
          <w:i/>
          <w:iCs/>
          <w:sz w:val="22"/>
          <w:szCs w:val="22"/>
        </w:rPr>
        <w:t>Remote Sensing</w:t>
      </w:r>
      <w:r w:rsidRPr="00F03204">
        <w:rPr>
          <w:rFonts w:ascii="Arial" w:hAnsi="Arial" w:cs="Arial"/>
          <w:sz w:val="22"/>
          <w:szCs w:val="22"/>
        </w:rPr>
        <w:t xml:space="preserve">, </w:t>
      </w:r>
      <w:r w:rsidRPr="00F03204">
        <w:rPr>
          <w:rFonts w:ascii="Arial" w:hAnsi="Arial" w:cs="Arial"/>
          <w:i/>
          <w:iCs/>
          <w:sz w:val="22"/>
          <w:szCs w:val="22"/>
        </w:rPr>
        <w:t>12</w:t>
      </w:r>
      <w:r w:rsidRPr="00F03204">
        <w:rPr>
          <w:rFonts w:ascii="Arial" w:hAnsi="Arial" w:cs="Arial"/>
          <w:sz w:val="22"/>
          <w:szCs w:val="22"/>
        </w:rPr>
        <w:t>(8), 1297. https://doi.org/10.3390/rs12081297</w:t>
      </w:r>
    </w:p>
    <w:p w14:paraId="6DE98534"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Fu, G., Shen, Z., Zhang, X., Shi, P., Zhang, Y., &amp; Wu, J. (2011). Estimating air temperature of an alpine meadow on the Northern Tibetan Plateau using MODIS land surface temperature. </w:t>
      </w:r>
      <w:r w:rsidRPr="00F03204">
        <w:rPr>
          <w:rFonts w:ascii="Arial" w:hAnsi="Arial" w:cs="Arial"/>
          <w:i/>
          <w:iCs/>
          <w:sz w:val="22"/>
          <w:szCs w:val="22"/>
        </w:rPr>
        <w:t>Acta Ecologica Sinica</w:t>
      </w:r>
      <w:r w:rsidRPr="00F03204">
        <w:rPr>
          <w:rFonts w:ascii="Arial" w:hAnsi="Arial" w:cs="Arial"/>
          <w:sz w:val="22"/>
          <w:szCs w:val="22"/>
        </w:rPr>
        <w:t xml:space="preserve">, </w:t>
      </w:r>
      <w:r w:rsidRPr="00F03204">
        <w:rPr>
          <w:rFonts w:ascii="Arial" w:hAnsi="Arial" w:cs="Arial"/>
          <w:i/>
          <w:iCs/>
          <w:sz w:val="22"/>
          <w:szCs w:val="22"/>
        </w:rPr>
        <w:t>31</w:t>
      </w:r>
      <w:r w:rsidRPr="00F03204">
        <w:rPr>
          <w:rFonts w:ascii="Arial" w:hAnsi="Arial" w:cs="Arial"/>
          <w:sz w:val="22"/>
          <w:szCs w:val="22"/>
        </w:rPr>
        <w:t>(1), 8–13. https://doi.org/10.1016/j.chnaes.2010.11.002</w:t>
      </w:r>
    </w:p>
    <w:p w14:paraId="32A80039"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i/>
          <w:iCs/>
          <w:sz w:val="22"/>
          <w:szCs w:val="22"/>
        </w:rPr>
        <w:t>GIS_application_for_NDVI_calculation_usi</w:t>
      </w:r>
      <w:r w:rsidRPr="00F03204">
        <w:rPr>
          <w:rFonts w:ascii="Arial" w:hAnsi="Arial" w:cs="Arial"/>
          <w:sz w:val="22"/>
          <w:szCs w:val="22"/>
        </w:rPr>
        <w:t>. (n.d.).</w:t>
      </w:r>
    </w:p>
    <w:p w14:paraId="721D4692"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Guha, S., Govil, H., Dey, A., &amp; Gill, N. (2018). Analytical study of land surface temperature with NDVI and NDBI using Landsat 8 OLI and TIRS data in Florence and Naples city, Italy. </w:t>
      </w:r>
      <w:r w:rsidRPr="00F03204">
        <w:rPr>
          <w:rFonts w:ascii="Arial" w:hAnsi="Arial" w:cs="Arial"/>
          <w:i/>
          <w:iCs/>
          <w:sz w:val="22"/>
          <w:szCs w:val="22"/>
        </w:rPr>
        <w:t>European Journal of Remote Sensing</w:t>
      </w:r>
      <w:r w:rsidRPr="00F03204">
        <w:rPr>
          <w:rFonts w:ascii="Arial" w:hAnsi="Arial" w:cs="Arial"/>
          <w:sz w:val="22"/>
          <w:szCs w:val="22"/>
        </w:rPr>
        <w:t xml:space="preserve">, </w:t>
      </w:r>
      <w:r w:rsidRPr="00F03204">
        <w:rPr>
          <w:rFonts w:ascii="Arial" w:hAnsi="Arial" w:cs="Arial"/>
          <w:i/>
          <w:iCs/>
          <w:sz w:val="22"/>
          <w:szCs w:val="22"/>
        </w:rPr>
        <w:t>51</w:t>
      </w:r>
      <w:r w:rsidRPr="00F03204">
        <w:rPr>
          <w:rFonts w:ascii="Arial" w:hAnsi="Arial" w:cs="Arial"/>
          <w:sz w:val="22"/>
          <w:szCs w:val="22"/>
        </w:rPr>
        <w:t>(1), 667–678. https://doi.org/10.1080/22797254.2018.1474494</w:t>
      </w:r>
    </w:p>
    <w:p w14:paraId="68295442"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Hardianto, A., Dewi, P. U., Feriansyah, T., Sari, N. F. S., &amp; Rifiana, N. S. (2021). Pemanfaatan Citra Landsat 8 Dalam Mengidentifikasi Nilai Indeks Kerapatan Vegetasi (NDVI) Tahun 2013 dan 2019 (Area Studi: Kota Bandar Lampung). </w:t>
      </w:r>
      <w:r w:rsidRPr="00F03204">
        <w:rPr>
          <w:rFonts w:ascii="Arial" w:hAnsi="Arial" w:cs="Arial"/>
          <w:i/>
          <w:iCs/>
          <w:sz w:val="22"/>
          <w:szCs w:val="22"/>
        </w:rPr>
        <w:t>Jurnal Geosains dan Remote Sensing</w:t>
      </w:r>
      <w:r w:rsidRPr="00F03204">
        <w:rPr>
          <w:rFonts w:ascii="Arial" w:hAnsi="Arial" w:cs="Arial"/>
          <w:sz w:val="22"/>
          <w:szCs w:val="22"/>
        </w:rPr>
        <w:t xml:space="preserve">, </w:t>
      </w:r>
      <w:r w:rsidRPr="00F03204">
        <w:rPr>
          <w:rFonts w:ascii="Arial" w:hAnsi="Arial" w:cs="Arial"/>
          <w:i/>
          <w:iCs/>
          <w:sz w:val="22"/>
          <w:szCs w:val="22"/>
        </w:rPr>
        <w:t>2</w:t>
      </w:r>
      <w:r w:rsidRPr="00F03204">
        <w:rPr>
          <w:rFonts w:ascii="Arial" w:hAnsi="Arial" w:cs="Arial"/>
          <w:sz w:val="22"/>
          <w:szCs w:val="22"/>
        </w:rPr>
        <w:t>(1), 8–15. https://doi.org/10.23960/jgrs.2021.v2i1.38</w:t>
      </w:r>
    </w:p>
    <w:p w14:paraId="149266AF"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Hengl, T., Heuvelink, G. B. M., Perčec Tadić, M., &amp; Pebesma, E. J. (2012). Spatio-temporal prediction of daily temperatures using time-series of MODIS LST images. </w:t>
      </w:r>
      <w:r w:rsidRPr="00F03204">
        <w:rPr>
          <w:rFonts w:ascii="Arial" w:hAnsi="Arial" w:cs="Arial"/>
          <w:i/>
          <w:iCs/>
          <w:sz w:val="22"/>
          <w:szCs w:val="22"/>
        </w:rPr>
        <w:t>Theoretical and Applied Climatology</w:t>
      </w:r>
      <w:r w:rsidRPr="00F03204">
        <w:rPr>
          <w:rFonts w:ascii="Arial" w:hAnsi="Arial" w:cs="Arial"/>
          <w:sz w:val="22"/>
          <w:szCs w:val="22"/>
        </w:rPr>
        <w:t xml:space="preserve">, </w:t>
      </w:r>
      <w:r w:rsidRPr="00F03204">
        <w:rPr>
          <w:rFonts w:ascii="Arial" w:hAnsi="Arial" w:cs="Arial"/>
          <w:i/>
          <w:iCs/>
          <w:sz w:val="22"/>
          <w:szCs w:val="22"/>
        </w:rPr>
        <w:t>107</w:t>
      </w:r>
      <w:r w:rsidRPr="00F03204">
        <w:rPr>
          <w:rFonts w:ascii="Arial" w:hAnsi="Arial" w:cs="Arial"/>
          <w:sz w:val="22"/>
          <w:szCs w:val="22"/>
        </w:rPr>
        <w:t>(1–2), 265–277. https://doi.org/10.1007/s00704-011-0464-2</w:t>
      </w:r>
    </w:p>
    <w:p w14:paraId="4F7A00F8"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Isufi, F., Berila, A., &amp; Bulliqi, S. (2021). Measuring UHI using Landsat 8 OLI and TIRS data with NDVI and NDBI in Municipality of Prishtina. </w:t>
      </w:r>
      <w:r w:rsidRPr="00F03204">
        <w:rPr>
          <w:rFonts w:ascii="Arial" w:hAnsi="Arial" w:cs="Arial"/>
          <w:i/>
          <w:iCs/>
          <w:sz w:val="22"/>
          <w:szCs w:val="22"/>
        </w:rPr>
        <w:t>Disaster Advances</w:t>
      </w:r>
      <w:r w:rsidRPr="00F03204">
        <w:rPr>
          <w:rFonts w:ascii="Arial" w:hAnsi="Arial" w:cs="Arial"/>
          <w:sz w:val="22"/>
          <w:szCs w:val="22"/>
        </w:rPr>
        <w:t xml:space="preserve">, </w:t>
      </w:r>
      <w:r w:rsidRPr="00F03204">
        <w:rPr>
          <w:rFonts w:ascii="Arial" w:hAnsi="Arial" w:cs="Arial"/>
          <w:i/>
          <w:iCs/>
          <w:sz w:val="22"/>
          <w:szCs w:val="22"/>
        </w:rPr>
        <w:t>14</w:t>
      </w:r>
      <w:r w:rsidRPr="00F03204">
        <w:rPr>
          <w:rFonts w:ascii="Arial" w:hAnsi="Arial" w:cs="Arial"/>
          <w:sz w:val="22"/>
          <w:szCs w:val="22"/>
        </w:rPr>
        <w:t>(11), 25–36. https://doi.org/10.25303/1411da2536</w:t>
      </w:r>
    </w:p>
    <w:p w14:paraId="1684092E"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J. U., R., &amp; Abah, I. A. (2019). DERIVATION OF LAND SURFACE TEMPERATURE (LST) FROM LANDSAT 7 &amp; 8 IMAGERIES AND ITS RELATIONSHIP WITH TWO VEGETATION INDICES (NDVI AND GNDVI). </w:t>
      </w:r>
      <w:r w:rsidRPr="00F03204">
        <w:rPr>
          <w:rFonts w:ascii="Arial" w:hAnsi="Arial" w:cs="Arial"/>
          <w:i/>
          <w:iCs/>
          <w:sz w:val="22"/>
          <w:szCs w:val="22"/>
        </w:rPr>
        <w:t>International Journal of Research -GRANTHAALAYAH</w:t>
      </w:r>
      <w:r w:rsidRPr="00F03204">
        <w:rPr>
          <w:rFonts w:ascii="Arial" w:hAnsi="Arial" w:cs="Arial"/>
          <w:sz w:val="22"/>
          <w:szCs w:val="22"/>
        </w:rPr>
        <w:t xml:space="preserve">, </w:t>
      </w:r>
      <w:r w:rsidRPr="00F03204">
        <w:rPr>
          <w:rFonts w:ascii="Arial" w:hAnsi="Arial" w:cs="Arial"/>
          <w:i/>
          <w:iCs/>
          <w:sz w:val="22"/>
          <w:szCs w:val="22"/>
        </w:rPr>
        <w:t>7</w:t>
      </w:r>
      <w:r w:rsidRPr="00F03204">
        <w:rPr>
          <w:rFonts w:ascii="Arial" w:hAnsi="Arial" w:cs="Arial"/>
          <w:sz w:val="22"/>
          <w:szCs w:val="22"/>
        </w:rPr>
        <w:t>(2), 108–120. https://doi.org/10.29121/granthaalayah.v7.i2.2019.1013</w:t>
      </w:r>
    </w:p>
    <w:p w14:paraId="6260F071"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i/>
          <w:iCs/>
          <w:sz w:val="22"/>
          <w:szCs w:val="22"/>
        </w:rPr>
        <w:t>Jurnal Geodesi Undip</w:t>
      </w:r>
      <w:r w:rsidRPr="00F03204">
        <w:rPr>
          <w:rFonts w:ascii="Arial" w:hAnsi="Arial" w:cs="Arial"/>
          <w:sz w:val="22"/>
          <w:szCs w:val="22"/>
        </w:rPr>
        <w:t>. (2015).</w:t>
      </w:r>
    </w:p>
    <w:p w14:paraId="3BF50AE0"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lastRenderedPageBreak/>
        <w:t xml:space="preserve">Kafi, K. M., Shafri, H. Z. M., &amp; Shariff, A. B. M. (2014). An analysis of LULC change detection using remotely sensed data; A Case study of Bauchi City. </w:t>
      </w:r>
      <w:r w:rsidRPr="00F03204">
        <w:rPr>
          <w:rFonts w:ascii="Arial" w:hAnsi="Arial" w:cs="Arial"/>
          <w:i/>
          <w:iCs/>
          <w:sz w:val="22"/>
          <w:szCs w:val="22"/>
        </w:rPr>
        <w:t>IOP Conference Series: Earth and Environmental Science</w:t>
      </w:r>
      <w:r w:rsidRPr="00F03204">
        <w:rPr>
          <w:rFonts w:ascii="Arial" w:hAnsi="Arial" w:cs="Arial"/>
          <w:sz w:val="22"/>
          <w:szCs w:val="22"/>
        </w:rPr>
        <w:t xml:space="preserve">, </w:t>
      </w:r>
      <w:r w:rsidRPr="00F03204">
        <w:rPr>
          <w:rFonts w:ascii="Arial" w:hAnsi="Arial" w:cs="Arial"/>
          <w:i/>
          <w:iCs/>
          <w:sz w:val="22"/>
          <w:szCs w:val="22"/>
        </w:rPr>
        <w:t>20</w:t>
      </w:r>
      <w:r w:rsidRPr="00F03204">
        <w:rPr>
          <w:rFonts w:ascii="Arial" w:hAnsi="Arial" w:cs="Arial"/>
          <w:sz w:val="22"/>
          <w:szCs w:val="22"/>
        </w:rPr>
        <w:t>, 012056. https://doi.org/10.1088/1755-1315/20/1/012056</w:t>
      </w:r>
    </w:p>
    <w:p w14:paraId="42AEF576"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Khan, A., Chatterjee, S., Akbari, H., Bhatti, S. S., Dinda, A., Mitra, C., Hong, H., &amp; Doan, Q. V. (2019). Step-wise Land-class Elimination Approach for extracting mixed-type built-up areas of Kolkata megacity. </w:t>
      </w:r>
      <w:r w:rsidRPr="00F03204">
        <w:rPr>
          <w:rFonts w:ascii="Arial" w:hAnsi="Arial" w:cs="Arial"/>
          <w:i/>
          <w:iCs/>
          <w:sz w:val="22"/>
          <w:szCs w:val="22"/>
        </w:rPr>
        <w:t>Geocarto International</w:t>
      </w:r>
      <w:r w:rsidRPr="00F03204">
        <w:rPr>
          <w:rFonts w:ascii="Arial" w:hAnsi="Arial" w:cs="Arial"/>
          <w:sz w:val="22"/>
          <w:szCs w:val="22"/>
        </w:rPr>
        <w:t xml:space="preserve">, </w:t>
      </w:r>
      <w:r w:rsidRPr="00F03204">
        <w:rPr>
          <w:rFonts w:ascii="Arial" w:hAnsi="Arial" w:cs="Arial"/>
          <w:i/>
          <w:iCs/>
          <w:sz w:val="22"/>
          <w:szCs w:val="22"/>
        </w:rPr>
        <w:t>34</w:t>
      </w:r>
      <w:r w:rsidRPr="00F03204">
        <w:rPr>
          <w:rFonts w:ascii="Arial" w:hAnsi="Arial" w:cs="Arial"/>
          <w:sz w:val="22"/>
          <w:szCs w:val="22"/>
        </w:rPr>
        <w:t>(5), 504–527. https://doi.org/10.1080/10106049.2017.1408704</w:t>
      </w:r>
    </w:p>
    <w:p w14:paraId="4D0B91A6"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Kshetri, T. B. (n.d.). </w:t>
      </w:r>
      <w:r w:rsidRPr="00F03204">
        <w:rPr>
          <w:rFonts w:ascii="Arial" w:hAnsi="Arial" w:cs="Arial"/>
          <w:i/>
          <w:iCs/>
          <w:sz w:val="22"/>
          <w:szCs w:val="22"/>
        </w:rPr>
        <w:t>NDVI, NDBI AND NDWI CALCULATION USING LANDSAT 7 AND 8</w:t>
      </w:r>
      <w:r w:rsidRPr="00F03204">
        <w:rPr>
          <w:rFonts w:ascii="Arial" w:hAnsi="Arial" w:cs="Arial"/>
          <w:sz w:val="22"/>
          <w:szCs w:val="22"/>
        </w:rPr>
        <w:t>.</w:t>
      </w:r>
    </w:p>
    <w:p w14:paraId="4FDF68B7"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Mohanasundaram, S., Baghel, T., Thakur, V., Udmale, P., &amp; Shrestha, S. (2022). </w:t>
      </w:r>
      <w:r w:rsidRPr="00F03204">
        <w:rPr>
          <w:rFonts w:ascii="Arial" w:hAnsi="Arial" w:cs="Arial"/>
          <w:i/>
          <w:iCs/>
          <w:sz w:val="22"/>
          <w:szCs w:val="22"/>
        </w:rPr>
        <w:t>Reconstructing NDVI and land surface temperature from cloud cover pixels of Landsat-8 images and assessing vegetation health index in the Northeast region of Thailand</w:t>
      </w:r>
      <w:r w:rsidRPr="00F03204">
        <w:rPr>
          <w:rFonts w:ascii="Arial" w:hAnsi="Arial" w:cs="Arial"/>
          <w:sz w:val="22"/>
          <w:szCs w:val="22"/>
        </w:rPr>
        <w:t>. In Review. https://doi.org/10.21203/rs.3.rs-1803210/v1</w:t>
      </w:r>
    </w:p>
    <w:p w14:paraId="48C12566"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Nandi, I., Srivastava, P. K., &amp; Shah, K. (2017). Floodplain Mapping through Support Vector Machine and Optical/Infrared Images from Landsat 8 OLI/TIRS Sensors: Case Study from Varanasi. </w:t>
      </w:r>
      <w:r w:rsidRPr="00F03204">
        <w:rPr>
          <w:rFonts w:ascii="Arial" w:hAnsi="Arial" w:cs="Arial"/>
          <w:i/>
          <w:iCs/>
          <w:sz w:val="22"/>
          <w:szCs w:val="22"/>
        </w:rPr>
        <w:t>Water Resources Management</w:t>
      </w:r>
      <w:r w:rsidRPr="00F03204">
        <w:rPr>
          <w:rFonts w:ascii="Arial" w:hAnsi="Arial" w:cs="Arial"/>
          <w:sz w:val="22"/>
          <w:szCs w:val="22"/>
        </w:rPr>
        <w:t xml:space="preserve">, </w:t>
      </w:r>
      <w:r w:rsidRPr="00F03204">
        <w:rPr>
          <w:rFonts w:ascii="Arial" w:hAnsi="Arial" w:cs="Arial"/>
          <w:i/>
          <w:iCs/>
          <w:sz w:val="22"/>
          <w:szCs w:val="22"/>
        </w:rPr>
        <w:t>31</w:t>
      </w:r>
      <w:r w:rsidRPr="00F03204">
        <w:rPr>
          <w:rFonts w:ascii="Arial" w:hAnsi="Arial" w:cs="Arial"/>
          <w:sz w:val="22"/>
          <w:szCs w:val="22"/>
        </w:rPr>
        <w:t>(4), 1157–1171. https://doi.org/10.1007/s11269-017-1568-y</w:t>
      </w:r>
    </w:p>
    <w:p w14:paraId="34C489A1"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Ouzemou, J.-E., El Harti, A., Lhissou, R., El Moujahid, A., Bouch, N., El Ouazzani, R., Bachaoui, E. M., &amp; El Ghmari, A. (2018). Crop type mapping from pansharpened Landsat 8 NDVI data: A case of a highly fragmented and intensive agricultural system. </w:t>
      </w:r>
      <w:r w:rsidRPr="00F03204">
        <w:rPr>
          <w:rFonts w:ascii="Arial" w:hAnsi="Arial" w:cs="Arial"/>
          <w:i/>
          <w:iCs/>
          <w:sz w:val="22"/>
          <w:szCs w:val="22"/>
        </w:rPr>
        <w:t>Remote Sensing Applications: Society and Environment</w:t>
      </w:r>
      <w:r w:rsidRPr="00F03204">
        <w:rPr>
          <w:rFonts w:ascii="Arial" w:hAnsi="Arial" w:cs="Arial"/>
          <w:sz w:val="22"/>
          <w:szCs w:val="22"/>
        </w:rPr>
        <w:t xml:space="preserve">, </w:t>
      </w:r>
      <w:r w:rsidRPr="00F03204">
        <w:rPr>
          <w:rFonts w:ascii="Arial" w:hAnsi="Arial" w:cs="Arial"/>
          <w:i/>
          <w:iCs/>
          <w:sz w:val="22"/>
          <w:szCs w:val="22"/>
        </w:rPr>
        <w:t>11</w:t>
      </w:r>
      <w:r w:rsidRPr="00F03204">
        <w:rPr>
          <w:rFonts w:ascii="Arial" w:hAnsi="Arial" w:cs="Arial"/>
          <w:sz w:val="22"/>
          <w:szCs w:val="22"/>
        </w:rPr>
        <w:t>, 94–103. https://doi.org/10.1016/j.rsase.2018.05.002</w:t>
      </w:r>
    </w:p>
    <w:p w14:paraId="72E0BB94"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Ray, R., Das, A., Hasan, M. S. U., Aldrees, A., Islam, S., Khan, M. A., &amp; Lama, G. F. C. (2023). Quantitative Analysis of Land Use and Land Cover Dynamics using Geoinformatics Techniques: A Case Study on Kolkata Metropolitan Development Authority (KMDA) in West Bengal, India. </w:t>
      </w:r>
      <w:r w:rsidRPr="00F03204">
        <w:rPr>
          <w:rFonts w:ascii="Arial" w:hAnsi="Arial" w:cs="Arial"/>
          <w:i/>
          <w:iCs/>
          <w:sz w:val="22"/>
          <w:szCs w:val="22"/>
        </w:rPr>
        <w:t>Remote Sensing</w:t>
      </w:r>
      <w:r w:rsidRPr="00F03204">
        <w:rPr>
          <w:rFonts w:ascii="Arial" w:hAnsi="Arial" w:cs="Arial"/>
          <w:sz w:val="22"/>
          <w:szCs w:val="22"/>
        </w:rPr>
        <w:t xml:space="preserve">, </w:t>
      </w:r>
      <w:r w:rsidRPr="00F03204">
        <w:rPr>
          <w:rFonts w:ascii="Arial" w:hAnsi="Arial" w:cs="Arial"/>
          <w:i/>
          <w:iCs/>
          <w:sz w:val="22"/>
          <w:szCs w:val="22"/>
        </w:rPr>
        <w:t>15</w:t>
      </w:r>
      <w:r w:rsidRPr="00F03204">
        <w:rPr>
          <w:rFonts w:ascii="Arial" w:hAnsi="Arial" w:cs="Arial"/>
          <w:sz w:val="22"/>
          <w:szCs w:val="22"/>
        </w:rPr>
        <w:t>(4), 959. https://doi.org/10.3390/rs15040959</w:t>
      </w:r>
    </w:p>
    <w:p w14:paraId="328911A8"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Roy, D. P., Kovalskyy, V., Zhang, H. K., Vermote, E. F., Yan, L., Kumar, S. S., &amp; Egorov, A. (2016). Characterization of Landsat-7 to Landsat-8 reflective wavelength and normalized difference vegetation index continuity. </w:t>
      </w:r>
      <w:r w:rsidRPr="00F03204">
        <w:rPr>
          <w:rFonts w:ascii="Arial" w:hAnsi="Arial" w:cs="Arial"/>
          <w:i/>
          <w:iCs/>
          <w:sz w:val="22"/>
          <w:szCs w:val="22"/>
        </w:rPr>
        <w:t>Remote Sensing of Environment</w:t>
      </w:r>
      <w:r w:rsidRPr="00F03204">
        <w:rPr>
          <w:rFonts w:ascii="Arial" w:hAnsi="Arial" w:cs="Arial"/>
          <w:sz w:val="22"/>
          <w:szCs w:val="22"/>
        </w:rPr>
        <w:t xml:space="preserve">, </w:t>
      </w:r>
      <w:r w:rsidRPr="00F03204">
        <w:rPr>
          <w:rFonts w:ascii="Arial" w:hAnsi="Arial" w:cs="Arial"/>
          <w:i/>
          <w:iCs/>
          <w:sz w:val="22"/>
          <w:szCs w:val="22"/>
        </w:rPr>
        <w:t>185</w:t>
      </w:r>
      <w:r w:rsidRPr="00F03204">
        <w:rPr>
          <w:rFonts w:ascii="Arial" w:hAnsi="Arial" w:cs="Arial"/>
          <w:sz w:val="22"/>
          <w:szCs w:val="22"/>
        </w:rPr>
        <w:t>, 57–70. https://doi.org/10.1016/j.rse.2015.12.024</w:t>
      </w:r>
    </w:p>
    <w:p w14:paraId="4F771B4B"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Srivastava, P. K., Han, D., Rico-Ramirez, M. A., Bray, M., &amp; Islam, T. (2012). Selection of classification techniques for land use/land cover change investigation. </w:t>
      </w:r>
      <w:r w:rsidRPr="00F03204">
        <w:rPr>
          <w:rFonts w:ascii="Arial" w:hAnsi="Arial" w:cs="Arial"/>
          <w:i/>
          <w:iCs/>
          <w:sz w:val="22"/>
          <w:szCs w:val="22"/>
        </w:rPr>
        <w:t>Advances in Space Research</w:t>
      </w:r>
      <w:r w:rsidRPr="00F03204">
        <w:rPr>
          <w:rFonts w:ascii="Arial" w:hAnsi="Arial" w:cs="Arial"/>
          <w:sz w:val="22"/>
          <w:szCs w:val="22"/>
        </w:rPr>
        <w:t xml:space="preserve">, </w:t>
      </w:r>
      <w:r w:rsidRPr="00F03204">
        <w:rPr>
          <w:rFonts w:ascii="Arial" w:hAnsi="Arial" w:cs="Arial"/>
          <w:i/>
          <w:iCs/>
          <w:sz w:val="22"/>
          <w:szCs w:val="22"/>
        </w:rPr>
        <w:t>50</w:t>
      </w:r>
      <w:r w:rsidRPr="00F03204">
        <w:rPr>
          <w:rFonts w:ascii="Arial" w:hAnsi="Arial" w:cs="Arial"/>
          <w:sz w:val="22"/>
          <w:szCs w:val="22"/>
        </w:rPr>
        <w:t>(9), 1250–1265. https://doi.org/10.1016/j.asr.2012.06.032</w:t>
      </w:r>
    </w:p>
    <w:p w14:paraId="275EEE1B"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Vivekananda, G., Swathi, R., &amp; Sujith, A. (2021). RETRACTED ARTICLE: Multi-temporal image analysis for LULC classification and change detection. </w:t>
      </w:r>
      <w:r w:rsidRPr="00F03204">
        <w:rPr>
          <w:rFonts w:ascii="Arial" w:hAnsi="Arial" w:cs="Arial"/>
          <w:i/>
          <w:iCs/>
          <w:sz w:val="22"/>
          <w:szCs w:val="22"/>
        </w:rPr>
        <w:t>European Journal of Remote Sensing</w:t>
      </w:r>
      <w:r w:rsidRPr="00F03204">
        <w:rPr>
          <w:rFonts w:ascii="Arial" w:hAnsi="Arial" w:cs="Arial"/>
          <w:sz w:val="22"/>
          <w:szCs w:val="22"/>
        </w:rPr>
        <w:t xml:space="preserve">, </w:t>
      </w:r>
      <w:r w:rsidRPr="00F03204">
        <w:rPr>
          <w:rFonts w:ascii="Arial" w:hAnsi="Arial" w:cs="Arial"/>
          <w:i/>
          <w:iCs/>
          <w:sz w:val="22"/>
          <w:szCs w:val="22"/>
        </w:rPr>
        <w:t>54</w:t>
      </w:r>
      <w:r w:rsidRPr="00F03204">
        <w:rPr>
          <w:rFonts w:ascii="Arial" w:hAnsi="Arial" w:cs="Arial"/>
          <w:sz w:val="22"/>
          <w:szCs w:val="22"/>
        </w:rPr>
        <w:t>(sup2), 189–199. https://doi.org/10.1080/22797254.2020.1771215</w:t>
      </w:r>
    </w:p>
    <w:p w14:paraId="7FE13DD3"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Wan, Z. (n.d.). </w:t>
      </w:r>
      <w:r w:rsidRPr="00F03204">
        <w:rPr>
          <w:rFonts w:ascii="Arial" w:hAnsi="Arial" w:cs="Arial"/>
          <w:i/>
          <w:iCs/>
          <w:sz w:val="22"/>
          <w:szCs w:val="22"/>
        </w:rPr>
        <w:t>MODIS Land Surface Temperature Products</w:t>
      </w:r>
      <w:r w:rsidRPr="00F03204">
        <w:rPr>
          <w:rFonts w:ascii="Arial" w:hAnsi="Arial" w:cs="Arial"/>
          <w:sz w:val="22"/>
          <w:szCs w:val="22"/>
        </w:rPr>
        <w:t>.</w:t>
      </w:r>
    </w:p>
    <w:p w14:paraId="7F0DB472"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lastRenderedPageBreak/>
        <w:t xml:space="preserve">Wang, K., Wan, Z., Wang, P., Sparrow, M., Liu, J., Zhou, X., &amp; Haginoya, S. (2005). Estimation of surface long wave radiation and broadband emissivity using Moderate Resolution Imaging Spectroradiometer (MODIS) land surface temperature/emissivity products. </w:t>
      </w:r>
      <w:r w:rsidRPr="00F03204">
        <w:rPr>
          <w:rFonts w:ascii="Arial" w:hAnsi="Arial" w:cs="Arial"/>
          <w:i/>
          <w:iCs/>
          <w:sz w:val="22"/>
          <w:szCs w:val="22"/>
        </w:rPr>
        <w:t>Journal of Geophysical Research: Atmospheres</w:t>
      </w:r>
      <w:r w:rsidRPr="00F03204">
        <w:rPr>
          <w:rFonts w:ascii="Arial" w:hAnsi="Arial" w:cs="Arial"/>
          <w:sz w:val="22"/>
          <w:szCs w:val="22"/>
        </w:rPr>
        <w:t xml:space="preserve">, </w:t>
      </w:r>
      <w:r w:rsidRPr="00F03204">
        <w:rPr>
          <w:rFonts w:ascii="Arial" w:hAnsi="Arial" w:cs="Arial"/>
          <w:i/>
          <w:iCs/>
          <w:sz w:val="22"/>
          <w:szCs w:val="22"/>
        </w:rPr>
        <w:t>110</w:t>
      </w:r>
      <w:r w:rsidRPr="00F03204">
        <w:rPr>
          <w:rFonts w:ascii="Arial" w:hAnsi="Arial" w:cs="Arial"/>
          <w:sz w:val="22"/>
          <w:szCs w:val="22"/>
        </w:rPr>
        <w:t>(D11), 2004JD005566. https://doi.org/10.1029/2004JD005566</w:t>
      </w:r>
    </w:p>
    <w:p w14:paraId="4BD06FBA"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Xie, H., Luo, X., Xu, X., Pan, H., &amp; Tong, X. (2016). Evaluation of Landsat 8 OLI imagery for unsupervised inland water extraction. </w:t>
      </w:r>
      <w:r w:rsidRPr="00F03204">
        <w:rPr>
          <w:rFonts w:ascii="Arial" w:hAnsi="Arial" w:cs="Arial"/>
          <w:i/>
          <w:iCs/>
          <w:sz w:val="22"/>
          <w:szCs w:val="22"/>
        </w:rPr>
        <w:t>International Journal of Remote Sensing</w:t>
      </w:r>
      <w:r w:rsidRPr="00F03204">
        <w:rPr>
          <w:rFonts w:ascii="Arial" w:hAnsi="Arial" w:cs="Arial"/>
          <w:sz w:val="22"/>
          <w:szCs w:val="22"/>
        </w:rPr>
        <w:t xml:space="preserve">, </w:t>
      </w:r>
      <w:r w:rsidRPr="00F03204">
        <w:rPr>
          <w:rFonts w:ascii="Arial" w:hAnsi="Arial" w:cs="Arial"/>
          <w:i/>
          <w:iCs/>
          <w:sz w:val="22"/>
          <w:szCs w:val="22"/>
        </w:rPr>
        <w:t>37</w:t>
      </w:r>
      <w:r w:rsidRPr="00F03204">
        <w:rPr>
          <w:rFonts w:ascii="Arial" w:hAnsi="Arial" w:cs="Arial"/>
          <w:sz w:val="22"/>
          <w:szCs w:val="22"/>
        </w:rPr>
        <w:t>(8), 1826–1844. https://doi.org/10.1080/01431161.2016.1168948</w:t>
      </w:r>
    </w:p>
    <w:p w14:paraId="165B0538" w14:textId="77777777" w:rsidR="004723AE" w:rsidRPr="00F03204" w:rsidRDefault="004723AE" w:rsidP="00AB3D00">
      <w:pPr>
        <w:pStyle w:val="Bibliography"/>
        <w:numPr>
          <w:ilvl w:val="0"/>
          <w:numId w:val="22"/>
        </w:numPr>
        <w:jc w:val="both"/>
        <w:rPr>
          <w:rFonts w:ascii="Arial" w:hAnsi="Arial" w:cs="Arial"/>
          <w:sz w:val="22"/>
          <w:szCs w:val="22"/>
        </w:rPr>
      </w:pPr>
      <w:r w:rsidRPr="00F03204">
        <w:rPr>
          <w:rFonts w:ascii="Arial" w:hAnsi="Arial" w:cs="Arial"/>
          <w:sz w:val="22"/>
          <w:szCs w:val="22"/>
        </w:rPr>
        <w:t xml:space="preserve">Zhao, W., Wu, H., Yin, G., &amp; Duan, S.-B. (2019). Normalization of the temporal effect on the MODIS land surface temperature product using random forest regression. </w:t>
      </w:r>
      <w:r w:rsidRPr="00F03204">
        <w:rPr>
          <w:rFonts w:ascii="Arial" w:hAnsi="Arial" w:cs="Arial"/>
          <w:i/>
          <w:iCs/>
          <w:sz w:val="22"/>
          <w:szCs w:val="22"/>
        </w:rPr>
        <w:t>ISPRS Journal of Photogrammetry and Remote Sensing</w:t>
      </w:r>
      <w:r w:rsidRPr="00F03204">
        <w:rPr>
          <w:rFonts w:ascii="Arial" w:hAnsi="Arial" w:cs="Arial"/>
          <w:sz w:val="22"/>
          <w:szCs w:val="22"/>
        </w:rPr>
        <w:t xml:space="preserve">, </w:t>
      </w:r>
      <w:r w:rsidRPr="00F03204">
        <w:rPr>
          <w:rFonts w:ascii="Arial" w:hAnsi="Arial" w:cs="Arial"/>
          <w:i/>
          <w:iCs/>
          <w:sz w:val="22"/>
          <w:szCs w:val="22"/>
        </w:rPr>
        <w:t>152</w:t>
      </w:r>
      <w:r w:rsidRPr="00F03204">
        <w:rPr>
          <w:rFonts w:ascii="Arial" w:hAnsi="Arial" w:cs="Arial"/>
          <w:sz w:val="22"/>
          <w:szCs w:val="22"/>
        </w:rPr>
        <w:t>, 109–118. https://doi.org/10.1016/j.isprsjprs.2019.04.008</w:t>
      </w:r>
    </w:p>
    <w:p w14:paraId="027C2B4E" w14:textId="51936E2F" w:rsidR="004723AE" w:rsidRPr="00F03204" w:rsidRDefault="004723AE" w:rsidP="00AB3D00">
      <w:pPr>
        <w:pStyle w:val="ListParagraph"/>
        <w:jc w:val="both"/>
        <w:rPr>
          <w:rFonts w:ascii="Arial" w:hAnsi="Arial" w:cs="Arial"/>
          <w:b/>
          <w:bCs/>
          <w:sz w:val="22"/>
          <w:szCs w:val="22"/>
        </w:rPr>
      </w:pPr>
      <w:r w:rsidRPr="00F03204">
        <w:rPr>
          <w:rFonts w:ascii="Arial" w:hAnsi="Arial" w:cs="Arial"/>
          <w:b/>
          <w:bCs/>
          <w:sz w:val="22"/>
          <w:szCs w:val="22"/>
        </w:rPr>
        <w:fldChar w:fldCharType="end"/>
      </w:r>
    </w:p>
    <w:sectPr w:rsidR="004723AE" w:rsidRPr="00F0320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83FE0" w14:textId="77777777" w:rsidR="001C25B4" w:rsidRDefault="001C25B4" w:rsidP="00C979DE">
      <w:pPr>
        <w:spacing w:after="0" w:line="240" w:lineRule="auto"/>
      </w:pPr>
      <w:r>
        <w:separator/>
      </w:r>
    </w:p>
  </w:endnote>
  <w:endnote w:type="continuationSeparator" w:id="0">
    <w:p w14:paraId="27356EDA" w14:textId="77777777" w:rsidR="001C25B4" w:rsidRDefault="001C25B4" w:rsidP="00C97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CFF5B" w14:textId="77777777" w:rsidR="00521542" w:rsidRDefault="005215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9A332" w14:textId="77777777" w:rsidR="00521542" w:rsidRDefault="00521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DF23B" w14:textId="77777777" w:rsidR="00521542" w:rsidRDefault="00521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66EB3" w14:textId="77777777" w:rsidR="001C25B4" w:rsidRDefault="001C25B4" w:rsidP="00C979DE">
      <w:pPr>
        <w:spacing w:after="0" w:line="240" w:lineRule="auto"/>
      </w:pPr>
      <w:r>
        <w:separator/>
      </w:r>
    </w:p>
  </w:footnote>
  <w:footnote w:type="continuationSeparator" w:id="0">
    <w:p w14:paraId="365F7E2D" w14:textId="77777777" w:rsidR="001C25B4" w:rsidRDefault="001C25B4" w:rsidP="00C97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8A0C0" w14:textId="59E23A25" w:rsidR="00521542" w:rsidRDefault="00521542">
    <w:pPr>
      <w:pStyle w:val="Header"/>
    </w:pPr>
    <w:r>
      <w:rPr>
        <w:noProof/>
      </w:rPr>
      <w:pict w14:anchorId="3C386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2279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6285" w14:textId="230E774A" w:rsidR="00521542" w:rsidRDefault="00521542">
    <w:pPr>
      <w:pStyle w:val="Header"/>
    </w:pPr>
    <w:r>
      <w:rPr>
        <w:noProof/>
      </w:rPr>
      <w:pict w14:anchorId="434E0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2279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7D24" w14:textId="13B6D698" w:rsidR="00521542" w:rsidRDefault="00521542">
    <w:pPr>
      <w:pStyle w:val="Header"/>
    </w:pPr>
    <w:r>
      <w:rPr>
        <w:noProof/>
      </w:rPr>
      <w:pict w14:anchorId="5F427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2279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25E68"/>
    <w:multiLevelType w:val="multilevel"/>
    <w:tmpl w:val="228E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07339"/>
    <w:multiLevelType w:val="hybridMultilevel"/>
    <w:tmpl w:val="2B9A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235F8"/>
    <w:multiLevelType w:val="multilevel"/>
    <w:tmpl w:val="76F28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7B03B8"/>
    <w:multiLevelType w:val="hybridMultilevel"/>
    <w:tmpl w:val="5CFCCD4C"/>
    <w:lvl w:ilvl="0" w:tplc="943EBA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E1C17"/>
    <w:multiLevelType w:val="multilevel"/>
    <w:tmpl w:val="8CBC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2E455D"/>
    <w:multiLevelType w:val="multilevel"/>
    <w:tmpl w:val="AC80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B66E1F"/>
    <w:multiLevelType w:val="multilevel"/>
    <w:tmpl w:val="EB54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8D7878"/>
    <w:multiLevelType w:val="multilevel"/>
    <w:tmpl w:val="DAF4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F16865"/>
    <w:multiLevelType w:val="multilevel"/>
    <w:tmpl w:val="7DEC5B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C20D78"/>
    <w:multiLevelType w:val="multilevel"/>
    <w:tmpl w:val="E350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C67D55"/>
    <w:multiLevelType w:val="multilevel"/>
    <w:tmpl w:val="E58C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630760"/>
    <w:multiLevelType w:val="multilevel"/>
    <w:tmpl w:val="2736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35536"/>
    <w:multiLevelType w:val="multilevel"/>
    <w:tmpl w:val="7A26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BF5602"/>
    <w:multiLevelType w:val="hybridMultilevel"/>
    <w:tmpl w:val="215E560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6D73056"/>
    <w:multiLevelType w:val="multilevel"/>
    <w:tmpl w:val="389A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E34F94"/>
    <w:multiLevelType w:val="hybridMultilevel"/>
    <w:tmpl w:val="72AC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1C59E3"/>
    <w:multiLevelType w:val="multilevel"/>
    <w:tmpl w:val="3A60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68212C"/>
    <w:multiLevelType w:val="hybridMultilevel"/>
    <w:tmpl w:val="8274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C81949"/>
    <w:multiLevelType w:val="hybridMultilevel"/>
    <w:tmpl w:val="83AE53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6F64522"/>
    <w:multiLevelType w:val="multilevel"/>
    <w:tmpl w:val="E13C3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90470F"/>
    <w:multiLevelType w:val="multilevel"/>
    <w:tmpl w:val="958A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C13D84"/>
    <w:multiLevelType w:val="multilevel"/>
    <w:tmpl w:val="4CCA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1B298C"/>
    <w:multiLevelType w:val="multilevel"/>
    <w:tmpl w:val="4188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20627"/>
    <w:multiLevelType w:val="hybridMultilevel"/>
    <w:tmpl w:val="04A808AC"/>
    <w:lvl w:ilvl="0" w:tplc="632050A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42443632">
    <w:abstractNumId w:val="19"/>
  </w:num>
  <w:num w:numId="2" w16cid:durableId="1067993596">
    <w:abstractNumId w:val="2"/>
  </w:num>
  <w:num w:numId="3" w16cid:durableId="1631549077">
    <w:abstractNumId w:val="5"/>
  </w:num>
  <w:num w:numId="4" w16cid:durableId="1584099742">
    <w:abstractNumId w:val="11"/>
  </w:num>
  <w:num w:numId="5" w16cid:durableId="1658726986">
    <w:abstractNumId w:val="20"/>
  </w:num>
  <w:num w:numId="6" w16cid:durableId="745803995">
    <w:abstractNumId w:val="12"/>
  </w:num>
  <w:num w:numId="7" w16cid:durableId="1674604158">
    <w:abstractNumId w:val="9"/>
  </w:num>
  <w:num w:numId="8" w16cid:durableId="570314788">
    <w:abstractNumId w:val="4"/>
  </w:num>
  <w:num w:numId="9" w16cid:durableId="672412650">
    <w:abstractNumId w:val="21"/>
  </w:num>
  <w:num w:numId="10" w16cid:durableId="1610971969">
    <w:abstractNumId w:val="3"/>
  </w:num>
  <w:num w:numId="11" w16cid:durableId="1518884377">
    <w:abstractNumId w:val="22"/>
  </w:num>
  <w:num w:numId="12" w16cid:durableId="895815885">
    <w:abstractNumId w:val="16"/>
  </w:num>
  <w:num w:numId="13" w16cid:durableId="1694721028">
    <w:abstractNumId w:val="8"/>
  </w:num>
  <w:num w:numId="14" w16cid:durableId="1859078273">
    <w:abstractNumId w:val="6"/>
  </w:num>
  <w:num w:numId="15" w16cid:durableId="1075005903">
    <w:abstractNumId w:val="10"/>
  </w:num>
  <w:num w:numId="16" w16cid:durableId="1738169156">
    <w:abstractNumId w:val="14"/>
  </w:num>
  <w:num w:numId="17" w16cid:durableId="963384195">
    <w:abstractNumId w:val="0"/>
  </w:num>
  <w:num w:numId="18" w16cid:durableId="534925384">
    <w:abstractNumId w:val="7"/>
  </w:num>
  <w:num w:numId="19" w16cid:durableId="968366401">
    <w:abstractNumId w:val="1"/>
  </w:num>
  <w:num w:numId="20" w16cid:durableId="2142841350">
    <w:abstractNumId w:val="17"/>
  </w:num>
  <w:num w:numId="21" w16cid:durableId="462890211">
    <w:abstractNumId w:val="15"/>
  </w:num>
  <w:num w:numId="22" w16cid:durableId="1527475581">
    <w:abstractNumId w:val="13"/>
  </w:num>
  <w:num w:numId="23" w16cid:durableId="512648224">
    <w:abstractNumId w:val="18"/>
  </w:num>
  <w:num w:numId="24" w16cid:durableId="19478077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81A"/>
    <w:rsid w:val="00046B2A"/>
    <w:rsid w:val="000752C4"/>
    <w:rsid w:val="00077C41"/>
    <w:rsid w:val="0009267D"/>
    <w:rsid w:val="000C56E0"/>
    <w:rsid w:val="000E6961"/>
    <w:rsid w:val="0010284D"/>
    <w:rsid w:val="00110090"/>
    <w:rsid w:val="00127E20"/>
    <w:rsid w:val="001516C4"/>
    <w:rsid w:val="00156085"/>
    <w:rsid w:val="00185235"/>
    <w:rsid w:val="001859EE"/>
    <w:rsid w:val="001B1BD9"/>
    <w:rsid w:val="001B4EFC"/>
    <w:rsid w:val="001C25B4"/>
    <w:rsid w:val="001C3C96"/>
    <w:rsid w:val="001D488D"/>
    <w:rsid w:val="001F266B"/>
    <w:rsid w:val="001F3770"/>
    <w:rsid w:val="00215F7C"/>
    <w:rsid w:val="00216FD5"/>
    <w:rsid w:val="00220127"/>
    <w:rsid w:val="002203A9"/>
    <w:rsid w:val="00237FCF"/>
    <w:rsid w:val="00250F36"/>
    <w:rsid w:val="00275717"/>
    <w:rsid w:val="00280191"/>
    <w:rsid w:val="00285080"/>
    <w:rsid w:val="00297C6B"/>
    <w:rsid w:val="002E707B"/>
    <w:rsid w:val="002F1A53"/>
    <w:rsid w:val="002F6B0C"/>
    <w:rsid w:val="002F6C0D"/>
    <w:rsid w:val="0030435C"/>
    <w:rsid w:val="003070F1"/>
    <w:rsid w:val="003101F0"/>
    <w:rsid w:val="0032477E"/>
    <w:rsid w:val="003522F5"/>
    <w:rsid w:val="003526AB"/>
    <w:rsid w:val="003640A2"/>
    <w:rsid w:val="00367D48"/>
    <w:rsid w:val="00384B75"/>
    <w:rsid w:val="0039485F"/>
    <w:rsid w:val="003B046E"/>
    <w:rsid w:val="003B0D75"/>
    <w:rsid w:val="003B1B91"/>
    <w:rsid w:val="003B7EB4"/>
    <w:rsid w:val="003E3076"/>
    <w:rsid w:val="003E5BC3"/>
    <w:rsid w:val="003F2D5C"/>
    <w:rsid w:val="003F56FF"/>
    <w:rsid w:val="004226FE"/>
    <w:rsid w:val="004512C1"/>
    <w:rsid w:val="004705EA"/>
    <w:rsid w:val="004723AE"/>
    <w:rsid w:val="00473354"/>
    <w:rsid w:val="00480AC0"/>
    <w:rsid w:val="004A5CF5"/>
    <w:rsid w:val="004C1E1B"/>
    <w:rsid w:val="004D1490"/>
    <w:rsid w:val="004D2E48"/>
    <w:rsid w:val="004E605A"/>
    <w:rsid w:val="004F4229"/>
    <w:rsid w:val="004F5A15"/>
    <w:rsid w:val="00500606"/>
    <w:rsid w:val="00505232"/>
    <w:rsid w:val="00521542"/>
    <w:rsid w:val="005234C1"/>
    <w:rsid w:val="00532931"/>
    <w:rsid w:val="00535732"/>
    <w:rsid w:val="00540253"/>
    <w:rsid w:val="005A57CC"/>
    <w:rsid w:val="005C3C95"/>
    <w:rsid w:val="005D166E"/>
    <w:rsid w:val="005D6664"/>
    <w:rsid w:val="005E4D7F"/>
    <w:rsid w:val="00617263"/>
    <w:rsid w:val="00627110"/>
    <w:rsid w:val="006479AE"/>
    <w:rsid w:val="0067597E"/>
    <w:rsid w:val="00690CD8"/>
    <w:rsid w:val="006A3B02"/>
    <w:rsid w:val="007009E3"/>
    <w:rsid w:val="0071481A"/>
    <w:rsid w:val="00726C8B"/>
    <w:rsid w:val="0073505D"/>
    <w:rsid w:val="00741868"/>
    <w:rsid w:val="007A6A84"/>
    <w:rsid w:val="007B6C32"/>
    <w:rsid w:val="007C414D"/>
    <w:rsid w:val="007C4FF4"/>
    <w:rsid w:val="007F1376"/>
    <w:rsid w:val="00817BFB"/>
    <w:rsid w:val="0083401F"/>
    <w:rsid w:val="00840070"/>
    <w:rsid w:val="00844BC4"/>
    <w:rsid w:val="008454FF"/>
    <w:rsid w:val="00851E04"/>
    <w:rsid w:val="00852721"/>
    <w:rsid w:val="008A1A5C"/>
    <w:rsid w:val="008D1809"/>
    <w:rsid w:val="008D5B73"/>
    <w:rsid w:val="008F196F"/>
    <w:rsid w:val="009217F9"/>
    <w:rsid w:val="00922C2C"/>
    <w:rsid w:val="00927D86"/>
    <w:rsid w:val="00932906"/>
    <w:rsid w:val="00956A0C"/>
    <w:rsid w:val="009A243D"/>
    <w:rsid w:val="009C23F4"/>
    <w:rsid w:val="009E276F"/>
    <w:rsid w:val="00A06A76"/>
    <w:rsid w:val="00A10037"/>
    <w:rsid w:val="00A10ED9"/>
    <w:rsid w:val="00A26E3A"/>
    <w:rsid w:val="00A30E3F"/>
    <w:rsid w:val="00A61353"/>
    <w:rsid w:val="00A6561C"/>
    <w:rsid w:val="00A70541"/>
    <w:rsid w:val="00A739A4"/>
    <w:rsid w:val="00AA46C7"/>
    <w:rsid w:val="00AB1C30"/>
    <w:rsid w:val="00AB2E60"/>
    <w:rsid w:val="00AB3D00"/>
    <w:rsid w:val="00AD6107"/>
    <w:rsid w:val="00AE28AA"/>
    <w:rsid w:val="00AE6E9C"/>
    <w:rsid w:val="00AF4831"/>
    <w:rsid w:val="00B01F2B"/>
    <w:rsid w:val="00B075A1"/>
    <w:rsid w:val="00B154F1"/>
    <w:rsid w:val="00B33982"/>
    <w:rsid w:val="00B36647"/>
    <w:rsid w:val="00B36907"/>
    <w:rsid w:val="00B4144E"/>
    <w:rsid w:val="00B437D4"/>
    <w:rsid w:val="00B735ED"/>
    <w:rsid w:val="00B7662C"/>
    <w:rsid w:val="00B95569"/>
    <w:rsid w:val="00BA1212"/>
    <w:rsid w:val="00BA62DF"/>
    <w:rsid w:val="00BB5A10"/>
    <w:rsid w:val="00BB661A"/>
    <w:rsid w:val="00BC4A84"/>
    <w:rsid w:val="00BD25A5"/>
    <w:rsid w:val="00BD392D"/>
    <w:rsid w:val="00BE18C2"/>
    <w:rsid w:val="00BE3270"/>
    <w:rsid w:val="00BF64CD"/>
    <w:rsid w:val="00C45EB2"/>
    <w:rsid w:val="00C46104"/>
    <w:rsid w:val="00C92DC4"/>
    <w:rsid w:val="00C979DE"/>
    <w:rsid w:val="00CA43C6"/>
    <w:rsid w:val="00CB0EEF"/>
    <w:rsid w:val="00CC1D63"/>
    <w:rsid w:val="00CC34BA"/>
    <w:rsid w:val="00CD46F0"/>
    <w:rsid w:val="00CF36B9"/>
    <w:rsid w:val="00D15D57"/>
    <w:rsid w:val="00D2423C"/>
    <w:rsid w:val="00D27392"/>
    <w:rsid w:val="00D409C7"/>
    <w:rsid w:val="00D42C64"/>
    <w:rsid w:val="00D6002C"/>
    <w:rsid w:val="00D6433A"/>
    <w:rsid w:val="00D82B8E"/>
    <w:rsid w:val="00DA3DEA"/>
    <w:rsid w:val="00DA5C33"/>
    <w:rsid w:val="00DC3068"/>
    <w:rsid w:val="00DE358C"/>
    <w:rsid w:val="00DF1053"/>
    <w:rsid w:val="00E13BCD"/>
    <w:rsid w:val="00E21063"/>
    <w:rsid w:val="00E27DC2"/>
    <w:rsid w:val="00E316AE"/>
    <w:rsid w:val="00E531AB"/>
    <w:rsid w:val="00E5795C"/>
    <w:rsid w:val="00E6086E"/>
    <w:rsid w:val="00E6756B"/>
    <w:rsid w:val="00E726AD"/>
    <w:rsid w:val="00E729F0"/>
    <w:rsid w:val="00E93A84"/>
    <w:rsid w:val="00E93F70"/>
    <w:rsid w:val="00EA30DC"/>
    <w:rsid w:val="00EB5899"/>
    <w:rsid w:val="00ED7599"/>
    <w:rsid w:val="00EE123E"/>
    <w:rsid w:val="00EF01E6"/>
    <w:rsid w:val="00F0183B"/>
    <w:rsid w:val="00F03204"/>
    <w:rsid w:val="00F04EE8"/>
    <w:rsid w:val="00F10EE5"/>
    <w:rsid w:val="00F54B76"/>
    <w:rsid w:val="00F6254F"/>
    <w:rsid w:val="00F6409E"/>
    <w:rsid w:val="00F650B3"/>
    <w:rsid w:val="00F66A35"/>
    <w:rsid w:val="00F739F4"/>
    <w:rsid w:val="00F80674"/>
    <w:rsid w:val="00FA4817"/>
    <w:rsid w:val="00FE6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4822FD"/>
  <w15:chartTrackingRefBased/>
  <w15:docId w15:val="{1BC015F7-A76C-4CD3-86BF-5A491027A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8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148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48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148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148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148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48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48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48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8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148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48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148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148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148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48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48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481A"/>
    <w:rPr>
      <w:rFonts w:eastAsiaTheme="majorEastAsia" w:cstheme="majorBidi"/>
      <w:color w:val="272727" w:themeColor="text1" w:themeTint="D8"/>
    </w:rPr>
  </w:style>
  <w:style w:type="paragraph" w:styleId="Title">
    <w:name w:val="Title"/>
    <w:basedOn w:val="Normal"/>
    <w:next w:val="Normal"/>
    <w:link w:val="TitleChar"/>
    <w:uiPriority w:val="10"/>
    <w:qFormat/>
    <w:rsid w:val="007148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48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48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48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481A"/>
    <w:pPr>
      <w:spacing w:before="160"/>
      <w:jc w:val="center"/>
    </w:pPr>
    <w:rPr>
      <w:i/>
      <w:iCs/>
      <w:color w:val="404040" w:themeColor="text1" w:themeTint="BF"/>
    </w:rPr>
  </w:style>
  <w:style w:type="character" w:customStyle="1" w:styleId="QuoteChar">
    <w:name w:val="Quote Char"/>
    <w:basedOn w:val="DefaultParagraphFont"/>
    <w:link w:val="Quote"/>
    <w:uiPriority w:val="29"/>
    <w:rsid w:val="0071481A"/>
    <w:rPr>
      <w:i/>
      <w:iCs/>
      <w:color w:val="404040" w:themeColor="text1" w:themeTint="BF"/>
    </w:rPr>
  </w:style>
  <w:style w:type="paragraph" w:styleId="ListParagraph">
    <w:name w:val="List Paragraph"/>
    <w:basedOn w:val="Normal"/>
    <w:uiPriority w:val="34"/>
    <w:qFormat/>
    <w:rsid w:val="0071481A"/>
    <w:pPr>
      <w:ind w:left="720"/>
      <w:contextualSpacing/>
    </w:pPr>
  </w:style>
  <w:style w:type="character" w:styleId="IntenseEmphasis">
    <w:name w:val="Intense Emphasis"/>
    <w:basedOn w:val="DefaultParagraphFont"/>
    <w:uiPriority w:val="21"/>
    <w:qFormat/>
    <w:rsid w:val="0071481A"/>
    <w:rPr>
      <w:i/>
      <w:iCs/>
      <w:color w:val="2F5496" w:themeColor="accent1" w:themeShade="BF"/>
    </w:rPr>
  </w:style>
  <w:style w:type="paragraph" w:styleId="IntenseQuote">
    <w:name w:val="Intense Quote"/>
    <w:basedOn w:val="Normal"/>
    <w:next w:val="Normal"/>
    <w:link w:val="IntenseQuoteChar"/>
    <w:uiPriority w:val="30"/>
    <w:qFormat/>
    <w:rsid w:val="007148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481A"/>
    <w:rPr>
      <w:i/>
      <w:iCs/>
      <w:color w:val="2F5496" w:themeColor="accent1" w:themeShade="BF"/>
    </w:rPr>
  </w:style>
  <w:style w:type="character" w:styleId="IntenseReference">
    <w:name w:val="Intense Reference"/>
    <w:basedOn w:val="DefaultParagraphFont"/>
    <w:uiPriority w:val="32"/>
    <w:qFormat/>
    <w:rsid w:val="0071481A"/>
    <w:rPr>
      <w:b/>
      <w:bCs/>
      <w:smallCaps/>
      <w:color w:val="2F5496" w:themeColor="accent1" w:themeShade="BF"/>
      <w:spacing w:val="5"/>
    </w:rPr>
  </w:style>
  <w:style w:type="table" w:styleId="TableGrid">
    <w:name w:val="Table Grid"/>
    <w:basedOn w:val="TableNormal"/>
    <w:uiPriority w:val="39"/>
    <w:rsid w:val="003E3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3E307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FE699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FE69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6">
    <w:name w:val="Grid Table 4 Accent 6"/>
    <w:basedOn w:val="TableNormal"/>
    <w:uiPriority w:val="49"/>
    <w:rsid w:val="00FE699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C97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9DE"/>
  </w:style>
  <w:style w:type="paragraph" w:styleId="Footer">
    <w:name w:val="footer"/>
    <w:basedOn w:val="Normal"/>
    <w:link w:val="FooterChar"/>
    <w:uiPriority w:val="99"/>
    <w:unhideWhenUsed/>
    <w:rsid w:val="00C97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9DE"/>
  </w:style>
  <w:style w:type="paragraph" w:styleId="Bibliography">
    <w:name w:val="Bibliography"/>
    <w:basedOn w:val="Normal"/>
    <w:next w:val="Normal"/>
    <w:uiPriority w:val="37"/>
    <w:unhideWhenUsed/>
    <w:rsid w:val="00AE6E9C"/>
  </w:style>
  <w:style w:type="character" w:styleId="PlaceholderText">
    <w:name w:val="Placeholder Text"/>
    <w:basedOn w:val="DefaultParagraphFont"/>
    <w:uiPriority w:val="99"/>
    <w:semiHidden/>
    <w:rsid w:val="00E6756B"/>
    <w:rPr>
      <w:color w:val="666666"/>
    </w:rPr>
  </w:style>
  <w:style w:type="character" w:styleId="Hyperlink">
    <w:name w:val="Hyperlink"/>
    <w:basedOn w:val="DefaultParagraphFont"/>
    <w:uiPriority w:val="99"/>
    <w:unhideWhenUsed/>
    <w:rsid w:val="00473354"/>
    <w:rPr>
      <w:color w:val="0563C1" w:themeColor="hyperlink"/>
      <w:u w:val="single"/>
    </w:rPr>
  </w:style>
  <w:style w:type="character" w:styleId="UnresolvedMention">
    <w:name w:val="Unresolved Mention"/>
    <w:basedOn w:val="DefaultParagraphFont"/>
    <w:uiPriority w:val="99"/>
    <w:semiHidden/>
    <w:unhideWhenUsed/>
    <w:rsid w:val="00473354"/>
    <w:rPr>
      <w:color w:val="605E5C"/>
      <w:shd w:val="clear" w:color="auto" w:fill="E1DFDD"/>
    </w:rPr>
  </w:style>
  <w:style w:type="paragraph" w:customStyle="1" w:styleId="AcknHead">
    <w:name w:val="Ackn Head"/>
    <w:basedOn w:val="Normal"/>
    <w:rsid w:val="00DA3DEA"/>
    <w:pPr>
      <w:keepNext/>
      <w:spacing w:after="240" w:line="240" w:lineRule="auto"/>
    </w:pPr>
    <w:rPr>
      <w:rFonts w:ascii="Helvetica" w:eastAsia="Times New Roman" w:hAnsi="Helvetica" w:cs="Times New Roman"/>
      <w:b/>
      <w:caps/>
      <w:kern w:val="0"/>
      <w:sz w:val="22"/>
      <w:szCs w:val="20"/>
      <w14:ligatures w14:val="none"/>
    </w:rPr>
  </w:style>
  <w:style w:type="paragraph" w:customStyle="1" w:styleId="ReferHead">
    <w:name w:val="Refer Head"/>
    <w:basedOn w:val="Normal"/>
    <w:rsid w:val="00DA3DEA"/>
    <w:pPr>
      <w:keepNext/>
      <w:spacing w:after="240" w:line="240" w:lineRule="auto"/>
    </w:pPr>
    <w:rPr>
      <w:rFonts w:ascii="Helvetica" w:eastAsia="Times New Roman" w:hAnsi="Helvetica" w:cs="Times New Roman"/>
      <w:b/>
      <w:caps/>
      <w:kern w:val="0"/>
      <w:sz w:val="22"/>
      <w:szCs w:val="20"/>
      <w14:ligatures w14:val="none"/>
    </w:rPr>
  </w:style>
  <w:style w:type="paragraph" w:styleId="NormalWeb">
    <w:name w:val="Normal (Web)"/>
    <w:basedOn w:val="Normal"/>
    <w:uiPriority w:val="99"/>
    <w:semiHidden/>
    <w:unhideWhenUsed/>
    <w:rsid w:val="003E5BC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8629">
      <w:bodyDiv w:val="1"/>
      <w:marLeft w:val="0"/>
      <w:marRight w:val="0"/>
      <w:marTop w:val="0"/>
      <w:marBottom w:val="0"/>
      <w:divBdr>
        <w:top w:val="none" w:sz="0" w:space="0" w:color="auto"/>
        <w:left w:val="none" w:sz="0" w:space="0" w:color="auto"/>
        <w:bottom w:val="none" w:sz="0" w:space="0" w:color="auto"/>
        <w:right w:val="none" w:sz="0" w:space="0" w:color="auto"/>
      </w:divBdr>
    </w:div>
    <w:div w:id="36979023">
      <w:bodyDiv w:val="1"/>
      <w:marLeft w:val="0"/>
      <w:marRight w:val="0"/>
      <w:marTop w:val="0"/>
      <w:marBottom w:val="0"/>
      <w:divBdr>
        <w:top w:val="none" w:sz="0" w:space="0" w:color="auto"/>
        <w:left w:val="none" w:sz="0" w:space="0" w:color="auto"/>
        <w:bottom w:val="none" w:sz="0" w:space="0" w:color="auto"/>
        <w:right w:val="none" w:sz="0" w:space="0" w:color="auto"/>
      </w:divBdr>
    </w:div>
    <w:div w:id="37046379">
      <w:bodyDiv w:val="1"/>
      <w:marLeft w:val="0"/>
      <w:marRight w:val="0"/>
      <w:marTop w:val="0"/>
      <w:marBottom w:val="0"/>
      <w:divBdr>
        <w:top w:val="none" w:sz="0" w:space="0" w:color="auto"/>
        <w:left w:val="none" w:sz="0" w:space="0" w:color="auto"/>
        <w:bottom w:val="none" w:sz="0" w:space="0" w:color="auto"/>
        <w:right w:val="none" w:sz="0" w:space="0" w:color="auto"/>
      </w:divBdr>
    </w:div>
    <w:div w:id="166989081">
      <w:bodyDiv w:val="1"/>
      <w:marLeft w:val="0"/>
      <w:marRight w:val="0"/>
      <w:marTop w:val="0"/>
      <w:marBottom w:val="0"/>
      <w:divBdr>
        <w:top w:val="none" w:sz="0" w:space="0" w:color="auto"/>
        <w:left w:val="none" w:sz="0" w:space="0" w:color="auto"/>
        <w:bottom w:val="none" w:sz="0" w:space="0" w:color="auto"/>
        <w:right w:val="none" w:sz="0" w:space="0" w:color="auto"/>
      </w:divBdr>
    </w:div>
    <w:div w:id="171383769">
      <w:bodyDiv w:val="1"/>
      <w:marLeft w:val="0"/>
      <w:marRight w:val="0"/>
      <w:marTop w:val="0"/>
      <w:marBottom w:val="0"/>
      <w:divBdr>
        <w:top w:val="none" w:sz="0" w:space="0" w:color="auto"/>
        <w:left w:val="none" w:sz="0" w:space="0" w:color="auto"/>
        <w:bottom w:val="none" w:sz="0" w:space="0" w:color="auto"/>
        <w:right w:val="none" w:sz="0" w:space="0" w:color="auto"/>
      </w:divBdr>
    </w:div>
    <w:div w:id="184680490">
      <w:bodyDiv w:val="1"/>
      <w:marLeft w:val="0"/>
      <w:marRight w:val="0"/>
      <w:marTop w:val="0"/>
      <w:marBottom w:val="0"/>
      <w:divBdr>
        <w:top w:val="none" w:sz="0" w:space="0" w:color="auto"/>
        <w:left w:val="none" w:sz="0" w:space="0" w:color="auto"/>
        <w:bottom w:val="none" w:sz="0" w:space="0" w:color="auto"/>
        <w:right w:val="none" w:sz="0" w:space="0" w:color="auto"/>
      </w:divBdr>
    </w:div>
    <w:div w:id="189346043">
      <w:bodyDiv w:val="1"/>
      <w:marLeft w:val="0"/>
      <w:marRight w:val="0"/>
      <w:marTop w:val="0"/>
      <w:marBottom w:val="0"/>
      <w:divBdr>
        <w:top w:val="none" w:sz="0" w:space="0" w:color="auto"/>
        <w:left w:val="none" w:sz="0" w:space="0" w:color="auto"/>
        <w:bottom w:val="none" w:sz="0" w:space="0" w:color="auto"/>
        <w:right w:val="none" w:sz="0" w:space="0" w:color="auto"/>
      </w:divBdr>
    </w:div>
    <w:div w:id="207376008">
      <w:bodyDiv w:val="1"/>
      <w:marLeft w:val="0"/>
      <w:marRight w:val="0"/>
      <w:marTop w:val="0"/>
      <w:marBottom w:val="0"/>
      <w:divBdr>
        <w:top w:val="none" w:sz="0" w:space="0" w:color="auto"/>
        <w:left w:val="none" w:sz="0" w:space="0" w:color="auto"/>
        <w:bottom w:val="none" w:sz="0" w:space="0" w:color="auto"/>
        <w:right w:val="none" w:sz="0" w:space="0" w:color="auto"/>
      </w:divBdr>
    </w:div>
    <w:div w:id="277492726">
      <w:bodyDiv w:val="1"/>
      <w:marLeft w:val="0"/>
      <w:marRight w:val="0"/>
      <w:marTop w:val="0"/>
      <w:marBottom w:val="0"/>
      <w:divBdr>
        <w:top w:val="none" w:sz="0" w:space="0" w:color="auto"/>
        <w:left w:val="none" w:sz="0" w:space="0" w:color="auto"/>
        <w:bottom w:val="none" w:sz="0" w:space="0" w:color="auto"/>
        <w:right w:val="none" w:sz="0" w:space="0" w:color="auto"/>
      </w:divBdr>
    </w:div>
    <w:div w:id="289943993">
      <w:bodyDiv w:val="1"/>
      <w:marLeft w:val="0"/>
      <w:marRight w:val="0"/>
      <w:marTop w:val="0"/>
      <w:marBottom w:val="0"/>
      <w:divBdr>
        <w:top w:val="none" w:sz="0" w:space="0" w:color="auto"/>
        <w:left w:val="none" w:sz="0" w:space="0" w:color="auto"/>
        <w:bottom w:val="none" w:sz="0" w:space="0" w:color="auto"/>
        <w:right w:val="none" w:sz="0" w:space="0" w:color="auto"/>
      </w:divBdr>
    </w:div>
    <w:div w:id="291176911">
      <w:bodyDiv w:val="1"/>
      <w:marLeft w:val="0"/>
      <w:marRight w:val="0"/>
      <w:marTop w:val="0"/>
      <w:marBottom w:val="0"/>
      <w:divBdr>
        <w:top w:val="none" w:sz="0" w:space="0" w:color="auto"/>
        <w:left w:val="none" w:sz="0" w:space="0" w:color="auto"/>
        <w:bottom w:val="none" w:sz="0" w:space="0" w:color="auto"/>
        <w:right w:val="none" w:sz="0" w:space="0" w:color="auto"/>
      </w:divBdr>
    </w:div>
    <w:div w:id="312638075">
      <w:bodyDiv w:val="1"/>
      <w:marLeft w:val="0"/>
      <w:marRight w:val="0"/>
      <w:marTop w:val="0"/>
      <w:marBottom w:val="0"/>
      <w:divBdr>
        <w:top w:val="none" w:sz="0" w:space="0" w:color="auto"/>
        <w:left w:val="none" w:sz="0" w:space="0" w:color="auto"/>
        <w:bottom w:val="none" w:sz="0" w:space="0" w:color="auto"/>
        <w:right w:val="none" w:sz="0" w:space="0" w:color="auto"/>
      </w:divBdr>
    </w:div>
    <w:div w:id="313990296">
      <w:bodyDiv w:val="1"/>
      <w:marLeft w:val="0"/>
      <w:marRight w:val="0"/>
      <w:marTop w:val="0"/>
      <w:marBottom w:val="0"/>
      <w:divBdr>
        <w:top w:val="none" w:sz="0" w:space="0" w:color="auto"/>
        <w:left w:val="none" w:sz="0" w:space="0" w:color="auto"/>
        <w:bottom w:val="none" w:sz="0" w:space="0" w:color="auto"/>
        <w:right w:val="none" w:sz="0" w:space="0" w:color="auto"/>
      </w:divBdr>
    </w:div>
    <w:div w:id="322665321">
      <w:bodyDiv w:val="1"/>
      <w:marLeft w:val="0"/>
      <w:marRight w:val="0"/>
      <w:marTop w:val="0"/>
      <w:marBottom w:val="0"/>
      <w:divBdr>
        <w:top w:val="none" w:sz="0" w:space="0" w:color="auto"/>
        <w:left w:val="none" w:sz="0" w:space="0" w:color="auto"/>
        <w:bottom w:val="none" w:sz="0" w:space="0" w:color="auto"/>
        <w:right w:val="none" w:sz="0" w:space="0" w:color="auto"/>
      </w:divBdr>
    </w:div>
    <w:div w:id="323975526">
      <w:bodyDiv w:val="1"/>
      <w:marLeft w:val="0"/>
      <w:marRight w:val="0"/>
      <w:marTop w:val="0"/>
      <w:marBottom w:val="0"/>
      <w:divBdr>
        <w:top w:val="none" w:sz="0" w:space="0" w:color="auto"/>
        <w:left w:val="none" w:sz="0" w:space="0" w:color="auto"/>
        <w:bottom w:val="none" w:sz="0" w:space="0" w:color="auto"/>
        <w:right w:val="none" w:sz="0" w:space="0" w:color="auto"/>
      </w:divBdr>
    </w:div>
    <w:div w:id="333724987">
      <w:bodyDiv w:val="1"/>
      <w:marLeft w:val="0"/>
      <w:marRight w:val="0"/>
      <w:marTop w:val="0"/>
      <w:marBottom w:val="0"/>
      <w:divBdr>
        <w:top w:val="none" w:sz="0" w:space="0" w:color="auto"/>
        <w:left w:val="none" w:sz="0" w:space="0" w:color="auto"/>
        <w:bottom w:val="none" w:sz="0" w:space="0" w:color="auto"/>
        <w:right w:val="none" w:sz="0" w:space="0" w:color="auto"/>
      </w:divBdr>
    </w:div>
    <w:div w:id="356931786">
      <w:bodyDiv w:val="1"/>
      <w:marLeft w:val="0"/>
      <w:marRight w:val="0"/>
      <w:marTop w:val="0"/>
      <w:marBottom w:val="0"/>
      <w:divBdr>
        <w:top w:val="none" w:sz="0" w:space="0" w:color="auto"/>
        <w:left w:val="none" w:sz="0" w:space="0" w:color="auto"/>
        <w:bottom w:val="none" w:sz="0" w:space="0" w:color="auto"/>
        <w:right w:val="none" w:sz="0" w:space="0" w:color="auto"/>
      </w:divBdr>
    </w:div>
    <w:div w:id="378553475">
      <w:bodyDiv w:val="1"/>
      <w:marLeft w:val="0"/>
      <w:marRight w:val="0"/>
      <w:marTop w:val="0"/>
      <w:marBottom w:val="0"/>
      <w:divBdr>
        <w:top w:val="none" w:sz="0" w:space="0" w:color="auto"/>
        <w:left w:val="none" w:sz="0" w:space="0" w:color="auto"/>
        <w:bottom w:val="none" w:sz="0" w:space="0" w:color="auto"/>
        <w:right w:val="none" w:sz="0" w:space="0" w:color="auto"/>
      </w:divBdr>
    </w:div>
    <w:div w:id="419254707">
      <w:bodyDiv w:val="1"/>
      <w:marLeft w:val="0"/>
      <w:marRight w:val="0"/>
      <w:marTop w:val="0"/>
      <w:marBottom w:val="0"/>
      <w:divBdr>
        <w:top w:val="none" w:sz="0" w:space="0" w:color="auto"/>
        <w:left w:val="none" w:sz="0" w:space="0" w:color="auto"/>
        <w:bottom w:val="none" w:sz="0" w:space="0" w:color="auto"/>
        <w:right w:val="none" w:sz="0" w:space="0" w:color="auto"/>
      </w:divBdr>
    </w:div>
    <w:div w:id="438987518">
      <w:bodyDiv w:val="1"/>
      <w:marLeft w:val="0"/>
      <w:marRight w:val="0"/>
      <w:marTop w:val="0"/>
      <w:marBottom w:val="0"/>
      <w:divBdr>
        <w:top w:val="none" w:sz="0" w:space="0" w:color="auto"/>
        <w:left w:val="none" w:sz="0" w:space="0" w:color="auto"/>
        <w:bottom w:val="none" w:sz="0" w:space="0" w:color="auto"/>
        <w:right w:val="none" w:sz="0" w:space="0" w:color="auto"/>
      </w:divBdr>
    </w:div>
    <w:div w:id="484247514">
      <w:bodyDiv w:val="1"/>
      <w:marLeft w:val="0"/>
      <w:marRight w:val="0"/>
      <w:marTop w:val="0"/>
      <w:marBottom w:val="0"/>
      <w:divBdr>
        <w:top w:val="none" w:sz="0" w:space="0" w:color="auto"/>
        <w:left w:val="none" w:sz="0" w:space="0" w:color="auto"/>
        <w:bottom w:val="none" w:sz="0" w:space="0" w:color="auto"/>
        <w:right w:val="none" w:sz="0" w:space="0" w:color="auto"/>
      </w:divBdr>
    </w:div>
    <w:div w:id="496654189">
      <w:bodyDiv w:val="1"/>
      <w:marLeft w:val="0"/>
      <w:marRight w:val="0"/>
      <w:marTop w:val="0"/>
      <w:marBottom w:val="0"/>
      <w:divBdr>
        <w:top w:val="none" w:sz="0" w:space="0" w:color="auto"/>
        <w:left w:val="none" w:sz="0" w:space="0" w:color="auto"/>
        <w:bottom w:val="none" w:sz="0" w:space="0" w:color="auto"/>
        <w:right w:val="none" w:sz="0" w:space="0" w:color="auto"/>
      </w:divBdr>
    </w:div>
    <w:div w:id="571819613">
      <w:bodyDiv w:val="1"/>
      <w:marLeft w:val="0"/>
      <w:marRight w:val="0"/>
      <w:marTop w:val="0"/>
      <w:marBottom w:val="0"/>
      <w:divBdr>
        <w:top w:val="none" w:sz="0" w:space="0" w:color="auto"/>
        <w:left w:val="none" w:sz="0" w:space="0" w:color="auto"/>
        <w:bottom w:val="none" w:sz="0" w:space="0" w:color="auto"/>
        <w:right w:val="none" w:sz="0" w:space="0" w:color="auto"/>
      </w:divBdr>
    </w:div>
    <w:div w:id="609747980">
      <w:bodyDiv w:val="1"/>
      <w:marLeft w:val="0"/>
      <w:marRight w:val="0"/>
      <w:marTop w:val="0"/>
      <w:marBottom w:val="0"/>
      <w:divBdr>
        <w:top w:val="none" w:sz="0" w:space="0" w:color="auto"/>
        <w:left w:val="none" w:sz="0" w:space="0" w:color="auto"/>
        <w:bottom w:val="none" w:sz="0" w:space="0" w:color="auto"/>
        <w:right w:val="none" w:sz="0" w:space="0" w:color="auto"/>
      </w:divBdr>
    </w:div>
    <w:div w:id="633144832">
      <w:bodyDiv w:val="1"/>
      <w:marLeft w:val="0"/>
      <w:marRight w:val="0"/>
      <w:marTop w:val="0"/>
      <w:marBottom w:val="0"/>
      <w:divBdr>
        <w:top w:val="none" w:sz="0" w:space="0" w:color="auto"/>
        <w:left w:val="none" w:sz="0" w:space="0" w:color="auto"/>
        <w:bottom w:val="none" w:sz="0" w:space="0" w:color="auto"/>
        <w:right w:val="none" w:sz="0" w:space="0" w:color="auto"/>
      </w:divBdr>
    </w:div>
    <w:div w:id="660281401">
      <w:bodyDiv w:val="1"/>
      <w:marLeft w:val="0"/>
      <w:marRight w:val="0"/>
      <w:marTop w:val="0"/>
      <w:marBottom w:val="0"/>
      <w:divBdr>
        <w:top w:val="none" w:sz="0" w:space="0" w:color="auto"/>
        <w:left w:val="none" w:sz="0" w:space="0" w:color="auto"/>
        <w:bottom w:val="none" w:sz="0" w:space="0" w:color="auto"/>
        <w:right w:val="none" w:sz="0" w:space="0" w:color="auto"/>
      </w:divBdr>
    </w:div>
    <w:div w:id="701439076">
      <w:bodyDiv w:val="1"/>
      <w:marLeft w:val="0"/>
      <w:marRight w:val="0"/>
      <w:marTop w:val="0"/>
      <w:marBottom w:val="0"/>
      <w:divBdr>
        <w:top w:val="none" w:sz="0" w:space="0" w:color="auto"/>
        <w:left w:val="none" w:sz="0" w:space="0" w:color="auto"/>
        <w:bottom w:val="none" w:sz="0" w:space="0" w:color="auto"/>
        <w:right w:val="none" w:sz="0" w:space="0" w:color="auto"/>
      </w:divBdr>
    </w:div>
    <w:div w:id="711808136">
      <w:bodyDiv w:val="1"/>
      <w:marLeft w:val="0"/>
      <w:marRight w:val="0"/>
      <w:marTop w:val="0"/>
      <w:marBottom w:val="0"/>
      <w:divBdr>
        <w:top w:val="none" w:sz="0" w:space="0" w:color="auto"/>
        <w:left w:val="none" w:sz="0" w:space="0" w:color="auto"/>
        <w:bottom w:val="none" w:sz="0" w:space="0" w:color="auto"/>
        <w:right w:val="none" w:sz="0" w:space="0" w:color="auto"/>
      </w:divBdr>
    </w:div>
    <w:div w:id="724527689">
      <w:bodyDiv w:val="1"/>
      <w:marLeft w:val="0"/>
      <w:marRight w:val="0"/>
      <w:marTop w:val="0"/>
      <w:marBottom w:val="0"/>
      <w:divBdr>
        <w:top w:val="none" w:sz="0" w:space="0" w:color="auto"/>
        <w:left w:val="none" w:sz="0" w:space="0" w:color="auto"/>
        <w:bottom w:val="none" w:sz="0" w:space="0" w:color="auto"/>
        <w:right w:val="none" w:sz="0" w:space="0" w:color="auto"/>
      </w:divBdr>
    </w:div>
    <w:div w:id="767776795">
      <w:bodyDiv w:val="1"/>
      <w:marLeft w:val="0"/>
      <w:marRight w:val="0"/>
      <w:marTop w:val="0"/>
      <w:marBottom w:val="0"/>
      <w:divBdr>
        <w:top w:val="none" w:sz="0" w:space="0" w:color="auto"/>
        <w:left w:val="none" w:sz="0" w:space="0" w:color="auto"/>
        <w:bottom w:val="none" w:sz="0" w:space="0" w:color="auto"/>
        <w:right w:val="none" w:sz="0" w:space="0" w:color="auto"/>
      </w:divBdr>
    </w:div>
    <w:div w:id="859322749">
      <w:bodyDiv w:val="1"/>
      <w:marLeft w:val="0"/>
      <w:marRight w:val="0"/>
      <w:marTop w:val="0"/>
      <w:marBottom w:val="0"/>
      <w:divBdr>
        <w:top w:val="none" w:sz="0" w:space="0" w:color="auto"/>
        <w:left w:val="none" w:sz="0" w:space="0" w:color="auto"/>
        <w:bottom w:val="none" w:sz="0" w:space="0" w:color="auto"/>
        <w:right w:val="none" w:sz="0" w:space="0" w:color="auto"/>
      </w:divBdr>
    </w:div>
    <w:div w:id="874122027">
      <w:bodyDiv w:val="1"/>
      <w:marLeft w:val="0"/>
      <w:marRight w:val="0"/>
      <w:marTop w:val="0"/>
      <w:marBottom w:val="0"/>
      <w:divBdr>
        <w:top w:val="none" w:sz="0" w:space="0" w:color="auto"/>
        <w:left w:val="none" w:sz="0" w:space="0" w:color="auto"/>
        <w:bottom w:val="none" w:sz="0" w:space="0" w:color="auto"/>
        <w:right w:val="none" w:sz="0" w:space="0" w:color="auto"/>
      </w:divBdr>
      <w:divsChild>
        <w:div w:id="1000692081">
          <w:marLeft w:val="0"/>
          <w:marRight w:val="0"/>
          <w:marTop w:val="0"/>
          <w:marBottom w:val="0"/>
          <w:divBdr>
            <w:top w:val="none" w:sz="0" w:space="0" w:color="auto"/>
            <w:left w:val="none" w:sz="0" w:space="0" w:color="auto"/>
            <w:bottom w:val="none" w:sz="0" w:space="0" w:color="auto"/>
            <w:right w:val="none" w:sz="0" w:space="0" w:color="auto"/>
          </w:divBdr>
          <w:divsChild>
            <w:div w:id="19024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7896">
      <w:bodyDiv w:val="1"/>
      <w:marLeft w:val="0"/>
      <w:marRight w:val="0"/>
      <w:marTop w:val="0"/>
      <w:marBottom w:val="0"/>
      <w:divBdr>
        <w:top w:val="none" w:sz="0" w:space="0" w:color="auto"/>
        <w:left w:val="none" w:sz="0" w:space="0" w:color="auto"/>
        <w:bottom w:val="none" w:sz="0" w:space="0" w:color="auto"/>
        <w:right w:val="none" w:sz="0" w:space="0" w:color="auto"/>
      </w:divBdr>
    </w:div>
    <w:div w:id="892616954">
      <w:bodyDiv w:val="1"/>
      <w:marLeft w:val="0"/>
      <w:marRight w:val="0"/>
      <w:marTop w:val="0"/>
      <w:marBottom w:val="0"/>
      <w:divBdr>
        <w:top w:val="none" w:sz="0" w:space="0" w:color="auto"/>
        <w:left w:val="none" w:sz="0" w:space="0" w:color="auto"/>
        <w:bottom w:val="none" w:sz="0" w:space="0" w:color="auto"/>
        <w:right w:val="none" w:sz="0" w:space="0" w:color="auto"/>
      </w:divBdr>
    </w:div>
    <w:div w:id="985204490">
      <w:bodyDiv w:val="1"/>
      <w:marLeft w:val="0"/>
      <w:marRight w:val="0"/>
      <w:marTop w:val="0"/>
      <w:marBottom w:val="0"/>
      <w:divBdr>
        <w:top w:val="none" w:sz="0" w:space="0" w:color="auto"/>
        <w:left w:val="none" w:sz="0" w:space="0" w:color="auto"/>
        <w:bottom w:val="none" w:sz="0" w:space="0" w:color="auto"/>
        <w:right w:val="none" w:sz="0" w:space="0" w:color="auto"/>
      </w:divBdr>
    </w:div>
    <w:div w:id="1007364784">
      <w:bodyDiv w:val="1"/>
      <w:marLeft w:val="0"/>
      <w:marRight w:val="0"/>
      <w:marTop w:val="0"/>
      <w:marBottom w:val="0"/>
      <w:divBdr>
        <w:top w:val="none" w:sz="0" w:space="0" w:color="auto"/>
        <w:left w:val="none" w:sz="0" w:space="0" w:color="auto"/>
        <w:bottom w:val="none" w:sz="0" w:space="0" w:color="auto"/>
        <w:right w:val="none" w:sz="0" w:space="0" w:color="auto"/>
      </w:divBdr>
      <w:divsChild>
        <w:div w:id="1536582311">
          <w:marLeft w:val="0"/>
          <w:marRight w:val="0"/>
          <w:marTop w:val="0"/>
          <w:marBottom w:val="0"/>
          <w:divBdr>
            <w:top w:val="none" w:sz="0" w:space="0" w:color="auto"/>
            <w:left w:val="none" w:sz="0" w:space="0" w:color="auto"/>
            <w:bottom w:val="none" w:sz="0" w:space="0" w:color="auto"/>
            <w:right w:val="none" w:sz="0" w:space="0" w:color="auto"/>
          </w:divBdr>
          <w:divsChild>
            <w:div w:id="16381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58856">
      <w:bodyDiv w:val="1"/>
      <w:marLeft w:val="0"/>
      <w:marRight w:val="0"/>
      <w:marTop w:val="0"/>
      <w:marBottom w:val="0"/>
      <w:divBdr>
        <w:top w:val="none" w:sz="0" w:space="0" w:color="auto"/>
        <w:left w:val="none" w:sz="0" w:space="0" w:color="auto"/>
        <w:bottom w:val="none" w:sz="0" w:space="0" w:color="auto"/>
        <w:right w:val="none" w:sz="0" w:space="0" w:color="auto"/>
      </w:divBdr>
    </w:div>
    <w:div w:id="1054088437">
      <w:bodyDiv w:val="1"/>
      <w:marLeft w:val="0"/>
      <w:marRight w:val="0"/>
      <w:marTop w:val="0"/>
      <w:marBottom w:val="0"/>
      <w:divBdr>
        <w:top w:val="none" w:sz="0" w:space="0" w:color="auto"/>
        <w:left w:val="none" w:sz="0" w:space="0" w:color="auto"/>
        <w:bottom w:val="none" w:sz="0" w:space="0" w:color="auto"/>
        <w:right w:val="none" w:sz="0" w:space="0" w:color="auto"/>
      </w:divBdr>
    </w:div>
    <w:div w:id="1148865358">
      <w:bodyDiv w:val="1"/>
      <w:marLeft w:val="0"/>
      <w:marRight w:val="0"/>
      <w:marTop w:val="0"/>
      <w:marBottom w:val="0"/>
      <w:divBdr>
        <w:top w:val="none" w:sz="0" w:space="0" w:color="auto"/>
        <w:left w:val="none" w:sz="0" w:space="0" w:color="auto"/>
        <w:bottom w:val="none" w:sz="0" w:space="0" w:color="auto"/>
        <w:right w:val="none" w:sz="0" w:space="0" w:color="auto"/>
      </w:divBdr>
      <w:divsChild>
        <w:div w:id="1877504267">
          <w:marLeft w:val="0"/>
          <w:marRight w:val="0"/>
          <w:marTop w:val="0"/>
          <w:marBottom w:val="0"/>
          <w:divBdr>
            <w:top w:val="none" w:sz="0" w:space="0" w:color="auto"/>
            <w:left w:val="none" w:sz="0" w:space="0" w:color="auto"/>
            <w:bottom w:val="none" w:sz="0" w:space="0" w:color="auto"/>
            <w:right w:val="none" w:sz="0" w:space="0" w:color="auto"/>
          </w:divBdr>
          <w:divsChild>
            <w:div w:id="7195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06584">
      <w:bodyDiv w:val="1"/>
      <w:marLeft w:val="0"/>
      <w:marRight w:val="0"/>
      <w:marTop w:val="0"/>
      <w:marBottom w:val="0"/>
      <w:divBdr>
        <w:top w:val="none" w:sz="0" w:space="0" w:color="auto"/>
        <w:left w:val="none" w:sz="0" w:space="0" w:color="auto"/>
        <w:bottom w:val="none" w:sz="0" w:space="0" w:color="auto"/>
        <w:right w:val="none" w:sz="0" w:space="0" w:color="auto"/>
      </w:divBdr>
    </w:div>
    <w:div w:id="1182864235">
      <w:bodyDiv w:val="1"/>
      <w:marLeft w:val="0"/>
      <w:marRight w:val="0"/>
      <w:marTop w:val="0"/>
      <w:marBottom w:val="0"/>
      <w:divBdr>
        <w:top w:val="none" w:sz="0" w:space="0" w:color="auto"/>
        <w:left w:val="none" w:sz="0" w:space="0" w:color="auto"/>
        <w:bottom w:val="none" w:sz="0" w:space="0" w:color="auto"/>
        <w:right w:val="none" w:sz="0" w:space="0" w:color="auto"/>
      </w:divBdr>
    </w:div>
    <w:div w:id="1191264837">
      <w:bodyDiv w:val="1"/>
      <w:marLeft w:val="0"/>
      <w:marRight w:val="0"/>
      <w:marTop w:val="0"/>
      <w:marBottom w:val="0"/>
      <w:divBdr>
        <w:top w:val="none" w:sz="0" w:space="0" w:color="auto"/>
        <w:left w:val="none" w:sz="0" w:space="0" w:color="auto"/>
        <w:bottom w:val="none" w:sz="0" w:space="0" w:color="auto"/>
        <w:right w:val="none" w:sz="0" w:space="0" w:color="auto"/>
      </w:divBdr>
    </w:div>
    <w:div w:id="1332101976">
      <w:bodyDiv w:val="1"/>
      <w:marLeft w:val="0"/>
      <w:marRight w:val="0"/>
      <w:marTop w:val="0"/>
      <w:marBottom w:val="0"/>
      <w:divBdr>
        <w:top w:val="none" w:sz="0" w:space="0" w:color="auto"/>
        <w:left w:val="none" w:sz="0" w:space="0" w:color="auto"/>
        <w:bottom w:val="none" w:sz="0" w:space="0" w:color="auto"/>
        <w:right w:val="none" w:sz="0" w:space="0" w:color="auto"/>
      </w:divBdr>
    </w:div>
    <w:div w:id="1335499734">
      <w:bodyDiv w:val="1"/>
      <w:marLeft w:val="0"/>
      <w:marRight w:val="0"/>
      <w:marTop w:val="0"/>
      <w:marBottom w:val="0"/>
      <w:divBdr>
        <w:top w:val="none" w:sz="0" w:space="0" w:color="auto"/>
        <w:left w:val="none" w:sz="0" w:space="0" w:color="auto"/>
        <w:bottom w:val="none" w:sz="0" w:space="0" w:color="auto"/>
        <w:right w:val="none" w:sz="0" w:space="0" w:color="auto"/>
      </w:divBdr>
    </w:div>
    <w:div w:id="1343437710">
      <w:bodyDiv w:val="1"/>
      <w:marLeft w:val="0"/>
      <w:marRight w:val="0"/>
      <w:marTop w:val="0"/>
      <w:marBottom w:val="0"/>
      <w:divBdr>
        <w:top w:val="none" w:sz="0" w:space="0" w:color="auto"/>
        <w:left w:val="none" w:sz="0" w:space="0" w:color="auto"/>
        <w:bottom w:val="none" w:sz="0" w:space="0" w:color="auto"/>
        <w:right w:val="none" w:sz="0" w:space="0" w:color="auto"/>
      </w:divBdr>
    </w:div>
    <w:div w:id="1351950683">
      <w:bodyDiv w:val="1"/>
      <w:marLeft w:val="0"/>
      <w:marRight w:val="0"/>
      <w:marTop w:val="0"/>
      <w:marBottom w:val="0"/>
      <w:divBdr>
        <w:top w:val="none" w:sz="0" w:space="0" w:color="auto"/>
        <w:left w:val="none" w:sz="0" w:space="0" w:color="auto"/>
        <w:bottom w:val="none" w:sz="0" w:space="0" w:color="auto"/>
        <w:right w:val="none" w:sz="0" w:space="0" w:color="auto"/>
      </w:divBdr>
    </w:div>
    <w:div w:id="1365253291">
      <w:bodyDiv w:val="1"/>
      <w:marLeft w:val="0"/>
      <w:marRight w:val="0"/>
      <w:marTop w:val="0"/>
      <w:marBottom w:val="0"/>
      <w:divBdr>
        <w:top w:val="none" w:sz="0" w:space="0" w:color="auto"/>
        <w:left w:val="none" w:sz="0" w:space="0" w:color="auto"/>
        <w:bottom w:val="none" w:sz="0" w:space="0" w:color="auto"/>
        <w:right w:val="none" w:sz="0" w:space="0" w:color="auto"/>
      </w:divBdr>
    </w:div>
    <w:div w:id="1370686568">
      <w:bodyDiv w:val="1"/>
      <w:marLeft w:val="0"/>
      <w:marRight w:val="0"/>
      <w:marTop w:val="0"/>
      <w:marBottom w:val="0"/>
      <w:divBdr>
        <w:top w:val="none" w:sz="0" w:space="0" w:color="auto"/>
        <w:left w:val="none" w:sz="0" w:space="0" w:color="auto"/>
        <w:bottom w:val="none" w:sz="0" w:space="0" w:color="auto"/>
        <w:right w:val="none" w:sz="0" w:space="0" w:color="auto"/>
      </w:divBdr>
    </w:div>
    <w:div w:id="1431004657">
      <w:bodyDiv w:val="1"/>
      <w:marLeft w:val="0"/>
      <w:marRight w:val="0"/>
      <w:marTop w:val="0"/>
      <w:marBottom w:val="0"/>
      <w:divBdr>
        <w:top w:val="none" w:sz="0" w:space="0" w:color="auto"/>
        <w:left w:val="none" w:sz="0" w:space="0" w:color="auto"/>
        <w:bottom w:val="none" w:sz="0" w:space="0" w:color="auto"/>
        <w:right w:val="none" w:sz="0" w:space="0" w:color="auto"/>
      </w:divBdr>
    </w:div>
    <w:div w:id="1437017854">
      <w:bodyDiv w:val="1"/>
      <w:marLeft w:val="0"/>
      <w:marRight w:val="0"/>
      <w:marTop w:val="0"/>
      <w:marBottom w:val="0"/>
      <w:divBdr>
        <w:top w:val="none" w:sz="0" w:space="0" w:color="auto"/>
        <w:left w:val="none" w:sz="0" w:space="0" w:color="auto"/>
        <w:bottom w:val="none" w:sz="0" w:space="0" w:color="auto"/>
        <w:right w:val="none" w:sz="0" w:space="0" w:color="auto"/>
      </w:divBdr>
    </w:div>
    <w:div w:id="1450398308">
      <w:bodyDiv w:val="1"/>
      <w:marLeft w:val="0"/>
      <w:marRight w:val="0"/>
      <w:marTop w:val="0"/>
      <w:marBottom w:val="0"/>
      <w:divBdr>
        <w:top w:val="none" w:sz="0" w:space="0" w:color="auto"/>
        <w:left w:val="none" w:sz="0" w:space="0" w:color="auto"/>
        <w:bottom w:val="none" w:sz="0" w:space="0" w:color="auto"/>
        <w:right w:val="none" w:sz="0" w:space="0" w:color="auto"/>
      </w:divBdr>
    </w:div>
    <w:div w:id="1490561337">
      <w:bodyDiv w:val="1"/>
      <w:marLeft w:val="0"/>
      <w:marRight w:val="0"/>
      <w:marTop w:val="0"/>
      <w:marBottom w:val="0"/>
      <w:divBdr>
        <w:top w:val="none" w:sz="0" w:space="0" w:color="auto"/>
        <w:left w:val="none" w:sz="0" w:space="0" w:color="auto"/>
        <w:bottom w:val="none" w:sz="0" w:space="0" w:color="auto"/>
        <w:right w:val="none" w:sz="0" w:space="0" w:color="auto"/>
      </w:divBdr>
    </w:div>
    <w:div w:id="1580208382">
      <w:bodyDiv w:val="1"/>
      <w:marLeft w:val="0"/>
      <w:marRight w:val="0"/>
      <w:marTop w:val="0"/>
      <w:marBottom w:val="0"/>
      <w:divBdr>
        <w:top w:val="none" w:sz="0" w:space="0" w:color="auto"/>
        <w:left w:val="none" w:sz="0" w:space="0" w:color="auto"/>
        <w:bottom w:val="none" w:sz="0" w:space="0" w:color="auto"/>
        <w:right w:val="none" w:sz="0" w:space="0" w:color="auto"/>
      </w:divBdr>
      <w:divsChild>
        <w:div w:id="1200314817">
          <w:marLeft w:val="0"/>
          <w:marRight w:val="0"/>
          <w:marTop w:val="0"/>
          <w:marBottom w:val="0"/>
          <w:divBdr>
            <w:top w:val="none" w:sz="0" w:space="0" w:color="auto"/>
            <w:left w:val="none" w:sz="0" w:space="0" w:color="auto"/>
            <w:bottom w:val="none" w:sz="0" w:space="0" w:color="auto"/>
            <w:right w:val="none" w:sz="0" w:space="0" w:color="auto"/>
          </w:divBdr>
          <w:divsChild>
            <w:div w:id="10453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3452">
      <w:bodyDiv w:val="1"/>
      <w:marLeft w:val="0"/>
      <w:marRight w:val="0"/>
      <w:marTop w:val="0"/>
      <w:marBottom w:val="0"/>
      <w:divBdr>
        <w:top w:val="none" w:sz="0" w:space="0" w:color="auto"/>
        <w:left w:val="none" w:sz="0" w:space="0" w:color="auto"/>
        <w:bottom w:val="none" w:sz="0" w:space="0" w:color="auto"/>
        <w:right w:val="none" w:sz="0" w:space="0" w:color="auto"/>
      </w:divBdr>
    </w:div>
    <w:div w:id="1609004254">
      <w:bodyDiv w:val="1"/>
      <w:marLeft w:val="0"/>
      <w:marRight w:val="0"/>
      <w:marTop w:val="0"/>
      <w:marBottom w:val="0"/>
      <w:divBdr>
        <w:top w:val="none" w:sz="0" w:space="0" w:color="auto"/>
        <w:left w:val="none" w:sz="0" w:space="0" w:color="auto"/>
        <w:bottom w:val="none" w:sz="0" w:space="0" w:color="auto"/>
        <w:right w:val="none" w:sz="0" w:space="0" w:color="auto"/>
      </w:divBdr>
    </w:div>
    <w:div w:id="1634630842">
      <w:bodyDiv w:val="1"/>
      <w:marLeft w:val="0"/>
      <w:marRight w:val="0"/>
      <w:marTop w:val="0"/>
      <w:marBottom w:val="0"/>
      <w:divBdr>
        <w:top w:val="none" w:sz="0" w:space="0" w:color="auto"/>
        <w:left w:val="none" w:sz="0" w:space="0" w:color="auto"/>
        <w:bottom w:val="none" w:sz="0" w:space="0" w:color="auto"/>
        <w:right w:val="none" w:sz="0" w:space="0" w:color="auto"/>
      </w:divBdr>
    </w:div>
    <w:div w:id="1672289679">
      <w:bodyDiv w:val="1"/>
      <w:marLeft w:val="0"/>
      <w:marRight w:val="0"/>
      <w:marTop w:val="0"/>
      <w:marBottom w:val="0"/>
      <w:divBdr>
        <w:top w:val="none" w:sz="0" w:space="0" w:color="auto"/>
        <w:left w:val="none" w:sz="0" w:space="0" w:color="auto"/>
        <w:bottom w:val="none" w:sz="0" w:space="0" w:color="auto"/>
        <w:right w:val="none" w:sz="0" w:space="0" w:color="auto"/>
      </w:divBdr>
    </w:div>
    <w:div w:id="1717774779">
      <w:bodyDiv w:val="1"/>
      <w:marLeft w:val="0"/>
      <w:marRight w:val="0"/>
      <w:marTop w:val="0"/>
      <w:marBottom w:val="0"/>
      <w:divBdr>
        <w:top w:val="none" w:sz="0" w:space="0" w:color="auto"/>
        <w:left w:val="none" w:sz="0" w:space="0" w:color="auto"/>
        <w:bottom w:val="none" w:sz="0" w:space="0" w:color="auto"/>
        <w:right w:val="none" w:sz="0" w:space="0" w:color="auto"/>
      </w:divBdr>
    </w:div>
    <w:div w:id="1736859281">
      <w:bodyDiv w:val="1"/>
      <w:marLeft w:val="0"/>
      <w:marRight w:val="0"/>
      <w:marTop w:val="0"/>
      <w:marBottom w:val="0"/>
      <w:divBdr>
        <w:top w:val="none" w:sz="0" w:space="0" w:color="auto"/>
        <w:left w:val="none" w:sz="0" w:space="0" w:color="auto"/>
        <w:bottom w:val="none" w:sz="0" w:space="0" w:color="auto"/>
        <w:right w:val="none" w:sz="0" w:space="0" w:color="auto"/>
      </w:divBdr>
    </w:div>
    <w:div w:id="1919830068">
      <w:bodyDiv w:val="1"/>
      <w:marLeft w:val="0"/>
      <w:marRight w:val="0"/>
      <w:marTop w:val="0"/>
      <w:marBottom w:val="0"/>
      <w:divBdr>
        <w:top w:val="none" w:sz="0" w:space="0" w:color="auto"/>
        <w:left w:val="none" w:sz="0" w:space="0" w:color="auto"/>
        <w:bottom w:val="none" w:sz="0" w:space="0" w:color="auto"/>
        <w:right w:val="none" w:sz="0" w:space="0" w:color="auto"/>
      </w:divBdr>
    </w:div>
    <w:div w:id="1946384562">
      <w:bodyDiv w:val="1"/>
      <w:marLeft w:val="0"/>
      <w:marRight w:val="0"/>
      <w:marTop w:val="0"/>
      <w:marBottom w:val="0"/>
      <w:divBdr>
        <w:top w:val="none" w:sz="0" w:space="0" w:color="auto"/>
        <w:left w:val="none" w:sz="0" w:space="0" w:color="auto"/>
        <w:bottom w:val="none" w:sz="0" w:space="0" w:color="auto"/>
        <w:right w:val="none" w:sz="0" w:space="0" w:color="auto"/>
      </w:divBdr>
    </w:div>
    <w:div w:id="1955867396">
      <w:bodyDiv w:val="1"/>
      <w:marLeft w:val="0"/>
      <w:marRight w:val="0"/>
      <w:marTop w:val="0"/>
      <w:marBottom w:val="0"/>
      <w:divBdr>
        <w:top w:val="none" w:sz="0" w:space="0" w:color="auto"/>
        <w:left w:val="none" w:sz="0" w:space="0" w:color="auto"/>
        <w:bottom w:val="none" w:sz="0" w:space="0" w:color="auto"/>
        <w:right w:val="none" w:sz="0" w:space="0" w:color="auto"/>
      </w:divBdr>
    </w:div>
    <w:div w:id="2102751271">
      <w:bodyDiv w:val="1"/>
      <w:marLeft w:val="0"/>
      <w:marRight w:val="0"/>
      <w:marTop w:val="0"/>
      <w:marBottom w:val="0"/>
      <w:divBdr>
        <w:top w:val="none" w:sz="0" w:space="0" w:color="auto"/>
        <w:left w:val="none" w:sz="0" w:space="0" w:color="auto"/>
        <w:bottom w:val="none" w:sz="0" w:space="0" w:color="auto"/>
        <w:right w:val="none" w:sz="0" w:space="0" w:color="auto"/>
      </w:divBdr>
    </w:div>
    <w:div w:id="2105612757">
      <w:bodyDiv w:val="1"/>
      <w:marLeft w:val="0"/>
      <w:marRight w:val="0"/>
      <w:marTop w:val="0"/>
      <w:marBottom w:val="0"/>
      <w:divBdr>
        <w:top w:val="none" w:sz="0" w:space="0" w:color="auto"/>
        <w:left w:val="none" w:sz="0" w:space="0" w:color="auto"/>
        <w:bottom w:val="none" w:sz="0" w:space="0" w:color="auto"/>
        <w:right w:val="none" w:sz="0" w:space="0" w:color="auto"/>
      </w:divBdr>
    </w:div>
    <w:div w:id="2110196904">
      <w:bodyDiv w:val="1"/>
      <w:marLeft w:val="0"/>
      <w:marRight w:val="0"/>
      <w:marTop w:val="0"/>
      <w:marBottom w:val="0"/>
      <w:divBdr>
        <w:top w:val="none" w:sz="0" w:space="0" w:color="auto"/>
        <w:left w:val="none" w:sz="0" w:space="0" w:color="auto"/>
        <w:bottom w:val="none" w:sz="0" w:space="0" w:color="auto"/>
        <w:right w:val="none" w:sz="0" w:space="0" w:color="auto"/>
      </w:divBdr>
    </w:div>
    <w:div w:id="2110731783">
      <w:bodyDiv w:val="1"/>
      <w:marLeft w:val="0"/>
      <w:marRight w:val="0"/>
      <w:marTop w:val="0"/>
      <w:marBottom w:val="0"/>
      <w:divBdr>
        <w:top w:val="none" w:sz="0" w:space="0" w:color="auto"/>
        <w:left w:val="none" w:sz="0" w:space="0" w:color="auto"/>
        <w:bottom w:val="none" w:sz="0" w:space="0" w:color="auto"/>
        <w:right w:val="none" w:sz="0" w:space="0" w:color="auto"/>
      </w:divBdr>
    </w:div>
    <w:div w:id="214265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Project\charts%20and%20tables\lulc_chang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solidFill>
                <a:latin typeface="+mn-lt"/>
                <a:ea typeface="+mn-ea"/>
                <a:cs typeface="+mn-cs"/>
              </a:defRPr>
            </a:pPr>
            <a:r>
              <a:rPr lang="en-US"/>
              <a:t>Land Use  and Land Cover Changes</a:t>
            </a:r>
          </a:p>
        </c:rich>
      </c:tx>
      <c:layout>
        <c:manualLayout>
          <c:xMode val="edge"/>
          <c:yMode val="edge"/>
          <c:x val="0.14192073170731703"/>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cat>
            <c:strRef>
              <c:f>Sheet1!$A$2:$A$5</c:f>
              <c:strCache>
                <c:ptCount val="4"/>
                <c:pt idx="0">
                  <c:v>Barren</c:v>
                </c:pt>
                <c:pt idx="1">
                  <c:v>Developed</c:v>
                </c:pt>
                <c:pt idx="2">
                  <c:v>Forest</c:v>
                </c:pt>
                <c:pt idx="3">
                  <c:v>Water</c:v>
                </c:pt>
              </c:strCache>
            </c:strRef>
          </c:cat>
          <c:val>
            <c:numRef>
              <c:f>Sheet1!$B$2:$B$5</c:f>
              <c:numCache>
                <c:formatCode>General</c:formatCode>
                <c:ptCount val="4"/>
                <c:pt idx="0">
                  <c:v>510.72980166500002</c:v>
                </c:pt>
                <c:pt idx="1">
                  <c:v>566.66714362699895</c:v>
                </c:pt>
                <c:pt idx="2">
                  <c:v>548.80478543499896</c:v>
                </c:pt>
                <c:pt idx="3">
                  <c:v>90.176044660800002</c:v>
                </c:pt>
              </c:numCache>
            </c:numRef>
          </c:val>
          <c:extLst>
            <c:ext xmlns:c16="http://schemas.microsoft.com/office/drawing/2014/chart" uri="{C3380CC4-5D6E-409C-BE32-E72D297353CC}">
              <c16:uniqueId val="{00000000-186D-420B-BE67-BCE065B986B5}"/>
            </c:ext>
          </c:extLst>
        </c:ser>
        <c:ser>
          <c:idx val="1"/>
          <c:order val="1"/>
          <c:tx>
            <c:strRef>
              <c:f>Sheet1!$C$1</c:f>
              <c:strCache>
                <c:ptCount val="1"/>
                <c:pt idx="0">
                  <c:v>2024</c:v>
                </c:pt>
              </c:strCache>
            </c:strRef>
          </c:tx>
          <c:spPr>
            <a:solidFill>
              <a:schemeClr val="accent2"/>
            </a:solidFill>
            <a:ln>
              <a:noFill/>
            </a:ln>
            <a:effectLst/>
          </c:spPr>
          <c:invertIfNegative val="0"/>
          <c:cat>
            <c:strRef>
              <c:f>Sheet1!$A$2:$A$5</c:f>
              <c:strCache>
                <c:ptCount val="4"/>
                <c:pt idx="0">
                  <c:v>Barren</c:v>
                </c:pt>
                <c:pt idx="1">
                  <c:v>Developed</c:v>
                </c:pt>
                <c:pt idx="2">
                  <c:v>Forest</c:v>
                </c:pt>
                <c:pt idx="3">
                  <c:v>Water</c:v>
                </c:pt>
              </c:strCache>
            </c:strRef>
          </c:cat>
          <c:val>
            <c:numRef>
              <c:f>Sheet1!$C$2:$C$5</c:f>
              <c:numCache>
                <c:formatCode>General</c:formatCode>
                <c:ptCount val="4"/>
                <c:pt idx="0">
                  <c:v>543.02097159200002</c:v>
                </c:pt>
                <c:pt idx="1">
                  <c:v>698.13923594000005</c:v>
                </c:pt>
                <c:pt idx="2">
                  <c:v>380.32111560499902</c:v>
                </c:pt>
                <c:pt idx="3">
                  <c:v>94.927206542799894</c:v>
                </c:pt>
              </c:numCache>
            </c:numRef>
          </c:val>
          <c:extLst>
            <c:ext xmlns:c16="http://schemas.microsoft.com/office/drawing/2014/chart" uri="{C3380CC4-5D6E-409C-BE32-E72D297353CC}">
              <c16:uniqueId val="{00000001-186D-420B-BE67-BCE065B986B5}"/>
            </c:ext>
          </c:extLst>
        </c:ser>
        <c:dLbls>
          <c:showLegendKey val="0"/>
          <c:showVal val="0"/>
          <c:showCatName val="0"/>
          <c:showSerName val="0"/>
          <c:showPercent val="0"/>
          <c:showBubbleSize val="0"/>
        </c:dLbls>
        <c:gapWidth val="267"/>
        <c:overlap val="-43"/>
        <c:axId val="2039164960"/>
        <c:axId val="2039159200"/>
      </c:barChart>
      <c:catAx>
        <c:axId val="20391649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en-US"/>
          </a:p>
        </c:txPr>
        <c:crossAx val="2039159200"/>
        <c:crosses val="autoZero"/>
        <c:auto val="1"/>
        <c:lblAlgn val="ctr"/>
        <c:lblOffset val="100"/>
        <c:noMultiLvlLbl val="0"/>
      </c:catAx>
      <c:valAx>
        <c:axId val="203915920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a:t>Area(Sq.KM)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3916496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24</Pages>
  <Words>18383</Words>
  <Characters>104788</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Editor-22</cp:lastModifiedBy>
  <cp:revision>34</cp:revision>
  <cp:lastPrinted>2025-06-09T13:01:00Z</cp:lastPrinted>
  <dcterms:created xsi:type="dcterms:W3CDTF">2025-06-10T04:20:00Z</dcterms:created>
  <dcterms:modified xsi:type="dcterms:W3CDTF">2025-06-10T13:47:00Z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id="h5ANW4Cm"/&gt;&lt;style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9892e56c-9e6b-4c13-8fd0-2fad99a5f23f</vt:lpwstr>
  </property>
</Properties>
</file>