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13D6C" w14:textId="77777777" w:rsidR="004D77C3" w:rsidRDefault="004D77C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2FE29C1" w14:textId="77777777" w:rsidR="002F4F1F" w:rsidRDefault="002F4F1F">
      <w:pPr>
        <w:jc w:val="center"/>
        <w:rPr>
          <w:rFonts w:ascii="Times New Roman" w:eastAsia="Times New Roman" w:hAnsi="Times New Roman" w:cs="Times New Roman"/>
          <w:b/>
          <w:color w:val="000000"/>
          <w:sz w:val="24"/>
          <w:szCs w:val="24"/>
        </w:rPr>
      </w:pPr>
      <w:r w:rsidRPr="002F4F1F">
        <w:rPr>
          <w:rFonts w:ascii="Times New Roman" w:eastAsia="Times New Roman" w:hAnsi="Times New Roman" w:cs="Times New Roman"/>
          <w:b/>
          <w:color w:val="000000"/>
          <w:sz w:val="24"/>
          <w:szCs w:val="24"/>
        </w:rPr>
        <w:t>The Role of CCATD and CTD in Assessing Crop Water Status and Stress Response in High-Tech Agri</w:t>
      </w:r>
      <w:r w:rsidR="007815F7">
        <w:rPr>
          <w:rFonts w:ascii="Times New Roman" w:eastAsia="Times New Roman" w:hAnsi="Times New Roman" w:cs="Times New Roman"/>
          <w:b/>
          <w:color w:val="000000"/>
          <w:sz w:val="24"/>
          <w:szCs w:val="24"/>
        </w:rPr>
        <w:t>culture: A Comprehensive Review</w:t>
      </w:r>
    </w:p>
    <w:p w14:paraId="331D88BB" w14:textId="3433899E" w:rsidR="00E92BDB" w:rsidRDefault="00E92BD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9350B08" w14:textId="77777777" w:rsidR="004D77C3" w:rsidRDefault="004D77C3">
      <w:pPr>
        <w:spacing w:after="0" w:line="240" w:lineRule="auto"/>
        <w:jc w:val="center"/>
        <w:rPr>
          <w:rFonts w:ascii="Times New Roman" w:eastAsia="Times New Roman" w:hAnsi="Times New Roman" w:cs="Times New Roman"/>
          <w:color w:val="000000"/>
          <w:sz w:val="24"/>
          <w:szCs w:val="24"/>
        </w:rPr>
      </w:pPr>
    </w:p>
    <w:p w14:paraId="72F50B5E" w14:textId="77777777" w:rsidR="004D77C3" w:rsidRDefault="00B2595A">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ABSTRACT</w:t>
      </w:r>
    </w:p>
    <w:p w14:paraId="3DC210B5" w14:textId="77777777" w:rsidR="004D77C3" w:rsidRDefault="00B2595A">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Crop temperature regulation is a fundamental aspect of plant physiology, particularly under fluctuating environmental conditions. Temperature-based indices, such as Crop Canopy Air Temperature Difference (CCATD) and Canopy Temperature Depression (CTD), serve as crucial indicators of plant water status, transpiration efficiency, and drought response. CCATD, defined as the difference between canopy temperature (Tc) and air temperature (Ta), provides insights into water stress, where higher values signify limited transpiration and increased heat accumulation. Conversely, CTD, calculated as the difference between Ta and Tc, reflects the plant's cooling capacity, with higher values indicating active transpiration and efficient water use. The inverse relationship between these indices enhances their applicability in crop monitoring, precision irrigation, and plant breeding programs for stress-resilient genotypes. Advanced technologies, including infrared thermometry, UAV-mounted thermal imaging, and satellite-based remote sensing, facilitate accurate CCATD and CTD assessments at various scales. Environmental variables such as solar radiation, vapor pressure deficit (VPD), wind speed, and soil moisture dynamics significantly influence these indices, necessitating their integration with multi-spectral and physiological parameters for improved stress detection. This study underscores the pivotal role of CCATD and CTD in optimizing agricultural water management, identifying climate-resilient cultivars, and advancing precision agriculture. Future research should focus on integrating AI-driven analytics and high-throughput phenotyping to enhance the predictive accuracy of these indices, ensuring sustainable crop production under increasing climate variability.</w:t>
      </w:r>
    </w:p>
    <w:p w14:paraId="5907B776" w14:textId="77777777" w:rsidR="004D77C3" w:rsidRDefault="00A460DC">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Key</w:t>
      </w:r>
      <w:r w:rsidR="00B2595A">
        <w:rPr>
          <w:rFonts w:ascii="Times New Roman" w:eastAsia="Times New Roman" w:hAnsi="Times New Roman" w:cs="Times New Roman"/>
          <w:b/>
          <w:color w:val="000000"/>
          <w:sz w:val="24"/>
          <w:szCs w:val="24"/>
        </w:rPr>
        <w:t>words</w:t>
      </w:r>
      <w:r w:rsidR="00B2595A">
        <w:rPr>
          <w:rFonts w:ascii="Times New Roman" w:eastAsia="Times New Roman" w:hAnsi="Times New Roman" w:cs="Times New Roman"/>
          <w:color w:val="000000"/>
          <w:sz w:val="24"/>
          <w:szCs w:val="24"/>
        </w:rPr>
        <w:t>: Crop Canopy Air Temperature Difference (CCATD), Canopy Temperature Depression (CTD), Plant Water Status, Crop Stress Monitoring, Precision Agriculture</w:t>
      </w:r>
    </w:p>
    <w:p w14:paraId="1815FD31" w14:textId="77777777" w:rsidR="00F56837" w:rsidRDefault="00F56837">
      <w:pPr>
        <w:spacing w:line="360" w:lineRule="auto"/>
        <w:jc w:val="both"/>
        <w:rPr>
          <w:rFonts w:ascii="Times New Roman" w:eastAsia="Times New Roman" w:hAnsi="Times New Roman" w:cs="Times New Roman"/>
          <w:b/>
          <w:color w:val="000000"/>
          <w:sz w:val="24"/>
          <w:szCs w:val="24"/>
        </w:rPr>
      </w:pPr>
    </w:p>
    <w:p w14:paraId="1E9EF3AE" w14:textId="77777777" w:rsidR="004D77C3" w:rsidRDefault="00B2595A">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14:paraId="52F71A80" w14:textId="77777777" w:rsidR="004D77C3" w:rsidRDefault="003E53F7">
      <w:pPr>
        <w:spacing w:line="360" w:lineRule="auto"/>
        <w:ind w:firstLine="720"/>
        <w:jc w:val="both"/>
        <w:rPr>
          <w:rFonts w:ascii="Times New Roman" w:eastAsia="Times New Roman" w:hAnsi="Times New Roman" w:cs="Times New Roman"/>
          <w:b/>
          <w:color w:val="000000"/>
          <w:sz w:val="24"/>
          <w:szCs w:val="24"/>
        </w:rPr>
      </w:pPr>
      <w:r w:rsidRPr="003E53F7">
        <w:rPr>
          <w:rFonts w:ascii="Times New Roman" w:eastAsia="Times New Roman" w:hAnsi="Times New Roman" w:cs="Times New Roman"/>
          <w:color w:val="000000"/>
          <w:sz w:val="24"/>
          <w:szCs w:val="24"/>
        </w:rPr>
        <w:t>Crop temperature regulation is a fundamental aspect of plant physiology, influencing a range of biochemical, developmental, and physiological processes</w:t>
      </w:r>
      <w:r>
        <w:rPr>
          <w:rFonts w:ascii="Times New Roman" w:eastAsia="Times New Roman" w:hAnsi="Times New Roman" w:cs="Times New Roman"/>
          <w:color w:val="000000"/>
          <w:sz w:val="24"/>
          <w:szCs w:val="24"/>
        </w:rPr>
        <w:t xml:space="preserve"> </w:t>
      </w:r>
      <w:r w:rsidR="00B2595A">
        <w:rPr>
          <w:rFonts w:ascii="Times New Roman" w:eastAsia="Times New Roman" w:hAnsi="Times New Roman" w:cs="Times New Roman"/>
          <w:b/>
          <w:color w:val="000000"/>
          <w:sz w:val="24"/>
          <w:szCs w:val="24"/>
        </w:rPr>
        <w:t>(Jones, 1999)</w:t>
      </w:r>
      <w:r w:rsidR="00B2595A">
        <w:rPr>
          <w:rFonts w:ascii="Times New Roman" w:eastAsia="Times New Roman" w:hAnsi="Times New Roman" w:cs="Times New Roman"/>
          <w:color w:val="000000"/>
          <w:sz w:val="24"/>
          <w:szCs w:val="24"/>
        </w:rPr>
        <w:t>. As a critical environmental factor, temperature determines plant metabolic rates, photo</w:t>
      </w:r>
      <w:r w:rsidR="002D57A5">
        <w:rPr>
          <w:rFonts w:ascii="Times New Roman" w:eastAsia="Times New Roman" w:hAnsi="Times New Roman" w:cs="Times New Roman"/>
          <w:color w:val="000000"/>
          <w:sz w:val="24"/>
          <w:szCs w:val="24"/>
        </w:rPr>
        <w:t xml:space="preserve">synthetic efficiency, </w:t>
      </w:r>
      <w:r w:rsidR="002D57A5">
        <w:rPr>
          <w:rFonts w:ascii="Times New Roman" w:eastAsia="Times New Roman" w:hAnsi="Times New Roman" w:cs="Times New Roman"/>
          <w:color w:val="000000"/>
          <w:sz w:val="24"/>
          <w:szCs w:val="24"/>
        </w:rPr>
        <w:lastRenderedPageBreak/>
        <w:t>water use</w:t>
      </w:r>
      <w:r w:rsidR="00B2595A">
        <w:rPr>
          <w:rFonts w:ascii="Times New Roman" w:eastAsia="Times New Roman" w:hAnsi="Times New Roman" w:cs="Times New Roman"/>
          <w:color w:val="000000"/>
          <w:sz w:val="24"/>
          <w:szCs w:val="24"/>
        </w:rPr>
        <w:t xml:space="preserve"> and stress tolerance </w:t>
      </w:r>
      <w:r w:rsidR="00B2595A">
        <w:rPr>
          <w:rFonts w:ascii="Times New Roman" w:eastAsia="Times New Roman" w:hAnsi="Times New Roman" w:cs="Times New Roman"/>
          <w:b/>
          <w:color w:val="000000"/>
          <w:sz w:val="24"/>
          <w:szCs w:val="24"/>
        </w:rPr>
        <w:t>(Taiz and Zeiger, 2010).</w:t>
      </w:r>
      <w:r w:rsidR="00B2595A">
        <w:rPr>
          <w:rFonts w:ascii="Times New Roman" w:eastAsia="Times New Roman" w:hAnsi="Times New Roman" w:cs="Times New Roman"/>
          <w:color w:val="000000"/>
          <w:sz w:val="24"/>
          <w:szCs w:val="24"/>
        </w:rPr>
        <w:t xml:space="preserve"> With global temperatures rising and extreme weather events becoming more frequent, understanding plant responses to heat and water stress is essential for sustainable crop production </w:t>
      </w:r>
      <w:r w:rsidR="00B2595A">
        <w:rPr>
          <w:rFonts w:ascii="Times New Roman" w:eastAsia="Times New Roman" w:hAnsi="Times New Roman" w:cs="Times New Roman"/>
          <w:b/>
          <w:color w:val="000000"/>
          <w:sz w:val="24"/>
          <w:szCs w:val="24"/>
        </w:rPr>
        <w:t>(IPCC, 2021).</w:t>
      </w:r>
      <w:r w:rsidR="00B2595A">
        <w:rPr>
          <w:rFonts w:ascii="Times New Roman" w:eastAsia="Times New Roman" w:hAnsi="Times New Roman" w:cs="Times New Roman"/>
          <w:color w:val="000000"/>
          <w:sz w:val="24"/>
          <w:szCs w:val="24"/>
        </w:rPr>
        <w:t xml:space="preserve"> Temperature-based indices, such as Crop Canopy Air Temperature Difference (CCATD) and Canopy Temperature Depression (CTD), have emerged as key indicators for assessing plant water status, transpiration efficiency, and drought stress response </w:t>
      </w:r>
      <w:r w:rsidR="00B2595A">
        <w:rPr>
          <w:rFonts w:ascii="Times New Roman" w:eastAsia="Times New Roman" w:hAnsi="Times New Roman" w:cs="Times New Roman"/>
          <w:b/>
          <w:color w:val="000000"/>
          <w:sz w:val="24"/>
          <w:szCs w:val="24"/>
        </w:rPr>
        <w:t xml:space="preserve">(Jackson </w:t>
      </w:r>
      <w:r w:rsidR="00B2595A">
        <w:rPr>
          <w:rFonts w:ascii="Times New Roman" w:eastAsia="Times New Roman" w:hAnsi="Times New Roman" w:cs="Times New Roman"/>
          <w:b/>
          <w:i/>
          <w:color w:val="000000"/>
          <w:sz w:val="24"/>
          <w:szCs w:val="24"/>
        </w:rPr>
        <w:t>et al.,</w:t>
      </w:r>
      <w:r w:rsidR="00B2595A">
        <w:rPr>
          <w:rFonts w:ascii="Times New Roman" w:eastAsia="Times New Roman" w:hAnsi="Times New Roman" w:cs="Times New Roman"/>
          <w:b/>
          <w:color w:val="000000"/>
          <w:sz w:val="24"/>
          <w:szCs w:val="24"/>
        </w:rPr>
        <w:t xml:space="preserve"> 1981).</w:t>
      </w:r>
      <w:r w:rsidR="00B2595A">
        <w:rPr>
          <w:rFonts w:ascii="Times New Roman" w:eastAsia="Times New Roman" w:hAnsi="Times New Roman" w:cs="Times New Roman"/>
          <w:color w:val="000000"/>
          <w:sz w:val="24"/>
          <w:szCs w:val="24"/>
        </w:rPr>
        <w:t xml:space="preserve"> These indices provide valuable insights into plant-environment interactions and have broad applications in plant breeding, crop physiology, and precision agriculture </w:t>
      </w:r>
      <w:r w:rsidR="00B2595A">
        <w:rPr>
          <w:rFonts w:ascii="Times New Roman" w:eastAsia="Times New Roman" w:hAnsi="Times New Roman" w:cs="Times New Roman"/>
          <w:b/>
          <w:color w:val="000000"/>
          <w:sz w:val="24"/>
          <w:szCs w:val="24"/>
        </w:rPr>
        <w:t xml:space="preserve">(Zia </w:t>
      </w:r>
      <w:r w:rsidR="00B2595A">
        <w:rPr>
          <w:rFonts w:ascii="Times New Roman" w:eastAsia="Times New Roman" w:hAnsi="Times New Roman" w:cs="Times New Roman"/>
          <w:b/>
          <w:i/>
          <w:color w:val="000000"/>
          <w:sz w:val="24"/>
          <w:szCs w:val="24"/>
        </w:rPr>
        <w:t>et al.,</w:t>
      </w:r>
      <w:r w:rsidR="00B2595A">
        <w:rPr>
          <w:rFonts w:ascii="Times New Roman" w:eastAsia="Times New Roman" w:hAnsi="Times New Roman" w:cs="Times New Roman"/>
          <w:b/>
          <w:color w:val="000000"/>
          <w:sz w:val="24"/>
          <w:szCs w:val="24"/>
        </w:rPr>
        <w:t xml:space="preserve"> 2013; Jones </w:t>
      </w:r>
      <w:r w:rsidR="00B2595A">
        <w:rPr>
          <w:rFonts w:ascii="Times New Roman" w:eastAsia="Times New Roman" w:hAnsi="Times New Roman" w:cs="Times New Roman"/>
          <w:b/>
          <w:i/>
          <w:color w:val="000000"/>
          <w:sz w:val="24"/>
          <w:szCs w:val="24"/>
        </w:rPr>
        <w:t>et al.,</w:t>
      </w:r>
      <w:r w:rsidR="00B2595A">
        <w:rPr>
          <w:rFonts w:ascii="Times New Roman" w:eastAsia="Times New Roman" w:hAnsi="Times New Roman" w:cs="Times New Roman"/>
          <w:b/>
          <w:color w:val="000000"/>
          <w:sz w:val="24"/>
          <w:szCs w:val="24"/>
        </w:rPr>
        <w:t xml:space="preserve"> 2018).</w:t>
      </w:r>
    </w:p>
    <w:p w14:paraId="6CC0747E" w14:textId="77777777" w:rsidR="004D77C3" w:rsidRDefault="00B2595A">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Understanding Canopy Temperature-Based Indices</w:t>
      </w:r>
    </w:p>
    <w:p w14:paraId="2E41F75E" w14:textId="77777777" w:rsidR="004D77C3" w:rsidRDefault="00B2595A">
      <w:pP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Crop Canopy Air Temperature Difference (CCATD): </w:t>
      </w:r>
      <w:r>
        <w:rPr>
          <w:rFonts w:ascii="Times New Roman" w:eastAsia="Times New Roman" w:hAnsi="Times New Roman" w:cs="Times New Roman"/>
          <w:color w:val="000000"/>
          <w:sz w:val="24"/>
          <w:szCs w:val="24"/>
        </w:rPr>
        <w:t xml:space="preserve">CCATD is the temperature difference between the crop canopy temperature (Tc) and the air temperature (Ta) </w:t>
      </w:r>
      <w:r>
        <w:rPr>
          <w:rFonts w:ascii="Times New Roman" w:eastAsia="Times New Roman" w:hAnsi="Times New Roman" w:cs="Times New Roman"/>
          <w:b/>
          <w:color w:val="000000"/>
          <w:sz w:val="24"/>
          <w:szCs w:val="24"/>
        </w:rPr>
        <w:t xml:space="preserve">(Keener and Kircher, 1983; </w:t>
      </w:r>
      <w:proofErr w:type="spellStart"/>
      <w:r>
        <w:rPr>
          <w:rFonts w:ascii="Times New Roman" w:eastAsia="Times New Roman" w:hAnsi="Times New Roman" w:cs="Times New Roman"/>
          <w:b/>
          <w:color w:val="000000"/>
          <w:sz w:val="24"/>
          <w:szCs w:val="24"/>
        </w:rPr>
        <w:t>Duffková</w:t>
      </w:r>
      <w:proofErr w:type="spellEnd"/>
      <w:r>
        <w:rPr>
          <w:rFonts w:ascii="Times New Roman" w:eastAsia="Times New Roman" w:hAnsi="Times New Roman" w:cs="Times New Roman"/>
          <w:b/>
          <w:color w:val="000000"/>
          <w:sz w:val="24"/>
          <w:szCs w:val="24"/>
        </w:rPr>
        <w:t>, 2006.)</w:t>
      </w:r>
      <w:r>
        <w:rPr>
          <w:rFonts w:ascii="Times New Roman" w:eastAsia="Times New Roman" w:hAnsi="Times New Roman" w:cs="Times New Roman"/>
          <w:color w:val="000000"/>
          <w:sz w:val="24"/>
          <w:szCs w:val="24"/>
        </w:rPr>
        <w:t xml:space="preserve">. It serves as an essential parameter for monitoring plant water relations and stress levels </w:t>
      </w:r>
      <w:r>
        <w:rPr>
          <w:rFonts w:ascii="Times New Roman" w:eastAsia="Times New Roman" w:hAnsi="Times New Roman" w:cs="Times New Roman"/>
          <w:b/>
          <w:color w:val="000000"/>
          <w:sz w:val="24"/>
          <w:szCs w:val="24"/>
        </w:rPr>
        <w:t xml:space="preserve">(Jackson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1981). </w:t>
      </w:r>
      <w:r>
        <w:rPr>
          <w:rFonts w:ascii="Times New Roman" w:eastAsia="Times New Roman" w:hAnsi="Times New Roman" w:cs="Times New Roman"/>
          <w:color w:val="000000"/>
          <w:sz w:val="24"/>
          <w:szCs w:val="24"/>
        </w:rPr>
        <w:t xml:space="preserve">Under optimal conditions, well-watered plants maintain a lower canopy temperature due to active transpiration, which facilitates evaporative cooling </w:t>
      </w:r>
      <w:r>
        <w:rPr>
          <w:rFonts w:ascii="Times New Roman" w:eastAsia="Times New Roman" w:hAnsi="Times New Roman" w:cs="Times New Roman"/>
          <w:b/>
          <w:color w:val="000000"/>
          <w:sz w:val="24"/>
          <w:szCs w:val="24"/>
        </w:rPr>
        <w:t>(Jones, 1999).</w:t>
      </w:r>
      <w:r>
        <w:rPr>
          <w:rFonts w:ascii="Times New Roman" w:eastAsia="Times New Roman" w:hAnsi="Times New Roman" w:cs="Times New Roman"/>
          <w:color w:val="000000"/>
          <w:sz w:val="24"/>
          <w:szCs w:val="24"/>
        </w:rPr>
        <w:t xml:space="preserve"> However, under water deficit conditions, stomatal closure reduces transpiration, causing an increase in canopy temperature relative to the air temperature. This makes CCATD a reliable metric for detecting early signs of drought stress. Additionally, CCATD is directly influenced by crop temperature regulation mechanisms, as factors such as transpiration cooling, stomatal conductance, and canopy structure determine how effectively a plant maintains its temperature in response to environmental fluctuations </w:t>
      </w:r>
      <w:r>
        <w:rPr>
          <w:rFonts w:ascii="Times New Roman" w:eastAsia="Times New Roman" w:hAnsi="Times New Roman" w:cs="Times New Roman"/>
          <w:b/>
          <w:color w:val="000000"/>
          <w:sz w:val="24"/>
          <w:szCs w:val="24"/>
        </w:rPr>
        <w:t xml:space="preserve">(Zia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2013).</w:t>
      </w:r>
      <w:r>
        <w:rPr>
          <w:rFonts w:ascii="Times New Roman" w:eastAsia="Times New Roman" w:hAnsi="Times New Roman" w:cs="Times New Roman"/>
          <w:color w:val="000000"/>
          <w:sz w:val="24"/>
          <w:szCs w:val="24"/>
        </w:rPr>
        <w:t xml:space="preserve"> It is mathematically expressed as:</w:t>
      </w:r>
    </w:p>
    <w:p w14:paraId="33BB92B6" w14:textId="77777777" w:rsidR="004D77C3" w:rsidRDefault="00B2595A">
      <w:pPr>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CCATD= T</w:t>
      </w:r>
      <w:r>
        <w:rPr>
          <w:rFonts w:ascii="Times New Roman" w:eastAsia="Times New Roman" w:hAnsi="Times New Roman" w:cs="Times New Roman"/>
          <w:color w:val="000000"/>
          <w:sz w:val="24"/>
          <w:szCs w:val="24"/>
          <w:vertAlign w:val="subscript"/>
        </w:rPr>
        <w:t>c</w:t>
      </w:r>
      <w:r>
        <w:rPr>
          <w:rFonts w:ascii="Times New Roman" w:eastAsia="Times New Roman" w:hAnsi="Times New Roman" w:cs="Times New Roman"/>
          <w:color w:val="000000"/>
          <w:sz w:val="24"/>
          <w:szCs w:val="24"/>
        </w:rPr>
        <w:t xml:space="preserve"> ​− T</w:t>
      </w:r>
      <w:r>
        <w:rPr>
          <w:rFonts w:ascii="Times New Roman" w:eastAsia="Times New Roman" w:hAnsi="Times New Roman" w:cs="Times New Roman"/>
          <w:color w:val="000000"/>
          <w:sz w:val="24"/>
          <w:szCs w:val="24"/>
          <w:vertAlign w:val="subscript"/>
        </w:rPr>
        <w:t>a</w:t>
      </w:r>
    </w:p>
    <w:p w14:paraId="3DF8277C" w14:textId="77777777" w:rsidR="004D77C3" w:rsidRDefault="004D77C3">
      <w:pPr>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4"/>
          <w:szCs w:val="24"/>
          <w:vertAlign w:val="subscript"/>
        </w:rPr>
      </w:pPr>
    </w:p>
    <w:p w14:paraId="740F91F1"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Canopy Temperature Depression (CTD): </w:t>
      </w:r>
      <w:r>
        <w:rPr>
          <w:rFonts w:ascii="Times New Roman" w:eastAsia="Times New Roman" w:hAnsi="Times New Roman" w:cs="Times New Roman"/>
          <w:color w:val="000000"/>
          <w:sz w:val="24"/>
          <w:szCs w:val="24"/>
        </w:rPr>
        <w:t xml:space="preserve">CTD refers to the difference between air temperature (Ta) and canopy temperature (Tc) </w:t>
      </w:r>
      <w:r>
        <w:rPr>
          <w:rFonts w:ascii="Times New Roman" w:eastAsia="Times New Roman" w:hAnsi="Times New Roman" w:cs="Times New Roman"/>
          <w:b/>
          <w:color w:val="000000"/>
          <w:sz w:val="24"/>
          <w:szCs w:val="24"/>
        </w:rPr>
        <w:t xml:space="preserve">(Blum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1982; </w:t>
      </w:r>
      <w:proofErr w:type="spellStart"/>
      <w:r>
        <w:rPr>
          <w:rFonts w:ascii="Times New Roman" w:eastAsia="Times New Roman" w:hAnsi="Times New Roman" w:cs="Times New Roman"/>
          <w:b/>
          <w:color w:val="000000"/>
          <w:sz w:val="24"/>
          <w:szCs w:val="24"/>
        </w:rPr>
        <w:t>Balota</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2008).</w:t>
      </w:r>
      <w:r>
        <w:rPr>
          <w:rFonts w:ascii="Times New Roman" w:eastAsia="Times New Roman" w:hAnsi="Times New Roman" w:cs="Times New Roman"/>
          <w:color w:val="000000"/>
          <w:sz w:val="24"/>
          <w:szCs w:val="24"/>
        </w:rPr>
        <w:t xml:space="preserve"> It is commonly used to evaluate genotypic variations in drought tolerance, as plants with higher CTD values exhibit better cooling efficiency and, consequently, greater drought resistance </w:t>
      </w:r>
      <w:r>
        <w:rPr>
          <w:rFonts w:ascii="Times New Roman" w:eastAsia="Times New Roman" w:hAnsi="Times New Roman" w:cs="Times New Roman"/>
          <w:b/>
          <w:color w:val="000000"/>
          <w:sz w:val="24"/>
          <w:szCs w:val="24"/>
        </w:rPr>
        <w:t xml:space="preserve">(Amani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1996).</w:t>
      </w:r>
      <w:r>
        <w:rPr>
          <w:rFonts w:ascii="Times New Roman" w:eastAsia="Times New Roman" w:hAnsi="Times New Roman" w:cs="Times New Roman"/>
          <w:color w:val="000000"/>
          <w:sz w:val="24"/>
          <w:szCs w:val="24"/>
        </w:rPr>
        <w:t xml:space="preserve"> This index is widely applied in breeding programs to select heat- and drought-tolerant cultivars, particularly in crops such as wheat, maize, and rice </w:t>
      </w:r>
      <w:r>
        <w:rPr>
          <w:rFonts w:ascii="Times New Roman" w:eastAsia="Times New Roman" w:hAnsi="Times New Roman" w:cs="Times New Roman"/>
          <w:b/>
          <w:color w:val="000000"/>
          <w:sz w:val="24"/>
          <w:szCs w:val="24"/>
        </w:rPr>
        <w:t xml:space="preserve">(Reynolds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1994).</w:t>
      </w:r>
      <w:r>
        <w:rPr>
          <w:rFonts w:ascii="Times New Roman" w:eastAsia="Times New Roman" w:hAnsi="Times New Roman" w:cs="Times New Roman"/>
          <w:color w:val="000000"/>
          <w:sz w:val="24"/>
          <w:szCs w:val="24"/>
        </w:rPr>
        <w:t xml:space="preserve"> Higher CTD values are associated with improved transpiration efficiency and water use, making it an essential tool for optimizing irrigation management</w:t>
      </w:r>
      <w:r>
        <w:rPr>
          <w:rFonts w:ascii="Times New Roman" w:eastAsia="Times New Roman" w:hAnsi="Times New Roman" w:cs="Times New Roman"/>
          <w:b/>
          <w:color w:val="000000"/>
          <w:sz w:val="24"/>
          <w:szCs w:val="24"/>
        </w:rPr>
        <w:t xml:space="preserve"> (Jones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lastRenderedPageBreak/>
        <w:t>2018).</w:t>
      </w:r>
      <w:r>
        <w:rPr>
          <w:rFonts w:ascii="Times New Roman" w:eastAsia="Times New Roman" w:hAnsi="Times New Roman" w:cs="Times New Roman"/>
          <w:color w:val="000000"/>
          <w:sz w:val="24"/>
          <w:szCs w:val="24"/>
        </w:rPr>
        <w:t xml:space="preserve"> The ability of a plant to regulate its canopy temperature through evaporative cooling directly impacts CTD values, highlighting the intricate relationship between crop temperature </w:t>
      </w:r>
    </w:p>
    <w:p w14:paraId="145EB8D9"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regulation and water stress adaptation </w:t>
      </w:r>
      <w:r>
        <w:rPr>
          <w:rFonts w:ascii="Times New Roman" w:eastAsia="Times New Roman" w:hAnsi="Times New Roman" w:cs="Times New Roman"/>
          <w:b/>
          <w:color w:val="000000"/>
          <w:sz w:val="24"/>
          <w:szCs w:val="24"/>
        </w:rPr>
        <w:t>(</w:t>
      </w:r>
      <w:proofErr w:type="spellStart"/>
      <w:r>
        <w:rPr>
          <w:rFonts w:ascii="Times New Roman" w:eastAsia="Times New Roman" w:hAnsi="Times New Roman" w:cs="Times New Roman"/>
          <w:b/>
          <w:color w:val="000000"/>
          <w:sz w:val="24"/>
          <w:szCs w:val="24"/>
        </w:rPr>
        <w:t>Cossani</w:t>
      </w:r>
      <w:proofErr w:type="spellEnd"/>
      <w:r>
        <w:rPr>
          <w:rFonts w:ascii="Times New Roman" w:eastAsia="Times New Roman" w:hAnsi="Times New Roman" w:cs="Times New Roman"/>
          <w:b/>
          <w:color w:val="000000"/>
          <w:sz w:val="24"/>
          <w:szCs w:val="24"/>
        </w:rPr>
        <w:t xml:space="preserve"> and Reynolds, 2012).</w:t>
      </w:r>
      <w:r>
        <w:rPr>
          <w:rFonts w:ascii="Times New Roman" w:eastAsia="Times New Roman" w:hAnsi="Times New Roman" w:cs="Times New Roman"/>
          <w:color w:val="000000"/>
          <w:sz w:val="24"/>
          <w:szCs w:val="24"/>
        </w:rPr>
        <w:t xml:space="preserve"> It is mathematically expressed as: </w:t>
      </w:r>
    </w:p>
    <w:p w14:paraId="10E61EB2" w14:textId="77777777" w:rsidR="004D77C3" w:rsidRDefault="00B2595A">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CTD=Ta−Tc</w:t>
      </w:r>
    </w:p>
    <w:tbl>
      <w:tblPr>
        <w:tblStyle w:val="a"/>
        <w:tblpPr w:leftFromText="180" w:rightFromText="180" w:vertAnchor="page" w:horzAnchor="margin" w:tblpY="5716"/>
        <w:tblW w:w="9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7"/>
        <w:gridCol w:w="4275"/>
        <w:gridCol w:w="3278"/>
      </w:tblGrid>
      <w:tr w:rsidR="004D77C3" w14:paraId="0EB8EF0B" w14:textId="77777777">
        <w:trPr>
          <w:trHeight w:val="113"/>
        </w:trPr>
        <w:tc>
          <w:tcPr>
            <w:tcW w:w="1587" w:type="dxa"/>
            <w:tcBorders>
              <w:bottom w:val="single" w:sz="4" w:space="0" w:color="000000"/>
            </w:tcBorders>
          </w:tcPr>
          <w:p w14:paraId="67345F8A" w14:textId="77777777" w:rsidR="004D77C3" w:rsidRDefault="00B2595A">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Aspect/ Parameter</w:t>
            </w:r>
          </w:p>
        </w:tc>
        <w:tc>
          <w:tcPr>
            <w:tcW w:w="4275" w:type="dxa"/>
            <w:tcBorders>
              <w:bottom w:val="single" w:sz="4" w:space="0" w:color="000000"/>
            </w:tcBorders>
          </w:tcPr>
          <w:p w14:paraId="5F4218E8" w14:textId="77777777" w:rsidR="004D77C3" w:rsidRDefault="00B2595A">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Crop Canopy Air Temperature Difference (CCATD)</w:t>
            </w:r>
          </w:p>
        </w:tc>
        <w:tc>
          <w:tcPr>
            <w:tcW w:w="3278" w:type="dxa"/>
            <w:tcBorders>
              <w:bottom w:val="single" w:sz="4" w:space="0" w:color="000000"/>
            </w:tcBorders>
          </w:tcPr>
          <w:p w14:paraId="05C26C14" w14:textId="77777777" w:rsidR="004D77C3" w:rsidRDefault="00B2595A">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Canopy Temperature Depression (CTD)</w:t>
            </w:r>
          </w:p>
        </w:tc>
      </w:tr>
      <w:tr w:rsidR="004D77C3" w14:paraId="2EA1074B" w14:textId="77777777">
        <w:trPr>
          <w:trHeight w:val="113"/>
        </w:trPr>
        <w:tc>
          <w:tcPr>
            <w:tcW w:w="1587" w:type="dxa"/>
            <w:tcBorders>
              <w:bottom w:val="single" w:sz="4" w:space="0" w:color="000000"/>
            </w:tcBorders>
          </w:tcPr>
          <w:p w14:paraId="67B7402D"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Definition</w:t>
            </w:r>
          </w:p>
        </w:tc>
        <w:tc>
          <w:tcPr>
            <w:tcW w:w="4275" w:type="dxa"/>
            <w:tcBorders>
              <w:bottom w:val="single" w:sz="4" w:space="0" w:color="000000"/>
            </w:tcBorders>
          </w:tcPr>
          <w:p w14:paraId="7C25ED9D"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temperature difference between the crop canopy temperature (Tc) and the air temperature (Ta).</w:t>
            </w:r>
          </w:p>
        </w:tc>
        <w:tc>
          <w:tcPr>
            <w:tcW w:w="3278" w:type="dxa"/>
            <w:tcBorders>
              <w:bottom w:val="single" w:sz="4" w:space="0" w:color="000000"/>
            </w:tcBorders>
          </w:tcPr>
          <w:p w14:paraId="5619961F"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difference between air temperature (Ta) and canopy temperature (Tc).</w:t>
            </w:r>
          </w:p>
        </w:tc>
      </w:tr>
      <w:tr w:rsidR="004D77C3" w14:paraId="1D4DB0FB" w14:textId="77777777">
        <w:trPr>
          <w:trHeight w:val="113"/>
        </w:trPr>
        <w:tc>
          <w:tcPr>
            <w:tcW w:w="1587" w:type="dxa"/>
            <w:tcBorders>
              <w:top w:val="single" w:sz="4" w:space="0" w:color="000000"/>
            </w:tcBorders>
          </w:tcPr>
          <w:p w14:paraId="72A18E87"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Formula</w:t>
            </w:r>
          </w:p>
        </w:tc>
        <w:tc>
          <w:tcPr>
            <w:tcW w:w="4275" w:type="dxa"/>
            <w:tcBorders>
              <w:top w:val="single" w:sz="4" w:space="0" w:color="000000"/>
            </w:tcBorders>
          </w:tcPr>
          <w:p w14:paraId="3AE5B96B" w14:textId="77777777" w:rsidR="004D77C3" w:rsidRDefault="00B2595A">
            <w:pPr>
              <w:jc w:val="both"/>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CCATD= T</w:t>
            </w:r>
            <w:r>
              <w:rPr>
                <w:rFonts w:ascii="Times New Roman" w:eastAsia="Times New Roman" w:hAnsi="Times New Roman" w:cs="Times New Roman"/>
                <w:color w:val="000000"/>
                <w:sz w:val="24"/>
                <w:szCs w:val="24"/>
                <w:vertAlign w:val="subscript"/>
              </w:rPr>
              <w:t>c</w:t>
            </w:r>
            <w:r>
              <w:rPr>
                <w:rFonts w:ascii="Times New Roman" w:eastAsia="Times New Roman" w:hAnsi="Times New Roman" w:cs="Times New Roman"/>
                <w:color w:val="000000"/>
                <w:sz w:val="24"/>
                <w:szCs w:val="24"/>
              </w:rPr>
              <w:t xml:space="preserve"> ​− T</w:t>
            </w:r>
            <w:r>
              <w:rPr>
                <w:rFonts w:ascii="Times New Roman" w:eastAsia="Times New Roman" w:hAnsi="Times New Roman" w:cs="Times New Roman"/>
                <w:color w:val="000000"/>
                <w:sz w:val="24"/>
                <w:szCs w:val="24"/>
                <w:vertAlign w:val="subscript"/>
              </w:rPr>
              <w:t>a</w:t>
            </w:r>
          </w:p>
        </w:tc>
        <w:tc>
          <w:tcPr>
            <w:tcW w:w="3278" w:type="dxa"/>
            <w:tcBorders>
              <w:top w:val="single" w:sz="4" w:space="0" w:color="000000"/>
            </w:tcBorders>
          </w:tcPr>
          <w:p w14:paraId="1A0718C3" w14:textId="77777777" w:rsidR="004D77C3" w:rsidRDefault="00B2595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CTD=Ta−Tc</w:t>
            </w:r>
          </w:p>
        </w:tc>
      </w:tr>
      <w:tr w:rsidR="004D77C3" w14:paraId="74A2392F" w14:textId="77777777">
        <w:trPr>
          <w:trHeight w:val="113"/>
        </w:trPr>
        <w:tc>
          <w:tcPr>
            <w:tcW w:w="1587" w:type="dxa"/>
          </w:tcPr>
          <w:p w14:paraId="488B533E"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Interpretation</w:t>
            </w:r>
          </w:p>
        </w:tc>
        <w:tc>
          <w:tcPr>
            <w:tcW w:w="4275" w:type="dxa"/>
          </w:tcPr>
          <w:p w14:paraId="240544FF" w14:textId="77777777" w:rsidR="004D77C3" w:rsidRDefault="00B2595A">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Higher CCATD indicates higher canopy temperature than air, often due to water stress.</w:t>
            </w:r>
          </w:p>
        </w:tc>
        <w:tc>
          <w:tcPr>
            <w:tcW w:w="3278" w:type="dxa"/>
          </w:tcPr>
          <w:p w14:paraId="7934AB72" w14:textId="77777777" w:rsidR="004D77C3" w:rsidRDefault="00B2595A">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Higher CTD indicates a cooler canopy, signifying efficient transpiration and better water status.</w:t>
            </w:r>
          </w:p>
        </w:tc>
      </w:tr>
      <w:tr w:rsidR="004D77C3" w14:paraId="51469117" w14:textId="77777777">
        <w:trPr>
          <w:trHeight w:val="113"/>
        </w:trPr>
        <w:tc>
          <w:tcPr>
            <w:tcW w:w="1587" w:type="dxa"/>
          </w:tcPr>
          <w:p w14:paraId="0E78BB2F"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Relationship</w:t>
            </w:r>
          </w:p>
        </w:tc>
        <w:tc>
          <w:tcPr>
            <w:tcW w:w="4275" w:type="dxa"/>
          </w:tcPr>
          <w:p w14:paraId="48B1BE55" w14:textId="77777777" w:rsidR="004D77C3" w:rsidRDefault="00B2595A">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Inversely related to CTD; a higher CCATD often corresponds to a lower CTD.</w:t>
            </w:r>
          </w:p>
        </w:tc>
        <w:tc>
          <w:tcPr>
            <w:tcW w:w="3278" w:type="dxa"/>
          </w:tcPr>
          <w:p w14:paraId="65DFAEEC" w14:textId="77777777" w:rsidR="004D77C3" w:rsidRDefault="00B2595A">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Inversely related to CCATD; a higher CTD often corresponds to a lower CCATD.</w:t>
            </w:r>
          </w:p>
        </w:tc>
      </w:tr>
      <w:tr w:rsidR="004D77C3" w14:paraId="5A98ADC3" w14:textId="77777777">
        <w:trPr>
          <w:trHeight w:val="113"/>
        </w:trPr>
        <w:tc>
          <w:tcPr>
            <w:tcW w:w="1587" w:type="dxa"/>
          </w:tcPr>
          <w:p w14:paraId="1B38F4C7"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Physiological Implication</w:t>
            </w:r>
          </w:p>
        </w:tc>
        <w:tc>
          <w:tcPr>
            <w:tcW w:w="4275" w:type="dxa"/>
          </w:tcPr>
          <w:p w14:paraId="73132C77"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Reflects plant water status and transpiration efficiency.</w:t>
            </w:r>
          </w:p>
        </w:tc>
        <w:tc>
          <w:tcPr>
            <w:tcW w:w="3278" w:type="dxa"/>
          </w:tcPr>
          <w:p w14:paraId="419DB795"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Indicates genotypic variations in drought tolerance and evaporative cooling.</w:t>
            </w:r>
          </w:p>
        </w:tc>
      </w:tr>
      <w:tr w:rsidR="004D77C3" w14:paraId="0627E0C9" w14:textId="77777777">
        <w:trPr>
          <w:trHeight w:val="113"/>
        </w:trPr>
        <w:tc>
          <w:tcPr>
            <w:tcW w:w="1587" w:type="dxa"/>
          </w:tcPr>
          <w:p w14:paraId="2E4EFB7D"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Role in Stress Detection</w:t>
            </w:r>
          </w:p>
        </w:tc>
        <w:tc>
          <w:tcPr>
            <w:tcW w:w="4275" w:type="dxa"/>
          </w:tcPr>
          <w:p w14:paraId="2712C899"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Positive CCATD suggests drought stress due to reduced transpiration.</w:t>
            </w:r>
          </w:p>
        </w:tc>
        <w:tc>
          <w:tcPr>
            <w:tcW w:w="3278" w:type="dxa"/>
          </w:tcPr>
          <w:p w14:paraId="16A6556C"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Higher CTD values suggest better heat and drought tolerance in crops.</w:t>
            </w:r>
          </w:p>
        </w:tc>
      </w:tr>
      <w:tr w:rsidR="004D77C3" w14:paraId="140FBB75" w14:textId="77777777">
        <w:trPr>
          <w:trHeight w:val="113"/>
        </w:trPr>
        <w:tc>
          <w:tcPr>
            <w:tcW w:w="1587" w:type="dxa"/>
          </w:tcPr>
          <w:p w14:paraId="42E73C9C"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Commonly Used in</w:t>
            </w:r>
          </w:p>
        </w:tc>
        <w:tc>
          <w:tcPr>
            <w:tcW w:w="4275" w:type="dxa"/>
          </w:tcPr>
          <w:p w14:paraId="3C0D125A"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To assess  early plant water stress  detection, evapotranspiration efficiency, and crop health</w:t>
            </w:r>
          </w:p>
        </w:tc>
        <w:tc>
          <w:tcPr>
            <w:tcW w:w="3278" w:type="dxa"/>
          </w:tcPr>
          <w:p w14:paraId="5C85CCD4"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Serves as an indicator of plant transpiration efficiency and frequently used in breeding programs to select heat- and drought-tolerant varieties.</w:t>
            </w:r>
          </w:p>
        </w:tc>
      </w:tr>
      <w:tr w:rsidR="004D77C3" w14:paraId="5B40B371" w14:textId="77777777">
        <w:trPr>
          <w:trHeight w:val="113"/>
        </w:trPr>
        <w:tc>
          <w:tcPr>
            <w:tcW w:w="1587" w:type="dxa"/>
          </w:tcPr>
          <w:p w14:paraId="3A973432"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Application Fields</w:t>
            </w:r>
          </w:p>
        </w:tc>
        <w:tc>
          <w:tcPr>
            <w:tcW w:w="4275" w:type="dxa"/>
          </w:tcPr>
          <w:p w14:paraId="55BA40F3" w14:textId="77777777" w:rsidR="004D77C3" w:rsidRDefault="00B2595A">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Precision agriculture, remote sensing and irrigation management.</w:t>
            </w:r>
          </w:p>
        </w:tc>
        <w:tc>
          <w:tcPr>
            <w:tcW w:w="3278" w:type="dxa"/>
          </w:tcPr>
          <w:p w14:paraId="655A7B7F" w14:textId="77777777" w:rsidR="004D77C3" w:rsidRDefault="00B2595A">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Plant breeding, crop physiology, and drought tolerance screening.</w:t>
            </w:r>
          </w:p>
        </w:tc>
      </w:tr>
    </w:tbl>
    <w:p w14:paraId="5C30DD00" w14:textId="77777777" w:rsidR="004D77C3" w:rsidRDefault="00B2595A">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1: Overview of Crop Canopy Air Temperature Difference (CCATD) and Canopy Temperature Depression (CTD)</w:t>
      </w:r>
    </w:p>
    <w:p w14:paraId="599B38DE" w14:textId="77777777" w:rsidR="004D77C3" w:rsidRDefault="00B2595A">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 positive CTD indicates efficient transpiration, where the canopy remains cooler than ambient air due to active water loss through stomata. In contrast, a low or negative CTD reflects water stress, as restricted transpiration leads to a higher canopy temperature</w:t>
      </w:r>
      <w:r>
        <w:rPr>
          <w:rFonts w:ascii="Times New Roman" w:eastAsia="Times New Roman" w:hAnsi="Times New Roman" w:cs="Times New Roman"/>
          <w:b/>
          <w:color w:val="000000"/>
          <w:sz w:val="24"/>
          <w:szCs w:val="24"/>
        </w:rPr>
        <w:t xml:space="preserve"> (Zia </w:t>
      </w:r>
      <w:r>
        <w:rPr>
          <w:rFonts w:ascii="Times New Roman" w:eastAsia="Times New Roman" w:hAnsi="Times New Roman" w:cs="Times New Roman"/>
          <w:b/>
          <w:i/>
          <w:color w:val="000000"/>
          <w:sz w:val="24"/>
          <w:szCs w:val="24"/>
        </w:rPr>
        <w:t xml:space="preserve">et al., </w:t>
      </w:r>
      <w:r>
        <w:rPr>
          <w:rFonts w:ascii="Times New Roman" w:eastAsia="Times New Roman" w:hAnsi="Times New Roman" w:cs="Times New Roman"/>
          <w:b/>
          <w:color w:val="000000"/>
          <w:sz w:val="24"/>
          <w:szCs w:val="24"/>
        </w:rPr>
        <w:t>2013).</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 xml:space="preserve">CTD is particularly valuable in plant breeding programs for selecting drought- and heat-tolerant genotypes, as well as in remote sensing and agronomic management for assessing crop performance under stress conditions </w:t>
      </w:r>
      <w:r>
        <w:rPr>
          <w:rFonts w:ascii="Times New Roman" w:eastAsia="Times New Roman" w:hAnsi="Times New Roman" w:cs="Times New Roman"/>
          <w:b/>
          <w:color w:val="000000"/>
          <w:sz w:val="24"/>
          <w:szCs w:val="24"/>
        </w:rPr>
        <w:t xml:space="preserve">(Reynolds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1997).</w:t>
      </w:r>
      <w:r>
        <w:rPr>
          <w:rFonts w:ascii="Times New Roman" w:eastAsia="Times New Roman" w:hAnsi="Times New Roman" w:cs="Times New Roman"/>
          <w:color w:val="000000"/>
          <w:sz w:val="24"/>
          <w:szCs w:val="24"/>
        </w:rPr>
        <w:t xml:space="preserve"> Both Tc and Ta should be measured in the same temperature unit (e.g., degrees Celsius) to get a meaningful difference for CCATD and CTD.</w:t>
      </w:r>
    </w:p>
    <w:p w14:paraId="32E17DC2" w14:textId="77777777" w:rsidR="004D77C3" w:rsidRDefault="00B2595A">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Relationship between Crop Canopy Air Temperature Difference (CCATD) and Canopy Temperature Depression (CTD)</w:t>
      </w:r>
    </w:p>
    <w:p w14:paraId="0FA23E8A"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Crop Canopy Air Temperature Difference (CCATD) and Canopy Temperature Depression (CTD) are inversely related to each other. Both terms describe the temperature variation between the crop canopy and the surrounding air but from different perspectives </w:t>
      </w:r>
      <w:r>
        <w:rPr>
          <w:rFonts w:ascii="Times New Roman" w:eastAsia="Times New Roman" w:hAnsi="Times New Roman" w:cs="Times New Roman"/>
          <w:b/>
          <w:color w:val="000000"/>
          <w:sz w:val="24"/>
          <w:szCs w:val="24"/>
        </w:rPr>
        <w:t xml:space="preserve">(Jones, 1999; Zia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2013; </w:t>
      </w:r>
      <w:proofErr w:type="spellStart"/>
      <w:r>
        <w:rPr>
          <w:rFonts w:ascii="Times New Roman" w:eastAsia="Times New Roman" w:hAnsi="Times New Roman" w:cs="Times New Roman"/>
          <w:b/>
          <w:color w:val="000000"/>
          <w:sz w:val="24"/>
          <w:szCs w:val="24"/>
        </w:rPr>
        <w:t>Fukai</w:t>
      </w:r>
      <w:proofErr w:type="spellEnd"/>
      <w:r>
        <w:rPr>
          <w:rFonts w:ascii="Times New Roman" w:eastAsia="Times New Roman" w:hAnsi="Times New Roman" w:cs="Times New Roman"/>
          <w:b/>
          <w:color w:val="000000"/>
          <w:sz w:val="24"/>
          <w:szCs w:val="24"/>
        </w:rPr>
        <w:t xml:space="preserve"> and Mitchell, 2022).</w:t>
      </w:r>
      <w:r>
        <w:rPr>
          <w:rFonts w:ascii="Times New Roman" w:eastAsia="Times New Roman" w:hAnsi="Times New Roman" w:cs="Times New Roman"/>
          <w:color w:val="000000"/>
          <w:sz w:val="24"/>
          <w:szCs w:val="24"/>
        </w:rPr>
        <w:t xml:space="preserve"> Mathematically, this relationship is expressed as: </w:t>
      </w:r>
    </w:p>
    <w:p w14:paraId="5E45FD69" w14:textId="77777777" w:rsidR="004D77C3" w:rsidRDefault="00B2595A">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CTD=−CCATD</w:t>
      </w:r>
    </w:p>
    <w:p w14:paraId="3E1797B6" w14:textId="77777777" w:rsidR="004D77C3" w:rsidRDefault="004D77C3">
      <w:pPr>
        <w:spacing w:after="0" w:line="360" w:lineRule="auto"/>
        <w:jc w:val="center"/>
        <w:rPr>
          <w:rFonts w:ascii="Times New Roman" w:eastAsia="Times New Roman" w:hAnsi="Times New Roman" w:cs="Times New Roman"/>
          <w:b/>
          <w:color w:val="000000"/>
          <w:sz w:val="24"/>
          <w:szCs w:val="24"/>
          <w:u w:val="single"/>
        </w:rPr>
      </w:pPr>
    </w:p>
    <w:p w14:paraId="2A23F08B" w14:textId="77777777" w:rsidR="004D77C3" w:rsidRDefault="00B2595A">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noProof/>
          <w:color w:val="000000"/>
          <w:sz w:val="24"/>
          <w:szCs w:val="24"/>
        </w:rPr>
        <w:drawing>
          <wp:inline distT="0" distB="0" distL="0" distR="0" wp14:anchorId="3743454B" wp14:editId="2AC60CBD">
            <wp:extent cx="5436368" cy="3579815"/>
            <wp:effectExtent l="0" t="0" r="0" b="0"/>
            <wp:docPr id="3" name="image3.png" descr="C:\Users\Vinay\Downloads\ctd.png"/>
            <wp:cNvGraphicFramePr/>
            <a:graphic xmlns:a="http://schemas.openxmlformats.org/drawingml/2006/main">
              <a:graphicData uri="http://schemas.openxmlformats.org/drawingml/2006/picture">
                <pic:pic xmlns:pic="http://schemas.openxmlformats.org/drawingml/2006/picture">
                  <pic:nvPicPr>
                    <pic:cNvPr id="0" name="image3.png" descr="C:\Users\Vinay\Downloads\ctd.png"/>
                    <pic:cNvPicPr preferRelativeResize="0"/>
                  </pic:nvPicPr>
                  <pic:blipFill>
                    <a:blip r:embed="rId7"/>
                    <a:srcRect/>
                    <a:stretch>
                      <a:fillRect/>
                    </a:stretch>
                  </pic:blipFill>
                  <pic:spPr>
                    <a:xfrm>
                      <a:off x="0" y="0"/>
                      <a:ext cx="5436368" cy="3579815"/>
                    </a:xfrm>
                    <a:prstGeom prst="rect">
                      <a:avLst/>
                    </a:prstGeom>
                    <a:ln/>
                  </pic:spPr>
                </pic:pic>
              </a:graphicData>
            </a:graphic>
          </wp:inline>
        </w:drawing>
      </w:r>
    </w:p>
    <w:p w14:paraId="3FCFCCA7" w14:textId="77777777" w:rsidR="004D77C3" w:rsidRDefault="00B2595A">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Figure 1: Relationship between VPD, CCATD, and CTD. </w:t>
      </w:r>
      <w:r>
        <w:rPr>
          <w:rFonts w:ascii="Times New Roman" w:eastAsia="Times New Roman" w:hAnsi="Times New Roman" w:cs="Times New Roman"/>
          <w:color w:val="000000"/>
          <w:sz w:val="24"/>
          <w:szCs w:val="24"/>
        </w:rPr>
        <w:t>At low VPD → Transpiration is high, canopy stays cool (low CCATD, high CTD); At moderate VPD → Transpiration is balanced, temperature difference is minimal (CCATD and CTD near zero);  At high VPD → Stomata close to conserve water, reducing cooling, making the canopy hotter (high CCATD, low CTD).</w:t>
      </w:r>
    </w:p>
    <w:p w14:paraId="21EAF970" w14:textId="77777777" w:rsidR="004D77C3" w:rsidRDefault="00B2595A">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This inverse relationship means that when CCATD is positive (canopy is hotter than air), CTD is negative, indicating water stress due to limited transpiration and stomatal closure </w:t>
      </w:r>
      <w:r>
        <w:rPr>
          <w:rFonts w:ascii="Times New Roman" w:eastAsia="Times New Roman" w:hAnsi="Times New Roman" w:cs="Times New Roman"/>
          <w:b/>
          <w:color w:val="000000"/>
          <w:sz w:val="24"/>
          <w:szCs w:val="24"/>
        </w:rPr>
        <w:t xml:space="preserve">(Jackson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1981).</w:t>
      </w:r>
      <w:r>
        <w:rPr>
          <w:rFonts w:ascii="Times New Roman" w:eastAsia="Times New Roman" w:hAnsi="Times New Roman" w:cs="Times New Roman"/>
          <w:color w:val="000000"/>
          <w:sz w:val="24"/>
          <w:szCs w:val="24"/>
        </w:rPr>
        <w:t xml:space="preserve"> Conversely, when CTD is positive (canopy is cooler than air), CCATD is negative, signifying active transpiration and sufficient water availability </w:t>
      </w:r>
      <w:r>
        <w:rPr>
          <w:rFonts w:ascii="Times New Roman" w:eastAsia="Times New Roman" w:hAnsi="Times New Roman" w:cs="Times New Roman"/>
          <w:b/>
          <w:color w:val="000000"/>
          <w:sz w:val="24"/>
          <w:szCs w:val="24"/>
        </w:rPr>
        <w:t xml:space="preserve">(Reynolds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1997).</w:t>
      </w:r>
      <w:r>
        <w:rPr>
          <w:rFonts w:ascii="Times New Roman" w:eastAsia="Times New Roman" w:hAnsi="Times New Roman" w:cs="Times New Roman"/>
          <w:color w:val="000000"/>
          <w:sz w:val="24"/>
          <w:szCs w:val="24"/>
        </w:rPr>
        <w:t xml:space="preserve"> The integration of CCATD and CTD into crop monitoring systems </w:t>
      </w:r>
      <w:r>
        <w:rPr>
          <w:rFonts w:ascii="Times New Roman" w:eastAsia="Times New Roman" w:hAnsi="Times New Roman" w:cs="Times New Roman"/>
          <w:color w:val="000000"/>
          <w:sz w:val="24"/>
          <w:szCs w:val="24"/>
        </w:rPr>
        <w:lastRenderedPageBreak/>
        <w:t xml:space="preserve">enables improved stress detection, precise irrigation scheduling, and adaptive management strategies to mitigate the impacts of climate variability on agricultural productivity </w:t>
      </w:r>
      <w:r>
        <w:rPr>
          <w:rFonts w:ascii="Times New Roman" w:eastAsia="Times New Roman" w:hAnsi="Times New Roman" w:cs="Times New Roman"/>
          <w:b/>
          <w:color w:val="000000"/>
          <w:sz w:val="24"/>
          <w:szCs w:val="24"/>
        </w:rPr>
        <w:t xml:space="preserve">(Jones </w:t>
      </w:r>
      <w:r>
        <w:rPr>
          <w:rFonts w:ascii="Times New Roman" w:eastAsia="Times New Roman" w:hAnsi="Times New Roman" w:cs="Times New Roman"/>
          <w:b/>
          <w:i/>
          <w:color w:val="000000"/>
          <w:sz w:val="24"/>
          <w:szCs w:val="24"/>
        </w:rPr>
        <w:t xml:space="preserve">et al., </w:t>
      </w:r>
      <w:r>
        <w:rPr>
          <w:rFonts w:ascii="Times New Roman" w:eastAsia="Times New Roman" w:hAnsi="Times New Roman" w:cs="Times New Roman"/>
          <w:b/>
          <w:color w:val="000000"/>
          <w:sz w:val="24"/>
          <w:szCs w:val="24"/>
        </w:rPr>
        <w:t xml:space="preserve">2018; Amani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1996).</w:t>
      </w:r>
    </w:p>
    <w:p w14:paraId="4E6FFE33" w14:textId="77777777" w:rsidR="004D77C3" w:rsidRDefault="00B2595A">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CCATD and CTD as Tools for Monitoring VPD Effects on Plant Water Status and Temperature Regulation</w:t>
      </w:r>
    </w:p>
    <w:p w14:paraId="3977D36D" w14:textId="77777777" w:rsidR="004D77C3" w:rsidRDefault="00B2595A">
      <w:pPr>
        <w:spacing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Vapor Pressure Deficit (VPD) is a key environmental parameter representing the difference between the actual moisture content in the air and the maximum amount of moisture the air can hold at a given temperature </w:t>
      </w:r>
      <w:r>
        <w:rPr>
          <w:rFonts w:ascii="Times New Roman" w:eastAsia="Times New Roman" w:hAnsi="Times New Roman" w:cs="Times New Roman"/>
          <w:b/>
          <w:color w:val="000000"/>
          <w:sz w:val="24"/>
          <w:szCs w:val="24"/>
        </w:rPr>
        <w:t>(Monteith and Unsworth, 2013).</w:t>
      </w:r>
      <w:r>
        <w:rPr>
          <w:rFonts w:ascii="Times New Roman" w:eastAsia="Times New Roman" w:hAnsi="Times New Roman" w:cs="Times New Roman"/>
          <w:color w:val="000000"/>
          <w:sz w:val="24"/>
          <w:szCs w:val="24"/>
        </w:rPr>
        <w:t xml:space="preserve"> It is a measure of the atmospheric demand for water and plays a crucial role in plant transpiration, stomatal regulation, and overall plant physiological responses </w:t>
      </w:r>
      <w:r>
        <w:rPr>
          <w:rFonts w:ascii="Times New Roman" w:eastAsia="Times New Roman" w:hAnsi="Times New Roman" w:cs="Times New Roman"/>
          <w:b/>
          <w:color w:val="000000"/>
          <w:sz w:val="24"/>
          <w:szCs w:val="24"/>
        </w:rPr>
        <w:t>(Jones, 1992).</w:t>
      </w:r>
      <w:r>
        <w:rPr>
          <w:rFonts w:ascii="Times New Roman" w:eastAsia="Times New Roman" w:hAnsi="Times New Roman" w:cs="Times New Roman"/>
          <w:color w:val="000000"/>
          <w:sz w:val="24"/>
          <w:szCs w:val="24"/>
        </w:rPr>
        <w:t xml:space="preserve"> By integrating Crop Canopy Air Temperature Difference (CCATD) and Canopy Temperature Depression (CTD) measurements with VPD monitoring, farmers and researchers can enhance irrigation management, breeding for stress-tolerant crops, and climate adaptation strategies in agriculture. These indices provide real-time insights into how plants respond to atmospheric moisture demand under varying environmental conditions </w:t>
      </w:r>
      <w:r>
        <w:rPr>
          <w:rFonts w:ascii="Times New Roman" w:eastAsia="Times New Roman" w:hAnsi="Times New Roman" w:cs="Times New Roman"/>
          <w:b/>
          <w:color w:val="000000"/>
          <w:sz w:val="24"/>
          <w:szCs w:val="24"/>
        </w:rPr>
        <w:t xml:space="preserve">(Blum, 2010; Hatfield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2011).</w:t>
      </w:r>
    </w:p>
    <w:p w14:paraId="44F6E1D3" w14:textId="77777777" w:rsidR="004D77C3" w:rsidRDefault="00B2595A">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High VPD (Dry Air, High Evaporative Demand): </w:t>
      </w:r>
      <w:r>
        <w:rPr>
          <w:rFonts w:ascii="Times New Roman" w:eastAsia="Times New Roman" w:hAnsi="Times New Roman" w:cs="Times New Roman"/>
          <w:color w:val="000000"/>
          <w:sz w:val="24"/>
          <w:szCs w:val="24"/>
        </w:rPr>
        <w:t xml:space="preserve">When VPD is high, the atmosphere exerts a strong evaporative demand on plants. If soil moisture is adequate, plants maintain high transpiration rates, leading to a low CCATD (canopy remains cool) and a high CTD (air is warmer than the canopy) due to efficient evaporative cooling </w:t>
      </w:r>
      <w:r>
        <w:rPr>
          <w:rFonts w:ascii="Times New Roman" w:eastAsia="Times New Roman" w:hAnsi="Times New Roman" w:cs="Times New Roman"/>
          <w:b/>
          <w:color w:val="000000"/>
          <w:sz w:val="24"/>
          <w:szCs w:val="24"/>
        </w:rPr>
        <w:t xml:space="preserve">(Lobell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2014).</w:t>
      </w:r>
      <w:r>
        <w:rPr>
          <w:rFonts w:ascii="Times New Roman" w:eastAsia="Times New Roman" w:hAnsi="Times New Roman" w:cs="Times New Roman"/>
          <w:color w:val="000000"/>
          <w:sz w:val="24"/>
          <w:szCs w:val="24"/>
        </w:rPr>
        <w:t xml:space="preserve"> However, under water-limited conditions, plants regulate water loss by partially or fully closing their stomata, reducing transpiration. This leads to high CCATD (canopy heats up due to reduced cooling) and low or negative CTD (canopy becomes warmer than air), which are key indicators of drought stress </w:t>
      </w:r>
      <w:r>
        <w:rPr>
          <w:rFonts w:ascii="Times New Roman" w:eastAsia="Times New Roman" w:hAnsi="Times New Roman" w:cs="Times New Roman"/>
          <w:b/>
          <w:color w:val="000000"/>
          <w:sz w:val="24"/>
          <w:szCs w:val="24"/>
        </w:rPr>
        <w:t xml:space="preserve">(Sinclair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2010; </w:t>
      </w:r>
      <w:r>
        <w:rPr>
          <w:rFonts w:ascii="Times New Roman" w:eastAsia="Times New Roman" w:hAnsi="Times New Roman" w:cs="Times New Roman"/>
          <w:b/>
          <w:color w:val="000000"/>
          <w:sz w:val="24"/>
          <w:szCs w:val="24"/>
          <w:highlight w:val="white"/>
        </w:rPr>
        <w:t>Sofi</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2019).</w:t>
      </w:r>
    </w:p>
    <w:p w14:paraId="4E4244B4" w14:textId="77777777" w:rsidR="004D77C3" w:rsidRDefault="004D77C3">
      <w:pPr>
        <w:spacing w:line="360" w:lineRule="auto"/>
        <w:jc w:val="both"/>
        <w:rPr>
          <w:rFonts w:ascii="Times New Roman" w:eastAsia="Times New Roman" w:hAnsi="Times New Roman" w:cs="Times New Roman"/>
          <w:b/>
          <w:color w:val="000000"/>
          <w:sz w:val="24"/>
          <w:szCs w:val="24"/>
        </w:rPr>
      </w:pPr>
    </w:p>
    <w:p w14:paraId="5F527A31" w14:textId="77777777" w:rsidR="004D77C3" w:rsidRDefault="00B2595A">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2:  Relationship between Vapor Pressure Deficit (VPD), Crop Canopy Air Temperature Difference (CCATD), and Canopy Temperature Depression (</w:t>
      </w:r>
      <w:proofErr w:type="gramStart"/>
      <w:r>
        <w:rPr>
          <w:rFonts w:ascii="Times New Roman" w:eastAsia="Times New Roman" w:hAnsi="Times New Roman" w:cs="Times New Roman"/>
          <w:b/>
          <w:color w:val="000000"/>
          <w:sz w:val="24"/>
          <w:szCs w:val="24"/>
        </w:rPr>
        <w:t>CTD)  along</w:t>
      </w:r>
      <w:proofErr w:type="gramEnd"/>
      <w:r>
        <w:rPr>
          <w:rFonts w:ascii="Times New Roman" w:eastAsia="Times New Roman" w:hAnsi="Times New Roman" w:cs="Times New Roman"/>
          <w:b/>
          <w:color w:val="000000"/>
          <w:sz w:val="24"/>
          <w:szCs w:val="24"/>
        </w:rPr>
        <w:t xml:space="preserve"> with their corresponding physiological responses</w:t>
      </w:r>
    </w:p>
    <w:tbl>
      <w:tblPr>
        <w:tblStyle w:val="a0"/>
        <w:tblW w:w="999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2"/>
        <w:gridCol w:w="1126"/>
        <w:gridCol w:w="1701"/>
        <w:gridCol w:w="1559"/>
        <w:gridCol w:w="2126"/>
        <w:gridCol w:w="1837"/>
      </w:tblGrid>
      <w:tr w:rsidR="004D77C3" w14:paraId="35E9C8FF" w14:textId="77777777">
        <w:trPr>
          <w:trHeight w:val="531"/>
        </w:trPr>
        <w:tc>
          <w:tcPr>
            <w:tcW w:w="1642" w:type="dxa"/>
          </w:tcPr>
          <w:p w14:paraId="7A268A9B"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Condition</w:t>
            </w:r>
          </w:p>
        </w:tc>
        <w:tc>
          <w:tcPr>
            <w:tcW w:w="1126" w:type="dxa"/>
          </w:tcPr>
          <w:p w14:paraId="33A05039"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VPD (kPa)</w:t>
            </w:r>
          </w:p>
        </w:tc>
        <w:tc>
          <w:tcPr>
            <w:tcW w:w="1701" w:type="dxa"/>
          </w:tcPr>
          <w:p w14:paraId="2832748C"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CCATD</w:t>
            </w:r>
          </w:p>
        </w:tc>
        <w:tc>
          <w:tcPr>
            <w:tcW w:w="1559" w:type="dxa"/>
          </w:tcPr>
          <w:p w14:paraId="32ADF088"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CTD</w:t>
            </w:r>
          </w:p>
        </w:tc>
        <w:tc>
          <w:tcPr>
            <w:tcW w:w="2126" w:type="dxa"/>
          </w:tcPr>
          <w:p w14:paraId="55F16ACB"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Physiological Response</w:t>
            </w:r>
          </w:p>
        </w:tc>
        <w:tc>
          <w:tcPr>
            <w:tcW w:w="1837" w:type="dxa"/>
          </w:tcPr>
          <w:p w14:paraId="299AE256"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w:t>
            </w:r>
          </w:p>
        </w:tc>
      </w:tr>
      <w:tr w:rsidR="004D77C3" w14:paraId="377B4F96" w14:textId="77777777">
        <w:trPr>
          <w:trHeight w:val="1624"/>
        </w:trPr>
        <w:tc>
          <w:tcPr>
            <w:tcW w:w="1642" w:type="dxa"/>
          </w:tcPr>
          <w:p w14:paraId="64D0AA9D"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High humidity, low VPD</w:t>
            </w:r>
          </w:p>
        </w:tc>
        <w:tc>
          <w:tcPr>
            <w:tcW w:w="1126" w:type="dxa"/>
          </w:tcPr>
          <w:p w14:paraId="342E29EB"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&lt; 0.5</w:t>
            </w:r>
          </w:p>
        </w:tc>
        <w:tc>
          <w:tcPr>
            <w:tcW w:w="1701" w:type="dxa"/>
          </w:tcPr>
          <w:p w14:paraId="6A0AF0E3"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Low (near zero or negative)</w:t>
            </w:r>
          </w:p>
        </w:tc>
        <w:tc>
          <w:tcPr>
            <w:tcW w:w="1559" w:type="dxa"/>
          </w:tcPr>
          <w:p w14:paraId="40C83079"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High (positive)</w:t>
            </w:r>
          </w:p>
        </w:tc>
        <w:tc>
          <w:tcPr>
            <w:tcW w:w="2126" w:type="dxa"/>
          </w:tcPr>
          <w:p w14:paraId="5AF85D09"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Stomata remain open, low transpiration, high disease risk.</w:t>
            </w:r>
          </w:p>
        </w:tc>
        <w:tc>
          <w:tcPr>
            <w:tcW w:w="1837" w:type="dxa"/>
          </w:tcPr>
          <w:p w14:paraId="0515FC43" w14:textId="77777777" w:rsidR="004D77C3" w:rsidRDefault="00B2595A">
            <w:pPr>
              <w:spacing w:after="120" w:line="36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Grossiord</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2020</w:t>
            </w:r>
          </w:p>
        </w:tc>
      </w:tr>
      <w:tr w:rsidR="004D77C3" w14:paraId="680BBDA1" w14:textId="77777777">
        <w:trPr>
          <w:trHeight w:val="1359"/>
        </w:trPr>
        <w:tc>
          <w:tcPr>
            <w:tcW w:w="1642" w:type="dxa"/>
          </w:tcPr>
          <w:p w14:paraId="10A8FEA5"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Optimal VPD</w:t>
            </w:r>
          </w:p>
        </w:tc>
        <w:tc>
          <w:tcPr>
            <w:tcW w:w="1126" w:type="dxa"/>
          </w:tcPr>
          <w:p w14:paraId="3E3DA88E"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0.5–1.5</w:t>
            </w:r>
          </w:p>
        </w:tc>
        <w:tc>
          <w:tcPr>
            <w:tcW w:w="1701" w:type="dxa"/>
          </w:tcPr>
          <w:p w14:paraId="5E78144B"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Negative (canopy cooler than air)</w:t>
            </w:r>
          </w:p>
        </w:tc>
        <w:tc>
          <w:tcPr>
            <w:tcW w:w="1559" w:type="dxa"/>
          </w:tcPr>
          <w:p w14:paraId="3FAF70BD"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Positive (air warmer than canopy)</w:t>
            </w:r>
          </w:p>
        </w:tc>
        <w:tc>
          <w:tcPr>
            <w:tcW w:w="2126" w:type="dxa"/>
          </w:tcPr>
          <w:p w14:paraId="4884E74A"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Efficient transpiration, active cooling, optimal growth.</w:t>
            </w:r>
          </w:p>
        </w:tc>
        <w:tc>
          <w:tcPr>
            <w:tcW w:w="1837" w:type="dxa"/>
          </w:tcPr>
          <w:p w14:paraId="2DA9D98D"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Medina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2019</w:t>
            </w:r>
          </w:p>
        </w:tc>
      </w:tr>
      <w:tr w:rsidR="004D77C3" w14:paraId="7F0D03A2" w14:textId="77777777">
        <w:trPr>
          <w:trHeight w:val="1890"/>
        </w:trPr>
        <w:tc>
          <w:tcPr>
            <w:tcW w:w="1642" w:type="dxa"/>
          </w:tcPr>
          <w:p w14:paraId="2576A74D"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Moderate drought, increasing VPD</w:t>
            </w:r>
          </w:p>
        </w:tc>
        <w:tc>
          <w:tcPr>
            <w:tcW w:w="1126" w:type="dxa"/>
          </w:tcPr>
          <w:p w14:paraId="53FCF855"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1.5–2.5</w:t>
            </w:r>
          </w:p>
        </w:tc>
        <w:tc>
          <w:tcPr>
            <w:tcW w:w="1701" w:type="dxa"/>
          </w:tcPr>
          <w:p w14:paraId="2ACFBA09"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Positive (canopy slightly warmer than air)</w:t>
            </w:r>
          </w:p>
        </w:tc>
        <w:tc>
          <w:tcPr>
            <w:tcW w:w="1559" w:type="dxa"/>
          </w:tcPr>
          <w:p w14:paraId="7E20A6FC"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Negative (canopy warmer than air)</w:t>
            </w:r>
          </w:p>
        </w:tc>
        <w:tc>
          <w:tcPr>
            <w:tcW w:w="2126" w:type="dxa"/>
          </w:tcPr>
          <w:p w14:paraId="45B308D5"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Partial stomatal closure, reduced photosynthesis, early water stress.</w:t>
            </w:r>
          </w:p>
        </w:tc>
        <w:tc>
          <w:tcPr>
            <w:tcW w:w="1837" w:type="dxa"/>
          </w:tcPr>
          <w:p w14:paraId="0066B3D1" w14:textId="77777777" w:rsidR="004D77C3" w:rsidRDefault="00B2595A">
            <w:pPr>
              <w:spacing w:after="120" w:line="36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Merilo</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2018</w:t>
            </w:r>
          </w:p>
        </w:tc>
      </w:tr>
      <w:tr w:rsidR="004D77C3" w14:paraId="464463CC" w14:textId="77777777">
        <w:trPr>
          <w:trHeight w:val="1639"/>
        </w:trPr>
        <w:tc>
          <w:tcPr>
            <w:tcW w:w="1642" w:type="dxa"/>
          </w:tcPr>
          <w:p w14:paraId="31514C39"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Severe drought, very high VPD</w:t>
            </w:r>
          </w:p>
        </w:tc>
        <w:tc>
          <w:tcPr>
            <w:tcW w:w="1126" w:type="dxa"/>
          </w:tcPr>
          <w:p w14:paraId="16E5FE00"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&gt; 2.5</w:t>
            </w:r>
          </w:p>
        </w:tc>
        <w:tc>
          <w:tcPr>
            <w:tcW w:w="1701" w:type="dxa"/>
          </w:tcPr>
          <w:p w14:paraId="104E10EE"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Highly positive (canopy much warmer than air)</w:t>
            </w:r>
          </w:p>
        </w:tc>
        <w:tc>
          <w:tcPr>
            <w:tcW w:w="1559" w:type="dxa"/>
          </w:tcPr>
          <w:p w14:paraId="1DEC4684"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Highly negative (air cooler than canopy)</w:t>
            </w:r>
          </w:p>
        </w:tc>
        <w:tc>
          <w:tcPr>
            <w:tcW w:w="2126" w:type="dxa"/>
          </w:tcPr>
          <w:p w14:paraId="0C59F772"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Stomatal closure, reduced transpiration, severe drought stress.</w:t>
            </w:r>
          </w:p>
        </w:tc>
        <w:tc>
          <w:tcPr>
            <w:tcW w:w="1837" w:type="dxa"/>
          </w:tcPr>
          <w:p w14:paraId="72767A72" w14:textId="77777777" w:rsidR="004D77C3" w:rsidRDefault="00B2595A">
            <w:pPr>
              <w:spacing w:after="120" w:line="36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Grossiord</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2020</w:t>
            </w:r>
          </w:p>
        </w:tc>
      </w:tr>
    </w:tbl>
    <w:p w14:paraId="48B550AA" w14:textId="77777777" w:rsidR="004D77C3" w:rsidRDefault="004D77C3">
      <w:pPr>
        <w:spacing w:line="360" w:lineRule="auto"/>
        <w:jc w:val="both"/>
        <w:rPr>
          <w:rFonts w:ascii="Times New Roman" w:eastAsia="Times New Roman" w:hAnsi="Times New Roman" w:cs="Times New Roman"/>
          <w:b/>
          <w:color w:val="000000"/>
          <w:sz w:val="24"/>
          <w:szCs w:val="24"/>
        </w:rPr>
      </w:pPr>
    </w:p>
    <w:p w14:paraId="6EE47581" w14:textId="77777777" w:rsidR="004D77C3" w:rsidRDefault="00B2595A">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Low VPD (Humid Air, Low Evaporative Demand): </w:t>
      </w:r>
      <w:r>
        <w:rPr>
          <w:rFonts w:ascii="Times New Roman" w:eastAsia="Times New Roman" w:hAnsi="Times New Roman" w:cs="Times New Roman"/>
          <w:color w:val="000000"/>
          <w:sz w:val="24"/>
          <w:szCs w:val="24"/>
        </w:rPr>
        <w:t xml:space="preserve">Under low VPD conditions, the atmospheric demand for water is minimal, resulting in reduced transpiration rates. Consequently, CCATD values are close to zero or slightly negative (canopy temperature is near or slightly below air temperature), and CTD remains high (canopy remains cooler than air) </w:t>
      </w:r>
      <w:r>
        <w:rPr>
          <w:rFonts w:ascii="Times New Roman" w:eastAsia="Times New Roman" w:hAnsi="Times New Roman" w:cs="Times New Roman"/>
          <w:b/>
          <w:color w:val="000000"/>
          <w:sz w:val="24"/>
          <w:szCs w:val="24"/>
        </w:rPr>
        <w:t>(</w:t>
      </w:r>
      <w:proofErr w:type="spellStart"/>
      <w:r>
        <w:rPr>
          <w:rFonts w:ascii="Times New Roman" w:eastAsia="Times New Roman" w:hAnsi="Times New Roman" w:cs="Times New Roman"/>
          <w:b/>
          <w:color w:val="000000"/>
          <w:sz w:val="24"/>
          <w:szCs w:val="24"/>
        </w:rPr>
        <w:t>Chaves</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2003).</w:t>
      </w:r>
      <w:r>
        <w:rPr>
          <w:rFonts w:ascii="Times New Roman" w:eastAsia="Times New Roman" w:hAnsi="Times New Roman" w:cs="Times New Roman"/>
          <w:color w:val="000000"/>
          <w:sz w:val="24"/>
          <w:szCs w:val="24"/>
        </w:rPr>
        <w:t xml:space="preserve"> However, excessively low VPD can lead to limited stomatal opening, decreased transpiration efficiency, and an increased risk of fungal diseases due to prolonged leaf wetness </w:t>
      </w:r>
      <w:r>
        <w:rPr>
          <w:rFonts w:ascii="Times New Roman" w:eastAsia="Times New Roman" w:hAnsi="Times New Roman" w:cs="Times New Roman"/>
          <w:b/>
          <w:color w:val="000000"/>
          <w:sz w:val="24"/>
          <w:szCs w:val="24"/>
        </w:rPr>
        <w:t>(</w:t>
      </w:r>
      <w:proofErr w:type="spellStart"/>
      <w:r>
        <w:rPr>
          <w:rFonts w:ascii="Times New Roman" w:eastAsia="Times New Roman" w:hAnsi="Times New Roman" w:cs="Times New Roman"/>
          <w:b/>
          <w:color w:val="000000"/>
          <w:sz w:val="24"/>
          <w:szCs w:val="24"/>
        </w:rPr>
        <w:t>Fanourakis</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2020).</w:t>
      </w:r>
    </w:p>
    <w:p w14:paraId="4D7CB758" w14:textId="77777777" w:rsidR="004D77C3" w:rsidRDefault="00B2595A">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Instruments for Measuring CCATD and CTD</w:t>
      </w:r>
    </w:p>
    <w:p w14:paraId="449290F2" w14:textId="77777777" w:rsidR="004D77C3" w:rsidRDefault="00B2595A">
      <w:pPr>
        <w:pStyle w:val="Heading4"/>
        <w:spacing w:after="0" w:line="360" w:lineRule="auto"/>
        <w:jc w:val="both"/>
        <w:rPr>
          <w:b w:val="0"/>
          <w:color w:val="000000"/>
        </w:rPr>
      </w:pPr>
      <w:r>
        <w:rPr>
          <w:b w:val="0"/>
          <w:color w:val="000000"/>
        </w:rPr>
        <w:t xml:space="preserve">Accurate measurement of Crop Canopy Air Temperature Difference (CCATD) and Canopy Temperature Depression (CTD) requires specialized instruments capable of detecting both canopy temperature and ambient air temperature under field conditions. These instruments </w:t>
      </w:r>
      <w:r>
        <w:rPr>
          <w:b w:val="0"/>
          <w:color w:val="000000"/>
        </w:rPr>
        <w:lastRenderedPageBreak/>
        <w:t xml:space="preserve">range from handheld sensors to advanced remote sensing technologies integrated with satellites and UAVs (unmanned aerial vehicles) </w:t>
      </w:r>
      <w:r>
        <w:rPr>
          <w:color w:val="000000"/>
        </w:rPr>
        <w:t xml:space="preserve">(Jones, 1999; Costa </w:t>
      </w:r>
      <w:r>
        <w:rPr>
          <w:i/>
          <w:color w:val="000000"/>
        </w:rPr>
        <w:t>et al.,</w:t>
      </w:r>
      <w:r>
        <w:rPr>
          <w:color w:val="000000"/>
        </w:rPr>
        <w:t xml:space="preserve"> 2013).</w:t>
      </w:r>
    </w:p>
    <w:p w14:paraId="45CF75EC" w14:textId="77777777" w:rsidR="004D77C3" w:rsidRDefault="00B2595A">
      <w:pPr>
        <w:pStyle w:val="Heading4"/>
        <w:spacing w:after="0" w:line="360" w:lineRule="auto"/>
        <w:rPr>
          <w:color w:val="000000"/>
        </w:rPr>
      </w:pPr>
      <w:r>
        <w:rPr>
          <w:color w:val="000000"/>
        </w:rPr>
        <w:t>1. Infrared Thermometers (IRTs)</w:t>
      </w:r>
    </w:p>
    <w:p w14:paraId="42EBA8B0" w14:textId="77777777" w:rsidR="004D77C3" w:rsidRDefault="00B2595A">
      <w:pPr>
        <w:pStyle w:val="Heading4"/>
        <w:spacing w:after="0" w:line="360" w:lineRule="auto"/>
        <w:jc w:val="both"/>
        <w:rPr>
          <w:color w:val="000000"/>
        </w:rPr>
      </w:pPr>
      <w:r>
        <w:rPr>
          <w:b w:val="0"/>
          <w:color w:val="000000"/>
        </w:rPr>
        <w:t xml:space="preserve">Infrared thermometers (IRTs) are widely used for point-based measurement of canopy temperature. These devices detect thermal radiation emitted by plant surfaces and convert it into temperature readings. To measure CCATD or CTD, an IRT is aimed at the crop canopy, while a separate sensor records ambient air temperature </w:t>
      </w:r>
      <w:r>
        <w:rPr>
          <w:color w:val="000000"/>
        </w:rPr>
        <w:t xml:space="preserve">(Jackson </w:t>
      </w:r>
      <w:r>
        <w:rPr>
          <w:i/>
          <w:color w:val="000000"/>
        </w:rPr>
        <w:t>et al.,</w:t>
      </w:r>
      <w:r>
        <w:rPr>
          <w:color w:val="000000"/>
        </w:rPr>
        <w:t xml:space="preserve"> 1981).</w:t>
      </w:r>
    </w:p>
    <w:p w14:paraId="65B34C7D" w14:textId="77777777" w:rsidR="004D77C3" w:rsidRDefault="00B2595A">
      <w:pPr>
        <w:pStyle w:val="Heading4"/>
        <w:spacing w:after="0" w:line="360" w:lineRule="auto"/>
        <w:jc w:val="both"/>
        <w:rPr>
          <w:color w:val="000000"/>
        </w:rPr>
      </w:pPr>
      <w:r>
        <w:rPr>
          <w:color w:val="000000"/>
        </w:rPr>
        <w:t>2. Infrared Thermal Cameras</w:t>
      </w:r>
    </w:p>
    <w:p w14:paraId="2A8A4E79" w14:textId="77777777" w:rsidR="004D77C3" w:rsidRDefault="00B2595A">
      <w:pPr>
        <w:pStyle w:val="Heading4"/>
        <w:spacing w:after="0" w:line="360" w:lineRule="auto"/>
        <w:jc w:val="both"/>
        <w:rPr>
          <w:color w:val="000000"/>
        </w:rPr>
      </w:pPr>
      <w:r>
        <w:rPr>
          <w:b w:val="0"/>
          <w:color w:val="000000"/>
        </w:rPr>
        <w:t xml:space="preserve">Infrared (IR) thermal cameras provide a spatially detailed thermal map of crop fields by capturing thermal radiation across a large area. These cameras can be mounted on tripods, UAVs, or manned aircraft for high-resolution temperature mapping </w:t>
      </w:r>
      <w:r>
        <w:rPr>
          <w:color w:val="000000"/>
        </w:rPr>
        <w:t>(Gonzalez-</w:t>
      </w:r>
      <w:proofErr w:type="spellStart"/>
      <w:r>
        <w:rPr>
          <w:color w:val="000000"/>
        </w:rPr>
        <w:t>Dugo</w:t>
      </w:r>
      <w:proofErr w:type="spellEnd"/>
      <w:r>
        <w:rPr>
          <w:color w:val="000000"/>
        </w:rPr>
        <w:t xml:space="preserve"> </w:t>
      </w:r>
      <w:r>
        <w:rPr>
          <w:i/>
          <w:color w:val="000000"/>
        </w:rPr>
        <w:t>et al.,</w:t>
      </w:r>
      <w:r>
        <w:rPr>
          <w:color w:val="000000"/>
        </w:rPr>
        <w:t xml:space="preserve"> 2012).</w:t>
      </w:r>
    </w:p>
    <w:p w14:paraId="16F1437D" w14:textId="77777777" w:rsidR="004D77C3" w:rsidRDefault="00B2595A">
      <w:pPr>
        <w:pStyle w:val="Heading4"/>
        <w:spacing w:after="0" w:line="360" w:lineRule="auto"/>
        <w:jc w:val="both"/>
        <w:rPr>
          <w:color w:val="000000"/>
        </w:rPr>
      </w:pPr>
      <w:r>
        <w:rPr>
          <w:color w:val="000000"/>
        </w:rPr>
        <w:t>3.</w:t>
      </w:r>
      <w:r>
        <w:rPr>
          <w:b w:val="0"/>
          <w:color w:val="000000"/>
        </w:rPr>
        <w:t xml:space="preserve"> </w:t>
      </w:r>
      <w:r>
        <w:rPr>
          <w:color w:val="000000"/>
        </w:rPr>
        <w:t>Canopy Temperature Sensors (Fixed and Wireless Systems)</w:t>
      </w:r>
    </w:p>
    <w:p w14:paraId="40B6C97C" w14:textId="77777777" w:rsidR="004D77C3" w:rsidRDefault="00B2595A">
      <w:pPr>
        <w:pStyle w:val="Heading4"/>
        <w:spacing w:after="0" w:line="360" w:lineRule="auto"/>
        <w:jc w:val="both"/>
        <w:rPr>
          <w:b w:val="0"/>
          <w:color w:val="000000"/>
        </w:rPr>
      </w:pPr>
      <w:r>
        <w:rPr>
          <w:b w:val="0"/>
          <w:color w:val="000000"/>
        </w:rPr>
        <w:t xml:space="preserve">Fixed canopy temperature sensors are placed within the field to continuously record temperature variations over time. Wireless sensor networks (WSNs) integrate multiple temperature sensors, transmitting real-time data for continuous monitoring. These systems provide an automated approach for detecting plant water stress and optimizing irrigation </w:t>
      </w:r>
      <w:r>
        <w:rPr>
          <w:color w:val="000000"/>
        </w:rPr>
        <w:t xml:space="preserve">(Kim </w:t>
      </w:r>
      <w:r>
        <w:rPr>
          <w:i/>
          <w:color w:val="000000"/>
        </w:rPr>
        <w:t>et al.,</w:t>
      </w:r>
      <w:r>
        <w:rPr>
          <w:color w:val="000000"/>
        </w:rPr>
        <w:t xml:space="preserve"> 2011).</w:t>
      </w:r>
    </w:p>
    <w:p w14:paraId="3F5C60EE" w14:textId="77777777" w:rsidR="004D77C3" w:rsidRDefault="00B2595A">
      <w:pPr>
        <w:pStyle w:val="Heading4"/>
        <w:spacing w:after="0" w:line="360" w:lineRule="auto"/>
        <w:jc w:val="both"/>
        <w:rPr>
          <w:color w:val="000000"/>
        </w:rPr>
      </w:pPr>
      <w:r>
        <w:rPr>
          <w:color w:val="000000"/>
        </w:rPr>
        <w:t>4. UAVs (Drones) with Thermal Sensors</w:t>
      </w:r>
    </w:p>
    <w:p w14:paraId="55FF5DDB" w14:textId="77777777" w:rsidR="004D77C3" w:rsidRDefault="00B2595A">
      <w:pPr>
        <w:pStyle w:val="Heading4"/>
        <w:spacing w:after="0" w:line="360" w:lineRule="auto"/>
        <w:jc w:val="both"/>
        <w:rPr>
          <w:color w:val="000000"/>
        </w:rPr>
      </w:pPr>
      <w:r>
        <w:rPr>
          <w:b w:val="0"/>
          <w:color w:val="000000"/>
        </w:rPr>
        <w:t xml:space="preserve">Unmanned aerial vehicles (UAVs), or drones, equipped with thermal imaging sensors enable rapid and precise measurement of canopy temperature over large agricultural fields. These systems integrate GPS and AI algorithms to </w:t>
      </w:r>
      <w:proofErr w:type="spellStart"/>
      <w:r>
        <w:rPr>
          <w:b w:val="0"/>
          <w:color w:val="000000"/>
        </w:rPr>
        <w:t>analyze</w:t>
      </w:r>
      <w:proofErr w:type="spellEnd"/>
      <w:r>
        <w:rPr>
          <w:b w:val="0"/>
          <w:color w:val="000000"/>
        </w:rPr>
        <w:t xml:space="preserve"> crop temperature variations, providing high-resolution thermal imagery </w:t>
      </w:r>
      <w:r>
        <w:rPr>
          <w:color w:val="000000"/>
        </w:rPr>
        <w:t>(</w:t>
      </w:r>
      <w:proofErr w:type="spellStart"/>
      <w:r>
        <w:rPr>
          <w:color w:val="000000"/>
        </w:rPr>
        <w:t>Berni</w:t>
      </w:r>
      <w:proofErr w:type="spellEnd"/>
      <w:r>
        <w:rPr>
          <w:color w:val="000000"/>
        </w:rPr>
        <w:t xml:space="preserve"> </w:t>
      </w:r>
      <w:r>
        <w:rPr>
          <w:i/>
          <w:color w:val="000000"/>
        </w:rPr>
        <w:t>et al.,</w:t>
      </w:r>
      <w:r>
        <w:rPr>
          <w:color w:val="000000"/>
        </w:rPr>
        <w:t xml:space="preserve"> 2009; </w:t>
      </w:r>
      <w:proofErr w:type="spellStart"/>
      <w:r>
        <w:rPr>
          <w:color w:val="000000"/>
        </w:rPr>
        <w:t>Ludovis</w:t>
      </w:r>
      <w:proofErr w:type="spellEnd"/>
      <w:r>
        <w:rPr>
          <w:color w:val="000000"/>
        </w:rPr>
        <w:t xml:space="preserve"> </w:t>
      </w:r>
      <w:r>
        <w:rPr>
          <w:i/>
          <w:color w:val="000000"/>
        </w:rPr>
        <w:t>et al.,</w:t>
      </w:r>
      <w:r>
        <w:rPr>
          <w:color w:val="000000"/>
        </w:rPr>
        <w:t xml:space="preserve"> 2017).</w:t>
      </w:r>
    </w:p>
    <w:p w14:paraId="40C07AC4" w14:textId="77777777" w:rsidR="004D77C3" w:rsidRDefault="00B2595A">
      <w:pPr>
        <w:pStyle w:val="Heading4"/>
        <w:spacing w:after="0" w:line="360" w:lineRule="auto"/>
        <w:jc w:val="both"/>
        <w:rPr>
          <w:color w:val="000000"/>
        </w:rPr>
      </w:pPr>
      <w:r>
        <w:rPr>
          <w:color w:val="000000"/>
        </w:rPr>
        <w:t>5. Satellite-Based Thermal Remote Sensing</w:t>
      </w:r>
    </w:p>
    <w:p w14:paraId="333293BC" w14:textId="77777777" w:rsidR="004D77C3" w:rsidRDefault="00B2595A">
      <w:pPr>
        <w:pStyle w:val="Heading4"/>
        <w:spacing w:after="0" w:line="360" w:lineRule="auto"/>
        <w:jc w:val="both"/>
        <w:rPr>
          <w:b w:val="0"/>
          <w:color w:val="000000"/>
        </w:rPr>
      </w:pPr>
      <w:r>
        <w:rPr>
          <w:b w:val="0"/>
          <w:color w:val="000000"/>
        </w:rPr>
        <w:t xml:space="preserve">Satellites such as Landsat-8 (TIRS), MODIS (Terra/Aqua), and Sentinel-3 (SLSTR) provide global-scale thermal imaging for canopy temperature analysis. Satellite-based thermal data allow for long-term monitoring of temperature trends, drought impact, and vegetation health </w:t>
      </w:r>
      <w:r>
        <w:rPr>
          <w:color w:val="000000"/>
        </w:rPr>
        <w:t>(</w:t>
      </w:r>
      <w:proofErr w:type="spellStart"/>
      <w:r>
        <w:rPr>
          <w:color w:val="000000"/>
        </w:rPr>
        <w:t>Meron</w:t>
      </w:r>
      <w:proofErr w:type="spellEnd"/>
      <w:r>
        <w:rPr>
          <w:color w:val="000000"/>
        </w:rPr>
        <w:t xml:space="preserve"> </w:t>
      </w:r>
      <w:r>
        <w:rPr>
          <w:i/>
          <w:color w:val="000000"/>
        </w:rPr>
        <w:t>et al.,</w:t>
      </w:r>
      <w:r>
        <w:rPr>
          <w:color w:val="000000"/>
        </w:rPr>
        <w:t xml:space="preserve"> 2013; </w:t>
      </w:r>
      <w:proofErr w:type="spellStart"/>
      <w:r>
        <w:rPr>
          <w:color w:val="000000"/>
        </w:rPr>
        <w:t>Neinavaz</w:t>
      </w:r>
      <w:proofErr w:type="spellEnd"/>
      <w:r>
        <w:rPr>
          <w:color w:val="000000"/>
        </w:rPr>
        <w:t xml:space="preserve"> </w:t>
      </w:r>
      <w:r>
        <w:rPr>
          <w:i/>
          <w:color w:val="000000"/>
        </w:rPr>
        <w:t>et al.,</w:t>
      </w:r>
      <w:r>
        <w:rPr>
          <w:color w:val="000000"/>
        </w:rPr>
        <w:t xml:space="preserve"> 2021).</w:t>
      </w:r>
    </w:p>
    <w:p w14:paraId="365A67AB" w14:textId="77777777" w:rsidR="004D77C3" w:rsidRDefault="004D77C3">
      <w:pPr>
        <w:spacing w:after="0" w:line="360" w:lineRule="auto"/>
        <w:jc w:val="both"/>
        <w:rPr>
          <w:rFonts w:ascii="Times New Roman" w:eastAsia="Times New Roman" w:hAnsi="Times New Roman" w:cs="Times New Roman"/>
          <w:b/>
          <w:color w:val="000000"/>
          <w:sz w:val="24"/>
          <w:szCs w:val="24"/>
        </w:rPr>
      </w:pPr>
    </w:p>
    <w:tbl>
      <w:tblPr>
        <w:tblStyle w:val="a1"/>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5"/>
        <w:gridCol w:w="4681"/>
      </w:tblGrid>
      <w:tr w:rsidR="004D77C3" w14:paraId="324AD67C" w14:textId="77777777">
        <w:trPr>
          <w:jc w:val="center"/>
        </w:trPr>
        <w:tc>
          <w:tcPr>
            <w:tcW w:w="4605" w:type="dxa"/>
          </w:tcPr>
          <w:p w14:paraId="4547D2D4" w14:textId="77777777" w:rsidR="004D77C3" w:rsidRDefault="00B2595A">
            <w:pPr>
              <w:spacing w:line="360" w:lineRule="auto"/>
              <w:jc w:val="center"/>
              <w:rPr>
                <w:rFonts w:ascii="Times New Roman" w:eastAsia="Times New Roman" w:hAnsi="Times New Roman" w:cs="Times New Roman"/>
                <w:b/>
                <w:color w:val="000000"/>
                <w:sz w:val="24"/>
                <w:szCs w:val="24"/>
              </w:rPr>
            </w:pPr>
            <w:r>
              <w:rPr>
                <w:noProof/>
                <w:color w:val="000000"/>
              </w:rPr>
              <w:lastRenderedPageBreak/>
              <w:drawing>
                <wp:inline distT="0" distB="0" distL="0" distR="0" wp14:anchorId="0AE374DF" wp14:editId="53074A0E">
                  <wp:extent cx="2143125" cy="2143125"/>
                  <wp:effectExtent l="0" t="0" r="0" b="0"/>
                  <wp:docPr id="5" name="image5.png" descr="Infrared (IR) Thermometers / Plant Stress Monitors - Crop, Soil and Water  Testing"/>
                  <wp:cNvGraphicFramePr/>
                  <a:graphic xmlns:a="http://schemas.openxmlformats.org/drawingml/2006/main">
                    <a:graphicData uri="http://schemas.openxmlformats.org/drawingml/2006/picture">
                      <pic:pic xmlns:pic="http://schemas.openxmlformats.org/drawingml/2006/picture">
                        <pic:nvPicPr>
                          <pic:cNvPr id="0" name="image5.png" descr="Infrared (IR) Thermometers / Plant Stress Monitors - Crop, Soil and Water  Testing"/>
                          <pic:cNvPicPr preferRelativeResize="0"/>
                        </pic:nvPicPr>
                        <pic:blipFill>
                          <a:blip r:embed="rId8"/>
                          <a:srcRect/>
                          <a:stretch>
                            <a:fillRect/>
                          </a:stretch>
                        </pic:blipFill>
                        <pic:spPr>
                          <a:xfrm>
                            <a:off x="0" y="0"/>
                            <a:ext cx="2143125" cy="2143125"/>
                          </a:xfrm>
                          <a:prstGeom prst="rect">
                            <a:avLst/>
                          </a:prstGeom>
                          <a:ln/>
                        </pic:spPr>
                      </pic:pic>
                    </a:graphicData>
                  </a:graphic>
                </wp:inline>
              </w:drawing>
            </w:r>
          </w:p>
        </w:tc>
        <w:tc>
          <w:tcPr>
            <w:tcW w:w="4681" w:type="dxa"/>
          </w:tcPr>
          <w:p w14:paraId="6F6FE255" w14:textId="77777777" w:rsidR="004D77C3" w:rsidRDefault="00B2595A">
            <w:pPr>
              <w:spacing w:line="360" w:lineRule="auto"/>
              <w:jc w:val="both"/>
              <w:rPr>
                <w:rFonts w:ascii="Times New Roman" w:eastAsia="Times New Roman" w:hAnsi="Times New Roman" w:cs="Times New Roman"/>
                <w:b/>
                <w:color w:val="000000"/>
                <w:sz w:val="24"/>
                <w:szCs w:val="24"/>
              </w:rPr>
            </w:pPr>
            <w:r>
              <w:rPr>
                <w:noProof/>
                <w:color w:val="000000"/>
              </w:rPr>
              <w:drawing>
                <wp:inline distT="0" distB="0" distL="0" distR="0" wp14:anchorId="59B0DA05" wp14:editId="70A8D0F9">
                  <wp:extent cx="2879235" cy="2152252"/>
                  <wp:effectExtent l="0" t="0" r="0" b="0"/>
                  <wp:docPr id="4" name="image4.png" descr="DSC_0258_0.JPG"/>
                  <wp:cNvGraphicFramePr/>
                  <a:graphic xmlns:a="http://schemas.openxmlformats.org/drawingml/2006/main">
                    <a:graphicData uri="http://schemas.openxmlformats.org/drawingml/2006/picture">
                      <pic:pic xmlns:pic="http://schemas.openxmlformats.org/drawingml/2006/picture">
                        <pic:nvPicPr>
                          <pic:cNvPr id="0" name="image4.png" descr="DSC_0258_0.JPG"/>
                          <pic:cNvPicPr preferRelativeResize="0"/>
                        </pic:nvPicPr>
                        <pic:blipFill>
                          <a:blip r:embed="rId9"/>
                          <a:srcRect/>
                          <a:stretch>
                            <a:fillRect/>
                          </a:stretch>
                        </pic:blipFill>
                        <pic:spPr>
                          <a:xfrm>
                            <a:off x="0" y="0"/>
                            <a:ext cx="2879235" cy="2152252"/>
                          </a:xfrm>
                          <a:prstGeom prst="rect">
                            <a:avLst/>
                          </a:prstGeom>
                          <a:ln/>
                        </pic:spPr>
                      </pic:pic>
                    </a:graphicData>
                  </a:graphic>
                </wp:inline>
              </w:drawing>
            </w:r>
          </w:p>
        </w:tc>
      </w:tr>
      <w:tr w:rsidR="004D77C3" w14:paraId="5FDEBF6D" w14:textId="77777777">
        <w:trPr>
          <w:jc w:val="center"/>
        </w:trPr>
        <w:tc>
          <w:tcPr>
            <w:tcW w:w="4605" w:type="dxa"/>
          </w:tcPr>
          <w:p w14:paraId="7C131368" w14:textId="77777777" w:rsidR="004D77C3" w:rsidRDefault="00B2595A">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Infrared Thermometers</w:t>
            </w:r>
          </w:p>
        </w:tc>
        <w:tc>
          <w:tcPr>
            <w:tcW w:w="4681" w:type="dxa"/>
          </w:tcPr>
          <w:p w14:paraId="02DC7E1D" w14:textId="77777777" w:rsidR="004D77C3" w:rsidRDefault="00B2595A">
            <w:pPr>
              <w:pStyle w:val="Heading4"/>
              <w:spacing w:line="360" w:lineRule="auto"/>
              <w:jc w:val="center"/>
              <w:outlineLvl w:val="3"/>
              <w:rPr>
                <w:color w:val="000000"/>
              </w:rPr>
            </w:pPr>
            <w:r>
              <w:rPr>
                <w:color w:val="000000"/>
              </w:rPr>
              <w:t>Infrared Thermal Cameras</w:t>
            </w:r>
          </w:p>
        </w:tc>
      </w:tr>
      <w:tr w:rsidR="004D77C3" w14:paraId="579773AB" w14:textId="77777777">
        <w:trPr>
          <w:jc w:val="center"/>
        </w:trPr>
        <w:tc>
          <w:tcPr>
            <w:tcW w:w="4605" w:type="dxa"/>
          </w:tcPr>
          <w:p w14:paraId="7F62AED5" w14:textId="77777777" w:rsidR="004D77C3" w:rsidRDefault="00B2595A">
            <w:pPr>
              <w:spacing w:line="360" w:lineRule="auto"/>
              <w:jc w:val="both"/>
              <w:rPr>
                <w:rFonts w:ascii="Times New Roman" w:eastAsia="Times New Roman" w:hAnsi="Times New Roman" w:cs="Times New Roman"/>
                <w:b/>
                <w:color w:val="000000"/>
                <w:sz w:val="24"/>
                <w:szCs w:val="24"/>
              </w:rPr>
            </w:pPr>
            <w:r>
              <w:rPr>
                <w:noProof/>
                <w:color w:val="000000"/>
              </w:rPr>
              <w:drawing>
                <wp:inline distT="0" distB="0" distL="0" distR="0" wp14:anchorId="1765D486" wp14:editId="3896DA18">
                  <wp:extent cx="2781300" cy="1800225"/>
                  <wp:effectExtent l="0" t="0" r="0" b="0"/>
                  <wp:docPr id="7" name="image7.png" descr="infrared temperature sensor - Edaphic Scientific"/>
                  <wp:cNvGraphicFramePr/>
                  <a:graphic xmlns:a="http://schemas.openxmlformats.org/drawingml/2006/main">
                    <a:graphicData uri="http://schemas.openxmlformats.org/drawingml/2006/picture">
                      <pic:pic xmlns:pic="http://schemas.openxmlformats.org/drawingml/2006/picture">
                        <pic:nvPicPr>
                          <pic:cNvPr id="0" name="image7.png" descr="infrared temperature sensor - Edaphic Scientific"/>
                          <pic:cNvPicPr preferRelativeResize="0"/>
                        </pic:nvPicPr>
                        <pic:blipFill>
                          <a:blip r:embed="rId10"/>
                          <a:srcRect/>
                          <a:stretch>
                            <a:fillRect/>
                          </a:stretch>
                        </pic:blipFill>
                        <pic:spPr>
                          <a:xfrm>
                            <a:off x="0" y="0"/>
                            <a:ext cx="2781300" cy="1800225"/>
                          </a:xfrm>
                          <a:prstGeom prst="rect">
                            <a:avLst/>
                          </a:prstGeom>
                          <a:ln/>
                        </pic:spPr>
                      </pic:pic>
                    </a:graphicData>
                  </a:graphic>
                </wp:inline>
              </w:drawing>
            </w:r>
          </w:p>
        </w:tc>
        <w:tc>
          <w:tcPr>
            <w:tcW w:w="4681" w:type="dxa"/>
          </w:tcPr>
          <w:p w14:paraId="07DA2A5A" w14:textId="77777777" w:rsidR="004D77C3" w:rsidRDefault="00B2595A">
            <w:pPr>
              <w:spacing w:line="360" w:lineRule="auto"/>
              <w:jc w:val="both"/>
              <w:rPr>
                <w:rFonts w:ascii="Times New Roman" w:eastAsia="Times New Roman" w:hAnsi="Times New Roman" w:cs="Times New Roman"/>
                <w:b/>
                <w:color w:val="000000"/>
                <w:sz w:val="24"/>
                <w:szCs w:val="24"/>
              </w:rPr>
            </w:pPr>
            <w:r>
              <w:rPr>
                <w:noProof/>
                <w:color w:val="000000"/>
              </w:rPr>
              <w:drawing>
                <wp:inline distT="0" distB="0" distL="0" distR="0" wp14:anchorId="0E399427" wp14:editId="51F54FF1">
                  <wp:extent cx="2667000" cy="1752600"/>
                  <wp:effectExtent l="0" t="0" r="0" b="0"/>
                  <wp:docPr id="6" name="image6.png" descr="Remotesensing 09 00476 g001 550"/>
                  <wp:cNvGraphicFramePr/>
                  <a:graphic xmlns:a="http://schemas.openxmlformats.org/drawingml/2006/main">
                    <a:graphicData uri="http://schemas.openxmlformats.org/drawingml/2006/picture">
                      <pic:pic xmlns:pic="http://schemas.openxmlformats.org/drawingml/2006/picture">
                        <pic:nvPicPr>
                          <pic:cNvPr id="0" name="image6.png" descr="Remotesensing 09 00476 g001 550"/>
                          <pic:cNvPicPr preferRelativeResize="0"/>
                        </pic:nvPicPr>
                        <pic:blipFill>
                          <a:blip r:embed="rId11"/>
                          <a:srcRect/>
                          <a:stretch>
                            <a:fillRect/>
                          </a:stretch>
                        </pic:blipFill>
                        <pic:spPr>
                          <a:xfrm>
                            <a:off x="0" y="0"/>
                            <a:ext cx="2667000" cy="1752600"/>
                          </a:xfrm>
                          <a:prstGeom prst="rect">
                            <a:avLst/>
                          </a:prstGeom>
                          <a:ln/>
                        </pic:spPr>
                      </pic:pic>
                    </a:graphicData>
                  </a:graphic>
                </wp:inline>
              </w:drawing>
            </w:r>
          </w:p>
        </w:tc>
      </w:tr>
      <w:tr w:rsidR="004D77C3" w14:paraId="498F1A84" w14:textId="77777777">
        <w:trPr>
          <w:jc w:val="center"/>
        </w:trPr>
        <w:tc>
          <w:tcPr>
            <w:tcW w:w="4605" w:type="dxa"/>
          </w:tcPr>
          <w:p w14:paraId="683D5111" w14:textId="77777777" w:rsidR="004D77C3" w:rsidRDefault="00B2595A">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Canopy Temperature Sensors</w:t>
            </w:r>
          </w:p>
        </w:tc>
        <w:tc>
          <w:tcPr>
            <w:tcW w:w="4681" w:type="dxa"/>
          </w:tcPr>
          <w:p w14:paraId="135BF33D" w14:textId="77777777" w:rsidR="004D77C3" w:rsidRDefault="00B2595A">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UAVs (Drones) with Thermal Sensors</w:t>
            </w:r>
          </w:p>
        </w:tc>
      </w:tr>
      <w:tr w:rsidR="004D77C3" w14:paraId="44DBF1A2" w14:textId="77777777">
        <w:trPr>
          <w:jc w:val="center"/>
        </w:trPr>
        <w:tc>
          <w:tcPr>
            <w:tcW w:w="4605" w:type="dxa"/>
          </w:tcPr>
          <w:p w14:paraId="11F90C01" w14:textId="77777777" w:rsidR="004D77C3" w:rsidRDefault="00B2595A">
            <w:pPr>
              <w:spacing w:line="360" w:lineRule="auto"/>
              <w:jc w:val="both"/>
              <w:rPr>
                <w:rFonts w:ascii="Times New Roman" w:eastAsia="Times New Roman" w:hAnsi="Times New Roman" w:cs="Times New Roman"/>
                <w:b/>
                <w:color w:val="000000"/>
                <w:sz w:val="24"/>
                <w:szCs w:val="24"/>
              </w:rPr>
            </w:pPr>
            <w:r>
              <w:rPr>
                <w:noProof/>
                <w:color w:val="000000"/>
              </w:rPr>
              <w:drawing>
                <wp:inline distT="0" distB="0" distL="0" distR="0" wp14:anchorId="4B08BE18" wp14:editId="29718DFD">
                  <wp:extent cx="2831578" cy="2203471"/>
                  <wp:effectExtent l="0" t="0" r="0" b="0"/>
                  <wp:docPr id="2" name="image2.png" descr="Thermal Infrared Remote Sensing - an overview | ScienceDirect Topics"/>
                  <wp:cNvGraphicFramePr/>
                  <a:graphic xmlns:a="http://schemas.openxmlformats.org/drawingml/2006/main">
                    <a:graphicData uri="http://schemas.openxmlformats.org/drawingml/2006/picture">
                      <pic:pic xmlns:pic="http://schemas.openxmlformats.org/drawingml/2006/picture">
                        <pic:nvPicPr>
                          <pic:cNvPr id="0" name="image2.png" descr="Thermal Infrared Remote Sensing - an overview | ScienceDirect Topics"/>
                          <pic:cNvPicPr preferRelativeResize="0"/>
                        </pic:nvPicPr>
                        <pic:blipFill>
                          <a:blip r:embed="rId12"/>
                          <a:srcRect/>
                          <a:stretch>
                            <a:fillRect/>
                          </a:stretch>
                        </pic:blipFill>
                        <pic:spPr>
                          <a:xfrm>
                            <a:off x="0" y="0"/>
                            <a:ext cx="2831578" cy="2203471"/>
                          </a:xfrm>
                          <a:prstGeom prst="rect">
                            <a:avLst/>
                          </a:prstGeom>
                          <a:ln/>
                        </pic:spPr>
                      </pic:pic>
                    </a:graphicData>
                  </a:graphic>
                </wp:inline>
              </w:drawing>
            </w:r>
          </w:p>
        </w:tc>
        <w:tc>
          <w:tcPr>
            <w:tcW w:w="4681" w:type="dxa"/>
          </w:tcPr>
          <w:p w14:paraId="1A4E31DF" w14:textId="77777777" w:rsidR="004D77C3" w:rsidRDefault="00B2595A">
            <w:pPr>
              <w:spacing w:line="360" w:lineRule="auto"/>
              <w:jc w:val="both"/>
              <w:rPr>
                <w:rFonts w:ascii="Times New Roman" w:eastAsia="Times New Roman" w:hAnsi="Times New Roman" w:cs="Times New Roman"/>
                <w:b/>
                <w:color w:val="000000"/>
                <w:sz w:val="24"/>
                <w:szCs w:val="24"/>
              </w:rPr>
            </w:pPr>
            <w:r>
              <w:rPr>
                <w:noProof/>
                <w:color w:val="000000"/>
              </w:rPr>
              <w:drawing>
                <wp:inline distT="0" distB="0" distL="0" distR="0" wp14:anchorId="0460F2A3" wp14:editId="164914E2">
                  <wp:extent cx="2714625" cy="2200275"/>
                  <wp:effectExtent l="0" t="0" r="0" b="0"/>
                  <wp:docPr id="1" name="image1.png" descr="Weather Station with Multiple Sensors"/>
                  <wp:cNvGraphicFramePr/>
                  <a:graphic xmlns:a="http://schemas.openxmlformats.org/drawingml/2006/main">
                    <a:graphicData uri="http://schemas.openxmlformats.org/drawingml/2006/picture">
                      <pic:pic xmlns:pic="http://schemas.openxmlformats.org/drawingml/2006/picture">
                        <pic:nvPicPr>
                          <pic:cNvPr id="0" name="image1.png" descr="Weather Station with Multiple Sensors"/>
                          <pic:cNvPicPr preferRelativeResize="0"/>
                        </pic:nvPicPr>
                        <pic:blipFill>
                          <a:blip r:embed="rId13"/>
                          <a:srcRect/>
                          <a:stretch>
                            <a:fillRect/>
                          </a:stretch>
                        </pic:blipFill>
                        <pic:spPr>
                          <a:xfrm>
                            <a:off x="0" y="0"/>
                            <a:ext cx="2714625" cy="2200275"/>
                          </a:xfrm>
                          <a:prstGeom prst="rect">
                            <a:avLst/>
                          </a:prstGeom>
                          <a:ln/>
                        </pic:spPr>
                      </pic:pic>
                    </a:graphicData>
                  </a:graphic>
                </wp:inline>
              </w:drawing>
            </w:r>
          </w:p>
        </w:tc>
      </w:tr>
      <w:tr w:rsidR="004D77C3" w14:paraId="00EB2DAC" w14:textId="77777777">
        <w:trPr>
          <w:jc w:val="center"/>
        </w:trPr>
        <w:tc>
          <w:tcPr>
            <w:tcW w:w="4605" w:type="dxa"/>
          </w:tcPr>
          <w:p w14:paraId="44D1A17A" w14:textId="77777777" w:rsidR="004D77C3" w:rsidRDefault="00B2595A">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Satellite-Based Thermal Remote Sensing</w:t>
            </w:r>
          </w:p>
        </w:tc>
        <w:tc>
          <w:tcPr>
            <w:tcW w:w="4681" w:type="dxa"/>
          </w:tcPr>
          <w:p w14:paraId="392CA60E" w14:textId="77777777" w:rsidR="004D77C3" w:rsidRDefault="00B2595A">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Weather Stations with Air Temperature Sensors</w:t>
            </w:r>
          </w:p>
        </w:tc>
      </w:tr>
    </w:tbl>
    <w:p w14:paraId="5943D701" w14:textId="77777777" w:rsidR="004D77C3" w:rsidRDefault="004D77C3">
      <w:pPr>
        <w:spacing w:after="0" w:line="360" w:lineRule="auto"/>
        <w:jc w:val="both"/>
        <w:rPr>
          <w:rFonts w:ascii="Times New Roman" w:eastAsia="Times New Roman" w:hAnsi="Times New Roman" w:cs="Times New Roman"/>
          <w:b/>
          <w:color w:val="000000"/>
          <w:sz w:val="24"/>
          <w:szCs w:val="24"/>
        </w:rPr>
      </w:pPr>
    </w:p>
    <w:p w14:paraId="1A9C320F" w14:textId="3A5357C1" w:rsidR="004D77C3" w:rsidRDefault="00B2595A">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Figure</w:t>
      </w:r>
      <w:r w:rsidR="006D7B7D">
        <w:rPr>
          <w:rFonts w:ascii="Times New Roman" w:eastAsia="Times New Roman" w:hAnsi="Times New Roman" w:cs="Times New Roman"/>
          <w:b/>
          <w:color w:val="000000"/>
          <w:sz w:val="24"/>
          <w:szCs w:val="24"/>
        </w:rPr>
        <w:t xml:space="preserve"> 2</w:t>
      </w:r>
      <w:r>
        <w:rPr>
          <w:rFonts w:ascii="Times New Roman" w:eastAsia="Times New Roman" w:hAnsi="Times New Roman" w:cs="Times New Roman"/>
          <w:b/>
          <w:color w:val="000000"/>
          <w:sz w:val="24"/>
          <w:szCs w:val="24"/>
        </w:rPr>
        <w:t>: Instruments for Measuring Crop Canopy Air Temperature Difference (CCATD) and Canopy Temperature Depression (CTD)</w:t>
      </w:r>
    </w:p>
    <w:p w14:paraId="75392F94" w14:textId="77777777" w:rsidR="004D77C3" w:rsidRDefault="004D77C3">
      <w:pPr>
        <w:spacing w:after="0" w:line="360" w:lineRule="auto"/>
        <w:jc w:val="both"/>
        <w:rPr>
          <w:rFonts w:ascii="Times New Roman" w:eastAsia="Times New Roman" w:hAnsi="Times New Roman" w:cs="Times New Roman"/>
          <w:b/>
          <w:color w:val="000000"/>
          <w:sz w:val="24"/>
          <w:szCs w:val="24"/>
        </w:rPr>
      </w:pPr>
    </w:p>
    <w:p w14:paraId="2DE34192" w14:textId="77777777" w:rsidR="004D77C3" w:rsidRDefault="004D77C3">
      <w:pPr>
        <w:spacing w:after="0" w:line="360" w:lineRule="auto"/>
        <w:jc w:val="both"/>
        <w:rPr>
          <w:rFonts w:ascii="Times New Roman" w:eastAsia="Times New Roman" w:hAnsi="Times New Roman" w:cs="Times New Roman"/>
          <w:b/>
          <w:color w:val="000000"/>
          <w:sz w:val="24"/>
          <w:szCs w:val="24"/>
        </w:rPr>
      </w:pPr>
    </w:p>
    <w:p w14:paraId="02573ACF" w14:textId="77777777" w:rsidR="004D77C3" w:rsidRDefault="00B2595A">
      <w:pPr>
        <w:pStyle w:val="Heading4"/>
        <w:spacing w:after="0" w:line="360" w:lineRule="auto"/>
        <w:jc w:val="both"/>
        <w:rPr>
          <w:color w:val="000000"/>
        </w:rPr>
      </w:pPr>
      <w:r>
        <w:rPr>
          <w:color w:val="000000"/>
        </w:rPr>
        <w:lastRenderedPageBreak/>
        <w:t>6. Weather Stations with Air Temperature Sensors</w:t>
      </w:r>
    </w:p>
    <w:p w14:paraId="6777D696" w14:textId="77777777" w:rsidR="004D77C3" w:rsidRDefault="00B2595A">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For CCATD and CTD calculations, accurate air temperature (Ta) is essential. Automated weather stations (AWS) equipped with high-precision air temperature sensors provide real-time data on ambient conditions. These stations are often used alongside IRTs, UAVs, and satellite measurements to enhance temperature-based stress monitoring </w:t>
      </w:r>
      <w:r>
        <w:rPr>
          <w:rFonts w:ascii="Times New Roman" w:eastAsia="Times New Roman" w:hAnsi="Times New Roman" w:cs="Times New Roman"/>
          <w:b/>
          <w:color w:val="000000"/>
          <w:sz w:val="24"/>
          <w:szCs w:val="24"/>
        </w:rPr>
        <w:t xml:space="preserve">(Anderson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1997).</w:t>
      </w:r>
    </w:p>
    <w:p w14:paraId="7B702BF5" w14:textId="77777777" w:rsidR="004D77C3" w:rsidRDefault="00B2595A">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Factors Affecting Crop Canopy Air Temperature Difference (CCATD) and Canopy Temperature Depression (CTD)</w:t>
      </w:r>
    </w:p>
    <w:p w14:paraId="19534354" w14:textId="77777777" w:rsidR="004D77C3" w:rsidRDefault="00B2595A">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Several environmental, physiological, and agronomic factors influence CCATD and CTD, affecting their accuracy and reliability as indicators of plant water status and stress responses. Understanding these factors is essential for interpreting crop temperature variations and optimizing water management, breeding strategies, and precision agriculture applications.</w:t>
      </w:r>
    </w:p>
    <w:p w14:paraId="2A4AA198" w14:textId="77777777" w:rsidR="004D77C3" w:rsidRDefault="00B2595A">
      <w:pPr>
        <w:pStyle w:val="Heading4"/>
        <w:spacing w:after="240" w:line="360" w:lineRule="auto"/>
        <w:jc w:val="both"/>
        <w:rPr>
          <w:b w:val="0"/>
          <w:color w:val="000000"/>
        </w:rPr>
      </w:pPr>
      <w:r>
        <w:rPr>
          <w:color w:val="000000"/>
        </w:rPr>
        <w:t>Environmental Factors</w:t>
      </w:r>
    </w:p>
    <w:p w14:paraId="0C2600EA" w14:textId="77777777" w:rsidR="004D77C3" w:rsidRDefault="00B2595A">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 xml:space="preserve">Ambient Air Temperature: </w:t>
      </w:r>
      <w:r>
        <w:rPr>
          <w:rFonts w:ascii="Times New Roman" w:eastAsia="Times New Roman" w:hAnsi="Times New Roman" w:cs="Times New Roman"/>
          <w:color w:val="000000"/>
          <w:sz w:val="24"/>
          <w:szCs w:val="24"/>
        </w:rPr>
        <w:t xml:space="preserve"> Air temperature significantly affects both CCATD and CTD. When air temperature rises, CCATD tends to increase, especially under water stress conditions where transpiration is restricted. </w:t>
      </w:r>
    </w:p>
    <w:p w14:paraId="28FDC96E" w14:textId="77777777" w:rsidR="004D77C3" w:rsidRDefault="00B2595A">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Solar Radiation:</w:t>
      </w:r>
      <w:r>
        <w:rPr>
          <w:rFonts w:ascii="Times New Roman" w:eastAsia="Times New Roman" w:hAnsi="Times New Roman" w:cs="Times New Roman"/>
          <w:color w:val="000000"/>
          <w:sz w:val="24"/>
          <w:szCs w:val="24"/>
        </w:rPr>
        <w:t xml:space="preserve"> Solar radiation also affects canopy temperature; under high radiation, CCATD increases if transpiration is insufficient, whereas a well-watered plant may exhibit a high CTD due to effective cooling through transpiration.</w:t>
      </w:r>
    </w:p>
    <w:p w14:paraId="2B25522F" w14:textId="77777777" w:rsidR="004D77C3" w:rsidRDefault="00B2595A">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Relative Humidity (RH) and Vapor Pressure Deficit (VPD):</w:t>
      </w:r>
      <w:r>
        <w:rPr>
          <w:rFonts w:ascii="Times New Roman" w:eastAsia="Times New Roman" w:hAnsi="Times New Roman" w:cs="Times New Roman"/>
          <w:color w:val="000000"/>
          <w:sz w:val="24"/>
          <w:szCs w:val="24"/>
        </w:rPr>
        <w:t xml:space="preserve"> These factors directly influence the evaporative demand of the atmosphere. When RH is low and VPD is high, transpiration increases if soil moisture is available, resulting in a lower CCATD and higher CTD. However, under drought conditions, high VPD can cause stomatal closure, leading to increased CCATD and reduced CTD.</w:t>
      </w:r>
    </w:p>
    <w:p w14:paraId="51CEAB04" w14:textId="77777777" w:rsidR="004D77C3" w:rsidRDefault="00B2595A">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Wind Speed:</w:t>
      </w:r>
      <w:r>
        <w:rPr>
          <w:rFonts w:ascii="Times New Roman" w:eastAsia="Times New Roman" w:hAnsi="Times New Roman" w:cs="Times New Roman"/>
          <w:color w:val="000000"/>
          <w:sz w:val="24"/>
          <w:szCs w:val="24"/>
        </w:rPr>
        <w:t xml:space="preserve"> It further affects canopy temperature by promoting heat dissipation; stronger winds generally reduce CCATD and increase CTD by enhancing transpiration.</w:t>
      </w:r>
    </w:p>
    <w:p w14:paraId="00839F69" w14:textId="77777777" w:rsidR="004D77C3" w:rsidRDefault="00B2595A">
      <w:pPr>
        <w:numPr>
          <w:ilvl w:val="0"/>
          <w:numId w:val="1"/>
        </w:numPr>
        <w:pBdr>
          <w:top w:val="nil"/>
          <w:left w:val="nil"/>
          <w:bottom w:val="nil"/>
          <w:right w:val="nil"/>
          <w:between w:val="nil"/>
        </w:pBdr>
        <w:spacing w:after="240" w:line="360" w:lineRule="auto"/>
        <w:jc w:val="both"/>
        <w:rPr>
          <w:color w:val="000000"/>
          <w:sz w:val="24"/>
          <w:szCs w:val="24"/>
        </w:rPr>
      </w:pPr>
      <w:r>
        <w:rPr>
          <w:rFonts w:ascii="Times New Roman" w:eastAsia="Times New Roman" w:hAnsi="Times New Roman" w:cs="Times New Roman"/>
          <w:b/>
          <w:color w:val="000000"/>
          <w:sz w:val="24"/>
          <w:szCs w:val="24"/>
        </w:rPr>
        <w:t>Soil Moisture Availability:</w:t>
      </w:r>
      <w:r>
        <w:rPr>
          <w:rFonts w:ascii="Times New Roman" w:eastAsia="Times New Roman" w:hAnsi="Times New Roman" w:cs="Times New Roman"/>
          <w:color w:val="000000"/>
          <w:sz w:val="24"/>
          <w:szCs w:val="24"/>
        </w:rPr>
        <w:t xml:space="preserve"> It is another critical factor, as plants experiencing drought have reduced transpiration rates, which leads to a higher CCATD and a lower CTD.</w:t>
      </w:r>
    </w:p>
    <w:p w14:paraId="54872249" w14:textId="77777777" w:rsidR="004D77C3" w:rsidRDefault="004D77C3">
      <w:pPr>
        <w:pBdr>
          <w:top w:val="nil"/>
          <w:left w:val="nil"/>
          <w:bottom w:val="nil"/>
          <w:right w:val="nil"/>
          <w:between w:val="nil"/>
        </w:pBdr>
        <w:spacing w:after="240" w:line="360" w:lineRule="auto"/>
        <w:ind w:left="720"/>
        <w:jc w:val="both"/>
        <w:rPr>
          <w:rFonts w:ascii="Times New Roman" w:eastAsia="Times New Roman" w:hAnsi="Times New Roman" w:cs="Times New Roman"/>
          <w:color w:val="000000"/>
          <w:sz w:val="24"/>
          <w:szCs w:val="24"/>
        </w:rPr>
      </w:pPr>
    </w:p>
    <w:p w14:paraId="5F3B2BA0"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Table 3:   Instruments for Measuring Crop Canopy Air Temperature Difference (CCATD) and Canopy Temperature Depression (CTD) their Advantages and Limitations</w:t>
      </w:r>
    </w:p>
    <w:tbl>
      <w:tblPr>
        <w:tblStyle w:val="a2"/>
        <w:tblW w:w="9889"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9"/>
        <w:gridCol w:w="2107"/>
        <w:gridCol w:w="1559"/>
        <w:gridCol w:w="1417"/>
        <w:gridCol w:w="1560"/>
        <w:gridCol w:w="1417"/>
      </w:tblGrid>
      <w:tr w:rsidR="004D77C3" w14:paraId="5E472015" w14:textId="77777777">
        <w:tc>
          <w:tcPr>
            <w:tcW w:w="1829" w:type="dxa"/>
          </w:tcPr>
          <w:p w14:paraId="7C058E03" w14:textId="77777777" w:rsidR="004D77C3" w:rsidRDefault="00B2595A">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Instrument</w:t>
            </w:r>
          </w:p>
        </w:tc>
        <w:tc>
          <w:tcPr>
            <w:tcW w:w="2107" w:type="dxa"/>
          </w:tcPr>
          <w:p w14:paraId="7C25F0B6" w14:textId="77777777" w:rsidR="004D77C3" w:rsidRDefault="00B2595A">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Description</w:t>
            </w:r>
          </w:p>
        </w:tc>
        <w:tc>
          <w:tcPr>
            <w:tcW w:w="1559" w:type="dxa"/>
          </w:tcPr>
          <w:p w14:paraId="56907E69" w14:textId="77777777" w:rsidR="004D77C3" w:rsidRDefault="00B2595A">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Application</w:t>
            </w:r>
          </w:p>
        </w:tc>
        <w:tc>
          <w:tcPr>
            <w:tcW w:w="1417" w:type="dxa"/>
          </w:tcPr>
          <w:p w14:paraId="004E6B93" w14:textId="77777777" w:rsidR="004D77C3" w:rsidRDefault="00B2595A">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Advantages</w:t>
            </w:r>
          </w:p>
        </w:tc>
        <w:tc>
          <w:tcPr>
            <w:tcW w:w="1560" w:type="dxa"/>
          </w:tcPr>
          <w:p w14:paraId="5B818951" w14:textId="77777777" w:rsidR="004D77C3" w:rsidRDefault="00B2595A">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Limitations</w:t>
            </w:r>
          </w:p>
        </w:tc>
        <w:tc>
          <w:tcPr>
            <w:tcW w:w="1417" w:type="dxa"/>
          </w:tcPr>
          <w:p w14:paraId="137DDAFF" w14:textId="77777777" w:rsidR="004D77C3" w:rsidRDefault="00B2595A">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w:t>
            </w:r>
          </w:p>
        </w:tc>
      </w:tr>
      <w:tr w:rsidR="004D77C3" w14:paraId="45313BB6" w14:textId="77777777">
        <w:tc>
          <w:tcPr>
            <w:tcW w:w="1829" w:type="dxa"/>
          </w:tcPr>
          <w:p w14:paraId="69A6AF5A"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Infrared Thermometer (IRT)</w:t>
            </w:r>
          </w:p>
        </w:tc>
        <w:tc>
          <w:tcPr>
            <w:tcW w:w="2107" w:type="dxa"/>
          </w:tcPr>
          <w:p w14:paraId="3AA1F4D9"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Handheld device measuring thermal radiation from the canopy</w:t>
            </w:r>
          </w:p>
        </w:tc>
        <w:tc>
          <w:tcPr>
            <w:tcW w:w="1559" w:type="dxa"/>
          </w:tcPr>
          <w:p w14:paraId="723B0AE9"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Point-based measurements in small-scale studies</w:t>
            </w:r>
          </w:p>
        </w:tc>
        <w:tc>
          <w:tcPr>
            <w:tcW w:w="1417" w:type="dxa"/>
          </w:tcPr>
          <w:p w14:paraId="5E1E83EE"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Quick, portable, and easy to use</w:t>
            </w:r>
          </w:p>
        </w:tc>
        <w:tc>
          <w:tcPr>
            <w:tcW w:w="1560" w:type="dxa"/>
          </w:tcPr>
          <w:p w14:paraId="53B821E5"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Affected by operator handling and sun angle</w:t>
            </w:r>
          </w:p>
        </w:tc>
        <w:tc>
          <w:tcPr>
            <w:tcW w:w="1417" w:type="dxa"/>
          </w:tcPr>
          <w:p w14:paraId="59F91F43" w14:textId="77777777" w:rsidR="004D77C3" w:rsidRDefault="00B2595A">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Jackson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1981</w:t>
            </w:r>
          </w:p>
        </w:tc>
      </w:tr>
      <w:tr w:rsidR="004D77C3" w14:paraId="7DD6AB1B" w14:textId="77777777">
        <w:tc>
          <w:tcPr>
            <w:tcW w:w="1829" w:type="dxa"/>
          </w:tcPr>
          <w:p w14:paraId="0CCC7DF3"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Infrared Thermal Camera</w:t>
            </w:r>
          </w:p>
        </w:tc>
        <w:tc>
          <w:tcPr>
            <w:tcW w:w="2107" w:type="dxa"/>
          </w:tcPr>
          <w:p w14:paraId="1C089C09"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Captures thermal images of the crop canopy</w:t>
            </w:r>
          </w:p>
        </w:tc>
        <w:tc>
          <w:tcPr>
            <w:tcW w:w="1559" w:type="dxa"/>
          </w:tcPr>
          <w:p w14:paraId="1156C70F"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Large-scale temperature mapping</w:t>
            </w:r>
          </w:p>
        </w:tc>
        <w:tc>
          <w:tcPr>
            <w:tcW w:w="1417" w:type="dxa"/>
          </w:tcPr>
          <w:p w14:paraId="491F505B"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Provides spatial distribution of canopy temperature</w:t>
            </w:r>
          </w:p>
        </w:tc>
        <w:tc>
          <w:tcPr>
            <w:tcW w:w="1560" w:type="dxa"/>
          </w:tcPr>
          <w:p w14:paraId="515A9EF4"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Requires calibration and post-processing</w:t>
            </w:r>
          </w:p>
        </w:tc>
        <w:tc>
          <w:tcPr>
            <w:tcW w:w="1417" w:type="dxa"/>
          </w:tcPr>
          <w:p w14:paraId="1C90E610" w14:textId="77777777" w:rsidR="004D77C3" w:rsidRDefault="00B2595A">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Jones, 2004</w:t>
            </w:r>
          </w:p>
        </w:tc>
      </w:tr>
      <w:tr w:rsidR="004D77C3" w14:paraId="27D959B5" w14:textId="77777777">
        <w:tc>
          <w:tcPr>
            <w:tcW w:w="1829" w:type="dxa"/>
          </w:tcPr>
          <w:p w14:paraId="2F6F2CF6"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Canopy Temperature Sensors (Fixed/Wireless)</w:t>
            </w:r>
          </w:p>
        </w:tc>
        <w:tc>
          <w:tcPr>
            <w:tcW w:w="2107" w:type="dxa"/>
          </w:tcPr>
          <w:p w14:paraId="571CA079"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Fixed or wireless sensors placed in the field for continuous monitoring</w:t>
            </w:r>
          </w:p>
        </w:tc>
        <w:tc>
          <w:tcPr>
            <w:tcW w:w="1559" w:type="dxa"/>
          </w:tcPr>
          <w:p w14:paraId="00452A43"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Automated irrigation and stress monitoring</w:t>
            </w:r>
          </w:p>
        </w:tc>
        <w:tc>
          <w:tcPr>
            <w:tcW w:w="1417" w:type="dxa"/>
          </w:tcPr>
          <w:p w14:paraId="7872F9D1"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Provides real-time data, minimizes human error</w:t>
            </w:r>
          </w:p>
        </w:tc>
        <w:tc>
          <w:tcPr>
            <w:tcW w:w="1560" w:type="dxa"/>
          </w:tcPr>
          <w:p w14:paraId="6DE6D0F1"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Installation and maintenance costs</w:t>
            </w:r>
          </w:p>
        </w:tc>
        <w:tc>
          <w:tcPr>
            <w:tcW w:w="1417" w:type="dxa"/>
          </w:tcPr>
          <w:p w14:paraId="4AEAAC1B" w14:textId="77777777" w:rsidR="004D77C3" w:rsidRDefault="00B2595A">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Gutiérrez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2013; Ortiz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2018</w:t>
            </w:r>
          </w:p>
        </w:tc>
      </w:tr>
      <w:tr w:rsidR="004D77C3" w14:paraId="0869D041" w14:textId="77777777">
        <w:tc>
          <w:tcPr>
            <w:tcW w:w="1829" w:type="dxa"/>
          </w:tcPr>
          <w:p w14:paraId="58533CAF"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UAVs (Drones) with Thermal Sensors</w:t>
            </w:r>
          </w:p>
        </w:tc>
        <w:tc>
          <w:tcPr>
            <w:tcW w:w="2107" w:type="dxa"/>
          </w:tcPr>
          <w:p w14:paraId="0C4BEDCE"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Drones equipped with thermal imaging cameras</w:t>
            </w:r>
          </w:p>
        </w:tc>
        <w:tc>
          <w:tcPr>
            <w:tcW w:w="1559" w:type="dxa"/>
          </w:tcPr>
          <w:p w14:paraId="57EE9E59"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Precision agriculture, drought stress assessment</w:t>
            </w:r>
          </w:p>
        </w:tc>
        <w:tc>
          <w:tcPr>
            <w:tcW w:w="1417" w:type="dxa"/>
          </w:tcPr>
          <w:p w14:paraId="783DA41B"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High-resolution, large-area coverage</w:t>
            </w:r>
          </w:p>
        </w:tc>
        <w:tc>
          <w:tcPr>
            <w:tcW w:w="1560" w:type="dxa"/>
          </w:tcPr>
          <w:p w14:paraId="6FCD8F99"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Expensive, requires expertise for data analysis</w:t>
            </w:r>
          </w:p>
        </w:tc>
        <w:tc>
          <w:tcPr>
            <w:tcW w:w="1417" w:type="dxa"/>
          </w:tcPr>
          <w:p w14:paraId="3C0AE116" w14:textId="77777777" w:rsidR="004D77C3" w:rsidRDefault="00B2595A">
            <w:pPr>
              <w:spacing w:line="360" w:lineRule="auto"/>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Ludovis</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2017; </w:t>
            </w:r>
            <w:proofErr w:type="spellStart"/>
            <w:r>
              <w:rPr>
                <w:rFonts w:ascii="Times New Roman" w:eastAsia="Times New Roman" w:hAnsi="Times New Roman" w:cs="Times New Roman"/>
                <w:b/>
                <w:color w:val="000000"/>
                <w:sz w:val="24"/>
                <w:szCs w:val="24"/>
              </w:rPr>
              <w:t>Impollonia</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2022</w:t>
            </w:r>
          </w:p>
        </w:tc>
      </w:tr>
      <w:tr w:rsidR="004D77C3" w14:paraId="763668D6" w14:textId="77777777">
        <w:tc>
          <w:tcPr>
            <w:tcW w:w="1829" w:type="dxa"/>
          </w:tcPr>
          <w:p w14:paraId="5E66F71F"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Satellite-Based Thermal Remote Sensing</w:t>
            </w:r>
          </w:p>
        </w:tc>
        <w:tc>
          <w:tcPr>
            <w:tcW w:w="2107" w:type="dxa"/>
          </w:tcPr>
          <w:p w14:paraId="2F23523B"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Thermal imaging from satellites like Landsat-8, MODIS</w:t>
            </w:r>
          </w:p>
        </w:tc>
        <w:tc>
          <w:tcPr>
            <w:tcW w:w="1559" w:type="dxa"/>
          </w:tcPr>
          <w:p w14:paraId="79165F79"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Regional/global-scale drought and stress monitoring</w:t>
            </w:r>
          </w:p>
        </w:tc>
        <w:tc>
          <w:tcPr>
            <w:tcW w:w="1417" w:type="dxa"/>
          </w:tcPr>
          <w:p w14:paraId="6A598E14"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Covers vast areas, useful for long-term trends</w:t>
            </w:r>
          </w:p>
        </w:tc>
        <w:tc>
          <w:tcPr>
            <w:tcW w:w="1560" w:type="dxa"/>
          </w:tcPr>
          <w:p w14:paraId="08AC8F7A"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Lower spatial resolution, affected by cloud cover</w:t>
            </w:r>
          </w:p>
        </w:tc>
        <w:tc>
          <w:tcPr>
            <w:tcW w:w="1417" w:type="dxa"/>
          </w:tcPr>
          <w:p w14:paraId="5F08F89C" w14:textId="77777777" w:rsidR="004D77C3" w:rsidRDefault="00B2595A">
            <w:pPr>
              <w:spacing w:line="360" w:lineRule="auto"/>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Neinavaz</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2021</w:t>
            </w:r>
          </w:p>
        </w:tc>
      </w:tr>
      <w:tr w:rsidR="004D77C3" w14:paraId="6C9AAA3C" w14:textId="77777777">
        <w:tc>
          <w:tcPr>
            <w:tcW w:w="1829" w:type="dxa"/>
          </w:tcPr>
          <w:p w14:paraId="2060D6BA"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Weather Stations (Air Temperature Sensors)</w:t>
            </w:r>
          </w:p>
        </w:tc>
        <w:tc>
          <w:tcPr>
            <w:tcW w:w="2107" w:type="dxa"/>
          </w:tcPr>
          <w:p w14:paraId="3E1A5026"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Provides real-time air temperature data</w:t>
            </w:r>
          </w:p>
        </w:tc>
        <w:tc>
          <w:tcPr>
            <w:tcW w:w="1559" w:type="dxa"/>
          </w:tcPr>
          <w:p w14:paraId="12818C96"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Essential for CCATD and CTD calculations</w:t>
            </w:r>
          </w:p>
        </w:tc>
        <w:tc>
          <w:tcPr>
            <w:tcW w:w="1417" w:type="dxa"/>
          </w:tcPr>
          <w:p w14:paraId="0EFB149C"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Continuous monitoring of ambient conditions</w:t>
            </w:r>
          </w:p>
        </w:tc>
        <w:tc>
          <w:tcPr>
            <w:tcW w:w="1560" w:type="dxa"/>
          </w:tcPr>
          <w:p w14:paraId="51526E67"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May not capture localized canopy microclimate</w:t>
            </w:r>
          </w:p>
        </w:tc>
        <w:tc>
          <w:tcPr>
            <w:tcW w:w="1417" w:type="dxa"/>
          </w:tcPr>
          <w:p w14:paraId="62623511" w14:textId="77777777" w:rsidR="004D77C3" w:rsidRDefault="00B2595A">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Jackson </w:t>
            </w:r>
            <w:r>
              <w:rPr>
                <w:rFonts w:ascii="Times New Roman" w:eastAsia="Times New Roman" w:hAnsi="Times New Roman" w:cs="Times New Roman"/>
                <w:b/>
                <w:i/>
                <w:color w:val="000000"/>
                <w:sz w:val="24"/>
                <w:szCs w:val="24"/>
              </w:rPr>
              <w:t xml:space="preserve">et al., </w:t>
            </w:r>
            <w:r>
              <w:rPr>
                <w:rFonts w:ascii="Times New Roman" w:eastAsia="Times New Roman" w:hAnsi="Times New Roman" w:cs="Times New Roman"/>
                <w:b/>
                <w:color w:val="000000"/>
                <w:sz w:val="24"/>
                <w:szCs w:val="24"/>
              </w:rPr>
              <w:t>1981</w:t>
            </w:r>
          </w:p>
        </w:tc>
      </w:tr>
    </w:tbl>
    <w:p w14:paraId="0481B091" w14:textId="77777777" w:rsidR="004D77C3" w:rsidRDefault="004D77C3">
      <w:pPr>
        <w:pStyle w:val="Heading4"/>
        <w:spacing w:before="280" w:after="240" w:line="360" w:lineRule="auto"/>
        <w:jc w:val="both"/>
        <w:rPr>
          <w:color w:val="000000"/>
        </w:rPr>
      </w:pPr>
    </w:p>
    <w:p w14:paraId="7E5F6C62" w14:textId="77777777" w:rsidR="004D77C3" w:rsidRDefault="00B2595A">
      <w:pPr>
        <w:pStyle w:val="Heading4"/>
        <w:spacing w:before="280" w:after="240" w:line="360" w:lineRule="auto"/>
        <w:jc w:val="both"/>
        <w:rPr>
          <w:b w:val="0"/>
          <w:color w:val="000000"/>
        </w:rPr>
      </w:pPr>
      <w:r>
        <w:rPr>
          <w:color w:val="000000"/>
        </w:rPr>
        <w:lastRenderedPageBreak/>
        <w:t>Physiological Factors</w:t>
      </w:r>
    </w:p>
    <w:p w14:paraId="2DCDF745" w14:textId="77777777" w:rsidR="004D77C3" w:rsidRDefault="00B2595A">
      <w:pPr>
        <w:numPr>
          <w:ilvl w:val="0"/>
          <w:numId w:val="2"/>
        </w:numPr>
        <w:pBdr>
          <w:top w:val="nil"/>
          <w:left w:val="nil"/>
          <w:bottom w:val="nil"/>
          <w:right w:val="nil"/>
          <w:between w:val="nil"/>
        </w:pBdr>
        <w:spacing w:before="280" w:after="0" w:line="360" w:lineRule="auto"/>
        <w:jc w:val="both"/>
        <w:rPr>
          <w:color w:val="000000"/>
        </w:rPr>
      </w:pPr>
      <w:r>
        <w:rPr>
          <w:rFonts w:ascii="Times New Roman" w:eastAsia="Times New Roman" w:hAnsi="Times New Roman" w:cs="Times New Roman"/>
          <w:b/>
          <w:color w:val="000000"/>
          <w:sz w:val="24"/>
          <w:szCs w:val="24"/>
        </w:rPr>
        <w:t>Stomatal Conductance:</w:t>
      </w:r>
      <w:r>
        <w:rPr>
          <w:rFonts w:ascii="Times New Roman" w:eastAsia="Times New Roman" w:hAnsi="Times New Roman" w:cs="Times New Roman"/>
          <w:color w:val="000000"/>
          <w:sz w:val="24"/>
          <w:szCs w:val="24"/>
        </w:rPr>
        <w:t xml:space="preserve"> The ability of plants to regulate transpiration through stomatal conductance significantly influences CCATD and CTD. When stomata close due to drought stress, transpiration decreases, leading to an increase in CCATD and a reduction in CTD.</w:t>
      </w:r>
    </w:p>
    <w:p w14:paraId="5193DBB8" w14:textId="77777777" w:rsidR="004D77C3" w:rsidRDefault="00B2595A">
      <w:pPr>
        <w:numPr>
          <w:ilvl w:val="0"/>
          <w:numId w:val="2"/>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b/>
          <w:color w:val="000000"/>
          <w:sz w:val="24"/>
          <w:szCs w:val="24"/>
        </w:rPr>
        <w:t>Leaf Area Index (LAI):</w:t>
      </w:r>
      <w:r>
        <w:rPr>
          <w:rFonts w:ascii="Times New Roman" w:eastAsia="Times New Roman" w:hAnsi="Times New Roman" w:cs="Times New Roman"/>
          <w:color w:val="000000"/>
          <w:sz w:val="24"/>
          <w:szCs w:val="24"/>
        </w:rPr>
        <w:t xml:space="preserve"> LAI affects canopy temperature; a higher LAI increases shading, which helps reduce CCATD and enhances CTD by maintaining a cooler canopy.</w:t>
      </w:r>
    </w:p>
    <w:p w14:paraId="306110E4" w14:textId="77777777" w:rsidR="004D77C3" w:rsidRDefault="00B2595A">
      <w:pPr>
        <w:numPr>
          <w:ilvl w:val="0"/>
          <w:numId w:val="2"/>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b/>
          <w:color w:val="000000"/>
          <w:sz w:val="24"/>
          <w:szCs w:val="24"/>
        </w:rPr>
        <w:t>Crop Growth Stage:</w:t>
      </w:r>
      <w:r>
        <w:rPr>
          <w:rFonts w:ascii="Times New Roman" w:eastAsia="Times New Roman" w:hAnsi="Times New Roman" w:cs="Times New Roman"/>
          <w:color w:val="000000"/>
          <w:sz w:val="24"/>
          <w:szCs w:val="24"/>
        </w:rPr>
        <w:t xml:space="preserve"> The stage of crop development also determines transpiration efficiency and temperature regulation. Young plants with limited foliage tend to have higher CCATD due to lower transpiration rates, while mature crops with a fully developed canopy exhibit higher CTD due to their increased ability to regulate temperature through transpiration.</w:t>
      </w:r>
    </w:p>
    <w:p w14:paraId="16D1B5A6" w14:textId="77777777" w:rsidR="004D77C3" w:rsidRDefault="00B2595A">
      <w:pPr>
        <w:numPr>
          <w:ilvl w:val="0"/>
          <w:numId w:val="2"/>
        </w:numPr>
        <w:spacing w:after="0" w:line="360" w:lineRule="auto"/>
        <w:jc w:val="both"/>
        <w:rPr>
          <w:color w:val="000000"/>
          <w:sz w:val="24"/>
          <w:szCs w:val="24"/>
        </w:rPr>
      </w:pPr>
      <w:r>
        <w:rPr>
          <w:rFonts w:ascii="Times New Roman" w:eastAsia="Times New Roman" w:hAnsi="Times New Roman" w:cs="Times New Roman"/>
          <w:b/>
          <w:color w:val="000000"/>
          <w:sz w:val="24"/>
          <w:szCs w:val="24"/>
        </w:rPr>
        <w:t>Genotypic Variability:</w:t>
      </w:r>
      <w:r>
        <w:rPr>
          <w:rFonts w:ascii="Times New Roman" w:eastAsia="Times New Roman" w:hAnsi="Times New Roman" w:cs="Times New Roman"/>
          <w:color w:val="000000"/>
          <w:sz w:val="24"/>
          <w:szCs w:val="24"/>
        </w:rPr>
        <w:t xml:space="preserve"> Drought-sensitive cultivars often exhibit higher CCATD due to poor transpiration control, whereas drought-tolerant genotypes maintain a higher CTD under stress conditions by sustaining transpiration and cooling mechanisms.</w:t>
      </w:r>
    </w:p>
    <w:p w14:paraId="06326B56" w14:textId="77777777" w:rsidR="004D77C3" w:rsidRDefault="00B2595A">
      <w:pPr>
        <w:pStyle w:val="Heading4"/>
        <w:spacing w:after="0" w:line="360" w:lineRule="auto"/>
        <w:jc w:val="both"/>
        <w:rPr>
          <w:b w:val="0"/>
          <w:color w:val="000000"/>
        </w:rPr>
      </w:pPr>
      <w:r>
        <w:rPr>
          <w:color w:val="000000"/>
        </w:rPr>
        <w:t>Agronomic and Management Factors</w:t>
      </w:r>
    </w:p>
    <w:p w14:paraId="574C8766" w14:textId="77777777" w:rsidR="004D77C3" w:rsidRDefault="00B2595A">
      <w:pPr>
        <w:numPr>
          <w:ilvl w:val="0"/>
          <w:numId w:val="3"/>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b/>
          <w:color w:val="000000"/>
          <w:sz w:val="24"/>
          <w:szCs w:val="24"/>
        </w:rPr>
        <w:t>Irrigation Practices:</w:t>
      </w:r>
      <w:r>
        <w:rPr>
          <w:rFonts w:ascii="Times New Roman" w:eastAsia="Times New Roman" w:hAnsi="Times New Roman" w:cs="Times New Roman"/>
          <w:color w:val="000000"/>
          <w:sz w:val="24"/>
          <w:szCs w:val="24"/>
        </w:rPr>
        <w:t xml:space="preserve"> Irrigation directly influences CCATD and CTD. Insufficient irrigation leads to water stress, increasing CCATD, whereas well-irrigated crops maintain transpiration and cooling, resulting in higher CTD.</w:t>
      </w:r>
    </w:p>
    <w:p w14:paraId="2DF346FF" w14:textId="77777777" w:rsidR="004D77C3" w:rsidRDefault="00B2595A">
      <w:pPr>
        <w:numPr>
          <w:ilvl w:val="0"/>
          <w:numId w:val="3"/>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b/>
          <w:color w:val="000000"/>
          <w:sz w:val="24"/>
          <w:szCs w:val="24"/>
        </w:rPr>
        <w:t>Fertilization:</w:t>
      </w:r>
      <w:r>
        <w:rPr>
          <w:rFonts w:ascii="Times New Roman" w:eastAsia="Times New Roman" w:hAnsi="Times New Roman" w:cs="Times New Roman"/>
          <w:color w:val="000000"/>
          <w:sz w:val="24"/>
          <w:szCs w:val="24"/>
        </w:rPr>
        <w:t xml:space="preserve"> Nutrient availability affects plant </w:t>
      </w:r>
      <w:proofErr w:type="spellStart"/>
      <w:r>
        <w:rPr>
          <w:rFonts w:ascii="Times New Roman" w:eastAsia="Times New Roman" w:hAnsi="Times New Roman" w:cs="Times New Roman"/>
          <w:color w:val="000000"/>
          <w:sz w:val="24"/>
          <w:szCs w:val="24"/>
        </w:rPr>
        <w:t>vigor</w:t>
      </w:r>
      <w:proofErr w:type="spellEnd"/>
      <w:r>
        <w:rPr>
          <w:rFonts w:ascii="Times New Roman" w:eastAsia="Times New Roman" w:hAnsi="Times New Roman" w:cs="Times New Roman"/>
          <w:color w:val="000000"/>
          <w:sz w:val="24"/>
          <w:szCs w:val="24"/>
        </w:rPr>
        <w:t xml:space="preserve"> and stomatal function. Nutrient deficiencies can impair transpiration, leading to increased CCATD, while adequate nutrient supply enhances transpiration efficiency, promoting a higher CTD.</w:t>
      </w:r>
    </w:p>
    <w:p w14:paraId="68F77089" w14:textId="77777777" w:rsidR="004D77C3" w:rsidRDefault="00B2595A">
      <w:pPr>
        <w:numPr>
          <w:ilvl w:val="0"/>
          <w:numId w:val="3"/>
        </w:numPr>
        <w:spacing w:after="0" w:line="360" w:lineRule="auto"/>
        <w:jc w:val="both"/>
        <w:rPr>
          <w:color w:val="000000"/>
          <w:sz w:val="24"/>
          <w:szCs w:val="24"/>
        </w:rPr>
      </w:pPr>
      <w:r>
        <w:rPr>
          <w:rFonts w:ascii="Times New Roman" w:eastAsia="Times New Roman" w:hAnsi="Times New Roman" w:cs="Times New Roman"/>
          <w:b/>
          <w:color w:val="000000"/>
          <w:sz w:val="24"/>
          <w:szCs w:val="24"/>
        </w:rPr>
        <w:t>Mulching:</w:t>
      </w:r>
      <w:r>
        <w:rPr>
          <w:rFonts w:ascii="Times New Roman" w:eastAsia="Times New Roman" w:hAnsi="Times New Roman" w:cs="Times New Roman"/>
          <w:color w:val="000000"/>
          <w:sz w:val="24"/>
          <w:szCs w:val="24"/>
        </w:rPr>
        <w:t xml:space="preserve"> By conserving soil moisture, mulching helps regulate canopy temperature, reducing CCATD and increasing CTD by sustaining transpiration.</w:t>
      </w:r>
    </w:p>
    <w:p w14:paraId="77A5380B" w14:textId="77777777" w:rsidR="004D77C3" w:rsidRDefault="00B2595A">
      <w:pPr>
        <w:numPr>
          <w:ilvl w:val="0"/>
          <w:numId w:val="3"/>
        </w:numPr>
        <w:spacing w:after="240" w:line="360" w:lineRule="auto"/>
        <w:jc w:val="both"/>
        <w:rPr>
          <w:color w:val="000000"/>
          <w:sz w:val="24"/>
          <w:szCs w:val="24"/>
        </w:rPr>
      </w:pPr>
      <w:r>
        <w:rPr>
          <w:rFonts w:ascii="Times New Roman" w:eastAsia="Times New Roman" w:hAnsi="Times New Roman" w:cs="Times New Roman"/>
          <w:b/>
          <w:color w:val="000000"/>
          <w:sz w:val="24"/>
          <w:szCs w:val="24"/>
        </w:rPr>
        <w:t>Plant Density:</w:t>
      </w:r>
      <w:r>
        <w:rPr>
          <w:rFonts w:ascii="Times New Roman" w:eastAsia="Times New Roman" w:hAnsi="Times New Roman" w:cs="Times New Roman"/>
          <w:color w:val="000000"/>
          <w:sz w:val="24"/>
          <w:szCs w:val="24"/>
        </w:rPr>
        <w:t xml:space="preserve"> Higher plant density influences the canopy microclimate by increasing shading, which lowers CCATD and enhances CTD by creating a cooler and more humid environment.</w:t>
      </w:r>
    </w:p>
    <w:p w14:paraId="1863FD01" w14:textId="77777777" w:rsidR="004D77C3" w:rsidRDefault="00B2595A">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Harnessing CCATD and CTD for Climate-Resilient Agriculture</w:t>
      </w:r>
    </w:p>
    <w:p w14:paraId="4EEDBE58" w14:textId="77777777" w:rsidR="004D77C3" w:rsidRDefault="00B2595A">
      <w:pPr>
        <w:spacing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Climate change poses significant threats to global food security by increasing the frequency of droughts, heatwaves, and unpredictable weather patterns. Crop Canopy Air </w:t>
      </w:r>
      <w:r>
        <w:rPr>
          <w:rFonts w:ascii="Times New Roman" w:eastAsia="Times New Roman" w:hAnsi="Times New Roman" w:cs="Times New Roman"/>
          <w:color w:val="000000"/>
          <w:sz w:val="24"/>
          <w:szCs w:val="24"/>
        </w:rPr>
        <w:lastRenderedPageBreak/>
        <w:t>Temperature Difference (CCATD) and Canopy Temperature Depression (CTD) are essential physiological indicators that aid in monitoring and mitigating these impacts on crop production. Their applications in drought adaptation, heat stress management,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water-use efficiency, and precision agriculture make them valuable tools for climate-smart farming.</w:t>
      </w:r>
    </w:p>
    <w:p w14:paraId="11AC0B8A" w14:textId="77777777" w:rsidR="004D77C3" w:rsidRDefault="00B2595A">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Enhancing Drought Resilience</w:t>
      </w:r>
    </w:p>
    <w:p w14:paraId="1043713F"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Early stress detection: </w:t>
      </w:r>
      <w:r>
        <w:rPr>
          <w:rFonts w:ascii="Times New Roman" w:eastAsia="Times New Roman" w:hAnsi="Times New Roman" w:cs="Times New Roman"/>
          <w:color w:val="000000"/>
          <w:sz w:val="24"/>
          <w:szCs w:val="24"/>
        </w:rPr>
        <w:t>CCATD identifies water stress before visible symptoms appear, enabling timely interventions such as irrigation adjustments.</w:t>
      </w:r>
    </w:p>
    <w:p w14:paraId="065C35A3"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Selection of drought-tolerant crops: </w:t>
      </w:r>
      <w:r>
        <w:rPr>
          <w:rFonts w:ascii="Times New Roman" w:eastAsia="Times New Roman" w:hAnsi="Times New Roman" w:cs="Times New Roman"/>
          <w:color w:val="000000"/>
          <w:sz w:val="24"/>
          <w:szCs w:val="24"/>
        </w:rPr>
        <w:t>CTD helps in identifying genotypes with efficient transpiration under heat and drought stress, supporting the development of climate-resilient crop varieties.</w:t>
      </w:r>
    </w:p>
    <w:p w14:paraId="1A826717"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Precision irrigation management: </w:t>
      </w:r>
      <w:r>
        <w:rPr>
          <w:rFonts w:ascii="Times New Roman" w:eastAsia="Times New Roman" w:hAnsi="Times New Roman" w:cs="Times New Roman"/>
          <w:color w:val="000000"/>
          <w:sz w:val="24"/>
          <w:szCs w:val="24"/>
        </w:rPr>
        <w:t>Integrating CCATD and CTD with soil moisture sensors and remote sensing data optimizes water use, promoting sustainable agricultural practices in water-scarce regions.</w:t>
      </w:r>
    </w:p>
    <w:p w14:paraId="17B98BAA" w14:textId="77777777" w:rsidR="004D77C3" w:rsidRDefault="00B2595A">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Heat Stress Management</w:t>
      </w:r>
    </w:p>
    <w:p w14:paraId="442FB5F9"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Monitoring heat stress effects: </w:t>
      </w:r>
      <w:r>
        <w:rPr>
          <w:rFonts w:ascii="Times New Roman" w:eastAsia="Times New Roman" w:hAnsi="Times New Roman" w:cs="Times New Roman"/>
          <w:color w:val="000000"/>
          <w:sz w:val="24"/>
          <w:szCs w:val="24"/>
        </w:rPr>
        <w:t>A high CCATD (warmer canopy than air) indicates poor transpiration and heat stress, pinpointing vulnerable crops.</w:t>
      </w:r>
    </w:p>
    <w:p w14:paraId="7564FAA7"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Genotypic screening for heat tolerance: </w:t>
      </w:r>
      <w:r>
        <w:rPr>
          <w:rFonts w:ascii="Times New Roman" w:eastAsia="Times New Roman" w:hAnsi="Times New Roman" w:cs="Times New Roman"/>
          <w:color w:val="000000"/>
          <w:sz w:val="24"/>
          <w:szCs w:val="24"/>
        </w:rPr>
        <w:t>CTD facilitates the selection of cultivars that maintain canopy cooling under high temperatures, ensuring yield stability despite climate variability.</w:t>
      </w:r>
    </w:p>
    <w:p w14:paraId="3DF0D9C5"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Microclimate modification strategies: </w:t>
      </w:r>
      <w:r>
        <w:rPr>
          <w:rFonts w:ascii="Times New Roman" w:eastAsia="Times New Roman" w:hAnsi="Times New Roman" w:cs="Times New Roman"/>
          <w:color w:val="000000"/>
          <w:sz w:val="24"/>
          <w:szCs w:val="24"/>
        </w:rPr>
        <w:t>CCATD and CTD data support agroforestry, mulching, and shade net applications to mitigate heat stress and improve crop resilience.</w:t>
      </w:r>
    </w:p>
    <w:p w14:paraId="5BDF3335" w14:textId="77777777" w:rsidR="004D77C3" w:rsidRDefault="00B2595A">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Sustainable Water and Resource Management</w:t>
      </w:r>
    </w:p>
    <w:p w14:paraId="1CBC4D86"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Reducing water wastage: </w:t>
      </w:r>
      <w:r>
        <w:rPr>
          <w:rFonts w:ascii="Times New Roman" w:eastAsia="Times New Roman" w:hAnsi="Times New Roman" w:cs="Times New Roman"/>
          <w:color w:val="000000"/>
          <w:sz w:val="24"/>
          <w:szCs w:val="24"/>
        </w:rPr>
        <w:t>CCATD-guided irrigation ensures water is applied only when necessary, conserving groundwater and freshwater resources.</w:t>
      </w:r>
    </w:p>
    <w:p w14:paraId="7EF6DC47"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Improving evapotranspiration models: </w:t>
      </w:r>
      <w:r>
        <w:rPr>
          <w:rFonts w:ascii="Times New Roman" w:eastAsia="Times New Roman" w:hAnsi="Times New Roman" w:cs="Times New Roman"/>
          <w:color w:val="000000"/>
          <w:sz w:val="24"/>
          <w:szCs w:val="24"/>
        </w:rPr>
        <w:t xml:space="preserve">CCATD and CTD enhance evapotranspiration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aiding regional water resource planning.</w:t>
      </w:r>
    </w:p>
    <w:p w14:paraId="5F6D7E63"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Precision nutrient management: </w:t>
      </w:r>
      <w:r>
        <w:rPr>
          <w:rFonts w:ascii="Times New Roman" w:eastAsia="Times New Roman" w:hAnsi="Times New Roman" w:cs="Times New Roman"/>
          <w:color w:val="000000"/>
          <w:sz w:val="24"/>
          <w:szCs w:val="24"/>
        </w:rPr>
        <w:t>Variations in CCATD can indicate nutrient deficiencies, enabling targeted fertilization to maintain soil health while minimizing excessive fertilizer use.</w:t>
      </w:r>
    </w:p>
    <w:p w14:paraId="069679B4" w14:textId="77777777" w:rsidR="004D77C3" w:rsidRDefault="00B2595A">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Integration with Climate-Smart Technologies</w:t>
      </w:r>
    </w:p>
    <w:p w14:paraId="55C7AAC8"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Remote sensing and AI-driven climate prediction: </w:t>
      </w:r>
      <w:r>
        <w:rPr>
          <w:rFonts w:ascii="Times New Roman" w:eastAsia="Times New Roman" w:hAnsi="Times New Roman" w:cs="Times New Roman"/>
          <w:color w:val="000000"/>
          <w:sz w:val="24"/>
          <w:szCs w:val="24"/>
        </w:rPr>
        <w:t xml:space="preserve">Drones and satellites equipped with thermal sensors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CCATD and CTD trends to predict drought and heat stress risks.</w:t>
      </w:r>
    </w:p>
    <w:p w14:paraId="67EFA3EE"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Machine learning for climate adaptation: </w:t>
      </w:r>
      <w:r>
        <w:rPr>
          <w:rFonts w:ascii="Times New Roman" w:eastAsia="Times New Roman" w:hAnsi="Times New Roman" w:cs="Times New Roman"/>
          <w:color w:val="000000"/>
          <w:sz w:val="24"/>
          <w:szCs w:val="24"/>
        </w:rPr>
        <w:t>AI models process CCATD and CTD data alongside climate forecasts to optimize irrigation, nutrient application, and stress management.</w:t>
      </w:r>
    </w:p>
    <w:p w14:paraId="6F70C32A" w14:textId="77777777" w:rsidR="004D77C3" w:rsidRDefault="00B2595A">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IoT-enabled precision farming: </w:t>
      </w:r>
      <w:r>
        <w:rPr>
          <w:rFonts w:ascii="Times New Roman" w:eastAsia="Times New Roman" w:hAnsi="Times New Roman" w:cs="Times New Roman"/>
          <w:color w:val="000000"/>
          <w:sz w:val="24"/>
          <w:szCs w:val="24"/>
        </w:rPr>
        <w:t>Real-time CCATD and CTD monitoring through wireless sensor networks facilitates automated climate adaptation responses.</w:t>
      </w:r>
    </w:p>
    <w:p w14:paraId="53FC1D10" w14:textId="77777777" w:rsidR="004D77C3" w:rsidRDefault="00B2595A">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 Yield Prediction and Carbon Footprint Reduction</w:t>
      </w:r>
    </w:p>
    <w:p w14:paraId="09F3E3EE"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Yield prediction: </w:t>
      </w:r>
      <w:r>
        <w:rPr>
          <w:rFonts w:ascii="Times New Roman" w:eastAsia="Times New Roman" w:hAnsi="Times New Roman" w:cs="Times New Roman"/>
          <w:color w:val="000000"/>
          <w:sz w:val="24"/>
          <w:szCs w:val="24"/>
        </w:rPr>
        <w:t>Canopy temperature variations provide insights into crop yield potential, helping farmers and researchers optimize agronomic strategies.</w:t>
      </w:r>
    </w:p>
    <w:p w14:paraId="6C7BD143"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Minimizing excessive irrigation and fertilizer use: </w:t>
      </w:r>
      <w:r>
        <w:rPr>
          <w:rFonts w:ascii="Times New Roman" w:eastAsia="Times New Roman" w:hAnsi="Times New Roman" w:cs="Times New Roman"/>
          <w:color w:val="000000"/>
          <w:sz w:val="24"/>
          <w:szCs w:val="24"/>
        </w:rPr>
        <w:t>CCATD- and CTD-based precision agriculture reduces unnecessary resource consumption, lowering greenhouse gas emissions.</w:t>
      </w:r>
    </w:p>
    <w:p w14:paraId="6517F332"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Optimizing crop selection and land use: </w:t>
      </w:r>
      <w:r>
        <w:rPr>
          <w:rFonts w:ascii="Times New Roman" w:eastAsia="Times New Roman" w:hAnsi="Times New Roman" w:cs="Times New Roman"/>
          <w:color w:val="000000"/>
          <w:sz w:val="24"/>
          <w:szCs w:val="24"/>
        </w:rPr>
        <w:t>Data-driven selection of drought-tolerant varieties and optimized planting schedules enhance sustainable land use and productivity.</w:t>
      </w:r>
    </w:p>
    <w:p w14:paraId="62D9A8BE" w14:textId="77777777" w:rsidR="004D77C3" w:rsidRDefault="004D77C3">
      <w:pPr>
        <w:spacing w:after="0" w:line="360" w:lineRule="auto"/>
        <w:jc w:val="both"/>
        <w:rPr>
          <w:rFonts w:ascii="Times New Roman" w:eastAsia="Times New Roman" w:hAnsi="Times New Roman" w:cs="Times New Roman"/>
          <w:color w:val="000000"/>
          <w:sz w:val="24"/>
          <w:szCs w:val="24"/>
        </w:rPr>
      </w:pPr>
      <w:bookmarkStart w:id="0" w:name="_gjdgxs" w:colFirst="0" w:colLast="0"/>
      <w:bookmarkEnd w:id="0"/>
    </w:p>
    <w:p w14:paraId="532B6A39" w14:textId="77777777" w:rsidR="004D77C3" w:rsidRDefault="00B2595A">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DISCUSSION</w:t>
      </w:r>
    </w:p>
    <w:p w14:paraId="4396E772" w14:textId="77777777" w:rsidR="004D77C3" w:rsidRDefault="00B2595A">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CCATD and CTD are valuable indicators for assessing plant water status, transpiration efficiency, and stress adaptation in response to environmental changes. CCATD measures the temperature difference between the crop canopy and the surrounding air, serving as an early indicator of water stress. A high CCATD value suggests reduced transpiration due to stomatal closure, commonly triggered by drought. This makes CCATD particularly useful in remote sensing applications, where thermal imaging and satellite-based monitoring enable large-scale crop stress assessment. However, its accuracy can be influenced by environmental factors such as solar radiation, wind speed, and atmospheric humidity. To improve precision, integrating CCATD with complementary indices like Vapor Pressure Deficit (VPD) and the Normalized Difference Vegetation Index (NDVI) is essential. CTD, in contrast, is widely applied in breeding programs to identify heat- and drought-tolerant cultivars. A high CTD value indicates efficient transpiration and effective stomatal regulation, leading to a cooler canopy temperature. This trait is crucial for selecting genotypes with superior osmotic adjustment and root efficiency under water-limited conditions. Correlations between CTD and yield stability in staple crops, such as wheat and maize, further reinforce its importance in breeding climate-resilient varieties. Although CCATD and CTD are mathematically inverse, their combined use provides comprehensive insights into plant responses to environmental stress. CCATD is particularly relevant for real-time stress detection and irrigation optimization, whereas CTD plays a crucial role in long-term breeding strategies. The </w:t>
      </w:r>
      <w:r>
        <w:rPr>
          <w:rFonts w:ascii="Times New Roman" w:eastAsia="Times New Roman" w:hAnsi="Times New Roman" w:cs="Times New Roman"/>
          <w:color w:val="000000"/>
          <w:sz w:val="24"/>
          <w:szCs w:val="24"/>
        </w:rPr>
        <w:lastRenderedPageBreak/>
        <w:t>integration of both indices with remote sensing technologies, thermal infrared imaging, and AI-driven models can significantly enhance drought monitoring and adaptive agronomic practices.  Future research should focus on refining these indices for different crop species and climatic conditions, enhancing their integration with advanced remote sensing and AI-based predictive models. Such advancements will improve drought assessment accuracy, optimize water management strategies, and contribute to climate-resilient agricultural systems.</w:t>
      </w:r>
    </w:p>
    <w:p w14:paraId="0F39D8FC" w14:textId="77777777" w:rsidR="004D77C3" w:rsidRDefault="00B2595A">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CONCLUSION</w:t>
      </w:r>
    </w:p>
    <w:p w14:paraId="3945E37C" w14:textId="77777777" w:rsidR="004D77C3" w:rsidRDefault="00B2595A">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CCATD and CTD serve as powerful physiological indicators of plant water status and thermal regulation, offering crucial applications in precision agriculture and plant breeding. CCATD is particularly useful for real-time stress assessment and irrigation optimization, while CTD is instrumental in selecting drought-tolerant cultivars. Their combined application provides a holistic understanding of plant-water interactions, improving decision-making in agriculture. Future advancements should prioritize integrating CCATD and CTD with AI-driven modelling, remote sensing, and physiological trait analysis to enhance drought prediction and water management. Field validation across diverse crop species and climatic zones will further refine these indices, ensuring their effectiveness in precision agriculture. As climate change continues to challenge global food security, leveraging these temperature-based indicators will be essential for developing sustainable, climate-resilient farming systems.</w:t>
      </w:r>
    </w:p>
    <w:p w14:paraId="6551577D" w14:textId="77777777" w:rsidR="004D77C3" w:rsidRDefault="00B2595A">
      <w:pPr>
        <w:spacing w:before="280" w:after="280" w:line="240" w:lineRule="auto"/>
        <w:rPr>
          <w:rFonts w:ascii="Times New Roman" w:eastAsia="Times New Roman" w:hAnsi="Times New Roman" w:cs="Times New Roman"/>
          <w:b/>
          <w:color w:val="000000"/>
          <w:sz w:val="27"/>
          <w:szCs w:val="27"/>
        </w:rPr>
      </w:pPr>
      <w:bookmarkStart w:id="1" w:name="_GoBack"/>
      <w:bookmarkEnd w:id="1"/>
      <w:r>
        <w:rPr>
          <w:rFonts w:ascii="Times New Roman" w:eastAsia="Times New Roman" w:hAnsi="Times New Roman" w:cs="Times New Roman"/>
          <w:b/>
          <w:color w:val="000000"/>
          <w:sz w:val="27"/>
          <w:szCs w:val="27"/>
        </w:rPr>
        <w:t>REFERENCES</w:t>
      </w:r>
    </w:p>
    <w:p w14:paraId="7C964DC4"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Amani, I., Fischer, R.A. and Reynolds, M.P. (1996). Canopy temperature depression association with yield of irrigated spring wheat cultivars in a hot climate. </w:t>
      </w:r>
      <w:r>
        <w:rPr>
          <w:rFonts w:ascii="Times New Roman" w:eastAsia="Times New Roman" w:hAnsi="Times New Roman" w:cs="Times New Roman"/>
          <w:i/>
          <w:color w:val="000000"/>
          <w:sz w:val="24"/>
          <w:szCs w:val="24"/>
          <w:highlight w:val="white"/>
        </w:rPr>
        <w:t>Journal of Agronomy and Crop Science</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176</w:t>
      </w:r>
      <w:r>
        <w:rPr>
          <w:rFonts w:ascii="Times New Roman" w:eastAsia="Times New Roman" w:hAnsi="Times New Roman" w:cs="Times New Roman"/>
          <w:color w:val="000000"/>
          <w:sz w:val="24"/>
          <w:szCs w:val="24"/>
          <w:highlight w:val="white"/>
        </w:rPr>
        <w:t xml:space="preserve">(2), pp.119-129. </w:t>
      </w:r>
    </w:p>
    <w:p w14:paraId="2D3265F8"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Anderson, M.C., Norman, J.M., </w:t>
      </w:r>
      <w:proofErr w:type="spellStart"/>
      <w:r>
        <w:rPr>
          <w:rFonts w:ascii="Times New Roman" w:eastAsia="Times New Roman" w:hAnsi="Times New Roman" w:cs="Times New Roman"/>
          <w:color w:val="000000"/>
          <w:sz w:val="24"/>
          <w:szCs w:val="24"/>
          <w:highlight w:val="white"/>
        </w:rPr>
        <w:t>Diak</w:t>
      </w:r>
      <w:proofErr w:type="spellEnd"/>
      <w:r>
        <w:rPr>
          <w:rFonts w:ascii="Times New Roman" w:eastAsia="Times New Roman" w:hAnsi="Times New Roman" w:cs="Times New Roman"/>
          <w:color w:val="000000"/>
          <w:sz w:val="24"/>
          <w:szCs w:val="24"/>
          <w:highlight w:val="white"/>
        </w:rPr>
        <w:t xml:space="preserve">, G.R., </w:t>
      </w:r>
      <w:proofErr w:type="spellStart"/>
      <w:r>
        <w:rPr>
          <w:rFonts w:ascii="Times New Roman" w:eastAsia="Times New Roman" w:hAnsi="Times New Roman" w:cs="Times New Roman"/>
          <w:color w:val="000000"/>
          <w:sz w:val="24"/>
          <w:szCs w:val="24"/>
          <w:highlight w:val="white"/>
        </w:rPr>
        <w:t>Kustas</w:t>
      </w:r>
      <w:proofErr w:type="spellEnd"/>
      <w:r>
        <w:rPr>
          <w:rFonts w:ascii="Times New Roman" w:eastAsia="Times New Roman" w:hAnsi="Times New Roman" w:cs="Times New Roman"/>
          <w:color w:val="000000"/>
          <w:sz w:val="24"/>
          <w:szCs w:val="24"/>
          <w:highlight w:val="white"/>
        </w:rPr>
        <w:t xml:space="preserve">, W.P. and </w:t>
      </w:r>
      <w:proofErr w:type="spellStart"/>
      <w:r>
        <w:rPr>
          <w:rFonts w:ascii="Times New Roman" w:eastAsia="Times New Roman" w:hAnsi="Times New Roman" w:cs="Times New Roman"/>
          <w:color w:val="000000"/>
          <w:sz w:val="24"/>
          <w:szCs w:val="24"/>
          <w:highlight w:val="white"/>
        </w:rPr>
        <w:t>Mecikalski</w:t>
      </w:r>
      <w:proofErr w:type="spellEnd"/>
      <w:r>
        <w:rPr>
          <w:rFonts w:ascii="Times New Roman" w:eastAsia="Times New Roman" w:hAnsi="Times New Roman" w:cs="Times New Roman"/>
          <w:color w:val="000000"/>
          <w:sz w:val="24"/>
          <w:szCs w:val="24"/>
          <w:highlight w:val="white"/>
        </w:rPr>
        <w:t>, J.R. (1997). A two-source time-integrated model for estimating surface fluxes using thermal infrared remote sensing. </w:t>
      </w:r>
      <w:r>
        <w:rPr>
          <w:rFonts w:ascii="Times New Roman" w:eastAsia="Times New Roman" w:hAnsi="Times New Roman" w:cs="Times New Roman"/>
          <w:i/>
          <w:color w:val="000000"/>
          <w:sz w:val="24"/>
          <w:szCs w:val="24"/>
          <w:highlight w:val="white"/>
        </w:rPr>
        <w:t>Remote sensing of environment</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60</w:t>
      </w:r>
      <w:r>
        <w:rPr>
          <w:rFonts w:ascii="Times New Roman" w:eastAsia="Times New Roman" w:hAnsi="Times New Roman" w:cs="Times New Roman"/>
          <w:color w:val="000000"/>
          <w:sz w:val="24"/>
          <w:szCs w:val="24"/>
          <w:highlight w:val="white"/>
        </w:rPr>
        <w:t>(2), pp.195-216.</w:t>
      </w:r>
    </w:p>
    <w:p w14:paraId="017EA80D"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Balota</w:t>
      </w:r>
      <w:proofErr w:type="spellEnd"/>
      <w:r>
        <w:rPr>
          <w:rFonts w:ascii="Times New Roman" w:eastAsia="Times New Roman" w:hAnsi="Times New Roman" w:cs="Times New Roman"/>
          <w:color w:val="000000"/>
          <w:sz w:val="24"/>
          <w:szCs w:val="24"/>
          <w:highlight w:val="white"/>
        </w:rPr>
        <w:t xml:space="preserve">, M., Payne, W.A., </w:t>
      </w:r>
      <w:proofErr w:type="spellStart"/>
      <w:r>
        <w:rPr>
          <w:rFonts w:ascii="Times New Roman" w:eastAsia="Times New Roman" w:hAnsi="Times New Roman" w:cs="Times New Roman"/>
          <w:color w:val="000000"/>
          <w:sz w:val="24"/>
          <w:szCs w:val="24"/>
          <w:highlight w:val="white"/>
        </w:rPr>
        <w:t>Evett</w:t>
      </w:r>
      <w:proofErr w:type="spellEnd"/>
      <w:r>
        <w:rPr>
          <w:rFonts w:ascii="Times New Roman" w:eastAsia="Times New Roman" w:hAnsi="Times New Roman" w:cs="Times New Roman"/>
          <w:color w:val="000000"/>
          <w:sz w:val="24"/>
          <w:szCs w:val="24"/>
          <w:highlight w:val="white"/>
        </w:rPr>
        <w:t>, S.R. and Peters, T.R. (2008). Morphological and physiological traits associated with canopy temperature depression in three closely related wheat lines. </w:t>
      </w:r>
      <w:r>
        <w:rPr>
          <w:rFonts w:ascii="Times New Roman" w:eastAsia="Times New Roman" w:hAnsi="Times New Roman" w:cs="Times New Roman"/>
          <w:i/>
          <w:color w:val="000000"/>
          <w:sz w:val="24"/>
          <w:szCs w:val="24"/>
          <w:highlight w:val="white"/>
        </w:rPr>
        <w:t>Crop Science</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48</w:t>
      </w:r>
      <w:r>
        <w:rPr>
          <w:rFonts w:ascii="Times New Roman" w:eastAsia="Times New Roman" w:hAnsi="Times New Roman" w:cs="Times New Roman"/>
          <w:color w:val="000000"/>
          <w:sz w:val="24"/>
          <w:szCs w:val="24"/>
          <w:highlight w:val="white"/>
        </w:rPr>
        <w:t>(5), pp.1897-1910.</w:t>
      </w:r>
    </w:p>
    <w:p w14:paraId="73019CBD"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lastRenderedPageBreak/>
        <w:t>Berni</w:t>
      </w:r>
      <w:proofErr w:type="spellEnd"/>
      <w:r>
        <w:rPr>
          <w:rFonts w:ascii="Times New Roman" w:eastAsia="Times New Roman" w:hAnsi="Times New Roman" w:cs="Times New Roman"/>
          <w:color w:val="000000"/>
          <w:sz w:val="24"/>
          <w:szCs w:val="24"/>
          <w:highlight w:val="white"/>
        </w:rPr>
        <w:t xml:space="preserve">, J.A., </w:t>
      </w:r>
      <w:proofErr w:type="spellStart"/>
      <w:r>
        <w:rPr>
          <w:rFonts w:ascii="Times New Roman" w:eastAsia="Times New Roman" w:hAnsi="Times New Roman" w:cs="Times New Roman"/>
          <w:color w:val="000000"/>
          <w:sz w:val="24"/>
          <w:szCs w:val="24"/>
          <w:highlight w:val="white"/>
        </w:rPr>
        <w:t>Zarco</w:t>
      </w:r>
      <w:proofErr w:type="spellEnd"/>
      <w:r>
        <w:rPr>
          <w:rFonts w:ascii="Times New Roman" w:eastAsia="Times New Roman" w:hAnsi="Times New Roman" w:cs="Times New Roman"/>
          <w:color w:val="000000"/>
          <w:sz w:val="24"/>
          <w:szCs w:val="24"/>
          <w:highlight w:val="white"/>
        </w:rPr>
        <w:t xml:space="preserve">-Tejada, P.J., Suárez, L. and </w:t>
      </w:r>
      <w:proofErr w:type="spellStart"/>
      <w:r>
        <w:rPr>
          <w:rFonts w:ascii="Times New Roman" w:eastAsia="Times New Roman" w:hAnsi="Times New Roman" w:cs="Times New Roman"/>
          <w:color w:val="000000"/>
          <w:sz w:val="24"/>
          <w:szCs w:val="24"/>
          <w:highlight w:val="white"/>
        </w:rPr>
        <w:t>Fereres</w:t>
      </w:r>
      <w:proofErr w:type="spellEnd"/>
      <w:r>
        <w:rPr>
          <w:rFonts w:ascii="Times New Roman" w:eastAsia="Times New Roman" w:hAnsi="Times New Roman" w:cs="Times New Roman"/>
          <w:color w:val="000000"/>
          <w:sz w:val="24"/>
          <w:szCs w:val="24"/>
          <w:highlight w:val="white"/>
        </w:rPr>
        <w:t>, E. (2009). Thermal and narrowband multispectral remote sensing for vegetation monitoring from an unmanned aerial vehicle. </w:t>
      </w:r>
      <w:r>
        <w:rPr>
          <w:rFonts w:ascii="Times New Roman" w:eastAsia="Times New Roman" w:hAnsi="Times New Roman" w:cs="Times New Roman"/>
          <w:i/>
          <w:color w:val="000000"/>
          <w:sz w:val="24"/>
          <w:szCs w:val="24"/>
          <w:highlight w:val="white"/>
        </w:rPr>
        <w:t>IEEE Transactions on geoscience and Remote Sensing</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47</w:t>
      </w:r>
      <w:r>
        <w:rPr>
          <w:rFonts w:ascii="Times New Roman" w:eastAsia="Times New Roman" w:hAnsi="Times New Roman" w:cs="Times New Roman"/>
          <w:color w:val="000000"/>
          <w:sz w:val="24"/>
          <w:szCs w:val="24"/>
          <w:highlight w:val="white"/>
        </w:rPr>
        <w:t>(3), pp.722-738.</w:t>
      </w:r>
    </w:p>
    <w:p w14:paraId="1FE6EA56"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Blum, A. (2010). </w:t>
      </w:r>
      <w:r>
        <w:rPr>
          <w:rFonts w:ascii="Times New Roman" w:eastAsia="Times New Roman" w:hAnsi="Times New Roman" w:cs="Times New Roman"/>
          <w:i/>
          <w:color w:val="000000"/>
          <w:sz w:val="24"/>
          <w:szCs w:val="24"/>
          <w:highlight w:val="white"/>
        </w:rPr>
        <w:t>Plant breeding for water-limited environments</w:t>
      </w:r>
      <w:r>
        <w:rPr>
          <w:rFonts w:ascii="Times New Roman" w:eastAsia="Times New Roman" w:hAnsi="Times New Roman" w:cs="Times New Roman"/>
          <w:color w:val="000000"/>
          <w:sz w:val="24"/>
          <w:szCs w:val="24"/>
          <w:highlight w:val="white"/>
        </w:rPr>
        <w:t>. Springer Science &amp; Business Media.</w:t>
      </w:r>
    </w:p>
    <w:p w14:paraId="78B8A501"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Blum, A., Mayer, J. and </w:t>
      </w:r>
      <w:proofErr w:type="spellStart"/>
      <w:r>
        <w:rPr>
          <w:rFonts w:ascii="Times New Roman" w:eastAsia="Times New Roman" w:hAnsi="Times New Roman" w:cs="Times New Roman"/>
          <w:color w:val="000000"/>
          <w:sz w:val="24"/>
          <w:szCs w:val="24"/>
          <w:highlight w:val="white"/>
        </w:rPr>
        <w:t>Gozlan</w:t>
      </w:r>
      <w:proofErr w:type="spellEnd"/>
      <w:r>
        <w:rPr>
          <w:rFonts w:ascii="Times New Roman" w:eastAsia="Times New Roman" w:hAnsi="Times New Roman" w:cs="Times New Roman"/>
          <w:color w:val="000000"/>
          <w:sz w:val="24"/>
          <w:szCs w:val="24"/>
          <w:highlight w:val="white"/>
        </w:rPr>
        <w:t>, G. (1982). Infrared thermal sensing of plant canopies as a screening technique for dehydration avoidance in wheat. </w:t>
      </w:r>
      <w:r>
        <w:rPr>
          <w:rFonts w:ascii="Times New Roman" w:eastAsia="Times New Roman" w:hAnsi="Times New Roman" w:cs="Times New Roman"/>
          <w:i/>
          <w:color w:val="000000"/>
          <w:sz w:val="24"/>
          <w:szCs w:val="24"/>
          <w:highlight w:val="white"/>
        </w:rPr>
        <w:t>Field Crops Research</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5</w:t>
      </w:r>
      <w:r>
        <w:rPr>
          <w:rFonts w:ascii="Times New Roman" w:eastAsia="Times New Roman" w:hAnsi="Times New Roman" w:cs="Times New Roman"/>
          <w:color w:val="000000"/>
          <w:sz w:val="24"/>
          <w:szCs w:val="24"/>
          <w:highlight w:val="white"/>
        </w:rPr>
        <w:t>, pp.137-146.</w:t>
      </w:r>
    </w:p>
    <w:p w14:paraId="5E9F074E"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Chaves</w:t>
      </w:r>
      <w:proofErr w:type="spellEnd"/>
      <w:r>
        <w:rPr>
          <w:rFonts w:ascii="Times New Roman" w:eastAsia="Times New Roman" w:hAnsi="Times New Roman" w:cs="Times New Roman"/>
          <w:color w:val="000000"/>
          <w:sz w:val="24"/>
          <w:szCs w:val="24"/>
          <w:highlight w:val="white"/>
        </w:rPr>
        <w:t xml:space="preserve">, M.M., </w:t>
      </w:r>
      <w:proofErr w:type="spellStart"/>
      <w:r>
        <w:rPr>
          <w:rFonts w:ascii="Times New Roman" w:eastAsia="Times New Roman" w:hAnsi="Times New Roman" w:cs="Times New Roman"/>
          <w:color w:val="000000"/>
          <w:sz w:val="24"/>
          <w:szCs w:val="24"/>
          <w:highlight w:val="white"/>
        </w:rPr>
        <w:t>Maroco</w:t>
      </w:r>
      <w:proofErr w:type="spellEnd"/>
      <w:r>
        <w:rPr>
          <w:rFonts w:ascii="Times New Roman" w:eastAsia="Times New Roman" w:hAnsi="Times New Roman" w:cs="Times New Roman"/>
          <w:color w:val="000000"/>
          <w:sz w:val="24"/>
          <w:szCs w:val="24"/>
          <w:highlight w:val="white"/>
        </w:rPr>
        <w:t>, J.P. and Pereira, J.S. (2003). Understanding plant responses to drought—from genes to the whole plant. </w:t>
      </w:r>
      <w:r>
        <w:rPr>
          <w:rFonts w:ascii="Times New Roman" w:eastAsia="Times New Roman" w:hAnsi="Times New Roman" w:cs="Times New Roman"/>
          <w:i/>
          <w:color w:val="000000"/>
          <w:sz w:val="24"/>
          <w:szCs w:val="24"/>
          <w:highlight w:val="white"/>
        </w:rPr>
        <w:t>Functional plant biology</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30</w:t>
      </w:r>
      <w:r>
        <w:rPr>
          <w:rFonts w:ascii="Times New Roman" w:eastAsia="Times New Roman" w:hAnsi="Times New Roman" w:cs="Times New Roman"/>
          <w:color w:val="000000"/>
          <w:sz w:val="24"/>
          <w:szCs w:val="24"/>
          <w:highlight w:val="white"/>
        </w:rPr>
        <w:t>(3), pp.239-264.</w:t>
      </w:r>
    </w:p>
    <w:p w14:paraId="15E82390"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Cossani</w:t>
      </w:r>
      <w:proofErr w:type="spellEnd"/>
      <w:r>
        <w:rPr>
          <w:rFonts w:ascii="Times New Roman" w:eastAsia="Times New Roman" w:hAnsi="Times New Roman" w:cs="Times New Roman"/>
          <w:color w:val="000000"/>
          <w:sz w:val="24"/>
          <w:szCs w:val="24"/>
          <w:highlight w:val="white"/>
        </w:rPr>
        <w:t>, C.M. and Reynolds, M.P., 2012. Physiological traits for improving heat tolerance in wheat. </w:t>
      </w:r>
      <w:r>
        <w:rPr>
          <w:rFonts w:ascii="Times New Roman" w:eastAsia="Times New Roman" w:hAnsi="Times New Roman" w:cs="Times New Roman"/>
          <w:i/>
          <w:color w:val="000000"/>
          <w:sz w:val="24"/>
          <w:szCs w:val="24"/>
          <w:highlight w:val="white"/>
        </w:rPr>
        <w:t>Plant physiology</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160</w:t>
      </w:r>
      <w:r>
        <w:rPr>
          <w:rFonts w:ascii="Times New Roman" w:eastAsia="Times New Roman" w:hAnsi="Times New Roman" w:cs="Times New Roman"/>
          <w:color w:val="000000"/>
          <w:sz w:val="24"/>
          <w:szCs w:val="24"/>
          <w:highlight w:val="white"/>
        </w:rPr>
        <w:t>(4), pp.1710-1718.</w:t>
      </w:r>
    </w:p>
    <w:p w14:paraId="05A91831"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Costa, J.M., Grant, O.M. and </w:t>
      </w:r>
      <w:proofErr w:type="spellStart"/>
      <w:r>
        <w:rPr>
          <w:rFonts w:ascii="Times New Roman" w:eastAsia="Times New Roman" w:hAnsi="Times New Roman" w:cs="Times New Roman"/>
          <w:color w:val="000000"/>
          <w:sz w:val="24"/>
          <w:szCs w:val="24"/>
          <w:highlight w:val="white"/>
        </w:rPr>
        <w:t>Chaves</w:t>
      </w:r>
      <w:proofErr w:type="spellEnd"/>
      <w:r>
        <w:rPr>
          <w:rFonts w:ascii="Times New Roman" w:eastAsia="Times New Roman" w:hAnsi="Times New Roman" w:cs="Times New Roman"/>
          <w:color w:val="000000"/>
          <w:sz w:val="24"/>
          <w:szCs w:val="24"/>
          <w:highlight w:val="white"/>
        </w:rPr>
        <w:t>, M.M. (2013). Thermography to explore plant–environment interactions. </w:t>
      </w:r>
      <w:r>
        <w:rPr>
          <w:rFonts w:ascii="Times New Roman" w:eastAsia="Times New Roman" w:hAnsi="Times New Roman" w:cs="Times New Roman"/>
          <w:i/>
          <w:color w:val="000000"/>
          <w:sz w:val="24"/>
          <w:szCs w:val="24"/>
          <w:highlight w:val="white"/>
        </w:rPr>
        <w:t>Journal of experimental botany</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64</w:t>
      </w:r>
      <w:r>
        <w:rPr>
          <w:rFonts w:ascii="Times New Roman" w:eastAsia="Times New Roman" w:hAnsi="Times New Roman" w:cs="Times New Roman"/>
          <w:color w:val="000000"/>
          <w:sz w:val="24"/>
          <w:szCs w:val="24"/>
          <w:highlight w:val="white"/>
        </w:rPr>
        <w:t>(13), pp.3937-3949.</w:t>
      </w:r>
    </w:p>
    <w:p w14:paraId="4311D137"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Duffková</w:t>
      </w:r>
      <w:proofErr w:type="spellEnd"/>
      <w:r>
        <w:rPr>
          <w:rFonts w:ascii="Times New Roman" w:eastAsia="Times New Roman" w:hAnsi="Times New Roman" w:cs="Times New Roman"/>
          <w:color w:val="000000"/>
          <w:sz w:val="24"/>
          <w:szCs w:val="24"/>
          <w:highlight w:val="white"/>
        </w:rPr>
        <w:t>, R., 2006. Difference in canopy and air temperature as an indicator of grassland water stress. </w:t>
      </w:r>
      <w:r>
        <w:rPr>
          <w:rFonts w:ascii="Times New Roman" w:eastAsia="Times New Roman" w:hAnsi="Times New Roman" w:cs="Times New Roman"/>
          <w:i/>
          <w:color w:val="000000"/>
          <w:sz w:val="24"/>
          <w:szCs w:val="24"/>
          <w:highlight w:val="white"/>
        </w:rPr>
        <w:t>Soil and Water Research (Prague, Print)</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w:t>
      </w:r>
      <w:r>
        <w:rPr>
          <w:rFonts w:ascii="Times New Roman" w:eastAsia="Times New Roman" w:hAnsi="Times New Roman" w:cs="Times New Roman"/>
          <w:color w:val="000000"/>
          <w:sz w:val="24"/>
          <w:szCs w:val="24"/>
          <w:highlight w:val="white"/>
        </w:rPr>
        <w:t>.</w:t>
      </w:r>
    </w:p>
    <w:p w14:paraId="1D93F46A"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Fanourakis</w:t>
      </w:r>
      <w:proofErr w:type="spellEnd"/>
      <w:r>
        <w:rPr>
          <w:rFonts w:ascii="Times New Roman" w:eastAsia="Times New Roman" w:hAnsi="Times New Roman" w:cs="Times New Roman"/>
          <w:color w:val="000000"/>
          <w:sz w:val="24"/>
          <w:szCs w:val="24"/>
          <w:highlight w:val="white"/>
        </w:rPr>
        <w:t xml:space="preserve">, D., </w:t>
      </w:r>
      <w:proofErr w:type="spellStart"/>
      <w:r>
        <w:rPr>
          <w:rFonts w:ascii="Times New Roman" w:eastAsia="Times New Roman" w:hAnsi="Times New Roman" w:cs="Times New Roman"/>
          <w:color w:val="000000"/>
          <w:sz w:val="24"/>
          <w:szCs w:val="24"/>
          <w:highlight w:val="white"/>
        </w:rPr>
        <w:t>Aliniaeifard</w:t>
      </w:r>
      <w:proofErr w:type="spellEnd"/>
      <w:r>
        <w:rPr>
          <w:rFonts w:ascii="Times New Roman" w:eastAsia="Times New Roman" w:hAnsi="Times New Roman" w:cs="Times New Roman"/>
          <w:color w:val="000000"/>
          <w:sz w:val="24"/>
          <w:szCs w:val="24"/>
          <w:highlight w:val="white"/>
        </w:rPr>
        <w:t xml:space="preserve">, S., </w:t>
      </w:r>
      <w:proofErr w:type="spellStart"/>
      <w:r>
        <w:rPr>
          <w:rFonts w:ascii="Times New Roman" w:eastAsia="Times New Roman" w:hAnsi="Times New Roman" w:cs="Times New Roman"/>
          <w:color w:val="000000"/>
          <w:sz w:val="24"/>
          <w:szCs w:val="24"/>
          <w:highlight w:val="white"/>
        </w:rPr>
        <w:t>Sellin</w:t>
      </w:r>
      <w:proofErr w:type="spellEnd"/>
      <w:r>
        <w:rPr>
          <w:rFonts w:ascii="Times New Roman" w:eastAsia="Times New Roman" w:hAnsi="Times New Roman" w:cs="Times New Roman"/>
          <w:color w:val="000000"/>
          <w:sz w:val="24"/>
          <w:szCs w:val="24"/>
          <w:highlight w:val="white"/>
        </w:rPr>
        <w:t xml:space="preserve">, A., </w:t>
      </w:r>
      <w:proofErr w:type="spellStart"/>
      <w:r>
        <w:rPr>
          <w:rFonts w:ascii="Times New Roman" w:eastAsia="Times New Roman" w:hAnsi="Times New Roman" w:cs="Times New Roman"/>
          <w:color w:val="000000"/>
          <w:sz w:val="24"/>
          <w:szCs w:val="24"/>
          <w:highlight w:val="white"/>
        </w:rPr>
        <w:t>Giday</w:t>
      </w:r>
      <w:proofErr w:type="spellEnd"/>
      <w:r>
        <w:rPr>
          <w:rFonts w:ascii="Times New Roman" w:eastAsia="Times New Roman" w:hAnsi="Times New Roman" w:cs="Times New Roman"/>
          <w:color w:val="000000"/>
          <w:sz w:val="24"/>
          <w:szCs w:val="24"/>
          <w:highlight w:val="white"/>
        </w:rPr>
        <w:t xml:space="preserve">, H., </w:t>
      </w:r>
      <w:proofErr w:type="spellStart"/>
      <w:r>
        <w:rPr>
          <w:rFonts w:ascii="Times New Roman" w:eastAsia="Times New Roman" w:hAnsi="Times New Roman" w:cs="Times New Roman"/>
          <w:color w:val="000000"/>
          <w:sz w:val="24"/>
          <w:szCs w:val="24"/>
          <w:highlight w:val="white"/>
        </w:rPr>
        <w:t>Körner</w:t>
      </w:r>
      <w:proofErr w:type="spellEnd"/>
      <w:r>
        <w:rPr>
          <w:rFonts w:ascii="Times New Roman" w:eastAsia="Times New Roman" w:hAnsi="Times New Roman" w:cs="Times New Roman"/>
          <w:color w:val="000000"/>
          <w:sz w:val="24"/>
          <w:szCs w:val="24"/>
          <w:highlight w:val="white"/>
        </w:rPr>
        <w:t xml:space="preserve">, O., </w:t>
      </w:r>
      <w:proofErr w:type="spellStart"/>
      <w:r>
        <w:rPr>
          <w:rFonts w:ascii="Times New Roman" w:eastAsia="Times New Roman" w:hAnsi="Times New Roman" w:cs="Times New Roman"/>
          <w:color w:val="000000"/>
          <w:sz w:val="24"/>
          <w:szCs w:val="24"/>
          <w:highlight w:val="white"/>
        </w:rPr>
        <w:t>Nejad</w:t>
      </w:r>
      <w:proofErr w:type="spellEnd"/>
      <w:r>
        <w:rPr>
          <w:rFonts w:ascii="Times New Roman" w:eastAsia="Times New Roman" w:hAnsi="Times New Roman" w:cs="Times New Roman"/>
          <w:color w:val="000000"/>
          <w:sz w:val="24"/>
          <w:szCs w:val="24"/>
          <w:highlight w:val="white"/>
        </w:rPr>
        <w:t xml:space="preserve">, A.R., Delis, C., </w:t>
      </w:r>
      <w:proofErr w:type="spellStart"/>
      <w:r>
        <w:rPr>
          <w:rFonts w:ascii="Times New Roman" w:eastAsia="Times New Roman" w:hAnsi="Times New Roman" w:cs="Times New Roman"/>
          <w:color w:val="000000"/>
          <w:sz w:val="24"/>
          <w:szCs w:val="24"/>
          <w:highlight w:val="white"/>
        </w:rPr>
        <w:t>Bouranis</w:t>
      </w:r>
      <w:proofErr w:type="spellEnd"/>
      <w:r>
        <w:rPr>
          <w:rFonts w:ascii="Times New Roman" w:eastAsia="Times New Roman" w:hAnsi="Times New Roman" w:cs="Times New Roman"/>
          <w:color w:val="000000"/>
          <w:sz w:val="24"/>
          <w:szCs w:val="24"/>
          <w:highlight w:val="white"/>
        </w:rPr>
        <w:t xml:space="preserve">, D., </w:t>
      </w:r>
      <w:proofErr w:type="spellStart"/>
      <w:r>
        <w:rPr>
          <w:rFonts w:ascii="Times New Roman" w:eastAsia="Times New Roman" w:hAnsi="Times New Roman" w:cs="Times New Roman"/>
          <w:color w:val="000000"/>
          <w:sz w:val="24"/>
          <w:szCs w:val="24"/>
          <w:highlight w:val="white"/>
        </w:rPr>
        <w:t>Koubouris</w:t>
      </w:r>
      <w:proofErr w:type="spellEnd"/>
      <w:r>
        <w:rPr>
          <w:rFonts w:ascii="Times New Roman" w:eastAsia="Times New Roman" w:hAnsi="Times New Roman" w:cs="Times New Roman"/>
          <w:color w:val="000000"/>
          <w:sz w:val="24"/>
          <w:szCs w:val="24"/>
          <w:highlight w:val="white"/>
        </w:rPr>
        <w:t xml:space="preserve">, G., </w:t>
      </w:r>
      <w:proofErr w:type="spellStart"/>
      <w:r>
        <w:rPr>
          <w:rFonts w:ascii="Times New Roman" w:eastAsia="Times New Roman" w:hAnsi="Times New Roman" w:cs="Times New Roman"/>
          <w:color w:val="000000"/>
          <w:sz w:val="24"/>
          <w:szCs w:val="24"/>
          <w:highlight w:val="white"/>
        </w:rPr>
        <w:t>Kambourakis</w:t>
      </w:r>
      <w:proofErr w:type="spellEnd"/>
      <w:r>
        <w:rPr>
          <w:rFonts w:ascii="Times New Roman" w:eastAsia="Times New Roman" w:hAnsi="Times New Roman" w:cs="Times New Roman"/>
          <w:color w:val="000000"/>
          <w:sz w:val="24"/>
          <w:szCs w:val="24"/>
          <w:highlight w:val="white"/>
        </w:rPr>
        <w:t xml:space="preserve">, E. and </w:t>
      </w:r>
      <w:proofErr w:type="spellStart"/>
      <w:r>
        <w:rPr>
          <w:rFonts w:ascii="Times New Roman" w:eastAsia="Times New Roman" w:hAnsi="Times New Roman" w:cs="Times New Roman"/>
          <w:color w:val="000000"/>
          <w:sz w:val="24"/>
          <w:szCs w:val="24"/>
          <w:highlight w:val="white"/>
        </w:rPr>
        <w:t>Nikoloudakis</w:t>
      </w:r>
      <w:proofErr w:type="spellEnd"/>
      <w:r>
        <w:rPr>
          <w:rFonts w:ascii="Times New Roman" w:eastAsia="Times New Roman" w:hAnsi="Times New Roman" w:cs="Times New Roman"/>
          <w:color w:val="000000"/>
          <w:sz w:val="24"/>
          <w:szCs w:val="24"/>
          <w:highlight w:val="white"/>
        </w:rPr>
        <w:t xml:space="preserve">, N. (2020). Stomatal </w:t>
      </w:r>
      <w:proofErr w:type="spellStart"/>
      <w:r>
        <w:rPr>
          <w:rFonts w:ascii="Times New Roman" w:eastAsia="Times New Roman" w:hAnsi="Times New Roman" w:cs="Times New Roman"/>
          <w:color w:val="000000"/>
          <w:sz w:val="24"/>
          <w:szCs w:val="24"/>
          <w:highlight w:val="white"/>
        </w:rPr>
        <w:t>behavior</w:t>
      </w:r>
      <w:proofErr w:type="spellEnd"/>
      <w:r>
        <w:rPr>
          <w:rFonts w:ascii="Times New Roman" w:eastAsia="Times New Roman" w:hAnsi="Times New Roman" w:cs="Times New Roman"/>
          <w:color w:val="000000"/>
          <w:sz w:val="24"/>
          <w:szCs w:val="24"/>
          <w:highlight w:val="white"/>
        </w:rPr>
        <w:t xml:space="preserve"> following mid-or long-term exposure to high relative air humidity: A review. </w:t>
      </w:r>
      <w:r>
        <w:rPr>
          <w:rFonts w:ascii="Times New Roman" w:eastAsia="Times New Roman" w:hAnsi="Times New Roman" w:cs="Times New Roman"/>
          <w:i/>
          <w:color w:val="000000"/>
          <w:sz w:val="24"/>
          <w:szCs w:val="24"/>
          <w:highlight w:val="white"/>
        </w:rPr>
        <w:t>Plant Physiology and Biochemistry</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153</w:t>
      </w:r>
      <w:r>
        <w:rPr>
          <w:rFonts w:ascii="Times New Roman" w:eastAsia="Times New Roman" w:hAnsi="Times New Roman" w:cs="Times New Roman"/>
          <w:color w:val="000000"/>
          <w:sz w:val="24"/>
          <w:szCs w:val="24"/>
          <w:highlight w:val="white"/>
        </w:rPr>
        <w:t>, pp.92-105.</w:t>
      </w:r>
    </w:p>
    <w:p w14:paraId="50143A48"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Fukai</w:t>
      </w:r>
      <w:proofErr w:type="spellEnd"/>
      <w:r>
        <w:rPr>
          <w:rFonts w:ascii="Times New Roman" w:eastAsia="Times New Roman" w:hAnsi="Times New Roman" w:cs="Times New Roman"/>
          <w:color w:val="000000"/>
          <w:sz w:val="24"/>
          <w:szCs w:val="24"/>
          <w:highlight w:val="white"/>
        </w:rPr>
        <w:t>, S. and Mitchell, J. (2022). Role of canopy temperature depression in rice. </w:t>
      </w:r>
      <w:r>
        <w:rPr>
          <w:rFonts w:ascii="Times New Roman" w:eastAsia="Times New Roman" w:hAnsi="Times New Roman" w:cs="Times New Roman"/>
          <w:i/>
          <w:color w:val="000000"/>
          <w:sz w:val="24"/>
          <w:szCs w:val="24"/>
          <w:highlight w:val="white"/>
        </w:rPr>
        <w:t>Crop and Environment</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w:t>
      </w:r>
      <w:r>
        <w:rPr>
          <w:rFonts w:ascii="Times New Roman" w:eastAsia="Times New Roman" w:hAnsi="Times New Roman" w:cs="Times New Roman"/>
          <w:color w:val="000000"/>
          <w:sz w:val="24"/>
          <w:szCs w:val="24"/>
          <w:highlight w:val="white"/>
        </w:rPr>
        <w:t>(3), pp.198-213.</w:t>
      </w:r>
    </w:p>
    <w:p w14:paraId="330CC9B4"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Gonzalez-</w:t>
      </w:r>
      <w:proofErr w:type="spellStart"/>
      <w:r>
        <w:rPr>
          <w:rFonts w:ascii="Times New Roman" w:eastAsia="Times New Roman" w:hAnsi="Times New Roman" w:cs="Times New Roman"/>
          <w:color w:val="000000"/>
          <w:sz w:val="24"/>
          <w:szCs w:val="24"/>
          <w:highlight w:val="white"/>
        </w:rPr>
        <w:t>Dugo</w:t>
      </w:r>
      <w:proofErr w:type="spellEnd"/>
      <w:r>
        <w:rPr>
          <w:rFonts w:ascii="Times New Roman" w:eastAsia="Times New Roman" w:hAnsi="Times New Roman" w:cs="Times New Roman"/>
          <w:color w:val="000000"/>
          <w:sz w:val="24"/>
          <w:szCs w:val="24"/>
          <w:highlight w:val="white"/>
        </w:rPr>
        <w:t xml:space="preserve">, V., </w:t>
      </w:r>
      <w:proofErr w:type="spellStart"/>
      <w:r>
        <w:rPr>
          <w:rFonts w:ascii="Times New Roman" w:eastAsia="Times New Roman" w:hAnsi="Times New Roman" w:cs="Times New Roman"/>
          <w:color w:val="000000"/>
          <w:sz w:val="24"/>
          <w:szCs w:val="24"/>
          <w:highlight w:val="white"/>
        </w:rPr>
        <w:t>Zarco</w:t>
      </w:r>
      <w:proofErr w:type="spellEnd"/>
      <w:r>
        <w:rPr>
          <w:rFonts w:ascii="Times New Roman" w:eastAsia="Times New Roman" w:hAnsi="Times New Roman" w:cs="Times New Roman"/>
          <w:color w:val="000000"/>
          <w:sz w:val="24"/>
          <w:szCs w:val="24"/>
          <w:highlight w:val="white"/>
        </w:rPr>
        <w:t xml:space="preserve">-Tejada, P., </w:t>
      </w:r>
      <w:proofErr w:type="spellStart"/>
      <w:r>
        <w:rPr>
          <w:rFonts w:ascii="Times New Roman" w:eastAsia="Times New Roman" w:hAnsi="Times New Roman" w:cs="Times New Roman"/>
          <w:color w:val="000000"/>
          <w:sz w:val="24"/>
          <w:szCs w:val="24"/>
          <w:highlight w:val="white"/>
        </w:rPr>
        <w:t>Berni</w:t>
      </w:r>
      <w:proofErr w:type="spellEnd"/>
      <w:r>
        <w:rPr>
          <w:rFonts w:ascii="Times New Roman" w:eastAsia="Times New Roman" w:hAnsi="Times New Roman" w:cs="Times New Roman"/>
          <w:color w:val="000000"/>
          <w:sz w:val="24"/>
          <w:szCs w:val="24"/>
          <w:highlight w:val="white"/>
        </w:rPr>
        <w:t xml:space="preserve">, J.A., Suarez, L., </w:t>
      </w:r>
      <w:proofErr w:type="spellStart"/>
      <w:r>
        <w:rPr>
          <w:rFonts w:ascii="Times New Roman" w:eastAsia="Times New Roman" w:hAnsi="Times New Roman" w:cs="Times New Roman"/>
          <w:color w:val="000000"/>
          <w:sz w:val="24"/>
          <w:szCs w:val="24"/>
          <w:highlight w:val="white"/>
        </w:rPr>
        <w:t>Goldhamer</w:t>
      </w:r>
      <w:proofErr w:type="spellEnd"/>
      <w:r>
        <w:rPr>
          <w:rFonts w:ascii="Times New Roman" w:eastAsia="Times New Roman" w:hAnsi="Times New Roman" w:cs="Times New Roman"/>
          <w:color w:val="000000"/>
          <w:sz w:val="24"/>
          <w:szCs w:val="24"/>
          <w:highlight w:val="white"/>
        </w:rPr>
        <w:t xml:space="preserve">, D. and </w:t>
      </w:r>
      <w:proofErr w:type="spellStart"/>
      <w:r>
        <w:rPr>
          <w:rFonts w:ascii="Times New Roman" w:eastAsia="Times New Roman" w:hAnsi="Times New Roman" w:cs="Times New Roman"/>
          <w:color w:val="000000"/>
          <w:sz w:val="24"/>
          <w:szCs w:val="24"/>
          <w:highlight w:val="white"/>
        </w:rPr>
        <w:t>Fereres</w:t>
      </w:r>
      <w:proofErr w:type="spellEnd"/>
      <w:r>
        <w:rPr>
          <w:rFonts w:ascii="Times New Roman" w:eastAsia="Times New Roman" w:hAnsi="Times New Roman" w:cs="Times New Roman"/>
          <w:color w:val="000000"/>
          <w:sz w:val="24"/>
          <w:szCs w:val="24"/>
          <w:highlight w:val="white"/>
        </w:rPr>
        <w:t>, E. (2012). Almond tree canopy temperature reveals intra-crown variability that is water stress-dependent. </w:t>
      </w:r>
      <w:r>
        <w:rPr>
          <w:rFonts w:ascii="Times New Roman" w:eastAsia="Times New Roman" w:hAnsi="Times New Roman" w:cs="Times New Roman"/>
          <w:i/>
          <w:color w:val="000000"/>
          <w:sz w:val="24"/>
          <w:szCs w:val="24"/>
          <w:highlight w:val="white"/>
        </w:rPr>
        <w:t>Agricultural and Forest Meteorology</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154</w:t>
      </w:r>
      <w:r>
        <w:rPr>
          <w:rFonts w:ascii="Times New Roman" w:eastAsia="Times New Roman" w:hAnsi="Times New Roman" w:cs="Times New Roman"/>
          <w:color w:val="000000"/>
          <w:sz w:val="24"/>
          <w:szCs w:val="24"/>
          <w:highlight w:val="white"/>
        </w:rPr>
        <w:t>, pp.156-165.</w:t>
      </w:r>
    </w:p>
    <w:p w14:paraId="0CA2C74D"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Grossiord</w:t>
      </w:r>
      <w:proofErr w:type="spellEnd"/>
      <w:r>
        <w:rPr>
          <w:rFonts w:ascii="Times New Roman" w:eastAsia="Times New Roman" w:hAnsi="Times New Roman" w:cs="Times New Roman"/>
          <w:color w:val="000000"/>
          <w:sz w:val="24"/>
          <w:szCs w:val="24"/>
          <w:highlight w:val="white"/>
        </w:rPr>
        <w:t xml:space="preserve">, C., Buckley, T.N., </w:t>
      </w:r>
      <w:proofErr w:type="spellStart"/>
      <w:r>
        <w:rPr>
          <w:rFonts w:ascii="Times New Roman" w:eastAsia="Times New Roman" w:hAnsi="Times New Roman" w:cs="Times New Roman"/>
          <w:color w:val="000000"/>
          <w:sz w:val="24"/>
          <w:szCs w:val="24"/>
          <w:highlight w:val="white"/>
        </w:rPr>
        <w:t>Cernusak</w:t>
      </w:r>
      <w:proofErr w:type="spellEnd"/>
      <w:r>
        <w:rPr>
          <w:rFonts w:ascii="Times New Roman" w:eastAsia="Times New Roman" w:hAnsi="Times New Roman" w:cs="Times New Roman"/>
          <w:color w:val="000000"/>
          <w:sz w:val="24"/>
          <w:szCs w:val="24"/>
          <w:highlight w:val="white"/>
        </w:rPr>
        <w:t xml:space="preserve">, L.A., Novick, K.A., Poulter, B., </w:t>
      </w:r>
      <w:proofErr w:type="spellStart"/>
      <w:r>
        <w:rPr>
          <w:rFonts w:ascii="Times New Roman" w:eastAsia="Times New Roman" w:hAnsi="Times New Roman" w:cs="Times New Roman"/>
          <w:color w:val="000000"/>
          <w:sz w:val="24"/>
          <w:szCs w:val="24"/>
          <w:highlight w:val="white"/>
        </w:rPr>
        <w:t>Siegwolf</w:t>
      </w:r>
      <w:proofErr w:type="spellEnd"/>
      <w:r>
        <w:rPr>
          <w:rFonts w:ascii="Times New Roman" w:eastAsia="Times New Roman" w:hAnsi="Times New Roman" w:cs="Times New Roman"/>
          <w:color w:val="000000"/>
          <w:sz w:val="24"/>
          <w:szCs w:val="24"/>
          <w:highlight w:val="white"/>
        </w:rPr>
        <w:t>, R.T., Sperry, J.S. and McDowell, N.G. (2020). Plant responses to rising vapor pressure deficit. </w:t>
      </w:r>
      <w:r>
        <w:rPr>
          <w:rFonts w:ascii="Times New Roman" w:eastAsia="Times New Roman" w:hAnsi="Times New Roman" w:cs="Times New Roman"/>
          <w:i/>
          <w:color w:val="000000"/>
          <w:sz w:val="24"/>
          <w:szCs w:val="24"/>
          <w:highlight w:val="white"/>
        </w:rPr>
        <w:t xml:space="preserve">New </w:t>
      </w:r>
      <w:proofErr w:type="spellStart"/>
      <w:r>
        <w:rPr>
          <w:rFonts w:ascii="Times New Roman" w:eastAsia="Times New Roman" w:hAnsi="Times New Roman" w:cs="Times New Roman"/>
          <w:i/>
          <w:color w:val="000000"/>
          <w:sz w:val="24"/>
          <w:szCs w:val="24"/>
          <w:highlight w:val="white"/>
        </w:rPr>
        <w:t>phytologist</w:t>
      </w:r>
      <w:proofErr w:type="spellEnd"/>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226</w:t>
      </w:r>
      <w:r>
        <w:rPr>
          <w:rFonts w:ascii="Times New Roman" w:eastAsia="Times New Roman" w:hAnsi="Times New Roman" w:cs="Times New Roman"/>
          <w:color w:val="000000"/>
          <w:sz w:val="24"/>
          <w:szCs w:val="24"/>
          <w:highlight w:val="white"/>
        </w:rPr>
        <w:t>(6), pp.1550-1566.</w:t>
      </w:r>
    </w:p>
    <w:p w14:paraId="5BC47E55"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Gutiérrez, J., Villa-Medina, J.F., Nieto-Garibay, A. and Porta-</w:t>
      </w:r>
      <w:proofErr w:type="spellStart"/>
      <w:r>
        <w:rPr>
          <w:rFonts w:ascii="Times New Roman" w:eastAsia="Times New Roman" w:hAnsi="Times New Roman" w:cs="Times New Roman"/>
          <w:color w:val="000000"/>
          <w:sz w:val="24"/>
          <w:szCs w:val="24"/>
          <w:highlight w:val="white"/>
        </w:rPr>
        <w:t>Gándara</w:t>
      </w:r>
      <w:proofErr w:type="spellEnd"/>
      <w:r>
        <w:rPr>
          <w:rFonts w:ascii="Times New Roman" w:eastAsia="Times New Roman" w:hAnsi="Times New Roman" w:cs="Times New Roman"/>
          <w:color w:val="000000"/>
          <w:sz w:val="24"/>
          <w:szCs w:val="24"/>
          <w:highlight w:val="white"/>
        </w:rPr>
        <w:t>, M.Á. (2013). Automated irrigation system using a wireless sensor network and GPRS module. </w:t>
      </w:r>
      <w:r>
        <w:rPr>
          <w:rFonts w:ascii="Times New Roman" w:eastAsia="Times New Roman" w:hAnsi="Times New Roman" w:cs="Times New Roman"/>
          <w:i/>
          <w:color w:val="000000"/>
          <w:sz w:val="24"/>
          <w:szCs w:val="24"/>
          <w:highlight w:val="white"/>
        </w:rPr>
        <w:t>IEEE transactions on instrumentation and measurement</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63</w:t>
      </w:r>
      <w:r>
        <w:rPr>
          <w:rFonts w:ascii="Times New Roman" w:eastAsia="Times New Roman" w:hAnsi="Times New Roman" w:cs="Times New Roman"/>
          <w:color w:val="000000"/>
          <w:sz w:val="24"/>
          <w:szCs w:val="24"/>
          <w:highlight w:val="white"/>
        </w:rPr>
        <w:t>(1), pp.166-176.</w:t>
      </w:r>
    </w:p>
    <w:p w14:paraId="1C2F66E9"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Hatfield, J. L., </w:t>
      </w:r>
      <w:proofErr w:type="spellStart"/>
      <w:r>
        <w:rPr>
          <w:rFonts w:ascii="Times New Roman" w:eastAsia="Times New Roman" w:hAnsi="Times New Roman" w:cs="Times New Roman"/>
          <w:color w:val="000000"/>
          <w:sz w:val="24"/>
          <w:szCs w:val="24"/>
          <w:highlight w:val="white"/>
        </w:rPr>
        <w:t>Boote</w:t>
      </w:r>
      <w:proofErr w:type="spellEnd"/>
      <w:r>
        <w:rPr>
          <w:rFonts w:ascii="Times New Roman" w:eastAsia="Times New Roman" w:hAnsi="Times New Roman" w:cs="Times New Roman"/>
          <w:color w:val="000000"/>
          <w:sz w:val="24"/>
          <w:szCs w:val="24"/>
          <w:highlight w:val="white"/>
        </w:rPr>
        <w:t xml:space="preserve">, K. J., Kimball, B. A., Ziska, L. H., </w:t>
      </w:r>
      <w:proofErr w:type="spellStart"/>
      <w:r>
        <w:rPr>
          <w:rFonts w:ascii="Times New Roman" w:eastAsia="Times New Roman" w:hAnsi="Times New Roman" w:cs="Times New Roman"/>
          <w:color w:val="000000"/>
          <w:sz w:val="24"/>
          <w:szCs w:val="24"/>
          <w:highlight w:val="white"/>
        </w:rPr>
        <w:t>Izaurralde</w:t>
      </w:r>
      <w:proofErr w:type="spellEnd"/>
      <w:r>
        <w:rPr>
          <w:rFonts w:ascii="Times New Roman" w:eastAsia="Times New Roman" w:hAnsi="Times New Roman" w:cs="Times New Roman"/>
          <w:color w:val="000000"/>
          <w:sz w:val="24"/>
          <w:szCs w:val="24"/>
          <w:highlight w:val="white"/>
        </w:rPr>
        <w:t xml:space="preserve">, R. C., Ort, D., Thomson, A. M., &amp; Wolfe, D. (2011). Climate impacts on agriculture: Implications for crop </w:t>
      </w:r>
      <w:r>
        <w:rPr>
          <w:rFonts w:ascii="Times New Roman" w:eastAsia="Times New Roman" w:hAnsi="Times New Roman" w:cs="Times New Roman"/>
          <w:color w:val="000000"/>
          <w:sz w:val="24"/>
          <w:szCs w:val="24"/>
          <w:highlight w:val="white"/>
        </w:rPr>
        <w:lastRenderedPageBreak/>
        <w:t xml:space="preserve">production. </w:t>
      </w:r>
      <w:r>
        <w:rPr>
          <w:rFonts w:ascii="Times New Roman" w:eastAsia="Times New Roman" w:hAnsi="Times New Roman" w:cs="Times New Roman"/>
          <w:i/>
          <w:color w:val="000000"/>
          <w:sz w:val="24"/>
          <w:szCs w:val="24"/>
          <w:highlight w:val="white"/>
        </w:rPr>
        <w:t>Agronomy Journal</w:t>
      </w:r>
      <w:r>
        <w:rPr>
          <w:rFonts w:ascii="Times New Roman" w:eastAsia="Times New Roman" w:hAnsi="Times New Roman" w:cs="Times New Roman"/>
          <w:color w:val="000000"/>
          <w:sz w:val="24"/>
          <w:szCs w:val="24"/>
          <w:highlight w:val="white"/>
        </w:rPr>
        <w:t xml:space="preserve">, 103(2), 351-370. </w:t>
      </w:r>
      <w:hyperlink r:id="rId14">
        <w:r>
          <w:rPr>
            <w:rFonts w:ascii="Times New Roman" w:eastAsia="Times New Roman" w:hAnsi="Times New Roman" w:cs="Times New Roman"/>
            <w:color w:val="000000"/>
            <w:sz w:val="24"/>
            <w:szCs w:val="24"/>
            <w:highlight w:val="white"/>
            <w:u w:val="single"/>
          </w:rPr>
          <w:t>https://doi.org/10.2134/agronj2010.0303</w:t>
        </w:r>
      </w:hyperlink>
    </w:p>
    <w:p w14:paraId="618BBEED"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Impollonia</w:t>
      </w:r>
      <w:proofErr w:type="spellEnd"/>
      <w:r>
        <w:rPr>
          <w:rFonts w:ascii="Times New Roman" w:eastAsia="Times New Roman" w:hAnsi="Times New Roman" w:cs="Times New Roman"/>
          <w:color w:val="000000"/>
          <w:sz w:val="24"/>
          <w:szCs w:val="24"/>
          <w:highlight w:val="white"/>
        </w:rPr>
        <w:t xml:space="preserve">, G., </w:t>
      </w:r>
      <w:proofErr w:type="spellStart"/>
      <w:r>
        <w:rPr>
          <w:rFonts w:ascii="Times New Roman" w:eastAsia="Times New Roman" w:hAnsi="Times New Roman" w:cs="Times New Roman"/>
          <w:color w:val="000000"/>
          <w:sz w:val="24"/>
          <w:szCs w:val="24"/>
          <w:highlight w:val="white"/>
        </w:rPr>
        <w:t>Croci</w:t>
      </w:r>
      <w:proofErr w:type="spellEnd"/>
      <w:r>
        <w:rPr>
          <w:rFonts w:ascii="Times New Roman" w:eastAsia="Times New Roman" w:hAnsi="Times New Roman" w:cs="Times New Roman"/>
          <w:color w:val="000000"/>
          <w:sz w:val="24"/>
          <w:szCs w:val="24"/>
          <w:highlight w:val="white"/>
        </w:rPr>
        <w:t xml:space="preserve">, M., </w:t>
      </w:r>
      <w:proofErr w:type="spellStart"/>
      <w:r>
        <w:rPr>
          <w:rFonts w:ascii="Times New Roman" w:eastAsia="Times New Roman" w:hAnsi="Times New Roman" w:cs="Times New Roman"/>
          <w:color w:val="000000"/>
          <w:sz w:val="24"/>
          <w:szCs w:val="24"/>
          <w:highlight w:val="white"/>
        </w:rPr>
        <w:t>Ferrarini</w:t>
      </w:r>
      <w:proofErr w:type="spellEnd"/>
      <w:r>
        <w:rPr>
          <w:rFonts w:ascii="Times New Roman" w:eastAsia="Times New Roman" w:hAnsi="Times New Roman" w:cs="Times New Roman"/>
          <w:color w:val="000000"/>
          <w:sz w:val="24"/>
          <w:szCs w:val="24"/>
          <w:highlight w:val="white"/>
        </w:rPr>
        <w:t xml:space="preserve">, A., Brook, J., </w:t>
      </w:r>
      <w:proofErr w:type="spellStart"/>
      <w:r>
        <w:rPr>
          <w:rFonts w:ascii="Times New Roman" w:eastAsia="Times New Roman" w:hAnsi="Times New Roman" w:cs="Times New Roman"/>
          <w:color w:val="000000"/>
          <w:sz w:val="24"/>
          <w:szCs w:val="24"/>
          <w:highlight w:val="white"/>
        </w:rPr>
        <w:t>Martani</w:t>
      </w:r>
      <w:proofErr w:type="spellEnd"/>
      <w:r>
        <w:rPr>
          <w:rFonts w:ascii="Times New Roman" w:eastAsia="Times New Roman" w:hAnsi="Times New Roman" w:cs="Times New Roman"/>
          <w:color w:val="000000"/>
          <w:sz w:val="24"/>
          <w:szCs w:val="24"/>
          <w:highlight w:val="white"/>
        </w:rPr>
        <w:t xml:space="preserve">, E., </w:t>
      </w:r>
      <w:proofErr w:type="spellStart"/>
      <w:r>
        <w:rPr>
          <w:rFonts w:ascii="Times New Roman" w:eastAsia="Times New Roman" w:hAnsi="Times New Roman" w:cs="Times New Roman"/>
          <w:color w:val="000000"/>
          <w:sz w:val="24"/>
          <w:szCs w:val="24"/>
          <w:highlight w:val="white"/>
        </w:rPr>
        <w:t>Blandinières</w:t>
      </w:r>
      <w:proofErr w:type="spellEnd"/>
      <w:r>
        <w:rPr>
          <w:rFonts w:ascii="Times New Roman" w:eastAsia="Times New Roman" w:hAnsi="Times New Roman" w:cs="Times New Roman"/>
          <w:color w:val="000000"/>
          <w:sz w:val="24"/>
          <w:szCs w:val="24"/>
          <w:highlight w:val="white"/>
        </w:rPr>
        <w:t xml:space="preserve">, H., </w:t>
      </w:r>
      <w:proofErr w:type="spellStart"/>
      <w:r>
        <w:rPr>
          <w:rFonts w:ascii="Times New Roman" w:eastAsia="Times New Roman" w:hAnsi="Times New Roman" w:cs="Times New Roman"/>
          <w:color w:val="000000"/>
          <w:sz w:val="24"/>
          <w:szCs w:val="24"/>
          <w:highlight w:val="white"/>
        </w:rPr>
        <w:t>Marcone</w:t>
      </w:r>
      <w:proofErr w:type="spellEnd"/>
      <w:r>
        <w:rPr>
          <w:rFonts w:ascii="Times New Roman" w:eastAsia="Times New Roman" w:hAnsi="Times New Roman" w:cs="Times New Roman"/>
          <w:color w:val="000000"/>
          <w:sz w:val="24"/>
          <w:szCs w:val="24"/>
          <w:highlight w:val="white"/>
        </w:rPr>
        <w:t xml:space="preserve">, A., </w:t>
      </w:r>
      <w:proofErr w:type="spellStart"/>
      <w:r>
        <w:rPr>
          <w:rFonts w:ascii="Times New Roman" w:eastAsia="Times New Roman" w:hAnsi="Times New Roman" w:cs="Times New Roman"/>
          <w:color w:val="000000"/>
          <w:sz w:val="24"/>
          <w:szCs w:val="24"/>
          <w:highlight w:val="white"/>
        </w:rPr>
        <w:t>Awty</w:t>
      </w:r>
      <w:proofErr w:type="spellEnd"/>
      <w:r>
        <w:rPr>
          <w:rFonts w:ascii="Times New Roman" w:eastAsia="Times New Roman" w:hAnsi="Times New Roman" w:cs="Times New Roman"/>
          <w:color w:val="000000"/>
          <w:sz w:val="24"/>
          <w:szCs w:val="24"/>
          <w:highlight w:val="white"/>
        </w:rPr>
        <w:t xml:space="preserve">-Carroll, D., Ashman, C., Kam, J. and </w:t>
      </w:r>
      <w:proofErr w:type="spellStart"/>
      <w:r>
        <w:rPr>
          <w:rFonts w:ascii="Times New Roman" w:eastAsia="Times New Roman" w:hAnsi="Times New Roman" w:cs="Times New Roman"/>
          <w:color w:val="000000"/>
          <w:sz w:val="24"/>
          <w:szCs w:val="24"/>
          <w:highlight w:val="white"/>
        </w:rPr>
        <w:t>Kiesel</w:t>
      </w:r>
      <w:proofErr w:type="spellEnd"/>
      <w:r>
        <w:rPr>
          <w:rFonts w:ascii="Times New Roman" w:eastAsia="Times New Roman" w:hAnsi="Times New Roman" w:cs="Times New Roman"/>
          <w:color w:val="000000"/>
          <w:sz w:val="24"/>
          <w:szCs w:val="24"/>
          <w:highlight w:val="white"/>
        </w:rPr>
        <w:t>, A. (2022). UAV remote sensing for high-throughput phenotyping and for yield prediction of miscanthus by machine learning techniques. </w:t>
      </w:r>
      <w:r>
        <w:rPr>
          <w:rFonts w:ascii="Times New Roman" w:eastAsia="Times New Roman" w:hAnsi="Times New Roman" w:cs="Times New Roman"/>
          <w:i/>
          <w:color w:val="000000"/>
          <w:sz w:val="24"/>
          <w:szCs w:val="24"/>
          <w:highlight w:val="white"/>
        </w:rPr>
        <w:t>Remote Sensing</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14</w:t>
      </w:r>
      <w:r>
        <w:rPr>
          <w:rFonts w:ascii="Times New Roman" w:eastAsia="Times New Roman" w:hAnsi="Times New Roman" w:cs="Times New Roman"/>
          <w:color w:val="000000"/>
          <w:sz w:val="24"/>
          <w:szCs w:val="24"/>
          <w:highlight w:val="white"/>
        </w:rPr>
        <w:t>(12), p.2927.</w:t>
      </w:r>
    </w:p>
    <w:p w14:paraId="49287279"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IPCC (2021). Climate Change 2021: </w:t>
      </w:r>
      <w:r>
        <w:rPr>
          <w:rFonts w:ascii="Times New Roman" w:eastAsia="Times New Roman" w:hAnsi="Times New Roman" w:cs="Times New Roman"/>
          <w:i/>
          <w:color w:val="000000"/>
          <w:sz w:val="24"/>
          <w:szCs w:val="24"/>
        </w:rPr>
        <w:t>The Physical Science Basis. Contribution of Working Group I to the Sixth Assessment Report of the Intergovernmental Panel on Climate Change</w:t>
      </w:r>
      <w:r>
        <w:rPr>
          <w:rFonts w:ascii="Times New Roman" w:eastAsia="Times New Roman" w:hAnsi="Times New Roman" w:cs="Times New Roman"/>
          <w:color w:val="000000"/>
          <w:sz w:val="24"/>
          <w:szCs w:val="24"/>
        </w:rPr>
        <w:t>[Masson-</w:t>
      </w:r>
      <w:proofErr w:type="spellStart"/>
      <w:r>
        <w:rPr>
          <w:rFonts w:ascii="Times New Roman" w:eastAsia="Times New Roman" w:hAnsi="Times New Roman" w:cs="Times New Roman"/>
          <w:color w:val="000000"/>
          <w:sz w:val="24"/>
          <w:szCs w:val="24"/>
        </w:rPr>
        <w:t>Delmotte</w:t>
      </w:r>
      <w:proofErr w:type="spellEnd"/>
      <w:r>
        <w:rPr>
          <w:rFonts w:ascii="Times New Roman" w:eastAsia="Times New Roman" w:hAnsi="Times New Roman" w:cs="Times New Roman"/>
          <w:color w:val="000000"/>
          <w:sz w:val="24"/>
          <w:szCs w:val="24"/>
        </w:rPr>
        <w:t xml:space="preserve">, V., P. </w:t>
      </w:r>
      <w:proofErr w:type="spellStart"/>
      <w:r>
        <w:rPr>
          <w:rFonts w:ascii="Times New Roman" w:eastAsia="Times New Roman" w:hAnsi="Times New Roman" w:cs="Times New Roman"/>
          <w:color w:val="000000"/>
          <w:sz w:val="24"/>
          <w:szCs w:val="24"/>
        </w:rPr>
        <w:t>Zhai</w:t>
      </w:r>
      <w:proofErr w:type="spellEnd"/>
      <w:r>
        <w:rPr>
          <w:rFonts w:ascii="Times New Roman" w:eastAsia="Times New Roman" w:hAnsi="Times New Roman" w:cs="Times New Roman"/>
          <w:color w:val="000000"/>
          <w:sz w:val="24"/>
          <w:szCs w:val="24"/>
        </w:rPr>
        <w:t xml:space="preserve">, A. Pirani, S.L. Connors, C. </w:t>
      </w:r>
      <w:proofErr w:type="spellStart"/>
      <w:r>
        <w:rPr>
          <w:rFonts w:ascii="Times New Roman" w:eastAsia="Times New Roman" w:hAnsi="Times New Roman" w:cs="Times New Roman"/>
          <w:color w:val="000000"/>
          <w:sz w:val="24"/>
          <w:szCs w:val="24"/>
        </w:rPr>
        <w:t>Péan</w:t>
      </w:r>
      <w:proofErr w:type="spellEnd"/>
      <w:r>
        <w:rPr>
          <w:rFonts w:ascii="Times New Roman" w:eastAsia="Times New Roman" w:hAnsi="Times New Roman" w:cs="Times New Roman"/>
          <w:color w:val="000000"/>
          <w:sz w:val="24"/>
          <w:szCs w:val="24"/>
        </w:rPr>
        <w:t xml:space="preserve">, S. Berger, N. </w:t>
      </w:r>
      <w:proofErr w:type="spellStart"/>
      <w:r>
        <w:rPr>
          <w:rFonts w:ascii="Times New Roman" w:eastAsia="Times New Roman" w:hAnsi="Times New Roman" w:cs="Times New Roman"/>
          <w:color w:val="000000"/>
          <w:sz w:val="24"/>
          <w:szCs w:val="24"/>
        </w:rPr>
        <w:t>Caud</w:t>
      </w:r>
      <w:proofErr w:type="spellEnd"/>
      <w:r>
        <w:rPr>
          <w:rFonts w:ascii="Times New Roman" w:eastAsia="Times New Roman" w:hAnsi="Times New Roman" w:cs="Times New Roman"/>
          <w:color w:val="000000"/>
          <w:sz w:val="24"/>
          <w:szCs w:val="24"/>
        </w:rPr>
        <w:t xml:space="preserve">, Y. Chen, L. Goldfarb, M.I. </w:t>
      </w:r>
      <w:proofErr w:type="spellStart"/>
      <w:r>
        <w:rPr>
          <w:rFonts w:ascii="Times New Roman" w:eastAsia="Times New Roman" w:hAnsi="Times New Roman" w:cs="Times New Roman"/>
          <w:color w:val="000000"/>
          <w:sz w:val="24"/>
          <w:szCs w:val="24"/>
        </w:rPr>
        <w:t>Gomis</w:t>
      </w:r>
      <w:proofErr w:type="spellEnd"/>
      <w:r>
        <w:rPr>
          <w:rFonts w:ascii="Times New Roman" w:eastAsia="Times New Roman" w:hAnsi="Times New Roman" w:cs="Times New Roman"/>
          <w:color w:val="000000"/>
          <w:sz w:val="24"/>
          <w:szCs w:val="24"/>
        </w:rPr>
        <w:t xml:space="preserve">, M. Huang, K. </w:t>
      </w:r>
      <w:proofErr w:type="spellStart"/>
      <w:r>
        <w:rPr>
          <w:rFonts w:ascii="Times New Roman" w:eastAsia="Times New Roman" w:hAnsi="Times New Roman" w:cs="Times New Roman"/>
          <w:color w:val="000000"/>
          <w:sz w:val="24"/>
          <w:szCs w:val="24"/>
        </w:rPr>
        <w:t>Leitzell</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Lonnoy</w:t>
      </w:r>
      <w:proofErr w:type="spellEnd"/>
      <w:r>
        <w:rPr>
          <w:rFonts w:ascii="Times New Roman" w:eastAsia="Times New Roman" w:hAnsi="Times New Roman" w:cs="Times New Roman"/>
          <w:color w:val="000000"/>
          <w:sz w:val="24"/>
          <w:szCs w:val="24"/>
        </w:rPr>
        <w:t xml:space="preserve">, J.B.R. Matthews, T.K. </w:t>
      </w:r>
      <w:proofErr w:type="spellStart"/>
      <w:r>
        <w:rPr>
          <w:rFonts w:ascii="Times New Roman" w:eastAsia="Times New Roman" w:hAnsi="Times New Roman" w:cs="Times New Roman"/>
          <w:color w:val="000000"/>
          <w:sz w:val="24"/>
          <w:szCs w:val="24"/>
        </w:rPr>
        <w:t>Maycock</w:t>
      </w:r>
      <w:proofErr w:type="spellEnd"/>
      <w:r>
        <w:rPr>
          <w:rFonts w:ascii="Times New Roman" w:eastAsia="Times New Roman" w:hAnsi="Times New Roman" w:cs="Times New Roman"/>
          <w:color w:val="000000"/>
          <w:sz w:val="24"/>
          <w:szCs w:val="24"/>
        </w:rPr>
        <w:t xml:space="preserve">, T. Waterfield, O. </w:t>
      </w:r>
      <w:proofErr w:type="spellStart"/>
      <w:r>
        <w:rPr>
          <w:rFonts w:ascii="Times New Roman" w:eastAsia="Times New Roman" w:hAnsi="Times New Roman" w:cs="Times New Roman"/>
          <w:color w:val="000000"/>
          <w:sz w:val="24"/>
          <w:szCs w:val="24"/>
        </w:rPr>
        <w:t>Yelekçi</w:t>
      </w:r>
      <w:proofErr w:type="spellEnd"/>
      <w:r>
        <w:rPr>
          <w:rFonts w:ascii="Times New Roman" w:eastAsia="Times New Roman" w:hAnsi="Times New Roman" w:cs="Times New Roman"/>
          <w:color w:val="000000"/>
          <w:sz w:val="24"/>
          <w:szCs w:val="24"/>
        </w:rPr>
        <w:t>, R. Yu, and B. Zhou (eds.)]. Cambridge University Press, Cambridge, United Kingdom and New York, NY, USA, In press, doi:</w:t>
      </w:r>
      <w:hyperlink r:id="rId15">
        <w:r>
          <w:rPr>
            <w:rFonts w:ascii="Times New Roman" w:eastAsia="Times New Roman" w:hAnsi="Times New Roman" w:cs="Times New Roman"/>
            <w:color w:val="000000"/>
            <w:sz w:val="24"/>
            <w:szCs w:val="24"/>
            <w:highlight w:val="white"/>
            <w:u w:val="single"/>
          </w:rPr>
          <w:t>10.1017/9781009157896</w:t>
        </w:r>
      </w:hyperlink>
      <w:r>
        <w:rPr>
          <w:rFonts w:ascii="Times New Roman" w:eastAsia="Times New Roman" w:hAnsi="Times New Roman" w:cs="Times New Roman"/>
          <w:color w:val="000000"/>
          <w:sz w:val="24"/>
          <w:szCs w:val="24"/>
          <w:highlight w:val="white"/>
        </w:rPr>
        <w:t xml:space="preserve">. </w:t>
      </w:r>
    </w:p>
    <w:p w14:paraId="2FBC66C5"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Jackson, R.D., Idso, S.B., </w:t>
      </w:r>
      <w:proofErr w:type="spellStart"/>
      <w:r>
        <w:rPr>
          <w:rFonts w:ascii="Times New Roman" w:eastAsia="Times New Roman" w:hAnsi="Times New Roman" w:cs="Times New Roman"/>
          <w:color w:val="000000"/>
          <w:sz w:val="24"/>
          <w:szCs w:val="24"/>
          <w:highlight w:val="white"/>
        </w:rPr>
        <w:t>Reginato</w:t>
      </w:r>
      <w:proofErr w:type="spellEnd"/>
      <w:r>
        <w:rPr>
          <w:rFonts w:ascii="Times New Roman" w:eastAsia="Times New Roman" w:hAnsi="Times New Roman" w:cs="Times New Roman"/>
          <w:color w:val="000000"/>
          <w:sz w:val="24"/>
          <w:szCs w:val="24"/>
          <w:highlight w:val="white"/>
        </w:rPr>
        <w:t>, R.J. and Pinter Jr, P.J. (1981). Canopy temperature as a crop water stress indicator. </w:t>
      </w:r>
      <w:r>
        <w:rPr>
          <w:rFonts w:ascii="Times New Roman" w:eastAsia="Times New Roman" w:hAnsi="Times New Roman" w:cs="Times New Roman"/>
          <w:i/>
          <w:color w:val="000000"/>
          <w:sz w:val="24"/>
          <w:szCs w:val="24"/>
          <w:highlight w:val="white"/>
        </w:rPr>
        <w:t>Water resources research</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17</w:t>
      </w:r>
      <w:r>
        <w:rPr>
          <w:rFonts w:ascii="Times New Roman" w:eastAsia="Times New Roman" w:hAnsi="Times New Roman" w:cs="Times New Roman"/>
          <w:color w:val="000000"/>
          <w:sz w:val="24"/>
          <w:szCs w:val="24"/>
          <w:highlight w:val="white"/>
        </w:rPr>
        <w:t>(4), pp.1133-1138.</w:t>
      </w:r>
    </w:p>
    <w:p w14:paraId="69BF7319"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Jones, H.G. (1992). Plants and microclimate: a quantitative approach to environmental plant physiology.</w:t>
      </w:r>
    </w:p>
    <w:p w14:paraId="70AF769F"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Jones, H.G. (1999). Use of thermography for quantitative studies of spatial and temporal variation of stomatal conductance over leaf surfaces. </w:t>
      </w:r>
      <w:r>
        <w:rPr>
          <w:rFonts w:ascii="Times New Roman" w:eastAsia="Times New Roman" w:hAnsi="Times New Roman" w:cs="Times New Roman"/>
          <w:i/>
          <w:color w:val="000000"/>
          <w:sz w:val="24"/>
          <w:szCs w:val="24"/>
          <w:highlight w:val="white"/>
        </w:rPr>
        <w:t>Plant, Cell &amp; Environment</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22</w:t>
      </w:r>
      <w:r>
        <w:rPr>
          <w:rFonts w:ascii="Times New Roman" w:eastAsia="Times New Roman" w:hAnsi="Times New Roman" w:cs="Times New Roman"/>
          <w:color w:val="000000"/>
          <w:sz w:val="24"/>
          <w:szCs w:val="24"/>
          <w:highlight w:val="white"/>
        </w:rPr>
        <w:t>(9), pp.1043-1055.</w:t>
      </w:r>
    </w:p>
    <w:p w14:paraId="1666AB39"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Jones, H.G. (2004). Application of thermal imaging and infrared sensing in plant physiology and ecophysiology. In </w:t>
      </w:r>
      <w:r>
        <w:rPr>
          <w:rFonts w:ascii="Times New Roman" w:eastAsia="Times New Roman" w:hAnsi="Times New Roman" w:cs="Times New Roman"/>
          <w:i/>
          <w:color w:val="000000"/>
          <w:sz w:val="24"/>
          <w:szCs w:val="24"/>
          <w:highlight w:val="white"/>
        </w:rPr>
        <w:t>Advances in botanical research</w:t>
      </w:r>
      <w:r>
        <w:rPr>
          <w:rFonts w:ascii="Times New Roman" w:eastAsia="Times New Roman" w:hAnsi="Times New Roman" w:cs="Times New Roman"/>
          <w:color w:val="000000"/>
          <w:sz w:val="24"/>
          <w:szCs w:val="24"/>
          <w:highlight w:val="white"/>
        </w:rPr>
        <w:t> (Vol. 41, pp. 107-163). Academic Press.</w:t>
      </w:r>
    </w:p>
    <w:p w14:paraId="7BC36E1D"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Jones, H.G., Hutchinson, P.A., May, T., Jamali, H. and </w:t>
      </w:r>
      <w:proofErr w:type="spellStart"/>
      <w:r>
        <w:rPr>
          <w:rFonts w:ascii="Times New Roman" w:eastAsia="Times New Roman" w:hAnsi="Times New Roman" w:cs="Times New Roman"/>
          <w:color w:val="000000"/>
          <w:sz w:val="24"/>
          <w:szCs w:val="24"/>
          <w:highlight w:val="white"/>
        </w:rPr>
        <w:t>Deery</w:t>
      </w:r>
      <w:proofErr w:type="spellEnd"/>
      <w:r>
        <w:rPr>
          <w:rFonts w:ascii="Times New Roman" w:eastAsia="Times New Roman" w:hAnsi="Times New Roman" w:cs="Times New Roman"/>
          <w:color w:val="000000"/>
          <w:sz w:val="24"/>
          <w:szCs w:val="24"/>
          <w:highlight w:val="white"/>
        </w:rPr>
        <w:t>, D.M. (2018). A practical method using a network of fixed infrared sensors for estimating crop canopy conductance and evaporation rate. </w:t>
      </w:r>
      <w:r>
        <w:rPr>
          <w:rFonts w:ascii="Times New Roman" w:eastAsia="Times New Roman" w:hAnsi="Times New Roman" w:cs="Times New Roman"/>
          <w:i/>
          <w:color w:val="000000"/>
          <w:sz w:val="24"/>
          <w:szCs w:val="24"/>
          <w:highlight w:val="white"/>
        </w:rPr>
        <w:t>biosystems engineering</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165</w:t>
      </w:r>
      <w:r>
        <w:rPr>
          <w:rFonts w:ascii="Times New Roman" w:eastAsia="Times New Roman" w:hAnsi="Times New Roman" w:cs="Times New Roman"/>
          <w:color w:val="000000"/>
          <w:sz w:val="24"/>
          <w:szCs w:val="24"/>
          <w:highlight w:val="white"/>
        </w:rPr>
        <w:t>, pp.59-69.</w:t>
      </w:r>
    </w:p>
    <w:p w14:paraId="13644885"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Keener, M.E. and Kircher, P.L. (1983). The use of canopy temperature as an indicator of drought stress in humid regions. </w:t>
      </w:r>
      <w:r>
        <w:rPr>
          <w:rFonts w:ascii="Times New Roman" w:eastAsia="Times New Roman" w:hAnsi="Times New Roman" w:cs="Times New Roman"/>
          <w:i/>
          <w:color w:val="000000"/>
          <w:sz w:val="24"/>
          <w:szCs w:val="24"/>
          <w:highlight w:val="white"/>
        </w:rPr>
        <w:t>Agricultural meteorology</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28</w:t>
      </w:r>
      <w:r>
        <w:rPr>
          <w:rFonts w:ascii="Times New Roman" w:eastAsia="Times New Roman" w:hAnsi="Times New Roman" w:cs="Times New Roman"/>
          <w:color w:val="000000"/>
          <w:sz w:val="24"/>
          <w:szCs w:val="24"/>
          <w:highlight w:val="white"/>
        </w:rPr>
        <w:t>(4), pp.339-349.</w:t>
      </w:r>
    </w:p>
    <w:p w14:paraId="093EE512"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Kim, Y., Glenn, D.M., Park, J., Ngugi, H.K. and Lehman, B.L. (2011). Hyperspectral image analysis for water stress detection of apple trees. </w:t>
      </w:r>
      <w:r>
        <w:rPr>
          <w:rFonts w:ascii="Times New Roman" w:eastAsia="Times New Roman" w:hAnsi="Times New Roman" w:cs="Times New Roman"/>
          <w:i/>
          <w:color w:val="000000"/>
          <w:sz w:val="24"/>
          <w:szCs w:val="24"/>
          <w:highlight w:val="white"/>
        </w:rPr>
        <w:t>Computers and Electronics in Agriculture</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77</w:t>
      </w:r>
      <w:r>
        <w:rPr>
          <w:rFonts w:ascii="Times New Roman" w:eastAsia="Times New Roman" w:hAnsi="Times New Roman" w:cs="Times New Roman"/>
          <w:color w:val="000000"/>
          <w:sz w:val="24"/>
          <w:szCs w:val="24"/>
          <w:highlight w:val="white"/>
        </w:rPr>
        <w:t>(2), pp.155-160.</w:t>
      </w:r>
    </w:p>
    <w:p w14:paraId="4CE69358"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Lobell, D.B., Roberts, M.J., </w:t>
      </w:r>
      <w:proofErr w:type="spellStart"/>
      <w:r>
        <w:rPr>
          <w:rFonts w:ascii="Times New Roman" w:eastAsia="Times New Roman" w:hAnsi="Times New Roman" w:cs="Times New Roman"/>
          <w:color w:val="000000"/>
          <w:sz w:val="24"/>
          <w:szCs w:val="24"/>
          <w:highlight w:val="white"/>
        </w:rPr>
        <w:t>Schlenker</w:t>
      </w:r>
      <w:proofErr w:type="spellEnd"/>
      <w:r>
        <w:rPr>
          <w:rFonts w:ascii="Times New Roman" w:eastAsia="Times New Roman" w:hAnsi="Times New Roman" w:cs="Times New Roman"/>
          <w:color w:val="000000"/>
          <w:sz w:val="24"/>
          <w:szCs w:val="24"/>
          <w:highlight w:val="white"/>
        </w:rPr>
        <w:t xml:space="preserve">, W., Braun, N., Little, B.B., </w:t>
      </w:r>
      <w:proofErr w:type="spellStart"/>
      <w:r>
        <w:rPr>
          <w:rFonts w:ascii="Times New Roman" w:eastAsia="Times New Roman" w:hAnsi="Times New Roman" w:cs="Times New Roman"/>
          <w:color w:val="000000"/>
          <w:sz w:val="24"/>
          <w:szCs w:val="24"/>
          <w:highlight w:val="white"/>
        </w:rPr>
        <w:t>Rejesus</w:t>
      </w:r>
      <w:proofErr w:type="spellEnd"/>
      <w:r>
        <w:rPr>
          <w:rFonts w:ascii="Times New Roman" w:eastAsia="Times New Roman" w:hAnsi="Times New Roman" w:cs="Times New Roman"/>
          <w:color w:val="000000"/>
          <w:sz w:val="24"/>
          <w:szCs w:val="24"/>
          <w:highlight w:val="white"/>
        </w:rPr>
        <w:t>, R.M. and Hammer, G.L. (2014). Greater sensitivity to drought accompanies maize yield increase in the US Midwest. </w:t>
      </w:r>
      <w:r>
        <w:rPr>
          <w:rFonts w:ascii="Times New Roman" w:eastAsia="Times New Roman" w:hAnsi="Times New Roman" w:cs="Times New Roman"/>
          <w:i/>
          <w:color w:val="000000"/>
          <w:sz w:val="24"/>
          <w:szCs w:val="24"/>
          <w:highlight w:val="white"/>
        </w:rPr>
        <w:t>Science</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344</w:t>
      </w:r>
      <w:r>
        <w:rPr>
          <w:rFonts w:ascii="Times New Roman" w:eastAsia="Times New Roman" w:hAnsi="Times New Roman" w:cs="Times New Roman"/>
          <w:color w:val="000000"/>
          <w:sz w:val="24"/>
          <w:szCs w:val="24"/>
          <w:highlight w:val="white"/>
        </w:rPr>
        <w:t>(6183), pp.516-519.</w:t>
      </w:r>
    </w:p>
    <w:p w14:paraId="44AF6C76"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lastRenderedPageBreak/>
        <w:t>Ludovisi</w:t>
      </w:r>
      <w:proofErr w:type="spellEnd"/>
      <w:r>
        <w:rPr>
          <w:rFonts w:ascii="Times New Roman" w:eastAsia="Times New Roman" w:hAnsi="Times New Roman" w:cs="Times New Roman"/>
          <w:color w:val="000000"/>
          <w:sz w:val="24"/>
          <w:szCs w:val="24"/>
          <w:highlight w:val="white"/>
        </w:rPr>
        <w:t xml:space="preserve">, R., </w:t>
      </w:r>
      <w:proofErr w:type="spellStart"/>
      <w:r>
        <w:rPr>
          <w:rFonts w:ascii="Times New Roman" w:eastAsia="Times New Roman" w:hAnsi="Times New Roman" w:cs="Times New Roman"/>
          <w:color w:val="000000"/>
          <w:sz w:val="24"/>
          <w:szCs w:val="24"/>
          <w:highlight w:val="white"/>
        </w:rPr>
        <w:t>Tauro</w:t>
      </w:r>
      <w:proofErr w:type="spellEnd"/>
      <w:r>
        <w:rPr>
          <w:rFonts w:ascii="Times New Roman" w:eastAsia="Times New Roman" w:hAnsi="Times New Roman" w:cs="Times New Roman"/>
          <w:color w:val="000000"/>
          <w:sz w:val="24"/>
          <w:szCs w:val="24"/>
          <w:highlight w:val="white"/>
        </w:rPr>
        <w:t xml:space="preserve">, F., </w:t>
      </w:r>
      <w:proofErr w:type="spellStart"/>
      <w:r>
        <w:rPr>
          <w:rFonts w:ascii="Times New Roman" w:eastAsia="Times New Roman" w:hAnsi="Times New Roman" w:cs="Times New Roman"/>
          <w:color w:val="000000"/>
          <w:sz w:val="24"/>
          <w:szCs w:val="24"/>
          <w:highlight w:val="white"/>
        </w:rPr>
        <w:t>Salvati</w:t>
      </w:r>
      <w:proofErr w:type="spellEnd"/>
      <w:r>
        <w:rPr>
          <w:rFonts w:ascii="Times New Roman" w:eastAsia="Times New Roman" w:hAnsi="Times New Roman" w:cs="Times New Roman"/>
          <w:color w:val="000000"/>
          <w:sz w:val="24"/>
          <w:szCs w:val="24"/>
          <w:highlight w:val="white"/>
        </w:rPr>
        <w:t xml:space="preserve">, R., Khoury, S., </w:t>
      </w:r>
      <w:proofErr w:type="spellStart"/>
      <w:r>
        <w:rPr>
          <w:rFonts w:ascii="Times New Roman" w:eastAsia="Times New Roman" w:hAnsi="Times New Roman" w:cs="Times New Roman"/>
          <w:color w:val="000000"/>
          <w:sz w:val="24"/>
          <w:szCs w:val="24"/>
          <w:highlight w:val="white"/>
        </w:rPr>
        <w:t>Mugnozza</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Scarascia</w:t>
      </w:r>
      <w:proofErr w:type="spellEnd"/>
      <w:r>
        <w:rPr>
          <w:rFonts w:ascii="Times New Roman" w:eastAsia="Times New Roman" w:hAnsi="Times New Roman" w:cs="Times New Roman"/>
          <w:color w:val="000000"/>
          <w:sz w:val="24"/>
          <w:szCs w:val="24"/>
          <w:highlight w:val="white"/>
        </w:rPr>
        <w:t xml:space="preserve">, G. and </w:t>
      </w:r>
      <w:proofErr w:type="spellStart"/>
      <w:r>
        <w:rPr>
          <w:rFonts w:ascii="Times New Roman" w:eastAsia="Times New Roman" w:hAnsi="Times New Roman" w:cs="Times New Roman"/>
          <w:color w:val="000000"/>
          <w:sz w:val="24"/>
          <w:szCs w:val="24"/>
          <w:highlight w:val="white"/>
        </w:rPr>
        <w:t>Harfouche</w:t>
      </w:r>
      <w:proofErr w:type="spellEnd"/>
      <w:r>
        <w:rPr>
          <w:rFonts w:ascii="Times New Roman" w:eastAsia="Times New Roman" w:hAnsi="Times New Roman" w:cs="Times New Roman"/>
          <w:color w:val="000000"/>
          <w:sz w:val="24"/>
          <w:szCs w:val="24"/>
          <w:highlight w:val="white"/>
        </w:rPr>
        <w:t>, A., (2017). UAV-based thermal imaging for high-throughput field phenotyping of black poplar response to drought. </w:t>
      </w:r>
      <w:r>
        <w:rPr>
          <w:rFonts w:ascii="Times New Roman" w:eastAsia="Times New Roman" w:hAnsi="Times New Roman" w:cs="Times New Roman"/>
          <w:i/>
          <w:color w:val="000000"/>
          <w:sz w:val="24"/>
          <w:szCs w:val="24"/>
          <w:highlight w:val="white"/>
        </w:rPr>
        <w:t>Frontiers in plant science</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8</w:t>
      </w:r>
      <w:r>
        <w:rPr>
          <w:rFonts w:ascii="Times New Roman" w:eastAsia="Times New Roman" w:hAnsi="Times New Roman" w:cs="Times New Roman"/>
          <w:color w:val="000000"/>
          <w:sz w:val="24"/>
          <w:szCs w:val="24"/>
          <w:highlight w:val="white"/>
        </w:rPr>
        <w:t>, p.1681.</w:t>
      </w:r>
    </w:p>
    <w:p w14:paraId="18E0CE60"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Medina, S., Vicente, R., Nieto-</w:t>
      </w:r>
      <w:proofErr w:type="spellStart"/>
      <w:r>
        <w:rPr>
          <w:rFonts w:ascii="Times New Roman" w:eastAsia="Times New Roman" w:hAnsi="Times New Roman" w:cs="Times New Roman"/>
          <w:color w:val="000000"/>
          <w:sz w:val="24"/>
          <w:szCs w:val="24"/>
          <w:highlight w:val="white"/>
        </w:rPr>
        <w:t>Taladriz</w:t>
      </w:r>
      <w:proofErr w:type="spellEnd"/>
      <w:r>
        <w:rPr>
          <w:rFonts w:ascii="Times New Roman" w:eastAsia="Times New Roman" w:hAnsi="Times New Roman" w:cs="Times New Roman"/>
          <w:color w:val="000000"/>
          <w:sz w:val="24"/>
          <w:szCs w:val="24"/>
          <w:highlight w:val="white"/>
        </w:rPr>
        <w:t xml:space="preserve">, M.T., Aparicio, N., </w:t>
      </w:r>
      <w:proofErr w:type="spellStart"/>
      <w:r>
        <w:rPr>
          <w:rFonts w:ascii="Times New Roman" w:eastAsia="Times New Roman" w:hAnsi="Times New Roman" w:cs="Times New Roman"/>
          <w:color w:val="000000"/>
          <w:sz w:val="24"/>
          <w:szCs w:val="24"/>
          <w:highlight w:val="white"/>
        </w:rPr>
        <w:t>Chairi</w:t>
      </w:r>
      <w:proofErr w:type="spellEnd"/>
      <w:r>
        <w:rPr>
          <w:rFonts w:ascii="Times New Roman" w:eastAsia="Times New Roman" w:hAnsi="Times New Roman" w:cs="Times New Roman"/>
          <w:color w:val="000000"/>
          <w:sz w:val="24"/>
          <w:szCs w:val="24"/>
          <w:highlight w:val="white"/>
        </w:rPr>
        <w:t xml:space="preserve">, F., Vergara-Diaz, O. and </w:t>
      </w:r>
      <w:proofErr w:type="spellStart"/>
      <w:r>
        <w:rPr>
          <w:rFonts w:ascii="Times New Roman" w:eastAsia="Times New Roman" w:hAnsi="Times New Roman" w:cs="Times New Roman"/>
          <w:color w:val="000000"/>
          <w:sz w:val="24"/>
          <w:szCs w:val="24"/>
          <w:highlight w:val="white"/>
        </w:rPr>
        <w:t>Araus</w:t>
      </w:r>
      <w:proofErr w:type="spellEnd"/>
      <w:r>
        <w:rPr>
          <w:rFonts w:ascii="Times New Roman" w:eastAsia="Times New Roman" w:hAnsi="Times New Roman" w:cs="Times New Roman"/>
          <w:color w:val="000000"/>
          <w:sz w:val="24"/>
          <w:szCs w:val="24"/>
          <w:highlight w:val="white"/>
        </w:rPr>
        <w:t>, J.L. (2019). The plant-transpiration response to vapor pressure deficit (VPD) in durum wheat is associated with differential yield performance and specific expression of genes involved in primary metabolism and water transport. </w:t>
      </w:r>
      <w:r>
        <w:rPr>
          <w:rFonts w:ascii="Times New Roman" w:eastAsia="Times New Roman" w:hAnsi="Times New Roman" w:cs="Times New Roman"/>
          <w:i/>
          <w:color w:val="000000"/>
          <w:sz w:val="24"/>
          <w:szCs w:val="24"/>
          <w:highlight w:val="white"/>
        </w:rPr>
        <w:t>Frontiers in plant science</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9</w:t>
      </w:r>
      <w:r>
        <w:rPr>
          <w:rFonts w:ascii="Times New Roman" w:eastAsia="Times New Roman" w:hAnsi="Times New Roman" w:cs="Times New Roman"/>
          <w:color w:val="000000"/>
          <w:sz w:val="24"/>
          <w:szCs w:val="24"/>
          <w:highlight w:val="white"/>
        </w:rPr>
        <w:t>, p.1994.</w:t>
      </w:r>
    </w:p>
    <w:p w14:paraId="0359F4BF"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Merilo</w:t>
      </w:r>
      <w:proofErr w:type="spellEnd"/>
      <w:r>
        <w:rPr>
          <w:rFonts w:ascii="Times New Roman" w:eastAsia="Times New Roman" w:hAnsi="Times New Roman" w:cs="Times New Roman"/>
          <w:color w:val="000000"/>
          <w:sz w:val="24"/>
          <w:szCs w:val="24"/>
          <w:highlight w:val="white"/>
        </w:rPr>
        <w:t xml:space="preserve">, E., </w:t>
      </w:r>
      <w:proofErr w:type="spellStart"/>
      <w:r>
        <w:rPr>
          <w:rFonts w:ascii="Times New Roman" w:eastAsia="Times New Roman" w:hAnsi="Times New Roman" w:cs="Times New Roman"/>
          <w:color w:val="000000"/>
          <w:sz w:val="24"/>
          <w:szCs w:val="24"/>
          <w:highlight w:val="white"/>
        </w:rPr>
        <w:t>Yarmolinsky</w:t>
      </w:r>
      <w:proofErr w:type="spellEnd"/>
      <w:r>
        <w:rPr>
          <w:rFonts w:ascii="Times New Roman" w:eastAsia="Times New Roman" w:hAnsi="Times New Roman" w:cs="Times New Roman"/>
          <w:color w:val="000000"/>
          <w:sz w:val="24"/>
          <w:szCs w:val="24"/>
          <w:highlight w:val="white"/>
        </w:rPr>
        <w:t xml:space="preserve">, D., </w:t>
      </w:r>
      <w:proofErr w:type="spellStart"/>
      <w:r>
        <w:rPr>
          <w:rFonts w:ascii="Times New Roman" w:eastAsia="Times New Roman" w:hAnsi="Times New Roman" w:cs="Times New Roman"/>
          <w:color w:val="000000"/>
          <w:sz w:val="24"/>
          <w:szCs w:val="24"/>
          <w:highlight w:val="white"/>
        </w:rPr>
        <w:t>Jalakas</w:t>
      </w:r>
      <w:proofErr w:type="spellEnd"/>
      <w:r>
        <w:rPr>
          <w:rFonts w:ascii="Times New Roman" w:eastAsia="Times New Roman" w:hAnsi="Times New Roman" w:cs="Times New Roman"/>
          <w:color w:val="000000"/>
          <w:sz w:val="24"/>
          <w:szCs w:val="24"/>
          <w:highlight w:val="white"/>
        </w:rPr>
        <w:t xml:space="preserve">, P., </w:t>
      </w:r>
      <w:proofErr w:type="spellStart"/>
      <w:r>
        <w:rPr>
          <w:rFonts w:ascii="Times New Roman" w:eastAsia="Times New Roman" w:hAnsi="Times New Roman" w:cs="Times New Roman"/>
          <w:color w:val="000000"/>
          <w:sz w:val="24"/>
          <w:szCs w:val="24"/>
          <w:highlight w:val="white"/>
        </w:rPr>
        <w:t>Parik</w:t>
      </w:r>
      <w:proofErr w:type="spellEnd"/>
      <w:r>
        <w:rPr>
          <w:rFonts w:ascii="Times New Roman" w:eastAsia="Times New Roman" w:hAnsi="Times New Roman" w:cs="Times New Roman"/>
          <w:color w:val="000000"/>
          <w:sz w:val="24"/>
          <w:szCs w:val="24"/>
          <w:highlight w:val="white"/>
        </w:rPr>
        <w:t xml:space="preserve">, H., </w:t>
      </w:r>
      <w:proofErr w:type="spellStart"/>
      <w:r>
        <w:rPr>
          <w:rFonts w:ascii="Times New Roman" w:eastAsia="Times New Roman" w:hAnsi="Times New Roman" w:cs="Times New Roman"/>
          <w:color w:val="000000"/>
          <w:sz w:val="24"/>
          <w:szCs w:val="24"/>
          <w:highlight w:val="white"/>
        </w:rPr>
        <w:t>Tulva</w:t>
      </w:r>
      <w:proofErr w:type="spellEnd"/>
      <w:r>
        <w:rPr>
          <w:rFonts w:ascii="Times New Roman" w:eastAsia="Times New Roman" w:hAnsi="Times New Roman" w:cs="Times New Roman"/>
          <w:color w:val="000000"/>
          <w:sz w:val="24"/>
          <w:szCs w:val="24"/>
          <w:highlight w:val="white"/>
        </w:rPr>
        <w:t xml:space="preserve">, I., </w:t>
      </w:r>
      <w:proofErr w:type="spellStart"/>
      <w:r>
        <w:rPr>
          <w:rFonts w:ascii="Times New Roman" w:eastAsia="Times New Roman" w:hAnsi="Times New Roman" w:cs="Times New Roman"/>
          <w:color w:val="000000"/>
          <w:sz w:val="24"/>
          <w:szCs w:val="24"/>
          <w:highlight w:val="white"/>
        </w:rPr>
        <w:t>Rasulov</w:t>
      </w:r>
      <w:proofErr w:type="spellEnd"/>
      <w:r>
        <w:rPr>
          <w:rFonts w:ascii="Times New Roman" w:eastAsia="Times New Roman" w:hAnsi="Times New Roman" w:cs="Times New Roman"/>
          <w:color w:val="000000"/>
          <w:sz w:val="24"/>
          <w:szCs w:val="24"/>
          <w:highlight w:val="white"/>
        </w:rPr>
        <w:t xml:space="preserve">, B., </w:t>
      </w:r>
      <w:proofErr w:type="spellStart"/>
      <w:r>
        <w:rPr>
          <w:rFonts w:ascii="Times New Roman" w:eastAsia="Times New Roman" w:hAnsi="Times New Roman" w:cs="Times New Roman"/>
          <w:color w:val="000000"/>
          <w:sz w:val="24"/>
          <w:szCs w:val="24"/>
          <w:highlight w:val="white"/>
        </w:rPr>
        <w:t>Kilk</w:t>
      </w:r>
      <w:proofErr w:type="spellEnd"/>
      <w:r>
        <w:rPr>
          <w:rFonts w:ascii="Times New Roman" w:eastAsia="Times New Roman" w:hAnsi="Times New Roman" w:cs="Times New Roman"/>
          <w:color w:val="000000"/>
          <w:sz w:val="24"/>
          <w:szCs w:val="24"/>
          <w:highlight w:val="white"/>
        </w:rPr>
        <w:t xml:space="preserve">, K. and </w:t>
      </w:r>
      <w:proofErr w:type="spellStart"/>
      <w:r>
        <w:rPr>
          <w:rFonts w:ascii="Times New Roman" w:eastAsia="Times New Roman" w:hAnsi="Times New Roman" w:cs="Times New Roman"/>
          <w:color w:val="000000"/>
          <w:sz w:val="24"/>
          <w:szCs w:val="24"/>
          <w:highlight w:val="white"/>
        </w:rPr>
        <w:t>Kollist</w:t>
      </w:r>
      <w:proofErr w:type="spellEnd"/>
      <w:r>
        <w:rPr>
          <w:rFonts w:ascii="Times New Roman" w:eastAsia="Times New Roman" w:hAnsi="Times New Roman" w:cs="Times New Roman"/>
          <w:color w:val="000000"/>
          <w:sz w:val="24"/>
          <w:szCs w:val="24"/>
          <w:highlight w:val="white"/>
        </w:rPr>
        <w:t>, H. (2018). Stomatal VPD response: there is more to the story than ABA. </w:t>
      </w:r>
      <w:r>
        <w:rPr>
          <w:rFonts w:ascii="Times New Roman" w:eastAsia="Times New Roman" w:hAnsi="Times New Roman" w:cs="Times New Roman"/>
          <w:i/>
          <w:color w:val="000000"/>
          <w:sz w:val="24"/>
          <w:szCs w:val="24"/>
          <w:highlight w:val="white"/>
        </w:rPr>
        <w:t>Plant physiology</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176</w:t>
      </w:r>
      <w:r>
        <w:rPr>
          <w:rFonts w:ascii="Times New Roman" w:eastAsia="Times New Roman" w:hAnsi="Times New Roman" w:cs="Times New Roman"/>
          <w:color w:val="000000"/>
          <w:sz w:val="24"/>
          <w:szCs w:val="24"/>
          <w:highlight w:val="white"/>
        </w:rPr>
        <w:t>(1), pp.851-864.</w:t>
      </w:r>
    </w:p>
    <w:p w14:paraId="2D0EFBE2"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Meron</w:t>
      </w:r>
      <w:proofErr w:type="spellEnd"/>
      <w:r>
        <w:rPr>
          <w:rFonts w:ascii="Times New Roman" w:eastAsia="Times New Roman" w:hAnsi="Times New Roman" w:cs="Times New Roman"/>
          <w:color w:val="000000"/>
          <w:sz w:val="24"/>
          <w:szCs w:val="24"/>
          <w:highlight w:val="white"/>
        </w:rPr>
        <w:t xml:space="preserve">, M., </w:t>
      </w:r>
      <w:proofErr w:type="spellStart"/>
      <w:r>
        <w:rPr>
          <w:rFonts w:ascii="Times New Roman" w:eastAsia="Times New Roman" w:hAnsi="Times New Roman" w:cs="Times New Roman"/>
          <w:color w:val="000000"/>
          <w:sz w:val="24"/>
          <w:szCs w:val="24"/>
          <w:highlight w:val="white"/>
        </w:rPr>
        <w:t>Sprintsin</w:t>
      </w:r>
      <w:proofErr w:type="spellEnd"/>
      <w:r>
        <w:rPr>
          <w:rFonts w:ascii="Times New Roman" w:eastAsia="Times New Roman" w:hAnsi="Times New Roman" w:cs="Times New Roman"/>
          <w:color w:val="000000"/>
          <w:sz w:val="24"/>
          <w:szCs w:val="24"/>
          <w:highlight w:val="white"/>
        </w:rPr>
        <w:t xml:space="preserve">, M., </w:t>
      </w:r>
      <w:proofErr w:type="spellStart"/>
      <w:r>
        <w:rPr>
          <w:rFonts w:ascii="Times New Roman" w:eastAsia="Times New Roman" w:hAnsi="Times New Roman" w:cs="Times New Roman"/>
          <w:color w:val="000000"/>
          <w:sz w:val="24"/>
          <w:szCs w:val="24"/>
          <w:highlight w:val="white"/>
        </w:rPr>
        <w:t>Tsipris</w:t>
      </w:r>
      <w:proofErr w:type="spellEnd"/>
      <w:r>
        <w:rPr>
          <w:rFonts w:ascii="Times New Roman" w:eastAsia="Times New Roman" w:hAnsi="Times New Roman" w:cs="Times New Roman"/>
          <w:color w:val="000000"/>
          <w:sz w:val="24"/>
          <w:szCs w:val="24"/>
          <w:highlight w:val="white"/>
        </w:rPr>
        <w:t xml:space="preserve">, J., </w:t>
      </w:r>
      <w:proofErr w:type="spellStart"/>
      <w:r>
        <w:rPr>
          <w:rFonts w:ascii="Times New Roman" w:eastAsia="Times New Roman" w:hAnsi="Times New Roman" w:cs="Times New Roman"/>
          <w:color w:val="000000"/>
          <w:sz w:val="24"/>
          <w:szCs w:val="24"/>
          <w:highlight w:val="white"/>
        </w:rPr>
        <w:t>Alchanatis</w:t>
      </w:r>
      <w:proofErr w:type="spellEnd"/>
      <w:r>
        <w:rPr>
          <w:rFonts w:ascii="Times New Roman" w:eastAsia="Times New Roman" w:hAnsi="Times New Roman" w:cs="Times New Roman"/>
          <w:color w:val="000000"/>
          <w:sz w:val="24"/>
          <w:szCs w:val="24"/>
          <w:highlight w:val="white"/>
        </w:rPr>
        <w:t>, V. and Cohen, Y. (2013). Foliage temperature extraction from thermal imagery for crop water stress determination. </w:t>
      </w:r>
      <w:r>
        <w:rPr>
          <w:rFonts w:ascii="Times New Roman" w:eastAsia="Times New Roman" w:hAnsi="Times New Roman" w:cs="Times New Roman"/>
          <w:i/>
          <w:color w:val="000000"/>
          <w:sz w:val="24"/>
          <w:szCs w:val="24"/>
          <w:highlight w:val="white"/>
        </w:rPr>
        <w:t>Precision Agriculture</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14</w:t>
      </w:r>
      <w:r>
        <w:rPr>
          <w:rFonts w:ascii="Times New Roman" w:eastAsia="Times New Roman" w:hAnsi="Times New Roman" w:cs="Times New Roman"/>
          <w:color w:val="000000"/>
          <w:sz w:val="24"/>
          <w:szCs w:val="24"/>
          <w:highlight w:val="white"/>
        </w:rPr>
        <w:t>, pp.467-477.</w:t>
      </w:r>
    </w:p>
    <w:p w14:paraId="32E1E54B"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Monteith, J. and Unsworth, M. (2013). </w:t>
      </w:r>
      <w:r>
        <w:rPr>
          <w:rFonts w:ascii="Times New Roman" w:eastAsia="Times New Roman" w:hAnsi="Times New Roman" w:cs="Times New Roman"/>
          <w:i/>
          <w:color w:val="000000"/>
          <w:sz w:val="24"/>
          <w:szCs w:val="24"/>
          <w:highlight w:val="white"/>
        </w:rPr>
        <w:t>Principles of environmental physics: plants, animals, and the atmosphere</w:t>
      </w:r>
      <w:r>
        <w:rPr>
          <w:rFonts w:ascii="Times New Roman" w:eastAsia="Times New Roman" w:hAnsi="Times New Roman" w:cs="Times New Roman"/>
          <w:color w:val="000000"/>
          <w:sz w:val="24"/>
          <w:szCs w:val="24"/>
          <w:highlight w:val="white"/>
        </w:rPr>
        <w:t>. Academic press.</w:t>
      </w:r>
    </w:p>
    <w:p w14:paraId="1F264012"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Neinavaz</w:t>
      </w:r>
      <w:proofErr w:type="spellEnd"/>
      <w:r>
        <w:rPr>
          <w:rFonts w:ascii="Times New Roman" w:eastAsia="Times New Roman" w:hAnsi="Times New Roman" w:cs="Times New Roman"/>
          <w:color w:val="000000"/>
          <w:sz w:val="24"/>
          <w:szCs w:val="24"/>
          <w:highlight w:val="white"/>
        </w:rPr>
        <w:t xml:space="preserve">, E., </w:t>
      </w:r>
      <w:proofErr w:type="spellStart"/>
      <w:r>
        <w:rPr>
          <w:rFonts w:ascii="Times New Roman" w:eastAsia="Times New Roman" w:hAnsi="Times New Roman" w:cs="Times New Roman"/>
          <w:color w:val="000000"/>
          <w:sz w:val="24"/>
          <w:szCs w:val="24"/>
          <w:highlight w:val="white"/>
        </w:rPr>
        <w:t>Schlerf</w:t>
      </w:r>
      <w:proofErr w:type="spellEnd"/>
      <w:r>
        <w:rPr>
          <w:rFonts w:ascii="Times New Roman" w:eastAsia="Times New Roman" w:hAnsi="Times New Roman" w:cs="Times New Roman"/>
          <w:color w:val="000000"/>
          <w:sz w:val="24"/>
          <w:szCs w:val="24"/>
          <w:highlight w:val="white"/>
        </w:rPr>
        <w:t xml:space="preserve">, M., </w:t>
      </w:r>
      <w:proofErr w:type="spellStart"/>
      <w:r>
        <w:rPr>
          <w:rFonts w:ascii="Times New Roman" w:eastAsia="Times New Roman" w:hAnsi="Times New Roman" w:cs="Times New Roman"/>
          <w:color w:val="000000"/>
          <w:sz w:val="24"/>
          <w:szCs w:val="24"/>
          <w:highlight w:val="white"/>
        </w:rPr>
        <w:t>Darvishzadeh</w:t>
      </w:r>
      <w:proofErr w:type="spellEnd"/>
      <w:r>
        <w:rPr>
          <w:rFonts w:ascii="Times New Roman" w:eastAsia="Times New Roman" w:hAnsi="Times New Roman" w:cs="Times New Roman"/>
          <w:color w:val="000000"/>
          <w:sz w:val="24"/>
          <w:szCs w:val="24"/>
          <w:highlight w:val="white"/>
        </w:rPr>
        <w:t>, R., Gerhards, M. and Skidmore, A.K. (2021). Thermal infrared remote sensing of vegetation: Current status and perspectives. </w:t>
      </w:r>
      <w:r>
        <w:rPr>
          <w:rFonts w:ascii="Times New Roman" w:eastAsia="Times New Roman" w:hAnsi="Times New Roman" w:cs="Times New Roman"/>
          <w:i/>
          <w:color w:val="000000"/>
          <w:sz w:val="24"/>
          <w:szCs w:val="24"/>
          <w:highlight w:val="white"/>
        </w:rPr>
        <w:t>International Journal of Applied Earth Observation and Geoinformation</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102</w:t>
      </w:r>
      <w:r>
        <w:rPr>
          <w:rFonts w:ascii="Times New Roman" w:eastAsia="Times New Roman" w:hAnsi="Times New Roman" w:cs="Times New Roman"/>
          <w:color w:val="000000"/>
          <w:sz w:val="24"/>
          <w:szCs w:val="24"/>
          <w:highlight w:val="white"/>
        </w:rPr>
        <w:t>, p.102415.</w:t>
      </w:r>
    </w:p>
    <w:p w14:paraId="1974B381"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Ortiz, D., </w:t>
      </w:r>
      <w:proofErr w:type="spellStart"/>
      <w:r>
        <w:rPr>
          <w:rFonts w:ascii="Times New Roman" w:eastAsia="Times New Roman" w:hAnsi="Times New Roman" w:cs="Times New Roman"/>
          <w:color w:val="000000"/>
          <w:sz w:val="24"/>
          <w:szCs w:val="24"/>
          <w:highlight w:val="white"/>
        </w:rPr>
        <w:t>Litvin</w:t>
      </w:r>
      <w:proofErr w:type="spellEnd"/>
      <w:r>
        <w:rPr>
          <w:rFonts w:ascii="Times New Roman" w:eastAsia="Times New Roman" w:hAnsi="Times New Roman" w:cs="Times New Roman"/>
          <w:color w:val="000000"/>
          <w:sz w:val="24"/>
          <w:szCs w:val="24"/>
          <w:highlight w:val="white"/>
        </w:rPr>
        <w:t>, A.G. and Salas Fernandez, M.G. (2018). A cost-effective and customizable automated irrigation system for precise high-throughput phenotyping in drought stress studies. </w:t>
      </w:r>
      <w:proofErr w:type="spellStart"/>
      <w:r>
        <w:rPr>
          <w:rFonts w:ascii="Times New Roman" w:eastAsia="Times New Roman" w:hAnsi="Times New Roman" w:cs="Times New Roman"/>
          <w:i/>
          <w:color w:val="000000"/>
          <w:sz w:val="24"/>
          <w:szCs w:val="24"/>
          <w:highlight w:val="white"/>
        </w:rPr>
        <w:t>PloS</w:t>
      </w:r>
      <w:proofErr w:type="spellEnd"/>
      <w:r>
        <w:rPr>
          <w:rFonts w:ascii="Times New Roman" w:eastAsia="Times New Roman" w:hAnsi="Times New Roman" w:cs="Times New Roman"/>
          <w:i/>
          <w:color w:val="000000"/>
          <w:sz w:val="24"/>
          <w:szCs w:val="24"/>
          <w:highlight w:val="white"/>
        </w:rPr>
        <w:t xml:space="preserve"> one</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13</w:t>
      </w:r>
      <w:r>
        <w:rPr>
          <w:rFonts w:ascii="Times New Roman" w:eastAsia="Times New Roman" w:hAnsi="Times New Roman" w:cs="Times New Roman"/>
          <w:color w:val="000000"/>
          <w:sz w:val="24"/>
          <w:szCs w:val="24"/>
          <w:highlight w:val="white"/>
        </w:rPr>
        <w:t>(6), p.e0198546.</w:t>
      </w:r>
    </w:p>
    <w:p w14:paraId="2D1721D9"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Reynolds, M.P., </w:t>
      </w:r>
      <w:proofErr w:type="spellStart"/>
      <w:r>
        <w:rPr>
          <w:rFonts w:ascii="Times New Roman" w:eastAsia="Times New Roman" w:hAnsi="Times New Roman" w:cs="Times New Roman"/>
          <w:color w:val="000000"/>
          <w:sz w:val="24"/>
          <w:szCs w:val="24"/>
          <w:highlight w:val="white"/>
        </w:rPr>
        <w:t>Balota</w:t>
      </w:r>
      <w:proofErr w:type="spellEnd"/>
      <w:r>
        <w:rPr>
          <w:rFonts w:ascii="Times New Roman" w:eastAsia="Times New Roman" w:hAnsi="Times New Roman" w:cs="Times New Roman"/>
          <w:color w:val="000000"/>
          <w:sz w:val="24"/>
          <w:szCs w:val="24"/>
          <w:highlight w:val="white"/>
        </w:rPr>
        <w:t>, M., Delgado, M.I.B., Amani, I. and Fischer, R.A. (1994). Physiological and morphological traits associated with spring wheat yield under hot, irrigated conditions. </w:t>
      </w:r>
      <w:r>
        <w:rPr>
          <w:rFonts w:ascii="Times New Roman" w:eastAsia="Times New Roman" w:hAnsi="Times New Roman" w:cs="Times New Roman"/>
          <w:i/>
          <w:color w:val="000000"/>
          <w:sz w:val="24"/>
          <w:szCs w:val="24"/>
          <w:highlight w:val="white"/>
        </w:rPr>
        <w:t>Functional Plant Biology</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21</w:t>
      </w:r>
      <w:r>
        <w:rPr>
          <w:rFonts w:ascii="Times New Roman" w:eastAsia="Times New Roman" w:hAnsi="Times New Roman" w:cs="Times New Roman"/>
          <w:color w:val="000000"/>
          <w:sz w:val="24"/>
          <w:szCs w:val="24"/>
          <w:highlight w:val="white"/>
        </w:rPr>
        <w:t>(6), pp.717-730.</w:t>
      </w:r>
    </w:p>
    <w:p w14:paraId="6B7A4E55"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Reynolds, M.P., Singh, R.P., Ibrahim, A., </w:t>
      </w:r>
      <w:proofErr w:type="spellStart"/>
      <w:r>
        <w:rPr>
          <w:rFonts w:ascii="Times New Roman" w:eastAsia="Times New Roman" w:hAnsi="Times New Roman" w:cs="Times New Roman"/>
          <w:color w:val="000000"/>
          <w:sz w:val="24"/>
          <w:szCs w:val="24"/>
          <w:highlight w:val="white"/>
        </w:rPr>
        <w:t>Ageeb</w:t>
      </w:r>
      <w:proofErr w:type="spellEnd"/>
      <w:r>
        <w:rPr>
          <w:rFonts w:ascii="Times New Roman" w:eastAsia="Times New Roman" w:hAnsi="Times New Roman" w:cs="Times New Roman"/>
          <w:color w:val="000000"/>
          <w:sz w:val="24"/>
          <w:szCs w:val="24"/>
          <w:highlight w:val="white"/>
        </w:rPr>
        <w:t xml:space="preserve">, O.A.A., </w:t>
      </w:r>
      <w:proofErr w:type="spellStart"/>
      <w:r>
        <w:rPr>
          <w:rFonts w:ascii="Times New Roman" w:eastAsia="Times New Roman" w:hAnsi="Times New Roman" w:cs="Times New Roman"/>
          <w:color w:val="000000"/>
          <w:sz w:val="24"/>
          <w:szCs w:val="24"/>
          <w:highlight w:val="white"/>
        </w:rPr>
        <w:t>Larque</w:t>
      </w:r>
      <w:proofErr w:type="spellEnd"/>
      <w:r>
        <w:rPr>
          <w:rFonts w:ascii="Times New Roman" w:eastAsia="Times New Roman" w:hAnsi="Times New Roman" w:cs="Times New Roman"/>
          <w:color w:val="000000"/>
          <w:sz w:val="24"/>
          <w:szCs w:val="24"/>
          <w:highlight w:val="white"/>
        </w:rPr>
        <w:t>-Saavedra, A. and Quick, J.S. (1997). Evaluating physiological traits to complement empirical selection for wheat in warm environments. In </w:t>
      </w:r>
      <w:r>
        <w:rPr>
          <w:rFonts w:ascii="Times New Roman" w:eastAsia="Times New Roman" w:hAnsi="Times New Roman" w:cs="Times New Roman"/>
          <w:i/>
          <w:color w:val="000000"/>
          <w:sz w:val="24"/>
          <w:szCs w:val="24"/>
          <w:highlight w:val="white"/>
        </w:rPr>
        <w:t>Wheat: Prospects for Global Improvement: Proceedings of the 5th International Wheat Conference, 10–14 June, 1996, Ankara, Turkey</w:t>
      </w:r>
      <w:r>
        <w:rPr>
          <w:rFonts w:ascii="Times New Roman" w:eastAsia="Times New Roman" w:hAnsi="Times New Roman" w:cs="Times New Roman"/>
          <w:color w:val="000000"/>
          <w:sz w:val="24"/>
          <w:szCs w:val="24"/>
          <w:highlight w:val="white"/>
        </w:rPr>
        <w:t> (pp. 143-152). Springer Netherlands.</w:t>
      </w:r>
    </w:p>
    <w:p w14:paraId="4E1BFE2D"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Sinclair, T.R., Messina, C.D., Beatty, A. and Samples, M. (2010). Assessment across the United States of the benefits of altered soybean drought traits. </w:t>
      </w:r>
      <w:r>
        <w:rPr>
          <w:rFonts w:ascii="Times New Roman" w:eastAsia="Times New Roman" w:hAnsi="Times New Roman" w:cs="Times New Roman"/>
          <w:i/>
          <w:color w:val="000000"/>
          <w:sz w:val="24"/>
          <w:szCs w:val="24"/>
          <w:highlight w:val="white"/>
        </w:rPr>
        <w:t>Agronomy Journal</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102</w:t>
      </w:r>
      <w:r>
        <w:rPr>
          <w:rFonts w:ascii="Times New Roman" w:eastAsia="Times New Roman" w:hAnsi="Times New Roman" w:cs="Times New Roman"/>
          <w:color w:val="000000"/>
          <w:sz w:val="24"/>
          <w:szCs w:val="24"/>
          <w:highlight w:val="white"/>
        </w:rPr>
        <w:t>(2), pp.475-482.</w:t>
      </w:r>
    </w:p>
    <w:p w14:paraId="22F2E262"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Sofi, P.A., Ara, A., Gull, M. and Rehman, K. (2019). Canopy temperature depression as an effective physiological trait for drought screening. In </w:t>
      </w:r>
      <w:r>
        <w:rPr>
          <w:rFonts w:ascii="Times New Roman" w:eastAsia="Times New Roman" w:hAnsi="Times New Roman" w:cs="Times New Roman"/>
          <w:i/>
          <w:color w:val="000000"/>
          <w:sz w:val="24"/>
          <w:szCs w:val="24"/>
          <w:highlight w:val="white"/>
        </w:rPr>
        <w:t>Drought-detection and solutions</w:t>
      </w:r>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IntechOpen</w:t>
      </w:r>
      <w:proofErr w:type="spellEnd"/>
      <w:r>
        <w:rPr>
          <w:rFonts w:ascii="Times New Roman" w:eastAsia="Times New Roman" w:hAnsi="Times New Roman" w:cs="Times New Roman"/>
          <w:color w:val="000000"/>
          <w:sz w:val="24"/>
          <w:szCs w:val="24"/>
          <w:highlight w:val="white"/>
        </w:rPr>
        <w:t>.</w:t>
      </w:r>
    </w:p>
    <w:p w14:paraId="5AE3A1DE"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Taiz, L., </w:t>
      </w:r>
      <w:proofErr w:type="gramStart"/>
      <w:r>
        <w:rPr>
          <w:rFonts w:ascii="Times New Roman" w:eastAsia="Times New Roman" w:hAnsi="Times New Roman" w:cs="Times New Roman"/>
          <w:color w:val="000000"/>
          <w:sz w:val="24"/>
          <w:szCs w:val="24"/>
        </w:rPr>
        <w:t>and  Zeiger</w:t>
      </w:r>
      <w:proofErr w:type="gramEnd"/>
      <w:r>
        <w:rPr>
          <w:rFonts w:ascii="Times New Roman" w:eastAsia="Times New Roman" w:hAnsi="Times New Roman" w:cs="Times New Roman"/>
          <w:color w:val="000000"/>
          <w:sz w:val="24"/>
          <w:szCs w:val="24"/>
        </w:rPr>
        <w:t xml:space="preserve">, E. (2010). </w:t>
      </w:r>
      <w:r>
        <w:rPr>
          <w:rFonts w:ascii="Times New Roman" w:eastAsia="Times New Roman" w:hAnsi="Times New Roman" w:cs="Times New Roman"/>
          <w:i/>
          <w:color w:val="000000"/>
          <w:sz w:val="24"/>
          <w:szCs w:val="24"/>
        </w:rPr>
        <w:t>Plant Physiology and Development</w:t>
      </w:r>
      <w:r>
        <w:rPr>
          <w:rFonts w:ascii="Times New Roman" w:eastAsia="Times New Roman" w:hAnsi="Times New Roman" w:cs="Times New Roman"/>
          <w:color w:val="000000"/>
          <w:sz w:val="24"/>
          <w:szCs w:val="24"/>
        </w:rPr>
        <w:t xml:space="preserve"> (5th ed.). Sinauer Associates.</w:t>
      </w:r>
    </w:p>
    <w:p w14:paraId="69C59A70"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Zia, S., Romano, G., </w:t>
      </w:r>
      <w:proofErr w:type="spellStart"/>
      <w:r>
        <w:rPr>
          <w:rFonts w:ascii="Times New Roman" w:eastAsia="Times New Roman" w:hAnsi="Times New Roman" w:cs="Times New Roman"/>
          <w:color w:val="000000"/>
          <w:sz w:val="24"/>
          <w:szCs w:val="24"/>
          <w:highlight w:val="white"/>
        </w:rPr>
        <w:t>Spreer</w:t>
      </w:r>
      <w:proofErr w:type="spellEnd"/>
      <w:r>
        <w:rPr>
          <w:rFonts w:ascii="Times New Roman" w:eastAsia="Times New Roman" w:hAnsi="Times New Roman" w:cs="Times New Roman"/>
          <w:color w:val="000000"/>
          <w:sz w:val="24"/>
          <w:szCs w:val="24"/>
          <w:highlight w:val="white"/>
        </w:rPr>
        <w:t xml:space="preserve">, W., Sanchez, C., Cairns, J., </w:t>
      </w:r>
      <w:proofErr w:type="spellStart"/>
      <w:r>
        <w:rPr>
          <w:rFonts w:ascii="Times New Roman" w:eastAsia="Times New Roman" w:hAnsi="Times New Roman" w:cs="Times New Roman"/>
          <w:color w:val="000000"/>
          <w:sz w:val="24"/>
          <w:szCs w:val="24"/>
          <w:highlight w:val="white"/>
        </w:rPr>
        <w:t>Araus</w:t>
      </w:r>
      <w:proofErr w:type="spellEnd"/>
      <w:r>
        <w:rPr>
          <w:rFonts w:ascii="Times New Roman" w:eastAsia="Times New Roman" w:hAnsi="Times New Roman" w:cs="Times New Roman"/>
          <w:color w:val="000000"/>
          <w:sz w:val="24"/>
          <w:szCs w:val="24"/>
          <w:highlight w:val="white"/>
        </w:rPr>
        <w:t>, J.L. and Müller, J. (2013). Infrared thermal imaging as a rapid tool for identifying water‐stress tolerant maize genotypes of different phenology. </w:t>
      </w:r>
      <w:r>
        <w:rPr>
          <w:rFonts w:ascii="Times New Roman" w:eastAsia="Times New Roman" w:hAnsi="Times New Roman" w:cs="Times New Roman"/>
          <w:i/>
          <w:color w:val="000000"/>
          <w:sz w:val="24"/>
          <w:szCs w:val="24"/>
          <w:highlight w:val="white"/>
        </w:rPr>
        <w:t>Journal of Agronomy and Crop Science</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199</w:t>
      </w:r>
      <w:r>
        <w:rPr>
          <w:rFonts w:ascii="Times New Roman" w:eastAsia="Times New Roman" w:hAnsi="Times New Roman" w:cs="Times New Roman"/>
          <w:color w:val="000000"/>
          <w:sz w:val="24"/>
          <w:szCs w:val="24"/>
          <w:highlight w:val="white"/>
        </w:rPr>
        <w:t>(2), pp.75-84.</w:t>
      </w:r>
    </w:p>
    <w:p w14:paraId="5CC29DE4" w14:textId="77777777" w:rsidR="004D77C3" w:rsidRDefault="004D77C3">
      <w:pPr>
        <w:spacing w:before="280" w:after="280" w:line="240" w:lineRule="auto"/>
        <w:rPr>
          <w:rFonts w:ascii="Times New Roman" w:eastAsia="Times New Roman" w:hAnsi="Times New Roman" w:cs="Times New Roman"/>
          <w:b/>
          <w:color w:val="000000"/>
          <w:sz w:val="27"/>
          <w:szCs w:val="27"/>
        </w:rPr>
      </w:pPr>
    </w:p>
    <w:p w14:paraId="3130208D" w14:textId="77777777" w:rsidR="004D77C3" w:rsidRDefault="004D77C3">
      <w:pPr>
        <w:spacing w:before="280" w:after="240"/>
        <w:jc w:val="both"/>
        <w:rPr>
          <w:rFonts w:ascii="Times New Roman" w:eastAsia="Times New Roman" w:hAnsi="Times New Roman" w:cs="Times New Roman"/>
          <w:color w:val="000000"/>
          <w:sz w:val="24"/>
          <w:szCs w:val="24"/>
        </w:rPr>
      </w:pPr>
    </w:p>
    <w:p w14:paraId="1E5D8A35" w14:textId="77777777" w:rsidR="004D77C3" w:rsidRDefault="004D77C3">
      <w:pPr>
        <w:spacing w:line="360" w:lineRule="auto"/>
        <w:jc w:val="both"/>
        <w:rPr>
          <w:rFonts w:ascii="Times New Roman" w:eastAsia="Times New Roman" w:hAnsi="Times New Roman" w:cs="Times New Roman"/>
          <w:b/>
          <w:color w:val="000000"/>
          <w:sz w:val="24"/>
          <w:szCs w:val="24"/>
        </w:rPr>
      </w:pPr>
    </w:p>
    <w:p w14:paraId="058BC396" w14:textId="77777777" w:rsidR="004D77C3" w:rsidRDefault="004D77C3">
      <w:pPr>
        <w:spacing w:before="280" w:after="280" w:line="360" w:lineRule="auto"/>
        <w:jc w:val="both"/>
        <w:rPr>
          <w:rFonts w:ascii="Times New Roman" w:eastAsia="Times New Roman" w:hAnsi="Times New Roman" w:cs="Times New Roman"/>
          <w:color w:val="000000"/>
          <w:sz w:val="24"/>
          <w:szCs w:val="24"/>
        </w:rPr>
      </w:pPr>
    </w:p>
    <w:p w14:paraId="5DDB0B09" w14:textId="77777777" w:rsidR="004D77C3" w:rsidRDefault="004D77C3">
      <w:pPr>
        <w:spacing w:line="360" w:lineRule="auto"/>
        <w:ind w:firstLine="720"/>
        <w:jc w:val="both"/>
        <w:rPr>
          <w:rFonts w:ascii="Times New Roman" w:eastAsia="Times New Roman" w:hAnsi="Times New Roman" w:cs="Times New Roman"/>
          <w:color w:val="000000"/>
          <w:sz w:val="24"/>
          <w:szCs w:val="24"/>
        </w:rPr>
      </w:pPr>
    </w:p>
    <w:sectPr w:rsidR="004D77C3">
      <w:headerReference w:type="even" r:id="rId16"/>
      <w:headerReference w:type="default" r:id="rId17"/>
      <w:footerReference w:type="even" r:id="rId18"/>
      <w:footerReference w:type="default" r:id="rId19"/>
      <w:headerReference w:type="first" r:id="rId20"/>
      <w:footerReference w:type="first" r:id="rId21"/>
      <w:pgSz w:w="11906" w:h="16838"/>
      <w:pgMar w:top="1440" w:right="1418" w:bottom="1440"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90C4AF" w14:textId="77777777" w:rsidR="001F1708" w:rsidRDefault="001F1708" w:rsidP="00581DC0">
      <w:pPr>
        <w:spacing w:after="0" w:line="240" w:lineRule="auto"/>
      </w:pPr>
      <w:r>
        <w:separator/>
      </w:r>
    </w:p>
  </w:endnote>
  <w:endnote w:type="continuationSeparator" w:id="0">
    <w:p w14:paraId="052EB0D8" w14:textId="77777777" w:rsidR="001F1708" w:rsidRDefault="001F1708" w:rsidP="00581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EEC9D" w14:textId="77777777" w:rsidR="00581DC0" w:rsidRDefault="00581D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E6FE6" w14:textId="77777777" w:rsidR="00581DC0" w:rsidRDefault="00581D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CCE39" w14:textId="77777777" w:rsidR="00581DC0" w:rsidRDefault="00581D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6872D" w14:textId="77777777" w:rsidR="001F1708" w:rsidRDefault="001F1708" w:rsidP="00581DC0">
      <w:pPr>
        <w:spacing w:after="0" w:line="240" w:lineRule="auto"/>
      </w:pPr>
      <w:r>
        <w:separator/>
      </w:r>
    </w:p>
  </w:footnote>
  <w:footnote w:type="continuationSeparator" w:id="0">
    <w:p w14:paraId="4F61AA13" w14:textId="77777777" w:rsidR="001F1708" w:rsidRDefault="001F1708" w:rsidP="00581D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A5159" w14:textId="042FD0A2" w:rsidR="00581DC0" w:rsidRDefault="00581DC0">
    <w:pPr>
      <w:pStyle w:val="Header"/>
    </w:pPr>
    <w:r>
      <w:rPr>
        <w:noProof/>
      </w:rPr>
      <w:pict w14:anchorId="7931BD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805938" o:spid="_x0000_s2050" type="#_x0000_t136" style="position:absolute;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BC79C" w14:textId="2D71C887" w:rsidR="00581DC0" w:rsidRDefault="00581DC0">
    <w:pPr>
      <w:pStyle w:val="Header"/>
    </w:pPr>
    <w:r>
      <w:rPr>
        <w:noProof/>
      </w:rPr>
      <w:pict w14:anchorId="7EBCD6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805939" o:spid="_x0000_s2051" type="#_x0000_t136" style="position:absolute;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D3878" w14:textId="4378C3A1" w:rsidR="00581DC0" w:rsidRDefault="00581DC0">
    <w:pPr>
      <w:pStyle w:val="Header"/>
    </w:pPr>
    <w:r>
      <w:rPr>
        <w:noProof/>
      </w:rPr>
      <w:pict w14:anchorId="508CC5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805937" o:spid="_x0000_s2049" type="#_x0000_t136" style="position:absolute;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1417B"/>
    <w:multiLevelType w:val="multilevel"/>
    <w:tmpl w:val="8850D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6766BF"/>
    <w:multiLevelType w:val="multilevel"/>
    <w:tmpl w:val="13B41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0948F6"/>
    <w:multiLevelType w:val="multilevel"/>
    <w:tmpl w:val="B46AB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4D77C3"/>
    <w:rsid w:val="00057332"/>
    <w:rsid w:val="00170934"/>
    <w:rsid w:val="00184F76"/>
    <w:rsid w:val="001A3297"/>
    <w:rsid w:val="001F1708"/>
    <w:rsid w:val="002D57A5"/>
    <w:rsid w:val="002F4F1F"/>
    <w:rsid w:val="003E53F7"/>
    <w:rsid w:val="004706A7"/>
    <w:rsid w:val="004D77C3"/>
    <w:rsid w:val="00581DC0"/>
    <w:rsid w:val="006D7B7D"/>
    <w:rsid w:val="007815F7"/>
    <w:rsid w:val="00A460DC"/>
    <w:rsid w:val="00B2595A"/>
    <w:rsid w:val="00B34EE4"/>
    <w:rsid w:val="00E92BDB"/>
    <w:rsid w:val="00F56837"/>
    <w:rsid w:val="00F605A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6254A2"/>
  <w15:docId w15:val="{844BC707-317F-4292-959D-83119CE18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1A3297"/>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1A3297"/>
    <w:rPr>
      <w:rFonts w:ascii="Tahoma" w:hAnsi="Tahoma" w:cs="Mangal"/>
      <w:sz w:val="16"/>
      <w:szCs w:val="14"/>
    </w:rPr>
  </w:style>
  <w:style w:type="character" w:styleId="Hyperlink">
    <w:name w:val="Hyperlink"/>
    <w:basedOn w:val="DefaultParagraphFont"/>
    <w:uiPriority w:val="99"/>
    <w:unhideWhenUsed/>
    <w:rsid w:val="00E92BDB"/>
    <w:rPr>
      <w:color w:val="0000FF" w:themeColor="hyperlink"/>
      <w:u w:val="single"/>
    </w:rPr>
  </w:style>
  <w:style w:type="character" w:styleId="UnresolvedMention">
    <w:name w:val="Unresolved Mention"/>
    <w:basedOn w:val="DefaultParagraphFont"/>
    <w:uiPriority w:val="99"/>
    <w:semiHidden/>
    <w:unhideWhenUsed/>
    <w:rsid w:val="00E92BDB"/>
    <w:rPr>
      <w:color w:val="605E5C"/>
      <w:shd w:val="clear" w:color="auto" w:fill="E1DFDD"/>
    </w:rPr>
  </w:style>
  <w:style w:type="paragraph" w:styleId="ListParagraph">
    <w:name w:val="List Paragraph"/>
    <w:basedOn w:val="Normal"/>
    <w:uiPriority w:val="34"/>
    <w:qFormat/>
    <w:rsid w:val="00184F76"/>
    <w:pPr>
      <w:ind w:left="720"/>
      <w:contextualSpacing/>
    </w:pPr>
    <w:rPr>
      <w:rFonts w:cs="Mangal"/>
      <w:szCs w:val="20"/>
    </w:rPr>
  </w:style>
  <w:style w:type="paragraph" w:styleId="Header">
    <w:name w:val="header"/>
    <w:basedOn w:val="Normal"/>
    <w:link w:val="HeaderChar"/>
    <w:uiPriority w:val="99"/>
    <w:unhideWhenUsed/>
    <w:rsid w:val="00581DC0"/>
    <w:pPr>
      <w:tabs>
        <w:tab w:val="center" w:pos="4680"/>
        <w:tab w:val="right" w:pos="9360"/>
      </w:tabs>
      <w:spacing w:after="0" w:line="240" w:lineRule="auto"/>
    </w:pPr>
    <w:rPr>
      <w:rFonts w:cs="Mangal"/>
      <w:szCs w:val="20"/>
    </w:rPr>
  </w:style>
  <w:style w:type="character" w:customStyle="1" w:styleId="HeaderChar">
    <w:name w:val="Header Char"/>
    <w:basedOn w:val="DefaultParagraphFont"/>
    <w:link w:val="Header"/>
    <w:uiPriority w:val="99"/>
    <w:rsid w:val="00581DC0"/>
    <w:rPr>
      <w:rFonts w:cs="Mangal"/>
      <w:szCs w:val="20"/>
    </w:rPr>
  </w:style>
  <w:style w:type="paragraph" w:styleId="Footer">
    <w:name w:val="footer"/>
    <w:basedOn w:val="Normal"/>
    <w:link w:val="FooterChar"/>
    <w:uiPriority w:val="99"/>
    <w:unhideWhenUsed/>
    <w:rsid w:val="00581DC0"/>
    <w:pPr>
      <w:tabs>
        <w:tab w:val="center" w:pos="4680"/>
        <w:tab w:val="right" w:pos="9360"/>
      </w:tabs>
      <w:spacing w:after="0" w:line="240" w:lineRule="auto"/>
    </w:pPr>
    <w:rPr>
      <w:rFonts w:cs="Mangal"/>
      <w:szCs w:val="20"/>
    </w:rPr>
  </w:style>
  <w:style w:type="character" w:customStyle="1" w:styleId="FooterChar">
    <w:name w:val="Footer Char"/>
    <w:basedOn w:val="DefaultParagraphFont"/>
    <w:link w:val="Footer"/>
    <w:uiPriority w:val="99"/>
    <w:rsid w:val="00581DC0"/>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x.doi.org/10.1017/9781009157896"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2134/agronj2010.0303"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18</Pages>
  <Words>5321</Words>
  <Characters>30336</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20</cp:revision>
  <dcterms:created xsi:type="dcterms:W3CDTF">2025-05-17T09:38:00Z</dcterms:created>
  <dcterms:modified xsi:type="dcterms:W3CDTF">2025-05-17T12:59:00Z</dcterms:modified>
</cp:coreProperties>
</file>