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AF774" w14:textId="77777777" w:rsidR="00754C9A" w:rsidRPr="008C3747" w:rsidRDefault="00754C9A" w:rsidP="00441B6F">
      <w:pPr>
        <w:pStyle w:val="Title"/>
        <w:spacing w:after="0"/>
        <w:jc w:val="both"/>
        <w:rPr>
          <w:rFonts w:ascii="Arial" w:hAnsi="Arial" w:cs="Arial"/>
          <w:sz w:val="18"/>
          <w:szCs w:val="18"/>
        </w:rPr>
      </w:pPr>
    </w:p>
    <w:p w14:paraId="0FD033B3" w14:textId="77777777" w:rsidR="008C3747" w:rsidRPr="008C3747" w:rsidRDefault="008C3747" w:rsidP="008C3747">
      <w:pPr>
        <w:pStyle w:val="Author"/>
        <w:rPr>
          <w:rFonts w:ascii="Arial" w:hAnsi="Arial" w:cs="Arial"/>
          <w:bCs/>
          <w:i/>
          <w:iCs/>
          <w:kern w:val="28"/>
          <w:sz w:val="18"/>
          <w:szCs w:val="18"/>
          <w:u w:val="single"/>
        </w:rPr>
      </w:pPr>
      <w:bookmarkStart w:id="0" w:name="_Hlk197464797"/>
      <w:r w:rsidRPr="008C3747">
        <w:rPr>
          <w:rFonts w:ascii="Arial" w:hAnsi="Arial" w:cs="Arial"/>
          <w:bCs/>
          <w:i/>
          <w:iCs/>
          <w:kern w:val="28"/>
          <w:sz w:val="18"/>
          <w:szCs w:val="18"/>
          <w:u w:val="single"/>
        </w:rPr>
        <w:t>Original Research Article</w:t>
      </w:r>
    </w:p>
    <w:p w14:paraId="7F23BFFB" w14:textId="0E86B32F" w:rsidR="00163BC4" w:rsidRPr="00605645" w:rsidRDefault="00060D34" w:rsidP="00441B6F">
      <w:pPr>
        <w:pStyle w:val="Author"/>
        <w:spacing w:line="240" w:lineRule="auto"/>
        <w:rPr>
          <w:rFonts w:ascii="Arial" w:hAnsi="Arial" w:cs="Arial"/>
          <w:bCs/>
          <w:iCs/>
          <w:kern w:val="28"/>
          <w:sz w:val="36"/>
        </w:rPr>
      </w:pPr>
      <w:r w:rsidRPr="00605645">
        <w:rPr>
          <w:rFonts w:ascii="Arial" w:hAnsi="Arial" w:cs="Arial"/>
          <w:bCs/>
          <w:iCs/>
          <w:kern w:val="28"/>
          <w:sz w:val="36"/>
        </w:rPr>
        <w:t>Influence of Potassium Fertilization on the Induction of Phenolic Markers of Resistance to Internal Browning in Pineapple (</w:t>
      </w:r>
      <w:r w:rsidRPr="00D14254">
        <w:rPr>
          <w:rFonts w:ascii="Arial" w:hAnsi="Arial" w:cs="Arial"/>
          <w:bCs/>
          <w:i/>
          <w:kern w:val="28"/>
          <w:sz w:val="36"/>
        </w:rPr>
        <w:t>Ananas comosus</w:t>
      </w:r>
      <w:r w:rsidRPr="00605645">
        <w:rPr>
          <w:rFonts w:ascii="Arial" w:hAnsi="Arial" w:cs="Arial"/>
          <w:bCs/>
          <w:iCs/>
          <w:kern w:val="28"/>
          <w:sz w:val="36"/>
        </w:rPr>
        <w:t xml:space="preserve"> L. Merr.)</w:t>
      </w:r>
      <w:bookmarkEnd w:id="0"/>
    </w:p>
    <w:p w14:paraId="1988EBC9" w14:textId="77777777" w:rsidR="00A258C3" w:rsidRPr="00605645" w:rsidRDefault="00A258C3" w:rsidP="00441B6F">
      <w:pPr>
        <w:pStyle w:val="Author"/>
        <w:spacing w:line="240" w:lineRule="auto"/>
        <w:jc w:val="both"/>
        <w:rPr>
          <w:rFonts w:ascii="Arial" w:hAnsi="Arial" w:cs="Arial"/>
          <w:sz w:val="36"/>
        </w:rPr>
      </w:pPr>
    </w:p>
    <w:p w14:paraId="4B049E24" w14:textId="77777777" w:rsidR="00F54145" w:rsidRPr="00605645" w:rsidRDefault="00F54145" w:rsidP="00441B6F">
      <w:pPr>
        <w:pStyle w:val="Affiliation"/>
        <w:spacing w:after="0" w:line="240" w:lineRule="auto"/>
        <w:jc w:val="both"/>
        <w:rPr>
          <w:rFonts w:ascii="Arial" w:hAnsi="Arial" w:cs="Arial"/>
          <w:lang w:val="fr-CI"/>
        </w:rPr>
      </w:pPr>
    </w:p>
    <w:p w14:paraId="23F7E08C" w14:textId="77777777" w:rsidR="002C57D2" w:rsidRPr="00605645" w:rsidRDefault="002C57D2" w:rsidP="00441B6F">
      <w:pPr>
        <w:pStyle w:val="Affiliation"/>
        <w:spacing w:after="0" w:line="240" w:lineRule="auto"/>
        <w:jc w:val="both"/>
        <w:rPr>
          <w:rFonts w:ascii="Arial" w:hAnsi="Arial" w:cs="Arial"/>
          <w:lang w:val="fr-CI"/>
        </w:rPr>
      </w:pPr>
    </w:p>
    <w:p w14:paraId="776E1A2C" w14:textId="77777777" w:rsidR="00B01FCD" w:rsidRPr="00605645" w:rsidRDefault="00000000" w:rsidP="00441B6F">
      <w:pPr>
        <w:pStyle w:val="Copyright"/>
        <w:spacing w:after="0" w:line="240" w:lineRule="auto"/>
        <w:jc w:val="both"/>
        <w:rPr>
          <w:rFonts w:ascii="Arial" w:hAnsi="Arial" w:cs="Arial"/>
        </w:rPr>
        <w:sectPr w:rsidR="00B01FCD" w:rsidRPr="00605645" w:rsidSect="00E33F8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A218894">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605645">
        <w:rPr>
          <w:rFonts w:ascii="Arial" w:hAnsi="Arial" w:cs="Arial"/>
        </w:rPr>
        <w:t>.</w:t>
      </w:r>
    </w:p>
    <w:p w14:paraId="55EEF67B" w14:textId="40974472" w:rsidR="00B01FCD" w:rsidRPr="00605645" w:rsidRDefault="00B01FCD" w:rsidP="00441B6F">
      <w:pPr>
        <w:pStyle w:val="AbstHead"/>
        <w:spacing w:after="0"/>
        <w:jc w:val="both"/>
        <w:rPr>
          <w:rFonts w:ascii="Arial" w:hAnsi="Arial" w:cs="Arial"/>
        </w:rPr>
      </w:pPr>
      <w:r w:rsidRPr="00605645">
        <w:rPr>
          <w:rFonts w:ascii="Arial" w:hAnsi="Arial" w:cs="Arial"/>
        </w:rPr>
        <w:t>ABSTRACT</w:t>
      </w:r>
    </w:p>
    <w:p w14:paraId="4B72A71F" w14:textId="77777777" w:rsidR="00790ADA" w:rsidRPr="00605645"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605645" w14:paraId="4D225BB1" w14:textId="77777777" w:rsidTr="001E44FE">
        <w:tc>
          <w:tcPr>
            <w:tcW w:w="9576" w:type="dxa"/>
            <w:shd w:val="clear" w:color="auto" w:fill="F2F2F2"/>
          </w:tcPr>
          <w:p w14:paraId="72E4C339" w14:textId="6A4C5360" w:rsidR="00505F06" w:rsidRPr="00605645" w:rsidRDefault="0022206D" w:rsidP="00441B6F">
            <w:pPr>
              <w:pStyle w:val="Body"/>
              <w:spacing w:after="0"/>
              <w:rPr>
                <w:rFonts w:ascii="Arial" w:eastAsia="Calibri" w:hAnsi="Arial" w:cs="Arial"/>
                <w:szCs w:val="22"/>
              </w:rPr>
            </w:pPr>
            <w:r w:rsidRPr="00605645">
              <w:rPr>
                <w:rFonts w:ascii="Arial" w:eastAsia="Calibri" w:hAnsi="Arial" w:cs="Arial"/>
                <w:szCs w:val="22"/>
              </w:rPr>
              <w:t>Internal browning is a major limiting factor in the post-harvest quality of pineapple, negatively impacting its marketability. This study aims to evaluate the effect of potassium fertilization on the induction of phenolic compounds associated with resistance to browning. Four levels of potassium supply (20, 28, 34 and 40 g K</w:t>
            </w:r>
            <w:r w:rsidRPr="00605645">
              <w:rPr>
                <w:rFonts w:ascii="Cambria Math" w:eastAsia="Calibri" w:hAnsi="Cambria Math" w:cs="Cambria Math"/>
                <w:szCs w:val="22"/>
              </w:rPr>
              <w:t>₂</w:t>
            </w:r>
            <w:r w:rsidRPr="00605645">
              <w:rPr>
                <w:rFonts w:ascii="Arial" w:eastAsia="Calibri" w:hAnsi="Arial" w:cs="Arial"/>
                <w:szCs w:val="22"/>
              </w:rPr>
              <w:t>O/plant) were tested on MD2 and smooth Cayenne varieties. After harvest, fruits were stored at low temperature at 10°C for 14 days, then at 22°C for 5 days before browning symptoms were assessed. Phenolic metabolites were then characterized using ultra-high performance liquid chromatography (U-HPLC). The results showed that increasing amount of potassium fertilizer pineapple cultivation significantly reduced the severity of fruit browning. Symptoms disappear from 34 g K</w:t>
            </w:r>
            <w:r w:rsidRPr="00605645">
              <w:rPr>
                <w:rFonts w:ascii="Cambria Math" w:eastAsia="Calibri" w:hAnsi="Cambria Math" w:cs="Cambria Math"/>
                <w:szCs w:val="22"/>
              </w:rPr>
              <w:t>₂</w:t>
            </w:r>
            <w:r w:rsidRPr="00605645">
              <w:rPr>
                <w:rFonts w:ascii="Arial" w:eastAsia="Calibri" w:hAnsi="Arial" w:cs="Arial"/>
                <w:szCs w:val="22"/>
              </w:rPr>
              <w:t>O/plant. Analysis of phenolic profiles reveals increased biosynthesis of flavonoids such as rutin, myricetin, genistin, gallic acid, protocatechic acid, genistein, quercetin, kaempferol, taxifolin, epicatechin and quercitrin.  These are identified as markers linked to resistance to internal rustling in pineapple. Furthermore, the MD2 variety proved more tolerant to browning than the smooth Cayenne, probably due to an initially richer phenolic composition. These results indicate that optimizing potassium intake could be an effective strategy for limiting post-harvest losses and improving the quality of fruit intended for export. A better understanding of the interactions between mineral nutrition and phenol metabolism could lead to the development of optimized cultivation strategies for the pineapple industry.</w:t>
            </w:r>
          </w:p>
        </w:tc>
      </w:tr>
    </w:tbl>
    <w:p w14:paraId="3A24640D" w14:textId="77777777" w:rsidR="00636EB2" w:rsidRPr="00605645" w:rsidRDefault="00636EB2" w:rsidP="00441B6F">
      <w:pPr>
        <w:pStyle w:val="Body"/>
        <w:spacing w:after="0"/>
        <w:rPr>
          <w:rFonts w:ascii="Arial" w:hAnsi="Arial" w:cs="Arial"/>
          <w:i/>
        </w:rPr>
      </w:pPr>
    </w:p>
    <w:p w14:paraId="211F1CE4" w14:textId="55669EE2" w:rsidR="00A24E7E" w:rsidRPr="00605645" w:rsidRDefault="00A24E7E" w:rsidP="00441B6F">
      <w:pPr>
        <w:pStyle w:val="Body"/>
        <w:spacing w:after="0"/>
        <w:rPr>
          <w:rFonts w:ascii="Arial" w:hAnsi="Arial" w:cs="Arial"/>
          <w:i/>
        </w:rPr>
      </w:pPr>
      <w:r w:rsidRPr="00605645">
        <w:rPr>
          <w:rFonts w:ascii="Arial" w:hAnsi="Arial" w:cs="Arial"/>
          <w:i/>
        </w:rPr>
        <w:t xml:space="preserve">Keywords: </w:t>
      </w:r>
      <w:r w:rsidR="0022206D" w:rsidRPr="00605645">
        <w:rPr>
          <w:rFonts w:ascii="Arial" w:hAnsi="Arial" w:cs="Arial"/>
          <w:i/>
        </w:rPr>
        <w:t>post-harvest, storage, potassium amendment, phenolic markers, flavonoids, secondary metabolites</w:t>
      </w:r>
    </w:p>
    <w:p w14:paraId="41A42C52" w14:textId="77777777" w:rsidR="00790ADA" w:rsidRPr="00605645" w:rsidRDefault="00790ADA" w:rsidP="00441B6F">
      <w:pPr>
        <w:pStyle w:val="Body"/>
        <w:spacing w:after="0"/>
        <w:rPr>
          <w:rFonts w:ascii="Arial" w:hAnsi="Arial" w:cs="Arial"/>
          <w:i/>
        </w:rPr>
      </w:pPr>
    </w:p>
    <w:p w14:paraId="460E9B2E" w14:textId="2F006A04" w:rsidR="00B52896" w:rsidRPr="00605645" w:rsidRDefault="00B52896" w:rsidP="00441B6F">
      <w:pPr>
        <w:pStyle w:val="Body"/>
        <w:spacing w:after="0"/>
        <w:rPr>
          <w:rFonts w:ascii="Arial" w:hAnsi="Arial" w:cs="Arial"/>
          <w:i/>
          <w:sz w:val="18"/>
        </w:rPr>
      </w:pPr>
    </w:p>
    <w:p w14:paraId="39640BE7" w14:textId="77777777" w:rsidR="0024282C" w:rsidRPr="00605645" w:rsidRDefault="0024282C" w:rsidP="00441B6F">
      <w:pPr>
        <w:pStyle w:val="Body"/>
        <w:spacing w:after="0"/>
        <w:rPr>
          <w:rFonts w:ascii="Arial" w:hAnsi="Arial" w:cs="Arial"/>
          <w:i/>
          <w:sz w:val="18"/>
        </w:rPr>
      </w:pPr>
    </w:p>
    <w:p w14:paraId="4E296EBD" w14:textId="77777777" w:rsidR="00505F06" w:rsidRPr="00605645" w:rsidRDefault="00505F06" w:rsidP="00441B6F">
      <w:pPr>
        <w:pStyle w:val="Body"/>
        <w:spacing w:after="0"/>
        <w:rPr>
          <w:rFonts w:ascii="Arial" w:hAnsi="Arial" w:cs="Arial"/>
          <w:i/>
        </w:rPr>
      </w:pPr>
    </w:p>
    <w:p w14:paraId="268A2FFD" w14:textId="16FACB1D" w:rsidR="007F7B32" w:rsidRPr="00605645" w:rsidRDefault="00902823" w:rsidP="00441B6F">
      <w:pPr>
        <w:pStyle w:val="AbstHead"/>
        <w:spacing w:after="0"/>
        <w:jc w:val="both"/>
        <w:rPr>
          <w:rFonts w:ascii="Arial" w:hAnsi="Arial" w:cs="Arial"/>
        </w:rPr>
      </w:pPr>
      <w:r w:rsidRPr="00605645">
        <w:rPr>
          <w:rFonts w:ascii="Arial" w:hAnsi="Arial" w:cs="Arial"/>
        </w:rPr>
        <w:t xml:space="preserve">1. </w:t>
      </w:r>
      <w:r w:rsidR="00B01FCD" w:rsidRPr="00605645">
        <w:rPr>
          <w:rFonts w:ascii="Arial" w:hAnsi="Arial" w:cs="Arial"/>
        </w:rPr>
        <w:t>INTRODUCTION</w:t>
      </w:r>
      <w:r w:rsidR="007F7B32" w:rsidRPr="00605645">
        <w:rPr>
          <w:rFonts w:ascii="Arial" w:hAnsi="Arial" w:cs="Arial"/>
        </w:rPr>
        <w:t xml:space="preserve"> </w:t>
      </w:r>
    </w:p>
    <w:p w14:paraId="1E5FC2E5" w14:textId="77777777" w:rsidR="00790ADA" w:rsidRPr="00605645" w:rsidRDefault="00790ADA" w:rsidP="00441B6F">
      <w:pPr>
        <w:pStyle w:val="AbstHead"/>
        <w:spacing w:after="0"/>
        <w:jc w:val="both"/>
        <w:rPr>
          <w:rFonts w:ascii="Arial" w:hAnsi="Arial" w:cs="Arial"/>
        </w:rPr>
      </w:pPr>
    </w:p>
    <w:p w14:paraId="6413679D" w14:textId="54A6F0D5" w:rsidR="00B01FCD" w:rsidRPr="00605645" w:rsidRDefault="0022206D" w:rsidP="00441B6F">
      <w:pPr>
        <w:pStyle w:val="Body"/>
        <w:spacing w:after="0"/>
        <w:rPr>
          <w:rFonts w:ascii="Arial" w:hAnsi="Arial" w:cs="Arial"/>
        </w:rPr>
      </w:pPr>
      <w:r w:rsidRPr="00605645">
        <w:rPr>
          <w:rFonts w:ascii="Arial" w:hAnsi="Arial" w:cs="Arial"/>
        </w:rPr>
        <w:t>In Côte d'Ivoire, pineapple ranks third among export fruit crops, after banana and mango (</w:t>
      </w:r>
      <w:proofErr w:type="spellStart"/>
      <w:r w:rsidRPr="00605645">
        <w:rPr>
          <w:rFonts w:ascii="Arial" w:hAnsi="Arial" w:cs="Arial"/>
        </w:rPr>
        <w:t>Assocle</w:t>
      </w:r>
      <w:proofErr w:type="spellEnd"/>
      <w:r w:rsidRPr="00605645">
        <w:rPr>
          <w:rFonts w:ascii="Arial" w:hAnsi="Arial" w:cs="Arial"/>
        </w:rPr>
        <w:t>, 2024). Pineapple is therefore an important source of foreign currency, providing a livelihood for many producers. Indeed, pineapple exports generate more than FCFA 45 billion a year for the Ivorian state and contribute 0.6% of national GDP and 1.6% of agricultural GDP (MINAGRI, 2018). However, the 1980s marked the start of a long crisis in the pineapple sector, which worsened after the political crisis of 2002 (Yapo, 2013). Côte d'Ivoire's exports to the European market fell drastically from 213,620 tons in 1999 to 18,516 tons in 2024 (</w:t>
      </w:r>
      <w:proofErr w:type="spellStart"/>
      <w:r w:rsidRPr="00605645">
        <w:rPr>
          <w:rFonts w:ascii="Arial" w:hAnsi="Arial" w:cs="Arial"/>
        </w:rPr>
        <w:t>Assocle</w:t>
      </w:r>
      <w:proofErr w:type="spellEnd"/>
      <w:r w:rsidRPr="00605645">
        <w:rPr>
          <w:rFonts w:ascii="Arial" w:hAnsi="Arial" w:cs="Arial"/>
        </w:rPr>
        <w:t xml:space="preserve">, 2024). This decline is strongly linked to soil depletion due to monoculture, the high level of chemical residues, acidity and internal browning of the fruit, etc. (Marceline et al., 2020). However, internal browning is one of the most important causes </w:t>
      </w:r>
      <w:r w:rsidRPr="00605645">
        <w:rPr>
          <w:rFonts w:ascii="Arial" w:hAnsi="Arial" w:cs="Arial"/>
        </w:rPr>
        <w:lastRenderedPageBreak/>
        <w:t xml:space="preserve">of this crisis in the pineapple sector (Coulibaly et al., 2017; Kouadio et al., 2025). Indeed, the post-harvest quality of pineapple is often compromised by physiological disorders including internal browning, which affects not only the appearance of the fruit but also its nutritional quality and consumer acceptability (Xinhua et al., 2011; Hong et al., 2013). Internal browning of pineapple fruit depends on several factors such as planting, cultivation techniques and, above all, post-harvest preservation procedures (low-temperature storage during export). Given the huge economic losses associated with internal browning when fresh pineapple is exported, work highlighting the influence of potassium amendment in controlling this phenomenon has been carried out (Coulibaly et al., 2019; Kouadio et al., 2025). Indeed, pineapple plants absorb the nutrients required for their various physiological functions (growth, development, reproduction) (PIP, 2009). Potassium, absorbed by plants in its ionic form K+, regulates osmotic pressure and the opening and closing of stomata (MAPM/DERD, 2007; </w:t>
      </w:r>
      <w:proofErr w:type="spellStart"/>
      <w:r w:rsidRPr="00605645">
        <w:rPr>
          <w:rFonts w:ascii="Arial" w:hAnsi="Arial" w:cs="Arial"/>
        </w:rPr>
        <w:t>Belfakih</w:t>
      </w:r>
      <w:proofErr w:type="spellEnd"/>
      <w:r w:rsidRPr="00605645">
        <w:rPr>
          <w:rFonts w:ascii="Arial" w:hAnsi="Arial" w:cs="Arial"/>
        </w:rPr>
        <w:t xml:space="preserve"> et al., 2013). In addition, it is used as a cofactor in enzymatic and biochemical reactions (Belfakih et al., 2013). Furthermore, the work of Gomes et al. (2004) reported that an appropriate concentration of potassium in the soil is necessary for good-quality pineapple production. Thus, according to Antonio et al. (2005), the application of a large quantity of potassium in pineapple inhibits the internal browning of the fruit at maturity. In view of the above, the study of the underlying mechanisms and the development of effective strategies to prevent internal browning are essential to improve fruit quality during storage. The aim of this study is to evaluate the impact of potassium fertilization on the induction of phenolic markers linked to resistance to internal fruit browning during post-harvest storage in pineapple.</w:t>
      </w:r>
    </w:p>
    <w:p w14:paraId="577AF0AA" w14:textId="77777777" w:rsidR="00790ADA" w:rsidRPr="00605645" w:rsidRDefault="00790ADA" w:rsidP="00441B6F">
      <w:pPr>
        <w:pStyle w:val="Body"/>
        <w:spacing w:after="0"/>
        <w:rPr>
          <w:rFonts w:ascii="Arial" w:hAnsi="Arial" w:cs="Arial"/>
        </w:rPr>
      </w:pPr>
    </w:p>
    <w:p w14:paraId="226F828D" w14:textId="10A60FEB" w:rsidR="007F7B32" w:rsidRPr="00605645" w:rsidRDefault="00902823" w:rsidP="00441B6F">
      <w:pPr>
        <w:pStyle w:val="AbstHead"/>
        <w:spacing w:after="0"/>
        <w:jc w:val="both"/>
        <w:rPr>
          <w:rFonts w:ascii="Arial" w:hAnsi="Arial" w:cs="Arial"/>
        </w:rPr>
      </w:pPr>
      <w:r w:rsidRPr="00605645">
        <w:rPr>
          <w:rFonts w:ascii="Arial" w:hAnsi="Arial" w:cs="Arial"/>
        </w:rPr>
        <w:t>2. material and method</w:t>
      </w:r>
      <w:r w:rsidR="00000F8F" w:rsidRPr="00605645">
        <w:rPr>
          <w:rFonts w:ascii="Arial" w:hAnsi="Arial" w:cs="Arial"/>
        </w:rPr>
        <w:t xml:space="preserve">s </w:t>
      </w:r>
    </w:p>
    <w:p w14:paraId="79EDB0CB" w14:textId="77777777" w:rsidR="00790ADA" w:rsidRPr="00605645" w:rsidRDefault="00790ADA" w:rsidP="00441B6F">
      <w:pPr>
        <w:pStyle w:val="Body"/>
        <w:spacing w:after="0"/>
        <w:rPr>
          <w:rFonts w:ascii="Arial" w:hAnsi="Arial" w:cs="Arial"/>
        </w:rPr>
      </w:pPr>
    </w:p>
    <w:p w14:paraId="2EA45608" w14:textId="17BCA30F" w:rsidR="00AA74E0" w:rsidRPr="00605645" w:rsidRDefault="00AA74E0" w:rsidP="00441B6F">
      <w:pPr>
        <w:pStyle w:val="Body"/>
        <w:spacing w:after="0"/>
        <w:rPr>
          <w:rFonts w:ascii="Arial" w:hAnsi="Arial" w:cs="Arial"/>
        </w:rPr>
      </w:pPr>
      <w:r w:rsidRPr="00605645">
        <w:rPr>
          <w:rFonts w:ascii="Arial" w:hAnsi="Arial" w:cs="Arial"/>
          <w:b/>
          <w:caps/>
          <w:sz w:val="22"/>
        </w:rPr>
        <w:t xml:space="preserve">2.1 </w:t>
      </w:r>
      <w:r w:rsidR="0022206D" w:rsidRPr="00605645">
        <w:rPr>
          <w:rFonts w:ascii="Arial" w:hAnsi="Arial" w:cs="Arial"/>
          <w:b/>
          <w:sz w:val="22"/>
        </w:rPr>
        <w:t xml:space="preserve">Plant material </w:t>
      </w:r>
    </w:p>
    <w:p w14:paraId="7185352A" w14:textId="77777777" w:rsidR="00505F06" w:rsidRPr="00605645" w:rsidRDefault="00505F06" w:rsidP="00441B6F">
      <w:pPr>
        <w:pStyle w:val="Body"/>
        <w:spacing w:after="0"/>
        <w:rPr>
          <w:rFonts w:ascii="Arial" w:hAnsi="Arial" w:cs="Arial"/>
        </w:rPr>
      </w:pPr>
    </w:p>
    <w:p w14:paraId="672DA6E9" w14:textId="30898613" w:rsidR="0022206D" w:rsidRPr="00605645" w:rsidRDefault="0022206D" w:rsidP="00441B6F">
      <w:pPr>
        <w:pStyle w:val="Body"/>
        <w:spacing w:after="0"/>
        <w:rPr>
          <w:rFonts w:ascii="Arial" w:hAnsi="Arial" w:cs="Arial"/>
        </w:rPr>
      </w:pPr>
      <w:r w:rsidRPr="00605645">
        <w:rPr>
          <w:rFonts w:ascii="Arial" w:hAnsi="Arial" w:cs="Arial"/>
        </w:rPr>
        <w:t>The plant material consisted of pineapple shoots of the MD2 and smooth Cayenne (</w:t>
      </w:r>
      <w:r w:rsidRPr="00605645">
        <w:rPr>
          <w:rFonts w:ascii="Arial" w:hAnsi="Arial" w:cs="Arial"/>
          <w:i/>
          <w:iCs/>
        </w:rPr>
        <w:t>Ananas comosus</w:t>
      </w:r>
      <w:r w:rsidRPr="00605645">
        <w:rPr>
          <w:rFonts w:ascii="Arial" w:hAnsi="Arial" w:cs="Arial"/>
        </w:rPr>
        <w:t xml:space="preserve"> L. Merr.) varieties, from a farmers' plot in Bonoua (Côte d'Ivoire). Smooth Cayenne shows a high susceptibility to browning compared with the MD2 variety (</w:t>
      </w:r>
      <w:proofErr w:type="spellStart"/>
      <w:r w:rsidRPr="00605645">
        <w:rPr>
          <w:rFonts w:ascii="Arial" w:hAnsi="Arial" w:cs="Arial"/>
        </w:rPr>
        <w:t>Botondi</w:t>
      </w:r>
      <w:proofErr w:type="spellEnd"/>
      <w:r w:rsidRPr="00605645">
        <w:rPr>
          <w:rFonts w:ascii="Arial" w:hAnsi="Arial" w:cs="Arial"/>
        </w:rPr>
        <w:t xml:space="preserve"> et al., 2015; Zhou et al., 2020).</w:t>
      </w:r>
    </w:p>
    <w:p w14:paraId="4A3F8093" w14:textId="77777777" w:rsidR="0022206D" w:rsidRPr="00605645" w:rsidRDefault="0022206D" w:rsidP="00441B6F">
      <w:pPr>
        <w:pStyle w:val="Body"/>
        <w:spacing w:after="0"/>
        <w:rPr>
          <w:rFonts w:ascii="Arial" w:hAnsi="Arial" w:cs="Arial"/>
        </w:rPr>
      </w:pPr>
    </w:p>
    <w:p w14:paraId="33BC02FF" w14:textId="3D965EA1" w:rsidR="0022206D" w:rsidRPr="00605645" w:rsidRDefault="0022206D" w:rsidP="0022206D">
      <w:pPr>
        <w:pStyle w:val="Body"/>
        <w:spacing w:after="0"/>
        <w:rPr>
          <w:rFonts w:ascii="Arial" w:hAnsi="Arial" w:cs="Arial"/>
        </w:rPr>
      </w:pPr>
      <w:r w:rsidRPr="00605645">
        <w:rPr>
          <w:rFonts w:ascii="Arial" w:hAnsi="Arial" w:cs="Arial"/>
          <w:b/>
          <w:caps/>
          <w:sz w:val="22"/>
        </w:rPr>
        <w:t xml:space="preserve">2.2 </w:t>
      </w:r>
      <w:r w:rsidRPr="00605645">
        <w:rPr>
          <w:rFonts w:ascii="Arial" w:hAnsi="Arial" w:cs="Arial"/>
          <w:b/>
          <w:sz w:val="22"/>
        </w:rPr>
        <w:t xml:space="preserve">Methods </w:t>
      </w:r>
    </w:p>
    <w:p w14:paraId="3CEE7B9E" w14:textId="77777777" w:rsidR="0022206D" w:rsidRPr="00605645" w:rsidRDefault="0022206D" w:rsidP="00441B6F">
      <w:pPr>
        <w:pStyle w:val="Body"/>
        <w:spacing w:after="0"/>
        <w:rPr>
          <w:rFonts w:ascii="Arial" w:hAnsi="Arial" w:cs="Arial"/>
        </w:rPr>
      </w:pPr>
    </w:p>
    <w:p w14:paraId="1E55784F" w14:textId="1AB95221" w:rsidR="00AA74E0" w:rsidRPr="00605645" w:rsidRDefault="00AA74E0" w:rsidP="00441B6F">
      <w:pPr>
        <w:pStyle w:val="Body"/>
        <w:spacing w:after="0"/>
        <w:rPr>
          <w:rFonts w:ascii="Arial" w:hAnsi="Arial" w:cs="Arial"/>
        </w:rPr>
      </w:pPr>
      <w:r w:rsidRPr="00605645">
        <w:rPr>
          <w:rFonts w:ascii="Arial" w:hAnsi="Arial" w:cs="Arial"/>
          <w:b/>
          <w:u w:val="single"/>
        </w:rPr>
        <w:t>2.</w:t>
      </w:r>
      <w:r w:rsidR="002D12E5" w:rsidRPr="00605645">
        <w:rPr>
          <w:rFonts w:ascii="Arial" w:hAnsi="Arial" w:cs="Arial"/>
          <w:b/>
          <w:u w:val="single"/>
        </w:rPr>
        <w:t>2</w:t>
      </w:r>
      <w:r w:rsidRPr="00605645">
        <w:rPr>
          <w:rFonts w:ascii="Arial" w:hAnsi="Arial" w:cs="Arial"/>
          <w:b/>
          <w:u w:val="single"/>
        </w:rPr>
        <w:t xml:space="preserve">.1 </w:t>
      </w:r>
      <w:r w:rsidR="0022206D" w:rsidRPr="00605645">
        <w:rPr>
          <w:rFonts w:ascii="Arial" w:hAnsi="Arial" w:cs="Arial"/>
          <w:b/>
          <w:u w:val="single"/>
        </w:rPr>
        <w:t>Study site and culture establishment</w:t>
      </w:r>
      <w:r w:rsidRPr="00605645">
        <w:rPr>
          <w:rFonts w:ascii="Arial" w:hAnsi="Arial" w:cs="Arial"/>
        </w:rPr>
        <w:t xml:space="preserve">  </w:t>
      </w:r>
    </w:p>
    <w:p w14:paraId="4FF51F7A" w14:textId="77777777" w:rsidR="00505F06" w:rsidRPr="00605645" w:rsidRDefault="00505F06" w:rsidP="00441B6F">
      <w:pPr>
        <w:pStyle w:val="Body"/>
        <w:spacing w:after="0"/>
        <w:rPr>
          <w:rFonts w:ascii="Arial" w:hAnsi="Arial" w:cs="Arial"/>
        </w:rPr>
      </w:pPr>
    </w:p>
    <w:p w14:paraId="204FE779" w14:textId="0B90C3FA" w:rsidR="0022206D" w:rsidRPr="00605645" w:rsidRDefault="002D12E5" w:rsidP="00441B6F">
      <w:pPr>
        <w:pStyle w:val="Body"/>
        <w:spacing w:after="0"/>
        <w:rPr>
          <w:rFonts w:ascii="Arial" w:hAnsi="Arial" w:cs="Arial"/>
        </w:rPr>
      </w:pPr>
      <w:r w:rsidRPr="00605645">
        <w:rPr>
          <w:rFonts w:ascii="Arial" w:hAnsi="Arial" w:cs="Arial"/>
        </w:rPr>
        <w:t xml:space="preserve">The experimental field was established on sandy and low-fertility land at the </w:t>
      </w:r>
      <w:proofErr w:type="spellStart"/>
      <w:r w:rsidRPr="00605645">
        <w:rPr>
          <w:rFonts w:ascii="Arial" w:hAnsi="Arial" w:cs="Arial"/>
        </w:rPr>
        <w:t>Nangui</w:t>
      </w:r>
      <w:proofErr w:type="spellEnd"/>
      <w:r w:rsidRPr="00605645">
        <w:rPr>
          <w:rFonts w:ascii="Arial" w:hAnsi="Arial" w:cs="Arial"/>
        </w:rPr>
        <w:t xml:space="preserve"> </w:t>
      </w:r>
      <w:proofErr w:type="spellStart"/>
      <w:r w:rsidRPr="00605645">
        <w:rPr>
          <w:rFonts w:ascii="Arial" w:hAnsi="Arial" w:cs="Arial"/>
        </w:rPr>
        <w:t>Abrogoua</w:t>
      </w:r>
      <w:proofErr w:type="spellEnd"/>
      <w:r w:rsidRPr="00605645">
        <w:rPr>
          <w:rFonts w:ascii="Arial" w:hAnsi="Arial" w:cs="Arial"/>
        </w:rPr>
        <w:t xml:space="preserve"> University experimental farm (5º23'21''N; 4º11'09''W), Abidjan-Côte d'Ivoire (</w:t>
      </w:r>
      <w:proofErr w:type="spellStart"/>
      <w:r w:rsidRPr="00605645">
        <w:rPr>
          <w:rFonts w:ascii="Arial" w:hAnsi="Arial" w:cs="Arial"/>
        </w:rPr>
        <w:t>Yéo</w:t>
      </w:r>
      <w:proofErr w:type="spellEnd"/>
      <w:r w:rsidRPr="00605645">
        <w:rPr>
          <w:rFonts w:ascii="Arial" w:hAnsi="Arial" w:cs="Arial"/>
        </w:rPr>
        <w:t>, 2023). After chemical analysis and soil fumigation treatment, ridges measuring 6.5 m × 1 m were made over an area of 150 m</w:t>
      </w:r>
      <w:r w:rsidRPr="00605645">
        <w:rPr>
          <w:rFonts w:ascii="Arial" w:hAnsi="Arial" w:cs="Arial"/>
          <w:vertAlign w:val="superscript"/>
        </w:rPr>
        <w:t>2</w:t>
      </w:r>
      <w:r w:rsidRPr="00605645">
        <w:rPr>
          <w:rFonts w:ascii="Arial" w:hAnsi="Arial" w:cs="Arial"/>
        </w:rPr>
        <w:t>. Each ridge was amended with 1 kg of dolomite and 500 g of calcium triphosphate. For each pineapple variety, plants weighing around 400 g were transplanted onto the ridges in double rows in a block design. Each treatment of 12 plants was repeated three times. Plant spacing was 25 cm in the row and 40 cm between rows. Ridges were spaced 90 cm apart.</w:t>
      </w:r>
    </w:p>
    <w:p w14:paraId="3A486F35" w14:textId="77777777" w:rsidR="002D12E5" w:rsidRPr="00605645" w:rsidRDefault="002D12E5" w:rsidP="00441B6F">
      <w:pPr>
        <w:pStyle w:val="Body"/>
        <w:spacing w:after="0"/>
        <w:rPr>
          <w:rFonts w:ascii="Arial" w:hAnsi="Arial" w:cs="Arial"/>
        </w:rPr>
      </w:pPr>
    </w:p>
    <w:p w14:paraId="09C56EAE" w14:textId="10CECF13" w:rsidR="00AA74E0" w:rsidRPr="00605645" w:rsidRDefault="002D12E5" w:rsidP="00441B6F">
      <w:pPr>
        <w:pStyle w:val="Body"/>
        <w:spacing w:after="0"/>
        <w:rPr>
          <w:rFonts w:ascii="Arial" w:hAnsi="Arial" w:cs="Arial"/>
        </w:rPr>
      </w:pPr>
      <w:r w:rsidRPr="00605645">
        <w:rPr>
          <w:rFonts w:ascii="Arial" w:hAnsi="Arial" w:cs="Arial"/>
          <w:b/>
          <w:u w:val="single"/>
        </w:rPr>
        <w:t>2.2.2 Phytosanitary treatment</w:t>
      </w:r>
    </w:p>
    <w:p w14:paraId="7633B724" w14:textId="77777777" w:rsidR="00790ADA" w:rsidRPr="00605645" w:rsidRDefault="00790ADA" w:rsidP="00441B6F">
      <w:pPr>
        <w:pStyle w:val="Body"/>
        <w:spacing w:after="0"/>
        <w:rPr>
          <w:rFonts w:ascii="Arial" w:hAnsi="Arial" w:cs="Arial"/>
        </w:rPr>
      </w:pPr>
    </w:p>
    <w:p w14:paraId="70027F58" w14:textId="75C837CE" w:rsidR="002D12E5" w:rsidRPr="00605645" w:rsidRDefault="002D12E5" w:rsidP="00441B6F">
      <w:pPr>
        <w:pStyle w:val="Body"/>
        <w:spacing w:after="0"/>
        <w:rPr>
          <w:rFonts w:ascii="Arial" w:hAnsi="Arial" w:cs="Arial"/>
        </w:rPr>
      </w:pPr>
      <w:r w:rsidRPr="00605645">
        <w:rPr>
          <w:rFonts w:ascii="Arial" w:hAnsi="Arial" w:cs="Arial"/>
        </w:rPr>
        <w:t xml:space="preserve">Phytosanitary treatments were carried out using an insecticide based on </w:t>
      </w:r>
      <w:proofErr w:type="spellStart"/>
      <w:r w:rsidRPr="00605645">
        <w:rPr>
          <w:rFonts w:ascii="Arial" w:hAnsi="Arial" w:cs="Arial"/>
        </w:rPr>
        <w:t>chlorpyrifosetyl</w:t>
      </w:r>
      <w:proofErr w:type="spellEnd"/>
      <w:r w:rsidRPr="00605645">
        <w:rPr>
          <w:rFonts w:ascii="Arial" w:hAnsi="Arial" w:cs="Arial"/>
        </w:rPr>
        <w:t xml:space="preserve"> 480 g/L at 2 L/ha and a fungicide (fosetyl aluminum) at 7 kg/ha. A nematicide (</w:t>
      </w:r>
      <w:proofErr w:type="spellStart"/>
      <w:r w:rsidRPr="00605645">
        <w:rPr>
          <w:rFonts w:ascii="Arial" w:hAnsi="Arial" w:cs="Arial"/>
        </w:rPr>
        <w:t>Némacur</w:t>
      </w:r>
      <w:proofErr w:type="spellEnd"/>
      <w:r w:rsidRPr="00605645">
        <w:rPr>
          <w:rFonts w:ascii="Arial" w:hAnsi="Arial" w:cs="Arial"/>
        </w:rPr>
        <w:t xml:space="preserve">® 40 EC, based on </w:t>
      </w:r>
      <w:proofErr w:type="spellStart"/>
      <w:r w:rsidRPr="00605645">
        <w:rPr>
          <w:rFonts w:ascii="Arial" w:hAnsi="Arial" w:cs="Arial"/>
        </w:rPr>
        <w:t>Fenamiphos</w:t>
      </w:r>
      <w:proofErr w:type="spellEnd"/>
      <w:r w:rsidRPr="00605645">
        <w:rPr>
          <w:rFonts w:ascii="Arial" w:hAnsi="Arial" w:cs="Arial"/>
        </w:rPr>
        <w:t xml:space="preserve"> 40% w/v) at a concentration of 25 mL/L was also applied at the foot of the plants at a rate of 6 mL of spray per plant. All these treatments were carried out from the second month of cultivation and/or the fifth month as required.</w:t>
      </w:r>
    </w:p>
    <w:p w14:paraId="57963BC8" w14:textId="77777777" w:rsidR="002D12E5" w:rsidRPr="00605645" w:rsidRDefault="002D12E5" w:rsidP="00441B6F">
      <w:pPr>
        <w:pStyle w:val="Body"/>
        <w:spacing w:after="0"/>
        <w:rPr>
          <w:rFonts w:ascii="Arial" w:hAnsi="Arial" w:cs="Arial"/>
        </w:rPr>
      </w:pPr>
    </w:p>
    <w:p w14:paraId="5327F9E4" w14:textId="1DEF5A4C" w:rsidR="002D12E5" w:rsidRPr="00605645" w:rsidRDefault="002D12E5" w:rsidP="002D12E5">
      <w:pPr>
        <w:pStyle w:val="Body"/>
        <w:spacing w:after="0"/>
        <w:rPr>
          <w:rFonts w:ascii="Arial" w:hAnsi="Arial" w:cs="Arial"/>
        </w:rPr>
      </w:pPr>
      <w:r w:rsidRPr="00605645">
        <w:rPr>
          <w:rFonts w:ascii="Arial" w:hAnsi="Arial" w:cs="Arial"/>
          <w:b/>
          <w:u w:val="single"/>
        </w:rPr>
        <w:lastRenderedPageBreak/>
        <w:t>2.2.3 Application of different potassium concentrations</w:t>
      </w:r>
    </w:p>
    <w:p w14:paraId="3FAA879B" w14:textId="77777777" w:rsidR="002D12E5" w:rsidRPr="00605645" w:rsidRDefault="002D12E5" w:rsidP="002D12E5">
      <w:pPr>
        <w:pStyle w:val="Body"/>
        <w:spacing w:after="0"/>
        <w:rPr>
          <w:rFonts w:ascii="Arial" w:hAnsi="Arial" w:cs="Arial"/>
        </w:rPr>
      </w:pPr>
    </w:p>
    <w:p w14:paraId="3D56FEF1" w14:textId="440BFE9B" w:rsidR="002D12E5" w:rsidRPr="00605645" w:rsidRDefault="002D12E5" w:rsidP="00802C63">
      <w:pPr>
        <w:pStyle w:val="Body"/>
        <w:spacing w:after="0"/>
        <w:rPr>
          <w:rFonts w:ascii="Arial" w:hAnsi="Arial" w:cs="Arial"/>
        </w:rPr>
      </w:pPr>
      <w:r w:rsidRPr="00605645">
        <w:rPr>
          <w:rFonts w:ascii="Arial" w:hAnsi="Arial" w:cs="Arial"/>
        </w:rPr>
        <w:t>To evaluate the influence of potassium fertilization on the resistance to browning of two pineapple varieties (MD2 and smooth Cayenne), four fertilization modalities (T0, T1, T2 and T3) were applied in increasing doses of potash. All treatments received similar amounts of urea, complete fertilizer and trace elements. Only the quantities of potash varied between treatments. Each plant received 16 g of urea (46% nitrogen) and 10 g of a complete fertilizer composed of 11% nitrogen (N), 5% phosphorus (P</w:t>
      </w:r>
      <w:r w:rsidRPr="00605645">
        <w:rPr>
          <w:rFonts w:ascii="Arial" w:hAnsi="Arial" w:cs="Arial"/>
          <w:vertAlign w:val="subscript"/>
        </w:rPr>
        <w:t>2</w:t>
      </w:r>
      <w:r w:rsidRPr="00605645">
        <w:rPr>
          <w:rFonts w:ascii="Arial" w:hAnsi="Arial" w:cs="Arial"/>
        </w:rPr>
        <w:t>O</w:t>
      </w:r>
      <w:r w:rsidRPr="00605645">
        <w:rPr>
          <w:rFonts w:ascii="Arial" w:hAnsi="Arial" w:cs="Arial"/>
          <w:vertAlign w:val="subscript"/>
        </w:rPr>
        <w:t>5</w:t>
      </w:r>
      <w:r w:rsidRPr="00605645">
        <w:rPr>
          <w:rFonts w:ascii="Arial" w:hAnsi="Arial" w:cs="Arial"/>
        </w:rPr>
        <w:t>), 27% potassium oxide (K</w:t>
      </w:r>
      <w:r w:rsidRPr="00605645">
        <w:rPr>
          <w:rFonts w:ascii="Arial" w:hAnsi="Arial" w:cs="Arial"/>
          <w:vertAlign w:val="subscript"/>
        </w:rPr>
        <w:t>2</w:t>
      </w:r>
      <w:r w:rsidRPr="00605645">
        <w:rPr>
          <w:rFonts w:ascii="Arial" w:hAnsi="Arial" w:cs="Arial"/>
        </w:rPr>
        <w:t xml:space="preserve">O), 15% sulfur (S) and 5% magnesium oxide (MgO). This fertilizer was enriched with trace elements, including boron (0.51 g/L), EDTA chelated copper (0.25 g/L), EDTA chelated iron (0.16 g/L), molybdenum (0.05 g/L), zinc (0.47 g/L) and EDTA chelated manganese (0.51 g/L). </w:t>
      </w:r>
      <w:r w:rsidR="00802C63" w:rsidRPr="00605645">
        <w:rPr>
          <w:rFonts w:ascii="Arial" w:hAnsi="Arial" w:cs="Arial"/>
        </w:rPr>
        <w:t xml:space="preserve"> </w:t>
      </w:r>
    </w:p>
    <w:p w14:paraId="0C210EBE" w14:textId="39A37BBF" w:rsidR="002D12E5" w:rsidRPr="00605645" w:rsidRDefault="002D12E5" w:rsidP="002D12E5">
      <w:pPr>
        <w:pStyle w:val="Body"/>
        <w:spacing w:after="0"/>
        <w:rPr>
          <w:rFonts w:ascii="Arial" w:hAnsi="Arial" w:cs="Arial"/>
        </w:rPr>
      </w:pPr>
      <w:r w:rsidRPr="00605645">
        <w:rPr>
          <w:rFonts w:ascii="Arial" w:hAnsi="Arial" w:cs="Arial"/>
        </w:rPr>
        <w:t xml:space="preserve">Potash application rates varied according to treatment modality. The T0 control treatment, corresponding to farmers' current practice, received 20 g </w:t>
      </w:r>
      <w:r w:rsidR="00802C63" w:rsidRPr="00605645">
        <w:rPr>
          <w:rFonts w:ascii="Arial" w:hAnsi="Arial" w:cs="Arial"/>
        </w:rPr>
        <w:t>K</w:t>
      </w:r>
      <w:r w:rsidR="00802C63" w:rsidRPr="00605645">
        <w:rPr>
          <w:rFonts w:ascii="Arial" w:hAnsi="Arial" w:cs="Arial"/>
          <w:vertAlign w:val="subscript"/>
        </w:rPr>
        <w:t>2</w:t>
      </w:r>
      <w:r w:rsidR="00802C63" w:rsidRPr="00605645">
        <w:rPr>
          <w:rFonts w:ascii="Arial" w:hAnsi="Arial" w:cs="Arial"/>
        </w:rPr>
        <w:t>O</w:t>
      </w:r>
      <w:r w:rsidRPr="00605645">
        <w:rPr>
          <w:rFonts w:ascii="Arial" w:hAnsi="Arial" w:cs="Arial"/>
        </w:rPr>
        <w:t xml:space="preserve"> per plant in the form of standard potassium sulfate (50% potassium oxide and 17% sulfur) (Ouattara et al., 2014). Treatments T1, T2 and T3 received 28 g, 34 g and 40 g </w:t>
      </w:r>
      <w:r w:rsidR="00802C63" w:rsidRPr="00605645">
        <w:rPr>
          <w:rFonts w:ascii="Arial" w:hAnsi="Arial" w:cs="Arial"/>
        </w:rPr>
        <w:t>K</w:t>
      </w:r>
      <w:r w:rsidR="00802C63" w:rsidRPr="00605645">
        <w:rPr>
          <w:rFonts w:ascii="Arial" w:hAnsi="Arial" w:cs="Arial"/>
          <w:vertAlign w:val="subscript"/>
        </w:rPr>
        <w:t>2</w:t>
      </w:r>
      <w:r w:rsidR="00802C63" w:rsidRPr="00605645">
        <w:rPr>
          <w:rFonts w:ascii="Arial" w:hAnsi="Arial" w:cs="Arial"/>
        </w:rPr>
        <w:t>O</w:t>
      </w:r>
      <w:r w:rsidRPr="00605645">
        <w:rPr>
          <w:rFonts w:ascii="Arial" w:hAnsi="Arial" w:cs="Arial"/>
        </w:rPr>
        <w:t xml:space="preserve"> per plant respectively. Fertilizers were applied to plants during their vegetative phase according to a schedule of four applications, made in the 2nd, 4th, 6th and 7th months of cultivation. The first application was made in solid form, by granular deposition in the axils of the basilar leaves. The following three applications were made in liquid form, by fogging all the leaves.</w:t>
      </w:r>
    </w:p>
    <w:p w14:paraId="573B1184" w14:textId="77777777" w:rsidR="002D12E5" w:rsidRPr="00605645" w:rsidRDefault="002D12E5" w:rsidP="002D12E5">
      <w:pPr>
        <w:pStyle w:val="Body"/>
        <w:spacing w:after="0"/>
        <w:rPr>
          <w:rFonts w:ascii="Arial" w:hAnsi="Arial" w:cs="Arial"/>
        </w:rPr>
      </w:pPr>
    </w:p>
    <w:p w14:paraId="4E3A98AE" w14:textId="0008157C" w:rsidR="002D12E5" w:rsidRPr="00605645" w:rsidRDefault="002D12E5" w:rsidP="002D12E5">
      <w:pPr>
        <w:pStyle w:val="Body"/>
        <w:spacing w:after="0"/>
        <w:rPr>
          <w:rFonts w:ascii="Arial" w:hAnsi="Arial" w:cs="Arial"/>
        </w:rPr>
      </w:pPr>
      <w:r w:rsidRPr="00605645">
        <w:rPr>
          <w:rFonts w:ascii="Arial" w:hAnsi="Arial" w:cs="Arial"/>
          <w:b/>
          <w:u w:val="single"/>
        </w:rPr>
        <w:t>2.2.4 Harvesting and postharvest treatments of the fruits</w:t>
      </w:r>
    </w:p>
    <w:p w14:paraId="39001C95" w14:textId="77777777" w:rsidR="002D12E5" w:rsidRPr="00605645" w:rsidRDefault="002D12E5" w:rsidP="002D12E5">
      <w:pPr>
        <w:pStyle w:val="Body"/>
        <w:spacing w:after="0"/>
        <w:rPr>
          <w:rFonts w:ascii="Arial" w:hAnsi="Arial" w:cs="Arial"/>
        </w:rPr>
      </w:pPr>
    </w:p>
    <w:p w14:paraId="46D55CD9" w14:textId="391627E3" w:rsidR="002D12E5" w:rsidRPr="00605645" w:rsidRDefault="002D12E5" w:rsidP="002D12E5">
      <w:pPr>
        <w:pStyle w:val="Body"/>
        <w:spacing w:after="0"/>
        <w:rPr>
          <w:rFonts w:ascii="Arial" w:hAnsi="Arial" w:cs="Arial"/>
        </w:rPr>
      </w:pPr>
      <w:r w:rsidRPr="00605645">
        <w:rPr>
          <w:rFonts w:ascii="Arial" w:hAnsi="Arial" w:cs="Arial"/>
        </w:rPr>
        <w:t>After nine months of cultivation, flower induction treatment (FIT) was carried out to homogenize plant flowering (PIP, 2009). FIT was carried out when the D leaf reached 70 g. The product used was calcium carbide prepared at a concentration of 2 kg in 200 L of water. A volume of 50 mL of the liquid obtained was immediately poured into the heart of each plant, using an adjustable-flow backpack sprayer. This operation was repeated 48 hours later to ensure successful flower induction. For each variety, a batch of 3 harvested fruits was made up for each treatment. The batches were marked T0, T1, T2, T3. A fungicidal solution (benomyl) was applied to the crown of the fruit before storage at 10°C for 14 days (time required for export). The fruit was then sampled and stored again at 22°C for 5 days (marketing time) before being used for the various analyses.</w:t>
      </w:r>
    </w:p>
    <w:p w14:paraId="7FCE1C3F" w14:textId="77777777" w:rsidR="002D12E5" w:rsidRPr="00605645" w:rsidRDefault="002D12E5" w:rsidP="002D12E5">
      <w:pPr>
        <w:pStyle w:val="Body"/>
        <w:spacing w:after="0"/>
        <w:rPr>
          <w:rFonts w:ascii="Arial" w:hAnsi="Arial" w:cs="Arial"/>
        </w:rPr>
      </w:pPr>
    </w:p>
    <w:p w14:paraId="0CC75FE4" w14:textId="0E42C20A" w:rsidR="002D12E5" w:rsidRPr="00605645" w:rsidRDefault="002D12E5" w:rsidP="002D12E5">
      <w:pPr>
        <w:pStyle w:val="Body"/>
        <w:spacing w:after="0"/>
        <w:rPr>
          <w:rFonts w:ascii="Arial" w:hAnsi="Arial" w:cs="Arial"/>
        </w:rPr>
      </w:pPr>
      <w:r w:rsidRPr="00605645">
        <w:rPr>
          <w:rFonts w:ascii="Arial" w:hAnsi="Arial" w:cs="Arial"/>
          <w:b/>
          <w:u w:val="single"/>
        </w:rPr>
        <w:t>2.2.5 Sample preparation</w:t>
      </w:r>
    </w:p>
    <w:p w14:paraId="57B6687F" w14:textId="77777777" w:rsidR="002D12E5" w:rsidRPr="00605645" w:rsidRDefault="002D12E5" w:rsidP="002D12E5">
      <w:pPr>
        <w:pStyle w:val="Body"/>
        <w:spacing w:after="0"/>
        <w:rPr>
          <w:rFonts w:ascii="Arial" w:hAnsi="Arial" w:cs="Arial"/>
        </w:rPr>
      </w:pPr>
    </w:p>
    <w:p w14:paraId="56FF1D17" w14:textId="47392080" w:rsidR="002D12E5" w:rsidRPr="00605645" w:rsidRDefault="002D12E5" w:rsidP="002D12E5">
      <w:pPr>
        <w:pStyle w:val="Body"/>
        <w:spacing w:after="0"/>
        <w:rPr>
          <w:rFonts w:ascii="Arial" w:hAnsi="Arial" w:cs="Arial"/>
        </w:rPr>
      </w:pPr>
      <w:r w:rsidRPr="00605645">
        <w:rPr>
          <w:rFonts w:ascii="Arial" w:hAnsi="Arial" w:cs="Arial"/>
        </w:rPr>
        <w:t>After preservation, samples of the pulp from each fruit were taken in “dice” form and placed in a freeze-dryer (Alpha Christ 1-2 plus) for 2 days. The resulting lyophilizate, which is easily preserved over the long term, was used for the various analyses.</w:t>
      </w:r>
    </w:p>
    <w:p w14:paraId="0E392865" w14:textId="77777777" w:rsidR="002D12E5" w:rsidRPr="00605645" w:rsidRDefault="002D12E5" w:rsidP="002D12E5">
      <w:pPr>
        <w:pStyle w:val="Body"/>
        <w:spacing w:after="0"/>
        <w:rPr>
          <w:rFonts w:ascii="Arial" w:hAnsi="Arial" w:cs="Arial"/>
        </w:rPr>
      </w:pPr>
    </w:p>
    <w:p w14:paraId="6FBBDA97" w14:textId="5310AE38" w:rsidR="002D12E5" w:rsidRPr="00605645" w:rsidRDefault="002D12E5" w:rsidP="002D12E5">
      <w:pPr>
        <w:pStyle w:val="Body"/>
        <w:spacing w:after="0"/>
        <w:rPr>
          <w:rFonts w:ascii="Arial" w:hAnsi="Arial" w:cs="Arial"/>
        </w:rPr>
      </w:pPr>
      <w:r w:rsidRPr="00605645">
        <w:rPr>
          <w:rFonts w:ascii="Arial" w:hAnsi="Arial" w:cs="Arial"/>
          <w:b/>
          <w:u w:val="single"/>
        </w:rPr>
        <w:t>2.2.6 Qualitative analysis of phenolic compounds by high-performance liquid chromatography</w:t>
      </w:r>
    </w:p>
    <w:p w14:paraId="14BDD635" w14:textId="77777777" w:rsidR="002D12E5" w:rsidRPr="00605645" w:rsidRDefault="002D12E5" w:rsidP="002D12E5">
      <w:pPr>
        <w:pStyle w:val="Body"/>
        <w:spacing w:after="0"/>
        <w:rPr>
          <w:rFonts w:ascii="Arial" w:hAnsi="Arial" w:cs="Arial"/>
        </w:rPr>
      </w:pPr>
    </w:p>
    <w:p w14:paraId="65C4C340" w14:textId="6B22CBEA" w:rsidR="002D12E5" w:rsidRPr="00605645" w:rsidRDefault="002D12E5" w:rsidP="002D12E5">
      <w:pPr>
        <w:pStyle w:val="Body"/>
        <w:spacing w:after="0"/>
        <w:rPr>
          <w:rFonts w:ascii="Arial" w:hAnsi="Arial" w:cs="Arial"/>
        </w:rPr>
      </w:pPr>
      <w:r w:rsidRPr="00605645">
        <w:rPr>
          <w:rFonts w:ascii="Arial" w:hAnsi="Arial" w:cs="Arial"/>
          <w:b/>
          <w:bCs/>
        </w:rPr>
        <w:t>Conditions for U-HPLC analysis:</w:t>
      </w:r>
      <w:r w:rsidRPr="00605645">
        <w:rPr>
          <w:rFonts w:ascii="Arial" w:hAnsi="Arial" w:cs="Arial"/>
        </w:rPr>
        <w:t xml:space="preserve"> Ultra-high-performance liquid chromatography (U-HPLC) analysis was carried out using the method of Verdu (2013). Samples were analyzed on two coupled U-HPLC chains. The first chain is an Agilent LC (1100 series, UV-Visible U-HPLC system, Germany), equipped with a degasser (G1322A), automatic injector, high-pressure binary pump and column compartment (G1316A). The second chain is an Agilent LC 1200 series and includes a quaternary pump (G1311A) linked to an iodine bar detector (G1315A). U-HPLC analysis is controlled by a computer running a workstation operating system and a chromatogram display managed by ORACLE VM VirtualBox chromatography</w:t>
      </w:r>
      <w:r w:rsidR="002E4177" w:rsidRPr="00605645">
        <w:rPr>
          <w:rFonts w:ascii="Arial" w:hAnsi="Arial" w:cs="Arial"/>
        </w:rPr>
        <w:t xml:space="preserve"> </w:t>
      </w:r>
      <w:r w:rsidRPr="00605645">
        <w:rPr>
          <w:rFonts w:ascii="Arial" w:hAnsi="Arial" w:cs="Arial"/>
        </w:rPr>
        <w:t xml:space="preserve">software running under WinXPSP3. The entire U-HPLC system was coupled to a nuclear magnetic resonance spectrometer (Bruker Avance III) with an operating frequency of 600 MHz for one proton. Separation of phenolic compounds was carried out on a reverse-phase C18 silica </w:t>
      </w:r>
      <w:r w:rsidRPr="00605645">
        <w:rPr>
          <w:rFonts w:ascii="Arial" w:hAnsi="Arial" w:cs="Arial"/>
        </w:rPr>
        <w:lastRenderedPageBreak/>
        <w:t>column (</w:t>
      </w:r>
      <w:proofErr w:type="spellStart"/>
      <w:r w:rsidRPr="00605645">
        <w:rPr>
          <w:rFonts w:ascii="Arial" w:hAnsi="Arial" w:cs="Arial"/>
        </w:rPr>
        <w:t>Zorbax</w:t>
      </w:r>
      <w:proofErr w:type="spellEnd"/>
      <w:r w:rsidRPr="00605645">
        <w:rPr>
          <w:rFonts w:ascii="Arial" w:hAnsi="Arial" w:cs="Arial"/>
        </w:rPr>
        <w:t xml:space="preserve"> Eclipse XDB-C18, 150 x 4.6 mm, 5 </w:t>
      </w:r>
      <w:proofErr w:type="spellStart"/>
      <w:r w:rsidRPr="00605645">
        <w:rPr>
          <w:rFonts w:ascii="Arial" w:hAnsi="Arial" w:cs="Arial"/>
        </w:rPr>
        <w:t>μm</w:t>
      </w:r>
      <w:proofErr w:type="spellEnd"/>
      <w:r w:rsidRPr="00605645">
        <w:rPr>
          <w:rFonts w:ascii="Arial" w:hAnsi="Arial" w:cs="Arial"/>
        </w:rPr>
        <w:t>, Agilent). Elution was performed with a binary gradient composed of:</w:t>
      </w:r>
    </w:p>
    <w:p w14:paraId="48834AF0" w14:textId="77777777" w:rsidR="002D12E5" w:rsidRPr="00605645" w:rsidRDefault="002D12E5" w:rsidP="002D12E5">
      <w:pPr>
        <w:pStyle w:val="Body"/>
        <w:spacing w:after="0"/>
        <w:rPr>
          <w:rFonts w:ascii="Arial" w:hAnsi="Arial" w:cs="Arial"/>
        </w:rPr>
      </w:pPr>
      <w:r w:rsidRPr="00605645">
        <w:rPr>
          <w:rFonts w:ascii="Arial" w:hAnsi="Arial" w:cs="Arial"/>
        </w:rPr>
        <w:t>- solvent A: ultrapure water / 0.25% (99/1, v/v) trifluoroacetic acid</w:t>
      </w:r>
    </w:p>
    <w:p w14:paraId="6FDEA71C" w14:textId="77777777" w:rsidR="002D12E5" w:rsidRPr="00605645" w:rsidRDefault="002D12E5" w:rsidP="002D12E5">
      <w:pPr>
        <w:pStyle w:val="Body"/>
        <w:spacing w:after="0"/>
        <w:rPr>
          <w:rFonts w:ascii="Arial" w:hAnsi="Arial" w:cs="Arial"/>
        </w:rPr>
      </w:pPr>
      <w:r w:rsidRPr="00605645">
        <w:rPr>
          <w:rFonts w:ascii="Arial" w:hAnsi="Arial" w:cs="Arial"/>
        </w:rPr>
        <w:t>- solvent B: acetonitrile / 0.25% trifluoroacetic acid (99/1, v/v)</w:t>
      </w:r>
    </w:p>
    <w:p w14:paraId="4BBDD9C7" w14:textId="77777777" w:rsidR="002D12E5" w:rsidRPr="00605645" w:rsidRDefault="002D12E5" w:rsidP="002D12E5">
      <w:pPr>
        <w:pStyle w:val="Body"/>
        <w:spacing w:after="0"/>
        <w:rPr>
          <w:rFonts w:ascii="Arial" w:hAnsi="Arial" w:cs="Arial"/>
        </w:rPr>
      </w:pPr>
      <w:r w:rsidRPr="00605645">
        <w:rPr>
          <w:rFonts w:ascii="Arial" w:hAnsi="Arial" w:cs="Arial"/>
        </w:rPr>
        <w:t>The elution gradient profile is shown in Table 1.</w:t>
      </w:r>
    </w:p>
    <w:p w14:paraId="7BA44D2D" w14:textId="77777777" w:rsidR="002D12E5" w:rsidRPr="00605645" w:rsidRDefault="002D12E5" w:rsidP="002D12E5">
      <w:pPr>
        <w:pStyle w:val="Body"/>
        <w:spacing w:after="0"/>
        <w:rPr>
          <w:rFonts w:ascii="Arial" w:hAnsi="Arial" w:cs="Arial"/>
        </w:rPr>
      </w:pPr>
    </w:p>
    <w:p w14:paraId="4423C7F9" w14:textId="26E38EA2" w:rsidR="002D12E5" w:rsidRPr="00605645" w:rsidRDefault="002D12E5" w:rsidP="002D12E5">
      <w:pPr>
        <w:pStyle w:val="Body"/>
        <w:spacing w:after="0"/>
        <w:rPr>
          <w:rFonts w:ascii="Arial" w:hAnsi="Arial" w:cs="Arial"/>
          <w:b/>
          <w:bCs/>
        </w:rPr>
      </w:pPr>
      <w:r w:rsidRPr="00605645">
        <w:rPr>
          <w:rFonts w:ascii="Arial" w:hAnsi="Arial" w:cs="Arial"/>
          <w:b/>
          <w:bCs/>
        </w:rPr>
        <w:t xml:space="preserve">Table </w:t>
      </w:r>
      <w:r w:rsidR="00B857C5" w:rsidRPr="00605645">
        <w:rPr>
          <w:rFonts w:ascii="Arial" w:hAnsi="Arial" w:cs="Arial"/>
          <w:b/>
          <w:bCs/>
        </w:rPr>
        <w:t>1:</w:t>
      </w:r>
      <w:r w:rsidRPr="00605645">
        <w:rPr>
          <w:rFonts w:ascii="Arial" w:hAnsi="Arial" w:cs="Arial"/>
          <w:b/>
          <w:bCs/>
        </w:rPr>
        <w:t xml:space="preserve"> Elution gradient profile for phenolic compounds.</w:t>
      </w:r>
    </w:p>
    <w:p w14:paraId="0C89A75C" w14:textId="2D8517AB" w:rsidR="002D12E5" w:rsidRPr="00605645" w:rsidRDefault="002D12E5" w:rsidP="002D12E5">
      <w:pPr>
        <w:pStyle w:val="Body"/>
        <w:spacing w:after="0"/>
        <w:rPr>
          <w:rFonts w:ascii="Arial" w:hAnsi="Arial" w:cs="Arial"/>
          <w:b/>
          <w:bCs/>
        </w:rPr>
      </w:pPr>
    </w:p>
    <w:tbl>
      <w:tblPr>
        <w:tblStyle w:val="PlainTable2"/>
        <w:tblW w:w="0" w:type="auto"/>
        <w:tblLook w:val="04A0" w:firstRow="1" w:lastRow="0" w:firstColumn="1" w:lastColumn="0" w:noHBand="0" w:noVBand="1"/>
      </w:tblPr>
      <w:tblGrid>
        <w:gridCol w:w="2792"/>
        <w:gridCol w:w="2816"/>
        <w:gridCol w:w="2816"/>
      </w:tblGrid>
      <w:tr w:rsidR="002D12E5" w:rsidRPr="00605645" w14:paraId="6543BD94" w14:textId="77777777" w:rsidTr="00BD47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12" w:space="0" w:color="auto"/>
              <w:bottom w:val="single" w:sz="12" w:space="0" w:color="auto"/>
            </w:tcBorders>
          </w:tcPr>
          <w:p w14:paraId="17E61A0A" w14:textId="77777777" w:rsidR="002D12E5" w:rsidRPr="00605645" w:rsidRDefault="002D12E5" w:rsidP="002D12E5">
            <w:pPr>
              <w:pStyle w:val="Body"/>
              <w:spacing w:after="0"/>
              <w:rPr>
                <w:rFonts w:ascii="Arial" w:hAnsi="Arial" w:cs="Arial"/>
                <w:bCs w:val="0"/>
              </w:rPr>
            </w:pPr>
            <w:r w:rsidRPr="00605645">
              <w:rPr>
                <w:rFonts w:ascii="Arial" w:hAnsi="Arial" w:cs="Arial"/>
                <w:bCs w:val="0"/>
              </w:rPr>
              <w:t xml:space="preserve">Time (min) </w:t>
            </w:r>
          </w:p>
        </w:tc>
        <w:tc>
          <w:tcPr>
            <w:tcW w:w="3021" w:type="dxa"/>
            <w:tcBorders>
              <w:top w:val="single" w:sz="12" w:space="0" w:color="auto"/>
              <w:bottom w:val="single" w:sz="12" w:space="0" w:color="auto"/>
            </w:tcBorders>
          </w:tcPr>
          <w:p w14:paraId="7181AC26" w14:textId="77777777" w:rsidR="002D12E5" w:rsidRPr="00605645" w:rsidRDefault="002D12E5" w:rsidP="002D12E5">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605645">
              <w:rPr>
                <w:rFonts w:ascii="Arial" w:hAnsi="Arial" w:cs="Arial"/>
                <w:bCs w:val="0"/>
              </w:rPr>
              <w:t xml:space="preserve">Solvent A (%) </w:t>
            </w:r>
          </w:p>
        </w:tc>
        <w:tc>
          <w:tcPr>
            <w:tcW w:w="3021" w:type="dxa"/>
            <w:tcBorders>
              <w:top w:val="single" w:sz="12" w:space="0" w:color="auto"/>
              <w:bottom w:val="single" w:sz="12" w:space="0" w:color="auto"/>
            </w:tcBorders>
          </w:tcPr>
          <w:p w14:paraId="16B628B1" w14:textId="77777777" w:rsidR="002D12E5" w:rsidRPr="00605645" w:rsidRDefault="002D12E5" w:rsidP="002D12E5">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605645">
              <w:rPr>
                <w:rFonts w:ascii="Arial" w:hAnsi="Arial" w:cs="Arial"/>
                <w:bCs w:val="0"/>
              </w:rPr>
              <w:t>Solvent B (%)</w:t>
            </w:r>
          </w:p>
        </w:tc>
      </w:tr>
      <w:tr w:rsidR="002D12E5" w:rsidRPr="00605645" w14:paraId="60D0565E"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12" w:space="0" w:color="auto"/>
              <w:bottom w:val="nil"/>
            </w:tcBorders>
          </w:tcPr>
          <w:p w14:paraId="72CCC834" w14:textId="77777777" w:rsidR="002D12E5" w:rsidRPr="005A05DA" w:rsidRDefault="002D12E5" w:rsidP="002D12E5">
            <w:pPr>
              <w:pStyle w:val="Body"/>
              <w:spacing w:after="0"/>
              <w:rPr>
                <w:rFonts w:ascii="Arial" w:hAnsi="Arial" w:cs="Arial"/>
                <w:b w:val="0"/>
              </w:rPr>
            </w:pPr>
            <w:r w:rsidRPr="005A05DA">
              <w:rPr>
                <w:rFonts w:ascii="Arial" w:hAnsi="Arial" w:cs="Arial"/>
                <w:b w:val="0"/>
              </w:rPr>
              <w:t>0-5</w:t>
            </w:r>
          </w:p>
        </w:tc>
        <w:tc>
          <w:tcPr>
            <w:tcW w:w="3021" w:type="dxa"/>
            <w:tcBorders>
              <w:top w:val="single" w:sz="12" w:space="0" w:color="auto"/>
              <w:bottom w:val="nil"/>
            </w:tcBorders>
          </w:tcPr>
          <w:p w14:paraId="3529733E" w14:textId="77777777" w:rsidR="002D12E5" w:rsidRPr="00605645" w:rsidRDefault="002D12E5" w:rsidP="002D12E5">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95</w:t>
            </w:r>
          </w:p>
        </w:tc>
        <w:tc>
          <w:tcPr>
            <w:tcW w:w="3021" w:type="dxa"/>
            <w:tcBorders>
              <w:top w:val="single" w:sz="12" w:space="0" w:color="auto"/>
              <w:bottom w:val="nil"/>
            </w:tcBorders>
          </w:tcPr>
          <w:p w14:paraId="1236F136" w14:textId="77777777" w:rsidR="002D12E5" w:rsidRPr="00605645" w:rsidRDefault="002D12E5" w:rsidP="002D12E5">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5</w:t>
            </w:r>
          </w:p>
        </w:tc>
      </w:tr>
      <w:tr w:rsidR="002D12E5" w:rsidRPr="00605645" w14:paraId="346A88E1" w14:textId="77777777" w:rsidTr="00BD4778">
        <w:tc>
          <w:tcPr>
            <w:cnfStyle w:val="001000000000" w:firstRow="0" w:lastRow="0" w:firstColumn="1" w:lastColumn="0" w:oddVBand="0" w:evenVBand="0" w:oddHBand="0" w:evenHBand="0" w:firstRowFirstColumn="0" w:firstRowLastColumn="0" w:lastRowFirstColumn="0" w:lastRowLastColumn="0"/>
            <w:tcW w:w="3020" w:type="dxa"/>
            <w:tcBorders>
              <w:top w:val="nil"/>
              <w:bottom w:val="nil"/>
            </w:tcBorders>
          </w:tcPr>
          <w:p w14:paraId="338E455E" w14:textId="77777777" w:rsidR="002D12E5" w:rsidRPr="005A05DA" w:rsidRDefault="002D12E5" w:rsidP="002D12E5">
            <w:pPr>
              <w:pStyle w:val="Body"/>
              <w:spacing w:after="0"/>
              <w:rPr>
                <w:rFonts w:ascii="Arial" w:hAnsi="Arial" w:cs="Arial"/>
                <w:b w:val="0"/>
              </w:rPr>
            </w:pPr>
            <w:r w:rsidRPr="005A05DA">
              <w:rPr>
                <w:rFonts w:ascii="Arial" w:hAnsi="Arial" w:cs="Arial"/>
                <w:b w:val="0"/>
              </w:rPr>
              <w:t>5-10</w:t>
            </w:r>
          </w:p>
        </w:tc>
        <w:tc>
          <w:tcPr>
            <w:tcW w:w="3021" w:type="dxa"/>
            <w:tcBorders>
              <w:top w:val="nil"/>
              <w:bottom w:val="nil"/>
            </w:tcBorders>
          </w:tcPr>
          <w:p w14:paraId="7407EC3B" w14:textId="77777777" w:rsidR="002D12E5" w:rsidRPr="00605645" w:rsidRDefault="002D12E5" w:rsidP="002D12E5">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80</w:t>
            </w:r>
          </w:p>
        </w:tc>
        <w:tc>
          <w:tcPr>
            <w:tcW w:w="3021" w:type="dxa"/>
            <w:tcBorders>
              <w:top w:val="nil"/>
              <w:bottom w:val="nil"/>
            </w:tcBorders>
          </w:tcPr>
          <w:p w14:paraId="6EFE7F67" w14:textId="77777777" w:rsidR="002D12E5" w:rsidRPr="00605645" w:rsidRDefault="002D12E5" w:rsidP="002D12E5">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20</w:t>
            </w:r>
          </w:p>
        </w:tc>
      </w:tr>
      <w:tr w:rsidR="002D12E5" w:rsidRPr="00605645" w14:paraId="7D52EDBC"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nil"/>
              <w:bottom w:val="nil"/>
            </w:tcBorders>
          </w:tcPr>
          <w:p w14:paraId="76120051" w14:textId="77777777" w:rsidR="002D12E5" w:rsidRPr="005A05DA" w:rsidRDefault="002D12E5" w:rsidP="002D12E5">
            <w:pPr>
              <w:pStyle w:val="Body"/>
              <w:spacing w:after="0"/>
              <w:rPr>
                <w:rFonts w:ascii="Arial" w:hAnsi="Arial" w:cs="Arial"/>
                <w:b w:val="0"/>
              </w:rPr>
            </w:pPr>
            <w:r w:rsidRPr="005A05DA">
              <w:rPr>
                <w:rFonts w:ascii="Arial" w:hAnsi="Arial" w:cs="Arial"/>
                <w:b w:val="0"/>
              </w:rPr>
              <w:t>10-15</w:t>
            </w:r>
          </w:p>
        </w:tc>
        <w:tc>
          <w:tcPr>
            <w:tcW w:w="3021" w:type="dxa"/>
            <w:tcBorders>
              <w:top w:val="nil"/>
              <w:bottom w:val="nil"/>
            </w:tcBorders>
          </w:tcPr>
          <w:p w14:paraId="2BA328CD" w14:textId="77777777" w:rsidR="002D12E5" w:rsidRPr="00605645" w:rsidRDefault="002D12E5" w:rsidP="002D12E5">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70</w:t>
            </w:r>
          </w:p>
        </w:tc>
        <w:tc>
          <w:tcPr>
            <w:tcW w:w="3021" w:type="dxa"/>
            <w:tcBorders>
              <w:top w:val="nil"/>
              <w:bottom w:val="nil"/>
            </w:tcBorders>
          </w:tcPr>
          <w:p w14:paraId="2D61003D" w14:textId="77777777" w:rsidR="002D12E5" w:rsidRPr="00605645" w:rsidRDefault="002D12E5" w:rsidP="002D12E5">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30</w:t>
            </w:r>
          </w:p>
        </w:tc>
      </w:tr>
      <w:tr w:rsidR="002D12E5" w:rsidRPr="00605645" w14:paraId="653A6763" w14:textId="77777777" w:rsidTr="00BD4778">
        <w:tc>
          <w:tcPr>
            <w:cnfStyle w:val="001000000000" w:firstRow="0" w:lastRow="0" w:firstColumn="1" w:lastColumn="0" w:oddVBand="0" w:evenVBand="0" w:oddHBand="0" w:evenHBand="0" w:firstRowFirstColumn="0" w:firstRowLastColumn="0" w:lastRowFirstColumn="0" w:lastRowLastColumn="0"/>
            <w:tcW w:w="3020" w:type="dxa"/>
            <w:tcBorders>
              <w:top w:val="nil"/>
              <w:bottom w:val="nil"/>
            </w:tcBorders>
          </w:tcPr>
          <w:p w14:paraId="717753BC" w14:textId="77777777" w:rsidR="002D12E5" w:rsidRPr="005A05DA" w:rsidRDefault="002D12E5" w:rsidP="002D12E5">
            <w:pPr>
              <w:pStyle w:val="Body"/>
              <w:spacing w:after="0"/>
              <w:rPr>
                <w:rFonts w:ascii="Arial" w:hAnsi="Arial" w:cs="Arial"/>
                <w:b w:val="0"/>
              </w:rPr>
            </w:pPr>
            <w:r w:rsidRPr="005A05DA">
              <w:rPr>
                <w:rFonts w:ascii="Arial" w:hAnsi="Arial" w:cs="Arial"/>
                <w:b w:val="0"/>
              </w:rPr>
              <w:t>15-20</w:t>
            </w:r>
          </w:p>
        </w:tc>
        <w:tc>
          <w:tcPr>
            <w:tcW w:w="3021" w:type="dxa"/>
            <w:tcBorders>
              <w:top w:val="nil"/>
              <w:bottom w:val="nil"/>
            </w:tcBorders>
          </w:tcPr>
          <w:p w14:paraId="09D438AE" w14:textId="77777777" w:rsidR="002D12E5" w:rsidRPr="00605645" w:rsidRDefault="002D12E5" w:rsidP="002D12E5">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60</w:t>
            </w:r>
          </w:p>
        </w:tc>
        <w:tc>
          <w:tcPr>
            <w:tcW w:w="3021" w:type="dxa"/>
            <w:tcBorders>
              <w:top w:val="nil"/>
              <w:bottom w:val="nil"/>
            </w:tcBorders>
          </w:tcPr>
          <w:p w14:paraId="2D8F158C" w14:textId="77777777" w:rsidR="002D12E5" w:rsidRPr="00605645" w:rsidRDefault="002D12E5" w:rsidP="002D12E5">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40</w:t>
            </w:r>
          </w:p>
        </w:tc>
      </w:tr>
      <w:tr w:rsidR="002D12E5" w:rsidRPr="00605645" w14:paraId="3048BB5C"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nil"/>
              <w:bottom w:val="nil"/>
            </w:tcBorders>
          </w:tcPr>
          <w:p w14:paraId="0C9D1E67" w14:textId="77777777" w:rsidR="002D12E5" w:rsidRPr="005A05DA" w:rsidRDefault="002D12E5" w:rsidP="002D12E5">
            <w:pPr>
              <w:pStyle w:val="Body"/>
              <w:spacing w:after="0"/>
              <w:rPr>
                <w:rFonts w:ascii="Arial" w:hAnsi="Arial" w:cs="Arial"/>
                <w:b w:val="0"/>
              </w:rPr>
            </w:pPr>
            <w:r w:rsidRPr="005A05DA">
              <w:rPr>
                <w:rFonts w:ascii="Arial" w:hAnsi="Arial" w:cs="Arial"/>
                <w:b w:val="0"/>
              </w:rPr>
              <w:t>20-22</w:t>
            </w:r>
          </w:p>
        </w:tc>
        <w:tc>
          <w:tcPr>
            <w:tcW w:w="3021" w:type="dxa"/>
            <w:tcBorders>
              <w:top w:val="nil"/>
              <w:bottom w:val="nil"/>
            </w:tcBorders>
          </w:tcPr>
          <w:p w14:paraId="02A41C4E" w14:textId="77777777" w:rsidR="002D12E5" w:rsidRPr="00605645" w:rsidRDefault="002D12E5" w:rsidP="002D12E5">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90</w:t>
            </w:r>
          </w:p>
        </w:tc>
        <w:tc>
          <w:tcPr>
            <w:tcW w:w="3021" w:type="dxa"/>
            <w:tcBorders>
              <w:top w:val="nil"/>
              <w:bottom w:val="nil"/>
            </w:tcBorders>
          </w:tcPr>
          <w:p w14:paraId="6CDE895E" w14:textId="77777777" w:rsidR="002D12E5" w:rsidRPr="00605645" w:rsidRDefault="002D12E5" w:rsidP="002D12E5">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10</w:t>
            </w:r>
          </w:p>
        </w:tc>
      </w:tr>
      <w:tr w:rsidR="002D12E5" w:rsidRPr="00605645" w14:paraId="4DDF9CCE" w14:textId="77777777" w:rsidTr="00BD4778">
        <w:tc>
          <w:tcPr>
            <w:cnfStyle w:val="001000000000" w:firstRow="0" w:lastRow="0" w:firstColumn="1" w:lastColumn="0" w:oddVBand="0" w:evenVBand="0" w:oddHBand="0" w:evenHBand="0" w:firstRowFirstColumn="0" w:firstRowLastColumn="0" w:lastRowFirstColumn="0" w:lastRowLastColumn="0"/>
            <w:tcW w:w="3020" w:type="dxa"/>
            <w:tcBorders>
              <w:top w:val="nil"/>
              <w:bottom w:val="single" w:sz="12" w:space="0" w:color="auto"/>
            </w:tcBorders>
          </w:tcPr>
          <w:p w14:paraId="71488BAA" w14:textId="77777777" w:rsidR="002D12E5" w:rsidRPr="005A05DA" w:rsidRDefault="002D12E5" w:rsidP="002D12E5">
            <w:pPr>
              <w:pStyle w:val="Body"/>
              <w:spacing w:after="0"/>
              <w:rPr>
                <w:rFonts w:ascii="Arial" w:hAnsi="Arial" w:cs="Arial"/>
                <w:b w:val="0"/>
              </w:rPr>
            </w:pPr>
            <w:r w:rsidRPr="005A05DA">
              <w:rPr>
                <w:rFonts w:ascii="Arial" w:hAnsi="Arial" w:cs="Arial"/>
                <w:b w:val="0"/>
              </w:rPr>
              <w:t>22-25</w:t>
            </w:r>
          </w:p>
        </w:tc>
        <w:tc>
          <w:tcPr>
            <w:tcW w:w="3021" w:type="dxa"/>
            <w:tcBorders>
              <w:top w:val="nil"/>
              <w:bottom w:val="single" w:sz="12" w:space="0" w:color="auto"/>
            </w:tcBorders>
          </w:tcPr>
          <w:p w14:paraId="0722F165" w14:textId="77777777" w:rsidR="002D12E5" w:rsidRPr="00605645" w:rsidRDefault="002D12E5" w:rsidP="002D12E5">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95</w:t>
            </w:r>
          </w:p>
        </w:tc>
        <w:tc>
          <w:tcPr>
            <w:tcW w:w="3021" w:type="dxa"/>
            <w:tcBorders>
              <w:top w:val="nil"/>
              <w:bottom w:val="single" w:sz="12" w:space="0" w:color="auto"/>
            </w:tcBorders>
          </w:tcPr>
          <w:p w14:paraId="62937440" w14:textId="77777777" w:rsidR="002D12E5" w:rsidRPr="00605645" w:rsidRDefault="002D12E5" w:rsidP="002D12E5">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5</w:t>
            </w:r>
          </w:p>
        </w:tc>
      </w:tr>
    </w:tbl>
    <w:p w14:paraId="168F77B6" w14:textId="253246FC" w:rsidR="002D12E5" w:rsidRPr="00605645" w:rsidRDefault="002D12E5" w:rsidP="002D12E5">
      <w:pPr>
        <w:pStyle w:val="Body"/>
        <w:spacing w:after="0"/>
        <w:rPr>
          <w:rFonts w:ascii="Arial" w:hAnsi="Arial" w:cs="Arial"/>
          <w:i/>
          <w:iCs/>
          <w:sz w:val="18"/>
          <w:szCs w:val="18"/>
        </w:rPr>
      </w:pPr>
      <w:r w:rsidRPr="00605645">
        <w:rPr>
          <w:rFonts w:ascii="Arial" w:hAnsi="Arial" w:cs="Arial"/>
          <w:i/>
          <w:iCs/>
          <w:sz w:val="18"/>
          <w:szCs w:val="18"/>
        </w:rPr>
        <w:t>TFA: trifluoroacetic acid; solvent A (0.25% TFA in ultrapure water); solvent B (0.25% TFA in acetonitrile)</w:t>
      </w:r>
    </w:p>
    <w:p w14:paraId="296E8E71" w14:textId="77777777" w:rsidR="002D12E5" w:rsidRPr="00605645" w:rsidRDefault="002D12E5" w:rsidP="002D12E5">
      <w:pPr>
        <w:pStyle w:val="Body"/>
        <w:spacing w:after="0"/>
        <w:rPr>
          <w:rFonts w:ascii="Arial" w:hAnsi="Arial" w:cs="Arial"/>
        </w:rPr>
      </w:pPr>
    </w:p>
    <w:p w14:paraId="62BEB4C2" w14:textId="3F50E296" w:rsidR="002D12E5" w:rsidRPr="00605645" w:rsidRDefault="00B857C5" w:rsidP="002D12E5">
      <w:pPr>
        <w:pStyle w:val="Body"/>
        <w:spacing w:after="0"/>
        <w:rPr>
          <w:rFonts w:ascii="Arial" w:hAnsi="Arial" w:cs="Arial"/>
        </w:rPr>
      </w:pPr>
      <w:r w:rsidRPr="00605645">
        <w:rPr>
          <w:rFonts w:ascii="Arial" w:hAnsi="Arial" w:cs="Arial"/>
          <w:b/>
          <w:bCs/>
        </w:rPr>
        <w:t>Separation and identification of phenolic compounds by analytical U-HPLC:</w:t>
      </w:r>
      <w:r w:rsidRPr="00605645">
        <w:rPr>
          <w:rFonts w:ascii="Arial" w:hAnsi="Arial" w:cs="Arial"/>
        </w:rPr>
        <w:t xml:space="preserve"> Separation of phenolic compounds was carried out in a computer-controlled U-HPLC under a pressure of 550 to 1500 bar. An aliquot of 10 </w:t>
      </w:r>
      <w:proofErr w:type="spellStart"/>
      <w:r w:rsidRPr="00605645">
        <w:rPr>
          <w:rFonts w:ascii="Arial" w:hAnsi="Arial" w:cs="Arial"/>
        </w:rPr>
        <w:t>μL</w:t>
      </w:r>
      <w:proofErr w:type="spellEnd"/>
      <w:r w:rsidRPr="00605645">
        <w:rPr>
          <w:rFonts w:ascii="Arial" w:hAnsi="Arial" w:cs="Arial"/>
        </w:rPr>
        <w:t xml:space="preserve"> of purified phenolic compound extract was injected into the U-HPLC at a flow rate of 1.3 mL/min. Separated compounds (peaks) were revealed at 280 nm. The detection limit of the compounds was set at an absorbance of 30 mA. Below this value, the compound was considered undetected. The various peaks were obtained and then identified using a reference library of phenolic compounds. This library contains retention times and nuclear magnetic resonance (NMR) spectra of phenolic compounds. It was previously developed from commercially available phenolic compounds likely to be present in pineapple (Belhadj et al., 2008; Faurie et al., 2009; Wei et al., 2016; Guerrero et al., 2020)</w:t>
      </w:r>
    </w:p>
    <w:p w14:paraId="0426AF1D" w14:textId="77777777" w:rsidR="002D12E5" w:rsidRPr="00605645" w:rsidRDefault="002D12E5" w:rsidP="00441B6F">
      <w:pPr>
        <w:pStyle w:val="Body"/>
        <w:spacing w:after="0"/>
        <w:rPr>
          <w:rFonts w:ascii="Arial" w:hAnsi="Arial" w:cs="Arial"/>
        </w:rPr>
      </w:pPr>
    </w:p>
    <w:p w14:paraId="3905C72E" w14:textId="408E6233" w:rsidR="00902823" w:rsidRPr="00605645" w:rsidRDefault="00000F8F" w:rsidP="00441B6F">
      <w:pPr>
        <w:pStyle w:val="Head1"/>
        <w:spacing w:after="0"/>
        <w:jc w:val="both"/>
        <w:rPr>
          <w:rFonts w:ascii="Arial" w:hAnsi="Arial" w:cs="Arial"/>
        </w:rPr>
      </w:pPr>
      <w:r w:rsidRPr="00605645">
        <w:rPr>
          <w:rFonts w:ascii="Arial" w:hAnsi="Arial" w:cs="Arial"/>
        </w:rPr>
        <w:t>3</w:t>
      </w:r>
      <w:r w:rsidR="00902823" w:rsidRPr="00605645">
        <w:rPr>
          <w:rFonts w:ascii="Arial" w:hAnsi="Arial" w:cs="Arial"/>
        </w:rPr>
        <w:t xml:space="preserve">. </w:t>
      </w:r>
      <w:r w:rsidRPr="00605645">
        <w:rPr>
          <w:rFonts w:ascii="Arial" w:hAnsi="Arial" w:cs="Arial"/>
        </w:rPr>
        <w:t xml:space="preserve">results </w:t>
      </w:r>
    </w:p>
    <w:p w14:paraId="2DB70727" w14:textId="77777777" w:rsidR="00790ADA" w:rsidRPr="00605645" w:rsidRDefault="00790ADA" w:rsidP="00441B6F">
      <w:pPr>
        <w:pStyle w:val="Head1"/>
        <w:spacing w:after="0"/>
        <w:jc w:val="both"/>
        <w:rPr>
          <w:rFonts w:ascii="Arial" w:hAnsi="Arial" w:cs="Arial"/>
        </w:rPr>
      </w:pPr>
    </w:p>
    <w:p w14:paraId="75904792" w14:textId="19F2DF06" w:rsidR="00B857C5" w:rsidRPr="00605645" w:rsidRDefault="00B857C5" w:rsidP="00441B6F">
      <w:pPr>
        <w:pStyle w:val="Body"/>
        <w:spacing w:after="0"/>
        <w:rPr>
          <w:rFonts w:ascii="Arial" w:hAnsi="Arial" w:cs="Arial"/>
        </w:rPr>
      </w:pPr>
      <w:r w:rsidRPr="00605645">
        <w:rPr>
          <w:rFonts w:ascii="Arial" w:hAnsi="Arial" w:cs="Arial"/>
          <w:b/>
          <w:caps/>
          <w:sz w:val="22"/>
        </w:rPr>
        <w:t xml:space="preserve">3.1 </w:t>
      </w:r>
      <w:r w:rsidRPr="00605645">
        <w:rPr>
          <w:rFonts w:ascii="Arial" w:hAnsi="Arial" w:cs="Arial"/>
          <w:b/>
          <w:sz w:val="22"/>
        </w:rPr>
        <w:t xml:space="preserve">Impact of potassium fertilization on the appearance of pineapple pulp </w:t>
      </w:r>
    </w:p>
    <w:p w14:paraId="6B173F1C" w14:textId="77777777" w:rsidR="00B857C5" w:rsidRPr="00605645" w:rsidRDefault="00B857C5" w:rsidP="00441B6F">
      <w:pPr>
        <w:pStyle w:val="Body"/>
        <w:spacing w:after="0"/>
        <w:rPr>
          <w:rFonts w:ascii="Arial" w:hAnsi="Arial" w:cs="Arial"/>
        </w:rPr>
      </w:pPr>
    </w:p>
    <w:p w14:paraId="619A3C08" w14:textId="221FBD28" w:rsidR="00B95236" w:rsidRPr="00605645" w:rsidRDefault="00B857C5" w:rsidP="00441B6F">
      <w:pPr>
        <w:pStyle w:val="Body"/>
        <w:spacing w:after="0"/>
        <w:rPr>
          <w:rFonts w:ascii="Arial" w:hAnsi="Arial" w:cs="Arial"/>
        </w:rPr>
      </w:pPr>
      <w:r w:rsidRPr="00605645">
        <w:rPr>
          <w:rFonts w:ascii="Arial" w:hAnsi="Arial" w:cs="Arial"/>
        </w:rPr>
        <w:t>Pulp appearance shows that the severity of browning symptoms is inversely proportional to the amount of potassium applied to the plants. Internal pulp browning is more intense in smooth Cayenne pineapple than in MD2. No translucency symptoms were observed in MD2 pineapple. On the other hand, in smooth Cayenne, this symptom was observed in treatments T1 and T2. Analysis of the results suggests that pulp translucency precedes browning (Fig. 1).</w:t>
      </w:r>
    </w:p>
    <w:p w14:paraId="42664A6E" w14:textId="77777777" w:rsidR="00B857C5" w:rsidRPr="00605645" w:rsidRDefault="00B857C5" w:rsidP="00441B6F">
      <w:pPr>
        <w:pStyle w:val="Body"/>
        <w:spacing w:after="0"/>
        <w:rPr>
          <w:rFonts w:ascii="Arial" w:hAnsi="Arial" w:cs="Arial"/>
        </w:rPr>
      </w:pPr>
    </w:p>
    <w:p w14:paraId="77685EEF" w14:textId="54FB2925" w:rsidR="00B857C5" w:rsidRPr="00605645" w:rsidRDefault="00B857C5" w:rsidP="00441B6F">
      <w:pPr>
        <w:pStyle w:val="Body"/>
        <w:spacing w:after="0"/>
        <w:rPr>
          <w:rFonts w:ascii="Arial" w:hAnsi="Arial" w:cs="Arial"/>
        </w:rPr>
      </w:pPr>
      <w:r w:rsidRPr="00605645">
        <w:rPr>
          <w:noProof/>
          <w:lang w:val="fr-FR" w:eastAsia="fr-FR"/>
        </w:rPr>
        <w:drawing>
          <wp:anchor distT="0" distB="0" distL="114300" distR="114300" simplePos="0" relativeHeight="251655680" behindDoc="0" locked="0" layoutInCell="1" allowOverlap="1" wp14:anchorId="1EF0724C" wp14:editId="4F93DA6B">
            <wp:simplePos x="0" y="0"/>
            <wp:positionH relativeFrom="margin">
              <wp:posOffset>-3810</wp:posOffset>
            </wp:positionH>
            <wp:positionV relativeFrom="paragraph">
              <wp:posOffset>146050</wp:posOffset>
            </wp:positionV>
            <wp:extent cx="5224145" cy="3209801"/>
            <wp:effectExtent l="0" t="0" r="0" b="0"/>
            <wp:wrapNone/>
            <wp:docPr id="1185272446" name="Image 1" descr="Une image contenant fruit, nourritu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272446" name="Image 1" descr="Une image contenant fruit, nourriture&#10;&#10;Le contenu généré par l’IA peut être incorrect."/>
                    <pic:cNvPicPr/>
                  </pic:nvPicPr>
                  <pic:blipFill>
                    <a:blip r:embed="rId14">
                      <a:extLst>
                        <a:ext uri="{28A0092B-C50C-407E-A947-70E740481C1C}">
                          <a14:useLocalDpi xmlns:a14="http://schemas.microsoft.com/office/drawing/2010/main" val="0"/>
                        </a:ext>
                      </a:extLst>
                    </a:blip>
                    <a:stretch>
                      <a:fillRect/>
                    </a:stretch>
                  </pic:blipFill>
                  <pic:spPr>
                    <a:xfrm>
                      <a:off x="0" y="0"/>
                      <a:ext cx="5240840" cy="3220059"/>
                    </a:xfrm>
                    <a:prstGeom prst="rect">
                      <a:avLst/>
                    </a:prstGeom>
                  </pic:spPr>
                </pic:pic>
              </a:graphicData>
            </a:graphic>
            <wp14:sizeRelH relativeFrom="margin">
              <wp14:pctWidth>0</wp14:pctWidth>
            </wp14:sizeRelH>
            <wp14:sizeRelV relativeFrom="margin">
              <wp14:pctHeight>0</wp14:pctHeight>
            </wp14:sizeRelV>
          </wp:anchor>
        </w:drawing>
      </w:r>
    </w:p>
    <w:p w14:paraId="1B0123BE" w14:textId="03FFA1DF" w:rsidR="00B857C5" w:rsidRPr="00605645" w:rsidRDefault="00B857C5" w:rsidP="00B857C5">
      <w:pPr>
        <w:pStyle w:val="Body"/>
        <w:rPr>
          <w:rFonts w:ascii="Arial" w:hAnsi="Arial" w:cs="Arial"/>
        </w:rPr>
      </w:pPr>
    </w:p>
    <w:p w14:paraId="15C4F7A8" w14:textId="77777777" w:rsidR="00B857C5" w:rsidRPr="00605645" w:rsidRDefault="00B857C5" w:rsidP="00B857C5">
      <w:pPr>
        <w:pStyle w:val="Body"/>
        <w:rPr>
          <w:rFonts w:ascii="Arial" w:hAnsi="Arial" w:cs="Arial"/>
        </w:rPr>
      </w:pPr>
    </w:p>
    <w:p w14:paraId="405DB462" w14:textId="77777777" w:rsidR="00B857C5" w:rsidRPr="00605645" w:rsidRDefault="00B857C5" w:rsidP="00B857C5">
      <w:pPr>
        <w:pStyle w:val="Body"/>
        <w:rPr>
          <w:rFonts w:ascii="Arial" w:hAnsi="Arial" w:cs="Arial"/>
        </w:rPr>
      </w:pPr>
    </w:p>
    <w:p w14:paraId="65DDF0F6" w14:textId="77777777" w:rsidR="00B857C5" w:rsidRPr="00605645" w:rsidRDefault="00B857C5" w:rsidP="00B857C5">
      <w:pPr>
        <w:pStyle w:val="Body"/>
        <w:rPr>
          <w:rFonts w:ascii="Arial" w:hAnsi="Arial" w:cs="Arial"/>
        </w:rPr>
      </w:pPr>
    </w:p>
    <w:p w14:paraId="0E71F3A6" w14:textId="77777777" w:rsidR="00B857C5" w:rsidRPr="00605645" w:rsidRDefault="00B857C5" w:rsidP="00B857C5">
      <w:pPr>
        <w:pStyle w:val="Body"/>
        <w:rPr>
          <w:rFonts w:ascii="Arial" w:hAnsi="Arial" w:cs="Arial"/>
        </w:rPr>
      </w:pPr>
    </w:p>
    <w:p w14:paraId="449CD875" w14:textId="77777777" w:rsidR="00B857C5" w:rsidRPr="00605645" w:rsidRDefault="00B857C5" w:rsidP="00B857C5">
      <w:pPr>
        <w:pStyle w:val="Body"/>
        <w:rPr>
          <w:rFonts w:ascii="Arial" w:hAnsi="Arial" w:cs="Arial"/>
        </w:rPr>
      </w:pPr>
    </w:p>
    <w:p w14:paraId="5028E056" w14:textId="77777777" w:rsidR="00B857C5" w:rsidRPr="00605645" w:rsidRDefault="00B857C5" w:rsidP="00B857C5">
      <w:pPr>
        <w:pStyle w:val="Body"/>
        <w:rPr>
          <w:rFonts w:ascii="Arial" w:hAnsi="Arial" w:cs="Arial"/>
        </w:rPr>
      </w:pPr>
    </w:p>
    <w:p w14:paraId="4B33294B" w14:textId="77777777" w:rsidR="00B857C5" w:rsidRPr="00605645" w:rsidRDefault="00B857C5" w:rsidP="00B857C5">
      <w:pPr>
        <w:pStyle w:val="Body"/>
        <w:rPr>
          <w:rFonts w:ascii="Arial" w:hAnsi="Arial" w:cs="Arial"/>
        </w:rPr>
      </w:pPr>
    </w:p>
    <w:p w14:paraId="04C40B39" w14:textId="77777777" w:rsidR="00B857C5" w:rsidRPr="00605645" w:rsidRDefault="00B857C5" w:rsidP="00B857C5">
      <w:pPr>
        <w:pStyle w:val="Body"/>
        <w:rPr>
          <w:rFonts w:ascii="Arial" w:hAnsi="Arial" w:cs="Arial"/>
        </w:rPr>
      </w:pPr>
    </w:p>
    <w:p w14:paraId="6FEF4F8A" w14:textId="77777777" w:rsidR="00B857C5" w:rsidRPr="00605645" w:rsidRDefault="00B857C5" w:rsidP="00B857C5">
      <w:pPr>
        <w:pStyle w:val="Body"/>
        <w:rPr>
          <w:rFonts w:ascii="Arial" w:hAnsi="Arial" w:cs="Arial"/>
        </w:rPr>
      </w:pPr>
    </w:p>
    <w:p w14:paraId="2FD7B284" w14:textId="77777777" w:rsidR="00B857C5" w:rsidRPr="00605645" w:rsidRDefault="00B857C5" w:rsidP="00B857C5">
      <w:pPr>
        <w:pStyle w:val="Body"/>
        <w:rPr>
          <w:rFonts w:ascii="Arial" w:hAnsi="Arial" w:cs="Arial"/>
        </w:rPr>
      </w:pPr>
    </w:p>
    <w:p w14:paraId="2985D318" w14:textId="77777777" w:rsidR="00B857C5" w:rsidRPr="00605645" w:rsidRDefault="00B857C5" w:rsidP="00B857C5">
      <w:pPr>
        <w:pStyle w:val="Body"/>
        <w:spacing w:after="0"/>
        <w:rPr>
          <w:rFonts w:ascii="Arial" w:hAnsi="Arial" w:cs="Arial"/>
        </w:rPr>
      </w:pPr>
    </w:p>
    <w:p w14:paraId="00E8358B" w14:textId="77777777" w:rsidR="00B857C5" w:rsidRPr="00605645" w:rsidRDefault="00B857C5" w:rsidP="00B857C5">
      <w:pPr>
        <w:pStyle w:val="Body"/>
        <w:spacing w:after="0"/>
        <w:rPr>
          <w:rFonts w:ascii="Arial" w:hAnsi="Arial" w:cs="Arial"/>
          <w:b/>
          <w:bCs/>
        </w:rPr>
      </w:pPr>
      <w:r w:rsidRPr="00605645">
        <w:rPr>
          <w:rFonts w:ascii="Arial" w:hAnsi="Arial" w:cs="Arial"/>
          <w:b/>
          <w:bCs/>
        </w:rPr>
        <w:t>Fig. 1. Evolution of internal browning symptoms in MD2 and smooth Cayenne pineapples as a function of the potassium concentration applied to the soil.</w:t>
      </w:r>
    </w:p>
    <w:p w14:paraId="26E7614E" w14:textId="7B76465F" w:rsidR="00B857C5" w:rsidRPr="00605645" w:rsidRDefault="00B857C5" w:rsidP="00B857C5">
      <w:pPr>
        <w:pStyle w:val="Body"/>
        <w:spacing w:after="0"/>
        <w:rPr>
          <w:rFonts w:ascii="Arial" w:hAnsi="Arial" w:cs="Arial"/>
        </w:rPr>
      </w:pPr>
      <w:r w:rsidRPr="00605645">
        <w:rPr>
          <w:rFonts w:ascii="Arial" w:hAnsi="Arial" w:cs="Arial"/>
          <w:i/>
          <w:sz w:val="18"/>
        </w:rPr>
        <w:t>MT0 (MD2 control fruits from 20 g K</w:t>
      </w:r>
      <w:r w:rsidRPr="00605645">
        <w:rPr>
          <w:rFonts w:ascii="Arial" w:hAnsi="Arial" w:cs="Arial"/>
          <w:i/>
          <w:sz w:val="18"/>
          <w:vertAlign w:val="subscript"/>
        </w:rPr>
        <w:t>2</w:t>
      </w:r>
      <w:r w:rsidRPr="00605645">
        <w:rPr>
          <w:rFonts w:ascii="Arial" w:hAnsi="Arial" w:cs="Arial"/>
          <w:i/>
          <w:sz w:val="18"/>
        </w:rPr>
        <w:t xml:space="preserve">O/plant treatment); MT1 (MD2 fruits from 28 g </w:t>
      </w:r>
      <w:r w:rsidR="00802C63" w:rsidRPr="00605645">
        <w:rPr>
          <w:rFonts w:ascii="Arial" w:hAnsi="Arial" w:cs="Arial"/>
          <w:i/>
          <w:sz w:val="18"/>
        </w:rPr>
        <w:t>K</w:t>
      </w:r>
      <w:r w:rsidR="00802C63" w:rsidRPr="00605645">
        <w:rPr>
          <w:rFonts w:ascii="Arial" w:hAnsi="Arial" w:cs="Arial"/>
          <w:i/>
          <w:sz w:val="18"/>
          <w:vertAlign w:val="subscript"/>
        </w:rPr>
        <w:t>2</w:t>
      </w:r>
      <w:r w:rsidR="00802C63" w:rsidRPr="00605645">
        <w:rPr>
          <w:rFonts w:ascii="Arial" w:hAnsi="Arial" w:cs="Arial"/>
          <w:i/>
          <w:sz w:val="18"/>
        </w:rPr>
        <w:t>O</w:t>
      </w:r>
      <w:r w:rsidRPr="00605645">
        <w:rPr>
          <w:rFonts w:ascii="Arial" w:hAnsi="Arial" w:cs="Arial"/>
          <w:i/>
          <w:sz w:val="18"/>
        </w:rPr>
        <w:t>/plant treatment); MT2 (MD2 fruits from 34 g K</w:t>
      </w:r>
      <w:r w:rsidRPr="00605645">
        <w:rPr>
          <w:rFonts w:ascii="Arial" w:hAnsi="Arial" w:cs="Arial"/>
          <w:i/>
          <w:sz w:val="18"/>
          <w:vertAlign w:val="subscript"/>
        </w:rPr>
        <w:t>2</w:t>
      </w:r>
      <w:r w:rsidRPr="00605645">
        <w:rPr>
          <w:rFonts w:ascii="Arial" w:hAnsi="Arial" w:cs="Arial"/>
          <w:i/>
          <w:sz w:val="18"/>
        </w:rPr>
        <w:t>O/plant treatment); MT3 (MD2 fruits from 40 g K</w:t>
      </w:r>
      <w:r w:rsidRPr="00605645">
        <w:rPr>
          <w:rFonts w:ascii="Arial" w:hAnsi="Arial" w:cs="Arial"/>
          <w:i/>
          <w:sz w:val="18"/>
          <w:vertAlign w:val="subscript"/>
        </w:rPr>
        <w:t>2</w:t>
      </w:r>
      <w:r w:rsidRPr="00605645">
        <w:rPr>
          <w:rFonts w:ascii="Arial" w:hAnsi="Arial" w:cs="Arial"/>
          <w:i/>
          <w:sz w:val="18"/>
        </w:rPr>
        <w:t>O/plant treatment); CT0 (smooth Cayenne control fruits from 20 g K</w:t>
      </w:r>
      <w:r w:rsidRPr="00605645">
        <w:rPr>
          <w:rFonts w:ascii="Arial" w:hAnsi="Arial" w:cs="Arial"/>
          <w:i/>
          <w:sz w:val="18"/>
          <w:vertAlign w:val="subscript"/>
        </w:rPr>
        <w:t>2</w:t>
      </w:r>
      <w:r w:rsidRPr="00605645">
        <w:rPr>
          <w:rFonts w:ascii="Arial" w:hAnsi="Arial" w:cs="Arial"/>
          <w:i/>
          <w:sz w:val="18"/>
        </w:rPr>
        <w:t>O/plant treatment); CT1 (fruits of the smooth Cayenne variety from the 28 g K</w:t>
      </w:r>
      <w:r w:rsidRPr="00605645">
        <w:rPr>
          <w:rFonts w:ascii="Arial" w:hAnsi="Arial" w:cs="Arial"/>
          <w:i/>
          <w:sz w:val="18"/>
          <w:vertAlign w:val="subscript"/>
        </w:rPr>
        <w:t>2</w:t>
      </w:r>
      <w:r w:rsidRPr="00605645">
        <w:rPr>
          <w:rFonts w:ascii="Arial" w:hAnsi="Arial" w:cs="Arial"/>
          <w:i/>
          <w:sz w:val="18"/>
        </w:rPr>
        <w:t>O/plant treatment); CT2 (fruits of the smooth Cayenne variety from the 34 g K</w:t>
      </w:r>
      <w:r w:rsidRPr="00605645">
        <w:rPr>
          <w:rFonts w:ascii="Arial" w:hAnsi="Arial" w:cs="Arial"/>
          <w:i/>
          <w:sz w:val="18"/>
          <w:vertAlign w:val="subscript"/>
        </w:rPr>
        <w:t>2</w:t>
      </w:r>
      <w:r w:rsidRPr="00605645">
        <w:rPr>
          <w:rFonts w:ascii="Arial" w:hAnsi="Arial" w:cs="Arial"/>
          <w:i/>
          <w:sz w:val="18"/>
        </w:rPr>
        <w:t>O/plant treatment); CT3 (fruits of the smooth Cayenne variety from the 40 g K</w:t>
      </w:r>
      <w:r w:rsidRPr="00605645">
        <w:rPr>
          <w:rFonts w:ascii="Arial" w:hAnsi="Arial" w:cs="Arial"/>
          <w:i/>
          <w:sz w:val="18"/>
          <w:vertAlign w:val="subscript"/>
        </w:rPr>
        <w:t>2</w:t>
      </w:r>
      <w:r w:rsidRPr="00605645">
        <w:rPr>
          <w:rFonts w:ascii="Arial" w:hAnsi="Arial" w:cs="Arial"/>
          <w:i/>
          <w:sz w:val="18"/>
        </w:rPr>
        <w:t>O/plant treatment); a (Browning symptom); b (Translucency symptom).</w:t>
      </w:r>
    </w:p>
    <w:p w14:paraId="61F6C965" w14:textId="77777777" w:rsidR="00B857C5" w:rsidRPr="00605645" w:rsidRDefault="00B857C5" w:rsidP="00441B6F">
      <w:pPr>
        <w:pStyle w:val="Body"/>
        <w:spacing w:after="0"/>
        <w:rPr>
          <w:rFonts w:ascii="Arial" w:hAnsi="Arial" w:cs="Arial"/>
        </w:rPr>
      </w:pPr>
    </w:p>
    <w:p w14:paraId="36A5BE3C" w14:textId="46DC8CFC" w:rsidR="00B857C5" w:rsidRPr="00605645" w:rsidRDefault="00B857C5" w:rsidP="00B857C5">
      <w:pPr>
        <w:pStyle w:val="Body"/>
        <w:spacing w:after="0"/>
        <w:rPr>
          <w:rFonts w:ascii="Arial" w:hAnsi="Arial" w:cs="Arial"/>
        </w:rPr>
      </w:pPr>
      <w:r w:rsidRPr="00605645">
        <w:rPr>
          <w:rFonts w:ascii="Arial" w:hAnsi="Arial" w:cs="Arial"/>
          <w:b/>
          <w:caps/>
          <w:sz w:val="22"/>
        </w:rPr>
        <w:t>3.</w:t>
      </w:r>
      <w:r w:rsidR="00175757" w:rsidRPr="00605645">
        <w:rPr>
          <w:rFonts w:ascii="Arial" w:hAnsi="Arial" w:cs="Arial"/>
          <w:b/>
          <w:caps/>
          <w:sz w:val="22"/>
        </w:rPr>
        <w:t>2</w:t>
      </w:r>
      <w:r w:rsidRPr="00605645">
        <w:rPr>
          <w:rFonts w:ascii="Arial" w:hAnsi="Arial" w:cs="Arial"/>
          <w:b/>
          <w:caps/>
          <w:sz w:val="22"/>
        </w:rPr>
        <w:t xml:space="preserve"> </w:t>
      </w:r>
      <w:r w:rsidR="00175757" w:rsidRPr="00605645">
        <w:rPr>
          <w:rFonts w:ascii="Arial" w:hAnsi="Arial" w:cs="Arial"/>
          <w:b/>
          <w:sz w:val="22"/>
        </w:rPr>
        <w:t>Qualitative analysis of phenolic compounds</w:t>
      </w:r>
      <w:r w:rsidRPr="00605645">
        <w:rPr>
          <w:rFonts w:ascii="Arial" w:hAnsi="Arial" w:cs="Arial"/>
          <w:b/>
          <w:sz w:val="22"/>
        </w:rPr>
        <w:t xml:space="preserve"> </w:t>
      </w:r>
    </w:p>
    <w:p w14:paraId="0F7FD433" w14:textId="77777777" w:rsidR="00B857C5" w:rsidRPr="00605645" w:rsidRDefault="00B857C5" w:rsidP="00B857C5">
      <w:pPr>
        <w:pStyle w:val="Body"/>
        <w:spacing w:after="0"/>
        <w:rPr>
          <w:rFonts w:ascii="Arial" w:hAnsi="Arial" w:cs="Arial"/>
        </w:rPr>
      </w:pPr>
    </w:p>
    <w:p w14:paraId="79925AD3" w14:textId="77777777" w:rsidR="00175757" w:rsidRPr="00605645" w:rsidRDefault="00175757" w:rsidP="00175757">
      <w:pPr>
        <w:pStyle w:val="Body"/>
        <w:spacing w:after="0"/>
        <w:rPr>
          <w:rFonts w:ascii="Arial" w:hAnsi="Arial" w:cs="Arial"/>
        </w:rPr>
      </w:pPr>
      <w:r w:rsidRPr="00605645">
        <w:rPr>
          <w:rFonts w:ascii="Arial" w:hAnsi="Arial" w:cs="Arial"/>
        </w:rPr>
        <w:t xml:space="preserve">Analysis of the samples by ultra-high-performance chromatography (U-HPLC) was used to identify the phenolic compounds present in pineapple pulp as a function of the different potassium treatments. Prior to sample analysis, 16 phenolic standards were chromatographed under the same conditions as the samples to determine their different retention times (Table 2). </w:t>
      </w:r>
    </w:p>
    <w:p w14:paraId="6FE02D40" w14:textId="6E9C5712" w:rsidR="00175757" w:rsidRPr="00605645" w:rsidRDefault="00175757" w:rsidP="00441B6F">
      <w:pPr>
        <w:pStyle w:val="Body"/>
        <w:spacing w:after="0"/>
        <w:rPr>
          <w:rFonts w:ascii="Arial" w:hAnsi="Arial" w:cs="Arial"/>
        </w:rPr>
      </w:pPr>
      <w:r w:rsidRPr="00605645">
        <w:rPr>
          <w:rFonts w:ascii="Arial" w:hAnsi="Arial" w:cs="Arial"/>
        </w:rPr>
        <w:t>Thus, by comparing the retention time of each chromatogram with those of the standards, the various phenolic compounds could be identified. This was made possible by a reference library of commercially available or purified phenolic compounds. This contains retention times and NMR spectra of phenolic standards.</w:t>
      </w:r>
    </w:p>
    <w:p w14:paraId="403AC87F" w14:textId="77777777" w:rsidR="00175757" w:rsidRPr="00605645" w:rsidRDefault="00175757" w:rsidP="00175757">
      <w:pPr>
        <w:pStyle w:val="Body"/>
        <w:spacing w:after="0"/>
        <w:rPr>
          <w:rFonts w:ascii="Arial" w:hAnsi="Arial" w:cs="Arial"/>
        </w:rPr>
      </w:pPr>
    </w:p>
    <w:p w14:paraId="5AD6AFD6" w14:textId="77777777" w:rsidR="00175757" w:rsidRPr="00605645" w:rsidRDefault="00175757" w:rsidP="00175757">
      <w:pPr>
        <w:pStyle w:val="Body"/>
        <w:spacing w:after="0"/>
        <w:rPr>
          <w:rFonts w:ascii="Arial" w:hAnsi="Arial" w:cs="Arial"/>
          <w:b/>
          <w:bCs/>
        </w:rPr>
      </w:pPr>
      <w:r w:rsidRPr="00605645">
        <w:rPr>
          <w:rFonts w:ascii="Arial" w:hAnsi="Arial" w:cs="Arial"/>
          <w:b/>
          <w:bCs/>
        </w:rPr>
        <w:t>Table 2: Retention times of phenolic compounds isolated by U-HPLC at 284 nm</w:t>
      </w:r>
    </w:p>
    <w:p w14:paraId="5609B498" w14:textId="77777777" w:rsidR="00175757" w:rsidRPr="00605645" w:rsidRDefault="00175757" w:rsidP="00175757">
      <w:pPr>
        <w:pStyle w:val="Body"/>
        <w:spacing w:after="0"/>
        <w:rPr>
          <w:rFonts w:ascii="Arial" w:hAnsi="Arial" w:cs="Arial"/>
          <w:b/>
          <w:bCs/>
        </w:rPr>
      </w:pPr>
    </w:p>
    <w:tbl>
      <w:tblPr>
        <w:tblStyle w:val="PlainTable2"/>
        <w:tblW w:w="0" w:type="auto"/>
        <w:tblLook w:val="04A0" w:firstRow="1" w:lastRow="0" w:firstColumn="1" w:lastColumn="0" w:noHBand="0" w:noVBand="1"/>
      </w:tblPr>
      <w:tblGrid>
        <w:gridCol w:w="1624"/>
        <w:gridCol w:w="3799"/>
        <w:gridCol w:w="3001"/>
      </w:tblGrid>
      <w:tr w:rsidR="00175757" w:rsidRPr="00605645" w14:paraId="4C13FFF0" w14:textId="77777777" w:rsidTr="00BD47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12" w:space="0" w:color="auto"/>
              <w:bottom w:val="single" w:sz="12" w:space="0" w:color="auto"/>
            </w:tcBorders>
            <w:shd w:val="clear" w:color="auto" w:fill="auto"/>
          </w:tcPr>
          <w:p w14:paraId="79248BC4" w14:textId="77777777" w:rsidR="00175757" w:rsidRPr="00605645" w:rsidRDefault="00175757" w:rsidP="00175757">
            <w:pPr>
              <w:pStyle w:val="Body"/>
              <w:spacing w:after="0"/>
              <w:rPr>
                <w:rFonts w:ascii="Arial" w:hAnsi="Arial" w:cs="Arial"/>
                <w:bCs w:val="0"/>
              </w:rPr>
            </w:pPr>
            <w:r w:rsidRPr="00605645">
              <w:rPr>
                <w:rFonts w:ascii="Arial" w:hAnsi="Arial" w:cs="Arial"/>
                <w:bCs w:val="0"/>
              </w:rPr>
              <w:t>Numbers</w:t>
            </w:r>
          </w:p>
        </w:tc>
        <w:tc>
          <w:tcPr>
            <w:tcW w:w="4116" w:type="dxa"/>
            <w:tcBorders>
              <w:top w:val="single" w:sz="12" w:space="0" w:color="auto"/>
              <w:bottom w:val="single" w:sz="12" w:space="0" w:color="auto"/>
            </w:tcBorders>
            <w:shd w:val="clear" w:color="auto" w:fill="auto"/>
          </w:tcPr>
          <w:p w14:paraId="0A12D50B" w14:textId="77777777" w:rsidR="00175757" w:rsidRPr="00605645" w:rsidRDefault="00175757" w:rsidP="00175757">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605645">
              <w:rPr>
                <w:rFonts w:ascii="Arial" w:hAnsi="Arial" w:cs="Arial"/>
                <w:bCs w:val="0"/>
              </w:rPr>
              <w:t xml:space="preserve">Phenolic compounds </w:t>
            </w:r>
          </w:p>
        </w:tc>
        <w:tc>
          <w:tcPr>
            <w:tcW w:w="3250" w:type="dxa"/>
            <w:tcBorders>
              <w:top w:val="single" w:sz="12" w:space="0" w:color="auto"/>
              <w:bottom w:val="single" w:sz="12" w:space="0" w:color="auto"/>
            </w:tcBorders>
            <w:shd w:val="clear" w:color="auto" w:fill="auto"/>
          </w:tcPr>
          <w:p w14:paraId="0F83BDC6" w14:textId="77777777" w:rsidR="00175757" w:rsidRPr="00605645" w:rsidRDefault="00175757" w:rsidP="00175757">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605645">
              <w:rPr>
                <w:rFonts w:ascii="Arial" w:hAnsi="Arial" w:cs="Arial"/>
                <w:bCs w:val="0"/>
              </w:rPr>
              <w:t>Retention times (min)</w:t>
            </w:r>
          </w:p>
        </w:tc>
      </w:tr>
      <w:tr w:rsidR="00175757" w:rsidRPr="00605645" w14:paraId="6011F2FB"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12" w:space="0" w:color="auto"/>
              <w:bottom w:val="nil"/>
            </w:tcBorders>
          </w:tcPr>
          <w:p w14:paraId="364E7E11" w14:textId="77777777" w:rsidR="00175757" w:rsidRPr="005A05DA" w:rsidRDefault="00175757" w:rsidP="00175757">
            <w:pPr>
              <w:pStyle w:val="Body"/>
              <w:spacing w:after="0"/>
              <w:rPr>
                <w:rFonts w:ascii="Arial" w:hAnsi="Arial" w:cs="Arial"/>
                <w:b w:val="0"/>
              </w:rPr>
            </w:pPr>
            <w:r w:rsidRPr="005A05DA">
              <w:rPr>
                <w:rFonts w:ascii="Arial" w:hAnsi="Arial" w:cs="Arial"/>
                <w:b w:val="0"/>
              </w:rPr>
              <w:t>1</w:t>
            </w:r>
          </w:p>
        </w:tc>
        <w:tc>
          <w:tcPr>
            <w:tcW w:w="4116" w:type="dxa"/>
            <w:tcBorders>
              <w:top w:val="single" w:sz="12" w:space="0" w:color="auto"/>
              <w:bottom w:val="nil"/>
            </w:tcBorders>
          </w:tcPr>
          <w:p w14:paraId="7C4730E2"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Arbutin</w:t>
            </w:r>
          </w:p>
        </w:tc>
        <w:tc>
          <w:tcPr>
            <w:tcW w:w="3250" w:type="dxa"/>
            <w:tcBorders>
              <w:top w:val="single" w:sz="12" w:space="0" w:color="auto"/>
              <w:bottom w:val="nil"/>
            </w:tcBorders>
          </w:tcPr>
          <w:p w14:paraId="522B3EB8"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04,036</w:t>
            </w:r>
          </w:p>
        </w:tc>
      </w:tr>
      <w:tr w:rsidR="00175757" w:rsidRPr="00605645" w14:paraId="7783360B" w14:textId="77777777" w:rsidTr="00BD4778">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2BA374BB" w14:textId="77777777" w:rsidR="00175757" w:rsidRPr="005A05DA" w:rsidRDefault="00175757" w:rsidP="00175757">
            <w:pPr>
              <w:pStyle w:val="Body"/>
              <w:spacing w:after="0"/>
              <w:rPr>
                <w:rFonts w:ascii="Arial" w:hAnsi="Arial" w:cs="Arial"/>
                <w:b w:val="0"/>
              </w:rPr>
            </w:pPr>
            <w:r w:rsidRPr="005A05DA">
              <w:rPr>
                <w:rFonts w:ascii="Arial" w:hAnsi="Arial" w:cs="Arial"/>
                <w:b w:val="0"/>
              </w:rPr>
              <w:t>2</w:t>
            </w:r>
          </w:p>
        </w:tc>
        <w:tc>
          <w:tcPr>
            <w:tcW w:w="4116" w:type="dxa"/>
            <w:tcBorders>
              <w:top w:val="nil"/>
              <w:bottom w:val="nil"/>
            </w:tcBorders>
          </w:tcPr>
          <w:p w14:paraId="38C1F2D7"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Gentisic acid</w:t>
            </w:r>
          </w:p>
        </w:tc>
        <w:tc>
          <w:tcPr>
            <w:tcW w:w="3250" w:type="dxa"/>
            <w:tcBorders>
              <w:top w:val="nil"/>
              <w:bottom w:val="nil"/>
            </w:tcBorders>
          </w:tcPr>
          <w:p w14:paraId="038DF1D5"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11,500</w:t>
            </w:r>
          </w:p>
        </w:tc>
      </w:tr>
      <w:tr w:rsidR="00175757" w:rsidRPr="00605645" w14:paraId="4BF25753"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7FBD30A3" w14:textId="77777777" w:rsidR="00175757" w:rsidRPr="005A05DA" w:rsidRDefault="00175757" w:rsidP="00175757">
            <w:pPr>
              <w:pStyle w:val="Body"/>
              <w:spacing w:after="0"/>
              <w:rPr>
                <w:rFonts w:ascii="Arial" w:hAnsi="Arial" w:cs="Arial"/>
                <w:b w:val="0"/>
              </w:rPr>
            </w:pPr>
            <w:r w:rsidRPr="005A05DA">
              <w:rPr>
                <w:rFonts w:ascii="Arial" w:hAnsi="Arial" w:cs="Arial"/>
                <w:b w:val="0"/>
              </w:rPr>
              <w:t>3</w:t>
            </w:r>
          </w:p>
        </w:tc>
        <w:tc>
          <w:tcPr>
            <w:tcW w:w="4116" w:type="dxa"/>
            <w:tcBorders>
              <w:top w:val="nil"/>
              <w:bottom w:val="nil"/>
            </w:tcBorders>
          </w:tcPr>
          <w:p w14:paraId="17FFEC1B"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Quercitrin</w:t>
            </w:r>
          </w:p>
        </w:tc>
        <w:tc>
          <w:tcPr>
            <w:tcW w:w="3250" w:type="dxa"/>
            <w:tcBorders>
              <w:top w:val="nil"/>
              <w:bottom w:val="nil"/>
            </w:tcBorders>
          </w:tcPr>
          <w:p w14:paraId="50118A45"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11,832</w:t>
            </w:r>
          </w:p>
        </w:tc>
      </w:tr>
      <w:tr w:rsidR="00175757" w:rsidRPr="00605645" w14:paraId="3896F8E0" w14:textId="77777777" w:rsidTr="00BD4778">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2B0CF853" w14:textId="77777777" w:rsidR="00175757" w:rsidRPr="005A05DA" w:rsidRDefault="00175757" w:rsidP="00175757">
            <w:pPr>
              <w:pStyle w:val="Body"/>
              <w:spacing w:after="0"/>
              <w:rPr>
                <w:rFonts w:ascii="Arial" w:hAnsi="Arial" w:cs="Arial"/>
                <w:b w:val="0"/>
              </w:rPr>
            </w:pPr>
            <w:r w:rsidRPr="005A05DA">
              <w:rPr>
                <w:rFonts w:ascii="Arial" w:hAnsi="Arial" w:cs="Arial"/>
                <w:b w:val="0"/>
              </w:rPr>
              <w:t>4</w:t>
            </w:r>
          </w:p>
        </w:tc>
        <w:tc>
          <w:tcPr>
            <w:tcW w:w="4116" w:type="dxa"/>
            <w:tcBorders>
              <w:top w:val="nil"/>
              <w:bottom w:val="nil"/>
            </w:tcBorders>
          </w:tcPr>
          <w:p w14:paraId="2B9F5495"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Chlorogenic acid</w:t>
            </w:r>
          </w:p>
        </w:tc>
        <w:tc>
          <w:tcPr>
            <w:tcW w:w="3250" w:type="dxa"/>
            <w:tcBorders>
              <w:top w:val="nil"/>
              <w:bottom w:val="nil"/>
            </w:tcBorders>
          </w:tcPr>
          <w:p w14:paraId="1A7C9619"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12,167</w:t>
            </w:r>
          </w:p>
        </w:tc>
      </w:tr>
      <w:tr w:rsidR="00175757" w:rsidRPr="00605645" w14:paraId="2F759E67"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12D68145" w14:textId="77777777" w:rsidR="00175757" w:rsidRPr="005A05DA" w:rsidRDefault="00175757" w:rsidP="00175757">
            <w:pPr>
              <w:pStyle w:val="Body"/>
              <w:spacing w:after="0"/>
              <w:rPr>
                <w:rFonts w:ascii="Arial" w:hAnsi="Arial" w:cs="Arial"/>
                <w:b w:val="0"/>
              </w:rPr>
            </w:pPr>
            <w:r w:rsidRPr="005A05DA">
              <w:rPr>
                <w:rFonts w:ascii="Arial" w:hAnsi="Arial" w:cs="Arial"/>
                <w:b w:val="0"/>
              </w:rPr>
              <w:t>5</w:t>
            </w:r>
          </w:p>
        </w:tc>
        <w:tc>
          <w:tcPr>
            <w:tcW w:w="4116" w:type="dxa"/>
            <w:tcBorders>
              <w:top w:val="nil"/>
              <w:bottom w:val="nil"/>
            </w:tcBorders>
          </w:tcPr>
          <w:p w14:paraId="4A29EA04"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Syringic acid</w:t>
            </w:r>
          </w:p>
        </w:tc>
        <w:tc>
          <w:tcPr>
            <w:tcW w:w="3250" w:type="dxa"/>
            <w:tcBorders>
              <w:top w:val="nil"/>
              <w:bottom w:val="nil"/>
            </w:tcBorders>
          </w:tcPr>
          <w:p w14:paraId="45036CE6"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13,664</w:t>
            </w:r>
          </w:p>
        </w:tc>
      </w:tr>
      <w:tr w:rsidR="00175757" w:rsidRPr="00605645" w14:paraId="62EF59EA" w14:textId="77777777" w:rsidTr="00BD4778">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4E4AB001" w14:textId="77777777" w:rsidR="00175757" w:rsidRPr="005A05DA" w:rsidRDefault="00175757" w:rsidP="00175757">
            <w:pPr>
              <w:pStyle w:val="Body"/>
              <w:spacing w:after="0"/>
              <w:rPr>
                <w:rFonts w:ascii="Arial" w:hAnsi="Arial" w:cs="Arial"/>
                <w:b w:val="0"/>
              </w:rPr>
            </w:pPr>
            <w:r w:rsidRPr="005A05DA">
              <w:rPr>
                <w:rFonts w:ascii="Arial" w:hAnsi="Arial" w:cs="Arial"/>
                <w:b w:val="0"/>
              </w:rPr>
              <w:t>6</w:t>
            </w:r>
          </w:p>
        </w:tc>
        <w:tc>
          <w:tcPr>
            <w:tcW w:w="4116" w:type="dxa"/>
            <w:tcBorders>
              <w:top w:val="nil"/>
              <w:bottom w:val="nil"/>
            </w:tcBorders>
          </w:tcPr>
          <w:p w14:paraId="224F075B"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Epicatechin</w:t>
            </w:r>
          </w:p>
        </w:tc>
        <w:tc>
          <w:tcPr>
            <w:tcW w:w="3250" w:type="dxa"/>
            <w:tcBorders>
              <w:top w:val="nil"/>
              <w:bottom w:val="nil"/>
            </w:tcBorders>
          </w:tcPr>
          <w:p w14:paraId="4CDA049A"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14,168</w:t>
            </w:r>
          </w:p>
        </w:tc>
      </w:tr>
      <w:tr w:rsidR="00175757" w:rsidRPr="00605645" w14:paraId="73C2AD0C"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13595B46" w14:textId="77777777" w:rsidR="00175757" w:rsidRPr="005A05DA" w:rsidRDefault="00175757" w:rsidP="00175757">
            <w:pPr>
              <w:pStyle w:val="Body"/>
              <w:spacing w:after="0"/>
              <w:rPr>
                <w:rFonts w:ascii="Arial" w:hAnsi="Arial" w:cs="Arial"/>
                <w:b w:val="0"/>
              </w:rPr>
            </w:pPr>
            <w:r w:rsidRPr="005A05DA">
              <w:rPr>
                <w:rFonts w:ascii="Arial" w:hAnsi="Arial" w:cs="Arial"/>
                <w:b w:val="0"/>
              </w:rPr>
              <w:t>7</w:t>
            </w:r>
          </w:p>
        </w:tc>
        <w:tc>
          <w:tcPr>
            <w:tcW w:w="4116" w:type="dxa"/>
            <w:tcBorders>
              <w:top w:val="nil"/>
              <w:bottom w:val="nil"/>
            </w:tcBorders>
          </w:tcPr>
          <w:p w14:paraId="660F4A2B"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Isoferulic acid</w:t>
            </w:r>
          </w:p>
        </w:tc>
        <w:tc>
          <w:tcPr>
            <w:tcW w:w="3250" w:type="dxa"/>
            <w:tcBorders>
              <w:top w:val="nil"/>
              <w:bottom w:val="nil"/>
            </w:tcBorders>
          </w:tcPr>
          <w:p w14:paraId="739D473C"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18,333</w:t>
            </w:r>
          </w:p>
        </w:tc>
      </w:tr>
      <w:tr w:rsidR="00175757" w:rsidRPr="00605645" w14:paraId="6DBEA55B" w14:textId="77777777" w:rsidTr="00BD4778">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0E75A710" w14:textId="77777777" w:rsidR="00175757" w:rsidRPr="005A05DA" w:rsidRDefault="00175757" w:rsidP="00175757">
            <w:pPr>
              <w:pStyle w:val="Body"/>
              <w:spacing w:after="0"/>
              <w:rPr>
                <w:rFonts w:ascii="Arial" w:hAnsi="Arial" w:cs="Arial"/>
                <w:b w:val="0"/>
              </w:rPr>
            </w:pPr>
            <w:r w:rsidRPr="005A05DA">
              <w:rPr>
                <w:rFonts w:ascii="Arial" w:hAnsi="Arial" w:cs="Arial"/>
                <w:b w:val="0"/>
              </w:rPr>
              <w:t>8</w:t>
            </w:r>
          </w:p>
        </w:tc>
        <w:tc>
          <w:tcPr>
            <w:tcW w:w="4116" w:type="dxa"/>
            <w:tcBorders>
              <w:top w:val="nil"/>
              <w:bottom w:val="nil"/>
            </w:tcBorders>
          </w:tcPr>
          <w:p w14:paraId="5296D479"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O-coumaric acid</w:t>
            </w:r>
          </w:p>
        </w:tc>
        <w:tc>
          <w:tcPr>
            <w:tcW w:w="3250" w:type="dxa"/>
            <w:tcBorders>
              <w:top w:val="nil"/>
              <w:bottom w:val="nil"/>
            </w:tcBorders>
          </w:tcPr>
          <w:p w14:paraId="7F62009E"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21,167</w:t>
            </w:r>
          </w:p>
        </w:tc>
      </w:tr>
      <w:tr w:rsidR="00175757" w:rsidRPr="00605645" w14:paraId="798F2EED"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45DA8CEB" w14:textId="77777777" w:rsidR="00175757" w:rsidRPr="005A05DA" w:rsidRDefault="00175757" w:rsidP="00175757">
            <w:pPr>
              <w:pStyle w:val="Body"/>
              <w:spacing w:after="0"/>
              <w:rPr>
                <w:rFonts w:ascii="Arial" w:hAnsi="Arial" w:cs="Arial"/>
                <w:b w:val="0"/>
              </w:rPr>
            </w:pPr>
            <w:r w:rsidRPr="005A05DA">
              <w:rPr>
                <w:rFonts w:ascii="Arial" w:hAnsi="Arial" w:cs="Arial"/>
                <w:b w:val="0"/>
              </w:rPr>
              <w:t>9</w:t>
            </w:r>
          </w:p>
        </w:tc>
        <w:tc>
          <w:tcPr>
            <w:tcW w:w="4116" w:type="dxa"/>
            <w:tcBorders>
              <w:top w:val="nil"/>
              <w:bottom w:val="nil"/>
            </w:tcBorders>
          </w:tcPr>
          <w:p w14:paraId="6C5CECC2"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Rutin</w:t>
            </w:r>
          </w:p>
        </w:tc>
        <w:tc>
          <w:tcPr>
            <w:tcW w:w="3250" w:type="dxa"/>
            <w:tcBorders>
              <w:top w:val="nil"/>
              <w:bottom w:val="nil"/>
            </w:tcBorders>
          </w:tcPr>
          <w:p w14:paraId="43F3C311"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23,834</w:t>
            </w:r>
          </w:p>
        </w:tc>
      </w:tr>
      <w:tr w:rsidR="00175757" w:rsidRPr="00605645" w14:paraId="00C06561" w14:textId="77777777" w:rsidTr="00BD4778">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05082C71" w14:textId="77777777" w:rsidR="00175757" w:rsidRPr="005A05DA" w:rsidRDefault="00175757" w:rsidP="00175757">
            <w:pPr>
              <w:pStyle w:val="Body"/>
              <w:spacing w:after="0"/>
              <w:rPr>
                <w:rFonts w:ascii="Arial" w:hAnsi="Arial" w:cs="Arial"/>
                <w:b w:val="0"/>
              </w:rPr>
            </w:pPr>
            <w:r w:rsidRPr="005A05DA">
              <w:rPr>
                <w:rFonts w:ascii="Arial" w:hAnsi="Arial" w:cs="Arial"/>
                <w:b w:val="0"/>
              </w:rPr>
              <w:t>10</w:t>
            </w:r>
          </w:p>
        </w:tc>
        <w:tc>
          <w:tcPr>
            <w:tcW w:w="4116" w:type="dxa"/>
            <w:tcBorders>
              <w:top w:val="nil"/>
              <w:bottom w:val="nil"/>
            </w:tcBorders>
          </w:tcPr>
          <w:p w14:paraId="259DA5B9"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Myricetin</w:t>
            </w:r>
          </w:p>
        </w:tc>
        <w:tc>
          <w:tcPr>
            <w:tcW w:w="3250" w:type="dxa"/>
            <w:tcBorders>
              <w:top w:val="nil"/>
              <w:bottom w:val="nil"/>
            </w:tcBorders>
          </w:tcPr>
          <w:p w14:paraId="2BEB664D"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32294</w:t>
            </w:r>
          </w:p>
        </w:tc>
      </w:tr>
      <w:tr w:rsidR="00175757" w:rsidRPr="00605645" w14:paraId="02ADCE4A"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6FFDDFB3" w14:textId="77777777" w:rsidR="00175757" w:rsidRPr="005A05DA" w:rsidRDefault="00175757" w:rsidP="00175757">
            <w:pPr>
              <w:pStyle w:val="Body"/>
              <w:spacing w:after="0"/>
              <w:rPr>
                <w:rFonts w:ascii="Arial" w:hAnsi="Arial" w:cs="Arial"/>
                <w:b w:val="0"/>
              </w:rPr>
            </w:pPr>
            <w:r w:rsidRPr="005A05DA">
              <w:rPr>
                <w:rFonts w:ascii="Arial" w:hAnsi="Arial" w:cs="Arial"/>
                <w:b w:val="0"/>
              </w:rPr>
              <w:t>11</w:t>
            </w:r>
          </w:p>
        </w:tc>
        <w:tc>
          <w:tcPr>
            <w:tcW w:w="4116" w:type="dxa"/>
            <w:tcBorders>
              <w:top w:val="nil"/>
              <w:bottom w:val="nil"/>
            </w:tcBorders>
          </w:tcPr>
          <w:p w14:paraId="797BCF56"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Genistin</w:t>
            </w:r>
          </w:p>
        </w:tc>
        <w:tc>
          <w:tcPr>
            <w:tcW w:w="3250" w:type="dxa"/>
            <w:tcBorders>
              <w:top w:val="nil"/>
              <w:bottom w:val="nil"/>
            </w:tcBorders>
          </w:tcPr>
          <w:p w14:paraId="1DCDFE9F"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32,621</w:t>
            </w:r>
          </w:p>
        </w:tc>
      </w:tr>
      <w:tr w:rsidR="00175757" w:rsidRPr="00605645" w14:paraId="1C2AA7F7" w14:textId="77777777" w:rsidTr="00BD4778">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60CFAD05" w14:textId="77777777" w:rsidR="00175757" w:rsidRPr="005A05DA" w:rsidRDefault="00175757" w:rsidP="00175757">
            <w:pPr>
              <w:pStyle w:val="Body"/>
              <w:spacing w:after="0"/>
              <w:rPr>
                <w:rFonts w:ascii="Arial" w:hAnsi="Arial" w:cs="Arial"/>
                <w:b w:val="0"/>
              </w:rPr>
            </w:pPr>
            <w:r w:rsidRPr="005A05DA">
              <w:rPr>
                <w:rFonts w:ascii="Arial" w:hAnsi="Arial" w:cs="Arial"/>
                <w:b w:val="0"/>
              </w:rPr>
              <w:t>12</w:t>
            </w:r>
          </w:p>
        </w:tc>
        <w:tc>
          <w:tcPr>
            <w:tcW w:w="4116" w:type="dxa"/>
            <w:tcBorders>
              <w:top w:val="nil"/>
              <w:bottom w:val="nil"/>
            </w:tcBorders>
          </w:tcPr>
          <w:p w14:paraId="1A2D853E"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Gallic acid</w:t>
            </w:r>
          </w:p>
        </w:tc>
        <w:tc>
          <w:tcPr>
            <w:tcW w:w="3250" w:type="dxa"/>
            <w:tcBorders>
              <w:top w:val="nil"/>
              <w:bottom w:val="nil"/>
            </w:tcBorders>
          </w:tcPr>
          <w:p w14:paraId="5F5D5FA2"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07,412</w:t>
            </w:r>
          </w:p>
        </w:tc>
      </w:tr>
      <w:tr w:rsidR="00175757" w:rsidRPr="00605645" w14:paraId="27701D3C"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2B7A679A" w14:textId="77777777" w:rsidR="00175757" w:rsidRPr="005A05DA" w:rsidRDefault="00175757" w:rsidP="00175757">
            <w:pPr>
              <w:pStyle w:val="Body"/>
              <w:spacing w:after="0"/>
              <w:rPr>
                <w:rFonts w:ascii="Arial" w:hAnsi="Arial" w:cs="Arial"/>
                <w:b w:val="0"/>
              </w:rPr>
            </w:pPr>
            <w:r w:rsidRPr="005A05DA">
              <w:rPr>
                <w:rFonts w:ascii="Arial" w:hAnsi="Arial" w:cs="Arial"/>
                <w:b w:val="0"/>
              </w:rPr>
              <w:t>13</w:t>
            </w:r>
          </w:p>
        </w:tc>
        <w:tc>
          <w:tcPr>
            <w:tcW w:w="4116" w:type="dxa"/>
            <w:tcBorders>
              <w:top w:val="nil"/>
              <w:bottom w:val="nil"/>
            </w:tcBorders>
          </w:tcPr>
          <w:p w14:paraId="11E5539E"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Protocatechic acid</w:t>
            </w:r>
          </w:p>
        </w:tc>
        <w:tc>
          <w:tcPr>
            <w:tcW w:w="3250" w:type="dxa"/>
            <w:tcBorders>
              <w:top w:val="nil"/>
              <w:bottom w:val="nil"/>
            </w:tcBorders>
          </w:tcPr>
          <w:p w14:paraId="25C5919E"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08,277</w:t>
            </w:r>
          </w:p>
        </w:tc>
      </w:tr>
      <w:tr w:rsidR="00175757" w:rsidRPr="00605645" w14:paraId="63313937" w14:textId="77777777" w:rsidTr="00BD4778">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131E618A" w14:textId="77777777" w:rsidR="00175757" w:rsidRPr="005A05DA" w:rsidRDefault="00175757" w:rsidP="00175757">
            <w:pPr>
              <w:pStyle w:val="Body"/>
              <w:spacing w:after="0"/>
              <w:rPr>
                <w:rFonts w:ascii="Arial" w:hAnsi="Arial" w:cs="Arial"/>
                <w:b w:val="0"/>
              </w:rPr>
            </w:pPr>
            <w:r w:rsidRPr="005A05DA">
              <w:rPr>
                <w:rFonts w:ascii="Arial" w:hAnsi="Arial" w:cs="Arial"/>
                <w:b w:val="0"/>
              </w:rPr>
              <w:t>14</w:t>
            </w:r>
          </w:p>
        </w:tc>
        <w:tc>
          <w:tcPr>
            <w:tcW w:w="4116" w:type="dxa"/>
            <w:tcBorders>
              <w:top w:val="nil"/>
              <w:bottom w:val="nil"/>
            </w:tcBorders>
          </w:tcPr>
          <w:p w14:paraId="0F909D57"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Genistein</w:t>
            </w:r>
          </w:p>
        </w:tc>
        <w:tc>
          <w:tcPr>
            <w:tcW w:w="3250" w:type="dxa"/>
            <w:tcBorders>
              <w:top w:val="nil"/>
              <w:bottom w:val="nil"/>
            </w:tcBorders>
          </w:tcPr>
          <w:p w14:paraId="39F0BA8B"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09,963</w:t>
            </w:r>
          </w:p>
        </w:tc>
      </w:tr>
      <w:tr w:rsidR="00175757" w:rsidRPr="00605645" w14:paraId="3C824299" w14:textId="77777777" w:rsidTr="00BD4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il"/>
              <w:bottom w:val="nil"/>
            </w:tcBorders>
          </w:tcPr>
          <w:p w14:paraId="726CE132" w14:textId="77777777" w:rsidR="00175757" w:rsidRPr="005A05DA" w:rsidRDefault="00175757" w:rsidP="00175757">
            <w:pPr>
              <w:pStyle w:val="Body"/>
              <w:spacing w:after="0"/>
              <w:rPr>
                <w:rFonts w:ascii="Arial" w:hAnsi="Arial" w:cs="Arial"/>
                <w:b w:val="0"/>
              </w:rPr>
            </w:pPr>
            <w:r w:rsidRPr="005A05DA">
              <w:rPr>
                <w:rFonts w:ascii="Arial" w:hAnsi="Arial" w:cs="Arial"/>
                <w:b w:val="0"/>
              </w:rPr>
              <w:t>15</w:t>
            </w:r>
          </w:p>
        </w:tc>
        <w:tc>
          <w:tcPr>
            <w:tcW w:w="4116" w:type="dxa"/>
            <w:tcBorders>
              <w:top w:val="nil"/>
              <w:bottom w:val="nil"/>
            </w:tcBorders>
          </w:tcPr>
          <w:p w14:paraId="560842C9"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Quercetin</w:t>
            </w:r>
          </w:p>
        </w:tc>
        <w:tc>
          <w:tcPr>
            <w:tcW w:w="3250" w:type="dxa"/>
            <w:tcBorders>
              <w:top w:val="nil"/>
              <w:bottom w:val="nil"/>
            </w:tcBorders>
          </w:tcPr>
          <w:p w14:paraId="15F6EA2B" w14:textId="77777777" w:rsidR="00175757" w:rsidRPr="00605645" w:rsidRDefault="00175757" w:rsidP="0017575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605645">
              <w:rPr>
                <w:rFonts w:ascii="Arial" w:hAnsi="Arial" w:cs="Arial"/>
              </w:rPr>
              <w:t>28,645</w:t>
            </w:r>
          </w:p>
        </w:tc>
      </w:tr>
      <w:tr w:rsidR="00175757" w:rsidRPr="00605645" w14:paraId="2C860988" w14:textId="77777777" w:rsidTr="00BD4778">
        <w:tc>
          <w:tcPr>
            <w:cnfStyle w:val="001000000000" w:firstRow="0" w:lastRow="0" w:firstColumn="1" w:lastColumn="0" w:oddVBand="0" w:evenVBand="0" w:oddHBand="0" w:evenHBand="0" w:firstRowFirstColumn="0" w:firstRowLastColumn="0" w:lastRowFirstColumn="0" w:lastRowLastColumn="0"/>
            <w:tcW w:w="1696" w:type="dxa"/>
            <w:tcBorders>
              <w:top w:val="nil"/>
              <w:bottom w:val="single" w:sz="12" w:space="0" w:color="auto"/>
            </w:tcBorders>
          </w:tcPr>
          <w:p w14:paraId="6C41AC4A" w14:textId="77777777" w:rsidR="00175757" w:rsidRPr="005A05DA" w:rsidRDefault="00175757" w:rsidP="00175757">
            <w:pPr>
              <w:pStyle w:val="Body"/>
              <w:spacing w:after="0"/>
              <w:rPr>
                <w:rFonts w:ascii="Arial" w:hAnsi="Arial" w:cs="Arial"/>
                <w:b w:val="0"/>
              </w:rPr>
            </w:pPr>
            <w:r w:rsidRPr="005A05DA">
              <w:rPr>
                <w:rFonts w:ascii="Arial" w:hAnsi="Arial" w:cs="Arial"/>
                <w:b w:val="0"/>
              </w:rPr>
              <w:t>16</w:t>
            </w:r>
          </w:p>
        </w:tc>
        <w:tc>
          <w:tcPr>
            <w:tcW w:w="4116" w:type="dxa"/>
            <w:tcBorders>
              <w:top w:val="nil"/>
              <w:bottom w:val="single" w:sz="12" w:space="0" w:color="auto"/>
            </w:tcBorders>
          </w:tcPr>
          <w:p w14:paraId="2E7B8261"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Kaempferol</w:t>
            </w:r>
          </w:p>
        </w:tc>
        <w:tc>
          <w:tcPr>
            <w:tcW w:w="3250" w:type="dxa"/>
            <w:tcBorders>
              <w:top w:val="nil"/>
              <w:bottom w:val="single" w:sz="12" w:space="0" w:color="auto"/>
            </w:tcBorders>
          </w:tcPr>
          <w:p w14:paraId="53458181" w14:textId="77777777" w:rsidR="00175757" w:rsidRPr="00605645" w:rsidRDefault="00175757" w:rsidP="0017575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605645">
              <w:rPr>
                <w:rFonts w:ascii="Arial" w:hAnsi="Arial" w:cs="Arial"/>
              </w:rPr>
              <w:t>29,768</w:t>
            </w:r>
          </w:p>
        </w:tc>
      </w:tr>
    </w:tbl>
    <w:p w14:paraId="2D286DD0" w14:textId="77777777" w:rsidR="00175757" w:rsidRPr="00605645" w:rsidRDefault="00175757" w:rsidP="00175757">
      <w:pPr>
        <w:pStyle w:val="Body"/>
        <w:spacing w:after="0"/>
        <w:rPr>
          <w:rFonts w:ascii="Arial" w:hAnsi="Arial" w:cs="Arial"/>
        </w:rPr>
      </w:pPr>
    </w:p>
    <w:p w14:paraId="3024D5C7" w14:textId="49314467" w:rsidR="00175757" w:rsidRPr="00605645" w:rsidRDefault="00175757" w:rsidP="00175757">
      <w:pPr>
        <w:pStyle w:val="Body"/>
        <w:spacing w:after="0"/>
        <w:rPr>
          <w:rFonts w:ascii="Arial" w:hAnsi="Arial" w:cs="Arial"/>
        </w:rPr>
      </w:pPr>
      <w:r w:rsidRPr="00605645">
        <w:rPr>
          <w:rFonts w:ascii="Arial" w:hAnsi="Arial" w:cs="Arial"/>
          <w:b/>
          <w:caps/>
          <w:sz w:val="22"/>
        </w:rPr>
        <w:lastRenderedPageBreak/>
        <w:t xml:space="preserve">3.3 </w:t>
      </w:r>
      <w:r w:rsidRPr="00605645">
        <w:rPr>
          <w:rFonts w:ascii="Arial" w:hAnsi="Arial" w:cs="Arial"/>
          <w:b/>
          <w:sz w:val="22"/>
        </w:rPr>
        <w:t xml:space="preserve">Identification of phenolic compounds extracted from fruits from different potassium treatments after preservation in the smooth Cayenne variety </w:t>
      </w:r>
    </w:p>
    <w:p w14:paraId="102A0F62" w14:textId="77777777" w:rsidR="00175757" w:rsidRPr="00605645" w:rsidRDefault="00175757" w:rsidP="00175757">
      <w:pPr>
        <w:pStyle w:val="Body"/>
        <w:spacing w:after="0"/>
        <w:rPr>
          <w:rFonts w:ascii="Arial" w:hAnsi="Arial" w:cs="Arial"/>
        </w:rPr>
      </w:pPr>
    </w:p>
    <w:p w14:paraId="596716A4" w14:textId="77777777" w:rsidR="00175757" w:rsidRPr="00605645" w:rsidRDefault="00175757" w:rsidP="00175757">
      <w:pPr>
        <w:pStyle w:val="Body"/>
        <w:spacing w:after="0"/>
        <w:rPr>
          <w:rFonts w:ascii="Arial" w:hAnsi="Arial" w:cs="Arial"/>
        </w:rPr>
      </w:pPr>
      <w:r w:rsidRPr="00605645">
        <w:rPr>
          <w:rFonts w:ascii="Arial" w:hAnsi="Arial" w:cs="Arial"/>
        </w:rPr>
        <w:t xml:space="preserve">Chromatographic analysis showed the presence of eight phenolic compounds in the control fruit (T0), nine in the fruit from treatment T1, 14 in the fruit from treatment T2 and 16 in the fruit from treatment T3. Compounds (1) to (8) were revealed in fruit from all treatments. However, a decrease in the peak of compounds (7) and (8) was observed as the amount of potassium applied increased. After treatment T1, there was de novo synthesis of compound (9), followed by treatment T2, which induced synthesis of compounds (10 to 14). In addition to these 14 compounds, T3 treatment induced compounds (15) and (16) (Fig. 2). </w:t>
      </w:r>
    </w:p>
    <w:p w14:paraId="62DC778E" w14:textId="77777777" w:rsidR="00175757" w:rsidRPr="00605645" w:rsidRDefault="00175757" w:rsidP="00175757">
      <w:pPr>
        <w:pStyle w:val="Body"/>
        <w:spacing w:after="0"/>
        <w:rPr>
          <w:rFonts w:ascii="Arial" w:hAnsi="Arial" w:cs="Arial"/>
        </w:rPr>
      </w:pPr>
      <w:r w:rsidRPr="00605645">
        <w:rPr>
          <w:rFonts w:ascii="Arial" w:hAnsi="Arial" w:cs="Arial"/>
        </w:rPr>
        <w:t>The compounds were identified as: arbutin (1), gentisic acid (2), quercitrin acid (3), chlorogenic acid (4), syringic acid (5), epicatechin (6), isoferulic acid (7), o-coumaric acid (8), rutin (9), myricetin (10), genistin (11), gallic acid (12), protocatechic acid (13), genistein (14), quercetin (15) and kaempferol (16).</w:t>
      </w:r>
    </w:p>
    <w:p w14:paraId="714B38BB" w14:textId="77777777" w:rsidR="00175757" w:rsidRPr="00605645" w:rsidRDefault="00175757" w:rsidP="00175757">
      <w:pPr>
        <w:pStyle w:val="Body"/>
        <w:spacing w:after="0"/>
        <w:rPr>
          <w:rFonts w:ascii="Arial" w:hAnsi="Arial" w:cs="Arial"/>
        </w:rPr>
      </w:pPr>
    </w:p>
    <w:p w14:paraId="389CDF25" w14:textId="50CF8962" w:rsidR="00175757" w:rsidRPr="00605645" w:rsidRDefault="00175757" w:rsidP="00175757">
      <w:pPr>
        <w:pStyle w:val="Body"/>
        <w:spacing w:after="0"/>
        <w:rPr>
          <w:rFonts w:ascii="Arial" w:hAnsi="Arial" w:cs="Arial"/>
        </w:rPr>
      </w:pPr>
      <w:r w:rsidRPr="00605645">
        <w:rPr>
          <w:rFonts w:ascii="Arial" w:hAnsi="Arial" w:cs="Arial"/>
          <w:b/>
          <w:bCs/>
        </w:rPr>
        <w:t>Comparison of the phenolic content of fruits from different potassium treatments of the smooth Cayenne variety:</w:t>
      </w:r>
      <w:r w:rsidRPr="00605645">
        <w:rPr>
          <w:rFonts w:ascii="Arial" w:hAnsi="Arial" w:cs="Arial"/>
        </w:rPr>
        <w:t xml:space="preserve"> Compound (9) was synthesized in fruit from treatment T1 (28 g </w:t>
      </w:r>
      <w:r w:rsidR="00BC2342" w:rsidRPr="00605645">
        <w:rPr>
          <w:rFonts w:ascii="Arial" w:hAnsi="Arial" w:cs="Arial"/>
        </w:rPr>
        <w:t>K</w:t>
      </w:r>
      <w:r w:rsidR="00BC2342" w:rsidRPr="00605645">
        <w:rPr>
          <w:rFonts w:ascii="Arial" w:hAnsi="Arial" w:cs="Arial"/>
          <w:vertAlign w:val="subscript"/>
        </w:rPr>
        <w:t>2</w:t>
      </w:r>
      <w:r w:rsidR="00BC2342" w:rsidRPr="00605645">
        <w:rPr>
          <w:rFonts w:ascii="Arial" w:hAnsi="Arial" w:cs="Arial"/>
        </w:rPr>
        <w:t>O</w:t>
      </w:r>
      <w:r w:rsidRPr="00605645">
        <w:rPr>
          <w:rFonts w:ascii="Arial" w:hAnsi="Arial" w:cs="Arial"/>
        </w:rPr>
        <w:t xml:space="preserve">/plant). Compounds (10), (11), (12), (13) and (14) were synthesized in fruit from treatments T2 (34 g </w:t>
      </w:r>
      <w:r w:rsidR="00BC2342" w:rsidRPr="00605645">
        <w:rPr>
          <w:rFonts w:ascii="Arial" w:hAnsi="Arial" w:cs="Arial"/>
        </w:rPr>
        <w:t>K</w:t>
      </w:r>
      <w:r w:rsidR="00BC2342" w:rsidRPr="00605645">
        <w:rPr>
          <w:rFonts w:ascii="Arial" w:hAnsi="Arial" w:cs="Arial"/>
          <w:vertAlign w:val="subscript"/>
        </w:rPr>
        <w:t>2</w:t>
      </w:r>
      <w:r w:rsidR="00BC2342" w:rsidRPr="00605645">
        <w:rPr>
          <w:rFonts w:ascii="Arial" w:hAnsi="Arial" w:cs="Arial"/>
        </w:rPr>
        <w:t>O</w:t>
      </w:r>
      <w:r w:rsidRPr="00605645">
        <w:rPr>
          <w:rFonts w:ascii="Arial" w:hAnsi="Arial" w:cs="Arial"/>
        </w:rPr>
        <w:t xml:space="preserve">/plant) and T3 (40 g </w:t>
      </w:r>
      <w:r w:rsidR="00BC2342" w:rsidRPr="00605645">
        <w:rPr>
          <w:rFonts w:ascii="Arial" w:hAnsi="Arial" w:cs="Arial"/>
        </w:rPr>
        <w:t>K</w:t>
      </w:r>
      <w:r w:rsidR="00BC2342" w:rsidRPr="00605645">
        <w:rPr>
          <w:rFonts w:ascii="Arial" w:hAnsi="Arial" w:cs="Arial"/>
          <w:vertAlign w:val="subscript"/>
        </w:rPr>
        <w:t>2</w:t>
      </w:r>
      <w:r w:rsidR="00BC2342" w:rsidRPr="00605645">
        <w:rPr>
          <w:rFonts w:ascii="Arial" w:hAnsi="Arial" w:cs="Arial"/>
        </w:rPr>
        <w:t>O</w:t>
      </w:r>
      <w:r w:rsidRPr="00605645">
        <w:rPr>
          <w:rFonts w:ascii="Arial" w:hAnsi="Arial" w:cs="Arial"/>
        </w:rPr>
        <w:t xml:space="preserve">/plant). However, only fruits from treatment T3 were able to induce synthesis of compounds (15) and (16). </w:t>
      </w:r>
    </w:p>
    <w:p w14:paraId="223C7AC6" w14:textId="77777777" w:rsidR="00175757" w:rsidRPr="00605645" w:rsidRDefault="00175757" w:rsidP="00441B6F">
      <w:pPr>
        <w:pStyle w:val="Body"/>
        <w:spacing w:after="0"/>
        <w:rPr>
          <w:rFonts w:ascii="Arial" w:hAnsi="Arial" w:cs="Arial"/>
        </w:rPr>
      </w:pPr>
    </w:p>
    <w:p w14:paraId="337EF997" w14:textId="77777777" w:rsidR="00B857C5" w:rsidRPr="00605645" w:rsidRDefault="00B857C5" w:rsidP="00441B6F">
      <w:pPr>
        <w:pStyle w:val="Body"/>
        <w:spacing w:after="0"/>
        <w:rPr>
          <w:rFonts w:ascii="Arial" w:hAnsi="Arial" w:cs="Arial"/>
        </w:rPr>
      </w:pPr>
    </w:p>
    <w:p w14:paraId="4F81527B" w14:textId="77777777" w:rsidR="00B857C5" w:rsidRPr="00605645" w:rsidRDefault="00B857C5" w:rsidP="00441B6F">
      <w:pPr>
        <w:pStyle w:val="Body"/>
        <w:spacing w:after="0"/>
        <w:rPr>
          <w:rFonts w:ascii="Arial" w:hAnsi="Arial" w:cs="Arial"/>
        </w:rPr>
      </w:pPr>
    </w:p>
    <w:p w14:paraId="69EC3A6A" w14:textId="77777777" w:rsidR="00175757" w:rsidRPr="00605645" w:rsidRDefault="00175757" w:rsidP="00441B6F">
      <w:pPr>
        <w:pStyle w:val="Body"/>
        <w:spacing w:after="0"/>
        <w:rPr>
          <w:rFonts w:ascii="Arial" w:hAnsi="Arial" w:cs="Arial"/>
        </w:rPr>
      </w:pPr>
    </w:p>
    <w:p w14:paraId="40C947C5" w14:textId="77777777" w:rsidR="00BC2342" w:rsidRPr="00605645" w:rsidRDefault="00BC2342" w:rsidP="00441B6F">
      <w:pPr>
        <w:pStyle w:val="Body"/>
        <w:spacing w:after="0"/>
        <w:rPr>
          <w:rFonts w:ascii="Arial" w:hAnsi="Arial" w:cs="Arial"/>
        </w:rPr>
      </w:pPr>
    </w:p>
    <w:p w14:paraId="10C3298B" w14:textId="77777777" w:rsidR="00BC2342" w:rsidRPr="00605645" w:rsidRDefault="00BC2342" w:rsidP="00441B6F">
      <w:pPr>
        <w:pStyle w:val="Body"/>
        <w:spacing w:after="0"/>
        <w:rPr>
          <w:rFonts w:ascii="Arial" w:hAnsi="Arial" w:cs="Arial"/>
        </w:rPr>
      </w:pPr>
    </w:p>
    <w:p w14:paraId="211DC408" w14:textId="77777777" w:rsidR="00BC2342" w:rsidRPr="00605645" w:rsidRDefault="00BC2342" w:rsidP="00441B6F">
      <w:pPr>
        <w:pStyle w:val="Body"/>
        <w:spacing w:after="0"/>
        <w:rPr>
          <w:rFonts w:ascii="Arial" w:hAnsi="Arial" w:cs="Arial"/>
        </w:rPr>
      </w:pPr>
    </w:p>
    <w:p w14:paraId="7FB61A44" w14:textId="77777777" w:rsidR="00175757" w:rsidRPr="00605645" w:rsidRDefault="00175757" w:rsidP="00441B6F">
      <w:pPr>
        <w:pStyle w:val="Body"/>
        <w:spacing w:after="0"/>
        <w:rPr>
          <w:rFonts w:ascii="Arial" w:hAnsi="Arial" w:cs="Arial"/>
        </w:rPr>
      </w:pPr>
    </w:p>
    <w:p w14:paraId="39357CBA" w14:textId="77777777" w:rsidR="00175757" w:rsidRPr="00605645" w:rsidRDefault="00175757" w:rsidP="00441B6F">
      <w:pPr>
        <w:pStyle w:val="Body"/>
        <w:spacing w:after="0"/>
        <w:rPr>
          <w:rFonts w:ascii="Arial" w:hAnsi="Arial" w:cs="Arial"/>
        </w:rPr>
      </w:pPr>
    </w:p>
    <w:p w14:paraId="2F1A4AF4" w14:textId="77777777" w:rsidR="00175757" w:rsidRPr="00605645" w:rsidRDefault="00175757" w:rsidP="00441B6F">
      <w:pPr>
        <w:pStyle w:val="Body"/>
        <w:spacing w:after="0"/>
        <w:rPr>
          <w:rFonts w:ascii="Arial" w:hAnsi="Arial" w:cs="Arial"/>
        </w:rPr>
      </w:pPr>
    </w:p>
    <w:p w14:paraId="3515F9B7" w14:textId="77777777" w:rsidR="00175757" w:rsidRPr="00605645" w:rsidRDefault="00175757" w:rsidP="00441B6F">
      <w:pPr>
        <w:pStyle w:val="Body"/>
        <w:spacing w:after="0"/>
        <w:rPr>
          <w:rFonts w:ascii="Arial" w:hAnsi="Arial" w:cs="Arial"/>
        </w:rPr>
      </w:pPr>
    </w:p>
    <w:p w14:paraId="541C3A39" w14:textId="77777777" w:rsidR="00175757" w:rsidRPr="00605645" w:rsidRDefault="00175757" w:rsidP="00441B6F">
      <w:pPr>
        <w:pStyle w:val="Body"/>
        <w:spacing w:after="0"/>
        <w:rPr>
          <w:rFonts w:ascii="Arial" w:hAnsi="Arial" w:cs="Arial"/>
        </w:rPr>
      </w:pPr>
    </w:p>
    <w:p w14:paraId="756993DC" w14:textId="77777777" w:rsidR="00175757" w:rsidRPr="00605645" w:rsidRDefault="00175757" w:rsidP="00441B6F">
      <w:pPr>
        <w:pStyle w:val="Body"/>
        <w:spacing w:after="0"/>
        <w:rPr>
          <w:rFonts w:ascii="Arial" w:hAnsi="Arial" w:cs="Arial"/>
        </w:rPr>
      </w:pPr>
    </w:p>
    <w:p w14:paraId="375C1F16" w14:textId="77777777" w:rsidR="00175757" w:rsidRPr="00605645" w:rsidRDefault="00175757" w:rsidP="00441B6F">
      <w:pPr>
        <w:pStyle w:val="Body"/>
        <w:spacing w:after="0"/>
        <w:rPr>
          <w:rFonts w:ascii="Arial" w:hAnsi="Arial" w:cs="Arial"/>
        </w:rPr>
      </w:pPr>
    </w:p>
    <w:p w14:paraId="0789A2FF" w14:textId="77777777" w:rsidR="00175757" w:rsidRPr="00605645" w:rsidRDefault="00175757" w:rsidP="00441B6F">
      <w:pPr>
        <w:pStyle w:val="Body"/>
        <w:spacing w:after="0"/>
        <w:rPr>
          <w:rFonts w:ascii="Arial" w:hAnsi="Arial" w:cs="Arial"/>
        </w:rPr>
      </w:pPr>
    </w:p>
    <w:p w14:paraId="41D4611F" w14:textId="77777777" w:rsidR="00175757" w:rsidRPr="00605645" w:rsidRDefault="00175757" w:rsidP="00441B6F">
      <w:pPr>
        <w:pStyle w:val="Body"/>
        <w:spacing w:after="0"/>
        <w:rPr>
          <w:rFonts w:ascii="Arial" w:hAnsi="Arial" w:cs="Arial"/>
        </w:rPr>
      </w:pPr>
    </w:p>
    <w:p w14:paraId="1BD381F1" w14:textId="77777777" w:rsidR="00175757" w:rsidRPr="00605645" w:rsidRDefault="00175757" w:rsidP="00441B6F">
      <w:pPr>
        <w:pStyle w:val="Body"/>
        <w:spacing w:after="0"/>
        <w:rPr>
          <w:rFonts w:ascii="Arial" w:hAnsi="Arial" w:cs="Arial"/>
        </w:rPr>
      </w:pPr>
    </w:p>
    <w:p w14:paraId="61476D28" w14:textId="77777777" w:rsidR="00175757" w:rsidRPr="00605645" w:rsidRDefault="00175757" w:rsidP="00441B6F">
      <w:pPr>
        <w:pStyle w:val="Body"/>
        <w:spacing w:after="0"/>
        <w:rPr>
          <w:rFonts w:ascii="Arial" w:hAnsi="Arial" w:cs="Arial"/>
        </w:rPr>
      </w:pPr>
    </w:p>
    <w:p w14:paraId="2AB4C20A" w14:textId="77777777" w:rsidR="00175757" w:rsidRPr="00605645" w:rsidRDefault="00175757" w:rsidP="00441B6F">
      <w:pPr>
        <w:pStyle w:val="Body"/>
        <w:spacing w:after="0"/>
        <w:rPr>
          <w:rFonts w:ascii="Arial" w:hAnsi="Arial" w:cs="Arial"/>
        </w:rPr>
      </w:pPr>
    </w:p>
    <w:p w14:paraId="696E674A" w14:textId="77777777" w:rsidR="00175757" w:rsidRPr="00605645" w:rsidRDefault="00175757" w:rsidP="00441B6F">
      <w:pPr>
        <w:pStyle w:val="Body"/>
        <w:spacing w:after="0"/>
        <w:rPr>
          <w:rFonts w:ascii="Arial" w:hAnsi="Arial" w:cs="Arial"/>
        </w:rPr>
      </w:pPr>
    </w:p>
    <w:p w14:paraId="43150D79" w14:textId="77777777" w:rsidR="00175757" w:rsidRPr="00605645" w:rsidRDefault="00175757" w:rsidP="00441B6F">
      <w:pPr>
        <w:pStyle w:val="Body"/>
        <w:spacing w:after="0"/>
        <w:rPr>
          <w:rFonts w:ascii="Arial" w:hAnsi="Arial" w:cs="Arial"/>
        </w:rPr>
      </w:pPr>
    </w:p>
    <w:p w14:paraId="7DD7E5B3" w14:textId="7590F9B0" w:rsidR="00175757" w:rsidRPr="00605645" w:rsidRDefault="00175757" w:rsidP="00441B6F">
      <w:pPr>
        <w:pStyle w:val="Body"/>
        <w:spacing w:after="0"/>
        <w:rPr>
          <w:rFonts w:ascii="Arial" w:hAnsi="Arial" w:cs="Arial"/>
        </w:rPr>
      </w:pPr>
      <w:r w:rsidRPr="00605645">
        <w:rPr>
          <w:noProof/>
          <w:lang w:val="fr-FR" w:eastAsia="fr-FR"/>
        </w:rPr>
        <w:drawing>
          <wp:anchor distT="0" distB="0" distL="114300" distR="114300" simplePos="0" relativeHeight="251661312" behindDoc="0" locked="0" layoutInCell="1" allowOverlap="1" wp14:anchorId="55C7C27B" wp14:editId="417A167F">
            <wp:simplePos x="0" y="0"/>
            <wp:positionH relativeFrom="column">
              <wp:posOffset>-3810</wp:posOffset>
            </wp:positionH>
            <wp:positionV relativeFrom="paragraph">
              <wp:posOffset>0</wp:posOffset>
            </wp:positionV>
            <wp:extent cx="5217295" cy="5305425"/>
            <wp:effectExtent l="0" t="0" r="0" b="0"/>
            <wp:wrapNone/>
            <wp:docPr id="17960278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27899" name=""/>
                    <pic:cNvPicPr/>
                  </pic:nvPicPr>
                  <pic:blipFill>
                    <a:blip r:embed="rId15">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290543" cy="5379910"/>
                    </a:xfrm>
                    <a:prstGeom prst="rect">
                      <a:avLst/>
                    </a:prstGeom>
                  </pic:spPr>
                </pic:pic>
              </a:graphicData>
            </a:graphic>
            <wp14:sizeRelH relativeFrom="margin">
              <wp14:pctWidth>0</wp14:pctWidth>
            </wp14:sizeRelH>
            <wp14:sizeRelV relativeFrom="margin">
              <wp14:pctHeight>0</wp14:pctHeight>
            </wp14:sizeRelV>
          </wp:anchor>
        </w:drawing>
      </w:r>
    </w:p>
    <w:p w14:paraId="63EDAB64" w14:textId="77777777" w:rsidR="00175757" w:rsidRPr="00605645" w:rsidRDefault="00175757" w:rsidP="00441B6F">
      <w:pPr>
        <w:pStyle w:val="Body"/>
        <w:spacing w:after="0"/>
        <w:rPr>
          <w:rFonts w:ascii="Arial" w:hAnsi="Arial" w:cs="Arial"/>
        </w:rPr>
      </w:pPr>
    </w:p>
    <w:p w14:paraId="2C30B7D2" w14:textId="77777777" w:rsidR="00175757" w:rsidRPr="00605645" w:rsidRDefault="00175757" w:rsidP="00441B6F">
      <w:pPr>
        <w:pStyle w:val="Body"/>
        <w:spacing w:after="0"/>
        <w:rPr>
          <w:rFonts w:ascii="Arial" w:hAnsi="Arial" w:cs="Arial"/>
        </w:rPr>
      </w:pPr>
    </w:p>
    <w:p w14:paraId="3FFBCD0B" w14:textId="77777777" w:rsidR="00175757" w:rsidRPr="00605645" w:rsidRDefault="00175757" w:rsidP="00441B6F">
      <w:pPr>
        <w:pStyle w:val="Body"/>
        <w:spacing w:after="0"/>
        <w:rPr>
          <w:rFonts w:ascii="Arial" w:hAnsi="Arial" w:cs="Arial"/>
        </w:rPr>
      </w:pPr>
    </w:p>
    <w:p w14:paraId="21137E93" w14:textId="77777777" w:rsidR="00175757" w:rsidRPr="00605645" w:rsidRDefault="00175757" w:rsidP="00441B6F">
      <w:pPr>
        <w:pStyle w:val="Body"/>
        <w:spacing w:after="0"/>
        <w:rPr>
          <w:rFonts w:ascii="Arial" w:hAnsi="Arial" w:cs="Arial"/>
        </w:rPr>
      </w:pPr>
    </w:p>
    <w:p w14:paraId="3A9F06F5" w14:textId="77777777" w:rsidR="00175757" w:rsidRPr="00605645" w:rsidRDefault="00175757" w:rsidP="00441B6F">
      <w:pPr>
        <w:pStyle w:val="Body"/>
        <w:spacing w:after="0"/>
        <w:rPr>
          <w:rFonts w:ascii="Arial" w:hAnsi="Arial" w:cs="Arial"/>
        </w:rPr>
      </w:pPr>
    </w:p>
    <w:p w14:paraId="4502E428" w14:textId="77777777" w:rsidR="00175757" w:rsidRPr="00605645" w:rsidRDefault="00175757" w:rsidP="00441B6F">
      <w:pPr>
        <w:pStyle w:val="Body"/>
        <w:spacing w:after="0"/>
        <w:rPr>
          <w:rFonts w:ascii="Arial" w:hAnsi="Arial" w:cs="Arial"/>
        </w:rPr>
      </w:pPr>
    </w:p>
    <w:p w14:paraId="70772F4D" w14:textId="77777777" w:rsidR="00175757" w:rsidRPr="00605645" w:rsidRDefault="00175757" w:rsidP="00441B6F">
      <w:pPr>
        <w:pStyle w:val="Body"/>
        <w:spacing w:after="0"/>
        <w:rPr>
          <w:rFonts w:ascii="Arial" w:hAnsi="Arial" w:cs="Arial"/>
        </w:rPr>
      </w:pPr>
    </w:p>
    <w:p w14:paraId="083E778E" w14:textId="77777777" w:rsidR="00175757" w:rsidRPr="00605645" w:rsidRDefault="00175757" w:rsidP="00441B6F">
      <w:pPr>
        <w:pStyle w:val="Body"/>
        <w:spacing w:after="0"/>
        <w:rPr>
          <w:rFonts w:ascii="Arial" w:hAnsi="Arial" w:cs="Arial"/>
        </w:rPr>
      </w:pPr>
    </w:p>
    <w:p w14:paraId="1D50E11C" w14:textId="77777777" w:rsidR="00175757" w:rsidRPr="00605645" w:rsidRDefault="00175757" w:rsidP="00441B6F">
      <w:pPr>
        <w:pStyle w:val="Body"/>
        <w:spacing w:after="0"/>
        <w:rPr>
          <w:rFonts w:ascii="Arial" w:hAnsi="Arial" w:cs="Arial"/>
        </w:rPr>
      </w:pPr>
    </w:p>
    <w:p w14:paraId="21836DA3" w14:textId="77777777" w:rsidR="00175757" w:rsidRPr="00605645" w:rsidRDefault="00175757" w:rsidP="00441B6F">
      <w:pPr>
        <w:pStyle w:val="Body"/>
        <w:spacing w:after="0"/>
        <w:rPr>
          <w:rFonts w:ascii="Arial" w:hAnsi="Arial" w:cs="Arial"/>
        </w:rPr>
      </w:pPr>
    </w:p>
    <w:p w14:paraId="691486AB" w14:textId="77777777" w:rsidR="00175757" w:rsidRPr="00605645" w:rsidRDefault="00175757" w:rsidP="00441B6F">
      <w:pPr>
        <w:pStyle w:val="Body"/>
        <w:spacing w:after="0"/>
        <w:rPr>
          <w:rFonts w:ascii="Arial" w:hAnsi="Arial" w:cs="Arial"/>
        </w:rPr>
      </w:pPr>
    </w:p>
    <w:p w14:paraId="25719148" w14:textId="77777777" w:rsidR="00175757" w:rsidRPr="00605645" w:rsidRDefault="00175757" w:rsidP="00441B6F">
      <w:pPr>
        <w:pStyle w:val="Body"/>
        <w:spacing w:after="0"/>
        <w:rPr>
          <w:rFonts w:ascii="Arial" w:hAnsi="Arial" w:cs="Arial"/>
        </w:rPr>
      </w:pPr>
    </w:p>
    <w:p w14:paraId="7728E9CB" w14:textId="77777777" w:rsidR="00175757" w:rsidRPr="00605645" w:rsidRDefault="00175757" w:rsidP="00441B6F">
      <w:pPr>
        <w:pStyle w:val="Body"/>
        <w:spacing w:after="0"/>
        <w:rPr>
          <w:rFonts w:ascii="Arial" w:hAnsi="Arial" w:cs="Arial"/>
        </w:rPr>
      </w:pPr>
    </w:p>
    <w:p w14:paraId="450D8ED6" w14:textId="77777777" w:rsidR="00175757" w:rsidRPr="00605645" w:rsidRDefault="00175757" w:rsidP="00441B6F">
      <w:pPr>
        <w:pStyle w:val="Body"/>
        <w:spacing w:after="0"/>
        <w:rPr>
          <w:rFonts w:ascii="Arial" w:hAnsi="Arial" w:cs="Arial"/>
        </w:rPr>
      </w:pPr>
    </w:p>
    <w:p w14:paraId="71642BBB" w14:textId="77777777" w:rsidR="00175757" w:rsidRPr="00605645" w:rsidRDefault="00175757" w:rsidP="00441B6F">
      <w:pPr>
        <w:pStyle w:val="Body"/>
        <w:spacing w:after="0"/>
        <w:rPr>
          <w:rFonts w:ascii="Arial" w:hAnsi="Arial" w:cs="Arial"/>
        </w:rPr>
      </w:pPr>
    </w:p>
    <w:p w14:paraId="1384C31E" w14:textId="77777777" w:rsidR="00175757" w:rsidRPr="00605645" w:rsidRDefault="00175757" w:rsidP="00441B6F">
      <w:pPr>
        <w:pStyle w:val="Body"/>
        <w:spacing w:after="0"/>
        <w:rPr>
          <w:rFonts w:ascii="Arial" w:hAnsi="Arial" w:cs="Arial"/>
        </w:rPr>
      </w:pPr>
    </w:p>
    <w:p w14:paraId="0605075A" w14:textId="77777777" w:rsidR="00175757" w:rsidRPr="00605645" w:rsidRDefault="00175757" w:rsidP="00441B6F">
      <w:pPr>
        <w:pStyle w:val="Body"/>
        <w:spacing w:after="0"/>
        <w:rPr>
          <w:rFonts w:ascii="Arial" w:hAnsi="Arial" w:cs="Arial"/>
        </w:rPr>
      </w:pPr>
    </w:p>
    <w:p w14:paraId="785C34EA" w14:textId="77777777" w:rsidR="00175757" w:rsidRPr="00605645" w:rsidRDefault="00175757" w:rsidP="00441B6F">
      <w:pPr>
        <w:pStyle w:val="Body"/>
        <w:spacing w:after="0"/>
        <w:rPr>
          <w:rFonts w:ascii="Arial" w:hAnsi="Arial" w:cs="Arial"/>
        </w:rPr>
      </w:pPr>
    </w:p>
    <w:p w14:paraId="03B8C7E5" w14:textId="77777777" w:rsidR="00175757" w:rsidRPr="00605645" w:rsidRDefault="00175757" w:rsidP="00441B6F">
      <w:pPr>
        <w:pStyle w:val="Body"/>
        <w:spacing w:after="0"/>
        <w:rPr>
          <w:rFonts w:ascii="Arial" w:hAnsi="Arial" w:cs="Arial"/>
        </w:rPr>
      </w:pPr>
    </w:p>
    <w:p w14:paraId="3482EFBB" w14:textId="77777777" w:rsidR="00175757" w:rsidRPr="00605645" w:rsidRDefault="00175757" w:rsidP="00441B6F">
      <w:pPr>
        <w:pStyle w:val="Body"/>
        <w:spacing w:after="0"/>
        <w:rPr>
          <w:rFonts w:ascii="Arial" w:hAnsi="Arial" w:cs="Arial"/>
        </w:rPr>
      </w:pPr>
    </w:p>
    <w:p w14:paraId="09D8C522" w14:textId="77777777" w:rsidR="00175757" w:rsidRPr="00605645" w:rsidRDefault="00175757" w:rsidP="00441B6F">
      <w:pPr>
        <w:pStyle w:val="Body"/>
        <w:spacing w:after="0"/>
        <w:rPr>
          <w:rFonts w:ascii="Arial" w:hAnsi="Arial" w:cs="Arial"/>
        </w:rPr>
      </w:pPr>
    </w:p>
    <w:p w14:paraId="56B15D7B" w14:textId="77777777" w:rsidR="00175757" w:rsidRPr="00605645" w:rsidRDefault="00175757" w:rsidP="00441B6F">
      <w:pPr>
        <w:pStyle w:val="Body"/>
        <w:spacing w:after="0"/>
        <w:rPr>
          <w:rFonts w:ascii="Arial" w:hAnsi="Arial" w:cs="Arial"/>
        </w:rPr>
      </w:pPr>
    </w:p>
    <w:p w14:paraId="2B10CF69" w14:textId="77777777" w:rsidR="00175757" w:rsidRPr="00605645" w:rsidRDefault="00175757" w:rsidP="00441B6F">
      <w:pPr>
        <w:pStyle w:val="Body"/>
        <w:spacing w:after="0"/>
        <w:rPr>
          <w:rFonts w:ascii="Arial" w:hAnsi="Arial" w:cs="Arial"/>
        </w:rPr>
      </w:pPr>
    </w:p>
    <w:p w14:paraId="602E69F9" w14:textId="77777777" w:rsidR="00175757" w:rsidRPr="00605645" w:rsidRDefault="00175757" w:rsidP="00441B6F">
      <w:pPr>
        <w:pStyle w:val="Body"/>
        <w:spacing w:after="0"/>
        <w:rPr>
          <w:rFonts w:ascii="Arial" w:hAnsi="Arial" w:cs="Arial"/>
        </w:rPr>
      </w:pPr>
    </w:p>
    <w:p w14:paraId="72C212E7" w14:textId="77777777" w:rsidR="00175757" w:rsidRPr="00605645" w:rsidRDefault="00175757" w:rsidP="00441B6F">
      <w:pPr>
        <w:pStyle w:val="Body"/>
        <w:spacing w:after="0"/>
        <w:rPr>
          <w:rFonts w:ascii="Arial" w:hAnsi="Arial" w:cs="Arial"/>
        </w:rPr>
      </w:pPr>
    </w:p>
    <w:p w14:paraId="6FE32925" w14:textId="77777777" w:rsidR="00175757" w:rsidRPr="00605645" w:rsidRDefault="00175757" w:rsidP="00441B6F">
      <w:pPr>
        <w:pStyle w:val="Body"/>
        <w:spacing w:after="0"/>
        <w:rPr>
          <w:rFonts w:ascii="Arial" w:hAnsi="Arial" w:cs="Arial"/>
        </w:rPr>
      </w:pPr>
    </w:p>
    <w:p w14:paraId="783C2C1D" w14:textId="77777777" w:rsidR="00175757" w:rsidRPr="00605645" w:rsidRDefault="00175757" w:rsidP="00441B6F">
      <w:pPr>
        <w:pStyle w:val="Body"/>
        <w:spacing w:after="0"/>
        <w:rPr>
          <w:rFonts w:ascii="Arial" w:hAnsi="Arial" w:cs="Arial"/>
        </w:rPr>
      </w:pPr>
    </w:p>
    <w:p w14:paraId="06600BFD" w14:textId="77777777" w:rsidR="00175757" w:rsidRPr="00605645" w:rsidRDefault="00175757" w:rsidP="00441B6F">
      <w:pPr>
        <w:pStyle w:val="Body"/>
        <w:spacing w:after="0"/>
        <w:rPr>
          <w:rFonts w:ascii="Arial" w:hAnsi="Arial" w:cs="Arial"/>
        </w:rPr>
      </w:pPr>
    </w:p>
    <w:p w14:paraId="04C1EA9D" w14:textId="77777777" w:rsidR="00175757" w:rsidRPr="00605645" w:rsidRDefault="00175757" w:rsidP="00441B6F">
      <w:pPr>
        <w:pStyle w:val="Body"/>
        <w:spacing w:after="0"/>
        <w:rPr>
          <w:rFonts w:ascii="Arial" w:hAnsi="Arial" w:cs="Arial"/>
        </w:rPr>
      </w:pPr>
    </w:p>
    <w:p w14:paraId="24D54EF9" w14:textId="77777777" w:rsidR="00175757" w:rsidRPr="00605645" w:rsidRDefault="00175757" w:rsidP="00441B6F">
      <w:pPr>
        <w:pStyle w:val="Body"/>
        <w:spacing w:after="0"/>
        <w:rPr>
          <w:rFonts w:ascii="Arial" w:hAnsi="Arial" w:cs="Arial"/>
        </w:rPr>
      </w:pPr>
    </w:p>
    <w:p w14:paraId="707C4B2F" w14:textId="77777777" w:rsidR="00175757" w:rsidRPr="00605645" w:rsidRDefault="00175757" w:rsidP="00441B6F">
      <w:pPr>
        <w:pStyle w:val="Body"/>
        <w:spacing w:after="0"/>
        <w:rPr>
          <w:rFonts w:ascii="Arial" w:hAnsi="Arial" w:cs="Arial"/>
        </w:rPr>
      </w:pPr>
    </w:p>
    <w:p w14:paraId="75591324" w14:textId="77777777" w:rsidR="00175757" w:rsidRPr="00605645" w:rsidRDefault="00175757" w:rsidP="00441B6F">
      <w:pPr>
        <w:pStyle w:val="Body"/>
        <w:spacing w:after="0"/>
        <w:rPr>
          <w:rFonts w:ascii="Arial" w:hAnsi="Arial" w:cs="Arial"/>
        </w:rPr>
      </w:pPr>
    </w:p>
    <w:p w14:paraId="3BF817B8" w14:textId="77777777" w:rsidR="00175757" w:rsidRPr="00605645" w:rsidRDefault="00175757" w:rsidP="00441B6F">
      <w:pPr>
        <w:pStyle w:val="Body"/>
        <w:spacing w:after="0"/>
        <w:rPr>
          <w:rFonts w:ascii="Arial" w:hAnsi="Arial" w:cs="Arial"/>
        </w:rPr>
      </w:pPr>
    </w:p>
    <w:p w14:paraId="5E5330E3" w14:textId="77777777" w:rsidR="00175757" w:rsidRPr="00605645" w:rsidRDefault="00175757" w:rsidP="00441B6F">
      <w:pPr>
        <w:pStyle w:val="Body"/>
        <w:spacing w:after="0"/>
        <w:rPr>
          <w:rFonts w:ascii="Arial" w:hAnsi="Arial" w:cs="Arial"/>
        </w:rPr>
      </w:pPr>
    </w:p>
    <w:p w14:paraId="5F5893BE" w14:textId="77777777" w:rsidR="00175757" w:rsidRPr="00605645" w:rsidRDefault="00175757" w:rsidP="00441B6F">
      <w:pPr>
        <w:pStyle w:val="Body"/>
        <w:spacing w:after="0"/>
        <w:rPr>
          <w:rFonts w:ascii="Arial" w:hAnsi="Arial" w:cs="Arial"/>
        </w:rPr>
      </w:pPr>
    </w:p>
    <w:p w14:paraId="75C88E96" w14:textId="77777777" w:rsidR="00175757" w:rsidRPr="00605645" w:rsidRDefault="00175757" w:rsidP="00441B6F">
      <w:pPr>
        <w:pStyle w:val="Body"/>
        <w:spacing w:after="0"/>
        <w:rPr>
          <w:rFonts w:ascii="Arial" w:hAnsi="Arial" w:cs="Arial"/>
        </w:rPr>
      </w:pPr>
    </w:p>
    <w:p w14:paraId="06E38D4C" w14:textId="77777777" w:rsidR="00175757" w:rsidRPr="00605645" w:rsidRDefault="00175757" w:rsidP="00175757">
      <w:pPr>
        <w:pStyle w:val="Body"/>
        <w:spacing w:after="0"/>
        <w:rPr>
          <w:rFonts w:ascii="Arial" w:hAnsi="Arial" w:cs="Arial"/>
          <w:b/>
          <w:bCs/>
        </w:rPr>
      </w:pPr>
      <w:r w:rsidRPr="00605645">
        <w:rPr>
          <w:rFonts w:ascii="Arial" w:hAnsi="Arial" w:cs="Arial"/>
          <w:b/>
          <w:bCs/>
        </w:rPr>
        <w:t>Fig. 2. Chromatographic profile of phenolic compounds extracted from pulps of the smooth Cayenne pineapple variety revealed at 284 nm as a function of potassium treatments</w:t>
      </w:r>
    </w:p>
    <w:p w14:paraId="6ABCA12D" w14:textId="273D0840" w:rsidR="00175757" w:rsidRPr="00605645" w:rsidRDefault="00175757" w:rsidP="00175757">
      <w:pPr>
        <w:pStyle w:val="Body"/>
        <w:spacing w:after="0"/>
        <w:rPr>
          <w:rFonts w:ascii="Arial" w:hAnsi="Arial" w:cs="Arial"/>
        </w:rPr>
      </w:pPr>
      <w:r w:rsidRPr="00605645">
        <w:rPr>
          <w:rFonts w:ascii="Arial" w:hAnsi="Arial" w:cs="Arial"/>
          <w:i/>
          <w:sz w:val="18"/>
        </w:rPr>
        <w:t>1: arbutin (4.036 min); 2: gentisic acid (11.500 min); 3: quercitrin (11.832 min); 4: chlorogenic acid (12.167 min); 5: syringic acid (13.664 min); 6: epicatechin (14.168 min); 7: isoferulic acid (18.333 min); 8: o-coumaric acid (21.167 min); 9: rutin (23.834 min); 10: myricetin (32.294 min); 11: genistin (32.621 min); 12: gallic acid (7.412 min); 13: protocatechic acid (8.277 min); 14: genistein (9.963 min); 15: quercetin (28.645 min); 16: kaempferol (29.768 min); Treatment 1 (28 g K</w:t>
      </w:r>
      <w:r w:rsidRPr="00605645">
        <w:rPr>
          <w:rFonts w:ascii="Arial" w:hAnsi="Arial" w:cs="Arial"/>
          <w:i/>
          <w:sz w:val="18"/>
          <w:vertAlign w:val="subscript"/>
        </w:rPr>
        <w:t>2</w:t>
      </w:r>
      <w:r w:rsidRPr="00605645">
        <w:rPr>
          <w:rFonts w:ascii="Arial" w:hAnsi="Arial" w:cs="Arial"/>
          <w:i/>
          <w:sz w:val="18"/>
        </w:rPr>
        <w:t>O/plant); Treatment 2 (34 g K</w:t>
      </w:r>
      <w:r w:rsidRPr="00605645">
        <w:rPr>
          <w:rFonts w:ascii="Arial" w:hAnsi="Arial" w:cs="Arial"/>
          <w:i/>
          <w:sz w:val="18"/>
          <w:vertAlign w:val="subscript"/>
        </w:rPr>
        <w:t>2</w:t>
      </w:r>
      <w:r w:rsidRPr="00605645">
        <w:rPr>
          <w:rFonts w:ascii="Arial" w:hAnsi="Arial" w:cs="Arial"/>
          <w:i/>
          <w:sz w:val="18"/>
        </w:rPr>
        <w:t>O/plant); Treatment 3 (40 g K</w:t>
      </w:r>
      <w:r w:rsidRPr="00605645">
        <w:rPr>
          <w:rFonts w:ascii="Arial" w:hAnsi="Arial" w:cs="Arial"/>
          <w:i/>
          <w:sz w:val="18"/>
          <w:vertAlign w:val="subscript"/>
        </w:rPr>
        <w:t>2</w:t>
      </w:r>
      <w:r w:rsidRPr="00605645">
        <w:rPr>
          <w:rFonts w:ascii="Arial" w:hAnsi="Arial" w:cs="Arial"/>
          <w:i/>
          <w:sz w:val="18"/>
        </w:rPr>
        <w:t>O/plant).</w:t>
      </w:r>
    </w:p>
    <w:p w14:paraId="02FD181C" w14:textId="77777777" w:rsidR="00B857C5" w:rsidRPr="00605645" w:rsidRDefault="00B857C5" w:rsidP="00441B6F">
      <w:pPr>
        <w:pStyle w:val="Body"/>
        <w:spacing w:after="0"/>
        <w:rPr>
          <w:rFonts w:ascii="Arial" w:hAnsi="Arial" w:cs="Arial"/>
        </w:rPr>
      </w:pPr>
    </w:p>
    <w:p w14:paraId="417F193E" w14:textId="542F7C5A" w:rsidR="00175757" w:rsidRPr="00605645" w:rsidRDefault="00175757" w:rsidP="00175757">
      <w:pPr>
        <w:pStyle w:val="Body"/>
        <w:spacing w:after="0"/>
        <w:rPr>
          <w:rFonts w:ascii="Arial" w:hAnsi="Arial" w:cs="Arial"/>
        </w:rPr>
      </w:pPr>
      <w:r w:rsidRPr="00605645">
        <w:rPr>
          <w:rFonts w:ascii="Arial" w:hAnsi="Arial" w:cs="Arial"/>
          <w:b/>
          <w:caps/>
          <w:sz w:val="22"/>
        </w:rPr>
        <w:t xml:space="preserve">3.4 </w:t>
      </w:r>
      <w:r w:rsidRPr="00605645">
        <w:rPr>
          <w:rFonts w:ascii="Arial" w:hAnsi="Arial" w:cs="Arial"/>
          <w:b/>
          <w:sz w:val="22"/>
        </w:rPr>
        <w:t xml:space="preserve">Identification of phenolic compounds extracted from fruits from different potassium treatments after conservation in the MD2 variety </w:t>
      </w:r>
    </w:p>
    <w:p w14:paraId="43F83D55" w14:textId="77777777" w:rsidR="00175757" w:rsidRPr="00605645" w:rsidRDefault="00175757" w:rsidP="00175757">
      <w:pPr>
        <w:pStyle w:val="Body"/>
        <w:spacing w:after="0"/>
        <w:rPr>
          <w:rFonts w:ascii="Arial" w:hAnsi="Arial" w:cs="Arial"/>
        </w:rPr>
      </w:pPr>
    </w:p>
    <w:p w14:paraId="2555CF9B" w14:textId="7E6195CE" w:rsidR="00175757" w:rsidRPr="00605645" w:rsidRDefault="00175757" w:rsidP="00175757">
      <w:pPr>
        <w:pStyle w:val="Body"/>
        <w:spacing w:after="0"/>
        <w:rPr>
          <w:rFonts w:ascii="Arial" w:hAnsi="Arial" w:cs="Arial"/>
        </w:rPr>
      </w:pPr>
      <w:r w:rsidRPr="00605645">
        <w:rPr>
          <w:rFonts w:ascii="Arial" w:hAnsi="Arial" w:cs="Arial"/>
        </w:rPr>
        <w:t xml:space="preserve">The chromatographic profile shows the presence of 11 phenolic compounds in fruits from treatments T0 and T1, 14 in fruits from treatment T2 and 16 in fruits from treatment T3. Compounds (1 to 8) as well as compounds (13) and (14) were revealed in fruits from all treatments. After treatment T2, there was de novo synthesis of compounds (10); (11) and (12). In addition to these 14 compounds, T3 treatment induced compounds (15) and (16). The synthesis of compounds (7) and (8) </w:t>
      </w:r>
      <w:r w:rsidR="00F15A07" w:rsidRPr="00605645">
        <w:rPr>
          <w:rFonts w:ascii="Arial" w:hAnsi="Arial" w:cs="Arial"/>
        </w:rPr>
        <w:t>were</w:t>
      </w:r>
      <w:r w:rsidRPr="00605645">
        <w:rPr>
          <w:rFonts w:ascii="Arial" w:hAnsi="Arial" w:cs="Arial"/>
        </w:rPr>
        <w:t xml:space="preserve"> inhibited by treatment T2. The compounds were identified as : arbutin (1), gentisic acid (2), quercitrin acid (3), chlorogenic acid (4), syringic acid (5), epicatechin (6), isoferulic acid (7), o-coumaric acid (8), myricetin (9), genistin (10), gallic acid (11), protocatechic acid (12), genistein (13), taxifolin (14), quercetin (15) and kaempferol (16) (Fig. 3). </w:t>
      </w:r>
    </w:p>
    <w:p w14:paraId="464A676F" w14:textId="77777777" w:rsidR="00B857C5" w:rsidRPr="00605645" w:rsidRDefault="00B857C5" w:rsidP="00441B6F">
      <w:pPr>
        <w:pStyle w:val="Body"/>
        <w:spacing w:after="0"/>
        <w:rPr>
          <w:rFonts w:ascii="Arial" w:hAnsi="Arial" w:cs="Arial"/>
        </w:rPr>
      </w:pPr>
    </w:p>
    <w:p w14:paraId="5BB72F1F" w14:textId="5946BD9B" w:rsidR="00F15A07" w:rsidRPr="00605645" w:rsidRDefault="00F15A07" w:rsidP="00441B6F">
      <w:pPr>
        <w:pStyle w:val="Body"/>
        <w:spacing w:after="0"/>
        <w:rPr>
          <w:rFonts w:ascii="Arial" w:hAnsi="Arial" w:cs="Arial"/>
        </w:rPr>
      </w:pPr>
      <w:r w:rsidRPr="00605645">
        <w:rPr>
          <w:noProof/>
          <w:lang w:val="fr-FR" w:eastAsia="fr-FR"/>
        </w:rPr>
        <w:drawing>
          <wp:anchor distT="0" distB="0" distL="114300" distR="114300" simplePos="0" relativeHeight="251657728" behindDoc="0" locked="0" layoutInCell="1" allowOverlap="1" wp14:anchorId="6EB80299" wp14:editId="2A3523F2">
            <wp:simplePos x="0" y="0"/>
            <wp:positionH relativeFrom="margin">
              <wp:posOffset>-3810</wp:posOffset>
            </wp:positionH>
            <wp:positionV relativeFrom="paragraph">
              <wp:posOffset>146050</wp:posOffset>
            </wp:positionV>
            <wp:extent cx="5222795" cy="4981575"/>
            <wp:effectExtent l="0" t="0" r="0" b="0"/>
            <wp:wrapNone/>
            <wp:docPr id="16491138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13877" name=""/>
                    <pic:cNvPicPr/>
                  </pic:nvPicPr>
                  <pic:blipFill>
                    <a:blip r:embed="rId17">
                      <a:extLst>
                        <a:ext uri="{BEBA8EAE-BF5A-486C-A8C5-ECC9F3942E4B}">
                          <a14:imgProps xmlns:a14="http://schemas.microsoft.com/office/drawing/2010/main">
                            <a14:imgLayer r:embed="rId18">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237215" cy="4995329"/>
                    </a:xfrm>
                    <a:prstGeom prst="rect">
                      <a:avLst/>
                    </a:prstGeom>
                  </pic:spPr>
                </pic:pic>
              </a:graphicData>
            </a:graphic>
            <wp14:sizeRelH relativeFrom="margin">
              <wp14:pctWidth>0</wp14:pctWidth>
            </wp14:sizeRelH>
            <wp14:sizeRelV relativeFrom="margin">
              <wp14:pctHeight>0</wp14:pctHeight>
            </wp14:sizeRelV>
          </wp:anchor>
        </w:drawing>
      </w:r>
    </w:p>
    <w:p w14:paraId="47CB75A5" w14:textId="4A9BE255" w:rsidR="00B857C5" w:rsidRPr="00605645" w:rsidRDefault="00B857C5" w:rsidP="00441B6F">
      <w:pPr>
        <w:pStyle w:val="Body"/>
        <w:spacing w:after="0"/>
        <w:rPr>
          <w:rFonts w:ascii="Arial" w:hAnsi="Arial" w:cs="Arial"/>
        </w:rPr>
      </w:pPr>
    </w:p>
    <w:p w14:paraId="35D93301" w14:textId="77777777" w:rsidR="00B857C5" w:rsidRPr="00605645" w:rsidRDefault="00B857C5" w:rsidP="00441B6F">
      <w:pPr>
        <w:pStyle w:val="Body"/>
        <w:spacing w:after="0"/>
        <w:rPr>
          <w:rFonts w:ascii="Arial" w:hAnsi="Arial" w:cs="Arial"/>
        </w:rPr>
      </w:pPr>
    </w:p>
    <w:p w14:paraId="5C39EADB" w14:textId="77777777" w:rsidR="00B857C5" w:rsidRPr="00605645" w:rsidRDefault="00B857C5" w:rsidP="00441B6F">
      <w:pPr>
        <w:pStyle w:val="Body"/>
        <w:spacing w:after="0"/>
        <w:rPr>
          <w:rFonts w:ascii="Arial" w:hAnsi="Arial" w:cs="Arial"/>
        </w:rPr>
      </w:pPr>
    </w:p>
    <w:p w14:paraId="7AA2B77D" w14:textId="77777777" w:rsidR="00F15A07" w:rsidRPr="00605645" w:rsidRDefault="00F15A07" w:rsidP="00441B6F">
      <w:pPr>
        <w:pStyle w:val="Body"/>
        <w:spacing w:after="0"/>
        <w:rPr>
          <w:rFonts w:ascii="Arial" w:hAnsi="Arial" w:cs="Arial"/>
        </w:rPr>
      </w:pPr>
    </w:p>
    <w:p w14:paraId="6C089FE5" w14:textId="77777777" w:rsidR="00F15A07" w:rsidRPr="00605645" w:rsidRDefault="00F15A07" w:rsidP="00441B6F">
      <w:pPr>
        <w:pStyle w:val="Body"/>
        <w:spacing w:after="0"/>
        <w:rPr>
          <w:rFonts w:ascii="Arial" w:hAnsi="Arial" w:cs="Arial"/>
        </w:rPr>
      </w:pPr>
    </w:p>
    <w:p w14:paraId="1D5A6BB0" w14:textId="77777777" w:rsidR="00F15A07" w:rsidRPr="00605645" w:rsidRDefault="00F15A07" w:rsidP="00441B6F">
      <w:pPr>
        <w:pStyle w:val="Body"/>
        <w:spacing w:after="0"/>
        <w:rPr>
          <w:rFonts w:ascii="Arial" w:hAnsi="Arial" w:cs="Arial"/>
        </w:rPr>
      </w:pPr>
    </w:p>
    <w:p w14:paraId="79C2EA77" w14:textId="77777777" w:rsidR="00F15A07" w:rsidRPr="00605645" w:rsidRDefault="00F15A07" w:rsidP="00441B6F">
      <w:pPr>
        <w:pStyle w:val="Body"/>
        <w:spacing w:after="0"/>
        <w:rPr>
          <w:rFonts w:ascii="Arial" w:hAnsi="Arial" w:cs="Arial"/>
        </w:rPr>
      </w:pPr>
    </w:p>
    <w:p w14:paraId="15C76A6F" w14:textId="77777777" w:rsidR="00F15A07" w:rsidRPr="00605645" w:rsidRDefault="00F15A07" w:rsidP="00441B6F">
      <w:pPr>
        <w:pStyle w:val="Body"/>
        <w:spacing w:after="0"/>
        <w:rPr>
          <w:rFonts w:ascii="Arial" w:hAnsi="Arial" w:cs="Arial"/>
        </w:rPr>
      </w:pPr>
    </w:p>
    <w:p w14:paraId="44E7C562" w14:textId="77777777" w:rsidR="00F15A07" w:rsidRPr="00605645" w:rsidRDefault="00F15A07" w:rsidP="00441B6F">
      <w:pPr>
        <w:pStyle w:val="Body"/>
        <w:spacing w:after="0"/>
        <w:rPr>
          <w:rFonts w:ascii="Arial" w:hAnsi="Arial" w:cs="Arial"/>
        </w:rPr>
      </w:pPr>
    </w:p>
    <w:p w14:paraId="36614970" w14:textId="77777777" w:rsidR="00F15A07" w:rsidRPr="00605645" w:rsidRDefault="00F15A07" w:rsidP="00441B6F">
      <w:pPr>
        <w:pStyle w:val="Body"/>
        <w:spacing w:after="0"/>
        <w:rPr>
          <w:rFonts w:ascii="Arial" w:hAnsi="Arial" w:cs="Arial"/>
        </w:rPr>
      </w:pPr>
    </w:p>
    <w:p w14:paraId="3CA8225E" w14:textId="77777777" w:rsidR="00F15A07" w:rsidRPr="00605645" w:rsidRDefault="00F15A07" w:rsidP="00441B6F">
      <w:pPr>
        <w:pStyle w:val="Body"/>
        <w:spacing w:after="0"/>
        <w:rPr>
          <w:rFonts w:ascii="Arial" w:hAnsi="Arial" w:cs="Arial"/>
        </w:rPr>
      </w:pPr>
    </w:p>
    <w:p w14:paraId="2129654F" w14:textId="77777777" w:rsidR="00F15A07" w:rsidRPr="00605645" w:rsidRDefault="00F15A07" w:rsidP="00441B6F">
      <w:pPr>
        <w:pStyle w:val="Body"/>
        <w:spacing w:after="0"/>
        <w:rPr>
          <w:rFonts w:ascii="Arial" w:hAnsi="Arial" w:cs="Arial"/>
        </w:rPr>
      </w:pPr>
    </w:p>
    <w:p w14:paraId="567690EB" w14:textId="77777777" w:rsidR="00F15A07" w:rsidRPr="00605645" w:rsidRDefault="00F15A07" w:rsidP="00441B6F">
      <w:pPr>
        <w:pStyle w:val="Body"/>
        <w:spacing w:after="0"/>
        <w:rPr>
          <w:rFonts w:ascii="Arial" w:hAnsi="Arial" w:cs="Arial"/>
        </w:rPr>
      </w:pPr>
    </w:p>
    <w:p w14:paraId="3A5DD181" w14:textId="77777777" w:rsidR="00F15A07" w:rsidRPr="00605645" w:rsidRDefault="00F15A07" w:rsidP="00441B6F">
      <w:pPr>
        <w:pStyle w:val="Body"/>
        <w:spacing w:after="0"/>
        <w:rPr>
          <w:rFonts w:ascii="Arial" w:hAnsi="Arial" w:cs="Arial"/>
        </w:rPr>
      </w:pPr>
    </w:p>
    <w:p w14:paraId="5802459A" w14:textId="77777777" w:rsidR="00F15A07" w:rsidRPr="00605645" w:rsidRDefault="00F15A07" w:rsidP="00441B6F">
      <w:pPr>
        <w:pStyle w:val="Body"/>
        <w:spacing w:after="0"/>
        <w:rPr>
          <w:rFonts w:ascii="Arial" w:hAnsi="Arial" w:cs="Arial"/>
        </w:rPr>
      </w:pPr>
    </w:p>
    <w:p w14:paraId="6AC54A30" w14:textId="77777777" w:rsidR="00F15A07" w:rsidRPr="00605645" w:rsidRDefault="00F15A07" w:rsidP="00441B6F">
      <w:pPr>
        <w:pStyle w:val="Body"/>
        <w:spacing w:after="0"/>
        <w:rPr>
          <w:rFonts w:ascii="Arial" w:hAnsi="Arial" w:cs="Arial"/>
        </w:rPr>
      </w:pPr>
    </w:p>
    <w:p w14:paraId="1E4827E0" w14:textId="77777777" w:rsidR="00F15A07" w:rsidRPr="00605645" w:rsidRDefault="00F15A07" w:rsidP="00441B6F">
      <w:pPr>
        <w:pStyle w:val="Body"/>
        <w:spacing w:after="0"/>
        <w:rPr>
          <w:rFonts w:ascii="Arial" w:hAnsi="Arial" w:cs="Arial"/>
        </w:rPr>
      </w:pPr>
    </w:p>
    <w:p w14:paraId="446F72C7" w14:textId="77777777" w:rsidR="00F15A07" w:rsidRPr="00605645" w:rsidRDefault="00F15A07" w:rsidP="00441B6F">
      <w:pPr>
        <w:pStyle w:val="Body"/>
        <w:spacing w:after="0"/>
        <w:rPr>
          <w:rFonts w:ascii="Arial" w:hAnsi="Arial" w:cs="Arial"/>
        </w:rPr>
      </w:pPr>
    </w:p>
    <w:p w14:paraId="43A5607A" w14:textId="77777777" w:rsidR="00F15A07" w:rsidRPr="00605645" w:rsidRDefault="00F15A07" w:rsidP="00441B6F">
      <w:pPr>
        <w:pStyle w:val="Body"/>
        <w:spacing w:after="0"/>
        <w:rPr>
          <w:rFonts w:ascii="Arial" w:hAnsi="Arial" w:cs="Arial"/>
        </w:rPr>
      </w:pPr>
    </w:p>
    <w:p w14:paraId="6DB6E450" w14:textId="77777777" w:rsidR="00F15A07" w:rsidRPr="00605645" w:rsidRDefault="00F15A07" w:rsidP="00441B6F">
      <w:pPr>
        <w:pStyle w:val="Body"/>
        <w:spacing w:after="0"/>
        <w:rPr>
          <w:rFonts w:ascii="Arial" w:hAnsi="Arial" w:cs="Arial"/>
        </w:rPr>
      </w:pPr>
    </w:p>
    <w:p w14:paraId="27B60A65" w14:textId="77777777" w:rsidR="00F15A07" w:rsidRPr="00605645" w:rsidRDefault="00F15A07" w:rsidP="00441B6F">
      <w:pPr>
        <w:pStyle w:val="Body"/>
        <w:spacing w:after="0"/>
        <w:rPr>
          <w:rFonts w:ascii="Arial" w:hAnsi="Arial" w:cs="Arial"/>
        </w:rPr>
      </w:pPr>
    </w:p>
    <w:p w14:paraId="1FC599E0" w14:textId="77777777" w:rsidR="00F15A07" w:rsidRPr="00605645" w:rsidRDefault="00F15A07" w:rsidP="00441B6F">
      <w:pPr>
        <w:pStyle w:val="Body"/>
        <w:spacing w:after="0"/>
        <w:rPr>
          <w:rFonts w:ascii="Arial" w:hAnsi="Arial" w:cs="Arial"/>
        </w:rPr>
      </w:pPr>
    </w:p>
    <w:p w14:paraId="17575770" w14:textId="77777777" w:rsidR="00F15A07" w:rsidRPr="00605645" w:rsidRDefault="00F15A07" w:rsidP="00441B6F">
      <w:pPr>
        <w:pStyle w:val="Body"/>
        <w:spacing w:after="0"/>
        <w:rPr>
          <w:rFonts w:ascii="Arial" w:hAnsi="Arial" w:cs="Arial"/>
        </w:rPr>
      </w:pPr>
    </w:p>
    <w:p w14:paraId="3E9F194A" w14:textId="77777777" w:rsidR="00F15A07" w:rsidRPr="00605645" w:rsidRDefault="00F15A07" w:rsidP="00441B6F">
      <w:pPr>
        <w:pStyle w:val="Body"/>
        <w:spacing w:after="0"/>
        <w:rPr>
          <w:rFonts w:ascii="Arial" w:hAnsi="Arial" w:cs="Arial"/>
        </w:rPr>
      </w:pPr>
    </w:p>
    <w:p w14:paraId="79D9D25A" w14:textId="77777777" w:rsidR="00B857C5" w:rsidRPr="00605645" w:rsidRDefault="00B857C5" w:rsidP="00441B6F">
      <w:pPr>
        <w:pStyle w:val="Body"/>
        <w:spacing w:after="0"/>
        <w:rPr>
          <w:rFonts w:ascii="Arial" w:hAnsi="Arial" w:cs="Arial"/>
        </w:rPr>
      </w:pPr>
    </w:p>
    <w:p w14:paraId="3E4E7F28" w14:textId="77777777" w:rsidR="00B857C5" w:rsidRPr="00605645" w:rsidRDefault="00B857C5" w:rsidP="00441B6F">
      <w:pPr>
        <w:pStyle w:val="Body"/>
        <w:spacing w:after="0"/>
        <w:rPr>
          <w:rFonts w:ascii="Arial" w:hAnsi="Arial" w:cs="Arial"/>
        </w:rPr>
      </w:pPr>
    </w:p>
    <w:p w14:paraId="49CC5A80" w14:textId="77777777" w:rsidR="00B857C5" w:rsidRPr="00605645" w:rsidRDefault="00B857C5" w:rsidP="00441B6F">
      <w:pPr>
        <w:pStyle w:val="Body"/>
        <w:spacing w:after="0"/>
        <w:rPr>
          <w:rFonts w:ascii="Arial" w:hAnsi="Arial" w:cs="Arial"/>
        </w:rPr>
      </w:pPr>
    </w:p>
    <w:p w14:paraId="728333FE" w14:textId="77777777" w:rsidR="00B857C5" w:rsidRPr="00605645" w:rsidRDefault="00B857C5" w:rsidP="00441B6F">
      <w:pPr>
        <w:pStyle w:val="Body"/>
        <w:spacing w:after="0"/>
        <w:rPr>
          <w:rFonts w:ascii="Arial" w:hAnsi="Arial" w:cs="Arial"/>
        </w:rPr>
      </w:pPr>
    </w:p>
    <w:p w14:paraId="5EBEAE52" w14:textId="77777777" w:rsidR="00B857C5" w:rsidRPr="00605645" w:rsidRDefault="00B857C5" w:rsidP="00441B6F">
      <w:pPr>
        <w:pStyle w:val="Body"/>
        <w:spacing w:after="0"/>
        <w:rPr>
          <w:rFonts w:ascii="Arial" w:hAnsi="Arial" w:cs="Arial"/>
        </w:rPr>
      </w:pPr>
    </w:p>
    <w:p w14:paraId="26877E37" w14:textId="77777777" w:rsidR="00B857C5" w:rsidRPr="00605645" w:rsidRDefault="00B857C5" w:rsidP="00441B6F">
      <w:pPr>
        <w:pStyle w:val="Body"/>
        <w:spacing w:after="0"/>
        <w:rPr>
          <w:rFonts w:ascii="Arial" w:hAnsi="Arial" w:cs="Arial"/>
        </w:rPr>
      </w:pPr>
    </w:p>
    <w:p w14:paraId="0562D721" w14:textId="77777777" w:rsidR="00B857C5" w:rsidRPr="00605645" w:rsidRDefault="00B857C5" w:rsidP="00441B6F">
      <w:pPr>
        <w:pStyle w:val="Body"/>
        <w:spacing w:after="0"/>
        <w:rPr>
          <w:rFonts w:ascii="Arial" w:hAnsi="Arial" w:cs="Arial"/>
        </w:rPr>
      </w:pPr>
    </w:p>
    <w:p w14:paraId="21B64B84" w14:textId="77777777" w:rsidR="00B857C5" w:rsidRPr="00605645" w:rsidRDefault="00B857C5" w:rsidP="00441B6F">
      <w:pPr>
        <w:pStyle w:val="Body"/>
        <w:spacing w:after="0"/>
        <w:rPr>
          <w:rFonts w:ascii="Arial" w:hAnsi="Arial" w:cs="Arial"/>
        </w:rPr>
      </w:pPr>
    </w:p>
    <w:p w14:paraId="5E9DB93B" w14:textId="77777777" w:rsidR="00B857C5" w:rsidRPr="00605645" w:rsidRDefault="00B857C5" w:rsidP="00441B6F">
      <w:pPr>
        <w:pStyle w:val="Body"/>
        <w:spacing w:after="0"/>
        <w:rPr>
          <w:rFonts w:ascii="Arial" w:hAnsi="Arial" w:cs="Arial"/>
        </w:rPr>
      </w:pPr>
    </w:p>
    <w:p w14:paraId="2C00BD75" w14:textId="77777777" w:rsidR="00B857C5" w:rsidRPr="00605645" w:rsidRDefault="00B857C5" w:rsidP="00441B6F">
      <w:pPr>
        <w:pStyle w:val="Body"/>
        <w:spacing w:after="0"/>
        <w:rPr>
          <w:rFonts w:ascii="Arial" w:hAnsi="Arial" w:cs="Arial"/>
        </w:rPr>
      </w:pPr>
    </w:p>
    <w:p w14:paraId="03CE09BA" w14:textId="77777777" w:rsidR="00B857C5" w:rsidRPr="00605645" w:rsidRDefault="00B857C5" w:rsidP="00441B6F">
      <w:pPr>
        <w:pStyle w:val="Body"/>
        <w:spacing w:after="0"/>
        <w:rPr>
          <w:rFonts w:ascii="Arial" w:hAnsi="Arial" w:cs="Arial"/>
        </w:rPr>
      </w:pPr>
    </w:p>
    <w:p w14:paraId="0A74A3DF" w14:textId="2FF53A8F" w:rsidR="00F15A07" w:rsidRPr="00605645" w:rsidRDefault="00F15A07" w:rsidP="00F15A07">
      <w:pPr>
        <w:pStyle w:val="Body"/>
        <w:spacing w:after="0"/>
        <w:rPr>
          <w:rFonts w:ascii="Arial" w:hAnsi="Arial" w:cs="Arial"/>
          <w:b/>
          <w:bCs/>
        </w:rPr>
      </w:pPr>
      <w:r w:rsidRPr="00605645">
        <w:rPr>
          <w:rFonts w:ascii="Arial" w:hAnsi="Arial" w:cs="Arial"/>
          <w:b/>
          <w:bCs/>
        </w:rPr>
        <w:t>Fig</w:t>
      </w:r>
      <w:r w:rsidR="00A118F1" w:rsidRPr="00605645">
        <w:rPr>
          <w:rFonts w:ascii="Arial" w:hAnsi="Arial" w:cs="Arial"/>
          <w:b/>
          <w:bCs/>
        </w:rPr>
        <w:t>.</w:t>
      </w:r>
      <w:r w:rsidRPr="00605645">
        <w:rPr>
          <w:rFonts w:ascii="Arial" w:hAnsi="Arial" w:cs="Arial"/>
          <w:b/>
          <w:bCs/>
        </w:rPr>
        <w:t xml:space="preserve"> 3. Chromatographic profiles of phenolic compounds in MD2 pineapple pulp revealed at 284 as a function of potassium treatments</w:t>
      </w:r>
    </w:p>
    <w:p w14:paraId="70BAEF6F" w14:textId="45E6A404" w:rsidR="00B857C5" w:rsidRPr="00605645" w:rsidRDefault="00F15A07" w:rsidP="00F15A07">
      <w:pPr>
        <w:pStyle w:val="Body"/>
        <w:spacing w:after="0"/>
        <w:rPr>
          <w:rFonts w:ascii="Arial" w:hAnsi="Arial" w:cs="Arial"/>
        </w:rPr>
      </w:pPr>
      <w:r w:rsidRPr="00605645">
        <w:rPr>
          <w:rFonts w:ascii="Arial" w:hAnsi="Arial" w:cs="Arial"/>
          <w:i/>
          <w:sz w:val="18"/>
        </w:rPr>
        <w:t>1: arbutin (4.036 min); 2: gentisic acid (11.500 min); 3: quercitrin (11.832 min); 4: chlorogenic acid (12.167 min); 5: syringic acid (13.664 min); 6: epicatechin (14.168 min); 7: isoferulic acid (18.333 min); 8: o-coumaric acid (21,167 min); 9: rutin (23,834 min); 10: myricetin (32,294 min); 11: genistin (32,621 min); 12: gallic acid (7,412 min); 13: protocatechic acid (8,277 min); 14: genistein (9,963 min); 15: quercetin (28,645 min); 16: kaempferol (29,768 min); Treatment 1 (28 g K</w:t>
      </w:r>
      <w:r w:rsidRPr="00605645">
        <w:rPr>
          <w:rFonts w:ascii="Arial" w:hAnsi="Arial" w:cs="Arial"/>
          <w:i/>
          <w:sz w:val="18"/>
          <w:vertAlign w:val="subscript"/>
        </w:rPr>
        <w:t>2</w:t>
      </w:r>
      <w:r w:rsidRPr="00605645">
        <w:rPr>
          <w:rFonts w:ascii="Arial" w:hAnsi="Arial" w:cs="Arial"/>
          <w:i/>
          <w:sz w:val="18"/>
        </w:rPr>
        <w:t>O/plant); Treatment 2 (34 g K</w:t>
      </w:r>
      <w:r w:rsidRPr="00605645">
        <w:rPr>
          <w:rFonts w:ascii="Arial" w:hAnsi="Arial" w:cs="Arial"/>
          <w:i/>
          <w:sz w:val="18"/>
          <w:vertAlign w:val="subscript"/>
        </w:rPr>
        <w:t>2</w:t>
      </w:r>
      <w:r w:rsidRPr="00605645">
        <w:rPr>
          <w:rFonts w:ascii="Arial" w:hAnsi="Arial" w:cs="Arial"/>
          <w:i/>
          <w:sz w:val="18"/>
        </w:rPr>
        <w:t>O/plant); Treatment 3 (40 g K</w:t>
      </w:r>
      <w:r w:rsidRPr="00605645">
        <w:rPr>
          <w:rFonts w:ascii="Arial" w:hAnsi="Arial" w:cs="Arial"/>
          <w:i/>
          <w:sz w:val="18"/>
          <w:vertAlign w:val="subscript"/>
        </w:rPr>
        <w:t>2</w:t>
      </w:r>
      <w:r w:rsidRPr="00605645">
        <w:rPr>
          <w:rFonts w:ascii="Arial" w:hAnsi="Arial" w:cs="Arial"/>
          <w:i/>
          <w:sz w:val="18"/>
        </w:rPr>
        <w:t>O/plant)</w:t>
      </w:r>
    </w:p>
    <w:p w14:paraId="5E10CDC0" w14:textId="77777777" w:rsidR="00B857C5" w:rsidRPr="00605645" w:rsidRDefault="00B857C5" w:rsidP="00441B6F">
      <w:pPr>
        <w:pStyle w:val="Body"/>
        <w:spacing w:after="0"/>
        <w:rPr>
          <w:rFonts w:ascii="Arial" w:hAnsi="Arial" w:cs="Arial"/>
        </w:rPr>
      </w:pPr>
    </w:p>
    <w:p w14:paraId="00548898" w14:textId="3B8B51FF" w:rsidR="00B857C5" w:rsidRPr="00605645" w:rsidRDefault="00F15A07" w:rsidP="00441B6F">
      <w:pPr>
        <w:pStyle w:val="Body"/>
        <w:spacing w:after="0"/>
        <w:rPr>
          <w:rFonts w:ascii="Arial" w:hAnsi="Arial" w:cs="Arial"/>
        </w:rPr>
      </w:pPr>
      <w:r w:rsidRPr="00605645">
        <w:rPr>
          <w:rFonts w:ascii="Arial" w:hAnsi="Arial" w:cs="Arial"/>
          <w:b/>
          <w:bCs/>
        </w:rPr>
        <w:t>Comparison of phenolic content of MD2 fruits from different treatments:</w:t>
      </w:r>
      <w:r w:rsidRPr="00605645">
        <w:rPr>
          <w:rFonts w:ascii="Arial" w:hAnsi="Arial" w:cs="Arial"/>
        </w:rPr>
        <w:t xml:space="preserve"> Comparison of chromatographic profiles shows that de novo synthesis of compounds in pineapple fruits was only induced from treatment T2 onwards. However, only compounds (10), (11) and (12) could be synthesized at this applied potassium dose. Compounds (15) and (16) could be synthesized after the application of 40 g </w:t>
      </w:r>
      <w:r w:rsidR="00BC2342" w:rsidRPr="00605645">
        <w:rPr>
          <w:rFonts w:ascii="Arial" w:hAnsi="Arial" w:cs="Arial"/>
        </w:rPr>
        <w:t>K</w:t>
      </w:r>
      <w:r w:rsidR="00BC2342" w:rsidRPr="00605645">
        <w:rPr>
          <w:rFonts w:ascii="Arial" w:hAnsi="Arial" w:cs="Arial"/>
          <w:vertAlign w:val="subscript"/>
        </w:rPr>
        <w:t>2</w:t>
      </w:r>
      <w:r w:rsidR="00BC2342" w:rsidRPr="00605645">
        <w:rPr>
          <w:rFonts w:ascii="Arial" w:hAnsi="Arial" w:cs="Arial"/>
        </w:rPr>
        <w:t>O</w:t>
      </w:r>
      <w:r w:rsidRPr="00605645">
        <w:rPr>
          <w:rFonts w:ascii="Arial" w:hAnsi="Arial" w:cs="Arial"/>
        </w:rPr>
        <w:t>/plant (treatment T3) in the MD2 pineapple variety. On the other hand, high potassium levels (T2 and T3) inhibited the biosynthesis of compounds (7) and (8).</w:t>
      </w:r>
    </w:p>
    <w:p w14:paraId="43285D7D" w14:textId="77777777" w:rsidR="00B857C5" w:rsidRPr="00605645" w:rsidRDefault="00B857C5" w:rsidP="00441B6F">
      <w:pPr>
        <w:pStyle w:val="Body"/>
        <w:spacing w:after="0"/>
        <w:rPr>
          <w:rFonts w:ascii="Arial" w:hAnsi="Arial" w:cs="Arial"/>
        </w:rPr>
      </w:pPr>
    </w:p>
    <w:p w14:paraId="3563C546" w14:textId="5204DF3A" w:rsidR="00F15A07" w:rsidRPr="00605645" w:rsidRDefault="00F15A07" w:rsidP="00F15A07">
      <w:pPr>
        <w:pStyle w:val="Body"/>
        <w:spacing w:after="0"/>
        <w:rPr>
          <w:rFonts w:ascii="Arial" w:hAnsi="Arial" w:cs="Arial"/>
        </w:rPr>
      </w:pPr>
      <w:r w:rsidRPr="00605645">
        <w:rPr>
          <w:rFonts w:ascii="Arial" w:hAnsi="Arial" w:cs="Arial"/>
          <w:b/>
          <w:caps/>
          <w:sz w:val="22"/>
        </w:rPr>
        <w:t xml:space="preserve">3.5 </w:t>
      </w:r>
      <w:r w:rsidRPr="00605645">
        <w:rPr>
          <w:rFonts w:ascii="Arial" w:hAnsi="Arial" w:cs="Arial"/>
          <w:b/>
          <w:sz w:val="22"/>
        </w:rPr>
        <w:t xml:space="preserve">Comparison of phenolic content of smooth Cayenne and MD2 pineapple fruits from different treatments </w:t>
      </w:r>
    </w:p>
    <w:p w14:paraId="4F93D71C" w14:textId="77777777" w:rsidR="00F15A07" w:rsidRPr="00605645" w:rsidRDefault="00F15A07" w:rsidP="00F15A07">
      <w:pPr>
        <w:pStyle w:val="Body"/>
        <w:spacing w:after="0"/>
        <w:rPr>
          <w:rFonts w:ascii="Arial" w:hAnsi="Arial" w:cs="Arial"/>
        </w:rPr>
      </w:pPr>
    </w:p>
    <w:p w14:paraId="20E4FE7D" w14:textId="77777777" w:rsidR="00F15A07" w:rsidRPr="00605645" w:rsidRDefault="00F15A07" w:rsidP="00F15A07">
      <w:pPr>
        <w:pStyle w:val="Body"/>
        <w:spacing w:after="0"/>
        <w:rPr>
          <w:rFonts w:ascii="Arial" w:hAnsi="Arial" w:cs="Arial"/>
        </w:rPr>
      </w:pPr>
      <w:r w:rsidRPr="00605645">
        <w:rPr>
          <w:rFonts w:ascii="Arial" w:hAnsi="Arial" w:cs="Arial"/>
        </w:rPr>
        <w:t xml:space="preserve">Chromatographic analyses show the presence of 16 phenolic compounds in each of the smooth Cayenne and MD2 pineapple varieties. However, compound synthesis differed according to potassium treatment for each of the pineapple varieties studied. </w:t>
      </w:r>
    </w:p>
    <w:p w14:paraId="0C03D0B0" w14:textId="2804C11F" w:rsidR="00F15A07" w:rsidRPr="00605645" w:rsidRDefault="00F15A07" w:rsidP="00F15A07">
      <w:pPr>
        <w:pStyle w:val="Body"/>
        <w:spacing w:after="0"/>
        <w:rPr>
          <w:rFonts w:ascii="Arial" w:hAnsi="Arial" w:cs="Arial"/>
        </w:rPr>
      </w:pPr>
      <w:r w:rsidRPr="00605645">
        <w:rPr>
          <w:rFonts w:ascii="Arial" w:hAnsi="Arial" w:cs="Arial"/>
        </w:rPr>
        <w:lastRenderedPageBreak/>
        <w:t xml:space="preserve">In addition to the phenolic compounds arbutin (1), gentisic acid (2), quercitrin acid (3), chlorogenic acid (4), syringic acid (5), epicatechin (6), isoferulic acid (7), o-coumaric acid (8) present in the fruits of the control treatment (20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of smooth Cayenne pineapple, the fruits of the control treatment of MD2 pineapple also contains myricetin (9), genistein (13) and taxifolin (14). </w:t>
      </w:r>
    </w:p>
    <w:p w14:paraId="0969AA29" w14:textId="6798EDAF" w:rsidR="00F15A07" w:rsidRPr="00605645" w:rsidRDefault="00F15A07" w:rsidP="00F15A07">
      <w:pPr>
        <w:pStyle w:val="Body"/>
        <w:spacing w:after="0"/>
        <w:rPr>
          <w:rFonts w:ascii="Arial" w:hAnsi="Arial" w:cs="Arial"/>
        </w:rPr>
      </w:pPr>
      <w:r w:rsidRPr="00605645">
        <w:rPr>
          <w:rFonts w:ascii="Arial" w:hAnsi="Arial" w:cs="Arial"/>
        </w:rPr>
        <w:t xml:space="preserve">In the smooth Cayenne variety, rutin (9) is synthesized in fruits of treatment T1 (28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while genistein (13) and taxifolin (14) only appear in treatment T2 (34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fruits. Genistein (10), gallic acid (11) and protocatechic acid (12) were all revealed in fruits from treatment T2 (34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in both pineapple varieties studied. </w:t>
      </w:r>
    </w:p>
    <w:p w14:paraId="01932CA1" w14:textId="56EFDE83" w:rsidR="00B857C5" w:rsidRPr="00605645" w:rsidRDefault="00F15A07" w:rsidP="00441B6F">
      <w:pPr>
        <w:pStyle w:val="Body"/>
        <w:spacing w:after="0"/>
        <w:rPr>
          <w:rFonts w:ascii="Arial" w:hAnsi="Arial" w:cs="Arial"/>
        </w:rPr>
      </w:pPr>
      <w:r w:rsidRPr="00605645">
        <w:rPr>
          <w:rFonts w:ascii="Arial" w:hAnsi="Arial" w:cs="Arial"/>
        </w:rPr>
        <w:t xml:space="preserve">Quercetin (15) and Kaempferol (16) were only synthesized in fruits from treatment T3 (40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/plant) in both pineapple varieties. Overall, increasing the amount of potassium applied in culture led to a decrease in the peaks of certain compounds, while inducing the synthesis of new phenolic compounds (Fig. 4).</w:t>
      </w:r>
    </w:p>
    <w:p w14:paraId="6453560E" w14:textId="662A414A" w:rsidR="00B857C5" w:rsidRPr="00605645" w:rsidRDefault="00B857C5" w:rsidP="00441B6F">
      <w:pPr>
        <w:pStyle w:val="Body"/>
        <w:spacing w:after="0"/>
        <w:rPr>
          <w:rFonts w:ascii="Arial" w:hAnsi="Arial" w:cs="Arial"/>
        </w:rPr>
      </w:pPr>
    </w:p>
    <w:p w14:paraId="05CD14C9" w14:textId="330A2D1F" w:rsidR="00B857C5" w:rsidRPr="00605645" w:rsidRDefault="00B857C5" w:rsidP="00441B6F">
      <w:pPr>
        <w:pStyle w:val="Body"/>
        <w:spacing w:after="0"/>
        <w:rPr>
          <w:rFonts w:ascii="Arial" w:hAnsi="Arial" w:cs="Arial"/>
        </w:rPr>
      </w:pPr>
    </w:p>
    <w:p w14:paraId="40F36F1A" w14:textId="4510F702" w:rsidR="00F15A07" w:rsidRPr="00605645" w:rsidRDefault="00F15A07" w:rsidP="00441B6F">
      <w:pPr>
        <w:pStyle w:val="Body"/>
        <w:spacing w:after="0"/>
        <w:rPr>
          <w:rFonts w:ascii="Arial" w:hAnsi="Arial" w:cs="Arial"/>
        </w:rPr>
      </w:pPr>
    </w:p>
    <w:p w14:paraId="723F0D4B" w14:textId="5FBEE804" w:rsidR="00F15A07" w:rsidRPr="00605645" w:rsidRDefault="00F15A07" w:rsidP="00441B6F">
      <w:pPr>
        <w:pStyle w:val="Body"/>
        <w:spacing w:after="0"/>
        <w:rPr>
          <w:rFonts w:ascii="Arial" w:hAnsi="Arial" w:cs="Arial"/>
        </w:rPr>
      </w:pPr>
    </w:p>
    <w:p w14:paraId="1D589A01" w14:textId="77777777" w:rsidR="00F15A07" w:rsidRPr="00605645" w:rsidRDefault="00F15A07" w:rsidP="00441B6F">
      <w:pPr>
        <w:pStyle w:val="Body"/>
        <w:spacing w:after="0"/>
        <w:rPr>
          <w:rFonts w:ascii="Arial" w:hAnsi="Arial" w:cs="Arial"/>
        </w:rPr>
      </w:pPr>
    </w:p>
    <w:p w14:paraId="4AC9E175" w14:textId="77777777" w:rsidR="00F15A07" w:rsidRPr="00605645" w:rsidRDefault="00F15A07" w:rsidP="00441B6F">
      <w:pPr>
        <w:pStyle w:val="Body"/>
        <w:spacing w:after="0"/>
        <w:rPr>
          <w:rFonts w:ascii="Arial" w:hAnsi="Arial" w:cs="Arial"/>
        </w:rPr>
      </w:pPr>
    </w:p>
    <w:p w14:paraId="1D2A5164" w14:textId="77777777" w:rsidR="00F15A07" w:rsidRPr="00605645" w:rsidRDefault="00F15A07" w:rsidP="00441B6F">
      <w:pPr>
        <w:pStyle w:val="Body"/>
        <w:spacing w:after="0"/>
        <w:rPr>
          <w:rFonts w:ascii="Arial" w:hAnsi="Arial" w:cs="Arial"/>
        </w:rPr>
      </w:pPr>
    </w:p>
    <w:p w14:paraId="3AC85CE5" w14:textId="77777777" w:rsidR="00F15A07" w:rsidRPr="00605645" w:rsidRDefault="00F15A07" w:rsidP="00441B6F">
      <w:pPr>
        <w:pStyle w:val="Body"/>
        <w:spacing w:after="0"/>
        <w:rPr>
          <w:rFonts w:ascii="Arial" w:hAnsi="Arial" w:cs="Arial"/>
        </w:rPr>
      </w:pPr>
    </w:p>
    <w:p w14:paraId="0A62E711" w14:textId="77777777" w:rsidR="00F15A07" w:rsidRPr="00605645" w:rsidRDefault="00F15A07" w:rsidP="00441B6F">
      <w:pPr>
        <w:pStyle w:val="Body"/>
        <w:spacing w:after="0"/>
        <w:rPr>
          <w:rFonts w:ascii="Arial" w:hAnsi="Arial" w:cs="Arial"/>
        </w:rPr>
      </w:pPr>
    </w:p>
    <w:p w14:paraId="62646BBC" w14:textId="77777777" w:rsidR="00F15A07" w:rsidRPr="00605645" w:rsidRDefault="00F15A07" w:rsidP="00441B6F">
      <w:pPr>
        <w:pStyle w:val="Body"/>
        <w:spacing w:after="0"/>
        <w:rPr>
          <w:rFonts w:ascii="Arial" w:hAnsi="Arial" w:cs="Arial"/>
        </w:rPr>
      </w:pPr>
    </w:p>
    <w:p w14:paraId="34F45F42" w14:textId="77777777" w:rsidR="00F15A07" w:rsidRPr="00605645" w:rsidRDefault="00F15A07" w:rsidP="00441B6F">
      <w:pPr>
        <w:pStyle w:val="Body"/>
        <w:spacing w:after="0"/>
        <w:rPr>
          <w:rFonts w:ascii="Arial" w:hAnsi="Arial" w:cs="Arial"/>
        </w:rPr>
      </w:pPr>
    </w:p>
    <w:p w14:paraId="27097672" w14:textId="77777777" w:rsidR="00F15A07" w:rsidRPr="00605645" w:rsidRDefault="00F15A07" w:rsidP="00441B6F">
      <w:pPr>
        <w:pStyle w:val="Body"/>
        <w:spacing w:after="0"/>
        <w:rPr>
          <w:rFonts w:ascii="Arial" w:hAnsi="Arial" w:cs="Arial"/>
        </w:rPr>
      </w:pPr>
    </w:p>
    <w:p w14:paraId="2F8EB49F" w14:textId="77777777" w:rsidR="00F15A07" w:rsidRPr="00605645" w:rsidRDefault="00F15A07" w:rsidP="00441B6F">
      <w:pPr>
        <w:pStyle w:val="Body"/>
        <w:spacing w:after="0"/>
        <w:rPr>
          <w:rFonts w:ascii="Arial" w:hAnsi="Arial" w:cs="Arial"/>
        </w:rPr>
      </w:pPr>
    </w:p>
    <w:p w14:paraId="3D9E017C" w14:textId="77777777" w:rsidR="00F15A07" w:rsidRPr="00605645" w:rsidRDefault="00F15A07" w:rsidP="00441B6F">
      <w:pPr>
        <w:pStyle w:val="Body"/>
        <w:spacing w:after="0"/>
        <w:rPr>
          <w:rFonts w:ascii="Arial" w:hAnsi="Arial" w:cs="Arial"/>
        </w:rPr>
      </w:pPr>
    </w:p>
    <w:p w14:paraId="1542462D" w14:textId="77777777" w:rsidR="00F15A07" w:rsidRPr="00605645" w:rsidRDefault="00F15A07" w:rsidP="00441B6F">
      <w:pPr>
        <w:pStyle w:val="Body"/>
        <w:spacing w:after="0"/>
        <w:rPr>
          <w:rFonts w:ascii="Arial" w:hAnsi="Arial" w:cs="Arial"/>
        </w:rPr>
      </w:pPr>
    </w:p>
    <w:p w14:paraId="3788214B" w14:textId="77777777" w:rsidR="00F15A07" w:rsidRPr="00605645" w:rsidRDefault="00F15A07" w:rsidP="00441B6F">
      <w:pPr>
        <w:pStyle w:val="Body"/>
        <w:spacing w:after="0"/>
        <w:rPr>
          <w:rFonts w:ascii="Arial" w:hAnsi="Arial" w:cs="Arial"/>
        </w:rPr>
      </w:pPr>
    </w:p>
    <w:p w14:paraId="78E560AE" w14:textId="77777777" w:rsidR="00F15A07" w:rsidRPr="00605645" w:rsidRDefault="00F15A07" w:rsidP="00441B6F">
      <w:pPr>
        <w:pStyle w:val="Body"/>
        <w:spacing w:after="0"/>
        <w:rPr>
          <w:rFonts w:ascii="Arial" w:hAnsi="Arial" w:cs="Arial"/>
        </w:rPr>
      </w:pPr>
    </w:p>
    <w:p w14:paraId="2D98CC01" w14:textId="77777777" w:rsidR="00F15A07" w:rsidRPr="00605645" w:rsidRDefault="00F15A07" w:rsidP="00441B6F">
      <w:pPr>
        <w:pStyle w:val="Body"/>
        <w:spacing w:after="0"/>
        <w:rPr>
          <w:rFonts w:ascii="Arial" w:hAnsi="Arial" w:cs="Arial"/>
        </w:rPr>
      </w:pPr>
    </w:p>
    <w:p w14:paraId="411190C1" w14:textId="77777777" w:rsidR="00F15A07" w:rsidRPr="00605645" w:rsidRDefault="00F15A07" w:rsidP="00441B6F">
      <w:pPr>
        <w:pStyle w:val="Body"/>
        <w:spacing w:after="0"/>
        <w:rPr>
          <w:rFonts w:ascii="Arial" w:hAnsi="Arial" w:cs="Arial"/>
        </w:rPr>
      </w:pPr>
    </w:p>
    <w:p w14:paraId="10CC2868" w14:textId="77777777" w:rsidR="00F15A07" w:rsidRPr="00605645" w:rsidRDefault="00F15A07" w:rsidP="00441B6F">
      <w:pPr>
        <w:pStyle w:val="Body"/>
        <w:spacing w:after="0"/>
        <w:rPr>
          <w:rFonts w:ascii="Arial" w:hAnsi="Arial" w:cs="Arial"/>
        </w:rPr>
      </w:pPr>
    </w:p>
    <w:p w14:paraId="7025AABE" w14:textId="77777777" w:rsidR="00F15A07" w:rsidRPr="00605645" w:rsidRDefault="00F15A07" w:rsidP="00441B6F">
      <w:pPr>
        <w:pStyle w:val="Body"/>
        <w:spacing w:after="0"/>
        <w:rPr>
          <w:rFonts w:ascii="Arial" w:hAnsi="Arial" w:cs="Arial"/>
        </w:rPr>
      </w:pPr>
    </w:p>
    <w:p w14:paraId="6B0BE0FB" w14:textId="77777777" w:rsidR="00F15A07" w:rsidRPr="00605645" w:rsidRDefault="00F15A07" w:rsidP="00441B6F">
      <w:pPr>
        <w:pStyle w:val="Body"/>
        <w:spacing w:after="0"/>
        <w:rPr>
          <w:rFonts w:ascii="Arial" w:hAnsi="Arial" w:cs="Arial"/>
        </w:rPr>
      </w:pPr>
    </w:p>
    <w:p w14:paraId="124CD3AF" w14:textId="77777777" w:rsidR="00F15A07" w:rsidRPr="00605645" w:rsidRDefault="00F15A07" w:rsidP="00441B6F">
      <w:pPr>
        <w:pStyle w:val="Body"/>
        <w:spacing w:after="0"/>
        <w:rPr>
          <w:rFonts w:ascii="Arial" w:hAnsi="Arial" w:cs="Arial"/>
        </w:rPr>
      </w:pPr>
    </w:p>
    <w:p w14:paraId="14544FBB" w14:textId="1E8CC8F6" w:rsidR="00F15A07" w:rsidRDefault="00F15A07" w:rsidP="00441B6F">
      <w:pPr>
        <w:pStyle w:val="Body"/>
        <w:spacing w:after="0"/>
        <w:rPr>
          <w:rFonts w:ascii="Arial" w:hAnsi="Arial" w:cs="Arial"/>
        </w:rPr>
      </w:pPr>
    </w:p>
    <w:p w14:paraId="2E262EA3" w14:textId="77777777" w:rsidR="00C55481" w:rsidRDefault="00C55481" w:rsidP="00441B6F">
      <w:pPr>
        <w:pStyle w:val="Body"/>
        <w:spacing w:after="0"/>
        <w:rPr>
          <w:rFonts w:ascii="Arial" w:hAnsi="Arial" w:cs="Arial"/>
        </w:rPr>
      </w:pPr>
    </w:p>
    <w:p w14:paraId="1A912062" w14:textId="77777777" w:rsidR="00C55481" w:rsidRDefault="00C55481" w:rsidP="00441B6F">
      <w:pPr>
        <w:pStyle w:val="Body"/>
        <w:spacing w:after="0"/>
        <w:rPr>
          <w:rFonts w:ascii="Arial" w:hAnsi="Arial" w:cs="Arial"/>
        </w:rPr>
      </w:pPr>
    </w:p>
    <w:p w14:paraId="26273EBA" w14:textId="6804BC2A" w:rsidR="00C55481" w:rsidRDefault="00C55481" w:rsidP="00441B6F">
      <w:pPr>
        <w:pStyle w:val="Body"/>
        <w:spacing w:after="0"/>
        <w:rPr>
          <w:rFonts w:ascii="Arial" w:hAnsi="Arial" w:cs="Arial"/>
        </w:rPr>
      </w:pPr>
    </w:p>
    <w:p w14:paraId="15005593" w14:textId="77777777" w:rsidR="00C55481" w:rsidRDefault="00C55481" w:rsidP="00441B6F">
      <w:pPr>
        <w:pStyle w:val="Body"/>
        <w:spacing w:after="0"/>
        <w:rPr>
          <w:rFonts w:ascii="Arial" w:hAnsi="Arial" w:cs="Arial"/>
        </w:rPr>
      </w:pPr>
    </w:p>
    <w:p w14:paraId="0825770E" w14:textId="1A0654B8" w:rsidR="00C55481" w:rsidRDefault="00C55481" w:rsidP="00441B6F">
      <w:pPr>
        <w:pStyle w:val="Body"/>
        <w:spacing w:after="0"/>
        <w:rPr>
          <w:rFonts w:ascii="Arial" w:hAnsi="Arial" w:cs="Arial"/>
        </w:rPr>
      </w:pPr>
      <w:r w:rsidRPr="00605645">
        <w:rPr>
          <w:noProof/>
          <w:lang w:val="fr-FR" w:eastAsia="fr-FR"/>
        </w:rPr>
        <w:drawing>
          <wp:anchor distT="0" distB="0" distL="114300" distR="114300" simplePos="0" relativeHeight="251663360" behindDoc="0" locked="0" layoutInCell="1" allowOverlap="1" wp14:anchorId="56926264" wp14:editId="4D038B67">
            <wp:simplePos x="0" y="0"/>
            <wp:positionH relativeFrom="column">
              <wp:posOffset>0</wp:posOffset>
            </wp:positionH>
            <wp:positionV relativeFrom="paragraph">
              <wp:posOffset>-635</wp:posOffset>
            </wp:positionV>
            <wp:extent cx="5181600" cy="5362575"/>
            <wp:effectExtent l="0" t="0" r="0" b="0"/>
            <wp:wrapNone/>
            <wp:docPr id="5573499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349991" name=""/>
                    <pic:cNvPicPr/>
                  </pic:nvPicPr>
                  <pic:blipFill>
                    <a:blip r:embed="rId19">
                      <a:extLst>
                        <a:ext uri="{28A0092B-C50C-407E-A947-70E740481C1C}">
                          <a14:useLocalDpi xmlns:a14="http://schemas.microsoft.com/office/drawing/2010/main" val="0"/>
                        </a:ext>
                      </a:extLst>
                    </a:blip>
                    <a:stretch>
                      <a:fillRect/>
                    </a:stretch>
                  </pic:blipFill>
                  <pic:spPr>
                    <a:xfrm>
                      <a:off x="0" y="0"/>
                      <a:ext cx="5181600" cy="5362575"/>
                    </a:xfrm>
                    <a:prstGeom prst="rect">
                      <a:avLst/>
                    </a:prstGeom>
                  </pic:spPr>
                </pic:pic>
              </a:graphicData>
            </a:graphic>
            <wp14:sizeRelH relativeFrom="margin">
              <wp14:pctWidth>0</wp14:pctWidth>
            </wp14:sizeRelH>
            <wp14:sizeRelV relativeFrom="margin">
              <wp14:pctHeight>0</wp14:pctHeight>
            </wp14:sizeRelV>
          </wp:anchor>
        </w:drawing>
      </w:r>
    </w:p>
    <w:p w14:paraId="67FB8DCB" w14:textId="77777777" w:rsidR="00C55481" w:rsidRDefault="00C55481" w:rsidP="00441B6F">
      <w:pPr>
        <w:pStyle w:val="Body"/>
        <w:spacing w:after="0"/>
        <w:rPr>
          <w:rFonts w:ascii="Arial" w:hAnsi="Arial" w:cs="Arial"/>
        </w:rPr>
      </w:pPr>
    </w:p>
    <w:p w14:paraId="61A409C9" w14:textId="77777777" w:rsidR="00C55481" w:rsidRDefault="00C55481" w:rsidP="00441B6F">
      <w:pPr>
        <w:pStyle w:val="Body"/>
        <w:spacing w:after="0"/>
        <w:rPr>
          <w:rFonts w:ascii="Arial" w:hAnsi="Arial" w:cs="Arial"/>
        </w:rPr>
      </w:pPr>
    </w:p>
    <w:p w14:paraId="0052BFC2" w14:textId="77777777" w:rsidR="00C55481" w:rsidRDefault="00C55481" w:rsidP="00441B6F">
      <w:pPr>
        <w:pStyle w:val="Body"/>
        <w:spacing w:after="0"/>
        <w:rPr>
          <w:rFonts w:ascii="Arial" w:hAnsi="Arial" w:cs="Arial"/>
        </w:rPr>
      </w:pPr>
    </w:p>
    <w:p w14:paraId="6F306EDB" w14:textId="77777777" w:rsidR="00C55481" w:rsidRDefault="00C55481" w:rsidP="00441B6F">
      <w:pPr>
        <w:pStyle w:val="Body"/>
        <w:spacing w:after="0"/>
        <w:rPr>
          <w:rFonts w:ascii="Arial" w:hAnsi="Arial" w:cs="Arial"/>
        </w:rPr>
      </w:pPr>
    </w:p>
    <w:p w14:paraId="7ACE3B73" w14:textId="77777777" w:rsidR="00C55481" w:rsidRDefault="00C55481" w:rsidP="00441B6F">
      <w:pPr>
        <w:pStyle w:val="Body"/>
        <w:spacing w:after="0"/>
        <w:rPr>
          <w:rFonts w:ascii="Arial" w:hAnsi="Arial" w:cs="Arial"/>
        </w:rPr>
      </w:pPr>
    </w:p>
    <w:p w14:paraId="3734E2F4" w14:textId="77777777" w:rsidR="00C55481" w:rsidRDefault="00C55481" w:rsidP="00441B6F">
      <w:pPr>
        <w:pStyle w:val="Body"/>
        <w:spacing w:after="0"/>
        <w:rPr>
          <w:rFonts w:ascii="Arial" w:hAnsi="Arial" w:cs="Arial"/>
        </w:rPr>
      </w:pPr>
    </w:p>
    <w:p w14:paraId="0CBE53BF" w14:textId="77777777" w:rsidR="00C55481" w:rsidRDefault="00C55481" w:rsidP="00441B6F">
      <w:pPr>
        <w:pStyle w:val="Body"/>
        <w:spacing w:after="0"/>
        <w:rPr>
          <w:rFonts w:ascii="Arial" w:hAnsi="Arial" w:cs="Arial"/>
        </w:rPr>
      </w:pPr>
    </w:p>
    <w:p w14:paraId="6CF83377" w14:textId="77777777" w:rsidR="00C55481" w:rsidRDefault="00C55481" w:rsidP="00441B6F">
      <w:pPr>
        <w:pStyle w:val="Body"/>
        <w:spacing w:after="0"/>
        <w:rPr>
          <w:rFonts w:ascii="Arial" w:hAnsi="Arial" w:cs="Arial"/>
        </w:rPr>
      </w:pPr>
    </w:p>
    <w:p w14:paraId="6FBD68F1" w14:textId="77777777" w:rsidR="00C55481" w:rsidRDefault="00C55481" w:rsidP="00441B6F">
      <w:pPr>
        <w:pStyle w:val="Body"/>
        <w:spacing w:after="0"/>
        <w:rPr>
          <w:rFonts w:ascii="Arial" w:hAnsi="Arial" w:cs="Arial"/>
        </w:rPr>
      </w:pPr>
    </w:p>
    <w:p w14:paraId="1B2C9585" w14:textId="77777777" w:rsidR="00C55481" w:rsidRDefault="00C55481" w:rsidP="00441B6F">
      <w:pPr>
        <w:pStyle w:val="Body"/>
        <w:spacing w:after="0"/>
        <w:rPr>
          <w:rFonts w:ascii="Arial" w:hAnsi="Arial" w:cs="Arial"/>
        </w:rPr>
      </w:pPr>
    </w:p>
    <w:p w14:paraId="23E89F5C" w14:textId="77777777" w:rsidR="00C55481" w:rsidRDefault="00C55481" w:rsidP="00441B6F">
      <w:pPr>
        <w:pStyle w:val="Body"/>
        <w:spacing w:after="0"/>
        <w:rPr>
          <w:rFonts w:ascii="Arial" w:hAnsi="Arial" w:cs="Arial"/>
        </w:rPr>
      </w:pPr>
    </w:p>
    <w:p w14:paraId="5D340658" w14:textId="77777777" w:rsidR="00C55481" w:rsidRDefault="00C55481" w:rsidP="00441B6F">
      <w:pPr>
        <w:pStyle w:val="Body"/>
        <w:spacing w:after="0"/>
        <w:rPr>
          <w:rFonts w:ascii="Arial" w:hAnsi="Arial" w:cs="Arial"/>
        </w:rPr>
      </w:pPr>
    </w:p>
    <w:p w14:paraId="651BADE3" w14:textId="77777777" w:rsidR="00C55481" w:rsidRDefault="00C55481" w:rsidP="00441B6F">
      <w:pPr>
        <w:pStyle w:val="Body"/>
        <w:spacing w:after="0"/>
        <w:rPr>
          <w:rFonts w:ascii="Arial" w:hAnsi="Arial" w:cs="Arial"/>
        </w:rPr>
      </w:pPr>
    </w:p>
    <w:p w14:paraId="0651CDD6" w14:textId="77777777" w:rsidR="00C55481" w:rsidRDefault="00C55481" w:rsidP="00441B6F">
      <w:pPr>
        <w:pStyle w:val="Body"/>
        <w:spacing w:after="0"/>
        <w:rPr>
          <w:rFonts w:ascii="Arial" w:hAnsi="Arial" w:cs="Arial"/>
        </w:rPr>
      </w:pPr>
    </w:p>
    <w:p w14:paraId="2A3501A0" w14:textId="77777777" w:rsidR="00C55481" w:rsidRPr="00605645" w:rsidRDefault="00C55481" w:rsidP="00441B6F">
      <w:pPr>
        <w:pStyle w:val="Body"/>
        <w:spacing w:after="0"/>
        <w:rPr>
          <w:rFonts w:ascii="Arial" w:hAnsi="Arial" w:cs="Arial"/>
        </w:rPr>
      </w:pPr>
    </w:p>
    <w:p w14:paraId="71337F5B" w14:textId="77777777" w:rsidR="00F15A07" w:rsidRPr="00605645" w:rsidRDefault="00F15A07" w:rsidP="00441B6F">
      <w:pPr>
        <w:pStyle w:val="Body"/>
        <w:spacing w:after="0"/>
        <w:rPr>
          <w:rFonts w:ascii="Arial" w:hAnsi="Arial" w:cs="Arial"/>
        </w:rPr>
      </w:pPr>
    </w:p>
    <w:p w14:paraId="499FEA1B" w14:textId="77777777" w:rsidR="00F15A07" w:rsidRPr="00605645" w:rsidRDefault="00F15A07" w:rsidP="00441B6F">
      <w:pPr>
        <w:pStyle w:val="Body"/>
        <w:spacing w:after="0"/>
        <w:rPr>
          <w:rFonts w:ascii="Arial" w:hAnsi="Arial" w:cs="Arial"/>
        </w:rPr>
      </w:pPr>
    </w:p>
    <w:p w14:paraId="7A92585D" w14:textId="77777777" w:rsidR="00F15A07" w:rsidRDefault="00F15A07" w:rsidP="00441B6F">
      <w:pPr>
        <w:pStyle w:val="Body"/>
        <w:spacing w:after="0"/>
        <w:rPr>
          <w:rFonts w:ascii="Arial" w:hAnsi="Arial" w:cs="Arial"/>
        </w:rPr>
      </w:pPr>
    </w:p>
    <w:p w14:paraId="7B3F65ED" w14:textId="77777777" w:rsidR="00C55481" w:rsidRDefault="00C55481" w:rsidP="00441B6F">
      <w:pPr>
        <w:pStyle w:val="Body"/>
        <w:spacing w:after="0"/>
        <w:rPr>
          <w:rFonts w:ascii="Arial" w:hAnsi="Arial" w:cs="Arial"/>
        </w:rPr>
      </w:pPr>
    </w:p>
    <w:p w14:paraId="7113C231" w14:textId="77777777" w:rsidR="00C55481" w:rsidRDefault="00C55481" w:rsidP="00441B6F">
      <w:pPr>
        <w:pStyle w:val="Body"/>
        <w:spacing w:after="0"/>
        <w:rPr>
          <w:rFonts w:ascii="Arial" w:hAnsi="Arial" w:cs="Arial"/>
        </w:rPr>
      </w:pPr>
    </w:p>
    <w:p w14:paraId="4DC01E0D" w14:textId="77777777" w:rsidR="00C55481" w:rsidRDefault="00C55481" w:rsidP="00441B6F">
      <w:pPr>
        <w:pStyle w:val="Body"/>
        <w:spacing w:after="0"/>
        <w:rPr>
          <w:rFonts w:ascii="Arial" w:hAnsi="Arial" w:cs="Arial"/>
        </w:rPr>
      </w:pPr>
    </w:p>
    <w:p w14:paraId="22387865" w14:textId="77777777" w:rsidR="00C55481" w:rsidRDefault="00C55481" w:rsidP="00441B6F">
      <w:pPr>
        <w:pStyle w:val="Body"/>
        <w:spacing w:after="0"/>
        <w:rPr>
          <w:rFonts w:ascii="Arial" w:hAnsi="Arial" w:cs="Arial"/>
        </w:rPr>
      </w:pPr>
    </w:p>
    <w:p w14:paraId="690E8FFD" w14:textId="77777777" w:rsidR="00C55481" w:rsidRDefault="00C55481" w:rsidP="00441B6F">
      <w:pPr>
        <w:pStyle w:val="Body"/>
        <w:spacing w:after="0"/>
        <w:rPr>
          <w:rFonts w:ascii="Arial" w:hAnsi="Arial" w:cs="Arial"/>
        </w:rPr>
      </w:pPr>
    </w:p>
    <w:p w14:paraId="59505A85" w14:textId="77777777" w:rsidR="00C55481" w:rsidRDefault="00C55481" w:rsidP="00441B6F">
      <w:pPr>
        <w:pStyle w:val="Body"/>
        <w:spacing w:after="0"/>
        <w:rPr>
          <w:rFonts w:ascii="Arial" w:hAnsi="Arial" w:cs="Arial"/>
        </w:rPr>
      </w:pPr>
    </w:p>
    <w:p w14:paraId="429D49C4" w14:textId="77777777" w:rsidR="00C55481" w:rsidRDefault="00C55481" w:rsidP="00441B6F">
      <w:pPr>
        <w:pStyle w:val="Body"/>
        <w:spacing w:after="0"/>
        <w:rPr>
          <w:rFonts w:ascii="Arial" w:hAnsi="Arial" w:cs="Arial"/>
        </w:rPr>
      </w:pPr>
    </w:p>
    <w:p w14:paraId="58263E81" w14:textId="77777777" w:rsidR="00C55481" w:rsidRDefault="00C55481" w:rsidP="00441B6F">
      <w:pPr>
        <w:pStyle w:val="Body"/>
        <w:spacing w:after="0"/>
        <w:rPr>
          <w:rFonts w:ascii="Arial" w:hAnsi="Arial" w:cs="Arial"/>
        </w:rPr>
      </w:pPr>
    </w:p>
    <w:p w14:paraId="13A5E977" w14:textId="77777777" w:rsidR="00C55481" w:rsidRDefault="00C55481" w:rsidP="00441B6F">
      <w:pPr>
        <w:pStyle w:val="Body"/>
        <w:spacing w:after="0"/>
        <w:rPr>
          <w:rFonts w:ascii="Arial" w:hAnsi="Arial" w:cs="Arial"/>
        </w:rPr>
      </w:pPr>
    </w:p>
    <w:p w14:paraId="23843045" w14:textId="77777777" w:rsidR="00C55481" w:rsidRDefault="00C55481" w:rsidP="00441B6F">
      <w:pPr>
        <w:pStyle w:val="Body"/>
        <w:spacing w:after="0"/>
        <w:rPr>
          <w:rFonts w:ascii="Arial" w:hAnsi="Arial" w:cs="Arial"/>
        </w:rPr>
      </w:pPr>
    </w:p>
    <w:p w14:paraId="474B7E65" w14:textId="77777777" w:rsidR="00C55481" w:rsidRDefault="00C55481" w:rsidP="00441B6F">
      <w:pPr>
        <w:pStyle w:val="Body"/>
        <w:spacing w:after="0"/>
        <w:rPr>
          <w:rFonts w:ascii="Arial" w:hAnsi="Arial" w:cs="Arial"/>
        </w:rPr>
      </w:pPr>
    </w:p>
    <w:p w14:paraId="74B39A16" w14:textId="77777777" w:rsidR="00C55481" w:rsidRDefault="00C55481" w:rsidP="00441B6F">
      <w:pPr>
        <w:pStyle w:val="Body"/>
        <w:spacing w:after="0"/>
        <w:rPr>
          <w:rFonts w:ascii="Arial" w:hAnsi="Arial" w:cs="Arial"/>
        </w:rPr>
      </w:pPr>
    </w:p>
    <w:p w14:paraId="6847E111" w14:textId="77777777" w:rsidR="00C55481" w:rsidRDefault="00C55481" w:rsidP="00441B6F">
      <w:pPr>
        <w:pStyle w:val="Body"/>
        <w:spacing w:after="0"/>
        <w:rPr>
          <w:rFonts w:ascii="Arial" w:hAnsi="Arial" w:cs="Arial"/>
        </w:rPr>
      </w:pPr>
    </w:p>
    <w:p w14:paraId="634D8A75" w14:textId="77777777" w:rsidR="00C55481" w:rsidRDefault="00C55481" w:rsidP="00441B6F">
      <w:pPr>
        <w:pStyle w:val="Body"/>
        <w:spacing w:after="0"/>
        <w:rPr>
          <w:rFonts w:ascii="Arial" w:hAnsi="Arial" w:cs="Arial"/>
        </w:rPr>
      </w:pPr>
    </w:p>
    <w:p w14:paraId="3A2EA6AB" w14:textId="77777777" w:rsidR="00C55481" w:rsidRDefault="00C55481" w:rsidP="00441B6F">
      <w:pPr>
        <w:pStyle w:val="Body"/>
        <w:spacing w:after="0"/>
        <w:rPr>
          <w:rFonts w:ascii="Arial" w:hAnsi="Arial" w:cs="Arial"/>
        </w:rPr>
      </w:pPr>
    </w:p>
    <w:p w14:paraId="6D01ACB2" w14:textId="77777777" w:rsidR="00C55481" w:rsidRDefault="00C55481" w:rsidP="00441B6F">
      <w:pPr>
        <w:pStyle w:val="Body"/>
        <w:spacing w:after="0"/>
        <w:rPr>
          <w:rFonts w:ascii="Arial" w:hAnsi="Arial" w:cs="Arial"/>
        </w:rPr>
      </w:pPr>
    </w:p>
    <w:p w14:paraId="765C9C9F" w14:textId="77777777" w:rsidR="00C55481" w:rsidRPr="00605645" w:rsidRDefault="00C55481" w:rsidP="00441B6F">
      <w:pPr>
        <w:pStyle w:val="Body"/>
        <w:spacing w:after="0"/>
        <w:rPr>
          <w:rFonts w:ascii="Arial" w:hAnsi="Arial" w:cs="Arial"/>
        </w:rPr>
      </w:pPr>
    </w:p>
    <w:p w14:paraId="122FDF2B" w14:textId="77777777" w:rsidR="00F15A07" w:rsidRPr="00605645" w:rsidRDefault="00F15A07" w:rsidP="00441B6F">
      <w:pPr>
        <w:pStyle w:val="Body"/>
        <w:spacing w:after="0"/>
        <w:rPr>
          <w:rFonts w:ascii="Arial" w:hAnsi="Arial" w:cs="Arial"/>
        </w:rPr>
      </w:pPr>
    </w:p>
    <w:p w14:paraId="4A1AC8FA" w14:textId="77777777" w:rsidR="00F15A07" w:rsidRPr="00605645" w:rsidRDefault="00F15A07" w:rsidP="00441B6F">
      <w:pPr>
        <w:pStyle w:val="Body"/>
        <w:spacing w:after="0"/>
        <w:rPr>
          <w:rFonts w:ascii="Arial" w:hAnsi="Arial" w:cs="Arial"/>
        </w:rPr>
      </w:pPr>
    </w:p>
    <w:p w14:paraId="0F288238" w14:textId="34BA5658" w:rsidR="00F15A07" w:rsidRPr="00605645" w:rsidRDefault="00F15A07" w:rsidP="00F15A07">
      <w:pPr>
        <w:pStyle w:val="Body"/>
        <w:spacing w:after="0"/>
        <w:rPr>
          <w:rFonts w:ascii="Arial" w:hAnsi="Arial" w:cs="Arial"/>
          <w:b/>
          <w:bCs/>
        </w:rPr>
      </w:pPr>
      <w:r w:rsidRPr="00605645">
        <w:rPr>
          <w:rFonts w:ascii="Arial" w:hAnsi="Arial" w:cs="Arial"/>
          <w:b/>
          <w:bCs/>
        </w:rPr>
        <w:t>Fig</w:t>
      </w:r>
      <w:r w:rsidR="00A118F1" w:rsidRPr="00605645">
        <w:rPr>
          <w:rFonts w:ascii="Arial" w:hAnsi="Arial" w:cs="Arial"/>
          <w:b/>
          <w:bCs/>
        </w:rPr>
        <w:t>.</w:t>
      </w:r>
      <w:r w:rsidRPr="00605645">
        <w:rPr>
          <w:rFonts w:ascii="Arial" w:hAnsi="Arial" w:cs="Arial"/>
          <w:b/>
          <w:bCs/>
        </w:rPr>
        <w:t xml:space="preserve"> 4. Chromatographic profiles comparison of phenolic compounds in pulps of smooth Cayenne and MD2 pineapple cultivars revealed at 284 nm</w:t>
      </w:r>
    </w:p>
    <w:p w14:paraId="204FC4D4" w14:textId="20186A79" w:rsidR="00F15A07" w:rsidRPr="00605645" w:rsidRDefault="00F15A07" w:rsidP="00F15A07">
      <w:pPr>
        <w:pStyle w:val="Body"/>
        <w:spacing w:after="0"/>
        <w:rPr>
          <w:rFonts w:ascii="Arial" w:hAnsi="Arial" w:cs="Arial"/>
          <w:i/>
          <w:iCs/>
          <w:sz w:val="18"/>
          <w:szCs w:val="18"/>
        </w:rPr>
      </w:pPr>
      <w:r w:rsidRPr="00605645">
        <w:rPr>
          <w:rFonts w:ascii="Arial" w:hAnsi="Arial" w:cs="Arial"/>
          <w:i/>
          <w:iCs/>
          <w:sz w:val="18"/>
          <w:szCs w:val="18"/>
        </w:rPr>
        <w:t>1: arbutin (4.036 min); 2: gentisic acid (11.500 min); 3: quercitrin (11.832 min); 4: chlorogenic acid (12.167 min); 5: syringic acid (13.664 min); 6: epicatechin (14.168 min); 7: isoferulic acid (18.333 min); 8: o-coumaric acid (21,167 min); 9: rutin (23,834 min); 10: myricetin (32,294 min); 11: genistin (32,621 min); 12: gallic acid (7,412 min); 13: protocatechic acid (8,277 min); 14: genistein (9,963 min); 15: quercetin (28,645 min); 16: kaempferol (29,768 min); Treatment 1 (28 g K</w:t>
      </w:r>
      <w:r w:rsidRPr="00605645">
        <w:rPr>
          <w:rFonts w:ascii="Arial" w:hAnsi="Arial" w:cs="Arial"/>
          <w:i/>
          <w:iCs/>
          <w:sz w:val="18"/>
          <w:szCs w:val="18"/>
          <w:vertAlign w:val="subscript"/>
        </w:rPr>
        <w:t>2</w:t>
      </w:r>
      <w:r w:rsidRPr="00605645">
        <w:rPr>
          <w:rFonts w:ascii="Arial" w:hAnsi="Arial" w:cs="Arial"/>
          <w:i/>
          <w:iCs/>
          <w:sz w:val="18"/>
          <w:szCs w:val="18"/>
        </w:rPr>
        <w:t>O/plant); Treatment 2 (34 g K</w:t>
      </w:r>
      <w:r w:rsidRPr="00605645">
        <w:rPr>
          <w:rFonts w:ascii="Arial" w:hAnsi="Arial" w:cs="Arial"/>
          <w:i/>
          <w:iCs/>
          <w:sz w:val="18"/>
          <w:szCs w:val="18"/>
          <w:vertAlign w:val="subscript"/>
        </w:rPr>
        <w:t>2</w:t>
      </w:r>
      <w:r w:rsidRPr="00605645">
        <w:rPr>
          <w:rFonts w:ascii="Arial" w:hAnsi="Arial" w:cs="Arial"/>
          <w:i/>
          <w:iCs/>
          <w:sz w:val="18"/>
          <w:szCs w:val="18"/>
        </w:rPr>
        <w:t>O/plant); Treatment 3 (40 g K</w:t>
      </w:r>
      <w:r w:rsidRPr="00605645">
        <w:rPr>
          <w:rFonts w:ascii="Arial" w:hAnsi="Arial" w:cs="Arial"/>
          <w:i/>
          <w:iCs/>
          <w:sz w:val="18"/>
          <w:szCs w:val="18"/>
          <w:vertAlign w:val="subscript"/>
        </w:rPr>
        <w:t>2</w:t>
      </w:r>
      <w:r w:rsidRPr="00605645">
        <w:rPr>
          <w:rFonts w:ascii="Arial" w:hAnsi="Arial" w:cs="Arial"/>
          <w:i/>
          <w:iCs/>
          <w:sz w:val="18"/>
          <w:szCs w:val="18"/>
        </w:rPr>
        <w:t>O/plant).</w:t>
      </w:r>
    </w:p>
    <w:p w14:paraId="1C888C32" w14:textId="77777777" w:rsidR="00E053D0" w:rsidRPr="00605645" w:rsidRDefault="00E053D0" w:rsidP="00441B6F">
      <w:pPr>
        <w:pStyle w:val="Body"/>
        <w:spacing w:after="0"/>
        <w:rPr>
          <w:rFonts w:ascii="Arial" w:hAnsi="Arial" w:cs="Arial"/>
        </w:rPr>
      </w:pPr>
    </w:p>
    <w:p w14:paraId="0A6483E3" w14:textId="2B1F6AB7" w:rsidR="00B857C5" w:rsidRPr="00605645" w:rsidRDefault="00B857C5" w:rsidP="00B857C5">
      <w:pPr>
        <w:pStyle w:val="Head1"/>
        <w:spacing w:after="0"/>
        <w:jc w:val="both"/>
        <w:rPr>
          <w:rFonts w:ascii="Arial" w:hAnsi="Arial" w:cs="Arial"/>
        </w:rPr>
      </w:pPr>
      <w:r w:rsidRPr="00605645">
        <w:rPr>
          <w:rFonts w:ascii="Arial" w:hAnsi="Arial" w:cs="Arial"/>
        </w:rPr>
        <w:t>4. discussion</w:t>
      </w:r>
    </w:p>
    <w:p w14:paraId="6EE4178E" w14:textId="77777777" w:rsidR="00B857C5" w:rsidRPr="00605645" w:rsidRDefault="00B857C5" w:rsidP="00441B6F">
      <w:pPr>
        <w:pStyle w:val="Body"/>
        <w:spacing w:after="0"/>
        <w:rPr>
          <w:rFonts w:ascii="Arial" w:hAnsi="Arial" w:cs="Arial"/>
        </w:rPr>
      </w:pPr>
    </w:p>
    <w:p w14:paraId="6E900D3E" w14:textId="6E14E16B" w:rsidR="00F15A07" w:rsidRPr="00605645" w:rsidRDefault="00F15A07" w:rsidP="00F15A07">
      <w:pPr>
        <w:pStyle w:val="Body"/>
        <w:spacing w:after="0"/>
        <w:rPr>
          <w:rFonts w:ascii="Arial" w:hAnsi="Arial" w:cs="Arial"/>
        </w:rPr>
      </w:pPr>
      <w:r w:rsidRPr="00605645">
        <w:rPr>
          <w:rFonts w:ascii="Arial" w:hAnsi="Arial" w:cs="Arial"/>
        </w:rPr>
        <w:t xml:space="preserve">Analysis of the physico-chemical data shows that the severity of browning symptoms observed on the pulps is inversely proportional to the amount of potassium applied to the plants. However, browning was more intense in the smooth Cayenne variety than in the MD2 variety. This result shows that the smooth Cayenne variety is more susceptible to browning than MD2 variety (Stewart et al., 2002, </w:t>
      </w:r>
      <w:proofErr w:type="spellStart"/>
      <w:r w:rsidRPr="00605645">
        <w:rPr>
          <w:rFonts w:ascii="Arial" w:hAnsi="Arial" w:cs="Arial"/>
        </w:rPr>
        <w:t>Botondi</w:t>
      </w:r>
      <w:proofErr w:type="spellEnd"/>
      <w:r w:rsidRPr="00605645">
        <w:rPr>
          <w:rFonts w:ascii="Arial" w:hAnsi="Arial" w:cs="Arial"/>
        </w:rPr>
        <w:t xml:space="preserve"> et al., 2015; Coulibaly et al., 2019). Furthermore, symptoms of translucency and browning of the flesh are observed on the pulp of pineapple fruits from treatments T0 (20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and T1 (28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This seems to suggest that low concentrations of potassium cause damage to pineapple fruit, leading to physiological disorders, as reported by Teisson and Combres (1979) and Smith (1983). The dose of 28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usually used in pineapple cultivation in Côte d'Ivoire, remains insufficient to completely reduce pineapple browning. In contrast, pineapples treated with 34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/plant showed almost no symptoms of internal browning or translucency. This dose would therefore be ideal for reducing internal browning in pineapple. Indeed, at this dose, phenolic degradation enzymes polyphenoloxidase (PPO) and peroxidase (POD) have low activity, that's to say appear to be inhibited (Raimbault, 2011; Coulibaly et al., 2019). According to the work of Kouakou</w:t>
      </w:r>
      <w:r w:rsidR="00737385" w:rsidRPr="00605645">
        <w:rPr>
          <w:rFonts w:ascii="Arial" w:hAnsi="Arial" w:cs="Arial"/>
        </w:rPr>
        <w:t xml:space="preserve"> et al.</w:t>
      </w:r>
      <w:r w:rsidRPr="00605645">
        <w:rPr>
          <w:rFonts w:ascii="Arial" w:hAnsi="Arial" w:cs="Arial"/>
        </w:rPr>
        <w:t xml:space="preserve"> (2009), since phenolic</w:t>
      </w:r>
      <w:r w:rsidR="00737385" w:rsidRPr="00605645">
        <w:rPr>
          <w:rFonts w:ascii="Arial" w:hAnsi="Arial" w:cs="Arial"/>
        </w:rPr>
        <w:t xml:space="preserve"> </w:t>
      </w:r>
      <w:r w:rsidRPr="00605645">
        <w:rPr>
          <w:rFonts w:ascii="Arial" w:hAnsi="Arial" w:cs="Arial"/>
        </w:rPr>
        <w:t xml:space="preserve">acids are the preferred substrates for PPO and POD, the phenol-degrading enzymes responsible for internal </w:t>
      </w:r>
      <w:r w:rsidRPr="00605645">
        <w:rPr>
          <w:rFonts w:ascii="Arial" w:hAnsi="Arial" w:cs="Arial"/>
        </w:rPr>
        <w:lastRenderedPageBreak/>
        <w:t>browning, the reduction in these phenolic compounds seems to deprive these enzymes of the substrate and thus redouble browning. Thus, increasing potassium intake, which seems to suppress total phenol synthesis, would be a means of preventing fruit browning (Gomes et al., 2004). Furthermore, according to Raimbault (2011), the activity of PPO, a key browning enzyme, is higher in the smooth Cayenne variety than in MD2 pineapple. In addition, Stewart et al. (2001 and 2002) and Zhou et al. (2003) reported that PPO enzyme activity is spatially and temporally correlated with the development of internal browning symptoms in the smooth Cayenne variety, justifying the susceptibility of this variety compared with MD2.</w:t>
      </w:r>
    </w:p>
    <w:p w14:paraId="2759048D" w14:textId="24ACCD17" w:rsidR="00F15A07" w:rsidRPr="00605645" w:rsidRDefault="00F15A07" w:rsidP="00F15A07">
      <w:pPr>
        <w:pStyle w:val="Body"/>
        <w:spacing w:after="0"/>
        <w:rPr>
          <w:rFonts w:ascii="Arial" w:hAnsi="Arial" w:cs="Arial"/>
        </w:rPr>
      </w:pPr>
      <w:r w:rsidRPr="00605645">
        <w:rPr>
          <w:rFonts w:ascii="Arial" w:hAnsi="Arial" w:cs="Arial"/>
        </w:rPr>
        <w:t xml:space="preserve">The results of this study also showed that translucency symptoms were only observed in the pulp of pineapples of the smooth Cayenne variety that had received 28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and 34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/plant. These results suggest that pulp translucency precedes browning. Indeed, Soler's (1994 a, b) work showed that abiotic stresses such as exposure to cold, in the case of our study, would provoke vacuolar remodeling involving lysis or fusion of the vacuoles. These changes lead to an invasion of the intercellular spaces, resulting in translucent flesh. Then, contact between vacuolar phenols and PPOs or PODs as a result of the action of galactolipases, which hydrolyze monogalactosyl-diacylglycerol (a major thylakoid lipid), leads to browning of the affected areas (Matos et al., 2001).</w:t>
      </w:r>
    </w:p>
    <w:p w14:paraId="1D1066F9" w14:textId="77777777" w:rsidR="00F15A07" w:rsidRPr="00605645" w:rsidRDefault="00F15A07" w:rsidP="00F15A07">
      <w:pPr>
        <w:pStyle w:val="Body"/>
        <w:spacing w:after="0"/>
        <w:rPr>
          <w:rFonts w:ascii="Arial" w:hAnsi="Arial" w:cs="Arial"/>
        </w:rPr>
      </w:pPr>
      <w:r w:rsidRPr="00605645">
        <w:rPr>
          <w:rFonts w:ascii="Arial" w:hAnsi="Arial" w:cs="Arial"/>
        </w:rPr>
        <w:t>In contrast, our study showed a progressive decrease in browning symptoms as the applied concentration of potassium increased. This reduction in browning symptoms would indicate that potassium plays an important role in membrane resistance, making the fruit flesh firmer (PIP, 2009). In fact, the high concentration of potassium leads to an increase in intracellular potassium levels, which in turn may result in a decrease in vacuolar pH (Gomes et al., 2004). This intracellular condition complicates the pumping of protons, thus lowering membrane permeability and limiting vacuolar lysis and invasion of intercellular spaces.</w:t>
      </w:r>
    </w:p>
    <w:p w14:paraId="194B1874" w14:textId="7F8B84E4" w:rsidR="00F15A07" w:rsidRPr="00605645" w:rsidRDefault="00F15A07" w:rsidP="00F15A07">
      <w:pPr>
        <w:pStyle w:val="Body"/>
        <w:spacing w:after="0"/>
        <w:rPr>
          <w:rFonts w:ascii="Arial" w:hAnsi="Arial" w:cs="Arial"/>
        </w:rPr>
      </w:pPr>
      <w:r w:rsidRPr="00605645">
        <w:rPr>
          <w:rFonts w:ascii="Arial" w:hAnsi="Arial" w:cs="Arial"/>
        </w:rPr>
        <w:t>Regarding the study of phenolic markers of resistance to internal browning in pineapple, U-HPLC analysis of the fruit pulp from pineapples subjected to different potassium treatments in the field revealed the presence of many phenolic compounds in both varieties. The phenolic compounds identified in pineapple pulp belong to the phenolic acids and flavonoids groups (Yao et al., 2023). For both pineapple varieties, the results showed that fruits from the four types of treatment T0, T1, T2 and T3 all contained arbutin, gentisic acid, quercitrin acid, chlorogenic acid, syringic acid, epicatechin, isoferulic acid and o-coumaric acid. The presence of these compounds therefore appears to have no direct relationship with browning resistance in pineapple fruit. However, the synthesis of rutin, myricetin, genistin, gallic acid, protocatechic acid, genistein, quercetin and kaempferol induced by treatments T2 and T3 would appear to be linked to the control of fruit browning in pineapple. Indeed, these phenolic compounds synthesis seems to be inversely correlated with the development of internal browning symptoms observed on the fruit pulp. These results indicate that these phenolic compounds presence in pineapple fruit has a positive significance in the acquisition of pineapple fruit resistance to internal browning. The synthesis of these compounds would therefore be stimulated by an increase in the amount of potassium applied. Indeed, according to the work of Coulibaly et al. (2019), pineapple pulp browning decreases as the amount of potassium applied to the plants increases. The synthesis of myricetin, genistein and taxifolin observed in the MD2 pineapple control fruit in contrast to the smooth Cayenne variety would justify this variety's greater resistance to internal browning as reported by Raimbault (2011)</w:t>
      </w:r>
      <w:r w:rsidR="00374DBE" w:rsidRPr="00605645">
        <w:rPr>
          <w:rFonts w:ascii="Arial" w:hAnsi="Arial" w:cs="Arial"/>
        </w:rPr>
        <w:t xml:space="preserve"> and Kouadio et al. (2025)</w:t>
      </w:r>
      <w:r w:rsidRPr="00605645">
        <w:rPr>
          <w:rFonts w:ascii="Arial" w:hAnsi="Arial" w:cs="Arial"/>
        </w:rPr>
        <w:t>. The synthesis of these compounds, which are all flavonoids, seems to show that this group is not directly linked to the internal browning of pineapple fruit (Kouakou</w:t>
      </w:r>
      <w:r w:rsidR="00737385" w:rsidRPr="00605645">
        <w:rPr>
          <w:rFonts w:ascii="Arial" w:hAnsi="Arial" w:cs="Arial"/>
        </w:rPr>
        <w:t xml:space="preserve"> et al.,</w:t>
      </w:r>
      <w:r w:rsidRPr="00605645">
        <w:rPr>
          <w:rFonts w:ascii="Arial" w:hAnsi="Arial" w:cs="Arial"/>
        </w:rPr>
        <w:t xml:space="preserve"> 2009). Indeed, unlike phenolic acids, flavonoids are not the preferred substrates for PPOs. Thus, their biosynthesis and increased levels in the fruit pulp promote resistance to internal browning, as reported by Kouakou </w:t>
      </w:r>
      <w:r w:rsidR="00737385" w:rsidRPr="00605645">
        <w:rPr>
          <w:rFonts w:ascii="Arial" w:hAnsi="Arial" w:cs="Arial"/>
        </w:rPr>
        <w:t xml:space="preserve">et al., </w:t>
      </w:r>
      <w:r w:rsidRPr="00605645">
        <w:rPr>
          <w:rFonts w:ascii="Arial" w:hAnsi="Arial" w:cs="Arial"/>
        </w:rPr>
        <w:t xml:space="preserve">(2009). The presence of flavonoids (genistin, taxifolin, epicatechin, quercitrin, kaempferol and myricetin) in fruit from the T3 treatment (40 g </w:t>
      </w:r>
      <w:r w:rsidR="00374DBE" w:rsidRPr="00605645">
        <w:rPr>
          <w:rFonts w:ascii="Arial" w:hAnsi="Arial" w:cs="Arial"/>
        </w:rPr>
        <w:t>K</w:t>
      </w:r>
      <w:r w:rsidR="00374DBE" w:rsidRPr="00605645">
        <w:rPr>
          <w:rFonts w:ascii="Arial" w:hAnsi="Arial" w:cs="Arial"/>
          <w:vertAlign w:val="subscript"/>
        </w:rPr>
        <w:t>2</w:t>
      </w:r>
      <w:r w:rsidR="00374DBE" w:rsidRPr="00605645">
        <w:rPr>
          <w:rFonts w:ascii="Arial" w:hAnsi="Arial" w:cs="Arial"/>
        </w:rPr>
        <w:t>O</w:t>
      </w:r>
      <w:r w:rsidRPr="00605645">
        <w:rPr>
          <w:rFonts w:ascii="Arial" w:hAnsi="Arial" w:cs="Arial"/>
        </w:rPr>
        <w:t xml:space="preserve">/plant) in each variety, and their total absence in the more sensitive smooth Cayenne control fruit, shows that resistance to internal browning in pineapple pulp is also reflected in the acceleration of phenolic biosynthesis. Indeed, </w:t>
      </w:r>
      <w:r w:rsidRPr="00605645">
        <w:rPr>
          <w:rFonts w:ascii="Arial" w:hAnsi="Arial" w:cs="Arial"/>
        </w:rPr>
        <w:lastRenderedPageBreak/>
        <w:t>flavonoids being considered as end compounds in the polyphenol synthesis chain, their presence shows that the polyphenol biosynthesis mechanism in T3 treatment fruits has come to an end (Yapo, 2013). It has also been shown that metabolizable sugars such as sucrose are necessary for polyphenol biosynthesis (</w:t>
      </w:r>
      <w:bookmarkStart w:id="1" w:name="_Hlk197462746"/>
      <w:r w:rsidRPr="00605645">
        <w:rPr>
          <w:rFonts w:ascii="Arial" w:hAnsi="Arial" w:cs="Arial"/>
        </w:rPr>
        <w:t>Larronde et al., 1998</w:t>
      </w:r>
      <w:bookmarkEnd w:id="1"/>
      <w:r w:rsidRPr="00605645">
        <w:rPr>
          <w:rFonts w:ascii="Arial" w:hAnsi="Arial" w:cs="Arial"/>
        </w:rPr>
        <w:t>). This could also explain the rapid synthesis of phenolic compounds in fruits of the MD2 variety, which is richer in sugar than smooth Cayenne pineapple (Yapo, 2013). On the other hand, the absence of isoferulic acid and o-coumaric acid in fruits from treatments T2 and T3 in MD2 pineapple would indicate that these compounds are the preferred substrates for oxidation enzymes (PPO and POD).</w:t>
      </w:r>
    </w:p>
    <w:p w14:paraId="78B16A55" w14:textId="70F5E43E" w:rsidR="00B857C5" w:rsidRPr="00605645" w:rsidRDefault="00F15A07" w:rsidP="00F15A07">
      <w:pPr>
        <w:pStyle w:val="Body"/>
        <w:spacing w:after="0"/>
        <w:rPr>
          <w:rFonts w:ascii="Arial" w:hAnsi="Arial" w:cs="Arial"/>
        </w:rPr>
      </w:pPr>
      <w:r w:rsidRPr="00605645">
        <w:rPr>
          <w:rFonts w:ascii="Arial" w:hAnsi="Arial" w:cs="Arial"/>
        </w:rPr>
        <w:t xml:space="preserve">Furthermore, the decrease in peak amplitude observed in chromatographic profiles with increasing potassium levels is positively correlated with the decrease in phenolic compound content (mainly phenolic acids). Potassium therefore seems to repress the synthesis of phenolic acids, which are directly linked to browning. Indeed, according to </w:t>
      </w:r>
      <w:proofErr w:type="spellStart"/>
      <w:r w:rsidRPr="00605645">
        <w:rPr>
          <w:rFonts w:ascii="Arial" w:hAnsi="Arial" w:cs="Arial"/>
        </w:rPr>
        <w:t>Naoumkina</w:t>
      </w:r>
      <w:proofErr w:type="spellEnd"/>
      <w:r w:rsidRPr="00605645">
        <w:rPr>
          <w:rFonts w:ascii="Arial" w:hAnsi="Arial" w:cs="Arial"/>
        </w:rPr>
        <w:t xml:space="preserve"> et al. (2010), the initial products of phenolic biosynthesis, such as erythrose-4-phosphate and phosphoenolpyruvate, derived from glucose degradation, could be inhibited by potassium.</w:t>
      </w:r>
    </w:p>
    <w:p w14:paraId="3D772A0A" w14:textId="77777777" w:rsidR="00790ADA" w:rsidRPr="00605645" w:rsidRDefault="00790ADA" w:rsidP="00441B6F">
      <w:pPr>
        <w:pStyle w:val="Body"/>
        <w:spacing w:after="0"/>
        <w:rPr>
          <w:rFonts w:ascii="Arial" w:hAnsi="Arial" w:cs="Arial"/>
        </w:rPr>
      </w:pPr>
    </w:p>
    <w:p w14:paraId="1F948D3D" w14:textId="151DEA20" w:rsidR="00B01FCD" w:rsidRPr="00605645" w:rsidRDefault="00B857C5" w:rsidP="00441B6F">
      <w:pPr>
        <w:pStyle w:val="ConcHead"/>
        <w:spacing w:after="0"/>
        <w:jc w:val="both"/>
        <w:rPr>
          <w:rFonts w:ascii="Arial" w:hAnsi="Arial" w:cs="Arial"/>
        </w:rPr>
      </w:pPr>
      <w:r w:rsidRPr="00605645">
        <w:rPr>
          <w:rFonts w:ascii="Arial" w:hAnsi="Arial" w:cs="Arial"/>
        </w:rPr>
        <w:t>5</w:t>
      </w:r>
      <w:r w:rsidR="00000F8F" w:rsidRPr="00605645">
        <w:rPr>
          <w:rFonts w:ascii="Arial" w:hAnsi="Arial" w:cs="Arial"/>
        </w:rPr>
        <w:t xml:space="preserve">. </w:t>
      </w:r>
      <w:r w:rsidR="00B01FCD" w:rsidRPr="00605645">
        <w:rPr>
          <w:rFonts w:ascii="Arial" w:hAnsi="Arial" w:cs="Arial"/>
        </w:rPr>
        <w:t>Conclusion</w:t>
      </w:r>
    </w:p>
    <w:p w14:paraId="20FB1B34" w14:textId="77777777" w:rsidR="00790ADA" w:rsidRPr="00605645" w:rsidRDefault="00790ADA" w:rsidP="00441B6F">
      <w:pPr>
        <w:pStyle w:val="ConcHead"/>
        <w:spacing w:after="0"/>
        <w:jc w:val="both"/>
        <w:rPr>
          <w:rFonts w:ascii="Arial" w:hAnsi="Arial" w:cs="Arial"/>
        </w:rPr>
      </w:pPr>
    </w:p>
    <w:p w14:paraId="5C4F5CA6" w14:textId="55090B6F" w:rsidR="00B01FCD" w:rsidRPr="00605645" w:rsidRDefault="00F15A07" w:rsidP="00441B6F">
      <w:pPr>
        <w:pStyle w:val="Body"/>
        <w:spacing w:after="0"/>
        <w:rPr>
          <w:rFonts w:ascii="Arial" w:hAnsi="Arial" w:cs="Arial"/>
        </w:rPr>
      </w:pPr>
      <w:r w:rsidRPr="00605645">
        <w:rPr>
          <w:rFonts w:ascii="Arial" w:hAnsi="Arial" w:cs="Arial"/>
        </w:rPr>
        <w:t>This study highlighted the positive impact of potassium fertilization on reducing internal browning in pineapple fruit, particularly in the smooth Cayenne variety, which is more sensitive to this physiological disorder. The application of 34 g K</w:t>
      </w:r>
      <w:r w:rsidRPr="00605645">
        <w:rPr>
          <w:rFonts w:ascii="Cambria Math" w:hAnsi="Cambria Math" w:cs="Cambria Math"/>
        </w:rPr>
        <w:t>₂</w:t>
      </w:r>
      <w:r w:rsidRPr="00605645">
        <w:rPr>
          <w:rFonts w:ascii="Arial" w:hAnsi="Arial" w:cs="Arial"/>
        </w:rPr>
        <w:t>O/plant proved optimal for mitigating this phenomenon, by promoting the accumulation of specific phenolic compounds (rutin, myricetin, genistin, gallic acid, protocatechic acid, genistein, quercetin and kaempferol), identified as potential markers of resistance to browning. These results suggest that optimizing potassium intake is a promising agronomic strategy for improving post-harvest pineapple quality and reducing economic losses associated with internal browning. Further studies on the enzymatic mechanisms involved in internal browning will allow us to refine these recommendations and optimize post-harvest fruit management.</w:t>
      </w:r>
    </w:p>
    <w:p w14:paraId="2E142F36" w14:textId="77777777" w:rsidR="00376749" w:rsidRPr="00605645" w:rsidRDefault="00376749" w:rsidP="00441B6F">
      <w:pPr>
        <w:pStyle w:val="Body"/>
        <w:spacing w:after="0"/>
        <w:rPr>
          <w:rFonts w:ascii="Arial" w:hAnsi="Arial" w:cs="Arial"/>
        </w:rPr>
      </w:pPr>
    </w:p>
    <w:p w14:paraId="6D0C3967" w14:textId="5E99AF7D" w:rsidR="00376749" w:rsidRPr="00605645" w:rsidRDefault="00376749" w:rsidP="00376749">
      <w:pPr>
        <w:pStyle w:val="AcknHead"/>
        <w:spacing w:after="0"/>
        <w:jc w:val="both"/>
        <w:rPr>
          <w:rFonts w:ascii="Arial" w:hAnsi="Arial" w:cs="Arial"/>
        </w:rPr>
      </w:pPr>
      <w:r w:rsidRPr="00605645">
        <w:rPr>
          <w:rFonts w:ascii="Arial" w:hAnsi="Arial" w:cs="Arial"/>
        </w:rPr>
        <w:t>DISCLAIMER (ARTIFICIAL INTELLIGENCE)</w:t>
      </w:r>
    </w:p>
    <w:p w14:paraId="09030D06" w14:textId="77777777" w:rsidR="00376749" w:rsidRPr="00605645" w:rsidRDefault="00376749" w:rsidP="00376749">
      <w:pPr>
        <w:pStyle w:val="AcknHead"/>
        <w:spacing w:after="0"/>
        <w:jc w:val="both"/>
        <w:rPr>
          <w:rFonts w:ascii="Arial" w:hAnsi="Arial" w:cs="Arial"/>
        </w:rPr>
      </w:pPr>
    </w:p>
    <w:p w14:paraId="3A8DB7BF" w14:textId="19B00241" w:rsidR="00376749" w:rsidRPr="00605645" w:rsidRDefault="00376749" w:rsidP="00376749">
      <w:pPr>
        <w:pStyle w:val="Body"/>
        <w:spacing w:after="0"/>
        <w:rPr>
          <w:rFonts w:ascii="Arial" w:hAnsi="Arial" w:cs="Arial"/>
        </w:rPr>
      </w:pPr>
      <w:r w:rsidRPr="00605645">
        <w:t xml:space="preserve">Author(s) hereby </w:t>
      </w:r>
      <w:proofErr w:type="gramStart"/>
      <w:r w:rsidRPr="00605645">
        <w:t>declare</w:t>
      </w:r>
      <w:proofErr w:type="gramEnd"/>
      <w:r w:rsidRPr="00605645">
        <w:t xml:space="preserve"> that no generative AI technologies such as Large Language Models (ChatGPT, COPILOT, </w:t>
      </w:r>
      <w:proofErr w:type="spellStart"/>
      <w:r w:rsidRPr="00605645">
        <w:t>etc</w:t>
      </w:r>
      <w:proofErr w:type="spellEnd"/>
      <w:r w:rsidRPr="00605645">
        <w:t>) and text-to-image generators have been used during writing or editing of this manuscript</w:t>
      </w:r>
      <w:r w:rsidRPr="00605645">
        <w:rPr>
          <w:rFonts w:ascii="Arial" w:hAnsi="Arial" w:cs="Arial"/>
        </w:rPr>
        <w:t>.</w:t>
      </w:r>
    </w:p>
    <w:p w14:paraId="6BA2466F" w14:textId="77777777" w:rsidR="00790ADA" w:rsidRPr="00605645" w:rsidRDefault="00790ADA" w:rsidP="00441B6F">
      <w:pPr>
        <w:pStyle w:val="Body"/>
        <w:spacing w:after="0"/>
        <w:rPr>
          <w:rFonts w:ascii="Arial" w:hAnsi="Arial" w:cs="Arial"/>
        </w:rPr>
      </w:pPr>
    </w:p>
    <w:p w14:paraId="0F7F211C" w14:textId="77777777" w:rsidR="002B685A" w:rsidRDefault="002B685A" w:rsidP="00441B6F">
      <w:pPr>
        <w:pStyle w:val="ReferHead"/>
        <w:spacing w:after="0"/>
        <w:jc w:val="both"/>
        <w:rPr>
          <w:rFonts w:ascii="Arial" w:hAnsi="Arial" w:cs="Arial"/>
          <w:b w:val="0"/>
          <w:caps w:val="0"/>
          <w:sz w:val="20"/>
        </w:rPr>
      </w:pPr>
    </w:p>
    <w:p w14:paraId="2502BF19" w14:textId="77777777" w:rsidR="00E33F83" w:rsidRPr="00605645" w:rsidRDefault="00E33F83" w:rsidP="00441B6F">
      <w:pPr>
        <w:pStyle w:val="ReferHead"/>
        <w:spacing w:after="0"/>
        <w:jc w:val="both"/>
        <w:rPr>
          <w:rFonts w:ascii="Arial" w:hAnsi="Arial" w:cs="Arial"/>
          <w:b w:val="0"/>
          <w:caps w:val="0"/>
          <w:sz w:val="20"/>
        </w:rPr>
      </w:pPr>
    </w:p>
    <w:p w14:paraId="79C6CE23" w14:textId="77777777" w:rsidR="00B01FCD" w:rsidRPr="00605645" w:rsidRDefault="00B01FCD" w:rsidP="00441B6F">
      <w:pPr>
        <w:pStyle w:val="ReferHead"/>
        <w:spacing w:after="0"/>
        <w:jc w:val="both"/>
        <w:rPr>
          <w:rFonts w:ascii="Arial" w:hAnsi="Arial" w:cs="Arial"/>
        </w:rPr>
      </w:pPr>
      <w:r w:rsidRPr="00605645">
        <w:rPr>
          <w:rFonts w:ascii="Arial" w:hAnsi="Arial" w:cs="Arial"/>
        </w:rPr>
        <w:t>References</w:t>
      </w:r>
    </w:p>
    <w:p w14:paraId="5ADEFBD1" w14:textId="77777777" w:rsidR="00790ADA" w:rsidRPr="00605645" w:rsidRDefault="00790ADA" w:rsidP="00441B6F">
      <w:pPr>
        <w:pStyle w:val="ReferHead"/>
        <w:spacing w:after="0"/>
        <w:jc w:val="both"/>
        <w:rPr>
          <w:rFonts w:ascii="Arial" w:hAnsi="Arial" w:cs="Arial"/>
        </w:rPr>
      </w:pPr>
    </w:p>
    <w:p w14:paraId="1D259551" w14:textId="77777777" w:rsidR="0038198A" w:rsidRPr="0038198A" w:rsidRDefault="0038198A" w:rsidP="0038198A">
      <w:pPr>
        <w:ind w:left="851" w:hanging="851"/>
        <w:jc w:val="both"/>
        <w:rPr>
          <w:rFonts w:ascii="Arial" w:hAnsi="Arial" w:cs="Arial"/>
        </w:rPr>
      </w:pPr>
      <w:r w:rsidRPr="0038198A">
        <w:rPr>
          <w:rFonts w:ascii="Arial" w:hAnsi="Arial" w:cs="Arial"/>
        </w:rPr>
        <w:t>Antonio, G.S., Luiz, C.T., Neid, B., &amp; Luis, F.S. (2005). Reduction of internal Browning of pineapple fruit (Ananas comosus L.) by preharvest soil application of potassium. Postharvest Biology and Technology, 35, 201-207.</w:t>
      </w:r>
    </w:p>
    <w:p w14:paraId="45DDFFD8" w14:textId="77777777" w:rsidR="0038198A" w:rsidRPr="0038198A" w:rsidRDefault="0038198A" w:rsidP="0038198A">
      <w:pPr>
        <w:ind w:left="851" w:hanging="851"/>
        <w:jc w:val="both"/>
        <w:rPr>
          <w:rFonts w:ascii="Arial" w:hAnsi="Arial" w:cs="Arial"/>
        </w:rPr>
      </w:pPr>
      <w:r w:rsidRPr="0038198A">
        <w:rPr>
          <w:rFonts w:ascii="Arial" w:hAnsi="Arial" w:cs="Arial"/>
        </w:rPr>
        <w:t xml:space="preserve">Belhadj, A., </w:t>
      </w:r>
      <w:proofErr w:type="spellStart"/>
      <w:r w:rsidRPr="0038198A">
        <w:rPr>
          <w:rFonts w:ascii="Arial" w:hAnsi="Arial" w:cs="Arial"/>
        </w:rPr>
        <w:t>Telef</w:t>
      </w:r>
      <w:proofErr w:type="spellEnd"/>
      <w:r w:rsidRPr="0038198A">
        <w:rPr>
          <w:rFonts w:ascii="Arial" w:hAnsi="Arial" w:cs="Arial"/>
        </w:rPr>
        <w:t xml:space="preserve">, N., </w:t>
      </w:r>
      <w:proofErr w:type="spellStart"/>
      <w:r w:rsidRPr="0038198A">
        <w:rPr>
          <w:rFonts w:ascii="Arial" w:hAnsi="Arial" w:cs="Arial"/>
        </w:rPr>
        <w:t>Saigne</w:t>
      </w:r>
      <w:proofErr w:type="spellEnd"/>
      <w:r w:rsidRPr="0038198A">
        <w:rPr>
          <w:rFonts w:ascii="Arial" w:hAnsi="Arial" w:cs="Arial"/>
        </w:rPr>
        <w:t xml:space="preserve">, C., Cluzet, S., </w:t>
      </w:r>
      <w:proofErr w:type="spellStart"/>
      <w:r w:rsidRPr="0038198A">
        <w:rPr>
          <w:rFonts w:ascii="Arial" w:hAnsi="Arial" w:cs="Arial"/>
        </w:rPr>
        <w:t>Barrieu</w:t>
      </w:r>
      <w:proofErr w:type="spellEnd"/>
      <w:r w:rsidRPr="0038198A">
        <w:rPr>
          <w:rFonts w:ascii="Arial" w:hAnsi="Arial" w:cs="Arial"/>
        </w:rPr>
        <w:t xml:space="preserve">, F., &amp; Hamdi, S. (2008). Effect of methyl </w:t>
      </w:r>
      <w:proofErr w:type="spellStart"/>
      <w:r w:rsidRPr="0038198A">
        <w:rPr>
          <w:rFonts w:ascii="Arial" w:hAnsi="Arial" w:cs="Arial"/>
        </w:rPr>
        <w:t>jasmonate</w:t>
      </w:r>
      <w:proofErr w:type="spellEnd"/>
      <w:r w:rsidRPr="0038198A">
        <w:rPr>
          <w:rFonts w:ascii="Arial" w:hAnsi="Arial" w:cs="Arial"/>
        </w:rPr>
        <w:t xml:space="preserve"> in combination with carbohydrates on gene expression of PR proteins, stilbene and anthocyanin accumulation in grapevine cell cultures. Plant Physiology and Biochemistry, 46(4), 493 – 499.</w:t>
      </w:r>
    </w:p>
    <w:p w14:paraId="70ACDCE1" w14:textId="77777777" w:rsidR="0038198A" w:rsidRPr="0038198A" w:rsidRDefault="0038198A" w:rsidP="0038198A">
      <w:pPr>
        <w:ind w:left="851" w:hanging="851"/>
        <w:jc w:val="both"/>
        <w:rPr>
          <w:rFonts w:ascii="Arial" w:hAnsi="Arial" w:cs="Arial"/>
        </w:rPr>
      </w:pPr>
      <w:proofErr w:type="spellStart"/>
      <w:r w:rsidRPr="0038198A">
        <w:rPr>
          <w:rFonts w:ascii="Arial" w:hAnsi="Arial" w:cs="Arial"/>
        </w:rPr>
        <w:t>Belfakih</w:t>
      </w:r>
      <w:proofErr w:type="spellEnd"/>
      <w:r w:rsidRPr="0038198A">
        <w:rPr>
          <w:rFonts w:ascii="Arial" w:hAnsi="Arial" w:cs="Arial"/>
        </w:rPr>
        <w:t xml:space="preserve">, M., Ibriz, M., </w:t>
      </w:r>
      <w:proofErr w:type="spellStart"/>
      <w:r w:rsidRPr="0038198A">
        <w:rPr>
          <w:rFonts w:ascii="Arial" w:hAnsi="Arial" w:cs="Arial"/>
        </w:rPr>
        <w:t>Zouahri</w:t>
      </w:r>
      <w:proofErr w:type="spellEnd"/>
      <w:r w:rsidRPr="0038198A">
        <w:rPr>
          <w:rFonts w:ascii="Arial" w:hAnsi="Arial" w:cs="Arial"/>
        </w:rPr>
        <w:t>, A., &amp; Hilali, S. (2013). Effect of salinity on the growth of two banana varieties “</w:t>
      </w:r>
      <w:proofErr w:type="spellStart"/>
      <w:r w:rsidRPr="0038198A">
        <w:rPr>
          <w:rFonts w:ascii="Arial" w:hAnsi="Arial" w:cs="Arial"/>
        </w:rPr>
        <w:t>grande</w:t>
      </w:r>
      <w:proofErr w:type="spellEnd"/>
      <w:r w:rsidRPr="0038198A">
        <w:rPr>
          <w:rFonts w:ascii="Arial" w:hAnsi="Arial" w:cs="Arial"/>
        </w:rPr>
        <w:t xml:space="preserve"> </w:t>
      </w:r>
      <w:proofErr w:type="spellStart"/>
      <w:r w:rsidRPr="0038198A">
        <w:rPr>
          <w:rFonts w:ascii="Arial" w:hAnsi="Arial" w:cs="Arial"/>
        </w:rPr>
        <w:t>naine</w:t>
      </w:r>
      <w:proofErr w:type="spellEnd"/>
      <w:r w:rsidRPr="0038198A">
        <w:rPr>
          <w:rFonts w:ascii="Arial" w:hAnsi="Arial" w:cs="Arial"/>
        </w:rPr>
        <w:t xml:space="preserve">” and “petite </w:t>
      </w:r>
      <w:proofErr w:type="spellStart"/>
      <w:r w:rsidRPr="0038198A">
        <w:rPr>
          <w:rFonts w:ascii="Arial" w:hAnsi="Arial" w:cs="Arial"/>
        </w:rPr>
        <w:t>naine</w:t>
      </w:r>
      <w:proofErr w:type="spellEnd"/>
      <w:r w:rsidRPr="0038198A">
        <w:rPr>
          <w:rFonts w:ascii="Arial" w:hAnsi="Arial" w:cs="Arial"/>
        </w:rPr>
        <w:t>” and their mineral nutrition in Morocco. Journal of Applied Biosciences, 63, 4689–4702.</w:t>
      </w:r>
    </w:p>
    <w:p w14:paraId="32A294A8" w14:textId="77777777" w:rsidR="0038198A" w:rsidRPr="0038198A" w:rsidRDefault="0038198A" w:rsidP="0038198A">
      <w:pPr>
        <w:ind w:left="851" w:hanging="851"/>
        <w:jc w:val="both"/>
        <w:rPr>
          <w:rFonts w:ascii="Arial" w:hAnsi="Arial" w:cs="Arial"/>
        </w:rPr>
      </w:pPr>
      <w:proofErr w:type="spellStart"/>
      <w:r w:rsidRPr="0038198A">
        <w:rPr>
          <w:rFonts w:ascii="Arial" w:hAnsi="Arial" w:cs="Arial"/>
        </w:rPr>
        <w:t>Botondi</w:t>
      </w:r>
      <w:proofErr w:type="spellEnd"/>
      <w:r w:rsidRPr="0038198A">
        <w:rPr>
          <w:rFonts w:ascii="Arial" w:hAnsi="Arial" w:cs="Arial"/>
        </w:rPr>
        <w:t xml:space="preserve">, R., De Sanctis, F., Moscatelli, N., &amp; </w:t>
      </w:r>
      <w:proofErr w:type="spellStart"/>
      <w:r w:rsidRPr="0038198A">
        <w:rPr>
          <w:rFonts w:ascii="Arial" w:hAnsi="Arial" w:cs="Arial"/>
        </w:rPr>
        <w:t>Bellincontro</w:t>
      </w:r>
      <w:proofErr w:type="spellEnd"/>
      <w:r w:rsidRPr="0038198A">
        <w:rPr>
          <w:rFonts w:ascii="Arial" w:hAnsi="Arial" w:cs="Arial"/>
        </w:rPr>
        <w:t>, A. (2015). Effect of variety and maturity stage on internal browning of pineapple (Ananas comosus L.) under controlled atmosphere storage. Journal of Agricultural and Food Chemistry, 63(21), 5287–5294.</w:t>
      </w:r>
    </w:p>
    <w:p w14:paraId="222DC0AF" w14:textId="77777777" w:rsidR="0038198A" w:rsidRPr="0038198A" w:rsidRDefault="0038198A" w:rsidP="0038198A">
      <w:pPr>
        <w:ind w:left="851" w:hanging="851"/>
        <w:jc w:val="both"/>
        <w:rPr>
          <w:rFonts w:ascii="Arial" w:hAnsi="Arial" w:cs="Arial"/>
        </w:rPr>
      </w:pPr>
      <w:r w:rsidRPr="0038198A">
        <w:rPr>
          <w:rFonts w:ascii="Arial" w:hAnsi="Arial" w:cs="Arial"/>
        </w:rPr>
        <w:lastRenderedPageBreak/>
        <w:t>Coulibaly, S., Yapo, E. S., Kouadio, O. K. S., Tuo, S., &amp; Kouakou, T. H. (2017). Modulation of Phenolic Metabolism Under the Effect of Storage Time and Temperature During Postharvest Preservation of Pineapple (Ananas Comosus L. Merrill). Journal of Agriculture and Food Technology, 7(9), 1-9.</w:t>
      </w:r>
    </w:p>
    <w:p w14:paraId="5045B045" w14:textId="77777777" w:rsidR="0038198A" w:rsidRPr="0038198A" w:rsidRDefault="0038198A" w:rsidP="0038198A">
      <w:pPr>
        <w:ind w:left="851" w:hanging="851"/>
        <w:jc w:val="both"/>
        <w:rPr>
          <w:rFonts w:ascii="Arial" w:hAnsi="Arial" w:cs="Arial"/>
        </w:rPr>
      </w:pPr>
      <w:r w:rsidRPr="0038198A">
        <w:rPr>
          <w:rFonts w:ascii="Arial" w:hAnsi="Arial" w:cs="Arial"/>
        </w:rPr>
        <w:t>Coulibaly, S., Yapo, S. E. S., N’cho, A. L., Kouadio, O. K. S., &amp; Kouakou, T. H. (2019). Effects of Potassium Fertilization for Pineapple on Internal Browning of Fruit in Post-Harvest Conservation. Journal of Agriculture and Crops, 5(6), 100-108.</w:t>
      </w:r>
    </w:p>
    <w:p w14:paraId="1C8837D6" w14:textId="77777777" w:rsidR="0038198A" w:rsidRPr="0038198A" w:rsidRDefault="0038198A" w:rsidP="0038198A">
      <w:pPr>
        <w:ind w:left="851" w:hanging="851"/>
        <w:jc w:val="both"/>
        <w:rPr>
          <w:rFonts w:ascii="Arial" w:hAnsi="Arial" w:cs="Arial"/>
        </w:rPr>
      </w:pPr>
      <w:proofErr w:type="spellStart"/>
      <w:r w:rsidRPr="0038198A">
        <w:rPr>
          <w:rFonts w:ascii="Arial" w:hAnsi="Arial" w:cs="Arial"/>
        </w:rPr>
        <w:t>Assocle</w:t>
      </w:r>
      <w:proofErr w:type="spellEnd"/>
      <w:r w:rsidRPr="0038198A">
        <w:rPr>
          <w:rFonts w:ascii="Arial" w:hAnsi="Arial" w:cs="Arial"/>
        </w:rPr>
        <w:t>, S. (2024). Côte d'Ivoire: Second consecutive year of decline in pineapple exports in 2024. https://www.agenceecofin.com/actualites-agro/2101-125100-cote-d-ivoire-deuxieme-annee-de-baisse-consecutive-des-exportations-d-ananas-en-2024</w:t>
      </w:r>
    </w:p>
    <w:p w14:paraId="30D2CE61" w14:textId="77777777" w:rsidR="0038198A" w:rsidRPr="0038198A" w:rsidRDefault="0038198A" w:rsidP="0038198A">
      <w:pPr>
        <w:ind w:left="851" w:hanging="851"/>
        <w:jc w:val="both"/>
        <w:rPr>
          <w:rFonts w:ascii="Arial" w:hAnsi="Arial" w:cs="Arial"/>
        </w:rPr>
      </w:pPr>
      <w:r w:rsidRPr="0038198A">
        <w:rPr>
          <w:rFonts w:ascii="Arial" w:hAnsi="Arial" w:cs="Arial"/>
        </w:rPr>
        <w:t>Faurie, B., Cluzet, S., Corio-</w:t>
      </w:r>
      <w:proofErr w:type="spellStart"/>
      <w:r w:rsidRPr="0038198A">
        <w:rPr>
          <w:rFonts w:ascii="Arial" w:hAnsi="Arial" w:cs="Arial"/>
        </w:rPr>
        <w:t>costet</w:t>
      </w:r>
      <w:proofErr w:type="spellEnd"/>
      <w:r w:rsidRPr="0038198A">
        <w:rPr>
          <w:rFonts w:ascii="Arial" w:hAnsi="Arial" w:cs="Arial"/>
        </w:rPr>
        <w:t xml:space="preserve">, M., &amp; </w:t>
      </w:r>
      <w:proofErr w:type="spellStart"/>
      <w:r w:rsidRPr="0038198A">
        <w:rPr>
          <w:rFonts w:ascii="Arial" w:hAnsi="Arial" w:cs="Arial"/>
        </w:rPr>
        <w:t>Merillon</w:t>
      </w:r>
      <w:proofErr w:type="spellEnd"/>
      <w:r w:rsidRPr="0038198A">
        <w:rPr>
          <w:rFonts w:ascii="Arial" w:hAnsi="Arial" w:cs="Arial"/>
        </w:rPr>
        <w:t xml:space="preserve">, J. (2009). Methyl </w:t>
      </w:r>
      <w:proofErr w:type="spellStart"/>
      <w:r w:rsidRPr="0038198A">
        <w:rPr>
          <w:rFonts w:ascii="Arial" w:hAnsi="Arial" w:cs="Arial"/>
        </w:rPr>
        <w:t>jasmonate</w:t>
      </w:r>
      <w:proofErr w:type="spellEnd"/>
      <w:r w:rsidRPr="0038198A">
        <w:rPr>
          <w:rFonts w:ascii="Arial" w:hAnsi="Arial" w:cs="Arial"/>
        </w:rPr>
        <w:t>/</w:t>
      </w:r>
      <w:proofErr w:type="spellStart"/>
      <w:r w:rsidRPr="0038198A">
        <w:rPr>
          <w:rFonts w:ascii="Arial" w:hAnsi="Arial" w:cs="Arial"/>
        </w:rPr>
        <w:t>etephon</w:t>
      </w:r>
      <w:proofErr w:type="spellEnd"/>
      <w:r w:rsidRPr="0038198A">
        <w:rPr>
          <w:rFonts w:ascii="Arial" w:hAnsi="Arial" w:cs="Arial"/>
        </w:rPr>
        <w:t xml:space="preserve"> cotreatment synergistically induces stilbene production in Vitis vinifera cell suspension but fails to trigger resistance to Erysiphe </w:t>
      </w:r>
      <w:proofErr w:type="spellStart"/>
      <w:r w:rsidRPr="0038198A">
        <w:rPr>
          <w:rFonts w:ascii="Arial" w:hAnsi="Arial" w:cs="Arial"/>
        </w:rPr>
        <w:t>necator</w:t>
      </w:r>
      <w:proofErr w:type="spellEnd"/>
      <w:r w:rsidRPr="0038198A">
        <w:rPr>
          <w:rFonts w:ascii="Arial" w:hAnsi="Arial" w:cs="Arial"/>
        </w:rPr>
        <w:t>. International Journal of Sciences of Vine and Wine, 43(2), 99-110.</w:t>
      </w:r>
    </w:p>
    <w:p w14:paraId="22443D93" w14:textId="77777777" w:rsidR="0038198A" w:rsidRPr="0038198A" w:rsidRDefault="0038198A" w:rsidP="0038198A">
      <w:pPr>
        <w:ind w:left="851" w:hanging="851"/>
        <w:jc w:val="both"/>
        <w:rPr>
          <w:rFonts w:ascii="Arial" w:hAnsi="Arial" w:cs="Arial"/>
        </w:rPr>
      </w:pPr>
      <w:r w:rsidRPr="0038198A">
        <w:rPr>
          <w:rFonts w:ascii="Arial" w:hAnsi="Arial" w:cs="Arial"/>
        </w:rPr>
        <w:t xml:space="preserve">Gomes, A. S., Carlos, L. T., Botrel, N., &amp; Souza, L. F. S. (2004). Reduction of internal browning of pineapple fruit (Ananas </w:t>
      </w:r>
      <w:proofErr w:type="spellStart"/>
      <w:r w:rsidRPr="0038198A">
        <w:rPr>
          <w:rFonts w:ascii="Arial" w:hAnsi="Arial" w:cs="Arial"/>
        </w:rPr>
        <w:t>comusus</w:t>
      </w:r>
      <w:proofErr w:type="spellEnd"/>
      <w:r w:rsidRPr="0038198A">
        <w:rPr>
          <w:rFonts w:ascii="Arial" w:hAnsi="Arial" w:cs="Arial"/>
        </w:rPr>
        <w:t xml:space="preserve"> L.) by preharvest soil application of potassium. Postharvest Biology and Technology, 35, 201-207.</w:t>
      </w:r>
    </w:p>
    <w:p w14:paraId="2EFAFE2E" w14:textId="77777777" w:rsidR="0038198A" w:rsidRPr="0038198A" w:rsidRDefault="0038198A" w:rsidP="0038198A">
      <w:pPr>
        <w:ind w:left="851" w:hanging="851"/>
        <w:jc w:val="both"/>
        <w:rPr>
          <w:rFonts w:ascii="Arial" w:hAnsi="Arial" w:cs="Arial"/>
        </w:rPr>
      </w:pPr>
      <w:r w:rsidRPr="0038198A">
        <w:rPr>
          <w:rFonts w:ascii="Arial" w:hAnsi="Arial" w:cs="Arial"/>
        </w:rPr>
        <w:t>Guerrero, R. F., Valls-</w:t>
      </w:r>
      <w:proofErr w:type="spellStart"/>
      <w:r w:rsidRPr="0038198A">
        <w:rPr>
          <w:rFonts w:ascii="Arial" w:hAnsi="Arial" w:cs="Arial"/>
        </w:rPr>
        <w:t>Fonayet</w:t>
      </w:r>
      <w:proofErr w:type="spellEnd"/>
      <w:r w:rsidRPr="0038198A">
        <w:rPr>
          <w:rFonts w:ascii="Arial" w:hAnsi="Arial" w:cs="Arial"/>
        </w:rPr>
        <w:t>, J., Richard, T., &amp; Cantos-Villar, E. (2020). A rapid quantification of stilbene content in wine by ultra-high pressure liquid chromatography – Mass spectrometry. Food Control, 108, 1-9. https://doi.org/10.1016/j.foodcont.2019.106821</w:t>
      </w:r>
    </w:p>
    <w:p w14:paraId="6DF5F304" w14:textId="77777777" w:rsidR="0038198A" w:rsidRPr="0038198A" w:rsidRDefault="0038198A" w:rsidP="0038198A">
      <w:pPr>
        <w:ind w:left="851" w:hanging="851"/>
        <w:jc w:val="both"/>
        <w:rPr>
          <w:rFonts w:ascii="Arial" w:hAnsi="Arial" w:cs="Arial"/>
        </w:rPr>
      </w:pPr>
      <w:r w:rsidRPr="0038198A">
        <w:rPr>
          <w:rFonts w:ascii="Arial" w:hAnsi="Arial" w:cs="Arial"/>
        </w:rPr>
        <w:t xml:space="preserve">Hong, K., Xu, H., Wang, J., Zhang, L., Hu, H., Jia, Z., et al. (2013). Quality changes and internal browning developments of summer pineapple fruit during storage at different temperatures. Scientia </w:t>
      </w:r>
      <w:proofErr w:type="spellStart"/>
      <w:r w:rsidRPr="0038198A">
        <w:rPr>
          <w:rFonts w:ascii="Arial" w:hAnsi="Arial" w:cs="Arial"/>
        </w:rPr>
        <w:t>Horticulturae</w:t>
      </w:r>
      <w:proofErr w:type="spellEnd"/>
      <w:r w:rsidRPr="0038198A">
        <w:rPr>
          <w:rFonts w:ascii="Arial" w:hAnsi="Arial" w:cs="Arial"/>
        </w:rPr>
        <w:t>, 151, 68-74.</w:t>
      </w:r>
    </w:p>
    <w:p w14:paraId="0F78C529" w14:textId="77777777" w:rsidR="0038198A" w:rsidRPr="0038198A" w:rsidRDefault="0038198A" w:rsidP="0038198A">
      <w:pPr>
        <w:ind w:left="851" w:hanging="851"/>
        <w:jc w:val="both"/>
        <w:rPr>
          <w:rFonts w:ascii="Arial" w:hAnsi="Arial" w:cs="Arial"/>
        </w:rPr>
      </w:pPr>
      <w:r w:rsidRPr="0038198A">
        <w:rPr>
          <w:rFonts w:ascii="Arial" w:hAnsi="Arial" w:cs="Arial"/>
        </w:rPr>
        <w:t xml:space="preserve">Kouadio, O.K.S., Coulibaly, S., Yeo, N.A., &amp; Kouakou, T.H. (2025). Protection of Pineapple Against Internal Browning and Black Spot, Impact on Fruit Quality and Phytochemical Composition. In K. G. </w:t>
      </w:r>
      <w:proofErr w:type="spellStart"/>
      <w:r w:rsidRPr="0038198A">
        <w:rPr>
          <w:rFonts w:ascii="Arial" w:hAnsi="Arial" w:cs="Arial"/>
        </w:rPr>
        <w:t>Ramawat</w:t>
      </w:r>
      <w:proofErr w:type="spellEnd"/>
      <w:r w:rsidRPr="0038198A">
        <w:rPr>
          <w:rFonts w:ascii="Arial" w:hAnsi="Arial" w:cs="Arial"/>
        </w:rPr>
        <w:t xml:space="preserve">, &amp; J-M. </w:t>
      </w:r>
      <w:proofErr w:type="spellStart"/>
      <w:r w:rsidRPr="0038198A">
        <w:rPr>
          <w:rFonts w:ascii="Arial" w:hAnsi="Arial" w:cs="Arial"/>
        </w:rPr>
        <w:t>Mérillon</w:t>
      </w:r>
      <w:proofErr w:type="spellEnd"/>
      <w:r w:rsidRPr="0038198A">
        <w:rPr>
          <w:rFonts w:ascii="Arial" w:hAnsi="Arial" w:cs="Arial"/>
        </w:rPr>
        <w:t xml:space="preserve"> (Eds.), Natural Products. Springer, Berlin, Heidelberg. https://doi.org/10.1007/978-3-642-36202-6_265-1</w:t>
      </w:r>
    </w:p>
    <w:p w14:paraId="27306E2B" w14:textId="77777777" w:rsidR="0038198A" w:rsidRPr="0038198A" w:rsidRDefault="0038198A" w:rsidP="0038198A">
      <w:pPr>
        <w:ind w:left="851" w:hanging="851"/>
        <w:jc w:val="both"/>
        <w:rPr>
          <w:rFonts w:ascii="Arial" w:hAnsi="Arial" w:cs="Arial"/>
        </w:rPr>
      </w:pPr>
      <w:r w:rsidRPr="0038198A">
        <w:rPr>
          <w:rFonts w:ascii="Arial" w:hAnsi="Arial" w:cs="Arial"/>
        </w:rPr>
        <w:t>Kouakou, T.H., Due, E.A., Kouadio, N.E.J.P., Niamke, S., Kouadio, Y.J., Waffo, T.P., et al. (2009). Purification and Characterization of Cell Suspension Peroxidase from Cotton (Gossypium hirsutum L.). Applied Biochemical and Biotechnological, 157, 575-592.</w:t>
      </w:r>
    </w:p>
    <w:p w14:paraId="07FF2AE9" w14:textId="77777777" w:rsidR="0038198A" w:rsidRPr="0038198A" w:rsidRDefault="0038198A" w:rsidP="0038198A">
      <w:pPr>
        <w:ind w:left="851" w:hanging="851"/>
        <w:jc w:val="both"/>
        <w:rPr>
          <w:rFonts w:ascii="Arial" w:hAnsi="Arial" w:cs="Arial"/>
        </w:rPr>
      </w:pPr>
      <w:proofErr w:type="spellStart"/>
      <w:r w:rsidRPr="0038198A">
        <w:rPr>
          <w:rFonts w:ascii="Arial" w:hAnsi="Arial" w:cs="Arial"/>
        </w:rPr>
        <w:t>Larronde</w:t>
      </w:r>
      <w:proofErr w:type="spellEnd"/>
      <w:r w:rsidRPr="0038198A">
        <w:rPr>
          <w:rFonts w:ascii="Arial" w:hAnsi="Arial" w:cs="Arial"/>
        </w:rPr>
        <w:t xml:space="preserve">, F., Krisa, S., </w:t>
      </w:r>
      <w:proofErr w:type="spellStart"/>
      <w:r w:rsidRPr="0038198A">
        <w:rPr>
          <w:rFonts w:ascii="Arial" w:hAnsi="Arial" w:cs="Arial"/>
        </w:rPr>
        <w:t>Decendit</w:t>
      </w:r>
      <w:proofErr w:type="spellEnd"/>
      <w:r w:rsidRPr="0038198A">
        <w:rPr>
          <w:rFonts w:ascii="Arial" w:hAnsi="Arial" w:cs="Arial"/>
        </w:rPr>
        <w:t xml:space="preserve">, A., </w:t>
      </w:r>
      <w:proofErr w:type="spellStart"/>
      <w:r w:rsidRPr="0038198A">
        <w:rPr>
          <w:rFonts w:ascii="Arial" w:hAnsi="Arial" w:cs="Arial"/>
        </w:rPr>
        <w:t>Cheze</w:t>
      </w:r>
      <w:proofErr w:type="spellEnd"/>
      <w:r w:rsidRPr="0038198A">
        <w:rPr>
          <w:rFonts w:ascii="Arial" w:hAnsi="Arial" w:cs="Arial"/>
        </w:rPr>
        <w:t xml:space="preserve">, C., &amp; </w:t>
      </w:r>
      <w:proofErr w:type="spellStart"/>
      <w:r w:rsidRPr="0038198A">
        <w:rPr>
          <w:rFonts w:ascii="Arial" w:hAnsi="Arial" w:cs="Arial"/>
        </w:rPr>
        <w:t>Merillon</w:t>
      </w:r>
      <w:proofErr w:type="spellEnd"/>
      <w:r w:rsidRPr="0038198A">
        <w:rPr>
          <w:rFonts w:ascii="Arial" w:hAnsi="Arial" w:cs="Arial"/>
        </w:rPr>
        <w:t>, J.M. (1998). Regulation of polyphenol production in Vitis vinifera cell suspension cultures by sugars. Plant Cell Reports, 17, 946-950.</w:t>
      </w:r>
    </w:p>
    <w:p w14:paraId="631DE477" w14:textId="77777777" w:rsidR="0038198A" w:rsidRPr="0038198A" w:rsidRDefault="0038198A" w:rsidP="0038198A">
      <w:pPr>
        <w:ind w:left="851" w:hanging="851"/>
        <w:jc w:val="both"/>
        <w:rPr>
          <w:rFonts w:ascii="Arial" w:hAnsi="Arial" w:cs="Arial"/>
        </w:rPr>
      </w:pPr>
      <w:r w:rsidRPr="0038198A">
        <w:rPr>
          <w:rFonts w:ascii="Arial" w:hAnsi="Arial" w:cs="Arial"/>
        </w:rPr>
        <w:t xml:space="preserve">Marcelline, Y., Brahima, C., Mamadou, C., </w:t>
      </w:r>
      <w:proofErr w:type="spellStart"/>
      <w:r w:rsidRPr="0038198A">
        <w:rPr>
          <w:rFonts w:ascii="Arial" w:hAnsi="Arial" w:cs="Arial"/>
        </w:rPr>
        <w:t>Généfol</w:t>
      </w:r>
      <w:proofErr w:type="spellEnd"/>
      <w:r w:rsidRPr="0038198A">
        <w:rPr>
          <w:rFonts w:ascii="Arial" w:hAnsi="Arial" w:cs="Arial"/>
        </w:rPr>
        <w:t xml:space="preserve">, O., Lezin, E. B., </w:t>
      </w:r>
      <w:proofErr w:type="spellStart"/>
      <w:r w:rsidRPr="0038198A">
        <w:rPr>
          <w:rFonts w:ascii="Arial" w:hAnsi="Arial" w:cs="Arial"/>
        </w:rPr>
        <w:t>Fatogoma</w:t>
      </w:r>
      <w:proofErr w:type="spellEnd"/>
      <w:r w:rsidRPr="0038198A">
        <w:rPr>
          <w:rFonts w:ascii="Arial" w:hAnsi="Arial" w:cs="Arial"/>
        </w:rPr>
        <w:t xml:space="preserve">, S., et al. (2020). Effects of bed, planting density, and fertilization on the vegetative growth of pineapple (Ananas comosus L., var. MD2) during different planting seasons in the </w:t>
      </w:r>
      <w:proofErr w:type="spellStart"/>
      <w:r w:rsidRPr="0038198A">
        <w:rPr>
          <w:rFonts w:ascii="Arial" w:hAnsi="Arial" w:cs="Arial"/>
        </w:rPr>
        <w:t>Bonoua</w:t>
      </w:r>
      <w:proofErr w:type="spellEnd"/>
      <w:r w:rsidRPr="0038198A">
        <w:rPr>
          <w:rFonts w:ascii="Arial" w:hAnsi="Arial" w:cs="Arial"/>
        </w:rPr>
        <w:t xml:space="preserve"> area of ​​Côte d'Ivoire. International Journal of Biology Chemistry Science, 14(7), 2398-2414.</w:t>
      </w:r>
    </w:p>
    <w:p w14:paraId="0CD28F70" w14:textId="77777777" w:rsidR="0038198A" w:rsidRPr="0038198A" w:rsidRDefault="0038198A" w:rsidP="0038198A">
      <w:pPr>
        <w:ind w:left="851" w:hanging="851"/>
        <w:jc w:val="both"/>
        <w:rPr>
          <w:rFonts w:ascii="Arial" w:hAnsi="Arial" w:cs="Arial"/>
        </w:rPr>
      </w:pPr>
      <w:r w:rsidRPr="0038198A">
        <w:rPr>
          <w:rFonts w:ascii="Arial" w:hAnsi="Arial" w:cs="Arial"/>
        </w:rPr>
        <w:t xml:space="preserve">Matos A.R., D’Arcy-Lameta A., França M. G. C., </w:t>
      </w:r>
      <w:proofErr w:type="spellStart"/>
      <w:r w:rsidRPr="0038198A">
        <w:rPr>
          <w:rFonts w:ascii="Arial" w:hAnsi="Arial" w:cs="Arial"/>
        </w:rPr>
        <w:t>Zuily</w:t>
      </w:r>
      <w:proofErr w:type="spellEnd"/>
      <w:r w:rsidRPr="0038198A">
        <w:rPr>
          <w:rFonts w:ascii="Arial" w:hAnsi="Arial" w:cs="Arial"/>
        </w:rPr>
        <w:t>-Fodil Y., &amp; Pham-</w:t>
      </w:r>
      <w:proofErr w:type="spellStart"/>
      <w:r w:rsidRPr="0038198A">
        <w:rPr>
          <w:rFonts w:ascii="Arial" w:hAnsi="Arial" w:cs="Arial"/>
        </w:rPr>
        <w:t>Thi</w:t>
      </w:r>
      <w:proofErr w:type="spellEnd"/>
      <w:r w:rsidRPr="0038198A">
        <w:rPr>
          <w:rFonts w:ascii="Arial" w:hAnsi="Arial" w:cs="Arial"/>
        </w:rPr>
        <w:t xml:space="preserve"> A.T. (2001). A novel </w:t>
      </w:r>
      <w:proofErr w:type="spellStart"/>
      <w:r w:rsidRPr="0038198A">
        <w:rPr>
          <w:rFonts w:ascii="Arial" w:hAnsi="Arial" w:cs="Arial"/>
        </w:rPr>
        <w:t>patatin</w:t>
      </w:r>
      <w:proofErr w:type="spellEnd"/>
      <w:r w:rsidRPr="0038198A">
        <w:rPr>
          <w:rFonts w:ascii="Arial" w:hAnsi="Arial" w:cs="Arial"/>
        </w:rPr>
        <w:t>-linked gene stimulated by drought stress encodes a galactolipid acyl hydrolase. Far East Broadcasting Company, 491(3), 188-192.</w:t>
      </w:r>
    </w:p>
    <w:p w14:paraId="04D565E0" w14:textId="77777777" w:rsidR="0038198A" w:rsidRPr="0038198A" w:rsidRDefault="0038198A" w:rsidP="0038198A">
      <w:pPr>
        <w:ind w:left="851" w:hanging="851"/>
        <w:jc w:val="both"/>
        <w:rPr>
          <w:rFonts w:ascii="Arial" w:hAnsi="Arial" w:cs="Arial"/>
        </w:rPr>
      </w:pPr>
      <w:r w:rsidRPr="0038198A">
        <w:rPr>
          <w:rFonts w:ascii="Arial" w:hAnsi="Arial" w:cs="Arial"/>
        </w:rPr>
        <w:t>MINAGRI, (2018). Pineapple. http://minagril.weblogy.net/</w:t>
      </w:r>
    </w:p>
    <w:p w14:paraId="09B1FFF8" w14:textId="77777777" w:rsidR="0038198A" w:rsidRPr="0038198A" w:rsidRDefault="0038198A" w:rsidP="0038198A">
      <w:pPr>
        <w:ind w:left="851" w:hanging="851"/>
        <w:jc w:val="both"/>
        <w:rPr>
          <w:rFonts w:ascii="Arial" w:hAnsi="Arial" w:cs="Arial"/>
        </w:rPr>
      </w:pPr>
      <w:r w:rsidRPr="0038198A">
        <w:rPr>
          <w:rFonts w:ascii="Arial" w:hAnsi="Arial" w:cs="Arial"/>
        </w:rPr>
        <w:t>MAPM/DERD, (2007). Ministry of Agriculture and Maritime Fisheries of Morocco. Technology Transfer in Agriculture. Mineral Fertilization of Crops. PNTTA Information and Liaison Bulletin, 155, 1-4. https://www.agrimaroc.net/bulletins/btta_155.pdf</w:t>
      </w:r>
    </w:p>
    <w:p w14:paraId="0CB58C69" w14:textId="77777777" w:rsidR="0038198A" w:rsidRPr="0038198A" w:rsidRDefault="0038198A" w:rsidP="0038198A">
      <w:pPr>
        <w:ind w:left="851" w:hanging="851"/>
        <w:jc w:val="both"/>
        <w:rPr>
          <w:rFonts w:ascii="Arial" w:hAnsi="Arial" w:cs="Arial"/>
        </w:rPr>
      </w:pPr>
      <w:proofErr w:type="spellStart"/>
      <w:r w:rsidRPr="0038198A">
        <w:rPr>
          <w:rFonts w:ascii="Arial" w:hAnsi="Arial" w:cs="Arial"/>
        </w:rPr>
        <w:t>Naoumkina</w:t>
      </w:r>
      <w:proofErr w:type="spellEnd"/>
      <w:r w:rsidRPr="0038198A">
        <w:rPr>
          <w:rFonts w:ascii="Arial" w:hAnsi="Arial" w:cs="Arial"/>
        </w:rPr>
        <w:t>, M. A., Zhao, Q., Gallego-Giraldo, L., Dai, X., Zhao, P. X., &amp; Dixon, R. A. (2010). Genome-wide analysis of phenylpropanoid defense pathways. Molecular plant pathology, 11, 829-846.</w:t>
      </w:r>
    </w:p>
    <w:p w14:paraId="7CA7DFA0" w14:textId="2C95CBE2" w:rsidR="0038198A" w:rsidRPr="0038198A" w:rsidRDefault="0038198A" w:rsidP="0038198A">
      <w:pPr>
        <w:ind w:left="851" w:hanging="851"/>
        <w:jc w:val="both"/>
        <w:rPr>
          <w:rFonts w:ascii="Arial" w:hAnsi="Arial" w:cs="Arial"/>
        </w:rPr>
      </w:pPr>
      <w:r w:rsidRPr="0038198A">
        <w:rPr>
          <w:rFonts w:ascii="Arial" w:hAnsi="Arial" w:cs="Arial"/>
        </w:rPr>
        <w:lastRenderedPageBreak/>
        <w:t xml:space="preserve">PIP. (2009). Technical route, Pineapple cayenne, Ananas comosus. </w:t>
      </w:r>
      <w:proofErr w:type="spellStart"/>
      <w:r w:rsidRPr="0038198A">
        <w:rPr>
          <w:rFonts w:ascii="Arial" w:hAnsi="Arial" w:cs="Arial"/>
        </w:rPr>
        <w:t>Coleacp</w:t>
      </w:r>
      <w:proofErr w:type="spellEnd"/>
      <w:r w:rsidRPr="0038198A">
        <w:rPr>
          <w:rFonts w:ascii="Arial" w:hAnsi="Arial" w:cs="Arial"/>
        </w:rPr>
        <w:t xml:space="preserve"> – </w:t>
      </w:r>
      <w:proofErr w:type="spellStart"/>
      <w:r w:rsidRPr="0038198A">
        <w:rPr>
          <w:rFonts w:ascii="Arial" w:hAnsi="Arial" w:cs="Arial"/>
        </w:rPr>
        <w:t>Ugpip</w:t>
      </w:r>
      <w:proofErr w:type="spellEnd"/>
      <w:r w:rsidRPr="0038198A">
        <w:rPr>
          <w:rFonts w:ascii="Arial" w:hAnsi="Arial" w:cs="Arial"/>
        </w:rPr>
        <w:t>. Brussels – Belgium, 63 p. https://www.doc-developpement-durable.org/file/Culture/Culture-plantes-a-petits-fuits-sucres/ananas/IT_PIP_STDF127_AnanasCayenne_fr</w:t>
      </w:r>
      <w:r w:rsidRPr="0038198A">
        <w:t xml:space="preserve"> </w:t>
      </w:r>
      <w:r w:rsidRPr="0038198A">
        <w:rPr>
          <w:rFonts w:ascii="Arial" w:hAnsi="Arial" w:cs="Arial"/>
        </w:rPr>
        <w:t>_0.pdf</w:t>
      </w:r>
    </w:p>
    <w:p w14:paraId="4F3AF9F4" w14:textId="77777777" w:rsidR="0038198A" w:rsidRPr="0038198A" w:rsidRDefault="0038198A" w:rsidP="0038198A">
      <w:pPr>
        <w:ind w:left="851" w:hanging="851"/>
        <w:jc w:val="both"/>
        <w:rPr>
          <w:rFonts w:ascii="Arial" w:hAnsi="Arial" w:cs="Arial"/>
        </w:rPr>
      </w:pPr>
      <w:r w:rsidRPr="0038198A">
        <w:rPr>
          <w:rFonts w:ascii="Arial" w:hAnsi="Arial" w:cs="Arial"/>
        </w:rPr>
        <w:t>Raimbault, A-K. (2011). Internal browning of pineapple (Ananas comosus (L). M) induced by postharvest cold treatment: physiopathology, development of molecular tools, gene expression, and enzymatic activities involved in protein catabolism. PhD thesis, Université Paris Est Creteil-Val De Marne. 203 pp. https://agritrop.cirad.fr/563804/1/document_563804.pdf</w:t>
      </w:r>
    </w:p>
    <w:p w14:paraId="2493F729" w14:textId="77777777" w:rsidR="0038198A" w:rsidRPr="0038198A" w:rsidRDefault="0038198A" w:rsidP="0038198A">
      <w:pPr>
        <w:ind w:left="851" w:hanging="851"/>
        <w:jc w:val="both"/>
        <w:rPr>
          <w:rFonts w:ascii="Arial" w:hAnsi="Arial" w:cs="Arial"/>
        </w:rPr>
      </w:pPr>
      <w:r w:rsidRPr="0038198A">
        <w:rPr>
          <w:rFonts w:ascii="Arial" w:hAnsi="Arial" w:cs="Arial"/>
        </w:rPr>
        <w:t>Smith, L. G. (1983). Causes and development of black heart in pineapples. Tropical Agriculture (Trinidad), 60, 31-35.</w:t>
      </w:r>
    </w:p>
    <w:p w14:paraId="5B7D9A7D" w14:textId="77777777" w:rsidR="0038198A" w:rsidRPr="0038198A" w:rsidRDefault="0038198A" w:rsidP="0038198A">
      <w:pPr>
        <w:ind w:left="851" w:hanging="851"/>
        <w:jc w:val="both"/>
        <w:rPr>
          <w:rFonts w:ascii="Arial" w:hAnsi="Arial" w:cs="Arial"/>
        </w:rPr>
      </w:pPr>
      <w:r w:rsidRPr="0038198A">
        <w:rPr>
          <w:rFonts w:ascii="Arial" w:hAnsi="Arial" w:cs="Arial"/>
        </w:rPr>
        <w:t>Stewart, R. J., Sawyer, B. J. B., Bucheli, C. S., &amp; Robinson, S. P. (2001). Polyphenol oxidase is induced by chilling and wounding in pineapple. Australian Journal Plant Physiological, 28,181–191.</w:t>
      </w:r>
    </w:p>
    <w:p w14:paraId="7C9C88E5" w14:textId="77777777" w:rsidR="0038198A" w:rsidRPr="0038198A" w:rsidRDefault="0038198A" w:rsidP="0038198A">
      <w:pPr>
        <w:ind w:left="851" w:hanging="851"/>
        <w:jc w:val="both"/>
        <w:rPr>
          <w:rFonts w:ascii="Arial" w:hAnsi="Arial" w:cs="Arial"/>
        </w:rPr>
      </w:pPr>
      <w:r w:rsidRPr="0038198A">
        <w:rPr>
          <w:rFonts w:ascii="Arial" w:hAnsi="Arial" w:cs="Arial"/>
        </w:rPr>
        <w:t>Stewart, R. J., Sawyer, B. J. B., &amp; Robinson, S. P. (2002). Black heart development following chilling in fruit of susceptible and resistant pineapple cultivars. Australian Journal Express Agricultural, 42, 195-199.</w:t>
      </w:r>
    </w:p>
    <w:p w14:paraId="1C3CB114" w14:textId="77777777" w:rsidR="0038198A" w:rsidRPr="0038198A" w:rsidRDefault="0038198A" w:rsidP="0038198A">
      <w:pPr>
        <w:ind w:left="851" w:hanging="851"/>
        <w:jc w:val="both"/>
        <w:rPr>
          <w:rFonts w:ascii="Arial" w:hAnsi="Arial" w:cs="Arial"/>
        </w:rPr>
      </w:pPr>
      <w:r w:rsidRPr="0038198A">
        <w:rPr>
          <w:rFonts w:ascii="Arial" w:hAnsi="Arial" w:cs="Arial"/>
        </w:rPr>
        <w:t>Soler, A. (1994a). Abnormal ripening in pineapple: translucence of the flesh. I. Physical and chemical characteristics of waterlogged fruit. Fruits, 49 (1), 5-15.</w:t>
      </w:r>
    </w:p>
    <w:p w14:paraId="5F6217B8" w14:textId="77777777" w:rsidR="0038198A" w:rsidRPr="0038198A" w:rsidRDefault="0038198A" w:rsidP="0038198A">
      <w:pPr>
        <w:ind w:left="851" w:hanging="851"/>
        <w:jc w:val="both"/>
        <w:rPr>
          <w:rFonts w:ascii="Arial" w:hAnsi="Arial" w:cs="Arial"/>
        </w:rPr>
      </w:pPr>
      <w:r w:rsidRPr="0038198A">
        <w:rPr>
          <w:rFonts w:ascii="Arial" w:hAnsi="Arial" w:cs="Arial"/>
        </w:rPr>
        <w:t>Soler, A. (1994b). Yellowing or translucence: ripening deviation in pineapple. II. Enzymatic characterization. Fruits, 49 (2): 83-91.</w:t>
      </w:r>
    </w:p>
    <w:p w14:paraId="5134C44F" w14:textId="77777777" w:rsidR="0038198A" w:rsidRPr="0038198A" w:rsidRDefault="0038198A" w:rsidP="0038198A">
      <w:pPr>
        <w:ind w:left="851" w:hanging="851"/>
        <w:jc w:val="both"/>
        <w:rPr>
          <w:rFonts w:ascii="Arial" w:hAnsi="Arial" w:cs="Arial"/>
        </w:rPr>
      </w:pPr>
      <w:proofErr w:type="spellStart"/>
      <w:r w:rsidRPr="0038198A">
        <w:rPr>
          <w:rFonts w:ascii="Arial" w:hAnsi="Arial" w:cs="Arial"/>
        </w:rPr>
        <w:t>Teisson</w:t>
      </w:r>
      <w:proofErr w:type="spellEnd"/>
      <w:r w:rsidRPr="0038198A">
        <w:rPr>
          <w:rFonts w:ascii="Arial" w:hAnsi="Arial" w:cs="Arial"/>
        </w:rPr>
        <w:t xml:space="preserve">, C., &amp; </w:t>
      </w:r>
      <w:proofErr w:type="spellStart"/>
      <w:r w:rsidRPr="0038198A">
        <w:rPr>
          <w:rFonts w:ascii="Arial" w:hAnsi="Arial" w:cs="Arial"/>
        </w:rPr>
        <w:t>Combres</w:t>
      </w:r>
      <w:proofErr w:type="spellEnd"/>
      <w:r w:rsidRPr="0038198A">
        <w:rPr>
          <w:rFonts w:ascii="Arial" w:hAnsi="Arial" w:cs="Arial"/>
        </w:rPr>
        <w:t>, J.C. (1979). The internal browning of the pineapple. III. Symptomatology. Fruits, 34 (5), 315-329.</w:t>
      </w:r>
    </w:p>
    <w:p w14:paraId="705BFC10" w14:textId="77777777" w:rsidR="0038198A" w:rsidRPr="0038198A" w:rsidRDefault="0038198A" w:rsidP="0038198A">
      <w:pPr>
        <w:ind w:left="851" w:hanging="851"/>
        <w:jc w:val="both"/>
        <w:rPr>
          <w:rFonts w:ascii="Arial" w:hAnsi="Arial" w:cs="Arial"/>
        </w:rPr>
      </w:pPr>
      <w:r w:rsidRPr="0038198A">
        <w:rPr>
          <w:rFonts w:ascii="Arial" w:hAnsi="Arial" w:cs="Arial"/>
        </w:rPr>
        <w:t>Verdu, C. (2013). Genetic mapping of apple phenolic compounds. Thesis, University of Nantes Angers Le Mans (France), 231p.</w:t>
      </w:r>
    </w:p>
    <w:p w14:paraId="13E1EB33" w14:textId="77777777" w:rsidR="0038198A" w:rsidRPr="0038198A" w:rsidRDefault="0038198A" w:rsidP="0038198A">
      <w:pPr>
        <w:ind w:left="851" w:hanging="851"/>
        <w:jc w:val="both"/>
        <w:rPr>
          <w:rFonts w:ascii="Arial" w:hAnsi="Arial" w:cs="Arial"/>
        </w:rPr>
      </w:pPr>
      <w:r w:rsidRPr="0038198A">
        <w:rPr>
          <w:rFonts w:ascii="Arial" w:hAnsi="Arial" w:cs="Arial"/>
        </w:rPr>
        <w:t>Wei, Y. J, Zhao, S. R, Li, J. M., &amp; Xue, B. (2016). Stilbene profiles in different tissues of Vitis vinifera L. cv. Cabernet Sauvignon and a comparison of their antioxidant activity. Australian Journal of Grape and Wine Research, 22 (2), 226-231.</w:t>
      </w:r>
    </w:p>
    <w:p w14:paraId="5D08C0E4" w14:textId="77777777" w:rsidR="0038198A" w:rsidRPr="0038198A" w:rsidRDefault="0038198A" w:rsidP="0038198A">
      <w:pPr>
        <w:ind w:left="851" w:hanging="851"/>
        <w:jc w:val="both"/>
        <w:rPr>
          <w:rFonts w:ascii="Arial" w:hAnsi="Arial" w:cs="Arial"/>
        </w:rPr>
      </w:pPr>
      <w:r w:rsidRPr="0038198A">
        <w:rPr>
          <w:rFonts w:ascii="Arial" w:hAnsi="Arial" w:cs="Arial"/>
        </w:rPr>
        <w:t xml:space="preserve">Xinhua, L., Dequan, S., </w:t>
      </w:r>
      <w:proofErr w:type="spellStart"/>
      <w:r w:rsidRPr="0038198A">
        <w:rPr>
          <w:rFonts w:ascii="Arial" w:hAnsi="Arial" w:cs="Arial"/>
        </w:rPr>
        <w:t>Yunhe</w:t>
      </w:r>
      <w:proofErr w:type="spellEnd"/>
      <w:r w:rsidRPr="0038198A">
        <w:rPr>
          <w:rFonts w:ascii="Arial" w:hAnsi="Arial" w:cs="Arial"/>
        </w:rPr>
        <w:t xml:space="preserve">, L., </w:t>
      </w:r>
      <w:proofErr w:type="spellStart"/>
      <w:r w:rsidRPr="0038198A">
        <w:rPr>
          <w:rFonts w:ascii="Arial" w:hAnsi="Arial" w:cs="Arial"/>
        </w:rPr>
        <w:t>Wenqi</w:t>
      </w:r>
      <w:proofErr w:type="spellEnd"/>
      <w:r w:rsidRPr="0038198A">
        <w:rPr>
          <w:rFonts w:ascii="Arial" w:hAnsi="Arial" w:cs="Arial"/>
        </w:rPr>
        <w:t xml:space="preserve">, S., &amp; </w:t>
      </w:r>
      <w:proofErr w:type="spellStart"/>
      <w:r w:rsidRPr="0038198A">
        <w:rPr>
          <w:rFonts w:ascii="Arial" w:hAnsi="Arial" w:cs="Arial"/>
        </w:rPr>
        <w:t>Guangming</w:t>
      </w:r>
      <w:proofErr w:type="spellEnd"/>
      <w:r w:rsidRPr="0038198A">
        <w:rPr>
          <w:rFonts w:ascii="Arial" w:hAnsi="Arial" w:cs="Arial"/>
        </w:rPr>
        <w:t xml:space="preserve">, S. (2011). Pre- and post-harvest salicylic acid treatments alleviate internal browning and maintain quality of winter pineapple fruit. Scientia </w:t>
      </w:r>
      <w:proofErr w:type="spellStart"/>
      <w:r w:rsidRPr="0038198A">
        <w:rPr>
          <w:rFonts w:ascii="Arial" w:hAnsi="Arial" w:cs="Arial"/>
        </w:rPr>
        <w:t>Horticulturae</w:t>
      </w:r>
      <w:proofErr w:type="spellEnd"/>
      <w:r w:rsidRPr="0038198A">
        <w:rPr>
          <w:rFonts w:ascii="Arial" w:hAnsi="Arial" w:cs="Arial"/>
        </w:rPr>
        <w:t>, 130 (1), 97-101</w:t>
      </w:r>
    </w:p>
    <w:p w14:paraId="33DCE1F7" w14:textId="77777777" w:rsidR="0038198A" w:rsidRPr="0038198A" w:rsidRDefault="0038198A" w:rsidP="0038198A">
      <w:pPr>
        <w:ind w:left="851" w:hanging="851"/>
        <w:jc w:val="both"/>
        <w:rPr>
          <w:rFonts w:ascii="Arial" w:hAnsi="Arial" w:cs="Arial"/>
        </w:rPr>
      </w:pPr>
      <w:r w:rsidRPr="0038198A">
        <w:rPr>
          <w:rFonts w:ascii="Arial" w:hAnsi="Arial" w:cs="Arial"/>
        </w:rPr>
        <w:t>Yao, K. T., Coulibaly, S., Gogbeu, D. G. L., Konan, Y. K. F., &amp; Kouakou, T. H. (2023). Impact of Soils on the Quality of Grapes from Two Vine Varieties [Vitis Vinifera L. (Vitaceae)] Produced in Côte d’Ivoire. Discoveries in Agriculture and Food Sciences, 11(5). 62-73.</w:t>
      </w:r>
    </w:p>
    <w:p w14:paraId="3BD5933A" w14:textId="77777777" w:rsidR="0038198A" w:rsidRPr="0038198A" w:rsidRDefault="0038198A" w:rsidP="0038198A">
      <w:pPr>
        <w:ind w:left="851" w:hanging="851"/>
        <w:jc w:val="both"/>
        <w:rPr>
          <w:rFonts w:ascii="Arial" w:hAnsi="Arial" w:cs="Arial"/>
        </w:rPr>
      </w:pPr>
      <w:r w:rsidRPr="0038198A">
        <w:rPr>
          <w:rFonts w:ascii="Arial" w:hAnsi="Arial" w:cs="Arial"/>
        </w:rPr>
        <w:t xml:space="preserve">Yapo, S. E. (2013). In Vitro Propagation and Regeneration of Pineapple [Ananas comosus var. comosus (L. Merrill) Coppens &amp; Leal] Cultivated in Côte d’Ivoire and Physicochemical Study of Fruits Produced from Vitro Cultures. Thesis, </w:t>
      </w:r>
      <w:proofErr w:type="spellStart"/>
      <w:r w:rsidRPr="0038198A">
        <w:rPr>
          <w:rFonts w:ascii="Arial" w:hAnsi="Arial" w:cs="Arial"/>
        </w:rPr>
        <w:t>Nagui</w:t>
      </w:r>
      <w:proofErr w:type="spellEnd"/>
      <w:r w:rsidRPr="0038198A">
        <w:rPr>
          <w:rFonts w:ascii="Arial" w:hAnsi="Arial" w:cs="Arial"/>
        </w:rPr>
        <w:t xml:space="preserve"> </w:t>
      </w:r>
      <w:proofErr w:type="spellStart"/>
      <w:r w:rsidRPr="0038198A">
        <w:rPr>
          <w:rFonts w:ascii="Arial" w:hAnsi="Arial" w:cs="Arial"/>
        </w:rPr>
        <w:t>Abrogoua</w:t>
      </w:r>
      <w:proofErr w:type="spellEnd"/>
      <w:r w:rsidRPr="0038198A">
        <w:rPr>
          <w:rFonts w:ascii="Arial" w:hAnsi="Arial" w:cs="Arial"/>
        </w:rPr>
        <w:t xml:space="preserve"> University, Abidjan, Côte d’Ivoire, 128 p.</w:t>
      </w:r>
    </w:p>
    <w:p w14:paraId="0B7DF163" w14:textId="77777777" w:rsidR="0038198A" w:rsidRPr="0038198A" w:rsidRDefault="0038198A" w:rsidP="0038198A">
      <w:pPr>
        <w:ind w:left="851" w:hanging="851"/>
        <w:jc w:val="both"/>
        <w:rPr>
          <w:rFonts w:ascii="Arial" w:hAnsi="Arial" w:cs="Arial"/>
        </w:rPr>
      </w:pPr>
      <w:proofErr w:type="spellStart"/>
      <w:r w:rsidRPr="0038198A">
        <w:rPr>
          <w:rFonts w:ascii="Arial" w:hAnsi="Arial" w:cs="Arial"/>
        </w:rPr>
        <w:t>Yéo</w:t>
      </w:r>
      <w:proofErr w:type="spellEnd"/>
      <w:r w:rsidRPr="0038198A">
        <w:rPr>
          <w:rFonts w:ascii="Arial" w:hAnsi="Arial" w:cs="Arial"/>
        </w:rPr>
        <w:t xml:space="preserve">, N. A. (2023). Elicitation and extraction of direct antifungal molecules on Fusarium </w:t>
      </w:r>
      <w:proofErr w:type="spellStart"/>
      <w:r w:rsidRPr="0038198A">
        <w:rPr>
          <w:rFonts w:ascii="Arial" w:hAnsi="Arial" w:cs="Arial"/>
        </w:rPr>
        <w:t>moniliforme</w:t>
      </w:r>
      <w:proofErr w:type="spellEnd"/>
      <w:r w:rsidRPr="0038198A">
        <w:rPr>
          <w:rFonts w:ascii="Arial" w:hAnsi="Arial" w:cs="Arial"/>
        </w:rPr>
        <w:t>, the causative agent of black spot disease in pineapple [Ananas comosus (L. Merrill) bromeliad]. Single doctoral thesis, Félix Houphouët-Boigny University, Abidjan, Ivory Coast, 197 p.</w:t>
      </w:r>
    </w:p>
    <w:p w14:paraId="79A22A38" w14:textId="77777777" w:rsidR="0038198A" w:rsidRPr="0038198A" w:rsidRDefault="0038198A" w:rsidP="0038198A">
      <w:pPr>
        <w:ind w:left="851" w:hanging="851"/>
        <w:jc w:val="both"/>
        <w:rPr>
          <w:rFonts w:ascii="Arial" w:hAnsi="Arial" w:cs="Arial"/>
        </w:rPr>
      </w:pPr>
      <w:r w:rsidRPr="0038198A">
        <w:rPr>
          <w:rFonts w:ascii="Arial" w:hAnsi="Arial" w:cs="Arial"/>
        </w:rPr>
        <w:t>Zhou, Y., Dahler, J. M., Underhill, S. J. R., &amp; Wills, R. B. H. (2003). Enzymes associated with blackheart development in pineapple fruit. Food Chemistry, 80, 565-572.</w:t>
      </w:r>
    </w:p>
    <w:p w14:paraId="7FD2F96B" w14:textId="5D3A9C94" w:rsidR="00B01FCD" w:rsidRPr="00FB3A86" w:rsidRDefault="0038198A" w:rsidP="0038198A">
      <w:pPr>
        <w:ind w:left="851" w:hanging="851"/>
        <w:jc w:val="both"/>
        <w:rPr>
          <w:rFonts w:ascii="Arial" w:hAnsi="Arial" w:cs="Arial"/>
          <w:b/>
        </w:rPr>
      </w:pPr>
      <w:r w:rsidRPr="0038198A">
        <w:rPr>
          <w:rFonts w:ascii="Arial" w:hAnsi="Arial" w:cs="Arial"/>
        </w:rPr>
        <w:t>Zhou, Y., Li, X., Wang, T., &amp; Huang, W. (2020) Effects of storage temperature on internal browning and quality of MD-2 pineapples. Journal of Horticultural Science and Biotechnology, 95(3): 275-282</w:t>
      </w:r>
    </w:p>
    <w:sectPr w:rsidR="00B01FCD" w:rsidRPr="00FB3A86" w:rsidSect="00E33F83">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447F6" w14:textId="77777777" w:rsidR="00F730DE" w:rsidRDefault="00F730DE" w:rsidP="00C37E61">
      <w:r>
        <w:separator/>
      </w:r>
    </w:p>
  </w:endnote>
  <w:endnote w:type="continuationSeparator" w:id="0">
    <w:p w14:paraId="010E2366" w14:textId="77777777" w:rsidR="00F730DE" w:rsidRDefault="00F730D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744C" w14:textId="77777777" w:rsidR="00E33F83" w:rsidRDefault="00E33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CD447" w14:textId="77777777" w:rsidR="00E33F83" w:rsidRDefault="00E33F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ECFFB" w14:textId="33685EE4" w:rsidR="00754C9A" w:rsidRPr="00E33F83" w:rsidRDefault="00754C9A" w:rsidP="00E33F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BD3F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D7177" w14:textId="77777777" w:rsidR="00F730DE" w:rsidRDefault="00F730DE" w:rsidP="00C37E61">
      <w:r>
        <w:separator/>
      </w:r>
    </w:p>
  </w:footnote>
  <w:footnote w:type="continuationSeparator" w:id="0">
    <w:p w14:paraId="34E637F9" w14:textId="77777777" w:rsidR="00F730DE" w:rsidRDefault="00F730D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8D012" w14:textId="1AA0EAD0" w:rsidR="00E33F83" w:rsidRDefault="00E33F83">
    <w:pPr>
      <w:pStyle w:val="Header"/>
    </w:pPr>
    <w:r>
      <w:rPr>
        <w:noProof/>
      </w:rPr>
      <w:pict w14:anchorId="2F098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0829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69989" w14:textId="30A2FD92" w:rsidR="00E33F83" w:rsidRDefault="00E33F83">
    <w:pPr>
      <w:pStyle w:val="Header"/>
    </w:pPr>
    <w:r>
      <w:rPr>
        <w:noProof/>
      </w:rPr>
      <w:pict w14:anchorId="11B03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0829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0B02A" w14:textId="023C4C91" w:rsidR="00296529" w:rsidRPr="00296529" w:rsidRDefault="00E33F83" w:rsidP="00296529">
    <w:pPr>
      <w:ind w:left="2160"/>
      <w:jc w:val="center"/>
      <w:rPr>
        <w:rFonts w:ascii="Times New Roman" w:eastAsia="Calibri" w:hAnsi="Times New Roman"/>
        <w:i/>
        <w:sz w:val="18"/>
        <w:szCs w:val="22"/>
      </w:rPr>
    </w:pPr>
    <w:r>
      <w:rPr>
        <w:noProof/>
      </w:rPr>
      <w:pict w14:anchorId="035580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08292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CF318C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50A0B6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D64D72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09E872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CB48FE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6027B5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EA38A" w14:textId="5ECFD474" w:rsidR="00E33F83" w:rsidRDefault="00E33F83">
    <w:pPr>
      <w:pStyle w:val="Header"/>
    </w:pPr>
    <w:r>
      <w:rPr>
        <w:noProof/>
      </w:rPr>
      <w:pict w14:anchorId="70288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08292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A52E3" w14:textId="55FBAEA9" w:rsidR="00E33F83" w:rsidRDefault="00E33F83">
    <w:pPr>
      <w:pStyle w:val="Header"/>
    </w:pPr>
    <w:r>
      <w:rPr>
        <w:noProof/>
      </w:rPr>
      <w:pict w14:anchorId="3837F6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08292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D2FA" w14:textId="13E2CCD0" w:rsidR="00E33F83" w:rsidRDefault="00E33F83">
    <w:pPr>
      <w:pStyle w:val="Header"/>
    </w:pPr>
    <w:r>
      <w:rPr>
        <w:noProof/>
      </w:rPr>
      <w:pict w14:anchorId="553CA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08292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555483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01943015">
    <w:abstractNumId w:val="15"/>
  </w:num>
  <w:num w:numId="3" w16cid:durableId="772897701">
    <w:abstractNumId w:val="23"/>
  </w:num>
  <w:num w:numId="4" w16cid:durableId="28936698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62070786">
    <w:abstractNumId w:val="7"/>
  </w:num>
  <w:num w:numId="6" w16cid:durableId="541357987">
    <w:abstractNumId w:val="6"/>
  </w:num>
  <w:num w:numId="7" w16cid:durableId="1193960973">
    <w:abstractNumId w:val="1"/>
  </w:num>
  <w:num w:numId="8" w16cid:durableId="2140955048">
    <w:abstractNumId w:val="12"/>
  </w:num>
  <w:num w:numId="9" w16cid:durableId="79182569">
    <w:abstractNumId w:val="25"/>
  </w:num>
  <w:num w:numId="10" w16cid:durableId="1507359062">
    <w:abstractNumId w:val="2"/>
  </w:num>
  <w:num w:numId="11" w16cid:durableId="550503174">
    <w:abstractNumId w:val="18"/>
  </w:num>
  <w:num w:numId="12" w16cid:durableId="582646775">
    <w:abstractNumId w:val="3"/>
  </w:num>
  <w:num w:numId="13" w16cid:durableId="720862383">
    <w:abstractNumId w:val="17"/>
  </w:num>
  <w:num w:numId="14" w16cid:durableId="323516039">
    <w:abstractNumId w:val="8"/>
  </w:num>
  <w:num w:numId="15" w16cid:durableId="2107336671">
    <w:abstractNumId w:val="21"/>
  </w:num>
  <w:num w:numId="16" w16cid:durableId="341248488">
    <w:abstractNumId w:val="5"/>
  </w:num>
  <w:num w:numId="17" w16cid:durableId="1663964991">
    <w:abstractNumId w:val="22"/>
  </w:num>
  <w:num w:numId="18" w16cid:durableId="611984351">
    <w:abstractNumId w:val="14"/>
  </w:num>
  <w:num w:numId="19" w16cid:durableId="326984883">
    <w:abstractNumId w:val="28"/>
  </w:num>
  <w:num w:numId="20" w16cid:durableId="195118103">
    <w:abstractNumId w:val="11"/>
  </w:num>
  <w:num w:numId="21" w16cid:durableId="591864225">
    <w:abstractNumId w:val="9"/>
  </w:num>
  <w:num w:numId="22" w16cid:durableId="1453596337">
    <w:abstractNumId w:val="13"/>
  </w:num>
  <w:num w:numId="23" w16cid:durableId="265970291">
    <w:abstractNumId w:val="19"/>
  </w:num>
  <w:num w:numId="24" w16cid:durableId="16278901">
    <w:abstractNumId w:val="26"/>
  </w:num>
  <w:num w:numId="25" w16cid:durableId="705954143">
    <w:abstractNumId w:val="4"/>
  </w:num>
  <w:num w:numId="26" w16cid:durableId="1142426262">
    <w:abstractNumId w:val="16"/>
  </w:num>
  <w:num w:numId="27" w16cid:durableId="817266530">
    <w:abstractNumId w:val="20"/>
  </w:num>
  <w:num w:numId="28" w16cid:durableId="529076472">
    <w:abstractNumId w:val="27"/>
  </w:num>
  <w:num w:numId="29" w16cid:durableId="131680203">
    <w:abstractNumId w:val="24"/>
  </w:num>
  <w:num w:numId="30" w16cid:durableId="1968925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0D34"/>
    <w:rsid w:val="000A47FA"/>
    <w:rsid w:val="000A65D3"/>
    <w:rsid w:val="000B1E33"/>
    <w:rsid w:val="000D689F"/>
    <w:rsid w:val="000E7B7B"/>
    <w:rsid w:val="000E7D62"/>
    <w:rsid w:val="00103357"/>
    <w:rsid w:val="00121941"/>
    <w:rsid w:val="00123C9F"/>
    <w:rsid w:val="00126190"/>
    <w:rsid w:val="00130F17"/>
    <w:rsid w:val="001320BF"/>
    <w:rsid w:val="00163BC4"/>
    <w:rsid w:val="00175757"/>
    <w:rsid w:val="001833D9"/>
    <w:rsid w:val="00191062"/>
    <w:rsid w:val="00192B72"/>
    <w:rsid w:val="001A29D8"/>
    <w:rsid w:val="001A5CAA"/>
    <w:rsid w:val="001B0427"/>
    <w:rsid w:val="001C6DEB"/>
    <w:rsid w:val="001D3A51"/>
    <w:rsid w:val="001D427A"/>
    <w:rsid w:val="001E10D2"/>
    <w:rsid w:val="001E25B4"/>
    <w:rsid w:val="001E44FE"/>
    <w:rsid w:val="001E6A8F"/>
    <w:rsid w:val="001F3FB5"/>
    <w:rsid w:val="00200595"/>
    <w:rsid w:val="00204835"/>
    <w:rsid w:val="0022206D"/>
    <w:rsid w:val="00231920"/>
    <w:rsid w:val="0023195C"/>
    <w:rsid w:val="0024282C"/>
    <w:rsid w:val="002460DC"/>
    <w:rsid w:val="00250985"/>
    <w:rsid w:val="002556F6"/>
    <w:rsid w:val="00283105"/>
    <w:rsid w:val="00284C4C"/>
    <w:rsid w:val="00287E68"/>
    <w:rsid w:val="00296529"/>
    <w:rsid w:val="002A38F7"/>
    <w:rsid w:val="002B27FB"/>
    <w:rsid w:val="002B685A"/>
    <w:rsid w:val="002C57D2"/>
    <w:rsid w:val="002D12E5"/>
    <w:rsid w:val="002E0D56"/>
    <w:rsid w:val="002E4177"/>
    <w:rsid w:val="00312BAF"/>
    <w:rsid w:val="00313419"/>
    <w:rsid w:val="00315186"/>
    <w:rsid w:val="0033343E"/>
    <w:rsid w:val="003512C2"/>
    <w:rsid w:val="00371FB6"/>
    <w:rsid w:val="00374DBE"/>
    <w:rsid w:val="003763C1"/>
    <w:rsid w:val="00376749"/>
    <w:rsid w:val="00376BBE"/>
    <w:rsid w:val="0038198A"/>
    <w:rsid w:val="0039224F"/>
    <w:rsid w:val="003A43A4"/>
    <w:rsid w:val="003A7E18"/>
    <w:rsid w:val="003B01DC"/>
    <w:rsid w:val="003C0827"/>
    <w:rsid w:val="003C4C86"/>
    <w:rsid w:val="003C6258"/>
    <w:rsid w:val="003E2904"/>
    <w:rsid w:val="00401927"/>
    <w:rsid w:val="0041027F"/>
    <w:rsid w:val="00412475"/>
    <w:rsid w:val="00423789"/>
    <w:rsid w:val="00440F43"/>
    <w:rsid w:val="00441B6F"/>
    <w:rsid w:val="00446221"/>
    <w:rsid w:val="00450E62"/>
    <w:rsid w:val="004539DB"/>
    <w:rsid w:val="00471A80"/>
    <w:rsid w:val="004902F3"/>
    <w:rsid w:val="004D305E"/>
    <w:rsid w:val="004D4277"/>
    <w:rsid w:val="00502516"/>
    <w:rsid w:val="00505F06"/>
    <w:rsid w:val="00506828"/>
    <w:rsid w:val="0053056E"/>
    <w:rsid w:val="00554FDA"/>
    <w:rsid w:val="005A05DA"/>
    <w:rsid w:val="005C0BE4"/>
    <w:rsid w:val="005C784C"/>
    <w:rsid w:val="005D17F6"/>
    <w:rsid w:val="005E5539"/>
    <w:rsid w:val="00602BF5"/>
    <w:rsid w:val="0060564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37385"/>
    <w:rsid w:val="00746E59"/>
    <w:rsid w:val="00754C9A"/>
    <w:rsid w:val="0075599A"/>
    <w:rsid w:val="00761D52"/>
    <w:rsid w:val="0077749E"/>
    <w:rsid w:val="00790ADA"/>
    <w:rsid w:val="007D2288"/>
    <w:rsid w:val="007E088F"/>
    <w:rsid w:val="007E699E"/>
    <w:rsid w:val="007F7B32"/>
    <w:rsid w:val="00802C63"/>
    <w:rsid w:val="00804BC2"/>
    <w:rsid w:val="0081431A"/>
    <w:rsid w:val="00817B31"/>
    <w:rsid w:val="00820B62"/>
    <w:rsid w:val="0083216F"/>
    <w:rsid w:val="0083608D"/>
    <w:rsid w:val="00860000"/>
    <w:rsid w:val="00863BD3"/>
    <w:rsid w:val="008641ED"/>
    <w:rsid w:val="00866D66"/>
    <w:rsid w:val="008671C6"/>
    <w:rsid w:val="00875803"/>
    <w:rsid w:val="008B459E"/>
    <w:rsid w:val="008C3747"/>
    <w:rsid w:val="008E13AE"/>
    <w:rsid w:val="008E1506"/>
    <w:rsid w:val="008E710C"/>
    <w:rsid w:val="008F69D6"/>
    <w:rsid w:val="00902823"/>
    <w:rsid w:val="00915CA6"/>
    <w:rsid w:val="00927834"/>
    <w:rsid w:val="009500A6"/>
    <w:rsid w:val="00957C18"/>
    <w:rsid w:val="009659BA"/>
    <w:rsid w:val="00983040"/>
    <w:rsid w:val="009A6439"/>
    <w:rsid w:val="009B3FB9"/>
    <w:rsid w:val="009C2465"/>
    <w:rsid w:val="009D35A0"/>
    <w:rsid w:val="009D7EB7"/>
    <w:rsid w:val="009E048A"/>
    <w:rsid w:val="009E08E9"/>
    <w:rsid w:val="009E3DB9"/>
    <w:rsid w:val="009E6E35"/>
    <w:rsid w:val="009F0EDA"/>
    <w:rsid w:val="00A03B96"/>
    <w:rsid w:val="00A05B19"/>
    <w:rsid w:val="00A1134E"/>
    <w:rsid w:val="00A118F1"/>
    <w:rsid w:val="00A24E7E"/>
    <w:rsid w:val="00A258C3"/>
    <w:rsid w:val="00A347C0"/>
    <w:rsid w:val="00A51431"/>
    <w:rsid w:val="00A539AD"/>
    <w:rsid w:val="00A94063"/>
    <w:rsid w:val="00AA6219"/>
    <w:rsid w:val="00AA74E0"/>
    <w:rsid w:val="00AB703F"/>
    <w:rsid w:val="00AC6BB8"/>
    <w:rsid w:val="00AE008F"/>
    <w:rsid w:val="00B01FCD"/>
    <w:rsid w:val="00B1776C"/>
    <w:rsid w:val="00B27304"/>
    <w:rsid w:val="00B52583"/>
    <w:rsid w:val="00B52896"/>
    <w:rsid w:val="00B615A9"/>
    <w:rsid w:val="00B64380"/>
    <w:rsid w:val="00B857C5"/>
    <w:rsid w:val="00B95236"/>
    <w:rsid w:val="00B96BD9"/>
    <w:rsid w:val="00BA1B01"/>
    <w:rsid w:val="00BA2641"/>
    <w:rsid w:val="00BB37AA"/>
    <w:rsid w:val="00BC2342"/>
    <w:rsid w:val="00BC420B"/>
    <w:rsid w:val="00BC53A0"/>
    <w:rsid w:val="00BE62AD"/>
    <w:rsid w:val="00BF121F"/>
    <w:rsid w:val="00BF1F80"/>
    <w:rsid w:val="00C166EF"/>
    <w:rsid w:val="00C17EB0"/>
    <w:rsid w:val="00C27F5F"/>
    <w:rsid w:val="00C30A0F"/>
    <w:rsid w:val="00C37E61"/>
    <w:rsid w:val="00C55481"/>
    <w:rsid w:val="00C70F1B"/>
    <w:rsid w:val="00C71A47"/>
    <w:rsid w:val="00C7464C"/>
    <w:rsid w:val="00C85588"/>
    <w:rsid w:val="00CD6755"/>
    <w:rsid w:val="00CD6856"/>
    <w:rsid w:val="00CE0089"/>
    <w:rsid w:val="00CE793C"/>
    <w:rsid w:val="00CF193C"/>
    <w:rsid w:val="00D14254"/>
    <w:rsid w:val="00D173F1"/>
    <w:rsid w:val="00D74CB0"/>
    <w:rsid w:val="00D8295D"/>
    <w:rsid w:val="00DC2A65"/>
    <w:rsid w:val="00DD4DA2"/>
    <w:rsid w:val="00DE15F0"/>
    <w:rsid w:val="00DE5663"/>
    <w:rsid w:val="00DE78AA"/>
    <w:rsid w:val="00E053D0"/>
    <w:rsid w:val="00E15994"/>
    <w:rsid w:val="00E3114E"/>
    <w:rsid w:val="00E31A70"/>
    <w:rsid w:val="00E33F83"/>
    <w:rsid w:val="00E35B02"/>
    <w:rsid w:val="00E66496"/>
    <w:rsid w:val="00E66B35"/>
    <w:rsid w:val="00E66E10"/>
    <w:rsid w:val="00E769F6"/>
    <w:rsid w:val="00E8407C"/>
    <w:rsid w:val="00E84F3C"/>
    <w:rsid w:val="00EA012C"/>
    <w:rsid w:val="00EC6A55"/>
    <w:rsid w:val="00ED0288"/>
    <w:rsid w:val="00ED232E"/>
    <w:rsid w:val="00EE52CB"/>
    <w:rsid w:val="00EF581D"/>
    <w:rsid w:val="00EF7FD8"/>
    <w:rsid w:val="00F06F59"/>
    <w:rsid w:val="00F15A07"/>
    <w:rsid w:val="00F17988"/>
    <w:rsid w:val="00F469F0"/>
    <w:rsid w:val="00F53273"/>
    <w:rsid w:val="00F54145"/>
    <w:rsid w:val="00F730DE"/>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71471C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2D12E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hdphoto" Target="media/hdphoto2.wdp"/><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238</TotalTime>
  <Pages>14</Pages>
  <Words>5615</Words>
  <Characters>32006</Characters>
  <Application>Microsoft Office Word</Application>
  <DocSecurity>0</DocSecurity>
  <Lines>266</Lines>
  <Paragraphs>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37546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17</cp:revision>
  <cp:lastPrinted>1999-07-06T11:00:00Z</cp:lastPrinted>
  <dcterms:created xsi:type="dcterms:W3CDTF">2014-10-25T14:34:00Z</dcterms:created>
  <dcterms:modified xsi:type="dcterms:W3CDTF">2025-05-07T10:10:00Z</dcterms:modified>
</cp:coreProperties>
</file>