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112D3" w14:textId="77777777" w:rsidR="00E71B84" w:rsidRPr="00E71B84" w:rsidRDefault="00E71B84" w:rsidP="00E71B84">
      <w:pPr>
        <w:pStyle w:val="Heading2"/>
        <w:rPr>
          <w:rFonts w:ascii="Times New Roman" w:hAnsi="Times New Roman"/>
          <w:b/>
          <w:bCs/>
          <w:i/>
          <w:iCs/>
          <w:sz w:val="24"/>
          <w:szCs w:val="24"/>
          <w:u w:val="single"/>
        </w:rPr>
      </w:pPr>
      <w:bookmarkStart w:id="0" w:name="_Hlk169893311"/>
      <w:r w:rsidRPr="00E71B84">
        <w:rPr>
          <w:rFonts w:ascii="Times New Roman" w:hAnsi="Times New Roman"/>
          <w:b/>
          <w:bCs/>
          <w:i/>
          <w:iCs/>
          <w:sz w:val="24"/>
          <w:szCs w:val="24"/>
          <w:u w:val="single"/>
        </w:rPr>
        <w:t>Original Research Article</w:t>
      </w:r>
    </w:p>
    <w:p w14:paraId="1A0C751D" w14:textId="19C53F84" w:rsidR="005036AA" w:rsidRPr="00FF51CB" w:rsidRDefault="005B60DE" w:rsidP="005036AA">
      <w:pPr>
        <w:pStyle w:val="Heading2"/>
        <w:rPr>
          <w:rFonts w:ascii="Times New Roman" w:hAnsi="Times New Roman" w:cs="Times New Roman"/>
          <w:b/>
          <w:bCs/>
          <w:color w:val="auto"/>
          <w:sz w:val="24"/>
          <w:szCs w:val="24"/>
        </w:rPr>
      </w:pPr>
      <w:r w:rsidRPr="00FF51CB">
        <w:rPr>
          <w:rFonts w:ascii="Times New Roman" w:hAnsi="Times New Roman" w:cs="Times New Roman"/>
          <w:b/>
          <w:bCs/>
          <w:color w:val="auto"/>
          <w:sz w:val="24"/>
          <w:szCs w:val="24"/>
        </w:rPr>
        <w:t xml:space="preserve">Prothrombin time, Activated partial thromboplastin time and Antithrombin levels in </w:t>
      </w:r>
      <w:r w:rsidR="005036AA" w:rsidRPr="00FF51CB">
        <w:rPr>
          <w:rFonts w:ascii="Times New Roman" w:hAnsi="Times New Roman" w:cs="Times New Roman"/>
          <w:b/>
          <w:bCs/>
          <w:color w:val="auto"/>
          <w:sz w:val="24"/>
          <w:szCs w:val="24"/>
        </w:rPr>
        <w:t xml:space="preserve">Patients with </w:t>
      </w:r>
      <w:proofErr w:type="spellStart"/>
      <w:r w:rsidRPr="00FF51CB">
        <w:rPr>
          <w:rFonts w:ascii="Times New Roman" w:hAnsi="Times New Roman" w:cs="Times New Roman"/>
          <w:b/>
          <w:bCs/>
          <w:color w:val="auto"/>
          <w:sz w:val="24"/>
          <w:szCs w:val="24"/>
        </w:rPr>
        <w:t>Ischaemic</w:t>
      </w:r>
      <w:proofErr w:type="spellEnd"/>
      <w:r w:rsidRPr="00FF51CB">
        <w:rPr>
          <w:rFonts w:ascii="Times New Roman" w:hAnsi="Times New Roman" w:cs="Times New Roman"/>
          <w:b/>
          <w:bCs/>
          <w:color w:val="auto"/>
          <w:sz w:val="24"/>
          <w:szCs w:val="24"/>
        </w:rPr>
        <w:t xml:space="preserve"> Strok</w:t>
      </w:r>
      <w:r w:rsidR="005036AA" w:rsidRPr="00FF51CB">
        <w:rPr>
          <w:rFonts w:ascii="Times New Roman" w:hAnsi="Times New Roman" w:cs="Times New Roman"/>
          <w:b/>
          <w:bCs/>
          <w:color w:val="auto"/>
          <w:sz w:val="24"/>
          <w:szCs w:val="24"/>
        </w:rPr>
        <w:t xml:space="preserve">e. </w:t>
      </w:r>
    </w:p>
    <w:p w14:paraId="62A975E0" w14:textId="77777777" w:rsidR="005036AA" w:rsidRPr="005036AA" w:rsidRDefault="005036AA" w:rsidP="005036AA"/>
    <w:bookmarkEnd w:id="0"/>
    <w:p w14:paraId="2A787235" w14:textId="77777777" w:rsidR="00E71B84" w:rsidRPr="00FF51CB" w:rsidRDefault="00E71B84" w:rsidP="00FF51CB">
      <w:pPr>
        <w:rPr>
          <w:rFonts w:ascii="Times New Roman" w:hAnsi="Times New Roman"/>
          <w:sz w:val="24"/>
          <w:szCs w:val="24"/>
        </w:rPr>
      </w:pPr>
    </w:p>
    <w:p w14:paraId="79D10DC5"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sz w:val="24"/>
          <w:szCs w:val="24"/>
        </w:rPr>
        <w:t>Abstract</w:t>
      </w:r>
    </w:p>
    <w:p w14:paraId="640A2C09"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Background</w:t>
      </w:r>
      <w:r w:rsidRPr="005036AA">
        <w:rPr>
          <w:rFonts w:ascii="Times New Roman" w:hAnsi="Times New Roman"/>
          <w:sz w:val="24"/>
          <w:szCs w:val="24"/>
        </w:rPr>
        <w:t xml:space="preserve">: 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system maintains a balance between prothrombotic and antithrombotic components in the body. The role of this system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is not certain.</w:t>
      </w:r>
    </w:p>
    <w:p w14:paraId="75483DA4"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Objective</w:t>
      </w:r>
      <w:r w:rsidRPr="005036AA">
        <w:rPr>
          <w:rFonts w:ascii="Times New Roman" w:hAnsi="Times New Roman"/>
          <w:sz w:val="24"/>
          <w:szCs w:val="24"/>
        </w:rPr>
        <w:t xml:space="preserve">:  Prothrombin time (PT) and Activated Partial Thromboplastin </w:t>
      </w:r>
      <w:proofErr w:type="gramStart"/>
      <w:r w:rsidRPr="005036AA">
        <w:rPr>
          <w:rFonts w:ascii="Times New Roman" w:hAnsi="Times New Roman"/>
          <w:sz w:val="24"/>
          <w:szCs w:val="24"/>
        </w:rPr>
        <w:t>Time(</w:t>
      </w:r>
      <w:proofErr w:type="gramEnd"/>
      <w:r w:rsidRPr="005036AA">
        <w:rPr>
          <w:rFonts w:ascii="Times New Roman" w:hAnsi="Times New Roman"/>
          <w:sz w:val="24"/>
          <w:szCs w:val="24"/>
        </w:rPr>
        <w:t xml:space="preserve">APTT) are widely  used screening tests to assess 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cascade. We sought to evaluate the relevance of these test and antithrombin (AT) levels in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w:t>
      </w:r>
    </w:p>
    <w:p w14:paraId="6F71BDC0" w14:textId="41C30A15"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Methods</w:t>
      </w:r>
      <w:r w:rsidRPr="005036AA">
        <w:rPr>
          <w:rFonts w:ascii="Times New Roman" w:hAnsi="Times New Roman"/>
          <w:sz w:val="24"/>
          <w:szCs w:val="24"/>
        </w:rPr>
        <w:t xml:space="preserve">: AT, platelet count, PT and APTT tests were carried out for 65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and 65 controls with no history of stroke.</w:t>
      </w:r>
    </w:p>
    <w:p w14:paraId="798974A5"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Results</w:t>
      </w:r>
      <w:r w:rsidRPr="005036AA">
        <w:rPr>
          <w:rFonts w:ascii="Times New Roman" w:hAnsi="Times New Roman"/>
          <w:sz w:val="24"/>
          <w:szCs w:val="24"/>
        </w:rPr>
        <w:t xml:space="preserve">: The mean age of stroke subjects was 60.4 ± 12.3yrs. PT and APTT in the test and control groups were similar and Antithrombin levels did not show significant difference. But there was significant association between functional AT deficiency and diabetes mellitus in the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group. A significant negative correlation exist between functional AT </w:t>
      </w:r>
      <w:proofErr w:type="gramStart"/>
      <w:r w:rsidRPr="005036AA">
        <w:rPr>
          <w:rFonts w:ascii="Times New Roman" w:hAnsi="Times New Roman"/>
          <w:sz w:val="24"/>
          <w:szCs w:val="24"/>
        </w:rPr>
        <w:t>activity  and</w:t>
      </w:r>
      <w:proofErr w:type="gramEnd"/>
      <w:r w:rsidRPr="005036AA">
        <w:rPr>
          <w:rFonts w:ascii="Times New Roman" w:hAnsi="Times New Roman"/>
          <w:sz w:val="24"/>
          <w:szCs w:val="24"/>
        </w:rPr>
        <w:t xml:space="preserve"> prothrombin and  between AT Ag levels and APTT</w:t>
      </w:r>
    </w:p>
    <w:p w14:paraId="294CCE8F"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b/>
          <w:sz w:val="24"/>
          <w:szCs w:val="24"/>
        </w:rPr>
        <w:t>Conclusion</w:t>
      </w:r>
      <w:r w:rsidRPr="005036AA">
        <w:rPr>
          <w:rFonts w:ascii="Times New Roman" w:hAnsi="Times New Roman"/>
          <w:sz w:val="24"/>
          <w:szCs w:val="24"/>
        </w:rPr>
        <w:t xml:space="preserve">: There was no difference in </w:t>
      </w:r>
      <w:proofErr w:type="gramStart"/>
      <w:r w:rsidRPr="005036AA">
        <w:rPr>
          <w:rFonts w:ascii="Times New Roman" w:hAnsi="Times New Roman"/>
          <w:sz w:val="24"/>
          <w:szCs w:val="24"/>
        </w:rPr>
        <w:t>the  Antithrombin</w:t>
      </w:r>
      <w:proofErr w:type="gramEnd"/>
      <w:r w:rsidRPr="005036AA">
        <w:rPr>
          <w:rFonts w:ascii="Times New Roman" w:hAnsi="Times New Roman"/>
          <w:sz w:val="24"/>
          <w:szCs w:val="24"/>
        </w:rPr>
        <w:t xml:space="preserve"> levels, PT and APTT  values  in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and those without history of stroke and carrying out these tests routinely to assess hypercoagulable states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patients  may not have any diagnostic value in our population.</w:t>
      </w:r>
    </w:p>
    <w:p w14:paraId="029D1E18" w14:textId="77777777" w:rsidR="00154D12" w:rsidRPr="005036AA" w:rsidRDefault="00154D12" w:rsidP="00154D12">
      <w:pPr>
        <w:spacing w:after="0"/>
        <w:jc w:val="both"/>
        <w:rPr>
          <w:rFonts w:ascii="Times New Roman" w:hAnsi="Times New Roman"/>
          <w:sz w:val="24"/>
          <w:szCs w:val="24"/>
        </w:rPr>
      </w:pPr>
      <w:r w:rsidRPr="005036AA">
        <w:rPr>
          <w:rFonts w:ascii="Times New Roman" w:hAnsi="Times New Roman"/>
          <w:sz w:val="24"/>
          <w:szCs w:val="24"/>
        </w:rPr>
        <w:t xml:space="preserve">Key words:  Antithrombin, Activated partial thromboplastin time, prothrombin time,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w:t>
      </w:r>
    </w:p>
    <w:p w14:paraId="02B29C95" w14:textId="77777777" w:rsidR="00FF51CB" w:rsidRDefault="00FF51CB" w:rsidP="00154D12">
      <w:pPr>
        <w:jc w:val="both"/>
        <w:rPr>
          <w:rFonts w:ascii="Times New Roman" w:hAnsi="Times New Roman"/>
          <w:sz w:val="24"/>
          <w:szCs w:val="24"/>
        </w:rPr>
      </w:pPr>
    </w:p>
    <w:p w14:paraId="7BA32D63" w14:textId="77777777" w:rsidR="00624FFC" w:rsidRDefault="00624FFC" w:rsidP="00154D12">
      <w:pPr>
        <w:jc w:val="both"/>
        <w:rPr>
          <w:rFonts w:ascii="Times New Roman" w:hAnsi="Times New Roman"/>
          <w:b/>
          <w:sz w:val="24"/>
          <w:szCs w:val="24"/>
        </w:rPr>
      </w:pPr>
    </w:p>
    <w:p w14:paraId="68283FD6" w14:textId="484E3710" w:rsidR="00154D12" w:rsidRPr="005036AA" w:rsidRDefault="00154D12" w:rsidP="00154D12">
      <w:pPr>
        <w:jc w:val="both"/>
        <w:rPr>
          <w:rFonts w:ascii="Times New Roman" w:hAnsi="Times New Roman"/>
          <w:b/>
          <w:sz w:val="24"/>
          <w:szCs w:val="24"/>
        </w:rPr>
      </w:pPr>
      <w:r w:rsidRPr="005036AA">
        <w:rPr>
          <w:rFonts w:ascii="Times New Roman" w:hAnsi="Times New Roman"/>
          <w:b/>
          <w:sz w:val="24"/>
          <w:szCs w:val="24"/>
        </w:rPr>
        <w:t xml:space="preserve">Introduction. </w:t>
      </w:r>
    </w:p>
    <w:p w14:paraId="6B25EEF3" w14:textId="77777777" w:rsidR="00FB51D9" w:rsidRPr="005036AA" w:rsidRDefault="00FB51D9" w:rsidP="00154D12">
      <w:pPr>
        <w:jc w:val="both"/>
        <w:rPr>
          <w:rFonts w:ascii="Times New Roman" w:hAnsi="Times New Roman"/>
          <w:b/>
          <w:sz w:val="24"/>
          <w:szCs w:val="24"/>
        </w:rPr>
      </w:pPr>
    </w:p>
    <w:p w14:paraId="294CC3EF" w14:textId="3D3A28AA"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 xml:space="preserve">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system coordinates a delicate balance of pro-coagulant and anticoagulant proteins which maintain blood in the fluid state within the blood vessel and initiates clot formation to seal </w:t>
      </w:r>
      <w:r w:rsidRPr="005036AA">
        <w:rPr>
          <w:rFonts w:ascii="Times New Roman" w:hAnsi="Times New Roman"/>
          <w:sz w:val="24"/>
          <w:szCs w:val="24"/>
        </w:rPr>
        <w:lastRenderedPageBreak/>
        <w:t xml:space="preserve">up the vessel upon injury, while ensuring clot dissolution after healing. Absence or amplification of components of this system may lead </w:t>
      </w:r>
      <w:r w:rsidR="00FF51CB" w:rsidRPr="005036AA">
        <w:rPr>
          <w:rFonts w:ascii="Times New Roman" w:hAnsi="Times New Roman"/>
          <w:sz w:val="24"/>
          <w:szCs w:val="24"/>
        </w:rPr>
        <w:t>to inappropriate</w:t>
      </w:r>
      <w:r w:rsidRPr="005036AA">
        <w:rPr>
          <w:rFonts w:ascii="Times New Roman" w:hAnsi="Times New Roman"/>
          <w:sz w:val="24"/>
          <w:szCs w:val="24"/>
        </w:rPr>
        <w:t xml:space="preserve"> clotting and thrombotic conditions but its role in pathogenesis of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is not well defined. Components of the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system include the blood vessels, platelets, coagulation factors, natural anticoagulants and fibrinolytic </w:t>
      </w:r>
      <w:r w:rsidR="00624FFC" w:rsidRPr="005036AA">
        <w:rPr>
          <w:rFonts w:ascii="Times New Roman" w:hAnsi="Times New Roman"/>
          <w:sz w:val="24"/>
          <w:szCs w:val="24"/>
        </w:rPr>
        <w:t>proteins.</w:t>
      </w:r>
      <w:r w:rsidR="00624FFC">
        <w:rPr>
          <w:rFonts w:ascii="Times New Roman" w:hAnsi="Times New Roman"/>
          <w:sz w:val="24"/>
          <w:szCs w:val="24"/>
        </w:rPr>
        <w:t xml:space="preserve"> (1)</w:t>
      </w:r>
    </w:p>
    <w:p w14:paraId="010571C8" w14:textId="0CB6FA71"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 xml:space="preserve"> Platelets promote primary </w:t>
      </w:r>
      <w:proofErr w:type="spellStart"/>
      <w:r w:rsidRPr="005036AA">
        <w:rPr>
          <w:rFonts w:ascii="Times New Roman" w:hAnsi="Times New Roman"/>
          <w:sz w:val="24"/>
          <w:szCs w:val="24"/>
        </w:rPr>
        <w:t>haemostasis</w:t>
      </w:r>
      <w:proofErr w:type="spellEnd"/>
      <w:r w:rsidRPr="005036AA">
        <w:rPr>
          <w:rFonts w:ascii="Times New Roman" w:hAnsi="Times New Roman"/>
          <w:sz w:val="24"/>
          <w:szCs w:val="24"/>
        </w:rPr>
        <w:t xml:space="preserve"> and also provides the scaffold required for the progression of the coagulation </w:t>
      </w:r>
      <w:r w:rsidR="00624FFC" w:rsidRPr="005036AA">
        <w:rPr>
          <w:rFonts w:ascii="Times New Roman" w:hAnsi="Times New Roman"/>
          <w:sz w:val="24"/>
          <w:szCs w:val="24"/>
        </w:rPr>
        <w:t>cascade.</w:t>
      </w:r>
      <w:r w:rsidR="00624FFC">
        <w:rPr>
          <w:rFonts w:ascii="Times New Roman" w:hAnsi="Times New Roman"/>
          <w:sz w:val="24"/>
          <w:szCs w:val="24"/>
        </w:rPr>
        <w:t xml:space="preserve"> (1)</w:t>
      </w:r>
      <w:r w:rsidRPr="005036AA">
        <w:rPr>
          <w:rFonts w:ascii="Times New Roman" w:hAnsi="Times New Roman"/>
          <w:sz w:val="24"/>
          <w:szCs w:val="24"/>
        </w:rPr>
        <w:t xml:space="preserve"> Platelet count and activation is used to assess platelet activity</w:t>
      </w:r>
      <w:r w:rsidR="00624FFC">
        <w:rPr>
          <w:rFonts w:ascii="Times New Roman" w:hAnsi="Times New Roman"/>
          <w:sz w:val="24"/>
          <w:szCs w:val="24"/>
        </w:rPr>
        <w:t>. (2)</w:t>
      </w:r>
      <w:r w:rsidRPr="005036AA">
        <w:rPr>
          <w:rFonts w:ascii="Times New Roman" w:hAnsi="Times New Roman"/>
          <w:sz w:val="24"/>
          <w:szCs w:val="24"/>
          <w:vertAlign w:val="superscript"/>
        </w:rPr>
        <w:t xml:space="preserve"> </w:t>
      </w:r>
      <w:r w:rsidRPr="005036AA">
        <w:rPr>
          <w:rFonts w:ascii="Times New Roman" w:hAnsi="Times New Roman"/>
          <w:sz w:val="24"/>
          <w:szCs w:val="24"/>
        </w:rPr>
        <w:t>The coagulation cascade underlies the concept of the blood coagulation system and have been traditionally classified into the intrinsic and extrinsic pathways made up of clotting factors which converge to form thrombin through a series of inter connecting enzymatic reactions</w:t>
      </w:r>
      <w:r w:rsidR="00624FFC">
        <w:rPr>
          <w:rFonts w:ascii="Times New Roman" w:hAnsi="Times New Roman"/>
          <w:sz w:val="24"/>
          <w:szCs w:val="24"/>
        </w:rPr>
        <w:t xml:space="preserve">. (3) </w:t>
      </w:r>
      <w:r w:rsidRPr="005036AA">
        <w:rPr>
          <w:rFonts w:ascii="Times New Roman" w:hAnsi="Times New Roman"/>
          <w:sz w:val="24"/>
          <w:szCs w:val="24"/>
        </w:rPr>
        <w:t xml:space="preserve">Thrombin cleaves circulating fibrinogen into insoluble fibrin and activates factor XIII, which covalently crosslinks fibrin polymers found in the platelet plug which stabilizes the clot and forms a permanent secondary </w:t>
      </w:r>
      <w:proofErr w:type="spellStart"/>
      <w:r w:rsidRPr="005036AA">
        <w:rPr>
          <w:rFonts w:ascii="Times New Roman" w:hAnsi="Times New Roman"/>
          <w:sz w:val="24"/>
          <w:szCs w:val="24"/>
        </w:rPr>
        <w:t>haemostatic</w:t>
      </w:r>
      <w:proofErr w:type="spellEnd"/>
      <w:r w:rsidRPr="005036AA">
        <w:rPr>
          <w:rFonts w:ascii="Times New Roman" w:hAnsi="Times New Roman"/>
          <w:sz w:val="24"/>
          <w:szCs w:val="24"/>
        </w:rPr>
        <w:t xml:space="preserve"> plug. </w:t>
      </w:r>
    </w:p>
    <w:p w14:paraId="48EAC3D9" w14:textId="40736112"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In the laboratory, the two basic coagulation tests used to assess the extrinsic and intrinsic coagulation pathways are prothrombin time</w:t>
      </w:r>
      <w:r w:rsidR="00FF51CB">
        <w:rPr>
          <w:rFonts w:ascii="Times New Roman" w:hAnsi="Times New Roman"/>
          <w:sz w:val="24"/>
          <w:szCs w:val="24"/>
        </w:rPr>
        <w:t xml:space="preserve"> </w:t>
      </w:r>
      <w:r w:rsidRPr="005036AA">
        <w:rPr>
          <w:rFonts w:ascii="Times New Roman" w:hAnsi="Times New Roman"/>
          <w:sz w:val="24"/>
          <w:szCs w:val="24"/>
        </w:rPr>
        <w:t xml:space="preserve">(PT), and activated partial thromboplastin </w:t>
      </w:r>
      <w:proofErr w:type="gramStart"/>
      <w:r w:rsidRPr="005036AA">
        <w:rPr>
          <w:rFonts w:ascii="Times New Roman" w:hAnsi="Times New Roman"/>
          <w:sz w:val="24"/>
          <w:szCs w:val="24"/>
        </w:rPr>
        <w:t>time(</w:t>
      </w:r>
      <w:proofErr w:type="gramEnd"/>
      <w:r w:rsidRPr="005036AA">
        <w:rPr>
          <w:rFonts w:ascii="Times New Roman" w:hAnsi="Times New Roman"/>
          <w:sz w:val="24"/>
          <w:szCs w:val="24"/>
        </w:rPr>
        <w:t>APTT) respectively</w:t>
      </w:r>
      <w:r w:rsidR="00624FFC">
        <w:rPr>
          <w:rFonts w:ascii="Times New Roman" w:hAnsi="Times New Roman"/>
          <w:sz w:val="24"/>
          <w:szCs w:val="24"/>
        </w:rPr>
        <w:t>. (4)</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The extrinsic pathway involves </w:t>
      </w:r>
      <w:r w:rsidRPr="005036AA">
        <w:rPr>
          <w:rFonts w:ascii="Times New Roman" w:hAnsi="Times New Roman"/>
          <w:color w:val="000000"/>
          <w:sz w:val="24"/>
          <w:szCs w:val="24"/>
          <w:shd w:val="clear" w:color="auto" w:fill="FFFFFF"/>
        </w:rPr>
        <w:t>the transmembrane receptor tissue factor (TF) and plasma factor VII/</w:t>
      </w:r>
      <w:proofErr w:type="spellStart"/>
      <w:proofErr w:type="gramStart"/>
      <w:r w:rsidRPr="005036AA">
        <w:rPr>
          <w:rFonts w:ascii="Times New Roman" w:hAnsi="Times New Roman"/>
          <w:color w:val="000000"/>
          <w:sz w:val="24"/>
          <w:szCs w:val="24"/>
          <w:shd w:val="clear" w:color="auto" w:fill="FFFFFF"/>
        </w:rPr>
        <w:t>VIIa</w:t>
      </w:r>
      <w:proofErr w:type="spellEnd"/>
      <w:r w:rsidRPr="005036AA">
        <w:rPr>
          <w:rFonts w:ascii="Times New Roman" w:hAnsi="Times New Roman"/>
          <w:sz w:val="24"/>
          <w:szCs w:val="24"/>
        </w:rPr>
        <w:t xml:space="preserve">  while</w:t>
      </w:r>
      <w:proofErr w:type="gramEnd"/>
      <w:r w:rsidRPr="005036AA">
        <w:rPr>
          <w:rFonts w:ascii="Times New Roman" w:hAnsi="Times New Roman"/>
          <w:sz w:val="24"/>
          <w:szCs w:val="24"/>
        </w:rPr>
        <w:t xml:space="preserve"> intrinsic pathway is triggered by internal damage and involves </w:t>
      </w:r>
      <w:r w:rsidRPr="005036AA">
        <w:rPr>
          <w:rFonts w:ascii="Times New Roman" w:hAnsi="Times New Roman"/>
          <w:color w:val="1F1F1F"/>
          <w:sz w:val="24"/>
          <w:szCs w:val="24"/>
        </w:rPr>
        <w:t>coagulation factors in the intrinsic and common pathway (XII, XI, IX, X, VIII, II and I)</w:t>
      </w:r>
      <w:r w:rsidRPr="005036AA">
        <w:rPr>
          <w:rFonts w:ascii="Times New Roman" w:hAnsi="Times New Roman"/>
          <w:sz w:val="24"/>
          <w:szCs w:val="24"/>
        </w:rPr>
        <w:t>. Abnormal plasma levels or activity of these clotting factors are expected to cause dysregulation of the pathways which manifest as increased or shortened PT or APTT</w:t>
      </w:r>
      <w:r w:rsidR="00624FFC">
        <w:rPr>
          <w:rFonts w:ascii="Times New Roman" w:hAnsi="Times New Roman"/>
          <w:sz w:val="24"/>
          <w:szCs w:val="24"/>
        </w:rPr>
        <w:t xml:space="preserve">. (4) </w:t>
      </w:r>
      <w:r w:rsidRPr="005036AA">
        <w:rPr>
          <w:rFonts w:ascii="Times New Roman" w:hAnsi="Times New Roman"/>
          <w:sz w:val="24"/>
          <w:szCs w:val="24"/>
        </w:rPr>
        <w:t xml:space="preserve">Some previous studies have found significant correlation between shortening of the APTT and increased risk of </w:t>
      </w:r>
      <w:r w:rsidR="00624FFC" w:rsidRPr="005036AA">
        <w:rPr>
          <w:rFonts w:ascii="Times New Roman" w:hAnsi="Times New Roman"/>
          <w:sz w:val="24"/>
          <w:szCs w:val="24"/>
        </w:rPr>
        <w:t>thromboembolism.</w:t>
      </w:r>
      <w:r w:rsidR="00624FFC">
        <w:rPr>
          <w:rFonts w:ascii="Times New Roman" w:hAnsi="Times New Roman"/>
          <w:sz w:val="24"/>
          <w:szCs w:val="24"/>
        </w:rPr>
        <w:t xml:space="preserve"> (5)</w:t>
      </w:r>
    </w:p>
    <w:p w14:paraId="71682C87" w14:textId="7DD9EF40"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lastRenderedPageBreak/>
        <w:t>Antithrombin regulates coagulation by inhibiting thrombin (</w:t>
      </w:r>
      <w:proofErr w:type="spellStart"/>
      <w:r w:rsidRPr="005036AA">
        <w:rPr>
          <w:rFonts w:ascii="Times New Roman" w:hAnsi="Times New Roman"/>
          <w:sz w:val="24"/>
          <w:szCs w:val="24"/>
        </w:rPr>
        <w:t>IIa</w:t>
      </w:r>
      <w:proofErr w:type="spellEnd"/>
      <w:r w:rsidRPr="005036AA">
        <w:rPr>
          <w:rFonts w:ascii="Times New Roman" w:hAnsi="Times New Roman"/>
          <w:sz w:val="24"/>
          <w:szCs w:val="24"/>
        </w:rPr>
        <w:t xml:space="preserve">), factor Xa, and to a lesser extent, factors </w:t>
      </w:r>
      <w:proofErr w:type="spellStart"/>
      <w:r w:rsidRPr="005036AA">
        <w:rPr>
          <w:rFonts w:ascii="Times New Roman" w:hAnsi="Times New Roman"/>
          <w:sz w:val="24"/>
          <w:szCs w:val="24"/>
        </w:rPr>
        <w:t>IXa</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XIa</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XIIa</w:t>
      </w:r>
      <w:proofErr w:type="spellEnd"/>
      <w:r w:rsidRPr="005036AA">
        <w:rPr>
          <w:rFonts w:ascii="Times New Roman" w:hAnsi="Times New Roman"/>
          <w:sz w:val="24"/>
          <w:szCs w:val="24"/>
        </w:rPr>
        <w:t xml:space="preserve">, and factor </w:t>
      </w:r>
      <w:proofErr w:type="spellStart"/>
      <w:r w:rsidRPr="005036AA">
        <w:rPr>
          <w:rFonts w:ascii="Times New Roman" w:hAnsi="Times New Roman"/>
          <w:sz w:val="24"/>
          <w:szCs w:val="24"/>
        </w:rPr>
        <w:t>VIIa</w:t>
      </w:r>
      <w:proofErr w:type="spellEnd"/>
      <w:r w:rsidRPr="005036AA">
        <w:rPr>
          <w:rFonts w:ascii="Times New Roman" w:hAnsi="Times New Roman"/>
          <w:sz w:val="24"/>
          <w:szCs w:val="24"/>
        </w:rPr>
        <w:t>/tissue factor</w:t>
      </w:r>
      <w:r w:rsidR="00624FFC">
        <w:rPr>
          <w:rFonts w:ascii="Times New Roman" w:hAnsi="Times New Roman"/>
          <w:sz w:val="24"/>
          <w:szCs w:val="24"/>
        </w:rPr>
        <w:t>. (3)</w:t>
      </w:r>
      <w:r w:rsidRPr="005036AA">
        <w:rPr>
          <w:rFonts w:ascii="Times New Roman" w:hAnsi="Times New Roman"/>
          <w:sz w:val="24"/>
          <w:szCs w:val="24"/>
          <w:vertAlign w:val="superscript"/>
        </w:rPr>
        <w:t xml:space="preserve"> </w:t>
      </w:r>
      <w:r w:rsidRPr="005036AA">
        <w:rPr>
          <w:rFonts w:ascii="Times New Roman" w:hAnsi="Times New Roman"/>
          <w:sz w:val="24"/>
          <w:szCs w:val="24"/>
        </w:rPr>
        <w:t xml:space="preserve">Its capacity to restrict coagulation through various interactions makes it one of the main natural anticoagulant proteins. </w:t>
      </w:r>
    </w:p>
    <w:p w14:paraId="44813466" w14:textId="0DC33958"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 xml:space="preserve">Stroke is a sudden loss of neurologic function resulting from focal (or global) disturbance of cerebral blood flow due to </w:t>
      </w:r>
      <w:proofErr w:type="spellStart"/>
      <w:r w:rsidRPr="005036AA">
        <w:rPr>
          <w:rFonts w:ascii="Times New Roman" w:hAnsi="Times New Roman"/>
          <w:sz w:val="24"/>
          <w:szCs w:val="24"/>
        </w:rPr>
        <w:t>ischaemia</w:t>
      </w:r>
      <w:proofErr w:type="spellEnd"/>
      <w:r w:rsidRPr="005036AA">
        <w:rPr>
          <w:rFonts w:ascii="Times New Roman" w:hAnsi="Times New Roman"/>
          <w:sz w:val="24"/>
          <w:szCs w:val="24"/>
        </w:rPr>
        <w:t xml:space="preserve"> or </w:t>
      </w:r>
      <w:proofErr w:type="spellStart"/>
      <w:r w:rsidRPr="005036AA">
        <w:rPr>
          <w:rFonts w:ascii="Times New Roman" w:hAnsi="Times New Roman"/>
          <w:sz w:val="24"/>
          <w:szCs w:val="24"/>
        </w:rPr>
        <w:t>haemorrhage</w:t>
      </w:r>
      <w:proofErr w:type="spellEnd"/>
      <w:r w:rsidRPr="005036AA">
        <w:rPr>
          <w:rFonts w:ascii="Times New Roman" w:hAnsi="Times New Roman"/>
          <w:sz w:val="24"/>
          <w:szCs w:val="24"/>
        </w:rPr>
        <w:t xml:space="preserve"> and may lead to permanent neurologic damage or death. Traditional risk factors for stroke include hypertension, obesity, diabetes mellitus among others, however hypercoagulable states are recognized risk factors also and account for up to 1% of all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w:t>
      </w:r>
      <w:proofErr w:type="gramStart"/>
      <w:r w:rsidRPr="005036AA">
        <w:rPr>
          <w:rFonts w:ascii="Times New Roman" w:hAnsi="Times New Roman"/>
          <w:sz w:val="24"/>
          <w:szCs w:val="24"/>
        </w:rPr>
        <w:t>and  up</w:t>
      </w:r>
      <w:proofErr w:type="gramEnd"/>
      <w:r w:rsidRPr="005036AA">
        <w:rPr>
          <w:rFonts w:ascii="Times New Roman" w:hAnsi="Times New Roman"/>
          <w:sz w:val="24"/>
          <w:szCs w:val="24"/>
        </w:rPr>
        <w:t xml:space="preserve"> to 4% of young adults with stroke</w:t>
      </w:r>
      <w:r w:rsidR="00624FFC">
        <w:rPr>
          <w:rFonts w:ascii="Times New Roman" w:hAnsi="Times New Roman"/>
          <w:sz w:val="24"/>
          <w:szCs w:val="24"/>
        </w:rPr>
        <w:t>. (6)</w:t>
      </w:r>
    </w:p>
    <w:p w14:paraId="2BC4028D" w14:textId="77777777"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t xml:space="preserve">To ascertain the role of hypercoagulable states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we assessed the PT and APTT of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their association with antithrombin levels and the usefulness of these basic coagulation tests in screening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patients. </w:t>
      </w:r>
    </w:p>
    <w:p w14:paraId="19A2985E" w14:textId="77777777" w:rsidR="00154D12" w:rsidRPr="005036AA" w:rsidRDefault="00154D12" w:rsidP="00154D12">
      <w:pPr>
        <w:spacing w:line="480" w:lineRule="auto"/>
        <w:jc w:val="both"/>
        <w:rPr>
          <w:rFonts w:ascii="Times New Roman" w:hAnsi="Times New Roman"/>
          <w:b/>
          <w:sz w:val="24"/>
          <w:szCs w:val="24"/>
        </w:rPr>
      </w:pPr>
    </w:p>
    <w:p w14:paraId="0DBC0A05" w14:textId="77777777" w:rsidR="00154D12" w:rsidRPr="005036AA" w:rsidRDefault="00154D12" w:rsidP="00154D12">
      <w:pPr>
        <w:spacing w:line="480" w:lineRule="auto"/>
        <w:jc w:val="both"/>
        <w:rPr>
          <w:rFonts w:ascii="Times New Roman" w:hAnsi="Times New Roman"/>
          <w:b/>
          <w:sz w:val="24"/>
          <w:szCs w:val="24"/>
        </w:rPr>
      </w:pPr>
    </w:p>
    <w:p w14:paraId="01D91A51" w14:textId="77777777" w:rsidR="00154D12" w:rsidRPr="005036AA" w:rsidRDefault="00154D12" w:rsidP="00154D12">
      <w:pPr>
        <w:spacing w:line="480" w:lineRule="auto"/>
        <w:jc w:val="both"/>
        <w:rPr>
          <w:rFonts w:ascii="Times New Roman" w:hAnsi="Times New Roman"/>
          <w:b/>
          <w:sz w:val="24"/>
          <w:szCs w:val="24"/>
        </w:rPr>
      </w:pPr>
    </w:p>
    <w:p w14:paraId="00D34742" w14:textId="77777777" w:rsidR="00154D12" w:rsidRPr="005036AA" w:rsidRDefault="00154D12" w:rsidP="00154D12">
      <w:pPr>
        <w:spacing w:line="480" w:lineRule="auto"/>
        <w:jc w:val="both"/>
        <w:rPr>
          <w:rFonts w:ascii="Times New Roman" w:hAnsi="Times New Roman"/>
          <w:b/>
          <w:sz w:val="24"/>
          <w:szCs w:val="24"/>
        </w:rPr>
      </w:pPr>
    </w:p>
    <w:p w14:paraId="44615A70" w14:textId="77777777" w:rsidR="00154D12" w:rsidRPr="005036AA" w:rsidRDefault="00154D12" w:rsidP="00154D12">
      <w:pPr>
        <w:spacing w:line="480" w:lineRule="auto"/>
        <w:jc w:val="both"/>
        <w:rPr>
          <w:rFonts w:ascii="Times New Roman" w:hAnsi="Times New Roman"/>
          <w:b/>
          <w:sz w:val="24"/>
          <w:szCs w:val="24"/>
        </w:rPr>
      </w:pPr>
    </w:p>
    <w:p w14:paraId="65D752A5" w14:textId="77777777" w:rsidR="00154D12" w:rsidRPr="005036AA" w:rsidRDefault="00154D12" w:rsidP="00154D12">
      <w:pPr>
        <w:spacing w:line="480" w:lineRule="auto"/>
        <w:jc w:val="both"/>
        <w:rPr>
          <w:rFonts w:ascii="Times New Roman" w:hAnsi="Times New Roman"/>
          <w:b/>
          <w:sz w:val="24"/>
          <w:szCs w:val="24"/>
        </w:rPr>
      </w:pPr>
    </w:p>
    <w:p w14:paraId="108A7A7B"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Materials and methods</w:t>
      </w:r>
    </w:p>
    <w:p w14:paraId="2B8981CC" w14:textId="7777777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This was a descriptive, cross-sectional study carried out at </w:t>
      </w:r>
      <w:proofErr w:type="gramStart"/>
      <w:r w:rsidRPr="005036AA">
        <w:rPr>
          <w:rFonts w:ascii="Times New Roman" w:hAnsi="Times New Roman"/>
          <w:sz w:val="24"/>
          <w:szCs w:val="24"/>
        </w:rPr>
        <w:t>the  neurology</w:t>
      </w:r>
      <w:proofErr w:type="gramEnd"/>
      <w:r w:rsidRPr="005036AA">
        <w:rPr>
          <w:rFonts w:ascii="Times New Roman" w:hAnsi="Times New Roman"/>
          <w:sz w:val="24"/>
          <w:szCs w:val="24"/>
        </w:rPr>
        <w:t xml:space="preserve"> clinic and stroke ward of Tertiary hospital in, Benin City, Edo State</w:t>
      </w:r>
      <w:r w:rsidR="007C7BA2" w:rsidRPr="005036AA">
        <w:rPr>
          <w:rFonts w:ascii="Times New Roman" w:hAnsi="Times New Roman"/>
          <w:sz w:val="24"/>
          <w:szCs w:val="24"/>
        </w:rPr>
        <w:t>, South-south Nigeria</w:t>
      </w:r>
      <w:r w:rsidRPr="005036AA">
        <w:rPr>
          <w:rFonts w:ascii="Times New Roman" w:hAnsi="Times New Roman"/>
          <w:sz w:val="24"/>
          <w:szCs w:val="24"/>
        </w:rPr>
        <w:t xml:space="preserve">. Adult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w:t>
      </w:r>
      <w:r w:rsidRPr="005036AA">
        <w:rPr>
          <w:rFonts w:ascii="Times New Roman" w:hAnsi="Times New Roman"/>
          <w:sz w:val="24"/>
          <w:szCs w:val="24"/>
        </w:rPr>
        <w:lastRenderedPageBreak/>
        <w:t>stroke along with age- and sex- matched controls (healthy blood donors attending the blood donor clinic, and staff volunteers) were consecutively recruited for the study.</w:t>
      </w:r>
    </w:p>
    <w:p w14:paraId="55454307" w14:textId="68A2851A" w:rsidR="00154D12" w:rsidRPr="005036AA" w:rsidRDefault="00154D12" w:rsidP="00154D12">
      <w:pPr>
        <w:spacing w:after="0" w:line="480" w:lineRule="auto"/>
        <w:jc w:val="both"/>
        <w:rPr>
          <w:rFonts w:ascii="Times New Roman" w:hAnsi="Times New Roman"/>
          <w:sz w:val="24"/>
          <w:szCs w:val="24"/>
        </w:rPr>
      </w:pPr>
      <w:r w:rsidRPr="005036AA">
        <w:rPr>
          <w:rFonts w:ascii="Times New Roman" w:hAnsi="Times New Roman"/>
          <w:sz w:val="24"/>
          <w:szCs w:val="24"/>
        </w:rPr>
        <w:t xml:space="preserve">Sample size was calculated from the formula for a cross- sectional study using prevalence of antithrombin deficiency by Soare et </w:t>
      </w:r>
      <w:proofErr w:type="gramStart"/>
      <w:r w:rsidRPr="005036AA">
        <w:rPr>
          <w:rFonts w:ascii="Times New Roman" w:hAnsi="Times New Roman"/>
          <w:sz w:val="24"/>
          <w:szCs w:val="24"/>
        </w:rPr>
        <w:t>al</w:t>
      </w:r>
      <w:r w:rsidR="00624FFC">
        <w:rPr>
          <w:rFonts w:ascii="Times New Roman" w:hAnsi="Times New Roman"/>
          <w:sz w:val="24"/>
          <w:szCs w:val="24"/>
        </w:rPr>
        <w:t>(</w:t>
      </w:r>
      <w:proofErr w:type="gramEnd"/>
      <w:r w:rsidR="00624FFC">
        <w:rPr>
          <w:rFonts w:ascii="Times New Roman" w:hAnsi="Times New Roman"/>
          <w:sz w:val="24"/>
          <w:szCs w:val="24"/>
        </w:rPr>
        <w:t>7)</w:t>
      </w:r>
      <w:r w:rsidRPr="005036AA">
        <w:rPr>
          <w:rFonts w:ascii="Times New Roman" w:hAnsi="Times New Roman"/>
          <w:sz w:val="24"/>
          <w:szCs w:val="24"/>
        </w:rPr>
        <w:t xml:space="preserve">. A total of 130 participants aged 18 years and above were consecutively recruited, comprising of </w:t>
      </w:r>
      <w:proofErr w:type="gramStart"/>
      <w:r w:rsidRPr="005036AA">
        <w:rPr>
          <w:rFonts w:ascii="Times New Roman" w:hAnsi="Times New Roman"/>
          <w:sz w:val="24"/>
          <w:szCs w:val="24"/>
        </w:rPr>
        <w:t>sixty five</w:t>
      </w:r>
      <w:proofErr w:type="gramEnd"/>
      <w:r w:rsidRPr="005036AA">
        <w:rPr>
          <w:rFonts w:ascii="Times New Roman" w:hAnsi="Times New Roman"/>
          <w:sz w:val="24"/>
          <w:szCs w:val="24"/>
        </w:rPr>
        <w:t xml:space="preserve"> (65) patients with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(confirmed by cranial computerized tomography (CT scan)) and sixty five (65) controls. </w:t>
      </w:r>
    </w:p>
    <w:p w14:paraId="5D294E2A" w14:textId="77777777" w:rsidR="00154D12" w:rsidRPr="005036AA" w:rsidRDefault="00154D12" w:rsidP="00154D12">
      <w:pPr>
        <w:spacing w:line="240" w:lineRule="auto"/>
        <w:jc w:val="both"/>
        <w:rPr>
          <w:rFonts w:ascii="Times New Roman" w:hAnsi="Times New Roman"/>
          <w:sz w:val="24"/>
          <w:szCs w:val="24"/>
        </w:rPr>
      </w:pPr>
    </w:p>
    <w:p w14:paraId="14A88D4F" w14:textId="77777777"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Exclusion criteria</w:t>
      </w:r>
    </w:p>
    <w:p w14:paraId="2141C054" w14:textId="77777777"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 xml:space="preserve">Participants on oral anticoagulant therapy, Subjects with liver disease (confirmed by deranged liver function test) </w:t>
      </w:r>
      <w:proofErr w:type="gramStart"/>
      <w:r w:rsidRPr="005036AA">
        <w:rPr>
          <w:rFonts w:ascii="Times New Roman" w:hAnsi="Times New Roman"/>
          <w:sz w:val="24"/>
          <w:szCs w:val="24"/>
        </w:rPr>
        <w:t>and  past</w:t>
      </w:r>
      <w:proofErr w:type="gramEnd"/>
      <w:r w:rsidRPr="005036AA">
        <w:rPr>
          <w:rFonts w:ascii="Times New Roman" w:hAnsi="Times New Roman"/>
          <w:sz w:val="24"/>
          <w:szCs w:val="24"/>
        </w:rPr>
        <w:t xml:space="preserve"> history of vascular disease. </w:t>
      </w:r>
    </w:p>
    <w:p w14:paraId="727C2BEE" w14:textId="77777777"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Ethical consideration</w:t>
      </w:r>
    </w:p>
    <w:p w14:paraId="20AE4C5D" w14:textId="4CD1D036" w:rsidR="00154D12" w:rsidRPr="005036AA" w:rsidRDefault="00154D12" w:rsidP="00154D12">
      <w:pPr>
        <w:spacing w:line="240" w:lineRule="auto"/>
        <w:ind w:right="-180"/>
        <w:jc w:val="both"/>
        <w:rPr>
          <w:rFonts w:ascii="Times New Roman" w:hAnsi="Times New Roman"/>
          <w:sz w:val="24"/>
          <w:szCs w:val="24"/>
        </w:rPr>
      </w:pPr>
      <w:r w:rsidRPr="005036AA">
        <w:rPr>
          <w:rFonts w:ascii="Times New Roman" w:hAnsi="Times New Roman"/>
          <w:sz w:val="24"/>
          <w:szCs w:val="24"/>
        </w:rPr>
        <w:t xml:space="preserve">Approval of the </w:t>
      </w:r>
      <w:r w:rsidR="00624FFC">
        <w:rPr>
          <w:rFonts w:ascii="Times New Roman" w:hAnsi="Times New Roman"/>
          <w:sz w:val="24"/>
          <w:szCs w:val="24"/>
        </w:rPr>
        <w:t>University of Benin Teaching Hospital</w:t>
      </w:r>
      <w:r w:rsidRPr="005036AA">
        <w:rPr>
          <w:rFonts w:ascii="Times New Roman" w:hAnsi="Times New Roman"/>
          <w:sz w:val="24"/>
          <w:szCs w:val="24"/>
        </w:rPr>
        <w:t xml:space="preserve"> Ethics and Research Committee was obtained for the study. Written informed consent was obtained from the participants or their relatives. </w:t>
      </w:r>
    </w:p>
    <w:p w14:paraId="59B44BD9" w14:textId="77777777" w:rsidR="00154D12" w:rsidRPr="005036AA" w:rsidRDefault="00154D12" w:rsidP="00154D12">
      <w:pPr>
        <w:spacing w:line="240" w:lineRule="auto"/>
        <w:ind w:right="-180"/>
        <w:jc w:val="both"/>
        <w:rPr>
          <w:rFonts w:ascii="Times New Roman" w:hAnsi="Times New Roman"/>
          <w:sz w:val="24"/>
          <w:szCs w:val="24"/>
        </w:rPr>
      </w:pPr>
      <w:r w:rsidRPr="005036AA">
        <w:rPr>
          <w:rFonts w:ascii="Times New Roman" w:hAnsi="Times New Roman"/>
          <w:sz w:val="24"/>
          <w:szCs w:val="24"/>
        </w:rPr>
        <w:t xml:space="preserve">Methods </w:t>
      </w:r>
    </w:p>
    <w:p w14:paraId="74CEA948" w14:textId="47BF69BF" w:rsidR="00154D12" w:rsidRPr="005036AA" w:rsidRDefault="00154D12" w:rsidP="00154D12">
      <w:pPr>
        <w:tabs>
          <w:tab w:val="center" w:pos="4513"/>
        </w:tabs>
        <w:spacing w:line="360" w:lineRule="auto"/>
        <w:jc w:val="both"/>
        <w:rPr>
          <w:rFonts w:ascii="Times New Roman" w:hAnsi="Times New Roman"/>
          <w:sz w:val="24"/>
          <w:szCs w:val="24"/>
        </w:rPr>
      </w:pPr>
      <w:r w:rsidRPr="005036AA">
        <w:rPr>
          <w:rFonts w:ascii="Times New Roman" w:hAnsi="Times New Roman"/>
          <w:sz w:val="24"/>
          <w:szCs w:val="24"/>
        </w:rPr>
        <w:t>Demographic features, history of stroke risk factors and drugs were obtained by means of an interviewer-administered questionnaire as well as from patients’ case notes.</w:t>
      </w:r>
    </w:p>
    <w:p w14:paraId="37412D1D" w14:textId="7777777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b/>
          <w:sz w:val="24"/>
          <w:szCs w:val="24"/>
        </w:rPr>
        <w:t>Blood collection and laboratory analysis:</w:t>
      </w:r>
      <w:r w:rsidRPr="005036AA">
        <w:rPr>
          <w:rFonts w:ascii="Times New Roman" w:hAnsi="Times New Roman"/>
          <w:sz w:val="24"/>
          <w:szCs w:val="24"/>
        </w:rPr>
        <w:t xml:space="preserve"> Venous blood was collected into EDTA bottle for analysis of platelet count (Full blood count) using </w:t>
      </w:r>
      <w:proofErr w:type="spellStart"/>
      <w:r w:rsidRPr="005036AA">
        <w:rPr>
          <w:rFonts w:ascii="Times New Roman" w:hAnsi="Times New Roman"/>
          <w:sz w:val="24"/>
          <w:szCs w:val="24"/>
        </w:rPr>
        <w:t>haematology</w:t>
      </w:r>
      <w:proofErr w:type="spellEnd"/>
      <w:r w:rsidRPr="005036AA">
        <w:rPr>
          <w:rFonts w:ascii="Times New Roman" w:hAnsi="Times New Roman"/>
          <w:sz w:val="24"/>
          <w:szCs w:val="24"/>
        </w:rPr>
        <w:t xml:space="preserve"> </w:t>
      </w:r>
      <w:proofErr w:type="spellStart"/>
      <w:r w:rsidRPr="005036AA">
        <w:rPr>
          <w:rFonts w:ascii="Times New Roman" w:hAnsi="Times New Roman"/>
          <w:sz w:val="24"/>
          <w:szCs w:val="24"/>
        </w:rPr>
        <w:t>Analyser</w:t>
      </w:r>
      <w:proofErr w:type="spellEnd"/>
      <w:r w:rsidRPr="005036AA">
        <w:rPr>
          <w:rFonts w:ascii="Times New Roman" w:hAnsi="Times New Roman"/>
          <w:sz w:val="24"/>
          <w:szCs w:val="24"/>
        </w:rPr>
        <w:t xml:space="preserve">( Erma Inc. PCE-210), heparin bottle for liver function test (LFT) and  3.2%  sodium citrate bottles which was separated within 1hour in a </w:t>
      </w:r>
      <w:proofErr w:type="spellStart"/>
      <w:r w:rsidRPr="005036AA">
        <w:rPr>
          <w:rFonts w:ascii="Times New Roman" w:hAnsi="Times New Roman"/>
          <w:sz w:val="24"/>
          <w:szCs w:val="24"/>
        </w:rPr>
        <w:t>centriguge</w:t>
      </w:r>
      <w:proofErr w:type="spellEnd"/>
      <w:r w:rsidRPr="005036AA">
        <w:rPr>
          <w:rFonts w:ascii="Times New Roman" w:hAnsi="Times New Roman"/>
          <w:sz w:val="24"/>
          <w:szCs w:val="24"/>
        </w:rPr>
        <w:t xml:space="preserve"> at 2500rpm over 20mins and plasma supernatant extracted for PT and APTT (using </w:t>
      </w:r>
      <w:proofErr w:type="spellStart"/>
      <w:r w:rsidRPr="005036AA">
        <w:rPr>
          <w:rFonts w:ascii="Times New Roman" w:hAnsi="Times New Roman"/>
          <w:sz w:val="24"/>
          <w:szCs w:val="24"/>
        </w:rPr>
        <w:t>using</w:t>
      </w:r>
      <w:proofErr w:type="spellEnd"/>
      <w:r w:rsidRPr="005036AA">
        <w:rPr>
          <w:rFonts w:ascii="Times New Roman" w:hAnsi="Times New Roman"/>
          <w:sz w:val="24"/>
          <w:szCs w:val="24"/>
        </w:rPr>
        <w:t xml:space="preserve"> Sysmex coagulometer (CA-560, Sysmex Europe GMBH, </w:t>
      </w:r>
      <w:proofErr w:type="spellStart"/>
      <w:r w:rsidRPr="005036AA">
        <w:rPr>
          <w:rFonts w:ascii="Times New Roman" w:hAnsi="Times New Roman"/>
          <w:sz w:val="24"/>
          <w:szCs w:val="24"/>
        </w:rPr>
        <w:t>Bornbarch</w:t>
      </w:r>
      <w:proofErr w:type="spellEnd"/>
      <w:r w:rsidRPr="005036AA">
        <w:rPr>
          <w:rFonts w:ascii="Times New Roman" w:hAnsi="Times New Roman"/>
          <w:sz w:val="24"/>
          <w:szCs w:val="24"/>
        </w:rPr>
        <w:t>) while second aliquot for functional and antigen antithrombin assay was frozen at -80</w:t>
      </w:r>
      <w:r w:rsidRPr="005036AA">
        <w:rPr>
          <w:rFonts w:ascii="Times New Roman" w:hAnsi="Times New Roman"/>
          <w:sz w:val="24"/>
          <w:szCs w:val="24"/>
          <w:vertAlign w:val="superscript"/>
        </w:rPr>
        <w:t>º</w:t>
      </w:r>
      <w:r w:rsidRPr="005036AA">
        <w:rPr>
          <w:rFonts w:ascii="Times New Roman" w:hAnsi="Times New Roman"/>
          <w:sz w:val="24"/>
          <w:szCs w:val="24"/>
        </w:rPr>
        <w:t xml:space="preserve">C and </w:t>
      </w:r>
      <w:proofErr w:type="spellStart"/>
      <w:r w:rsidRPr="005036AA">
        <w:rPr>
          <w:rFonts w:ascii="Times New Roman" w:hAnsi="Times New Roman"/>
          <w:sz w:val="24"/>
          <w:szCs w:val="24"/>
        </w:rPr>
        <w:t>analysed</w:t>
      </w:r>
      <w:proofErr w:type="spellEnd"/>
      <w:r w:rsidRPr="005036AA">
        <w:rPr>
          <w:rFonts w:ascii="Times New Roman" w:hAnsi="Times New Roman"/>
          <w:sz w:val="24"/>
          <w:szCs w:val="24"/>
        </w:rPr>
        <w:t xml:space="preserve"> in batches using TECHNOCHROM AT111 kit 39T (manual method) by </w:t>
      </w:r>
      <w:proofErr w:type="spellStart"/>
      <w:r w:rsidRPr="005036AA">
        <w:rPr>
          <w:rFonts w:ascii="Times New Roman" w:hAnsi="Times New Roman"/>
          <w:sz w:val="24"/>
          <w:szCs w:val="24"/>
        </w:rPr>
        <w:t>Technoclone</w:t>
      </w:r>
      <w:proofErr w:type="spellEnd"/>
      <w:r w:rsidRPr="005036AA">
        <w:rPr>
          <w:rFonts w:ascii="Times New Roman" w:hAnsi="Times New Roman"/>
          <w:sz w:val="24"/>
          <w:szCs w:val="24"/>
        </w:rPr>
        <w:t xml:space="preserve"> GmbH, Brunner str. 67, 1230 Vienna, Austria. LOT: 0531B00.02. REF: 5340225 </w:t>
      </w:r>
      <w:proofErr w:type="gramStart"/>
      <w:r w:rsidRPr="005036AA">
        <w:rPr>
          <w:rFonts w:ascii="Times New Roman" w:hAnsi="Times New Roman"/>
          <w:sz w:val="24"/>
          <w:szCs w:val="24"/>
        </w:rPr>
        <w:t>and  Enzyme</w:t>
      </w:r>
      <w:proofErr w:type="gramEnd"/>
      <w:r w:rsidRPr="005036AA">
        <w:rPr>
          <w:rFonts w:ascii="Times New Roman" w:hAnsi="Times New Roman"/>
          <w:sz w:val="24"/>
          <w:szCs w:val="24"/>
        </w:rPr>
        <w:t xml:space="preserve">-linked </w:t>
      </w:r>
      <w:r w:rsidRPr="005036AA">
        <w:rPr>
          <w:rFonts w:ascii="Times New Roman" w:hAnsi="Times New Roman"/>
          <w:sz w:val="24"/>
          <w:szCs w:val="24"/>
        </w:rPr>
        <w:lastRenderedPageBreak/>
        <w:t xml:space="preserve">immunoassay test kit- </w:t>
      </w:r>
      <w:proofErr w:type="spellStart"/>
      <w:r w:rsidRPr="005036AA">
        <w:rPr>
          <w:rFonts w:ascii="Times New Roman" w:hAnsi="Times New Roman"/>
          <w:sz w:val="24"/>
          <w:szCs w:val="24"/>
        </w:rPr>
        <w:t>AssayMax</w:t>
      </w:r>
      <w:proofErr w:type="spellEnd"/>
      <w:r w:rsidRPr="005036AA">
        <w:rPr>
          <w:rFonts w:ascii="Times New Roman" w:hAnsi="Times New Roman"/>
          <w:sz w:val="24"/>
          <w:szCs w:val="24"/>
        </w:rPr>
        <w:t xml:space="preserve"> Human AT111 ELISA  (</w:t>
      </w:r>
      <w:proofErr w:type="spellStart"/>
      <w:r w:rsidRPr="005036AA">
        <w:rPr>
          <w:rFonts w:ascii="Times New Roman" w:hAnsi="Times New Roman"/>
          <w:sz w:val="24"/>
          <w:szCs w:val="24"/>
        </w:rPr>
        <w:t>Assaypro</w:t>
      </w:r>
      <w:proofErr w:type="spellEnd"/>
      <w:r w:rsidRPr="005036AA">
        <w:rPr>
          <w:rFonts w:ascii="Times New Roman" w:hAnsi="Times New Roman"/>
          <w:sz w:val="24"/>
          <w:szCs w:val="24"/>
        </w:rPr>
        <w:t xml:space="preserve">, 30 Triad South Drive St </w:t>
      </w:r>
      <w:proofErr w:type="spellStart"/>
      <w:r w:rsidRPr="005036AA">
        <w:rPr>
          <w:rFonts w:ascii="Times New Roman" w:hAnsi="Times New Roman"/>
          <w:sz w:val="24"/>
          <w:szCs w:val="24"/>
        </w:rPr>
        <w:t>Charles,MO</w:t>
      </w:r>
      <w:proofErr w:type="spellEnd"/>
      <w:r w:rsidRPr="005036AA">
        <w:rPr>
          <w:rFonts w:ascii="Times New Roman" w:hAnsi="Times New Roman"/>
          <w:sz w:val="24"/>
          <w:szCs w:val="24"/>
        </w:rPr>
        <w:t xml:space="preserve"> 63304, USA. LOT: 021371433. Catalog: EA3303-1). </w:t>
      </w:r>
    </w:p>
    <w:p w14:paraId="5A6C720C" w14:textId="77777777" w:rsidR="00154D12" w:rsidRPr="005036AA" w:rsidRDefault="00154D12" w:rsidP="00154D12">
      <w:pPr>
        <w:spacing w:line="480" w:lineRule="auto"/>
        <w:jc w:val="both"/>
        <w:rPr>
          <w:rFonts w:ascii="Times New Roman" w:hAnsi="Times New Roman"/>
          <w:b/>
          <w:sz w:val="24"/>
          <w:szCs w:val="24"/>
        </w:rPr>
      </w:pPr>
    </w:p>
    <w:p w14:paraId="0D601F43"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Statistical analysis of data</w:t>
      </w:r>
    </w:p>
    <w:p w14:paraId="3B9C0C35" w14:textId="7ADABDC8"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Data was analyzed using SPSS version 18. Data were summarized as mean, frequency and percentages where appropriate. Chi square, </w:t>
      </w:r>
      <w:r w:rsidR="00624FFC" w:rsidRPr="005036AA">
        <w:rPr>
          <w:rFonts w:ascii="Times New Roman" w:hAnsi="Times New Roman"/>
          <w:sz w:val="24"/>
          <w:szCs w:val="24"/>
        </w:rPr>
        <w:t>Fishers’ test</w:t>
      </w:r>
      <w:r w:rsidRPr="005036AA">
        <w:rPr>
          <w:rFonts w:ascii="Times New Roman" w:hAnsi="Times New Roman"/>
          <w:sz w:val="24"/>
          <w:szCs w:val="24"/>
        </w:rPr>
        <w:t xml:space="preserve"> and students’ t test were used to compare the difference in proportions between non-parametric variables and parametric variables. Pearson correlation coefficient was used to correlate AT levels with PT and APTT. P value &lt;0.05 was considered significant.</w:t>
      </w:r>
    </w:p>
    <w:p w14:paraId="6C8D0FF0" w14:textId="77777777" w:rsidR="00154D12" w:rsidRPr="005036AA" w:rsidRDefault="00154D12" w:rsidP="00154D12">
      <w:pPr>
        <w:spacing w:line="480" w:lineRule="auto"/>
        <w:jc w:val="both"/>
        <w:rPr>
          <w:rFonts w:ascii="Times New Roman" w:hAnsi="Times New Roman"/>
          <w:b/>
          <w:sz w:val="24"/>
          <w:szCs w:val="24"/>
        </w:rPr>
      </w:pPr>
    </w:p>
    <w:p w14:paraId="7AA95D59" w14:textId="77777777" w:rsidR="00154D12" w:rsidRPr="005036AA" w:rsidRDefault="00154D12" w:rsidP="00154D12">
      <w:pPr>
        <w:spacing w:line="480" w:lineRule="auto"/>
        <w:jc w:val="both"/>
        <w:rPr>
          <w:rFonts w:ascii="Times New Roman" w:hAnsi="Times New Roman"/>
          <w:b/>
          <w:sz w:val="24"/>
          <w:szCs w:val="24"/>
        </w:rPr>
      </w:pPr>
    </w:p>
    <w:p w14:paraId="4E6F2694" w14:textId="77777777" w:rsidR="00154D12" w:rsidRPr="005036AA" w:rsidRDefault="00154D12" w:rsidP="00154D12">
      <w:pPr>
        <w:spacing w:line="480" w:lineRule="auto"/>
        <w:jc w:val="both"/>
        <w:rPr>
          <w:rFonts w:ascii="Times New Roman" w:hAnsi="Times New Roman"/>
          <w:b/>
          <w:sz w:val="24"/>
          <w:szCs w:val="24"/>
        </w:rPr>
      </w:pPr>
    </w:p>
    <w:p w14:paraId="1927D05D" w14:textId="77777777" w:rsidR="00154D12" w:rsidRPr="005036AA" w:rsidRDefault="00154D12" w:rsidP="00154D12">
      <w:pPr>
        <w:spacing w:line="480" w:lineRule="auto"/>
        <w:jc w:val="both"/>
        <w:rPr>
          <w:rFonts w:ascii="Times New Roman" w:hAnsi="Times New Roman"/>
          <w:b/>
          <w:sz w:val="24"/>
          <w:szCs w:val="24"/>
        </w:rPr>
      </w:pPr>
    </w:p>
    <w:p w14:paraId="27713609" w14:textId="77777777" w:rsidR="00154D12" w:rsidRPr="005036AA" w:rsidRDefault="00154D12" w:rsidP="00154D12">
      <w:pPr>
        <w:spacing w:line="480" w:lineRule="auto"/>
        <w:jc w:val="both"/>
        <w:rPr>
          <w:rFonts w:ascii="Times New Roman" w:hAnsi="Times New Roman"/>
          <w:b/>
          <w:sz w:val="24"/>
          <w:szCs w:val="24"/>
        </w:rPr>
      </w:pPr>
    </w:p>
    <w:p w14:paraId="3D32BE3A" w14:textId="77777777" w:rsidR="00154D12" w:rsidRPr="005036AA" w:rsidRDefault="00154D12" w:rsidP="00154D12">
      <w:pPr>
        <w:spacing w:line="480" w:lineRule="auto"/>
        <w:jc w:val="both"/>
        <w:rPr>
          <w:rFonts w:ascii="Times New Roman" w:hAnsi="Times New Roman"/>
          <w:b/>
          <w:sz w:val="24"/>
          <w:szCs w:val="24"/>
        </w:rPr>
      </w:pPr>
    </w:p>
    <w:p w14:paraId="5EB8916F" w14:textId="77777777" w:rsidR="00154D12" w:rsidRPr="005036AA" w:rsidRDefault="00154D12" w:rsidP="00154D12">
      <w:pPr>
        <w:spacing w:line="480" w:lineRule="auto"/>
        <w:jc w:val="both"/>
        <w:rPr>
          <w:rFonts w:ascii="Times New Roman" w:hAnsi="Times New Roman"/>
          <w:b/>
          <w:sz w:val="24"/>
          <w:szCs w:val="24"/>
        </w:rPr>
      </w:pPr>
    </w:p>
    <w:p w14:paraId="69B02B69" w14:textId="77777777" w:rsidR="00154D12" w:rsidRPr="005036AA" w:rsidRDefault="00154D12" w:rsidP="00154D12">
      <w:pPr>
        <w:spacing w:line="480" w:lineRule="auto"/>
        <w:jc w:val="both"/>
        <w:rPr>
          <w:rFonts w:ascii="Times New Roman" w:hAnsi="Times New Roman"/>
          <w:b/>
          <w:sz w:val="24"/>
          <w:szCs w:val="24"/>
        </w:rPr>
      </w:pPr>
    </w:p>
    <w:p w14:paraId="267E3E0D"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t xml:space="preserve">Results </w:t>
      </w:r>
    </w:p>
    <w:p w14:paraId="541F4992" w14:textId="50A7C941" w:rsidR="00154D12" w:rsidRPr="005036AA" w:rsidRDefault="00624FFC" w:rsidP="00154D12">
      <w:pPr>
        <w:spacing w:line="480" w:lineRule="auto"/>
        <w:jc w:val="both"/>
        <w:rPr>
          <w:rFonts w:ascii="Times New Roman" w:hAnsi="Times New Roman"/>
          <w:sz w:val="24"/>
          <w:szCs w:val="24"/>
        </w:rPr>
      </w:pPr>
      <w:r w:rsidRPr="005036AA">
        <w:rPr>
          <w:rFonts w:ascii="Times New Roman" w:hAnsi="Times New Roman"/>
          <w:sz w:val="24"/>
          <w:szCs w:val="24"/>
        </w:rPr>
        <w:lastRenderedPageBreak/>
        <w:t>Sixty-five</w:t>
      </w:r>
      <w:r w:rsidR="00154D12" w:rsidRPr="005036AA">
        <w:rPr>
          <w:rFonts w:ascii="Times New Roman" w:hAnsi="Times New Roman"/>
          <w:sz w:val="24"/>
          <w:szCs w:val="24"/>
        </w:rPr>
        <w:t xml:space="preserve"> subjects with </w:t>
      </w:r>
      <w:proofErr w:type="spellStart"/>
      <w:r w:rsidR="00154D12" w:rsidRPr="005036AA">
        <w:rPr>
          <w:rFonts w:ascii="Times New Roman" w:hAnsi="Times New Roman"/>
          <w:sz w:val="24"/>
          <w:szCs w:val="24"/>
        </w:rPr>
        <w:t>ischaemic</w:t>
      </w:r>
      <w:proofErr w:type="spellEnd"/>
      <w:r w:rsidR="00154D12" w:rsidRPr="005036AA">
        <w:rPr>
          <w:rFonts w:ascii="Times New Roman" w:hAnsi="Times New Roman"/>
          <w:sz w:val="24"/>
          <w:szCs w:val="24"/>
        </w:rPr>
        <w:t xml:space="preserve"> stroke and 65 controls participated in the study and had mean age of 60.4 ± 12.3yrs and 59.0 ± 14.1yrs </w:t>
      </w:r>
      <w:r w:rsidR="002049C7" w:rsidRPr="005036AA">
        <w:rPr>
          <w:rFonts w:ascii="Times New Roman" w:hAnsi="Times New Roman"/>
          <w:sz w:val="24"/>
          <w:szCs w:val="24"/>
        </w:rPr>
        <w:t>respectively.</w:t>
      </w:r>
      <w:r w:rsidR="00154D12" w:rsidRPr="005036AA">
        <w:rPr>
          <w:rFonts w:ascii="Times New Roman" w:hAnsi="Times New Roman"/>
          <w:sz w:val="24"/>
          <w:szCs w:val="24"/>
        </w:rPr>
        <w:t xml:space="preserve"> The stroke subjects included 42 (64.6%) males and 23(35.4%) females as against 45 (69.2%) males and 20(30.8%) females in the controls. Details of the demographic parameters and risk factors for stroke are presented in table1</w:t>
      </w:r>
    </w:p>
    <w:p w14:paraId="4F563F81" w14:textId="7777777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Table 1: </w:t>
      </w:r>
      <w:r w:rsidRPr="005036AA">
        <w:rPr>
          <w:rFonts w:ascii="Times New Roman" w:hAnsi="Times New Roman"/>
          <w:b/>
          <w:sz w:val="24"/>
          <w:szCs w:val="24"/>
        </w:rPr>
        <w:t>Demographic Parameters and Identifiable Risk Factors in Study Participants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69"/>
        <w:gridCol w:w="2189"/>
        <w:gridCol w:w="2189"/>
      </w:tblGrid>
      <w:tr w:rsidR="00154D12" w:rsidRPr="005036AA" w14:paraId="13A35486" w14:textId="77777777">
        <w:trPr>
          <w:trHeight w:val="461"/>
        </w:trPr>
        <w:tc>
          <w:tcPr>
            <w:tcW w:w="3469" w:type="dxa"/>
            <w:shd w:val="clear" w:color="000000" w:fill="FFFFFF"/>
          </w:tcPr>
          <w:p w14:paraId="3ACF0D0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Variables</w:t>
            </w:r>
          </w:p>
        </w:tc>
        <w:tc>
          <w:tcPr>
            <w:tcW w:w="2189" w:type="dxa"/>
            <w:shd w:val="clear" w:color="000000" w:fill="FFFFFF"/>
          </w:tcPr>
          <w:p w14:paraId="3434C015" w14:textId="77777777" w:rsidR="00154D12" w:rsidRPr="005036AA" w:rsidRDefault="00154D12">
            <w:pPr>
              <w:pStyle w:val="TOC2"/>
              <w:spacing w:line="240" w:lineRule="auto"/>
              <w:jc w:val="both"/>
              <w:rPr>
                <w:rFonts w:ascii="Times New Roman" w:hAnsi="Times New Roman"/>
                <w:sz w:val="24"/>
                <w:szCs w:val="24"/>
              </w:rPr>
            </w:pP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w:t>
            </w:r>
          </w:p>
          <w:p w14:paraId="66B9B1FB"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(n =65)</w:t>
            </w:r>
          </w:p>
        </w:tc>
        <w:tc>
          <w:tcPr>
            <w:tcW w:w="2189" w:type="dxa"/>
            <w:shd w:val="clear" w:color="000000" w:fill="FFFFFF"/>
          </w:tcPr>
          <w:p w14:paraId="7CEDC78A"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Controls</w:t>
            </w:r>
          </w:p>
          <w:p w14:paraId="490D05C6"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(n = 65)</w:t>
            </w:r>
          </w:p>
        </w:tc>
      </w:tr>
      <w:tr w:rsidR="00154D12" w:rsidRPr="005036AA" w14:paraId="4CE10B55" w14:textId="77777777">
        <w:trPr>
          <w:trHeight w:val="231"/>
        </w:trPr>
        <w:tc>
          <w:tcPr>
            <w:tcW w:w="3469" w:type="dxa"/>
            <w:shd w:val="clear" w:color="000000" w:fill="FFFFFF"/>
          </w:tcPr>
          <w:p w14:paraId="7BEE591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Age (Mean ± SD)</w:t>
            </w:r>
          </w:p>
        </w:tc>
        <w:tc>
          <w:tcPr>
            <w:tcW w:w="2189" w:type="dxa"/>
            <w:shd w:val="clear" w:color="000000" w:fill="FFFFFF"/>
          </w:tcPr>
          <w:p w14:paraId="01DDB5D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60.4 ± 12.3</w:t>
            </w:r>
          </w:p>
        </w:tc>
        <w:tc>
          <w:tcPr>
            <w:tcW w:w="2189" w:type="dxa"/>
            <w:shd w:val="clear" w:color="000000" w:fill="FFFFFF"/>
          </w:tcPr>
          <w:p w14:paraId="31956F71"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59.0 ± 14.1</w:t>
            </w:r>
          </w:p>
        </w:tc>
      </w:tr>
      <w:tr w:rsidR="00154D12" w:rsidRPr="005036AA" w14:paraId="0081F17D" w14:textId="77777777">
        <w:trPr>
          <w:trHeight w:val="231"/>
        </w:trPr>
        <w:tc>
          <w:tcPr>
            <w:tcW w:w="3469" w:type="dxa"/>
            <w:shd w:val="clear" w:color="000000" w:fill="FFFFFF"/>
          </w:tcPr>
          <w:p w14:paraId="707C9F1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Sex</w:t>
            </w:r>
          </w:p>
        </w:tc>
        <w:tc>
          <w:tcPr>
            <w:tcW w:w="2189" w:type="dxa"/>
            <w:shd w:val="clear" w:color="000000" w:fill="FFFFFF"/>
          </w:tcPr>
          <w:p w14:paraId="77EFD559" w14:textId="77777777" w:rsidR="00154D12" w:rsidRPr="005036AA" w:rsidRDefault="00154D12">
            <w:pPr>
              <w:pStyle w:val="TOC2"/>
              <w:spacing w:line="240" w:lineRule="auto"/>
              <w:jc w:val="both"/>
              <w:rPr>
                <w:rFonts w:ascii="Times New Roman" w:hAnsi="Times New Roman"/>
                <w:sz w:val="24"/>
                <w:szCs w:val="24"/>
              </w:rPr>
            </w:pPr>
          </w:p>
        </w:tc>
        <w:tc>
          <w:tcPr>
            <w:tcW w:w="2189" w:type="dxa"/>
            <w:shd w:val="clear" w:color="000000" w:fill="FFFFFF"/>
          </w:tcPr>
          <w:p w14:paraId="46D8A6C0" w14:textId="77777777" w:rsidR="00154D12" w:rsidRPr="005036AA" w:rsidRDefault="00154D12">
            <w:pPr>
              <w:pStyle w:val="TOC2"/>
              <w:spacing w:line="240" w:lineRule="auto"/>
              <w:jc w:val="both"/>
              <w:rPr>
                <w:rFonts w:ascii="Times New Roman" w:hAnsi="Times New Roman"/>
                <w:sz w:val="24"/>
                <w:szCs w:val="24"/>
              </w:rPr>
            </w:pPr>
          </w:p>
        </w:tc>
      </w:tr>
      <w:tr w:rsidR="00154D12" w:rsidRPr="005036AA" w14:paraId="51C40346" w14:textId="77777777">
        <w:trPr>
          <w:trHeight w:val="231"/>
        </w:trPr>
        <w:tc>
          <w:tcPr>
            <w:tcW w:w="3469" w:type="dxa"/>
            <w:shd w:val="clear" w:color="000000" w:fill="FFFFFF"/>
          </w:tcPr>
          <w:p w14:paraId="141A04CE"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Males</w:t>
            </w:r>
          </w:p>
        </w:tc>
        <w:tc>
          <w:tcPr>
            <w:tcW w:w="2189" w:type="dxa"/>
            <w:shd w:val="clear" w:color="000000" w:fill="FFFFFF"/>
          </w:tcPr>
          <w:p w14:paraId="453715C0"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42 (64.6)</w:t>
            </w:r>
          </w:p>
        </w:tc>
        <w:tc>
          <w:tcPr>
            <w:tcW w:w="2189" w:type="dxa"/>
            <w:shd w:val="clear" w:color="000000" w:fill="FFFFFF"/>
          </w:tcPr>
          <w:p w14:paraId="6D4A2D98"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45 (69.2)</w:t>
            </w:r>
          </w:p>
        </w:tc>
      </w:tr>
      <w:tr w:rsidR="00154D12" w:rsidRPr="005036AA" w14:paraId="222F98BD" w14:textId="77777777">
        <w:trPr>
          <w:trHeight w:val="231"/>
        </w:trPr>
        <w:tc>
          <w:tcPr>
            <w:tcW w:w="3469" w:type="dxa"/>
            <w:shd w:val="clear" w:color="000000" w:fill="FFFFFF"/>
          </w:tcPr>
          <w:p w14:paraId="67BE735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Females</w:t>
            </w:r>
          </w:p>
        </w:tc>
        <w:tc>
          <w:tcPr>
            <w:tcW w:w="2189" w:type="dxa"/>
            <w:shd w:val="clear" w:color="000000" w:fill="FFFFFF"/>
          </w:tcPr>
          <w:p w14:paraId="105C95F3"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23 (35.4)</w:t>
            </w:r>
          </w:p>
        </w:tc>
        <w:tc>
          <w:tcPr>
            <w:tcW w:w="2189" w:type="dxa"/>
            <w:shd w:val="clear" w:color="000000" w:fill="FFFFFF"/>
          </w:tcPr>
          <w:p w14:paraId="4AF1329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20 (30.8)</w:t>
            </w:r>
          </w:p>
        </w:tc>
      </w:tr>
      <w:tr w:rsidR="00154D12" w:rsidRPr="005036AA" w14:paraId="404072EA" w14:textId="77777777">
        <w:trPr>
          <w:trHeight w:val="231"/>
        </w:trPr>
        <w:tc>
          <w:tcPr>
            <w:tcW w:w="3469" w:type="dxa"/>
            <w:shd w:val="clear" w:color="000000" w:fill="FFFFFF"/>
          </w:tcPr>
          <w:p w14:paraId="17034D20"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Identifiable Risks</w:t>
            </w:r>
          </w:p>
        </w:tc>
        <w:tc>
          <w:tcPr>
            <w:tcW w:w="2189" w:type="dxa"/>
            <w:shd w:val="clear" w:color="000000" w:fill="FFFFFF"/>
          </w:tcPr>
          <w:p w14:paraId="74B27C85" w14:textId="77777777" w:rsidR="00154D12" w:rsidRPr="005036AA" w:rsidRDefault="00154D12">
            <w:pPr>
              <w:pStyle w:val="TOC2"/>
              <w:spacing w:line="240" w:lineRule="auto"/>
              <w:jc w:val="both"/>
              <w:rPr>
                <w:rFonts w:ascii="Times New Roman" w:hAnsi="Times New Roman"/>
                <w:sz w:val="24"/>
                <w:szCs w:val="24"/>
              </w:rPr>
            </w:pPr>
          </w:p>
        </w:tc>
        <w:tc>
          <w:tcPr>
            <w:tcW w:w="2189" w:type="dxa"/>
            <w:shd w:val="clear" w:color="000000" w:fill="FFFFFF"/>
          </w:tcPr>
          <w:p w14:paraId="7E5FE77C" w14:textId="77777777" w:rsidR="00154D12" w:rsidRPr="005036AA" w:rsidRDefault="00154D12">
            <w:pPr>
              <w:pStyle w:val="TOC2"/>
              <w:spacing w:line="240" w:lineRule="auto"/>
              <w:jc w:val="both"/>
              <w:rPr>
                <w:rFonts w:ascii="Times New Roman" w:hAnsi="Times New Roman"/>
                <w:sz w:val="24"/>
                <w:szCs w:val="24"/>
              </w:rPr>
            </w:pPr>
          </w:p>
        </w:tc>
      </w:tr>
      <w:tr w:rsidR="00154D12" w:rsidRPr="005036AA" w14:paraId="180D5379" w14:textId="77777777">
        <w:trPr>
          <w:trHeight w:val="231"/>
        </w:trPr>
        <w:tc>
          <w:tcPr>
            <w:tcW w:w="3469" w:type="dxa"/>
            <w:shd w:val="clear" w:color="000000" w:fill="FFFFFF"/>
          </w:tcPr>
          <w:p w14:paraId="0385400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Hypertension</w:t>
            </w:r>
          </w:p>
        </w:tc>
        <w:tc>
          <w:tcPr>
            <w:tcW w:w="2189" w:type="dxa"/>
            <w:shd w:val="clear" w:color="000000" w:fill="FFFFFF"/>
          </w:tcPr>
          <w:p w14:paraId="29F5BE7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46 (70.8)</w:t>
            </w:r>
          </w:p>
        </w:tc>
        <w:tc>
          <w:tcPr>
            <w:tcW w:w="2189" w:type="dxa"/>
            <w:shd w:val="clear" w:color="000000" w:fill="FFFFFF"/>
          </w:tcPr>
          <w:p w14:paraId="539862A6"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29 (44.6)</w:t>
            </w:r>
          </w:p>
        </w:tc>
      </w:tr>
      <w:tr w:rsidR="00154D12" w:rsidRPr="005036AA" w14:paraId="73895195" w14:textId="77777777">
        <w:trPr>
          <w:trHeight w:val="231"/>
        </w:trPr>
        <w:tc>
          <w:tcPr>
            <w:tcW w:w="3469" w:type="dxa"/>
            <w:shd w:val="clear" w:color="000000" w:fill="FFFFFF"/>
          </w:tcPr>
          <w:p w14:paraId="5248024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Diabetes Mellitus</w:t>
            </w:r>
          </w:p>
        </w:tc>
        <w:tc>
          <w:tcPr>
            <w:tcW w:w="2189" w:type="dxa"/>
            <w:shd w:val="clear" w:color="000000" w:fill="FFFFFF"/>
          </w:tcPr>
          <w:p w14:paraId="2F8C35E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14 (21.5)</w:t>
            </w:r>
          </w:p>
        </w:tc>
        <w:tc>
          <w:tcPr>
            <w:tcW w:w="2189" w:type="dxa"/>
            <w:shd w:val="clear" w:color="000000" w:fill="FFFFFF"/>
          </w:tcPr>
          <w:p w14:paraId="30FCF680"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 (3.1)</w:t>
            </w:r>
          </w:p>
        </w:tc>
      </w:tr>
      <w:tr w:rsidR="00154D12" w:rsidRPr="005036AA" w14:paraId="1C4E1D47" w14:textId="77777777">
        <w:trPr>
          <w:trHeight w:val="231"/>
        </w:trPr>
        <w:tc>
          <w:tcPr>
            <w:tcW w:w="3469" w:type="dxa"/>
            <w:shd w:val="clear" w:color="000000" w:fill="FFFFFF"/>
          </w:tcPr>
          <w:p w14:paraId="760BAD1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Smoking</w:t>
            </w:r>
          </w:p>
        </w:tc>
        <w:tc>
          <w:tcPr>
            <w:tcW w:w="2189" w:type="dxa"/>
            <w:shd w:val="clear" w:color="000000" w:fill="FFFFFF"/>
          </w:tcPr>
          <w:p w14:paraId="38FC8E8B"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3 (3.6)</w:t>
            </w:r>
          </w:p>
        </w:tc>
        <w:tc>
          <w:tcPr>
            <w:tcW w:w="2189" w:type="dxa"/>
            <w:shd w:val="clear" w:color="000000" w:fill="FFFFFF"/>
          </w:tcPr>
          <w:p w14:paraId="4BF54B1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 (3.1)</w:t>
            </w:r>
          </w:p>
        </w:tc>
      </w:tr>
      <w:tr w:rsidR="00154D12" w:rsidRPr="005036AA" w14:paraId="0A08A605" w14:textId="77777777">
        <w:trPr>
          <w:trHeight w:val="231"/>
        </w:trPr>
        <w:tc>
          <w:tcPr>
            <w:tcW w:w="3469" w:type="dxa"/>
            <w:shd w:val="clear" w:color="000000" w:fill="FFFFFF"/>
          </w:tcPr>
          <w:p w14:paraId="7BC5EC8E"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Alcohol intake</w:t>
            </w:r>
          </w:p>
        </w:tc>
        <w:tc>
          <w:tcPr>
            <w:tcW w:w="2189" w:type="dxa"/>
            <w:shd w:val="clear" w:color="000000" w:fill="FFFFFF"/>
          </w:tcPr>
          <w:p w14:paraId="7310F38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17 (26.2)</w:t>
            </w:r>
          </w:p>
        </w:tc>
        <w:tc>
          <w:tcPr>
            <w:tcW w:w="2189" w:type="dxa"/>
            <w:shd w:val="clear" w:color="000000" w:fill="FFFFFF"/>
          </w:tcPr>
          <w:p w14:paraId="6C5B6A4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10 (15.4)</w:t>
            </w:r>
          </w:p>
        </w:tc>
      </w:tr>
      <w:tr w:rsidR="00154D12" w:rsidRPr="005036AA" w14:paraId="71A552D6" w14:textId="77777777">
        <w:trPr>
          <w:trHeight w:val="231"/>
        </w:trPr>
        <w:tc>
          <w:tcPr>
            <w:tcW w:w="3469" w:type="dxa"/>
            <w:shd w:val="clear" w:color="000000" w:fill="FFFFFF"/>
          </w:tcPr>
          <w:p w14:paraId="08D5D64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Positive family history of Stroke</w:t>
            </w:r>
          </w:p>
        </w:tc>
        <w:tc>
          <w:tcPr>
            <w:tcW w:w="2189" w:type="dxa"/>
            <w:shd w:val="clear" w:color="000000" w:fill="FFFFFF"/>
          </w:tcPr>
          <w:p w14:paraId="0E8A07B6"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6 (9.2)</w:t>
            </w:r>
          </w:p>
        </w:tc>
        <w:tc>
          <w:tcPr>
            <w:tcW w:w="2189" w:type="dxa"/>
            <w:shd w:val="clear" w:color="000000" w:fill="FFFFFF"/>
          </w:tcPr>
          <w:p w14:paraId="60568125"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 (0.0)</w:t>
            </w:r>
          </w:p>
        </w:tc>
      </w:tr>
      <w:tr w:rsidR="00154D12" w:rsidRPr="005036AA" w14:paraId="3A0D99CA" w14:textId="77777777">
        <w:trPr>
          <w:trHeight w:val="231"/>
        </w:trPr>
        <w:tc>
          <w:tcPr>
            <w:tcW w:w="3469" w:type="dxa"/>
            <w:shd w:val="clear" w:color="000000" w:fill="FFFFFF"/>
          </w:tcPr>
          <w:p w14:paraId="6E67D93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Previous Stroke</w:t>
            </w:r>
          </w:p>
        </w:tc>
        <w:tc>
          <w:tcPr>
            <w:tcW w:w="2189" w:type="dxa"/>
            <w:shd w:val="clear" w:color="000000" w:fill="FFFFFF"/>
          </w:tcPr>
          <w:p w14:paraId="21062952"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13 (20)</w:t>
            </w:r>
          </w:p>
        </w:tc>
        <w:tc>
          <w:tcPr>
            <w:tcW w:w="2189" w:type="dxa"/>
            <w:shd w:val="clear" w:color="000000" w:fill="FFFFFF"/>
          </w:tcPr>
          <w:p w14:paraId="046BE3C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 (0.0)</w:t>
            </w:r>
          </w:p>
        </w:tc>
      </w:tr>
      <w:tr w:rsidR="00154D12" w:rsidRPr="005036AA" w14:paraId="659B9816" w14:textId="77777777">
        <w:trPr>
          <w:trHeight w:val="231"/>
        </w:trPr>
        <w:tc>
          <w:tcPr>
            <w:tcW w:w="3469" w:type="dxa"/>
            <w:shd w:val="clear" w:color="000000" w:fill="FFFFFF"/>
          </w:tcPr>
          <w:p w14:paraId="36D1AE14"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     Previous VTE</w:t>
            </w:r>
          </w:p>
        </w:tc>
        <w:tc>
          <w:tcPr>
            <w:tcW w:w="2189" w:type="dxa"/>
            <w:shd w:val="clear" w:color="000000" w:fill="FFFFFF"/>
          </w:tcPr>
          <w:p w14:paraId="25100AFC"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 (1.5)</w:t>
            </w:r>
          </w:p>
        </w:tc>
        <w:tc>
          <w:tcPr>
            <w:tcW w:w="2189" w:type="dxa"/>
            <w:shd w:val="clear" w:color="000000" w:fill="FFFFFF"/>
          </w:tcPr>
          <w:p w14:paraId="7382379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 (0.0)</w:t>
            </w:r>
          </w:p>
        </w:tc>
      </w:tr>
    </w:tbl>
    <w:p w14:paraId="1D266421" w14:textId="77777777" w:rsidR="00154D12" w:rsidRPr="005036AA" w:rsidRDefault="00154D12" w:rsidP="00154D12">
      <w:pPr>
        <w:tabs>
          <w:tab w:val="left" w:pos="6314"/>
        </w:tabs>
        <w:spacing w:line="480" w:lineRule="auto"/>
        <w:jc w:val="both"/>
        <w:rPr>
          <w:rFonts w:ascii="Times New Roman" w:hAnsi="Times New Roman"/>
          <w:sz w:val="24"/>
          <w:szCs w:val="24"/>
        </w:rPr>
      </w:pPr>
      <w:r w:rsidRPr="005036AA">
        <w:rPr>
          <w:rFonts w:ascii="Times New Roman" w:hAnsi="Times New Roman"/>
          <w:sz w:val="24"/>
          <w:szCs w:val="24"/>
        </w:rPr>
        <w:tab/>
      </w:r>
    </w:p>
    <w:p w14:paraId="64DBFB2F" w14:textId="77777777" w:rsidR="00154D12" w:rsidRPr="005036AA" w:rsidRDefault="00154D12" w:rsidP="00154D12">
      <w:pPr>
        <w:spacing w:line="480" w:lineRule="auto"/>
        <w:jc w:val="both"/>
        <w:rPr>
          <w:rFonts w:ascii="Times New Roman" w:hAnsi="Times New Roman"/>
          <w:sz w:val="24"/>
          <w:szCs w:val="24"/>
        </w:rPr>
      </w:pPr>
    </w:p>
    <w:p w14:paraId="664038ED" w14:textId="77777777" w:rsidR="00154D12" w:rsidRPr="005036AA" w:rsidRDefault="00154D12" w:rsidP="00154D12">
      <w:pPr>
        <w:spacing w:line="480" w:lineRule="auto"/>
        <w:jc w:val="both"/>
        <w:rPr>
          <w:rFonts w:ascii="Times New Roman" w:hAnsi="Times New Roman"/>
          <w:sz w:val="24"/>
          <w:szCs w:val="24"/>
        </w:rPr>
      </w:pPr>
    </w:p>
    <w:p w14:paraId="7674DC3D" w14:textId="77777777" w:rsidR="00FF51CB" w:rsidRDefault="00FF51CB" w:rsidP="00154D12">
      <w:pPr>
        <w:spacing w:line="480" w:lineRule="auto"/>
        <w:jc w:val="both"/>
        <w:rPr>
          <w:rFonts w:ascii="Times New Roman" w:hAnsi="Times New Roman"/>
          <w:sz w:val="24"/>
          <w:szCs w:val="24"/>
        </w:rPr>
      </w:pPr>
    </w:p>
    <w:p w14:paraId="48D4C9CB" w14:textId="0FB86968"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sz w:val="24"/>
          <w:szCs w:val="24"/>
        </w:rPr>
        <w:t>Table 2 shows that the stroke subjects had higher platelet count but not statistically significant and the PT and APTT in test and control groups were similar.</w:t>
      </w:r>
    </w:p>
    <w:p w14:paraId="264E4797" w14:textId="5953C65F"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lastRenderedPageBreak/>
        <w:t xml:space="preserve">Table 2: platelet count, Prothrombin time (PT) and </w:t>
      </w:r>
      <w:proofErr w:type="gramStart"/>
      <w:r w:rsidR="002049C7">
        <w:rPr>
          <w:rFonts w:ascii="Times New Roman" w:hAnsi="Times New Roman"/>
          <w:b/>
          <w:sz w:val="24"/>
          <w:szCs w:val="24"/>
        </w:rPr>
        <w:t>A</w:t>
      </w:r>
      <w:r w:rsidR="002049C7" w:rsidRPr="005036AA">
        <w:rPr>
          <w:rFonts w:ascii="Times New Roman" w:hAnsi="Times New Roman"/>
          <w:b/>
          <w:sz w:val="24"/>
          <w:szCs w:val="24"/>
        </w:rPr>
        <w:t>ctivated</w:t>
      </w:r>
      <w:proofErr w:type="gramEnd"/>
      <w:r w:rsidRPr="005036AA">
        <w:rPr>
          <w:rFonts w:ascii="Times New Roman" w:hAnsi="Times New Roman"/>
          <w:b/>
          <w:sz w:val="24"/>
          <w:szCs w:val="24"/>
        </w:rPr>
        <w:t xml:space="preserve"> partial thromboplastin times (APTT) of Study Participants.</w:t>
      </w:r>
    </w:p>
    <w:tbl>
      <w:tblPr>
        <w:tblW w:w="8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6"/>
        <w:gridCol w:w="2442"/>
        <w:gridCol w:w="2067"/>
        <w:gridCol w:w="1322"/>
      </w:tblGrid>
      <w:tr w:rsidR="00154D12" w:rsidRPr="005036AA" w14:paraId="3DED90C9" w14:textId="77777777">
        <w:trPr>
          <w:trHeight w:val="569"/>
        </w:trPr>
        <w:tc>
          <w:tcPr>
            <w:tcW w:w="2446" w:type="dxa"/>
            <w:shd w:val="clear" w:color="000000" w:fill="FFFFFF"/>
          </w:tcPr>
          <w:p w14:paraId="241D335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Variables</w:t>
            </w:r>
          </w:p>
        </w:tc>
        <w:tc>
          <w:tcPr>
            <w:tcW w:w="2442" w:type="dxa"/>
            <w:shd w:val="clear" w:color="000000" w:fill="FFFFFF"/>
          </w:tcPr>
          <w:p w14:paraId="0F474F06" w14:textId="77777777" w:rsidR="00154D12" w:rsidRPr="005036AA" w:rsidRDefault="00154D12">
            <w:pPr>
              <w:pStyle w:val="NoSpacing"/>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w:t>
            </w:r>
          </w:p>
          <w:p w14:paraId="3DAF586B"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(n =65)</w:t>
            </w:r>
          </w:p>
        </w:tc>
        <w:tc>
          <w:tcPr>
            <w:tcW w:w="2067" w:type="dxa"/>
            <w:shd w:val="clear" w:color="000000" w:fill="FFFFFF"/>
          </w:tcPr>
          <w:p w14:paraId="0ADFE667" w14:textId="77777777" w:rsidR="00154D12" w:rsidRPr="005036AA" w:rsidRDefault="00154D12">
            <w:pPr>
              <w:pStyle w:val="NoSpacing"/>
              <w:jc w:val="both"/>
              <w:rPr>
                <w:rFonts w:ascii="Times New Roman" w:hAnsi="Times New Roman"/>
                <w:b/>
                <w:sz w:val="24"/>
                <w:szCs w:val="24"/>
              </w:rPr>
            </w:pPr>
            <w:r w:rsidRPr="005036AA">
              <w:rPr>
                <w:rFonts w:ascii="Times New Roman" w:hAnsi="Times New Roman"/>
                <w:b/>
                <w:sz w:val="24"/>
                <w:szCs w:val="24"/>
              </w:rPr>
              <w:t>Controls</w:t>
            </w:r>
          </w:p>
          <w:p w14:paraId="4A96B59D"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(n = 65)</w:t>
            </w:r>
          </w:p>
        </w:tc>
        <w:tc>
          <w:tcPr>
            <w:tcW w:w="1322" w:type="dxa"/>
            <w:shd w:val="clear" w:color="000000" w:fill="FFFFFF"/>
          </w:tcPr>
          <w:p w14:paraId="12C22AB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b/>
                <w:sz w:val="24"/>
                <w:szCs w:val="24"/>
              </w:rPr>
              <w:t>P Value</w:t>
            </w:r>
          </w:p>
        </w:tc>
      </w:tr>
      <w:tr w:rsidR="00154D12" w:rsidRPr="005036AA" w14:paraId="113EE95A" w14:textId="77777777">
        <w:trPr>
          <w:trHeight w:val="266"/>
        </w:trPr>
        <w:tc>
          <w:tcPr>
            <w:tcW w:w="2446" w:type="dxa"/>
            <w:shd w:val="clear" w:color="000000" w:fill="FFFFFF"/>
          </w:tcPr>
          <w:p w14:paraId="5DD854D8" w14:textId="77777777" w:rsidR="00154D12" w:rsidRPr="005036AA" w:rsidRDefault="00154D12">
            <w:pPr>
              <w:pStyle w:val="NoSpacing"/>
              <w:spacing w:before="240"/>
              <w:jc w:val="both"/>
              <w:rPr>
                <w:rFonts w:ascii="Times New Roman" w:hAnsi="Times New Roman"/>
                <w:sz w:val="24"/>
                <w:szCs w:val="24"/>
              </w:rPr>
            </w:pPr>
            <w:r w:rsidRPr="005036AA">
              <w:rPr>
                <w:rFonts w:ascii="Times New Roman" w:hAnsi="Times New Roman"/>
                <w:sz w:val="24"/>
                <w:szCs w:val="24"/>
              </w:rPr>
              <w:t xml:space="preserve">Platelet </w:t>
            </w:r>
            <w:proofErr w:type="gramStart"/>
            <w:r w:rsidRPr="005036AA">
              <w:rPr>
                <w:rFonts w:ascii="Times New Roman" w:hAnsi="Times New Roman"/>
                <w:sz w:val="24"/>
                <w:szCs w:val="24"/>
              </w:rPr>
              <w:t>( x</w:t>
            </w:r>
            <w:proofErr w:type="gramEnd"/>
            <w:r w:rsidRPr="005036AA">
              <w:rPr>
                <w:rFonts w:ascii="Times New Roman" w:hAnsi="Times New Roman"/>
                <w:sz w:val="24"/>
                <w:szCs w:val="24"/>
              </w:rPr>
              <w:t>10</w:t>
            </w:r>
            <w:r w:rsidRPr="005036AA">
              <w:rPr>
                <w:rFonts w:ascii="Times New Roman" w:hAnsi="Times New Roman"/>
                <w:sz w:val="24"/>
                <w:szCs w:val="24"/>
                <w:vertAlign w:val="superscript"/>
              </w:rPr>
              <w:t xml:space="preserve"> 9</w:t>
            </w:r>
            <w:r w:rsidRPr="005036AA">
              <w:rPr>
                <w:rFonts w:ascii="Times New Roman" w:hAnsi="Times New Roman"/>
                <w:sz w:val="24"/>
                <w:szCs w:val="24"/>
              </w:rPr>
              <w:t>/l)</w:t>
            </w:r>
          </w:p>
        </w:tc>
        <w:tc>
          <w:tcPr>
            <w:tcW w:w="2442" w:type="dxa"/>
            <w:shd w:val="clear" w:color="000000" w:fill="FFFFFF"/>
          </w:tcPr>
          <w:p w14:paraId="4F3BDCE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197.92 ± 64.81</w:t>
            </w:r>
          </w:p>
        </w:tc>
        <w:tc>
          <w:tcPr>
            <w:tcW w:w="2067" w:type="dxa"/>
            <w:shd w:val="clear" w:color="000000" w:fill="FFFFFF"/>
          </w:tcPr>
          <w:p w14:paraId="46965C1D"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186.35 ± 54.49</w:t>
            </w:r>
          </w:p>
        </w:tc>
        <w:tc>
          <w:tcPr>
            <w:tcW w:w="1322" w:type="dxa"/>
            <w:shd w:val="clear" w:color="000000" w:fill="FFFFFF"/>
          </w:tcPr>
          <w:p w14:paraId="1158A85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0.269</w:t>
            </w:r>
          </w:p>
        </w:tc>
      </w:tr>
      <w:tr w:rsidR="00154D12" w:rsidRPr="005036AA" w14:paraId="17D0542B" w14:textId="77777777">
        <w:trPr>
          <w:trHeight w:val="284"/>
        </w:trPr>
        <w:tc>
          <w:tcPr>
            <w:tcW w:w="2446" w:type="dxa"/>
            <w:shd w:val="clear" w:color="000000" w:fill="FFFFFF"/>
          </w:tcPr>
          <w:p w14:paraId="358AC9B5"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PT (secs)</w:t>
            </w:r>
          </w:p>
        </w:tc>
        <w:tc>
          <w:tcPr>
            <w:tcW w:w="2442" w:type="dxa"/>
            <w:shd w:val="clear" w:color="000000" w:fill="FFFFFF"/>
          </w:tcPr>
          <w:p w14:paraId="2868FE72"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13.68 ± 2.47</w:t>
            </w:r>
          </w:p>
        </w:tc>
        <w:tc>
          <w:tcPr>
            <w:tcW w:w="2067" w:type="dxa"/>
            <w:shd w:val="clear" w:color="000000" w:fill="FFFFFF"/>
          </w:tcPr>
          <w:p w14:paraId="5EF61F26"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13.34 ± 1.60</w:t>
            </w:r>
          </w:p>
        </w:tc>
        <w:tc>
          <w:tcPr>
            <w:tcW w:w="1322" w:type="dxa"/>
            <w:shd w:val="clear" w:color="000000" w:fill="FFFFFF"/>
          </w:tcPr>
          <w:p w14:paraId="2315D670"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0.356</w:t>
            </w:r>
          </w:p>
        </w:tc>
      </w:tr>
      <w:tr w:rsidR="00154D12" w:rsidRPr="005036AA" w14:paraId="2904364B" w14:textId="77777777">
        <w:trPr>
          <w:trHeight w:val="301"/>
        </w:trPr>
        <w:tc>
          <w:tcPr>
            <w:tcW w:w="2446" w:type="dxa"/>
            <w:shd w:val="clear" w:color="000000" w:fill="FFFFFF"/>
          </w:tcPr>
          <w:p w14:paraId="2E39A20E"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APTT (secs)</w:t>
            </w:r>
          </w:p>
        </w:tc>
        <w:tc>
          <w:tcPr>
            <w:tcW w:w="2442" w:type="dxa"/>
            <w:shd w:val="clear" w:color="000000" w:fill="FFFFFF"/>
          </w:tcPr>
          <w:p w14:paraId="740AC1E8"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37.11 ± 3.14</w:t>
            </w:r>
          </w:p>
        </w:tc>
        <w:tc>
          <w:tcPr>
            <w:tcW w:w="2067" w:type="dxa"/>
            <w:shd w:val="clear" w:color="000000" w:fill="FFFFFF"/>
          </w:tcPr>
          <w:p w14:paraId="5BBDE4C7"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37.86 ± 1.43</w:t>
            </w:r>
          </w:p>
        </w:tc>
        <w:tc>
          <w:tcPr>
            <w:tcW w:w="1322" w:type="dxa"/>
            <w:shd w:val="clear" w:color="000000" w:fill="FFFFFF"/>
          </w:tcPr>
          <w:p w14:paraId="1EFE9E1B" w14:textId="77777777" w:rsidR="00154D12" w:rsidRPr="005036AA" w:rsidRDefault="00154D12">
            <w:pPr>
              <w:pStyle w:val="NoSpacing"/>
              <w:jc w:val="both"/>
              <w:rPr>
                <w:rFonts w:ascii="Times New Roman" w:hAnsi="Times New Roman"/>
                <w:sz w:val="24"/>
                <w:szCs w:val="24"/>
              </w:rPr>
            </w:pPr>
            <w:r w:rsidRPr="005036AA">
              <w:rPr>
                <w:rFonts w:ascii="Times New Roman" w:hAnsi="Times New Roman"/>
                <w:sz w:val="24"/>
                <w:szCs w:val="24"/>
              </w:rPr>
              <w:t>0.081</w:t>
            </w:r>
          </w:p>
        </w:tc>
      </w:tr>
    </w:tbl>
    <w:p w14:paraId="21A3B5D6" w14:textId="77777777" w:rsidR="00154D12" w:rsidRPr="005036AA" w:rsidRDefault="00154D12" w:rsidP="00154D12">
      <w:pPr>
        <w:spacing w:line="480" w:lineRule="auto"/>
        <w:jc w:val="both"/>
        <w:rPr>
          <w:rFonts w:ascii="Times New Roman" w:hAnsi="Times New Roman"/>
          <w:b/>
          <w:sz w:val="24"/>
          <w:szCs w:val="24"/>
        </w:rPr>
      </w:pPr>
    </w:p>
    <w:p w14:paraId="20839D5F" w14:textId="7777777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As shown in table 3,</w:t>
      </w:r>
      <w:r w:rsidRPr="005036AA">
        <w:rPr>
          <w:rFonts w:ascii="Times New Roman" w:hAnsi="Times New Roman"/>
          <w:b/>
          <w:sz w:val="24"/>
          <w:szCs w:val="24"/>
        </w:rPr>
        <w:t xml:space="preserve"> </w:t>
      </w:r>
      <w:r w:rsidRPr="005036AA">
        <w:rPr>
          <w:rFonts w:ascii="Times New Roman" w:hAnsi="Times New Roman"/>
          <w:sz w:val="24"/>
          <w:szCs w:val="24"/>
        </w:rPr>
        <w:t xml:space="preserve">the mean functional AT levels, AT Ag levels and AT </w:t>
      </w:r>
      <w:proofErr w:type="gramStart"/>
      <w:r w:rsidRPr="005036AA">
        <w:rPr>
          <w:rFonts w:ascii="Times New Roman" w:hAnsi="Times New Roman"/>
          <w:sz w:val="24"/>
          <w:szCs w:val="24"/>
        </w:rPr>
        <w:t>Ag(</w:t>
      </w:r>
      <w:proofErr w:type="gramEnd"/>
      <w:r w:rsidRPr="005036AA">
        <w:rPr>
          <w:rFonts w:ascii="Times New Roman" w:hAnsi="Times New Roman"/>
          <w:sz w:val="24"/>
          <w:szCs w:val="24"/>
        </w:rPr>
        <w:t xml:space="preserve">%) of the stroke and control groups were 93.36 </w:t>
      </w:r>
      <w:r w:rsidRPr="005036AA">
        <w:rPr>
          <w:rFonts w:ascii="Times New Roman" w:hAnsi="Times New Roman"/>
          <w:noProof/>
          <w:position w:val="-4"/>
          <w:sz w:val="24"/>
          <w:szCs w:val="24"/>
        </w:rPr>
        <w:drawing>
          <wp:inline distT="0" distB="0" distL="0" distR="0" wp14:anchorId="42E7EF1C" wp14:editId="56CCD32C">
            <wp:extent cx="160655" cy="1911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21.38, 282.97 </w:t>
      </w:r>
      <w:r w:rsidRPr="005036AA">
        <w:rPr>
          <w:rFonts w:ascii="Times New Roman" w:hAnsi="Times New Roman"/>
          <w:noProof/>
          <w:position w:val="-4"/>
          <w:sz w:val="24"/>
          <w:szCs w:val="24"/>
        </w:rPr>
        <w:drawing>
          <wp:inline distT="0" distB="0" distL="0" distR="0" wp14:anchorId="0ACE1C33" wp14:editId="201C8282">
            <wp:extent cx="160655" cy="1911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47.52 and 101.29 </w:t>
      </w:r>
      <w:r w:rsidRPr="005036AA">
        <w:rPr>
          <w:rFonts w:ascii="Times New Roman" w:hAnsi="Times New Roman"/>
          <w:noProof/>
          <w:position w:val="-4"/>
          <w:sz w:val="24"/>
          <w:szCs w:val="24"/>
        </w:rPr>
        <w:drawing>
          <wp:inline distT="0" distB="0" distL="0" distR="0" wp14:anchorId="00C76EA0" wp14:editId="7DEBA8D8">
            <wp:extent cx="160655" cy="19113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2.36 respectively while those of the controls were 93.36 </w:t>
      </w:r>
      <w:r w:rsidRPr="005036AA">
        <w:rPr>
          <w:rFonts w:ascii="Times New Roman" w:hAnsi="Times New Roman"/>
          <w:noProof/>
          <w:position w:val="-4"/>
          <w:sz w:val="24"/>
          <w:szCs w:val="24"/>
        </w:rPr>
        <w:drawing>
          <wp:inline distT="0" distB="0" distL="0" distR="0" wp14:anchorId="54B95391" wp14:editId="64C7B2AC">
            <wp:extent cx="160655" cy="19113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19.88, 278.28 </w:t>
      </w:r>
      <w:r w:rsidRPr="005036AA">
        <w:rPr>
          <w:rFonts w:ascii="Times New Roman" w:hAnsi="Times New Roman"/>
          <w:noProof/>
          <w:position w:val="-4"/>
          <w:sz w:val="24"/>
          <w:szCs w:val="24"/>
        </w:rPr>
        <w:drawing>
          <wp:inline distT="0" distB="0" distL="0" distR="0" wp14:anchorId="5C1E57E2" wp14:editId="131E6C6B">
            <wp:extent cx="160655" cy="19113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49.59 and 99.19 </w:t>
      </w:r>
      <w:r w:rsidRPr="005036AA">
        <w:rPr>
          <w:rFonts w:ascii="Times New Roman" w:hAnsi="Times New Roman"/>
          <w:noProof/>
          <w:position w:val="-4"/>
          <w:sz w:val="24"/>
          <w:szCs w:val="24"/>
        </w:rPr>
        <w:drawing>
          <wp:inline distT="0" distB="0" distL="0" distR="0" wp14:anchorId="11320D41" wp14:editId="48333BEC">
            <wp:extent cx="160655" cy="19113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160655" cy="191135"/>
                    </a:xfrm>
                    <a:prstGeom prst="rect">
                      <a:avLst/>
                    </a:prstGeom>
                    <a:noFill/>
                    <a:ln w="9525">
                      <a:noFill/>
                      <a:miter lim="800000"/>
                      <a:headEnd/>
                      <a:tailEnd/>
                    </a:ln>
                  </pic:spPr>
                </pic:pic>
              </a:graphicData>
            </a:graphic>
          </wp:inline>
        </w:drawing>
      </w:r>
      <w:r w:rsidRPr="005036AA">
        <w:rPr>
          <w:rFonts w:ascii="Times New Roman" w:hAnsi="Times New Roman"/>
          <w:sz w:val="24"/>
          <w:szCs w:val="24"/>
        </w:rPr>
        <w:t xml:space="preserve"> 27.73 respectively. There was no statistically significant difference in the means between the case and control groups.</w:t>
      </w:r>
    </w:p>
    <w:p w14:paraId="74391C0D" w14:textId="77777777"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b/>
          <w:sz w:val="24"/>
          <w:szCs w:val="24"/>
        </w:rPr>
        <w:t xml:space="preserve">Table 3: </w:t>
      </w:r>
      <w:proofErr w:type="gramStart"/>
      <w:r w:rsidRPr="005036AA">
        <w:rPr>
          <w:rFonts w:ascii="Times New Roman" w:hAnsi="Times New Roman"/>
          <w:b/>
          <w:sz w:val="24"/>
          <w:szCs w:val="24"/>
        </w:rPr>
        <w:t>Antithrombin  levels</w:t>
      </w:r>
      <w:proofErr w:type="gramEnd"/>
      <w:r w:rsidRPr="005036AA">
        <w:rPr>
          <w:rFonts w:ascii="Times New Roman" w:hAnsi="Times New Roman"/>
          <w:b/>
          <w:sz w:val="24"/>
          <w:szCs w:val="24"/>
        </w:rPr>
        <w:t xml:space="preserve"> in Study Participants</w:t>
      </w:r>
    </w:p>
    <w:tbl>
      <w:tblPr>
        <w:tblW w:w="9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46"/>
        <w:gridCol w:w="2712"/>
        <w:gridCol w:w="1830"/>
        <w:gridCol w:w="1374"/>
      </w:tblGrid>
      <w:tr w:rsidR="00154D12" w:rsidRPr="005036AA" w14:paraId="4AFFF364" w14:textId="77777777">
        <w:trPr>
          <w:trHeight w:val="698"/>
        </w:trPr>
        <w:tc>
          <w:tcPr>
            <w:tcW w:w="3346" w:type="dxa"/>
            <w:shd w:val="clear" w:color="000000" w:fill="FFFFFF"/>
          </w:tcPr>
          <w:p w14:paraId="4DF6170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Variables</w:t>
            </w:r>
          </w:p>
        </w:tc>
        <w:tc>
          <w:tcPr>
            <w:tcW w:w="2712" w:type="dxa"/>
            <w:shd w:val="clear" w:color="000000" w:fill="FFFFFF"/>
          </w:tcPr>
          <w:p w14:paraId="74DF697F" w14:textId="77777777" w:rsidR="00154D12" w:rsidRPr="005036AA" w:rsidRDefault="00154D12">
            <w:pPr>
              <w:pStyle w:val="TOC2"/>
              <w:spacing w:line="240" w:lineRule="auto"/>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w:t>
            </w:r>
          </w:p>
          <w:p w14:paraId="39DF1F2E"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(n =65)</w:t>
            </w:r>
          </w:p>
        </w:tc>
        <w:tc>
          <w:tcPr>
            <w:tcW w:w="1830" w:type="dxa"/>
            <w:shd w:val="clear" w:color="000000" w:fill="FFFFFF"/>
          </w:tcPr>
          <w:p w14:paraId="3FBBECDF" w14:textId="77777777" w:rsidR="00154D12" w:rsidRPr="005036AA" w:rsidRDefault="00154D12">
            <w:pPr>
              <w:pStyle w:val="TOC2"/>
              <w:spacing w:line="240" w:lineRule="auto"/>
              <w:jc w:val="both"/>
              <w:rPr>
                <w:rFonts w:ascii="Times New Roman" w:hAnsi="Times New Roman"/>
                <w:b/>
                <w:sz w:val="24"/>
                <w:szCs w:val="24"/>
              </w:rPr>
            </w:pPr>
            <w:r w:rsidRPr="005036AA">
              <w:rPr>
                <w:rFonts w:ascii="Times New Roman" w:hAnsi="Times New Roman"/>
                <w:b/>
                <w:sz w:val="24"/>
                <w:szCs w:val="24"/>
              </w:rPr>
              <w:t>Controls</w:t>
            </w:r>
          </w:p>
          <w:p w14:paraId="277AF397"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(n = 65)</w:t>
            </w:r>
          </w:p>
        </w:tc>
        <w:tc>
          <w:tcPr>
            <w:tcW w:w="1374" w:type="dxa"/>
            <w:shd w:val="clear" w:color="000000" w:fill="FFFFFF"/>
          </w:tcPr>
          <w:p w14:paraId="32DFB3C2"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b/>
                <w:sz w:val="24"/>
                <w:szCs w:val="24"/>
              </w:rPr>
              <w:t>P value</w:t>
            </w:r>
          </w:p>
        </w:tc>
      </w:tr>
      <w:tr w:rsidR="00154D12" w:rsidRPr="005036AA" w14:paraId="7D73F5E5" w14:textId="77777777">
        <w:trPr>
          <w:trHeight w:val="271"/>
        </w:trPr>
        <w:tc>
          <w:tcPr>
            <w:tcW w:w="3346" w:type="dxa"/>
            <w:shd w:val="clear" w:color="000000" w:fill="FFFFFF"/>
          </w:tcPr>
          <w:p w14:paraId="58291BF8" w14:textId="5C9E724D"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 xml:space="preserve">Functional </w:t>
            </w:r>
            <w:r w:rsidR="002049C7" w:rsidRPr="005036AA">
              <w:rPr>
                <w:rFonts w:ascii="Times New Roman" w:hAnsi="Times New Roman"/>
                <w:sz w:val="24"/>
                <w:szCs w:val="24"/>
              </w:rPr>
              <w:t>AT (</w:t>
            </w:r>
            <w:r w:rsidRPr="005036AA">
              <w:rPr>
                <w:rFonts w:ascii="Times New Roman" w:hAnsi="Times New Roman"/>
                <w:sz w:val="24"/>
                <w:szCs w:val="24"/>
              </w:rPr>
              <w:t>%)</w:t>
            </w:r>
          </w:p>
        </w:tc>
        <w:tc>
          <w:tcPr>
            <w:tcW w:w="2712" w:type="dxa"/>
            <w:shd w:val="clear" w:color="000000" w:fill="FFFFFF"/>
          </w:tcPr>
          <w:p w14:paraId="3C22CE5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93.36 ± 21.38</w:t>
            </w:r>
          </w:p>
        </w:tc>
        <w:tc>
          <w:tcPr>
            <w:tcW w:w="1830" w:type="dxa"/>
            <w:shd w:val="clear" w:color="000000" w:fill="FFFFFF"/>
          </w:tcPr>
          <w:p w14:paraId="1E539463"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93.36 ± 19.88</w:t>
            </w:r>
          </w:p>
        </w:tc>
        <w:tc>
          <w:tcPr>
            <w:tcW w:w="1374" w:type="dxa"/>
            <w:shd w:val="clear" w:color="000000" w:fill="FFFFFF"/>
          </w:tcPr>
          <w:p w14:paraId="07706233"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0.998</w:t>
            </w:r>
          </w:p>
        </w:tc>
      </w:tr>
      <w:tr w:rsidR="00154D12" w:rsidRPr="005036AA" w14:paraId="2077F379" w14:textId="77777777">
        <w:trPr>
          <w:trHeight w:val="271"/>
        </w:trPr>
        <w:tc>
          <w:tcPr>
            <w:tcW w:w="3346" w:type="dxa"/>
            <w:shd w:val="clear" w:color="000000" w:fill="FFFFFF"/>
          </w:tcPr>
          <w:p w14:paraId="64AD5B4F" w14:textId="326E3CBC" w:rsidR="00154D12" w:rsidRPr="005036AA" w:rsidRDefault="002049C7">
            <w:pPr>
              <w:pStyle w:val="TOC2"/>
              <w:spacing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LEVEL (µg/l)</w:t>
            </w:r>
          </w:p>
        </w:tc>
        <w:tc>
          <w:tcPr>
            <w:tcW w:w="2712" w:type="dxa"/>
            <w:shd w:val="clear" w:color="000000" w:fill="FFFFFF"/>
          </w:tcPr>
          <w:p w14:paraId="6994CF1F"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282.97 ± 47.52</w:t>
            </w:r>
          </w:p>
        </w:tc>
        <w:tc>
          <w:tcPr>
            <w:tcW w:w="1830" w:type="dxa"/>
            <w:shd w:val="clear" w:color="000000" w:fill="FFFFFF"/>
          </w:tcPr>
          <w:p w14:paraId="0CDAC7E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278.28 ± 49.59</w:t>
            </w:r>
          </w:p>
        </w:tc>
        <w:tc>
          <w:tcPr>
            <w:tcW w:w="1374" w:type="dxa"/>
            <w:shd w:val="clear" w:color="000000" w:fill="FFFFFF"/>
          </w:tcPr>
          <w:p w14:paraId="4033DB7C"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0.583</w:t>
            </w:r>
          </w:p>
        </w:tc>
      </w:tr>
      <w:tr w:rsidR="00154D12" w:rsidRPr="005036AA" w14:paraId="6EA86029" w14:textId="77777777">
        <w:trPr>
          <w:trHeight w:val="271"/>
        </w:trPr>
        <w:tc>
          <w:tcPr>
            <w:tcW w:w="3346" w:type="dxa"/>
            <w:shd w:val="clear" w:color="000000" w:fill="FFFFFF"/>
          </w:tcPr>
          <w:p w14:paraId="34C4311D" w14:textId="4D29AC3C" w:rsidR="00154D12" w:rsidRPr="005036AA" w:rsidRDefault="002049C7">
            <w:pPr>
              <w:pStyle w:val="TOC2"/>
              <w:spacing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w:t>
            </w:r>
          </w:p>
        </w:tc>
        <w:tc>
          <w:tcPr>
            <w:tcW w:w="2712" w:type="dxa"/>
            <w:shd w:val="clear" w:color="000000" w:fill="FFFFFF"/>
          </w:tcPr>
          <w:p w14:paraId="659CFC4D"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101.29 ± 2.36</w:t>
            </w:r>
          </w:p>
        </w:tc>
        <w:tc>
          <w:tcPr>
            <w:tcW w:w="1830" w:type="dxa"/>
            <w:shd w:val="clear" w:color="000000" w:fill="FFFFFF"/>
          </w:tcPr>
          <w:p w14:paraId="5287FCD9"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99.19 ± 27.73</w:t>
            </w:r>
          </w:p>
        </w:tc>
        <w:tc>
          <w:tcPr>
            <w:tcW w:w="1374" w:type="dxa"/>
            <w:shd w:val="clear" w:color="000000" w:fill="FFFFFF"/>
          </w:tcPr>
          <w:p w14:paraId="45FBF9BB" w14:textId="77777777" w:rsidR="00154D12" w:rsidRPr="005036AA" w:rsidRDefault="00154D12">
            <w:pPr>
              <w:pStyle w:val="TOC2"/>
              <w:spacing w:line="240" w:lineRule="auto"/>
              <w:jc w:val="both"/>
              <w:rPr>
                <w:rFonts w:ascii="Times New Roman" w:hAnsi="Times New Roman"/>
                <w:sz w:val="24"/>
                <w:szCs w:val="24"/>
              </w:rPr>
            </w:pPr>
            <w:r w:rsidRPr="005036AA">
              <w:rPr>
                <w:rFonts w:ascii="Times New Roman" w:hAnsi="Times New Roman"/>
                <w:sz w:val="24"/>
                <w:szCs w:val="24"/>
              </w:rPr>
              <w:t>0.641</w:t>
            </w:r>
          </w:p>
        </w:tc>
      </w:tr>
    </w:tbl>
    <w:p w14:paraId="4C7DEDF2" w14:textId="77777777" w:rsidR="00154D12" w:rsidRPr="005036AA" w:rsidRDefault="00154D12" w:rsidP="00154D12">
      <w:pPr>
        <w:spacing w:line="480" w:lineRule="auto"/>
        <w:jc w:val="both"/>
        <w:rPr>
          <w:rFonts w:ascii="Times New Roman" w:hAnsi="Times New Roman"/>
          <w:sz w:val="24"/>
          <w:szCs w:val="24"/>
        </w:rPr>
      </w:pPr>
    </w:p>
    <w:p w14:paraId="1E38F208" w14:textId="7B3F7C5E" w:rsidR="00154D12" w:rsidRPr="005036AA" w:rsidRDefault="00FF51CB" w:rsidP="00154D12">
      <w:pPr>
        <w:spacing w:line="480" w:lineRule="auto"/>
        <w:jc w:val="both"/>
        <w:rPr>
          <w:rFonts w:ascii="Times New Roman" w:hAnsi="Times New Roman"/>
          <w:sz w:val="24"/>
          <w:szCs w:val="24"/>
        </w:rPr>
      </w:pPr>
      <w:r>
        <w:rPr>
          <w:rFonts w:ascii="Times New Roman" w:hAnsi="Times New Roman"/>
          <w:sz w:val="24"/>
          <w:szCs w:val="24"/>
        </w:rPr>
        <w:t xml:space="preserve">Table </w:t>
      </w:r>
      <w:r w:rsidR="00154D12" w:rsidRPr="005036AA">
        <w:rPr>
          <w:rFonts w:ascii="Times New Roman" w:hAnsi="Times New Roman"/>
          <w:sz w:val="24"/>
          <w:szCs w:val="24"/>
        </w:rPr>
        <w:t xml:space="preserve">4 depicts no significant correlation between platelet count and AT. </w:t>
      </w:r>
      <w:proofErr w:type="gramStart"/>
      <w:r w:rsidR="00154D12" w:rsidRPr="005036AA">
        <w:rPr>
          <w:rFonts w:ascii="Times New Roman" w:hAnsi="Times New Roman"/>
          <w:sz w:val="24"/>
          <w:szCs w:val="24"/>
        </w:rPr>
        <w:t>However</w:t>
      </w:r>
      <w:proofErr w:type="gramEnd"/>
      <w:r w:rsidR="00154D12" w:rsidRPr="005036AA">
        <w:rPr>
          <w:rFonts w:ascii="Times New Roman" w:hAnsi="Times New Roman"/>
          <w:sz w:val="24"/>
          <w:szCs w:val="24"/>
        </w:rPr>
        <w:t xml:space="preserve"> there is a significant negative correlation between functional AT activity and prothrombin time (r=-0.412; p value = 0.001) and also </w:t>
      </w:r>
      <w:proofErr w:type="spellStart"/>
      <w:r w:rsidR="00154D12" w:rsidRPr="005036AA">
        <w:rPr>
          <w:rFonts w:ascii="Times New Roman" w:hAnsi="Times New Roman"/>
          <w:sz w:val="24"/>
          <w:szCs w:val="24"/>
        </w:rPr>
        <w:t>beween</w:t>
      </w:r>
      <w:proofErr w:type="spellEnd"/>
      <w:r w:rsidR="00154D12" w:rsidRPr="005036AA">
        <w:rPr>
          <w:rFonts w:ascii="Times New Roman" w:hAnsi="Times New Roman"/>
          <w:sz w:val="24"/>
          <w:szCs w:val="24"/>
        </w:rPr>
        <w:t xml:space="preserve"> AT Ag levels (%) and APTT in the stroke subjects (r=-0.258; P = 0.038)</w:t>
      </w:r>
    </w:p>
    <w:p w14:paraId="09A9E238" w14:textId="77777777" w:rsidR="00154D12" w:rsidRPr="005036AA" w:rsidRDefault="00154D12" w:rsidP="00154D12">
      <w:pPr>
        <w:spacing w:line="480" w:lineRule="auto"/>
        <w:jc w:val="both"/>
        <w:rPr>
          <w:rFonts w:ascii="Times New Roman" w:hAnsi="Times New Roman"/>
          <w:b/>
          <w:sz w:val="24"/>
          <w:szCs w:val="24"/>
        </w:rPr>
      </w:pPr>
      <w:r w:rsidRPr="005036AA">
        <w:rPr>
          <w:rFonts w:ascii="Times New Roman" w:hAnsi="Times New Roman"/>
          <w:b/>
          <w:sz w:val="24"/>
          <w:szCs w:val="24"/>
        </w:rPr>
        <w:lastRenderedPageBreak/>
        <w:t xml:space="preserve">Table 4: Correlation between Antithrombin, Platelet, Prothrombin time and APTT in Subjects with </w:t>
      </w: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w:t>
      </w:r>
    </w:p>
    <w:tbl>
      <w:tblPr>
        <w:tblW w:w="9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93"/>
        <w:gridCol w:w="1276"/>
        <w:gridCol w:w="1915"/>
        <w:gridCol w:w="2018"/>
        <w:gridCol w:w="1916"/>
      </w:tblGrid>
      <w:tr w:rsidR="00154D12" w:rsidRPr="005036AA" w14:paraId="5EECA693" w14:textId="77777777">
        <w:tc>
          <w:tcPr>
            <w:tcW w:w="2093" w:type="dxa"/>
            <w:shd w:val="clear" w:color="000000" w:fill="FFFFFF"/>
          </w:tcPr>
          <w:p w14:paraId="5558327E"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3395F5CC"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915" w:type="dxa"/>
            <w:shd w:val="clear" w:color="000000" w:fill="FFFFFF"/>
          </w:tcPr>
          <w:p w14:paraId="1B036DC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 xml:space="preserve">Platelet </w:t>
            </w:r>
          </w:p>
        </w:tc>
        <w:tc>
          <w:tcPr>
            <w:tcW w:w="2018" w:type="dxa"/>
            <w:shd w:val="clear" w:color="000000" w:fill="FFFFFF"/>
          </w:tcPr>
          <w:p w14:paraId="6D97168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Prothrombin Time</w:t>
            </w:r>
          </w:p>
        </w:tc>
        <w:tc>
          <w:tcPr>
            <w:tcW w:w="1916" w:type="dxa"/>
            <w:shd w:val="clear" w:color="000000" w:fill="FFFFFF"/>
          </w:tcPr>
          <w:p w14:paraId="58480B7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APTT</w:t>
            </w:r>
          </w:p>
        </w:tc>
      </w:tr>
      <w:tr w:rsidR="00154D12" w:rsidRPr="005036AA" w14:paraId="719D988E" w14:textId="77777777">
        <w:tc>
          <w:tcPr>
            <w:tcW w:w="2093" w:type="dxa"/>
            <w:shd w:val="clear" w:color="000000" w:fill="FFFFFF"/>
          </w:tcPr>
          <w:p w14:paraId="37BF4725"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 xml:space="preserve">Functional AT </w:t>
            </w:r>
          </w:p>
        </w:tc>
        <w:tc>
          <w:tcPr>
            <w:tcW w:w="1276" w:type="dxa"/>
            <w:shd w:val="clear" w:color="000000" w:fill="FFFFFF"/>
          </w:tcPr>
          <w:p w14:paraId="401925F1"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1FD15DAD"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-0182</w:t>
            </w:r>
          </w:p>
        </w:tc>
        <w:tc>
          <w:tcPr>
            <w:tcW w:w="2018" w:type="dxa"/>
            <w:shd w:val="clear" w:color="000000" w:fill="FFFFFF"/>
          </w:tcPr>
          <w:p w14:paraId="3E03887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-0.412</w:t>
            </w:r>
          </w:p>
        </w:tc>
        <w:tc>
          <w:tcPr>
            <w:tcW w:w="1916" w:type="dxa"/>
            <w:shd w:val="clear" w:color="000000" w:fill="FFFFFF"/>
          </w:tcPr>
          <w:p w14:paraId="2898310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-0.175</w:t>
            </w:r>
          </w:p>
        </w:tc>
      </w:tr>
      <w:tr w:rsidR="00154D12" w:rsidRPr="005036AA" w14:paraId="1450EDD2" w14:textId="77777777">
        <w:tc>
          <w:tcPr>
            <w:tcW w:w="2093" w:type="dxa"/>
            <w:shd w:val="clear" w:color="000000" w:fill="FFFFFF"/>
          </w:tcPr>
          <w:p w14:paraId="45F27692"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01BBA9F7"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177423ED"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0.147</w:t>
            </w:r>
          </w:p>
        </w:tc>
        <w:tc>
          <w:tcPr>
            <w:tcW w:w="2018" w:type="dxa"/>
            <w:shd w:val="clear" w:color="000000" w:fill="FFFFFF"/>
          </w:tcPr>
          <w:p w14:paraId="5D93019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0.001*</w:t>
            </w:r>
          </w:p>
        </w:tc>
        <w:tc>
          <w:tcPr>
            <w:tcW w:w="1916" w:type="dxa"/>
            <w:shd w:val="clear" w:color="000000" w:fill="FFFFFF"/>
          </w:tcPr>
          <w:p w14:paraId="6BB1853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0.163</w:t>
            </w:r>
          </w:p>
        </w:tc>
      </w:tr>
      <w:tr w:rsidR="00154D12" w:rsidRPr="005036AA" w14:paraId="46375D22" w14:textId="77777777">
        <w:tc>
          <w:tcPr>
            <w:tcW w:w="2093" w:type="dxa"/>
            <w:shd w:val="clear" w:color="000000" w:fill="FFFFFF"/>
          </w:tcPr>
          <w:p w14:paraId="7FC04C8E" w14:textId="54062251" w:rsidR="00154D12" w:rsidRPr="005036AA" w:rsidRDefault="002049C7">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Level</w:t>
            </w:r>
          </w:p>
        </w:tc>
        <w:tc>
          <w:tcPr>
            <w:tcW w:w="1276" w:type="dxa"/>
            <w:shd w:val="clear" w:color="000000" w:fill="FFFFFF"/>
          </w:tcPr>
          <w:p w14:paraId="0F45D76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0566438C"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-0.047</w:t>
            </w:r>
          </w:p>
        </w:tc>
        <w:tc>
          <w:tcPr>
            <w:tcW w:w="2018" w:type="dxa"/>
            <w:shd w:val="clear" w:color="000000" w:fill="FFFFFF"/>
          </w:tcPr>
          <w:p w14:paraId="3F3A0842"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0.013</w:t>
            </w:r>
          </w:p>
        </w:tc>
        <w:tc>
          <w:tcPr>
            <w:tcW w:w="1916" w:type="dxa"/>
            <w:shd w:val="clear" w:color="000000" w:fill="FFFFFF"/>
          </w:tcPr>
          <w:p w14:paraId="305BA0DF"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-0.232</w:t>
            </w:r>
          </w:p>
        </w:tc>
      </w:tr>
      <w:tr w:rsidR="00154D12" w:rsidRPr="005036AA" w14:paraId="0F5C292D" w14:textId="77777777">
        <w:tc>
          <w:tcPr>
            <w:tcW w:w="2093" w:type="dxa"/>
            <w:shd w:val="clear" w:color="000000" w:fill="FFFFFF"/>
          </w:tcPr>
          <w:p w14:paraId="54FCBE30"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7F19134C"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00063EF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0.712</w:t>
            </w:r>
          </w:p>
        </w:tc>
        <w:tc>
          <w:tcPr>
            <w:tcW w:w="2018" w:type="dxa"/>
            <w:shd w:val="clear" w:color="000000" w:fill="FFFFFF"/>
          </w:tcPr>
          <w:p w14:paraId="0AAAB3BF"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0.915</w:t>
            </w:r>
          </w:p>
        </w:tc>
        <w:tc>
          <w:tcPr>
            <w:tcW w:w="1916" w:type="dxa"/>
            <w:shd w:val="clear" w:color="000000" w:fill="FFFFFF"/>
          </w:tcPr>
          <w:p w14:paraId="51BE5F55"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0.065</w:t>
            </w:r>
          </w:p>
        </w:tc>
      </w:tr>
      <w:tr w:rsidR="00154D12" w:rsidRPr="005036AA" w14:paraId="54AD4A59" w14:textId="77777777">
        <w:tc>
          <w:tcPr>
            <w:tcW w:w="2093" w:type="dxa"/>
            <w:shd w:val="clear" w:color="000000" w:fill="FFFFFF"/>
          </w:tcPr>
          <w:p w14:paraId="5DA456D2" w14:textId="0932FFE4" w:rsidR="00154D12" w:rsidRPr="005036AA" w:rsidRDefault="002049C7">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AT Ag</w:t>
            </w:r>
            <w:r w:rsidR="00154D12" w:rsidRPr="005036AA">
              <w:rPr>
                <w:rFonts w:ascii="Times New Roman" w:hAnsi="Times New Roman"/>
                <w:sz w:val="24"/>
                <w:szCs w:val="24"/>
              </w:rPr>
              <w:t xml:space="preserve"> (%)</w:t>
            </w:r>
          </w:p>
        </w:tc>
        <w:tc>
          <w:tcPr>
            <w:tcW w:w="1276" w:type="dxa"/>
            <w:shd w:val="clear" w:color="000000" w:fill="FFFFFF"/>
          </w:tcPr>
          <w:p w14:paraId="04A3AE54"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R</w:t>
            </w:r>
          </w:p>
        </w:tc>
        <w:tc>
          <w:tcPr>
            <w:tcW w:w="1915" w:type="dxa"/>
            <w:shd w:val="clear" w:color="000000" w:fill="FFFFFF"/>
          </w:tcPr>
          <w:p w14:paraId="16637F8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-0.029</w:t>
            </w:r>
          </w:p>
        </w:tc>
        <w:tc>
          <w:tcPr>
            <w:tcW w:w="2018" w:type="dxa"/>
            <w:shd w:val="clear" w:color="000000" w:fill="FFFFFF"/>
          </w:tcPr>
          <w:p w14:paraId="0220C5B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-0.009</w:t>
            </w:r>
          </w:p>
        </w:tc>
        <w:tc>
          <w:tcPr>
            <w:tcW w:w="1916" w:type="dxa"/>
            <w:shd w:val="clear" w:color="000000" w:fill="FFFFFF"/>
          </w:tcPr>
          <w:p w14:paraId="3E4E15F6"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-0.258</w:t>
            </w:r>
          </w:p>
        </w:tc>
      </w:tr>
      <w:tr w:rsidR="00154D12" w:rsidRPr="005036AA" w14:paraId="1527C8C7" w14:textId="77777777">
        <w:tc>
          <w:tcPr>
            <w:tcW w:w="2093" w:type="dxa"/>
            <w:shd w:val="clear" w:color="000000" w:fill="FFFFFF"/>
          </w:tcPr>
          <w:p w14:paraId="170A09DB" w14:textId="77777777" w:rsidR="00154D12" w:rsidRPr="005036AA" w:rsidRDefault="00154D12">
            <w:pPr>
              <w:tabs>
                <w:tab w:val="left" w:pos="7833"/>
              </w:tabs>
              <w:spacing w:after="0" w:line="240" w:lineRule="auto"/>
              <w:jc w:val="both"/>
              <w:rPr>
                <w:rFonts w:ascii="Times New Roman" w:hAnsi="Times New Roman"/>
                <w:sz w:val="24"/>
                <w:szCs w:val="24"/>
              </w:rPr>
            </w:pPr>
          </w:p>
        </w:tc>
        <w:tc>
          <w:tcPr>
            <w:tcW w:w="1276" w:type="dxa"/>
            <w:shd w:val="clear" w:color="000000" w:fill="FFFFFF"/>
          </w:tcPr>
          <w:p w14:paraId="7728E202"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P value</w:t>
            </w:r>
          </w:p>
        </w:tc>
        <w:tc>
          <w:tcPr>
            <w:tcW w:w="1915" w:type="dxa"/>
            <w:shd w:val="clear" w:color="000000" w:fill="FFFFFF"/>
          </w:tcPr>
          <w:p w14:paraId="7673638E"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0.820</w:t>
            </w:r>
          </w:p>
        </w:tc>
        <w:tc>
          <w:tcPr>
            <w:tcW w:w="2018" w:type="dxa"/>
            <w:shd w:val="clear" w:color="000000" w:fill="FFFFFF"/>
          </w:tcPr>
          <w:p w14:paraId="43BF301A"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0.945</w:t>
            </w:r>
          </w:p>
        </w:tc>
        <w:tc>
          <w:tcPr>
            <w:tcW w:w="1916" w:type="dxa"/>
            <w:shd w:val="clear" w:color="000000" w:fill="FFFFFF"/>
          </w:tcPr>
          <w:p w14:paraId="18A5367B" w14:textId="77777777" w:rsidR="00154D12" w:rsidRPr="005036AA" w:rsidRDefault="00154D12">
            <w:pPr>
              <w:tabs>
                <w:tab w:val="left" w:pos="7833"/>
              </w:tabs>
              <w:spacing w:after="0" w:line="240" w:lineRule="auto"/>
              <w:jc w:val="both"/>
              <w:rPr>
                <w:rFonts w:ascii="Times New Roman" w:hAnsi="Times New Roman"/>
                <w:sz w:val="24"/>
                <w:szCs w:val="24"/>
              </w:rPr>
            </w:pPr>
            <w:r w:rsidRPr="005036AA">
              <w:rPr>
                <w:rFonts w:ascii="Times New Roman" w:hAnsi="Times New Roman"/>
                <w:sz w:val="24"/>
                <w:szCs w:val="24"/>
              </w:rPr>
              <w:t>0.038*</w:t>
            </w:r>
          </w:p>
        </w:tc>
      </w:tr>
    </w:tbl>
    <w:p w14:paraId="324E47B2" w14:textId="133A7E29" w:rsidR="00154D12" w:rsidRPr="005036AA" w:rsidRDefault="00154D12" w:rsidP="00154D12">
      <w:pPr>
        <w:spacing w:after="0" w:line="240" w:lineRule="auto"/>
        <w:jc w:val="both"/>
        <w:rPr>
          <w:rFonts w:ascii="Times New Roman" w:hAnsi="Times New Roman"/>
          <w:sz w:val="24"/>
          <w:szCs w:val="24"/>
        </w:rPr>
      </w:pPr>
      <w:r w:rsidRPr="005036AA">
        <w:rPr>
          <w:rFonts w:ascii="Times New Roman" w:hAnsi="Times New Roman"/>
          <w:sz w:val="24"/>
          <w:szCs w:val="24"/>
        </w:rPr>
        <w:t>*</w:t>
      </w:r>
      <w:r w:rsidR="002049C7" w:rsidRPr="005036AA">
        <w:rPr>
          <w:rFonts w:ascii="Times New Roman" w:hAnsi="Times New Roman"/>
          <w:sz w:val="24"/>
          <w:szCs w:val="24"/>
        </w:rPr>
        <w:t>Significant</w:t>
      </w:r>
      <w:r w:rsidRPr="005036AA">
        <w:rPr>
          <w:rFonts w:ascii="Times New Roman" w:hAnsi="Times New Roman"/>
          <w:sz w:val="24"/>
          <w:szCs w:val="24"/>
        </w:rPr>
        <w:t xml:space="preserve"> (p&lt;0.05)</w:t>
      </w:r>
    </w:p>
    <w:p w14:paraId="0021437F" w14:textId="77777777" w:rsidR="00154D12" w:rsidRPr="005036AA" w:rsidRDefault="00154D12" w:rsidP="00154D12">
      <w:pPr>
        <w:spacing w:after="0" w:line="240" w:lineRule="auto"/>
        <w:jc w:val="both"/>
        <w:rPr>
          <w:rFonts w:ascii="Times New Roman" w:hAnsi="Times New Roman"/>
          <w:b/>
          <w:sz w:val="24"/>
          <w:szCs w:val="24"/>
        </w:rPr>
      </w:pPr>
    </w:p>
    <w:p w14:paraId="17270BB9" w14:textId="77777777" w:rsidR="00154D12" w:rsidRPr="005036AA" w:rsidRDefault="00154D12" w:rsidP="00154D12">
      <w:pPr>
        <w:spacing w:after="0" w:line="240" w:lineRule="auto"/>
        <w:jc w:val="both"/>
        <w:rPr>
          <w:rFonts w:ascii="Times New Roman" w:hAnsi="Times New Roman"/>
          <w:b/>
          <w:sz w:val="24"/>
          <w:szCs w:val="24"/>
        </w:rPr>
      </w:pPr>
    </w:p>
    <w:p w14:paraId="4FF96E9B" w14:textId="77777777" w:rsidR="00154D12" w:rsidRPr="005036AA" w:rsidRDefault="00154D12" w:rsidP="00154D12">
      <w:pPr>
        <w:spacing w:after="0" w:line="240" w:lineRule="auto"/>
        <w:jc w:val="both"/>
        <w:rPr>
          <w:rFonts w:ascii="Times New Roman" w:hAnsi="Times New Roman"/>
          <w:b/>
          <w:sz w:val="24"/>
          <w:szCs w:val="24"/>
        </w:rPr>
      </w:pPr>
    </w:p>
    <w:p w14:paraId="54C5CCE0" w14:textId="77777777" w:rsidR="00154D12" w:rsidRPr="005036AA" w:rsidRDefault="00154D12" w:rsidP="00154D12">
      <w:pPr>
        <w:spacing w:line="240" w:lineRule="auto"/>
        <w:jc w:val="both"/>
        <w:rPr>
          <w:rFonts w:ascii="Times New Roman" w:hAnsi="Times New Roman"/>
          <w:sz w:val="24"/>
          <w:szCs w:val="24"/>
        </w:rPr>
      </w:pPr>
      <w:r w:rsidRPr="005036AA">
        <w:rPr>
          <w:rFonts w:ascii="Times New Roman" w:hAnsi="Times New Roman"/>
          <w:sz w:val="24"/>
          <w:szCs w:val="24"/>
        </w:rPr>
        <w:t xml:space="preserve">There was significant association between functional AT deficiency and diabetes mellitus in the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group (Table 5)</w:t>
      </w:r>
    </w:p>
    <w:p w14:paraId="43519F0B" w14:textId="77777777" w:rsidR="00154D12" w:rsidRPr="005036AA" w:rsidRDefault="00154D12" w:rsidP="00154D12">
      <w:pPr>
        <w:pStyle w:val="TOC2"/>
        <w:spacing w:after="0" w:line="240" w:lineRule="auto"/>
        <w:ind w:left="0"/>
        <w:jc w:val="both"/>
        <w:rPr>
          <w:rFonts w:ascii="Times New Roman" w:hAnsi="Times New Roman"/>
          <w:b/>
          <w:sz w:val="24"/>
          <w:szCs w:val="24"/>
        </w:rPr>
      </w:pPr>
      <w:r w:rsidRPr="005036AA">
        <w:rPr>
          <w:rFonts w:ascii="Times New Roman" w:hAnsi="Times New Roman"/>
          <w:b/>
          <w:sz w:val="24"/>
          <w:szCs w:val="24"/>
        </w:rPr>
        <w:t xml:space="preserve">Table 5: Comparism of demographic variables and risk factors for stroke in </w:t>
      </w: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 patients with and without AT deficiency</w:t>
      </w:r>
    </w:p>
    <w:p w14:paraId="2D4F3187" w14:textId="77777777" w:rsidR="00154D12" w:rsidRPr="005036AA" w:rsidRDefault="00154D12" w:rsidP="00154D12">
      <w:pPr>
        <w:pStyle w:val="TOC2"/>
        <w:spacing w:after="0" w:line="240" w:lineRule="auto"/>
        <w:jc w:val="both"/>
        <w:rPr>
          <w:rFonts w:ascii="Times New Roman" w:hAnsi="Times New Roman"/>
          <w:sz w:val="24"/>
          <w:szCs w:val="24"/>
        </w:rPr>
      </w:pPr>
    </w:p>
    <w:p w14:paraId="522BDB4A" w14:textId="77777777" w:rsidR="00154D12" w:rsidRPr="005036AA" w:rsidRDefault="00154D12" w:rsidP="00154D12">
      <w:pPr>
        <w:pStyle w:val="TOC2"/>
        <w:spacing w:after="0" w:line="240" w:lineRule="auto"/>
        <w:jc w:val="both"/>
        <w:rPr>
          <w:rFonts w:ascii="Times New Roman" w:hAnsi="Times New Roman"/>
          <w:sz w:val="24"/>
          <w:szCs w:val="24"/>
        </w:rPr>
      </w:pPr>
    </w:p>
    <w:tbl>
      <w:tblPr>
        <w:tblW w:w="10173" w:type="dxa"/>
        <w:tblInd w:w="-108" w:type="dxa"/>
        <w:tblLook w:val="0000" w:firstRow="0" w:lastRow="0" w:firstColumn="0" w:lastColumn="0" w:noHBand="0" w:noVBand="0"/>
      </w:tblPr>
      <w:tblGrid>
        <w:gridCol w:w="4077"/>
        <w:gridCol w:w="2394"/>
        <w:gridCol w:w="2394"/>
        <w:gridCol w:w="1308"/>
      </w:tblGrid>
      <w:tr w:rsidR="00154D12" w:rsidRPr="005036AA" w14:paraId="7E7EB8F3" w14:textId="77777777">
        <w:trPr>
          <w:trHeight w:val="567"/>
        </w:trPr>
        <w:tc>
          <w:tcPr>
            <w:tcW w:w="4077" w:type="dxa"/>
            <w:tcBorders>
              <w:top w:val="single" w:sz="4" w:space="0" w:color="000000"/>
              <w:bottom w:val="single" w:sz="4" w:space="0" w:color="000000"/>
            </w:tcBorders>
            <w:shd w:val="clear" w:color="000000" w:fill="FFFFFF"/>
          </w:tcPr>
          <w:p w14:paraId="7788782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Variables</w:t>
            </w:r>
          </w:p>
        </w:tc>
        <w:tc>
          <w:tcPr>
            <w:tcW w:w="2394" w:type="dxa"/>
            <w:tcBorders>
              <w:top w:val="single" w:sz="4" w:space="0" w:color="000000"/>
              <w:bottom w:val="single" w:sz="4" w:space="0" w:color="000000"/>
            </w:tcBorders>
            <w:shd w:val="clear" w:color="000000" w:fill="FFFFFF"/>
          </w:tcPr>
          <w:p w14:paraId="49765AF1" w14:textId="77777777" w:rsidR="00154D12" w:rsidRPr="005036AA" w:rsidRDefault="00154D12">
            <w:pPr>
              <w:pStyle w:val="TOC2"/>
              <w:spacing w:after="0" w:line="240" w:lineRule="auto"/>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 with AT def.</w:t>
            </w:r>
          </w:p>
          <w:p w14:paraId="5C8BA33F"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w:t>
            </w:r>
          </w:p>
        </w:tc>
        <w:tc>
          <w:tcPr>
            <w:tcW w:w="2394" w:type="dxa"/>
            <w:tcBorders>
              <w:top w:val="single" w:sz="4" w:space="0" w:color="000000"/>
              <w:bottom w:val="single" w:sz="4" w:space="0" w:color="000000"/>
            </w:tcBorders>
            <w:shd w:val="clear" w:color="000000" w:fill="FFFFFF"/>
          </w:tcPr>
          <w:p w14:paraId="74027D9A" w14:textId="77777777" w:rsidR="00154D12" w:rsidRPr="005036AA" w:rsidRDefault="00154D12">
            <w:pPr>
              <w:pStyle w:val="TOC2"/>
              <w:spacing w:after="0" w:line="240" w:lineRule="auto"/>
              <w:jc w:val="both"/>
              <w:rPr>
                <w:rFonts w:ascii="Times New Roman" w:hAnsi="Times New Roman"/>
                <w:b/>
                <w:sz w:val="24"/>
                <w:szCs w:val="24"/>
              </w:rPr>
            </w:pPr>
            <w:proofErr w:type="spellStart"/>
            <w:r w:rsidRPr="005036AA">
              <w:rPr>
                <w:rFonts w:ascii="Times New Roman" w:hAnsi="Times New Roman"/>
                <w:b/>
                <w:sz w:val="24"/>
                <w:szCs w:val="24"/>
              </w:rPr>
              <w:t>Ischaemic</w:t>
            </w:r>
            <w:proofErr w:type="spellEnd"/>
            <w:r w:rsidRPr="005036AA">
              <w:rPr>
                <w:rFonts w:ascii="Times New Roman" w:hAnsi="Times New Roman"/>
                <w:b/>
                <w:sz w:val="24"/>
                <w:szCs w:val="24"/>
              </w:rPr>
              <w:t xml:space="preserve"> Stroke without AT def.</w:t>
            </w:r>
          </w:p>
          <w:p w14:paraId="1E99755C"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w:t>
            </w:r>
          </w:p>
        </w:tc>
        <w:tc>
          <w:tcPr>
            <w:tcW w:w="1308" w:type="dxa"/>
            <w:tcBorders>
              <w:top w:val="single" w:sz="4" w:space="0" w:color="000000"/>
              <w:bottom w:val="single" w:sz="4" w:space="0" w:color="000000"/>
            </w:tcBorders>
            <w:shd w:val="clear" w:color="000000" w:fill="FFFFFF"/>
          </w:tcPr>
          <w:p w14:paraId="0037FA01"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P Value</w:t>
            </w:r>
          </w:p>
        </w:tc>
      </w:tr>
      <w:tr w:rsidR="00154D12" w:rsidRPr="005036AA" w14:paraId="5C6522CF" w14:textId="77777777">
        <w:tc>
          <w:tcPr>
            <w:tcW w:w="4077" w:type="dxa"/>
            <w:tcBorders>
              <w:top w:val="single" w:sz="4" w:space="0" w:color="000000"/>
            </w:tcBorders>
            <w:shd w:val="clear" w:color="000000" w:fill="FFFFFF"/>
          </w:tcPr>
          <w:p w14:paraId="5E8A322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Age (Mean ± SD)</w:t>
            </w:r>
          </w:p>
        </w:tc>
        <w:tc>
          <w:tcPr>
            <w:tcW w:w="2394" w:type="dxa"/>
            <w:tcBorders>
              <w:top w:val="single" w:sz="4" w:space="0" w:color="000000"/>
            </w:tcBorders>
            <w:shd w:val="clear" w:color="000000" w:fill="FFFFFF"/>
          </w:tcPr>
          <w:p w14:paraId="76B2A50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65.0 ± 0.0</w:t>
            </w:r>
          </w:p>
        </w:tc>
        <w:tc>
          <w:tcPr>
            <w:tcW w:w="2394" w:type="dxa"/>
            <w:tcBorders>
              <w:top w:val="single" w:sz="4" w:space="0" w:color="000000"/>
            </w:tcBorders>
            <w:shd w:val="clear" w:color="000000" w:fill="FFFFFF"/>
          </w:tcPr>
          <w:p w14:paraId="3E71295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60.3 ± 1.2 </w:t>
            </w:r>
          </w:p>
        </w:tc>
        <w:tc>
          <w:tcPr>
            <w:tcW w:w="1308" w:type="dxa"/>
            <w:tcBorders>
              <w:top w:val="single" w:sz="4" w:space="0" w:color="000000"/>
            </w:tcBorders>
            <w:shd w:val="clear" w:color="000000" w:fill="FFFFFF"/>
          </w:tcPr>
          <w:p w14:paraId="164B28B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0.597</w:t>
            </w:r>
          </w:p>
        </w:tc>
      </w:tr>
      <w:tr w:rsidR="00154D12" w:rsidRPr="005036AA" w14:paraId="5E7FF213" w14:textId="77777777">
        <w:tc>
          <w:tcPr>
            <w:tcW w:w="4077" w:type="dxa"/>
            <w:shd w:val="clear" w:color="000000" w:fill="FFFFFF"/>
          </w:tcPr>
          <w:p w14:paraId="2EF5397D"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Sex</w:t>
            </w:r>
          </w:p>
        </w:tc>
        <w:tc>
          <w:tcPr>
            <w:tcW w:w="2394" w:type="dxa"/>
            <w:shd w:val="clear" w:color="000000" w:fill="FFFFFF"/>
          </w:tcPr>
          <w:p w14:paraId="10AB4588"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15973313" w14:textId="77777777" w:rsidR="00154D12" w:rsidRPr="005036AA" w:rsidRDefault="00154D12">
            <w:pPr>
              <w:pStyle w:val="TOC2"/>
              <w:spacing w:after="0" w:line="240" w:lineRule="auto"/>
              <w:jc w:val="both"/>
              <w:rPr>
                <w:rFonts w:ascii="Times New Roman" w:hAnsi="Times New Roman"/>
                <w:sz w:val="24"/>
                <w:szCs w:val="24"/>
              </w:rPr>
            </w:pPr>
          </w:p>
        </w:tc>
        <w:tc>
          <w:tcPr>
            <w:tcW w:w="1308" w:type="dxa"/>
            <w:shd w:val="clear" w:color="000000" w:fill="FFFFFF"/>
          </w:tcPr>
          <w:p w14:paraId="648F0A03"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7017332B" w14:textId="77777777">
        <w:tc>
          <w:tcPr>
            <w:tcW w:w="4077" w:type="dxa"/>
            <w:shd w:val="clear" w:color="000000" w:fill="FFFFFF"/>
          </w:tcPr>
          <w:p w14:paraId="6D76ACB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Males</w:t>
            </w:r>
          </w:p>
        </w:tc>
        <w:tc>
          <w:tcPr>
            <w:tcW w:w="2394" w:type="dxa"/>
            <w:shd w:val="clear" w:color="000000" w:fill="FFFFFF"/>
          </w:tcPr>
          <w:p w14:paraId="7CCC3B2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tc>
        <w:tc>
          <w:tcPr>
            <w:tcW w:w="2394" w:type="dxa"/>
            <w:shd w:val="clear" w:color="000000" w:fill="FFFFFF"/>
          </w:tcPr>
          <w:p w14:paraId="4205FED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41 (63.1)</w:t>
            </w:r>
          </w:p>
        </w:tc>
        <w:tc>
          <w:tcPr>
            <w:tcW w:w="1308" w:type="dxa"/>
            <w:shd w:val="clear" w:color="000000" w:fill="FFFFFF"/>
          </w:tcPr>
          <w:p w14:paraId="7B0E5671"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2B451655" w14:textId="77777777">
        <w:tc>
          <w:tcPr>
            <w:tcW w:w="4077" w:type="dxa"/>
            <w:shd w:val="clear" w:color="000000" w:fill="FFFFFF"/>
          </w:tcPr>
          <w:p w14:paraId="4512FE38"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Females</w:t>
            </w:r>
          </w:p>
          <w:p w14:paraId="04AF7F1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Total</w:t>
            </w:r>
          </w:p>
        </w:tc>
        <w:tc>
          <w:tcPr>
            <w:tcW w:w="2394" w:type="dxa"/>
            <w:shd w:val="clear" w:color="000000" w:fill="FFFFFF"/>
          </w:tcPr>
          <w:p w14:paraId="5BAB598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p w14:paraId="5796E83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2 </w:t>
            </w:r>
            <w:proofErr w:type="gramStart"/>
            <w:r w:rsidRPr="005036AA">
              <w:rPr>
                <w:rFonts w:ascii="Times New Roman" w:hAnsi="Times New Roman"/>
                <w:sz w:val="24"/>
                <w:szCs w:val="24"/>
              </w:rPr>
              <w:t>( 3</w:t>
            </w:r>
            <w:proofErr w:type="gramEnd"/>
            <w:r w:rsidRPr="005036AA">
              <w:rPr>
                <w:rFonts w:ascii="Times New Roman" w:hAnsi="Times New Roman"/>
                <w:sz w:val="24"/>
                <w:szCs w:val="24"/>
              </w:rPr>
              <w:t>)</w:t>
            </w:r>
          </w:p>
        </w:tc>
        <w:tc>
          <w:tcPr>
            <w:tcW w:w="2394" w:type="dxa"/>
            <w:shd w:val="clear" w:color="000000" w:fill="FFFFFF"/>
          </w:tcPr>
          <w:p w14:paraId="53573ABB"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22 (33.8)</w:t>
            </w:r>
          </w:p>
          <w:p w14:paraId="5474ECF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63 (96.9)</w:t>
            </w:r>
          </w:p>
        </w:tc>
        <w:tc>
          <w:tcPr>
            <w:tcW w:w="1308" w:type="dxa"/>
            <w:shd w:val="clear" w:color="000000" w:fill="FFFFFF"/>
          </w:tcPr>
          <w:p w14:paraId="24B412E1"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3338E1A5" w14:textId="77777777">
        <w:tc>
          <w:tcPr>
            <w:tcW w:w="4077" w:type="dxa"/>
            <w:shd w:val="clear" w:color="000000" w:fill="FFFFFF"/>
          </w:tcPr>
          <w:p w14:paraId="1476977E"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249E83BC"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7030774B" w14:textId="77777777" w:rsidR="00154D12" w:rsidRPr="005036AA" w:rsidRDefault="00154D12">
            <w:pPr>
              <w:pStyle w:val="TOC2"/>
              <w:spacing w:after="0" w:line="240" w:lineRule="auto"/>
              <w:jc w:val="both"/>
              <w:rPr>
                <w:rFonts w:ascii="Times New Roman" w:hAnsi="Times New Roman"/>
                <w:sz w:val="24"/>
                <w:szCs w:val="24"/>
              </w:rPr>
            </w:pPr>
          </w:p>
        </w:tc>
        <w:tc>
          <w:tcPr>
            <w:tcW w:w="1308" w:type="dxa"/>
            <w:shd w:val="clear" w:color="000000" w:fill="FFFFFF"/>
          </w:tcPr>
          <w:p w14:paraId="0E5D7AB3"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71650303" w14:textId="77777777">
        <w:tc>
          <w:tcPr>
            <w:tcW w:w="4077" w:type="dxa"/>
            <w:shd w:val="clear" w:color="000000" w:fill="FFFFFF"/>
          </w:tcPr>
          <w:p w14:paraId="28354EC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b/>
                <w:sz w:val="24"/>
                <w:szCs w:val="24"/>
              </w:rPr>
              <w:t>Identifiable Risk</w:t>
            </w:r>
          </w:p>
        </w:tc>
        <w:tc>
          <w:tcPr>
            <w:tcW w:w="2394" w:type="dxa"/>
            <w:shd w:val="clear" w:color="000000" w:fill="FFFFFF"/>
          </w:tcPr>
          <w:p w14:paraId="201B3DD2" w14:textId="77777777" w:rsidR="00154D12" w:rsidRPr="005036AA" w:rsidRDefault="00154D12">
            <w:pPr>
              <w:pStyle w:val="TOC2"/>
              <w:spacing w:after="0" w:line="240" w:lineRule="auto"/>
              <w:jc w:val="both"/>
              <w:rPr>
                <w:rFonts w:ascii="Times New Roman" w:hAnsi="Times New Roman"/>
                <w:sz w:val="24"/>
                <w:szCs w:val="24"/>
              </w:rPr>
            </w:pPr>
          </w:p>
        </w:tc>
        <w:tc>
          <w:tcPr>
            <w:tcW w:w="2394" w:type="dxa"/>
            <w:shd w:val="clear" w:color="000000" w:fill="FFFFFF"/>
          </w:tcPr>
          <w:p w14:paraId="501F76DB" w14:textId="77777777" w:rsidR="00154D12" w:rsidRPr="005036AA" w:rsidRDefault="00154D12">
            <w:pPr>
              <w:pStyle w:val="TOC2"/>
              <w:spacing w:after="0" w:line="240" w:lineRule="auto"/>
              <w:jc w:val="both"/>
              <w:rPr>
                <w:rFonts w:ascii="Times New Roman" w:hAnsi="Times New Roman"/>
                <w:sz w:val="24"/>
                <w:szCs w:val="24"/>
              </w:rPr>
            </w:pPr>
          </w:p>
        </w:tc>
        <w:tc>
          <w:tcPr>
            <w:tcW w:w="1308" w:type="dxa"/>
            <w:shd w:val="clear" w:color="000000" w:fill="FFFFFF"/>
          </w:tcPr>
          <w:p w14:paraId="621F9A08" w14:textId="77777777" w:rsidR="00154D12" w:rsidRPr="005036AA" w:rsidRDefault="00154D12">
            <w:pPr>
              <w:pStyle w:val="TOC2"/>
              <w:spacing w:after="0" w:line="240" w:lineRule="auto"/>
              <w:jc w:val="both"/>
              <w:rPr>
                <w:rFonts w:ascii="Times New Roman" w:hAnsi="Times New Roman"/>
                <w:sz w:val="24"/>
                <w:szCs w:val="24"/>
              </w:rPr>
            </w:pPr>
          </w:p>
        </w:tc>
      </w:tr>
      <w:tr w:rsidR="00154D12" w:rsidRPr="005036AA" w14:paraId="49D345B3" w14:textId="77777777">
        <w:tc>
          <w:tcPr>
            <w:tcW w:w="4077" w:type="dxa"/>
            <w:shd w:val="clear" w:color="000000" w:fill="FFFFFF"/>
          </w:tcPr>
          <w:p w14:paraId="4B318FB0"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Hypertension</w:t>
            </w:r>
          </w:p>
        </w:tc>
        <w:tc>
          <w:tcPr>
            <w:tcW w:w="2394" w:type="dxa"/>
            <w:shd w:val="clear" w:color="000000" w:fill="FFFFFF"/>
          </w:tcPr>
          <w:p w14:paraId="476227A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tc>
        <w:tc>
          <w:tcPr>
            <w:tcW w:w="2394" w:type="dxa"/>
            <w:shd w:val="clear" w:color="000000" w:fill="FFFFFF"/>
          </w:tcPr>
          <w:p w14:paraId="1B9928C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46 (70.8)</w:t>
            </w:r>
          </w:p>
        </w:tc>
        <w:tc>
          <w:tcPr>
            <w:tcW w:w="1308" w:type="dxa"/>
            <w:shd w:val="clear" w:color="000000" w:fill="FFFFFF"/>
          </w:tcPr>
          <w:p w14:paraId="5DBD7F8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0.480</w:t>
            </w:r>
          </w:p>
        </w:tc>
      </w:tr>
      <w:tr w:rsidR="00154D12" w:rsidRPr="005036AA" w14:paraId="5A12CB53" w14:textId="77777777">
        <w:tc>
          <w:tcPr>
            <w:tcW w:w="4077" w:type="dxa"/>
            <w:shd w:val="clear" w:color="000000" w:fill="FFFFFF"/>
          </w:tcPr>
          <w:p w14:paraId="4925B91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Diabetes Mellitus</w:t>
            </w:r>
          </w:p>
        </w:tc>
        <w:tc>
          <w:tcPr>
            <w:tcW w:w="2394" w:type="dxa"/>
            <w:shd w:val="clear" w:color="000000" w:fill="FFFFFF"/>
          </w:tcPr>
          <w:p w14:paraId="4739C79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2 (3.1)</w:t>
            </w:r>
          </w:p>
        </w:tc>
        <w:tc>
          <w:tcPr>
            <w:tcW w:w="2394" w:type="dxa"/>
            <w:shd w:val="clear" w:color="000000" w:fill="FFFFFF"/>
          </w:tcPr>
          <w:p w14:paraId="0EAB0D2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12 (18.5)</w:t>
            </w:r>
          </w:p>
        </w:tc>
        <w:tc>
          <w:tcPr>
            <w:tcW w:w="1308" w:type="dxa"/>
            <w:shd w:val="clear" w:color="000000" w:fill="FFFFFF"/>
          </w:tcPr>
          <w:p w14:paraId="532553F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0.044*</w:t>
            </w:r>
          </w:p>
        </w:tc>
      </w:tr>
      <w:tr w:rsidR="00154D12" w:rsidRPr="005036AA" w14:paraId="545EBBA6" w14:textId="77777777">
        <w:tc>
          <w:tcPr>
            <w:tcW w:w="4077" w:type="dxa"/>
            <w:shd w:val="clear" w:color="000000" w:fill="FFFFFF"/>
          </w:tcPr>
          <w:p w14:paraId="1E0F0985"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Smoking</w:t>
            </w:r>
          </w:p>
        </w:tc>
        <w:tc>
          <w:tcPr>
            <w:tcW w:w="2394" w:type="dxa"/>
            <w:shd w:val="clear" w:color="000000" w:fill="FFFFFF"/>
          </w:tcPr>
          <w:p w14:paraId="41ECE90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shd w:val="clear" w:color="000000" w:fill="FFFFFF"/>
          </w:tcPr>
          <w:p w14:paraId="38B5078A"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3 (4.6)</w:t>
            </w:r>
          </w:p>
        </w:tc>
        <w:tc>
          <w:tcPr>
            <w:tcW w:w="1308" w:type="dxa"/>
            <w:shd w:val="clear" w:color="000000" w:fill="FFFFFF"/>
          </w:tcPr>
          <w:p w14:paraId="13EF09FC"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73392006" w14:textId="77777777">
        <w:tc>
          <w:tcPr>
            <w:tcW w:w="4077" w:type="dxa"/>
            <w:shd w:val="clear" w:color="000000" w:fill="FFFFFF"/>
          </w:tcPr>
          <w:p w14:paraId="5151A47F"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Alcohol Intake</w:t>
            </w:r>
          </w:p>
        </w:tc>
        <w:tc>
          <w:tcPr>
            <w:tcW w:w="2394" w:type="dxa"/>
            <w:shd w:val="clear" w:color="000000" w:fill="FFFFFF"/>
          </w:tcPr>
          <w:p w14:paraId="44208A22"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(1.5)</w:t>
            </w:r>
          </w:p>
        </w:tc>
        <w:tc>
          <w:tcPr>
            <w:tcW w:w="2394" w:type="dxa"/>
            <w:shd w:val="clear" w:color="000000" w:fill="FFFFFF"/>
          </w:tcPr>
          <w:p w14:paraId="2F6006B4"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16 (24.6)</w:t>
            </w:r>
          </w:p>
        </w:tc>
        <w:tc>
          <w:tcPr>
            <w:tcW w:w="1308" w:type="dxa"/>
            <w:shd w:val="clear" w:color="000000" w:fill="FFFFFF"/>
          </w:tcPr>
          <w:p w14:paraId="11EE04C1"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0.458</w:t>
            </w:r>
          </w:p>
        </w:tc>
      </w:tr>
      <w:tr w:rsidR="00154D12" w:rsidRPr="005036AA" w14:paraId="7BCDC827" w14:textId="77777777">
        <w:tc>
          <w:tcPr>
            <w:tcW w:w="4077" w:type="dxa"/>
            <w:shd w:val="clear" w:color="000000" w:fill="FFFFFF"/>
          </w:tcPr>
          <w:p w14:paraId="718E840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Positive family history of stroke</w:t>
            </w:r>
          </w:p>
        </w:tc>
        <w:tc>
          <w:tcPr>
            <w:tcW w:w="2394" w:type="dxa"/>
            <w:shd w:val="clear" w:color="000000" w:fill="FFFFFF"/>
          </w:tcPr>
          <w:p w14:paraId="036D134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shd w:val="clear" w:color="000000" w:fill="FFFFFF"/>
          </w:tcPr>
          <w:p w14:paraId="0A89974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6 (9.2)</w:t>
            </w:r>
          </w:p>
        </w:tc>
        <w:tc>
          <w:tcPr>
            <w:tcW w:w="1308" w:type="dxa"/>
            <w:shd w:val="clear" w:color="000000" w:fill="FFFFFF"/>
          </w:tcPr>
          <w:p w14:paraId="5B7D9519"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15A80CB7" w14:textId="77777777">
        <w:tc>
          <w:tcPr>
            <w:tcW w:w="4077" w:type="dxa"/>
            <w:shd w:val="clear" w:color="000000" w:fill="FFFFFF"/>
          </w:tcPr>
          <w:p w14:paraId="20848BD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Previous Stroke</w:t>
            </w:r>
          </w:p>
        </w:tc>
        <w:tc>
          <w:tcPr>
            <w:tcW w:w="2394" w:type="dxa"/>
            <w:shd w:val="clear" w:color="000000" w:fill="FFFFFF"/>
          </w:tcPr>
          <w:p w14:paraId="17F55A6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shd w:val="clear" w:color="000000" w:fill="FFFFFF"/>
          </w:tcPr>
          <w:p w14:paraId="3A99C3BC"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13 (20.0)</w:t>
            </w:r>
          </w:p>
        </w:tc>
        <w:tc>
          <w:tcPr>
            <w:tcW w:w="1308" w:type="dxa"/>
            <w:shd w:val="clear" w:color="000000" w:fill="FFFFFF"/>
          </w:tcPr>
          <w:p w14:paraId="37F6E47B"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r w:rsidR="00154D12" w:rsidRPr="005036AA" w14:paraId="784B5373" w14:textId="77777777">
        <w:tc>
          <w:tcPr>
            <w:tcW w:w="4077" w:type="dxa"/>
            <w:tcBorders>
              <w:bottom w:val="single" w:sz="4" w:space="0" w:color="auto"/>
            </w:tcBorders>
            <w:shd w:val="clear" w:color="000000" w:fill="FFFFFF"/>
          </w:tcPr>
          <w:p w14:paraId="6AFC8DA3"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 xml:space="preserve">     Previous VTE</w:t>
            </w:r>
          </w:p>
        </w:tc>
        <w:tc>
          <w:tcPr>
            <w:tcW w:w="2394" w:type="dxa"/>
            <w:tcBorders>
              <w:bottom w:val="single" w:sz="4" w:space="0" w:color="auto"/>
            </w:tcBorders>
            <w:shd w:val="clear" w:color="000000" w:fill="FFFFFF"/>
          </w:tcPr>
          <w:p w14:paraId="75D29927"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0 (0.0)</w:t>
            </w:r>
          </w:p>
        </w:tc>
        <w:tc>
          <w:tcPr>
            <w:tcW w:w="2394" w:type="dxa"/>
            <w:tcBorders>
              <w:bottom w:val="single" w:sz="4" w:space="0" w:color="auto"/>
            </w:tcBorders>
            <w:shd w:val="clear" w:color="000000" w:fill="FFFFFF"/>
          </w:tcPr>
          <w:p w14:paraId="2B4A5F96"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 (1.3)</w:t>
            </w:r>
          </w:p>
        </w:tc>
        <w:tc>
          <w:tcPr>
            <w:tcW w:w="1308" w:type="dxa"/>
            <w:tcBorders>
              <w:bottom w:val="single" w:sz="4" w:space="0" w:color="auto"/>
            </w:tcBorders>
            <w:shd w:val="clear" w:color="000000" w:fill="FFFFFF"/>
          </w:tcPr>
          <w:p w14:paraId="5F41BF0E" w14:textId="77777777" w:rsidR="00154D12" w:rsidRPr="005036AA" w:rsidRDefault="00154D12">
            <w:pPr>
              <w:pStyle w:val="TOC2"/>
              <w:spacing w:after="0" w:line="240" w:lineRule="auto"/>
              <w:jc w:val="both"/>
              <w:rPr>
                <w:rFonts w:ascii="Times New Roman" w:hAnsi="Times New Roman"/>
                <w:sz w:val="24"/>
                <w:szCs w:val="24"/>
              </w:rPr>
            </w:pPr>
            <w:r w:rsidRPr="005036AA">
              <w:rPr>
                <w:rFonts w:ascii="Times New Roman" w:hAnsi="Times New Roman"/>
                <w:sz w:val="24"/>
                <w:szCs w:val="24"/>
              </w:rPr>
              <w:t>1.000</w:t>
            </w:r>
          </w:p>
        </w:tc>
      </w:tr>
    </w:tbl>
    <w:p w14:paraId="7CCD5B09" w14:textId="77777777" w:rsidR="00154D12" w:rsidRPr="005036AA" w:rsidRDefault="00154D12" w:rsidP="00154D12">
      <w:pPr>
        <w:spacing w:after="0" w:line="240" w:lineRule="auto"/>
        <w:jc w:val="both"/>
        <w:rPr>
          <w:rFonts w:ascii="Times New Roman" w:hAnsi="Times New Roman"/>
          <w:sz w:val="24"/>
          <w:szCs w:val="24"/>
        </w:rPr>
      </w:pPr>
      <w:r w:rsidRPr="005036AA">
        <w:rPr>
          <w:rFonts w:ascii="Times New Roman" w:hAnsi="Times New Roman"/>
          <w:sz w:val="24"/>
          <w:szCs w:val="24"/>
        </w:rPr>
        <w:t>*</w:t>
      </w:r>
      <w:proofErr w:type="gramStart"/>
      <w:r w:rsidRPr="005036AA">
        <w:rPr>
          <w:rFonts w:ascii="Times New Roman" w:hAnsi="Times New Roman"/>
          <w:sz w:val="24"/>
          <w:szCs w:val="24"/>
        </w:rPr>
        <w:t>significant</w:t>
      </w:r>
      <w:proofErr w:type="gramEnd"/>
      <w:r w:rsidRPr="005036AA">
        <w:rPr>
          <w:rFonts w:ascii="Times New Roman" w:hAnsi="Times New Roman"/>
          <w:sz w:val="24"/>
          <w:szCs w:val="24"/>
        </w:rPr>
        <w:t xml:space="preserve"> (p&lt;0.05)</w:t>
      </w:r>
    </w:p>
    <w:p w14:paraId="6D2A56A3" w14:textId="77777777" w:rsidR="00154D12" w:rsidRPr="005036AA" w:rsidRDefault="00154D12" w:rsidP="00154D12">
      <w:pPr>
        <w:spacing w:after="0" w:line="480" w:lineRule="auto"/>
        <w:jc w:val="both"/>
        <w:rPr>
          <w:rFonts w:ascii="Times New Roman" w:hAnsi="Times New Roman"/>
          <w:sz w:val="24"/>
          <w:szCs w:val="24"/>
        </w:rPr>
      </w:pPr>
    </w:p>
    <w:p w14:paraId="0352ADA7" w14:textId="77777777" w:rsidR="00154D12" w:rsidRPr="00FF51CB" w:rsidRDefault="00154D12" w:rsidP="00154D12">
      <w:pPr>
        <w:jc w:val="both"/>
        <w:rPr>
          <w:rFonts w:ascii="Times New Roman" w:hAnsi="Times New Roman"/>
          <w:b/>
          <w:bCs/>
          <w:sz w:val="24"/>
          <w:szCs w:val="24"/>
        </w:rPr>
      </w:pPr>
      <w:r w:rsidRPr="00FF51CB">
        <w:rPr>
          <w:rFonts w:ascii="Times New Roman" w:hAnsi="Times New Roman"/>
          <w:b/>
          <w:bCs/>
          <w:sz w:val="24"/>
          <w:szCs w:val="24"/>
        </w:rPr>
        <w:t xml:space="preserve">Discussion </w:t>
      </w:r>
    </w:p>
    <w:p w14:paraId="15DC8416" w14:textId="50D918B8"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sz w:val="24"/>
          <w:szCs w:val="24"/>
        </w:rPr>
        <w:lastRenderedPageBreak/>
        <w:t xml:space="preserve">The role of platelet count, PT and APTT in screening for hypercoagulability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was assessed in this study. </w:t>
      </w:r>
      <w:r w:rsidRPr="005036AA">
        <w:rPr>
          <w:rFonts w:ascii="Times New Roman" w:hAnsi="Times New Roman"/>
          <w:color w:val="212121"/>
          <w:sz w:val="24"/>
          <w:szCs w:val="24"/>
          <w:shd w:val="clear" w:color="auto" w:fill="FFFFFF"/>
        </w:rPr>
        <w:t xml:space="preserve">The mean platelet counts of both study groups was in the </w:t>
      </w:r>
      <w:proofErr w:type="spellStart"/>
      <w:r w:rsidRPr="005036AA">
        <w:rPr>
          <w:rFonts w:ascii="Times New Roman" w:hAnsi="Times New Roman"/>
          <w:color w:val="212121"/>
          <w:sz w:val="24"/>
          <w:szCs w:val="24"/>
          <w:shd w:val="clear" w:color="auto" w:fill="FFFFFF"/>
        </w:rPr>
        <w:t>mid range</w:t>
      </w:r>
      <w:proofErr w:type="spellEnd"/>
      <w:r w:rsidRPr="005036AA">
        <w:rPr>
          <w:rFonts w:ascii="Times New Roman" w:hAnsi="Times New Roman"/>
          <w:color w:val="212121"/>
          <w:sz w:val="24"/>
          <w:szCs w:val="24"/>
          <w:shd w:val="clear" w:color="auto" w:fill="FFFFFF"/>
        </w:rPr>
        <w:t xml:space="preserve"> which may not pose a risk for hypercoagulability. This view aligns with the study </w:t>
      </w:r>
      <w:r w:rsidR="002049C7" w:rsidRPr="005036AA">
        <w:rPr>
          <w:rFonts w:ascii="Times New Roman" w:hAnsi="Times New Roman"/>
          <w:color w:val="212121"/>
          <w:sz w:val="24"/>
          <w:szCs w:val="24"/>
          <w:shd w:val="clear" w:color="auto" w:fill="FFFFFF"/>
        </w:rPr>
        <w:t>of Yang</w:t>
      </w:r>
      <w:r w:rsidRPr="005036AA">
        <w:rPr>
          <w:rFonts w:ascii="Times New Roman" w:hAnsi="Times New Roman"/>
          <w:color w:val="212121"/>
          <w:sz w:val="24"/>
          <w:szCs w:val="24"/>
          <w:shd w:val="clear" w:color="auto" w:fill="FFFFFF"/>
        </w:rPr>
        <w:t xml:space="preserve"> et al that established correlation between extremes of platelet counts and pathogenesis of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but not </w:t>
      </w:r>
      <w:r w:rsidR="00624FFC" w:rsidRPr="005036AA">
        <w:rPr>
          <w:rFonts w:ascii="Times New Roman" w:hAnsi="Times New Roman"/>
          <w:color w:val="212121"/>
          <w:sz w:val="24"/>
          <w:szCs w:val="24"/>
          <w:shd w:val="clear" w:color="auto" w:fill="FFFFFF"/>
        </w:rPr>
        <w:t>mid-range</w:t>
      </w:r>
      <w:r w:rsidRPr="005036AA">
        <w:rPr>
          <w:rFonts w:ascii="Times New Roman" w:hAnsi="Times New Roman"/>
          <w:color w:val="212121"/>
          <w:sz w:val="24"/>
          <w:szCs w:val="24"/>
          <w:shd w:val="clear" w:color="auto" w:fill="FFFFFF"/>
        </w:rPr>
        <w:t xml:space="preserve"> values</w:t>
      </w:r>
      <w:r w:rsidR="00624FFC">
        <w:rPr>
          <w:rFonts w:ascii="Times New Roman" w:hAnsi="Times New Roman"/>
          <w:color w:val="212121"/>
          <w:sz w:val="24"/>
          <w:szCs w:val="24"/>
          <w:shd w:val="clear" w:color="auto" w:fill="FFFFFF"/>
        </w:rPr>
        <w:t xml:space="preserve">. (8) </w:t>
      </w:r>
      <w:r w:rsidRPr="005036AA">
        <w:rPr>
          <w:rFonts w:ascii="Times New Roman" w:hAnsi="Times New Roman"/>
          <w:color w:val="212121"/>
          <w:sz w:val="24"/>
          <w:szCs w:val="24"/>
          <w:shd w:val="clear" w:color="auto" w:fill="FFFFFF"/>
        </w:rPr>
        <w:t xml:space="preserve">Low platelet count results from platelet activation and consumption associated </w:t>
      </w:r>
      <w:r w:rsidR="00624FFC" w:rsidRPr="005036AA">
        <w:rPr>
          <w:rFonts w:ascii="Times New Roman" w:hAnsi="Times New Roman"/>
          <w:color w:val="212121"/>
          <w:sz w:val="24"/>
          <w:szCs w:val="24"/>
          <w:shd w:val="clear" w:color="auto" w:fill="FFFFFF"/>
        </w:rPr>
        <w:t>with atherothrombosis</w:t>
      </w:r>
      <w:r w:rsidRPr="005036AA">
        <w:rPr>
          <w:rFonts w:ascii="Times New Roman" w:hAnsi="Times New Roman"/>
          <w:color w:val="212121"/>
          <w:sz w:val="24"/>
          <w:szCs w:val="24"/>
          <w:shd w:val="clear" w:color="auto" w:fill="FFFFFF"/>
        </w:rPr>
        <w:t xml:space="preserve"> which propagates recruitment of inflammatory complexes involved in stages of atherogenesis while </w:t>
      </w:r>
      <w:r w:rsidR="00624FFC" w:rsidRPr="005036AA">
        <w:rPr>
          <w:rFonts w:ascii="Times New Roman" w:hAnsi="Times New Roman"/>
          <w:color w:val="212121"/>
          <w:sz w:val="24"/>
          <w:szCs w:val="24"/>
          <w:shd w:val="clear" w:color="auto" w:fill="FFFFFF"/>
        </w:rPr>
        <w:t>increased platelet</w:t>
      </w:r>
      <w:r w:rsidRPr="005036AA">
        <w:rPr>
          <w:rFonts w:ascii="Times New Roman" w:hAnsi="Times New Roman"/>
          <w:color w:val="212121"/>
          <w:sz w:val="24"/>
          <w:szCs w:val="24"/>
          <w:shd w:val="clear" w:color="auto" w:fill="FFFFFF"/>
        </w:rPr>
        <w:t xml:space="preserve"> counts were associated with elaboration </w:t>
      </w:r>
      <w:proofErr w:type="gramStart"/>
      <w:r w:rsidRPr="005036AA">
        <w:rPr>
          <w:rFonts w:ascii="Times New Roman" w:hAnsi="Times New Roman"/>
          <w:color w:val="212121"/>
          <w:sz w:val="24"/>
          <w:szCs w:val="24"/>
          <w:shd w:val="clear" w:color="auto" w:fill="FFFFFF"/>
        </w:rPr>
        <w:t>of  platelet</w:t>
      </w:r>
      <w:proofErr w:type="gramEnd"/>
      <w:r w:rsidRPr="005036AA">
        <w:rPr>
          <w:rFonts w:ascii="Times New Roman" w:hAnsi="Times New Roman"/>
          <w:color w:val="212121"/>
          <w:sz w:val="24"/>
          <w:szCs w:val="24"/>
          <w:shd w:val="clear" w:color="auto" w:fill="FFFFFF"/>
        </w:rPr>
        <w:t xml:space="preserve"> associated-prothrombotic substances</w:t>
      </w:r>
      <w:r w:rsidR="00624FFC">
        <w:rPr>
          <w:rFonts w:ascii="Times New Roman" w:hAnsi="Times New Roman"/>
          <w:color w:val="212121"/>
          <w:sz w:val="24"/>
          <w:szCs w:val="24"/>
          <w:shd w:val="clear" w:color="auto" w:fill="FFFFFF"/>
        </w:rPr>
        <w:t>.(8-9)</w:t>
      </w:r>
    </w:p>
    <w:p w14:paraId="47C3FE1C" w14:textId="66A2DB3D" w:rsidR="00154D12" w:rsidRPr="005036AA" w:rsidRDefault="00154D12" w:rsidP="00154D12">
      <w:pPr>
        <w:spacing w:line="480" w:lineRule="auto"/>
        <w:jc w:val="both"/>
        <w:rPr>
          <w:rFonts w:ascii="Times New Roman" w:hAnsi="Times New Roman"/>
          <w:sz w:val="24"/>
          <w:szCs w:val="24"/>
          <w:vertAlign w:val="superscript"/>
        </w:rPr>
      </w:pPr>
      <w:r w:rsidRPr="005036AA">
        <w:rPr>
          <w:rFonts w:ascii="Times New Roman" w:hAnsi="Times New Roman"/>
          <w:color w:val="212121"/>
          <w:sz w:val="24"/>
          <w:szCs w:val="24"/>
          <w:shd w:val="clear" w:color="auto" w:fill="FFFFFF"/>
        </w:rPr>
        <w:t xml:space="preserve">We found that the PT and APTT tests were not deranged in the patients with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In agreement to this, another study on Covid-19 patients with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did not find any relationship between </w:t>
      </w:r>
      <w:proofErr w:type="spellStart"/>
      <w:r w:rsidRPr="005036AA">
        <w:rPr>
          <w:rFonts w:ascii="Times New Roman" w:hAnsi="Times New Roman"/>
          <w:bCs/>
          <w:color w:val="000000"/>
          <w:spacing w:val="-2"/>
          <w:sz w:val="24"/>
          <w:szCs w:val="24"/>
        </w:rPr>
        <w:t>hypercoagulablity</w:t>
      </w:r>
      <w:proofErr w:type="spellEnd"/>
      <w:r w:rsidRPr="005036AA">
        <w:rPr>
          <w:rFonts w:ascii="Times New Roman" w:hAnsi="Times New Roman"/>
          <w:bCs/>
          <w:color w:val="000000"/>
          <w:spacing w:val="-2"/>
          <w:sz w:val="24"/>
          <w:szCs w:val="24"/>
        </w:rPr>
        <w:t xml:space="preserve"> and severity level of ischemic stroke</w:t>
      </w:r>
      <w:r w:rsidR="00624FFC">
        <w:rPr>
          <w:rFonts w:ascii="Times New Roman" w:hAnsi="Times New Roman"/>
          <w:bCs/>
          <w:color w:val="000000"/>
          <w:spacing w:val="-2"/>
          <w:sz w:val="24"/>
          <w:szCs w:val="24"/>
        </w:rPr>
        <w:t xml:space="preserve">. (10) </w:t>
      </w:r>
      <w:r w:rsidRPr="005036AA">
        <w:rPr>
          <w:rFonts w:ascii="Times New Roman" w:hAnsi="Times New Roman"/>
          <w:sz w:val="24"/>
          <w:szCs w:val="24"/>
          <w:vertAlign w:val="superscript"/>
        </w:rPr>
        <w:t xml:space="preserve"> </w:t>
      </w:r>
      <w:r w:rsidRPr="005036AA">
        <w:rPr>
          <w:rFonts w:ascii="Times New Roman" w:hAnsi="Times New Roman"/>
          <w:color w:val="212121"/>
          <w:sz w:val="24"/>
          <w:szCs w:val="24"/>
          <w:shd w:val="clear" w:color="auto" w:fill="FFFFFF"/>
        </w:rPr>
        <w:t xml:space="preserve">In contrast, a previous study had reported shortened APTT values in acute </w:t>
      </w:r>
      <w:proofErr w:type="spellStart"/>
      <w:r w:rsidRPr="005036AA">
        <w:rPr>
          <w:rFonts w:ascii="Times New Roman" w:hAnsi="Times New Roman"/>
          <w:color w:val="212121"/>
          <w:sz w:val="24"/>
          <w:szCs w:val="24"/>
          <w:shd w:val="clear" w:color="auto" w:fill="FFFFFF"/>
        </w:rPr>
        <w:t>ischaemic</w:t>
      </w:r>
      <w:proofErr w:type="spellEnd"/>
      <w:r w:rsidRPr="005036AA">
        <w:rPr>
          <w:rFonts w:ascii="Times New Roman" w:hAnsi="Times New Roman"/>
          <w:color w:val="212121"/>
          <w:sz w:val="24"/>
          <w:szCs w:val="24"/>
          <w:shd w:val="clear" w:color="auto" w:fill="FFFFFF"/>
        </w:rPr>
        <w:t xml:space="preserve"> stroke patients</w:t>
      </w:r>
      <w:r w:rsidR="00624FFC">
        <w:rPr>
          <w:rFonts w:ascii="Times New Roman" w:hAnsi="Times New Roman"/>
          <w:color w:val="212121"/>
          <w:sz w:val="24"/>
          <w:szCs w:val="24"/>
          <w:shd w:val="clear" w:color="auto" w:fill="FFFFFF"/>
        </w:rPr>
        <w:t>. (11)</w:t>
      </w:r>
      <w:r w:rsidRPr="005036AA">
        <w:rPr>
          <w:rFonts w:ascii="Times New Roman" w:hAnsi="Times New Roman"/>
          <w:color w:val="212121"/>
          <w:sz w:val="24"/>
          <w:szCs w:val="24"/>
          <w:shd w:val="clear" w:color="auto" w:fill="FFFFFF"/>
        </w:rPr>
        <w:t xml:space="preserve"> The disparity may be attributable to the time of assessment of the patients. Due to late presentation by our patients our study occurred in </w:t>
      </w:r>
      <w:r w:rsidR="002049C7" w:rsidRPr="005036AA">
        <w:rPr>
          <w:rFonts w:ascii="Times New Roman" w:hAnsi="Times New Roman"/>
          <w:color w:val="212121"/>
          <w:sz w:val="24"/>
          <w:szCs w:val="24"/>
          <w:shd w:val="clear" w:color="auto" w:fill="FFFFFF"/>
        </w:rPr>
        <w:t xml:space="preserve">the </w:t>
      </w:r>
      <w:r w:rsidR="00624FFC" w:rsidRPr="005036AA">
        <w:rPr>
          <w:rFonts w:ascii="Times New Roman" w:hAnsi="Times New Roman"/>
          <w:color w:val="212121"/>
          <w:sz w:val="24"/>
          <w:szCs w:val="24"/>
          <w:shd w:val="clear" w:color="auto" w:fill="FFFFFF"/>
        </w:rPr>
        <w:t>post-acute</w:t>
      </w:r>
      <w:r w:rsidRPr="005036AA">
        <w:rPr>
          <w:rFonts w:ascii="Times New Roman" w:hAnsi="Times New Roman"/>
          <w:color w:val="212121"/>
          <w:sz w:val="24"/>
          <w:szCs w:val="24"/>
          <w:shd w:val="clear" w:color="auto" w:fill="FFFFFF"/>
        </w:rPr>
        <w:t xml:space="preserve"> stroke period unlike the other study carried out during the acute stroke event. Acute phase responses could affect the components of coagulation pathway erratically with normalization in the chronic period and </w:t>
      </w:r>
      <w:proofErr w:type="spellStart"/>
      <w:r w:rsidRPr="005036AA">
        <w:rPr>
          <w:rFonts w:ascii="Times New Roman" w:hAnsi="Times New Roman"/>
          <w:color w:val="212121"/>
          <w:sz w:val="24"/>
          <w:szCs w:val="24"/>
          <w:shd w:val="clear" w:color="auto" w:fill="FFFFFF"/>
        </w:rPr>
        <w:t>haemostatic</w:t>
      </w:r>
      <w:proofErr w:type="spellEnd"/>
      <w:r w:rsidRPr="005036AA">
        <w:rPr>
          <w:rFonts w:ascii="Times New Roman" w:hAnsi="Times New Roman"/>
          <w:color w:val="212121"/>
          <w:sz w:val="24"/>
          <w:szCs w:val="24"/>
          <w:shd w:val="clear" w:color="auto" w:fill="FFFFFF"/>
        </w:rPr>
        <w:t xml:space="preserve"> disturbance could be a contributor and not a cause</w:t>
      </w:r>
      <w:r w:rsidR="00624FFC">
        <w:rPr>
          <w:rFonts w:ascii="Times New Roman" w:hAnsi="Times New Roman"/>
          <w:color w:val="212121"/>
          <w:sz w:val="24"/>
          <w:szCs w:val="24"/>
          <w:shd w:val="clear" w:color="auto" w:fill="FFFFFF"/>
        </w:rPr>
        <w:t xml:space="preserve">. (12) </w:t>
      </w:r>
      <w:r w:rsidRPr="005036AA">
        <w:rPr>
          <w:rFonts w:ascii="Times New Roman" w:hAnsi="Times New Roman"/>
          <w:sz w:val="24"/>
          <w:szCs w:val="24"/>
          <w:vertAlign w:val="superscript"/>
        </w:rPr>
        <w:t xml:space="preserve"> </w:t>
      </w:r>
      <w:r w:rsidRPr="005036AA">
        <w:rPr>
          <w:rFonts w:ascii="Times New Roman" w:hAnsi="Times New Roman"/>
          <w:color w:val="000000"/>
          <w:sz w:val="24"/>
          <w:szCs w:val="24"/>
          <w:shd w:val="clear" w:color="auto" w:fill="FFFFFF"/>
        </w:rPr>
        <w:t xml:space="preserve">Diagnostic yield of coagulation tests in </w:t>
      </w:r>
      <w:proofErr w:type="spellStart"/>
      <w:r w:rsidRPr="005036AA">
        <w:rPr>
          <w:rFonts w:ascii="Times New Roman" w:hAnsi="Times New Roman"/>
          <w:color w:val="000000"/>
          <w:sz w:val="24"/>
          <w:szCs w:val="24"/>
          <w:shd w:val="clear" w:color="auto" w:fill="FFFFFF"/>
        </w:rPr>
        <w:t>ischaemic</w:t>
      </w:r>
      <w:proofErr w:type="spellEnd"/>
      <w:r w:rsidRPr="005036AA">
        <w:rPr>
          <w:rFonts w:ascii="Times New Roman" w:hAnsi="Times New Roman"/>
          <w:color w:val="000000"/>
          <w:sz w:val="24"/>
          <w:szCs w:val="24"/>
          <w:shd w:val="clear" w:color="auto" w:fill="FFFFFF"/>
        </w:rPr>
        <w:t xml:space="preserve"> stroke may require more specific coagulation tests which can reflect the complexity of the </w:t>
      </w:r>
      <w:proofErr w:type="spellStart"/>
      <w:r w:rsidRPr="005036AA">
        <w:rPr>
          <w:rFonts w:ascii="Times New Roman" w:hAnsi="Times New Roman"/>
          <w:color w:val="000000"/>
          <w:sz w:val="24"/>
          <w:szCs w:val="24"/>
          <w:shd w:val="clear" w:color="auto" w:fill="FFFFFF"/>
        </w:rPr>
        <w:t>haemostatic</w:t>
      </w:r>
      <w:proofErr w:type="spellEnd"/>
      <w:r w:rsidRPr="005036AA">
        <w:rPr>
          <w:rFonts w:ascii="Times New Roman" w:hAnsi="Times New Roman"/>
          <w:color w:val="000000"/>
          <w:sz w:val="24"/>
          <w:szCs w:val="24"/>
          <w:shd w:val="clear" w:color="auto" w:fill="FFFFFF"/>
        </w:rPr>
        <w:t xml:space="preserve"> impairment and also adjust for timing of the stroke event. </w:t>
      </w:r>
      <w:r w:rsidRPr="005036AA">
        <w:rPr>
          <w:rFonts w:ascii="Times New Roman" w:hAnsi="Times New Roman"/>
          <w:sz w:val="24"/>
          <w:szCs w:val="24"/>
        </w:rPr>
        <w:t>Also</w:t>
      </w:r>
      <w:r w:rsidR="00D13AFB" w:rsidRPr="005036AA">
        <w:rPr>
          <w:rFonts w:ascii="Times New Roman" w:hAnsi="Times New Roman"/>
          <w:sz w:val="24"/>
          <w:szCs w:val="24"/>
        </w:rPr>
        <w:t xml:space="preserve">, </w:t>
      </w:r>
      <w:r w:rsidRPr="005036AA">
        <w:rPr>
          <w:rFonts w:ascii="Times New Roman" w:hAnsi="Times New Roman"/>
          <w:sz w:val="24"/>
          <w:szCs w:val="24"/>
        </w:rPr>
        <w:t>it’s important to control p</w:t>
      </w:r>
      <w:r w:rsidRPr="005036AA">
        <w:rPr>
          <w:rFonts w:ascii="Times New Roman" w:hAnsi="Times New Roman"/>
          <w:color w:val="212121"/>
          <w:sz w:val="24"/>
          <w:szCs w:val="24"/>
          <w:shd w:val="clear" w:color="auto" w:fill="FFFFFF"/>
        </w:rPr>
        <w:t>reanalytical errors from difficult or poor blood collection which cause cellular damage and release of tissue factors and</w:t>
      </w:r>
      <w:r w:rsidR="00D13AFB" w:rsidRPr="005036AA">
        <w:rPr>
          <w:rFonts w:ascii="Times New Roman" w:hAnsi="Times New Roman"/>
          <w:color w:val="212121"/>
          <w:sz w:val="24"/>
          <w:szCs w:val="24"/>
          <w:shd w:val="clear" w:color="auto" w:fill="FFFFFF"/>
        </w:rPr>
        <w:t xml:space="preserve"> </w:t>
      </w:r>
      <w:r w:rsidRPr="005036AA">
        <w:rPr>
          <w:rFonts w:ascii="Times New Roman" w:hAnsi="Times New Roman"/>
          <w:color w:val="212121"/>
          <w:sz w:val="24"/>
          <w:szCs w:val="24"/>
          <w:shd w:val="clear" w:color="auto" w:fill="FFFFFF"/>
        </w:rPr>
        <w:t>commonly cause shortened APTT</w:t>
      </w:r>
      <w:r w:rsidR="00624FFC">
        <w:rPr>
          <w:rFonts w:ascii="Times New Roman" w:hAnsi="Times New Roman"/>
          <w:color w:val="212121"/>
          <w:sz w:val="24"/>
          <w:szCs w:val="24"/>
          <w:shd w:val="clear" w:color="auto" w:fill="FFFFFF"/>
        </w:rPr>
        <w:t xml:space="preserve">. (13) </w:t>
      </w:r>
      <w:r w:rsidRPr="005036AA">
        <w:rPr>
          <w:rFonts w:ascii="Times New Roman" w:hAnsi="Times New Roman"/>
          <w:sz w:val="24"/>
          <w:szCs w:val="24"/>
        </w:rPr>
        <w:t xml:space="preserve">In the index study care was taken to avoid traumatic </w:t>
      </w:r>
      <w:r w:rsidR="00E707A2">
        <w:rPr>
          <w:rFonts w:ascii="Times New Roman" w:hAnsi="Times New Roman"/>
          <w:sz w:val="24"/>
          <w:szCs w:val="24"/>
        </w:rPr>
        <w:t>venipuncture an</w:t>
      </w:r>
      <w:r w:rsidRPr="005036AA">
        <w:rPr>
          <w:rFonts w:ascii="Times New Roman" w:hAnsi="Times New Roman"/>
          <w:sz w:val="24"/>
          <w:szCs w:val="24"/>
        </w:rPr>
        <w:t>d tourniquet stasis during blood collection.</w:t>
      </w:r>
    </w:p>
    <w:p w14:paraId="44F858E8" w14:textId="41DA4006" w:rsidR="00154D12" w:rsidRPr="005036AA" w:rsidRDefault="00154D12" w:rsidP="00154D12">
      <w:pPr>
        <w:spacing w:line="480" w:lineRule="auto"/>
        <w:jc w:val="both"/>
        <w:rPr>
          <w:rFonts w:ascii="Times New Roman" w:hAnsi="Times New Roman"/>
          <w:bCs/>
          <w:iCs/>
          <w:sz w:val="24"/>
          <w:szCs w:val="24"/>
          <w:bdr w:val="none" w:sz="0" w:space="0" w:color="auto" w:frame="1"/>
          <w:shd w:val="clear" w:color="auto" w:fill="FFFFFF"/>
        </w:rPr>
      </w:pPr>
      <w:r w:rsidRPr="005036AA">
        <w:rPr>
          <w:rFonts w:ascii="Times New Roman" w:hAnsi="Times New Roman"/>
          <w:sz w:val="24"/>
          <w:szCs w:val="24"/>
        </w:rPr>
        <w:lastRenderedPageBreak/>
        <w:t xml:space="preserve">Our finding of normal antithrombin levels have been upheld by Hashem et al but refuted by </w:t>
      </w:r>
      <w:proofErr w:type="spellStart"/>
      <w:r w:rsidRPr="005036AA">
        <w:rPr>
          <w:rFonts w:ascii="Times New Roman" w:hAnsi="Times New Roman"/>
          <w:bCs/>
          <w:iCs/>
          <w:sz w:val="24"/>
          <w:szCs w:val="24"/>
          <w:bdr w:val="none" w:sz="0" w:space="0" w:color="auto" w:frame="1"/>
          <w:shd w:val="clear" w:color="auto" w:fill="FFFFFF"/>
        </w:rPr>
        <w:t>Spiegelenberg</w:t>
      </w:r>
      <w:proofErr w:type="spellEnd"/>
      <w:r w:rsidRPr="005036AA">
        <w:rPr>
          <w:rFonts w:ascii="Times New Roman" w:hAnsi="Times New Roman"/>
          <w:bCs/>
          <w:iCs/>
          <w:sz w:val="24"/>
          <w:szCs w:val="24"/>
          <w:bdr w:val="none" w:sz="0" w:space="0" w:color="auto" w:frame="1"/>
          <w:shd w:val="clear" w:color="auto" w:fill="FFFFFF"/>
        </w:rPr>
        <w:t xml:space="preserve"> et al who found lower levels of antithrombin activity especially in younger patients with recurrent stroke</w:t>
      </w:r>
      <w:r w:rsidR="00624FFC">
        <w:rPr>
          <w:rFonts w:ascii="Times New Roman" w:hAnsi="Times New Roman"/>
          <w:bCs/>
          <w:iCs/>
          <w:sz w:val="24"/>
          <w:szCs w:val="24"/>
          <w:bdr w:val="none" w:sz="0" w:space="0" w:color="auto" w:frame="1"/>
          <w:shd w:val="clear" w:color="auto" w:fill="FFFFFF"/>
        </w:rPr>
        <w:t>. (14-16)</w:t>
      </w:r>
      <w:r w:rsidRPr="005036AA">
        <w:rPr>
          <w:rFonts w:ascii="Times New Roman" w:hAnsi="Times New Roman"/>
          <w:bCs/>
          <w:iCs/>
          <w:sz w:val="24"/>
          <w:szCs w:val="24"/>
          <w:bdr w:val="none" w:sz="0" w:space="0" w:color="auto" w:frame="1"/>
          <w:shd w:val="clear" w:color="auto" w:fill="FFFFFF"/>
        </w:rPr>
        <w:t xml:space="preserve"> Our finding aligns with the suggestion that antithrombin and other natural anticoagulants may not be involved in arterial thrombosis including </w:t>
      </w:r>
      <w:proofErr w:type="spellStart"/>
      <w:r w:rsidRPr="005036AA">
        <w:rPr>
          <w:rFonts w:ascii="Times New Roman" w:hAnsi="Times New Roman"/>
          <w:bCs/>
          <w:iCs/>
          <w:sz w:val="24"/>
          <w:szCs w:val="24"/>
          <w:bdr w:val="none" w:sz="0" w:space="0" w:color="auto" w:frame="1"/>
          <w:shd w:val="clear" w:color="auto" w:fill="FFFFFF"/>
        </w:rPr>
        <w:t>ischaemic</w:t>
      </w:r>
      <w:proofErr w:type="spellEnd"/>
      <w:r w:rsidRPr="005036AA">
        <w:rPr>
          <w:rFonts w:ascii="Times New Roman" w:hAnsi="Times New Roman"/>
          <w:bCs/>
          <w:iCs/>
          <w:sz w:val="24"/>
          <w:szCs w:val="24"/>
          <w:bdr w:val="none" w:sz="0" w:space="0" w:color="auto" w:frame="1"/>
          <w:shd w:val="clear" w:color="auto" w:fill="FFFFFF"/>
        </w:rPr>
        <w:t xml:space="preserve"> stroke unlike its implication in venous thromboembolism. However, time dependent changes in </w:t>
      </w:r>
      <w:proofErr w:type="spellStart"/>
      <w:r w:rsidRPr="005036AA">
        <w:rPr>
          <w:rFonts w:ascii="Times New Roman" w:hAnsi="Times New Roman"/>
          <w:bCs/>
          <w:iCs/>
          <w:sz w:val="24"/>
          <w:szCs w:val="24"/>
          <w:bdr w:val="none" w:sz="0" w:space="0" w:color="auto" w:frame="1"/>
          <w:shd w:val="clear" w:color="auto" w:fill="FFFFFF"/>
        </w:rPr>
        <w:t>anithrombin</w:t>
      </w:r>
      <w:proofErr w:type="spellEnd"/>
      <w:r w:rsidRPr="005036AA">
        <w:rPr>
          <w:rFonts w:ascii="Times New Roman" w:hAnsi="Times New Roman"/>
          <w:bCs/>
          <w:iCs/>
          <w:sz w:val="24"/>
          <w:szCs w:val="24"/>
          <w:bdr w:val="none" w:sz="0" w:space="0" w:color="auto" w:frame="1"/>
          <w:shd w:val="clear" w:color="auto" w:fill="FFFFFF"/>
        </w:rPr>
        <w:t xml:space="preserve"> activity </w:t>
      </w:r>
      <w:r w:rsidR="002049C7" w:rsidRPr="005036AA">
        <w:rPr>
          <w:rFonts w:ascii="Times New Roman" w:hAnsi="Times New Roman"/>
          <w:bCs/>
          <w:iCs/>
          <w:sz w:val="24"/>
          <w:szCs w:val="24"/>
          <w:bdr w:val="none" w:sz="0" w:space="0" w:color="auto" w:frame="1"/>
          <w:shd w:val="clear" w:color="auto" w:fill="FFFFFF"/>
        </w:rPr>
        <w:t>may occur</w:t>
      </w:r>
      <w:r w:rsidRPr="005036AA">
        <w:rPr>
          <w:rFonts w:ascii="Times New Roman" w:hAnsi="Times New Roman"/>
          <w:bCs/>
          <w:iCs/>
          <w:sz w:val="24"/>
          <w:szCs w:val="24"/>
          <w:bdr w:val="none" w:sz="0" w:space="0" w:color="auto" w:frame="1"/>
          <w:shd w:val="clear" w:color="auto" w:fill="FFFFFF"/>
        </w:rPr>
        <w:t xml:space="preserve"> </w:t>
      </w:r>
      <w:r w:rsidR="00624FFC" w:rsidRPr="005036AA">
        <w:rPr>
          <w:rFonts w:ascii="Times New Roman" w:hAnsi="Times New Roman"/>
          <w:bCs/>
          <w:iCs/>
          <w:sz w:val="24"/>
          <w:szCs w:val="24"/>
          <w:bdr w:val="none" w:sz="0" w:space="0" w:color="auto" w:frame="1"/>
          <w:shd w:val="clear" w:color="auto" w:fill="FFFFFF"/>
        </w:rPr>
        <w:t>following acute</w:t>
      </w:r>
      <w:r w:rsidRPr="005036AA">
        <w:rPr>
          <w:rFonts w:ascii="Times New Roman" w:hAnsi="Times New Roman"/>
          <w:bCs/>
          <w:iCs/>
          <w:sz w:val="24"/>
          <w:szCs w:val="24"/>
          <w:bdr w:val="none" w:sz="0" w:space="0" w:color="auto" w:frame="1"/>
          <w:shd w:val="clear" w:color="auto" w:fill="FFFFFF"/>
        </w:rPr>
        <w:t xml:space="preserve"> events including stroke. </w:t>
      </w:r>
      <w:r w:rsidR="00624FFC" w:rsidRPr="005036AA">
        <w:rPr>
          <w:rFonts w:ascii="Times New Roman" w:hAnsi="Times New Roman"/>
          <w:bCs/>
          <w:iCs/>
          <w:sz w:val="24"/>
          <w:szCs w:val="24"/>
          <w:bdr w:val="none" w:sz="0" w:space="0" w:color="auto" w:frame="1"/>
          <w:shd w:val="clear" w:color="auto" w:fill="FFFFFF"/>
        </w:rPr>
        <w:t>So,</w:t>
      </w:r>
      <w:r w:rsidRPr="005036AA">
        <w:rPr>
          <w:rFonts w:ascii="Times New Roman" w:hAnsi="Times New Roman"/>
          <w:bCs/>
          <w:iCs/>
          <w:sz w:val="24"/>
          <w:szCs w:val="24"/>
          <w:bdr w:val="none" w:sz="0" w:space="0" w:color="auto" w:frame="1"/>
          <w:shd w:val="clear" w:color="auto" w:fill="FFFFFF"/>
        </w:rPr>
        <w:t xml:space="preserve"> levels might decline initially and then rebound in the following days accounting for the finding in the index </w:t>
      </w:r>
      <w:r w:rsidR="00624FFC" w:rsidRPr="005036AA">
        <w:rPr>
          <w:rFonts w:ascii="Times New Roman" w:hAnsi="Times New Roman"/>
          <w:bCs/>
          <w:iCs/>
          <w:sz w:val="24"/>
          <w:szCs w:val="24"/>
          <w:bdr w:val="none" w:sz="0" w:space="0" w:color="auto" w:frame="1"/>
          <w:shd w:val="clear" w:color="auto" w:fill="FFFFFF"/>
        </w:rPr>
        <w:t>study</w:t>
      </w:r>
      <w:r w:rsidR="00624FFC">
        <w:rPr>
          <w:rFonts w:ascii="Times New Roman" w:hAnsi="Times New Roman"/>
          <w:bCs/>
          <w:iCs/>
          <w:sz w:val="24"/>
          <w:szCs w:val="24"/>
          <w:bdr w:val="none" w:sz="0" w:space="0" w:color="auto" w:frame="1"/>
          <w:shd w:val="clear" w:color="auto" w:fill="FFFFFF"/>
        </w:rPr>
        <w:t>. (17)</w:t>
      </w:r>
      <w:r w:rsidRPr="005036AA">
        <w:rPr>
          <w:rFonts w:ascii="Times New Roman" w:hAnsi="Times New Roman"/>
          <w:bCs/>
          <w:iCs/>
          <w:sz w:val="24"/>
          <w:szCs w:val="24"/>
          <w:bdr w:val="none" w:sz="0" w:space="0" w:color="auto" w:frame="1"/>
          <w:shd w:val="clear" w:color="auto" w:fill="FFFFFF"/>
        </w:rPr>
        <w:t xml:space="preserve"> Antithrombin deficiency other hypercoagulable states are relatively more common in younger </w:t>
      </w:r>
      <w:proofErr w:type="spellStart"/>
      <w:r w:rsidRPr="005036AA">
        <w:rPr>
          <w:rFonts w:ascii="Times New Roman" w:hAnsi="Times New Roman"/>
          <w:bCs/>
          <w:iCs/>
          <w:sz w:val="24"/>
          <w:szCs w:val="24"/>
          <w:bdr w:val="none" w:sz="0" w:space="0" w:color="auto" w:frame="1"/>
          <w:shd w:val="clear" w:color="auto" w:fill="FFFFFF"/>
        </w:rPr>
        <w:t>ischaemic</w:t>
      </w:r>
      <w:proofErr w:type="spellEnd"/>
      <w:r w:rsidRPr="005036AA">
        <w:rPr>
          <w:rFonts w:ascii="Times New Roman" w:hAnsi="Times New Roman"/>
          <w:bCs/>
          <w:iCs/>
          <w:sz w:val="24"/>
          <w:szCs w:val="24"/>
          <w:bdr w:val="none" w:sz="0" w:space="0" w:color="auto" w:frame="1"/>
          <w:shd w:val="clear" w:color="auto" w:fill="FFFFFF"/>
        </w:rPr>
        <w:t xml:space="preserve"> stroke patients unlike older patients where traditional risk factors are dominant. The </w:t>
      </w:r>
      <w:r w:rsidR="00D13AFB" w:rsidRPr="005036AA">
        <w:rPr>
          <w:rFonts w:ascii="Times New Roman" w:hAnsi="Times New Roman"/>
          <w:bCs/>
          <w:iCs/>
          <w:sz w:val="24"/>
          <w:szCs w:val="24"/>
          <w:bdr w:val="none" w:sz="0" w:space="0" w:color="auto" w:frame="1"/>
          <w:shd w:val="clear" w:color="auto" w:fill="FFFFFF"/>
        </w:rPr>
        <w:t xml:space="preserve"> </w:t>
      </w:r>
      <w:r w:rsidRPr="005036AA">
        <w:rPr>
          <w:rFonts w:ascii="Times New Roman" w:hAnsi="Times New Roman"/>
          <w:bCs/>
          <w:iCs/>
          <w:sz w:val="24"/>
          <w:szCs w:val="24"/>
          <w:bdr w:val="none" w:sz="0" w:space="0" w:color="auto" w:frame="1"/>
          <w:shd w:val="clear" w:color="auto" w:fill="FFFFFF"/>
        </w:rPr>
        <w:t xml:space="preserve"> </w:t>
      </w:r>
      <w:proofErr w:type="spellStart"/>
      <w:r w:rsidRPr="005036AA">
        <w:rPr>
          <w:rFonts w:ascii="Times New Roman" w:hAnsi="Times New Roman"/>
          <w:bCs/>
          <w:iCs/>
          <w:sz w:val="24"/>
          <w:szCs w:val="24"/>
          <w:bdr w:val="none" w:sz="0" w:space="0" w:color="auto" w:frame="1"/>
          <w:shd w:val="clear" w:color="auto" w:fill="FFFFFF"/>
        </w:rPr>
        <w:t>ischaemic</w:t>
      </w:r>
      <w:proofErr w:type="spellEnd"/>
      <w:r w:rsidRPr="005036AA">
        <w:rPr>
          <w:rFonts w:ascii="Times New Roman" w:hAnsi="Times New Roman"/>
          <w:bCs/>
          <w:iCs/>
          <w:sz w:val="24"/>
          <w:szCs w:val="24"/>
          <w:bdr w:val="none" w:sz="0" w:space="0" w:color="auto" w:frame="1"/>
          <w:shd w:val="clear" w:color="auto" w:fill="FFFFFF"/>
        </w:rPr>
        <w:t xml:space="preserve"> stroke patients we studied, were mostly in the middle age group, and traditional risk factors including age, hypertension, diabetes mellitus. previous and family history of stroke would have predisposed them more to stroke rather than deficiency of antithrombin. </w:t>
      </w:r>
    </w:p>
    <w:p w14:paraId="067782DE" w14:textId="1ECE6306"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 xml:space="preserve">There was significant association between functional AT deficiency and diabetes mellitus in the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group. This is in keeping with the observations of Wang et al</w:t>
      </w:r>
      <w:r w:rsidR="00624FFC">
        <w:rPr>
          <w:rFonts w:ascii="Times New Roman" w:hAnsi="Times New Roman"/>
          <w:sz w:val="24"/>
          <w:szCs w:val="24"/>
        </w:rPr>
        <w:t>. (18)</w:t>
      </w:r>
      <w:r w:rsidRPr="005036AA">
        <w:rPr>
          <w:rFonts w:ascii="Times New Roman" w:hAnsi="Times New Roman"/>
          <w:sz w:val="24"/>
          <w:szCs w:val="24"/>
        </w:rPr>
        <w:t xml:space="preserve"> </w:t>
      </w:r>
      <w:r w:rsidRPr="005036AA">
        <w:rPr>
          <w:rFonts w:ascii="Times New Roman" w:hAnsi="Times New Roman"/>
          <w:bCs/>
          <w:iCs/>
          <w:sz w:val="24"/>
          <w:szCs w:val="24"/>
          <w:bdr w:val="none" w:sz="0" w:space="0" w:color="auto" w:frame="1"/>
          <w:shd w:val="clear" w:color="auto" w:fill="FFFFFF"/>
        </w:rPr>
        <w:t>This has been attributable to</w:t>
      </w:r>
      <w:r w:rsidRPr="005036AA">
        <w:rPr>
          <w:rFonts w:ascii="Times New Roman" w:hAnsi="Times New Roman"/>
          <w:bCs/>
          <w:iCs/>
          <w:color w:val="4F4F4F"/>
          <w:sz w:val="24"/>
          <w:szCs w:val="24"/>
          <w:bdr w:val="none" w:sz="0" w:space="0" w:color="auto" w:frame="1"/>
          <w:shd w:val="clear" w:color="auto" w:fill="FFFFFF"/>
        </w:rPr>
        <w:t xml:space="preserve"> </w:t>
      </w:r>
      <w:proofErr w:type="spellStart"/>
      <w:r w:rsidRPr="005036AA">
        <w:rPr>
          <w:rFonts w:ascii="Times New Roman" w:hAnsi="Times New Roman"/>
          <w:sz w:val="24"/>
          <w:szCs w:val="24"/>
        </w:rPr>
        <w:t>hyperglycaemia</w:t>
      </w:r>
      <w:proofErr w:type="spellEnd"/>
      <w:r w:rsidRPr="005036AA">
        <w:rPr>
          <w:rFonts w:ascii="Times New Roman" w:hAnsi="Times New Roman"/>
          <w:sz w:val="24"/>
          <w:szCs w:val="24"/>
        </w:rPr>
        <w:t xml:space="preserve"> induced conformational changes on antithrombin causing low heparin affinity, loss of anticoagulant activity and impaired secretion.</w:t>
      </w:r>
    </w:p>
    <w:p w14:paraId="31E4362C" w14:textId="24AA6FF9" w:rsidR="00154D12" w:rsidRPr="005036AA" w:rsidRDefault="00154D12" w:rsidP="00154D12">
      <w:pPr>
        <w:spacing w:line="480" w:lineRule="auto"/>
        <w:jc w:val="both"/>
        <w:rPr>
          <w:rFonts w:ascii="Times New Roman" w:hAnsi="Times New Roman"/>
          <w:sz w:val="24"/>
          <w:szCs w:val="24"/>
        </w:rPr>
      </w:pPr>
      <w:r w:rsidRPr="005036AA">
        <w:rPr>
          <w:rFonts w:ascii="Times New Roman" w:hAnsi="Times New Roman"/>
          <w:sz w:val="24"/>
          <w:szCs w:val="24"/>
        </w:rPr>
        <w:t>We found a negative correlation between AT levels, PT and APTT. This is similar to the reports of Fisher, who suggested that a similar mechanism may account for the reduction in both procoagulant and anticoagulant proteins during acute thrombotic episodes</w:t>
      </w:r>
      <w:r w:rsidR="00624FFC">
        <w:rPr>
          <w:rFonts w:ascii="Times New Roman" w:hAnsi="Times New Roman"/>
          <w:sz w:val="24"/>
          <w:szCs w:val="24"/>
        </w:rPr>
        <w:t xml:space="preserve">. (19) </w:t>
      </w:r>
      <w:r w:rsidRPr="005036AA">
        <w:rPr>
          <w:rFonts w:ascii="Times New Roman" w:hAnsi="Times New Roman"/>
          <w:sz w:val="24"/>
          <w:szCs w:val="24"/>
        </w:rPr>
        <w:t xml:space="preserve"> </w:t>
      </w:r>
      <w:proofErr w:type="gramStart"/>
      <w:r w:rsidRPr="005036AA">
        <w:rPr>
          <w:rFonts w:ascii="Times New Roman" w:hAnsi="Times New Roman"/>
          <w:sz w:val="24"/>
          <w:szCs w:val="24"/>
        </w:rPr>
        <w:t>Similarly</w:t>
      </w:r>
      <w:proofErr w:type="gramEnd"/>
      <w:r w:rsidRPr="005036AA">
        <w:rPr>
          <w:rFonts w:ascii="Times New Roman" w:hAnsi="Times New Roman"/>
          <w:sz w:val="24"/>
          <w:szCs w:val="24"/>
        </w:rPr>
        <w:t xml:space="preserve"> Gissel et al</w:t>
      </w:r>
      <w:r w:rsidRPr="005036AA">
        <w:rPr>
          <w:rFonts w:ascii="Times New Roman" w:hAnsi="Times New Roman"/>
          <w:sz w:val="24"/>
          <w:szCs w:val="24"/>
          <w:vertAlign w:val="superscript"/>
        </w:rPr>
        <w:t xml:space="preserve"> </w:t>
      </w:r>
      <w:r w:rsidRPr="005036AA">
        <w:rPr>
          <w:rFonts w:ascii="Times New Roman" w:hAnsi="Times New Roman"/>
          <w:sz w:val="24"/>
          <w:szCs w:val="24"/>
        </w:rPr>
        <w:t>reported low levels of FVIII, FV, FX, prolonged APTT and higher AT levels in pervious stroke patients compared to acute stroke patients</w:t>
      </w:r>
      <w:r w:rsidR="00624FFC">
        <w:rPr>
          <w:rFonts w:ascii="Times New Roman" w:hAnsi="Times New Roman"/>
          <w:sz w:val="24"/>
          <w:szCs w:val="24"/>
        </w:rPr>
        <w:t>. (20)</w:t>
      </w:r>
      <w:r w:rsidRPr="005036AA">
        <w:rPr>
          <w:rFonts w:ascii="Times New Roman" w:hAnsi="Times New Roman"/>
          <w:sz w:val="24"/>
          <w:szCs w:val="24"/>
        </w:rPr>
        <w:t xml:space="preserve"> This he attributed to the consequences of activation of coagulation and fibrinolysis in the acute and chronic phases of cerebral thrombosis. </w:t>
      </w:r>
    </w:p>
    <w:p w14:paraId="1AFF0051" w14:textId="77777777" w:rsidR="00154D12" w:rsidRPr="005036AA" w:rsidRDefault="00154D12" w:rsidP="00154D12">
      <w:pPr>
        <w:jc w:val="both"/>
        <w:rPr>
          <w:rFonts w:ascii="Times New Roman" w:hAnsi="Times New Roman"/>
          <w:sz w:val="24"/>
          <w:szCs w:val="24"/>
        </w:rPr>
      </w:pPr>
      <w:r w:rsidRPr="005036AA">
        <w:rPr>
          <w:rFonts w:ascii="Times New Roman" w:hAnsi="Times New Roman"/>
          <w:sz w:val="24"/>
          <w:szCs w:val="24"/>
        </w:rPr>
        <w:lastRenderedPageBreak/>
        <w:t xml:space="preserve">Conclusion </w:t>
      </w:r>
    </w:p>
    <w:p w14:paraId="43BBDE18" w14:textId="77777777" w:rsidR="00154D12" w:rsidRPr="005036AA" w:rsidRDefault="00154D12" w:rsidP="00154D12">
      <w:pPr>
        <w:spacing w:after="0" w:line="360" w:lineRule="auto"/>
        <w:jc w:val="both"/>
        <w:rPr>
          <w:rFonts w:ascii="Times New Roman" w:hAnsi="Times New Roman"/>
          <w:sz w:val="24"/>
          <w:szCs w:val="24"/>
        </w:rPr>
      </w:pPr>
      <w:r w:rsidRPr="005036AA">
        <w:rPr>
          <w:rFonts w:ascii="Times New Roman" w:hAnsi="Times New Roman"/>
          <w:sz w:val="24"/>
          <w:szCs w:val="24"/>
        </w:rPr>
        <w:t xml:space="preserve">PT and APTT tests may not have diagnostic value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patients and routine assessment with them may not be justifiable. Antithrombin may not play a significant role in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in our population, but patients with diabetes mellitus may be assessed for additional risk of AT functional deficiency.  </w:t>
      </w:r>
    </w:p>
    <w:p w14:paraId="1944212D" w14:textId="77777777" w:rsidR="00154D12" w:rsidRPr="005036AA" w:rsidRDefault="00154D12" w:rsidP="00154D12">
      <w:pPr>
        <w:spacing w:after="0" w:line="360" w:lineRule="auto"/>
        <w:jc w:val="both"/>
        <w:rPr>
          <w:rFonts w:ascii="Times New Roman" w:hAnsi="Times New Roman"/>
          <w:sz w:val="24"/>
          <w:szCs w:val="24"/>
        </w:rPr>
      </w:pPr>
    </w:p>
    <w:p w14:paraId="65B988BF" w14:textId="29378F0D" w:rsidR="00154D12" w:rsidRPr="005036AA" w:rsidRDefault="00154D12" w:rsidP="00154D12">
      <w:pPr>
        <w:jc w:val="both"/>
        <w:rPr>
          <w:rFonts w:ascii="Times New Roman" w:hAnsi="Times New Roman"/>
          <w:sz w:val="24"/>
          <w:szCs w:val="24"/>
        </w:rPr>
      </w:pPr>
      <w:r w:rsidRPr="005036AA">
        <w:rPr>
          <w:rFonts w:ascii="Times New Roman" w:hAnsi="Times New Roman"/>
          <w:sz w:val="24"/>
          <w:szCs w:val="24"/>
        </w:rPr>
        <w:t xml:space="preserve">Study limitations. </w:t>
      </w:r>
      <w:r w:rsidR="00624FFC">
        <w:rPr>
          <w:rFonts w:ascii="Times New Roman" w:hAnsi="Times New Roman"/>
          <w:sz w:val="24"/>
          <w:szCs w:val="24"/>
        </w:rPr>
        <w:t xml:space="preserve">Small sample size may limit generalization </w:t>
      </w:r>
      <w:proofErr w:type="gramStart"/>
      <w:r w:rsidR="00624FFC">
        <w:rPr>
          <w:rFonts w:ascii="Times New Roman" w:hAnsi="Times New Roman"/>
          <w:sz w:val="24"/>
          <w:szCs w:val="24"/>
        </w:rPr>
        <w:t>of  the</w:t>
      </w:r>
      <w:proofErr w:type="gramEnd"/>
      <w:r w:rsidR="00624FFC">
        <w:rPr>
          <w:rFonts w:ascii="Times New Roman" w:hAnsi="Times New Roman"/>
          <w:sz w:val="24"/>
          <w:szCs w:val="24"/>
        </w:rPr>
        <w:t xml:space="preserve"> study findings.</w:t>
      </w:r>
    </w:p>
    <w:p w14:paraId="74D675B5" w14:textId="77777777" w:rsidR="00154D12" w:rsidRPr="005036AA" w:rsidRDefault="00154D12" w:rsidP="00154D12">
      <w:pPr>
        <w:jc w:val="both"/>
        <w:rPr>
          <w:rFonts w:ascii="Times New Roman" w:hAnsi="Times New Roman"/>
          <w:sz w:val="24"/>
          <w:szCs w:val="24"/>
        </w:rPr>
      </w:pPr>
    </w:p>
    <w:p w14:paraId="626EA3E0" w14:textId="77777777" w:rsidR="00154D12" w:rsidRPr="005036AA" w:rsidRDefault="00154D12" w:rsidP="00154D12">
      <w:pPr>
        <w:jc w:val="both"/>
        <w:rPr>
          <w:rFonts w:ascii="Times New Roman" w:hAnsi="Times New Roman"/>
          <w:sz w:val="24"/>
          <w:szCs w:val="24"/>
        </w:rPr>
      </w:pPr>
    </w:p>
    <w:p w14:paraId="4991C3C8" w14:textId="77777777" w:rsidR="00154D12" w:rsidRPr="005036AA" w:rsidRDefault="00154D12" w:rsidP="00154D12">
      <w:pPr>
        <w:jc w:val="both"/>
        <w:rPr>
          <w:rFonts w:ascii="Times New Roman" w:hAnsi="Times New Roman"/>
          <w:sz w:val="24"/>
          <w:szCs w:val="24"/>
        </w:rPr>
      </w:pPr>
    </w:p>
    <w:p w14:paraId="7810AFB6" w14:textId="77777777" w:rsidR="00154D12" w:rsidRPr="005036AA" w:rsidRDefault="00154D12" w:rsidP="00154D12">
      <w:pPr>
        <w:jc w:val="both"/>
        <w:rPr>
          <w:rFonts w:ascii="Times New Roman" w:hAnsi="Times New Roman"/>
          <w:sz w:val="24"/>
          <w:szCs w:val="24"/>
        </w:rPr>
      </w:pPr>
    </w:p>
    <w:p w14:paraId="2FC94300" w14:textId="73B1C6FF" w:rsidR="00154D12" w:rsidRPr="005036AA" w:rsidRDefault="00154D12" w:rsidP="00154D12">
      <w:pPr>
        <w:jc w:val="both"/>
        <w:rPr>
          <w:rFonts w:ascii="Times New Roman" w:hAnsi="Times New Roman"/>
          <w:b/>
          <w:sz w:val="24"/>
          <w:szCs w:val="24"/>
        </w:rPr>
      </w:pPr>
      <w:r w:rsidRPr="005036AA">
        <w:rPr>
          <w:rFonts w:ascii="Times New Roman" w:hAnsi="Times New Roman"/>
          <w:b/>
          <w:sz w:val="24"/>
          <w:szCs w:val="24"/>
        </w:rPr>
        <w:t>References</w:t>
      </w:r>
    </w:p>
    <w:p w14:paraId="571C19AF"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Stassen JM, Arnout J, </w:t>
      </w:r>
      <w:proofErr w:type="spellStart"/>
      <w:r w:rsidRPr="005036AA">
        <w:rPr>
          <w:rFonts w:ascii="Times New Roman" w:hAnsi="Times New Roman"/>
          <w:color w:val="212121"/>
          <w:sz w:val="24"/>
          <w:szCs w:val="24"/>
          <w:shd w:val="clear" w:color="auto" w:fill="FFFFFF"/>
        </w:rPr>
        <w:t>Deckmyn</w:t>
      </w:r>
      <w:proofErr w:type="spellEnd"/>
      <w:r w:rsidRPr="005036AA">
        <w:rPr>
          <w:rFonts w:ascii="Times New Roman" w:hAnsi="Times New Roman"/>
          <w:color w:val="212121"/>
          <w:sz w:val="24"/>
          <w:szCs w:val="24"/>
          <w:shd w:val="clear" w:color="auto" w:fill="FFFFFF"/>
        </w:rPr>
        <w:t xml:space="preserve"> H. The hemostatic system. Curr Med Chem. 2004 ;11(17):2245-60.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10.2174/0929867043364603</w:t>
      </w:r>
    </w:p>
    <w:p w14:paraId="6C1241BD"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Paniccia R, </w:t>
      </w:r>
      <w:proofErr w:type="spellStart"/>
      <w:r w:rsidRPr="005036AA">
        <w:rPr>
          <w:rFonts w:ascii="Times New Roman" w:hAnsi="Times New Roman"/>
          <w:color w:val="212121"/>
          <w:sz w:val="24"/>
          <w:szCs w:val="24"/>
          <w:shd w:val="clear" w:color="auto" w:fill="FFFFFF"/>
        </w:rPr>
        <w:t>Priora</w:t>
      </w:r>
      <w:proofErr w:type="spellEnd"/>
      <w:r w:rsidRPr="005036AA">
        <w:rPr>
          <w:rFonts w:ascii="Times New Roman" w:hAnsi="Times New Roman"/>
          <w:color w:val="212121"/>
          <w:sz w:val="24"/>
          <w:szCs w:val="24"/>
          <w:shd w:val="clear" w:color="auto" w:fill="FFFFFF"/>
        </w:rPr>
        <w:t xml:space="preserve"> R, Liotta AA, Abbate R. Platelet function tests: a comparative review. </w:t>
      </w:r>
      <w:proofErr w:type="spellStart"/>
      <w:r w:rsidRPr="005036AA">
        <w:rPr>
          <w:rFonts w:ascii="Times New Roman" w:hAnsi="Times New Roman"/>
          <w:color w:val="212121"/>
          <w:sz w:val="24"/>
          <w:szCs w:val="24"/>
          <w:shd w:val="clear" w:color="auto" w:fill="FFFFFF"/>
        </w:rPr>
        <w:t>Vasc</w:t>
      </w:r>
      <w:proofErr w:type="spellEnd"/>
      <w:r w:rsidRPr="005036AA">
        <w:rPr>
          <w:rFonts w:ascii="Times New Roman" w:hAnsi="Times New Roman"/>
          <w:color w:val="212121"/>
          <w:sz w:val="24"/>
          <w:szCs w:val="24"/>
          <w:shd w:val="clear" w:color="auto" w:fill="FFFFFF"/>
        </w:rPr>
        <w:t xml:space="preserve"> Health Risk Manag. </w:t>
      </w:r>
      <w:proofErr w:type="gramStart"/>
      <w:r w:rsidRPr="005036AA">
        <w:rPr>
          <w:rFonts w:ascii="Times New Roman" w:hAnsi="Times New Roman"/>
          <w:color w:val="212121"/>
          <w:sz w:val="24"/>
          <w:szCs w:val="24"/>
          <w:shd w:val="clear" w:color="auto" w:fill="FFFFFF"/>
        </w:rPr>
        <w:t>2015;11:133</w:t>
      </w:r>
      <w:proofErr w:type="gramEnd"/>
      <w:r w:rsidRPr="005036AA">
        <w:rPr>
          <w:rFonts w:ascii="Times New Roman" w:hAnsi="Times New Roman"/>
          <w:color w:val="212121"/>
          <w:sz w:val="24"/>
          <w:szCs w:val="24"/>
          <w:shd w:val="clear" w:color="auto" w:fill="FFFFFF"/>
        </w:rPr>
        <w:t xml:space="preserve">-48.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10.2147/VHRM.S44469</w:t>
      </w:r>
    </w:p>
    <w:p w14:paraId="1370D078"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Palta S, </w:t>
      </w:r>
      <w:proofErr w:type="spellStart"/>
      <w:r w:rsidRPr="005036AA">
        <w:rPr>
          <w:rFonts w:ascii="Times New Roman" w:hAnsi="Times New Roman"/>
          <w:color w:val="212121"/>
          <w:sz w:val="24"/>
          <w:szCs w:val="24"/>
          <w:shd w:val="clear" w:color="auto" w:fill="FFFFFF"/>
        </w:rPr>
        <w:t>Saroa</w:t>
      </w:r>
      <w:proofErr w:type="spellEnd"/>
      <w:r w:rsidRPr="005036AA">
        <w:rPr>
          <w:rFonts w:ascii="Times New Roman" w:hAnsi="Times New Roman"/>
          <w:color w:val="212121"/>
          <w:sz w:val="24"/>
          <w:szCs w:val="24"/>
          <w:shd w:val="clear" w:color="auto" w:fill="FFFFFF"/>
        </w:rPr>
        <w:t xml:space="preserve"> R, Palta A. Overview of the coagulation system. Indian J </w:t>
      </w:r>
      <w:proofErr w:type="spellStart"/>
      <w:r w:rsidRPr="005036AA">
        <w:rPr>
          <w:rFonts w:ascii="Times New Roman" w:hAnsi="Times New Roman"/>
          <w:color w:val="212121"/>
          <w:sz w:val="24"/>
          <w:szCs w:val="24"/>
          <w:shd w:val="clear" w:color="auto" w:fill="FFFFFF"/>
        </w:rPr>
        <w:t>Anaesth</w:t>
      </w:r>
      <w:proofErr w:type="spellEnd"/>
      <w:r w:rsidRPr="005036AA">
        <w:rPr>
          <w:rFonts w:ascii="Times New Roman" w:hAnsi="Times New Roman"/>
          <w:color w:val="212121"/>
          <w:sz w:val="24"/>
          <w:szCs w:val="24"/>
          <w:shd w:val="clear" w:color="auto" w:fill="FFFFFF"/>
        </w:rPr>
        <w:t xml:space="preserve">. 2014;58(5):515-23.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10.4103/0019-5049.144643.</w:t>
      </w:r>
    </w:p>
    <w:p w14:paraId="69FA5924" w14:textId="77777777" w:rsidR="00154D12" w:rsidRPr="005036AA" w:rsidRDefault="00000000" w:rsidP="00154D12">
      <w:pPr>
        <w:pStyle w:val="ListParagraph"/>
        <w:numPr>
          <w:ilvl w:val="0"/>
          <w:numId w:val="1"/>
        </w:numPr>
        <w:shd w:val="clear" w:color="auto" w:fill="FFFFFF"/>
        <w:jc w:val="both"/>
        <w:rPr>
          <w:rFonts w:ascii="Times New Roman" w:hAnsi="Times New Roman"/>
          <w:b/>
          <w:bCs/>
          <w:color w:val="4A4A4A"/>
          <w:sz w:val="24"/>
          <w:szCs w:val="24"/>
        </w:rPr>
      </w:pPr>
      <w:hyperlink r:id="rId8" w:tooltip="Shannon M. Bates" w:history="1">
        <w:r w:rsidR="00154D12" w:rsidRPr="005036AA">
          <w:rPr>
            <w:rStyle w:val="Hyperlink"/>
            <w:rFonts w:ascii="Times New Roman" w:hAnsi="Times New Roman"/>
            <w:bCs/>
            <w:color w:val="4A4A4A"/>
            <w:sz w:val="24"/>
            <w:szCs w:val="24"/>
          </w:rPr>
          <w:t xml:space="preserve"> Bates</w:t>
        </w:r>
      </w:hyperlink>
      <w:r w:rsidR="00154D12" w:rsidRPr="005036AA">
        <w:rPr>
          <w:rFonts w:ascii="Times New Roman" w:hAnsi="Times New Roman"/>
          <w:bCs/>
          <w:color w:val="4A4A4A"/>
          <w:sz w:val="24"/>
          <w:szCs w:val="24"/>
        </w:rPr>
        <w:t xml:space="preserve"> SM, Weitz. Coagulation Assays</w:t>
      </w:r>
      <w:r w:rsidR="00154D12" w:rsidRPr="005036AA">
        <w:rPr>
          <w:rFonts w:ascii="Times New Roman" w:hAnsi="Times New Roman"/>
          <w:b/>
          <w:bCs/>
          <w:color w:val="4A4A4A"/>
          <w:sz w:val="24"/>
          <w:szCs w:val="24"/>
        </w:rPr>
        <w:t xml:space="preserve"> </w:t>
      </w:r>
      <w:r w:rsidR="00154D12" w:rsidRPr="005036AA">
        <w:rPr>
          <w:rStyle w:val="epub-sectionitem"/>
          <w:rFonts w:ascii="Times New Roman" w:hAnsi="Times New Roman"/>
          <w:color w:val="000000"/>
          <w:sz w:val="24"/>
          <w:szCs w:val="24"/>
        </w:rPr>
        <w:t>Circulation. 2005;</w:t>
      </w:r>
      <w:proofErr w:type="gramStart"/>
      <w:r w:rsidR="00154D12" w:rsidRPr="005036AA">
        <w:rPr>
          <w:rStyle w:val="epub-sectionitem"/>
          <w:rFonts w:ascii="Times New Roman" w:hAnsi="Times New Roman"/>
          <w:color w:val="000000"/>
          <w:sz w:val="24"/>
          <w:szCs w:val="24"/>
        </w:rPr>
        <w:t>112:e</w:t>
      </w:r>
      <w:proofErr w:type="gramEnd"/>
      <w:r w:rsidR="00154D12" w:rsidRPr="005036AA">
        <w:rPr>
          <w:rStyle w:val="epub-sectionitem"/>
          <w:rFonts w:ascii="Times New Roman" w:hAnsi="Times New Roman"/>
          <w:color w:val="000000"/>
          <w:sz w:val="24"/>
          <w:szCs w:val="24"/>
        </w:rPr>
        <w:t xml:space="preserve">53–e56. </w:t>
      </w:r>
      <w:hyperlink r:id="rId9" w:history="1">
        <w:r w:rsidR="00154D12" w:rsidRPr="005036AA">
          <w:rPr>
            <w:rStyle w:val="Hyperlink"/>
            <w:rFonts w:ascii="Times New Roman" w:hAnsi="Times New Roman"/>
            <w:sz w:val="24"/>
            <w:szCs w:val="24"/>
            <w:shd w:val="clear" w:color="auto" w:fill="FFFFFF"/>
          </w:rPr>
          <w:t>https://doi.org/10.1161/CIRCULATIONAHA.104.478222</w:t>
        </w:r>
      </w:hyperlink>
    </w:p>
    <w:p w14:paraId="443ABA35"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 Korte W, Clarke S, Lefkowitz JB. Short activated partial thromboplastin times are related to increased thrombin generation and an increased risk for thromboembolism. Am J Clin </w:t>
      </w:r>
      <w:proofErr w:type="spellStart"/>
      <w:r w:rsidRPr="005036AA">
        <w:rPr>
          <w:rFonts w:ascii="Times New Roman" w:hAnsi="Times New Roman"/>
          <w:sz w:val="24"/>
          <w:szCs w:val="24"/>
        </w:rPr>
        <w:t>Pathol</w:t>
      </w:r>
      <w:proofErr w:type="spellEnd"/>
      <w:r w:rsidRPr="005036AA">
        <w:rPr>
          <w:rFonts w:ascii="Times New Roman" w:hAnsi="Times New Roman"/>
          <w:sz w:val="24"/>
          <w:szCs w:val="24"/>
        </w:rPr>
        <w:t xml:space="preserve"> </w:t>
      </w:r>
      <w:proofErr w:type="gramStart"/>
      <w:r w:rsidRPr="005036AA">
        <w:rPr>
          <w:rFonts w:ascii="Times New Roman" w:hAnsi="Times New Roman"/>
          <w:sz w:val="24"/>
          <w:szCs w:val="24"/>
        </w:rPr>
        <w:t>2000;113:123</w:t>
      </w:r>
      <w:proofErr w:type="gramEnd"/>
      <w:r w:rsidRPr="005036AA">
        <w:rPr>
          <w:rFonts w:ascii="Times New Roman" w:hAnsi="Times New Roman"/>
          <w:sz w:val="24"/>
          <w:szCs w:val="24"/>
        </w:rPr>
        <w:t>-127</w:t>
      </w:r>
    </w:p>
    <w:p w14:paraId="1C064DF6"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Ueyama H, Hashimoto Y, Uchino M, Sasaki Y, Uyama, E, Okajima K, Araki S. Progressing Ischemic Stroke in a homozygote with variant antithrombin III. Stroke. 1989; 20:815-818.</w:t>
      </w:r>
    </w:p>
    <w:p w14:paraId="38E98D84"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Soare A, Popa C. Deficiencies of protein C, protein S and Antithrombin and factor V </w:t>
      </w:r>
      <w:proofErr w:type="spellStart"/>
      <w:r w:rsidRPr="005036AA">
        <w:rPr>
          <w:rFonts w:ascii="Times New Roman" w:hAnsi="Times New Roman"/>
          <w:sz w:val="24"/>
          <w:szCs w:val="24"/>
        </w:rPr>
        <w:t>leiden</w:t>
      </w:r>
      <w:proofErr w:type="spellEnd"/>
      <w:r w:rsidRPr="005036AA">
        <w:rPr>
          <w:rFonts w:ascii="Times New Roman" w:hAnsi="Times New Roman"/>
          <w:sz w:val="24"/>
          <w:szCs w:val="24"/>
        </w:rPr>
        <w:t xml:space="preserve"> and the risk of Ischemic strokes. J Med life. 2010; 3 (3) :235-238.</w:t>
      </w:r>
    </w:p>
    <w:p w14:paraId="72E6CECD" w14:textId="77777777" w:rsidR="00154D12" w:rsidRPr="005036AA" w:rsidRDefault="00154D12" w:rsidP="00154D12">
      <w:pPr>
        <w:pStyle w:val="ListParagraph"/>
        <w:numPr>
          <w:ilvl w:val="0"/>
          <w:numId w:val="1"/>
        </w:numPr>
        <w:shd w:val="clear" w:color="auto" w:fill="FFFFFF"/>
        <w:jc w:val="both"/>
        <w:rPr>
          <w:rFonts w:ascii="Times New Roman" w:hAnsi="Times New Roman"/>
          <w:b/>
          <w:bCs/>
          <w:color w:val="4A4A4A"/>
          <w:sz w:val="24"/>
          <w:szCs w:val="24"/>
        </w:rPr>
      </w:pPr>
      <w:r w:rsidRPr="005036AA">
        <w:rPr>
          <w:rFonts w:ascii="Times New Roman" w:hAnsi="Times New Roman"/>
          <w:color w:val="212121"/>
          <w:sz w:val="24"/>
          <w:szCs w:val="24"/>
          <w:shd w:val="clear" w:color="auto" w:fill="FFFFFF"/>
        </w:rPr>
        <w:t xml:space="preserve">Yang M, Pan Y, Li Z, Yan H, Zhao X, Liu L, Jing J, Meng X, Wang Y, Wang Y. Platelet Count Predicts Adverse Clinical Outcomes After Ischemic Stroke or TIA: Subgroup Analysis of CNSR II. Front Neurol. </w:t>
      </w:r>
      <w:proofErr w:type="gramStart"/>
      <w:r w:rsidRPr="005036AA">
        <w:rPr>
          <w:rFonts w:ascii="Times New Roman" w:hAnsi="Times New Roman"/>
          <w:color w:val="212121"/>
          <w:sz w:val="24"/>
          <w:szCs w:val="24"/>
          <w:shd w:val="clear" w:color="auto" w:fill="FFFFFF"/>
        </w:rPr>
        <w:t>2019;10:370</w:t>
      </w:r>
      <w:proofErr w:type="gramEnd"/>
      <w:r w:rsidRPr="005036AA">
        <w:rPr>
          <w:rFonts w:ascii="Times New Roman" w:hAnsi="Times New Roman"/>
          <w:color w:val="212121"/>
          <w:sz w:val="24"/>
          <w:szCs w:val="24"/>
          <w:shd w:val="clear" w:color="auto" w:fill="FFFFFF"/>
        </w:rPr>
        <w:t xml:space="preserve">.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10.3389/fneur.2019.00370</w:t>
      </w:r>
    </w:p>
    <w:p w14:paraId="1B98841D"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333333"/>
          <w:sz w:val="24"/>
          <w:szCs w:val="24"/>
          <w:shd w:val="clear" w:color="auto" w:fill="FFFFFF"/>
        </w:rPr>
        <w:t xml:space="preserve">Kanazawa, K., Miyamoto, N., Hira, K.  Kijima </w:t>
      </w:r>
      <w:proofErr w:type="spellStart"/>
      <w:proofErr w:type="gramStart"/>
      <w:r w:rsidRPr="005036AA">
        <w:rPr>
          <w:rFonts w:ascii="Times New Roman" w:hAnsi="Times New Roman"/>
          <w:color w:val="333333"/>
          <w:sz w:val="24"/>
          <w:szCs w:val="24"/>
          <w:shd w:val="clear" w:color="auto" w:fill="FFFFFF"/>
        </w:rPr>
        <w:t>C,Ueno</w:t>
      </w:r>
      <w:proofErr w:type="spellEnd"/>
      <w:proofErr w:type="gramEnd"/>
      <w:r w:rsidRPr="005036AA">
        <w:rPr>
          <w:rFonts w:ascii="Times New Roman" w:hAnsi="Times New Roman"/>
          <w:color w:val="333333"/>
          <w:sz w:val="24"/>
          <w:szCs w:val="24"/>
          <w:shd w:val="clear" w:color="auto" w:fill="FFFFFF"/>
        </w:rPr>
        <w:t xml:space="preserve"> Y, Hattori N </w:t>
      </w:r>
      <w:r w:rsidRPr="005036AA">
        <w:rPr>
          <w:rFonts w:ascii="Times New Roman" w:hAnsi="Times New Roman"/>
          <w:sz w:val="24"/>
          <w:szCs w:val="24"/>
        </w:rPr>
        <w:t xml:space="preserve">. </w:t>
      </w:r>
      <w:r w:rsidRPr="005036AA">
        <w:rPr>
          <w:rFonts w:ascii="Times New Roman" w:hAnsi="Times New Roman"/>
          <w:color w:val="333333"/>
          <w:sz w:val="24"/>
          <w:szCs w:val="24"/>
          <w:shd w:val="clear" w:color="auto" w:fill="FFFFFF"/>
        </w:rPr>
        <w:t>Baseline platelet count may predict short-term functional outcome of cerebral infarction. </w:t>
      </w:r>
      <w:r w:rsidRPr="005036AA">
        <w:rPr>
          <w:rFonts w:ascii="Times New Roman" w:hAnsi="Times New Roman"/>
          <w:i/>
          <w:iCs/>
          <w:color w:val="333333"/>
          <w:sz w:val="24"/>
          <w:szCs w:val="24"/>
          <w:shd w:val="clear" w:color="auto" w:fill="FFFFFF"/>
        </w:rPr>
        <w:t>BMC Neurol</w:t>
      </w:r>
      <w:r w:rsidRPr="005036AA">
        <w:rPr>
          <w:rFonts w:ascii="Times New Roman" w:hAnsi="Times New Roman"/>
          <w:color w:val="333333"/>
          <w:sz w:val="24"/>
          <w:szCs w:val="24"/>
          <w:shd w:val="clear" w:color="auto" w:fill="FFFFFF"/>
        </w:rPr>
        <w:t> 2022;</w:t>
      </w:r>
      <w:r w:rsidRPr="005036AA">
        <w:rPr>
          <w:rFonts w:ascii="Times New Roman" w:hAnsi="Times New Roman"/>
          <w:b/>
          <w:bCs/>
          <w:color w:val="333333"/>
          <w:sz w:val="24"/>
          <w:szCs w:val="24"/>
          <w:shd w:val="clear" w:color="auto" w:fill="FFFFFF"/>
        </w:rPr>
        <w:t>22</w:t>
      </w:r>
      <w:r w:rsidRPr="005036AA">
        <w:rPr>
          <w:rFonts w:ascii="Times New Roman" w:hAnsi="Times New Roman"/>
          <w:color w:val="333333"/>
          <w:sz w:val="24"/>
          <w:szCs w:val="24"/>
          <w:shd w:val="clear" w:color="auto" w:fill="FFFFFF"/>
        </w:rPr>
        <w:t xml:space="preserve">, 314. </w:t>
      </w:r>
      <w:hyperlink r:id="rId10" w:history="1">
        <w:r w:rsidRPr="005036AA">
          <w:rPr>
            <w:rStyle w:val="Hyperlink"/>
            <w:rFonts w:ascii="Times New Roman" w:hAnsi="Times New Roman"/>
            <w:sz w:val="24"/>
            <w:szCs w:val="24"/>
            <w:shd w:val="clear" w:color="auto" w:fill="FFFFFF"/>
          </w:rPr>
          <w:t>https://doi.org/10.1186/s12883-022-02845-5</w:t>
        </w:r>
      </w:hyperlink>
    </w:p>
    <w:p w14:paraId="451106E8"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lastRenderedPageBreak/>
        <w:t xml:space="preserve">Amalia L. Correlation Between Hypercoagulable State and Severity Level of Ischemic Stroke </w:t>
      </w:r>
      <w:proofErr w:type="gramStart"/>
      <w:r w:rsidRPr="005036AA">
        <w:rPr>
          <w:rFonts w:ascii="Times New Roman" w:hAnsi="Times New Roman"/>
          <w:color w:val="212121"/>
          <w:sz w:val="24"/>
          <w:szCs w:val="24"/>
          <w:shd w:val="clear" w:color="auto" w:fill="FFFFFF"/>
        </w:rPr>
        <w:t>With</w:t>
      </w:r>
      <w:proofErr w:type="gramEnd"/>
      <w:r w:rsidRPr="005036AA">
        <w:rPr>
          <w:rFonts w:ascii="Times New Roman" w:hAnsi="Times New Roman"/>
          <w:color w:val="212121"/>
          <w:sz w:val="24"/>
          <w:szCs w:val="24"/>
          <w:shd w:val="clear" w:color="auto" w:fill="FFFFFF"/>
        </w:rPr>
        <w:t xml:space="preserve"> Covid-19 Infection. J Blood Med. </w:t>
      </w:r>
      <w:proofErr w:type="gramStart"/>
      <w:r w:rsidRPr="005036AA">
        <w:rPr>
          <w:rFonts w:ascii="Times New Roman" w:hAnsi="Times New Roman"/>
          <w:color w:val="212121"/>
          <w:sz w:val="24"/>
          <w:szCs w:val="24"/>
          <w:shd w:val="clear" w:color="auto" w:fill="FFFFFF"/>
        </w:rPr>
        <w:t>2023;14:537</w:t>
      </w:r>
      <w:proofErr w:type="gramEnd"/>
      <w:r w:rsidRPr="005036AA">
        <w:rPr>
          <w:rFonts w:ascii="Times New Roman" w:hAnsi="Times New Roman"/>
          <w:color w:val="212121"/>
          <w:sz w:val="24"/>
          <w:szCs w:val="24"/>
          <w:shd w:val="clear" w:color="auto" w:fill="FFFFFF"/>
        </w:rPr>
        <w:t xml:space="preserve">-542. </w:t>
      </w:r>
    </w:p>
    <w:p w14:paraId="3942B8DD" w14:textId="77777777" w:rsidR="00154D12" w:rsidRPr="005036AA" w:rsidRDefault="00154D12" w:rsidP="00154D12">
      <w:pPr>
        <w:pStyle w:val="ListParagraph"/>
        <w:jc w:val="both"/>
        <w:rPr>
          <w:rFonts w:ascii="Times New Roman" w:hAnsi="Times New Roman"/>
          <w:sz w:val="24"/>
          <w:szCs w:val="24"/>
        </w:rPr>
      </w:pP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xml:space="preserve">: 10.2147/JBM.S429357 </w:t>
      </w:r>
    </w:p>
    <w:p w14:paraId="4FBAD42B"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Lin </w:t>
      </w:r>
      <w:proofErr w:type="gramStart"/>
      <w:r w:rsidRPr="005036AA">
        <w:rPr>
          <w:rFonts w:ascii="Times New Roman" w:hAnsi="Times New Roman"/>
          <w:sz w:val="24"/>
          <w:szCs w:val="24"/>
        </w:rPr>
        <w:t>CH,  Kuo</w:t>
      </w:r>
      <w:proofErr w:type="gramEnd"/>
      <w:r w:rsidRPr="005036AA">
        <w:rPr>
          <w:rFonts w:ascii="Times New Roman" w:hAnsi="Times New Roman"/>
          <w:sz w:val="24"/>
          <w:szCs w:val="24"/>
        </w:rPr>
        <w:t xml:space="preserve"> YW,  Kuo CY, Huang YC, Hsu CY,  Hsu HL, et al. Shortened Activated Partial Thromboplastin Time Is Associated With Acute Ischemic Stroke, Stroke Severity, and Neurological Worsening. J Stroke and </w:t>
      </w:r>
      <w:proofErr w:type="spellStart"/>
      <w:r w:rsidRPr="005036AA">
        <w:rPr>
          <w:rFonts w:ascii="Times New Roman" w:hAnsi="Times New Roman"/>
          <w:sz w:val="24"/>
          <w:szCs w:val="24"/>
        </w:rPr>
        <w:t>Cerebrovas</w:t>
      </w:r>
      <w:proofErr w:type="spellEnd"/>
      <w:r w:rsidRPr="005036AA">
        <w:rPr>
          <w:rFonts w:ascii="Times New Roman" w:hAnsi="Times New Roman"/>
          <w:sz w:val="24"/>
          <w:szCs w:val="24"/>
        </w:rPr>
        <w:t xml:space="preserve"> Dis, 2015; 24 (10): pp 2270-2276</w:t>
      </w:r>
    </w:p>
    <w:p w14:paraId="4D6A6650" w14:textId="77777777" w:rsidR="00154D12" w:rsidRPr="005036AA" w:rsidRDefault="00154D12" w:rsidP="00154D12">
      <w:pPr>
        <w:pStyle w:val="ListParagraph"/>
        <w:numPr>
          <w:ilvl w:val="0"/>
          <w:numId w:val="1"/>
        </w:numPr>
        <w:jc w:val="both"/>
        <w:rPr>
          <w:rFonts w:ascii="Times New Roman" w:hAnsi="Times New Roman"/>
          <w:color w:val="212121"/>
          <w:sz w:val="24"/>
          <w:szCs w:val="24"/>
          <w:shd w:val="clear" w:color="auto" w:fill="FFFFFF"/>
        </w:rPr>
      </w:pPr>
      <w:r w:rsidRPr="005036AA">
        <w:rPr>
          <w:rFonts w:ascii="Times New Roman" w:hAnsi="Times New Roman"/>
          <w:color w:val="212121"/>
          <w:sz w:val="24"/>
          <w:szCs w:val="24"/>
          <w:shd w:val="clear" w:color="auto" w:fill="FFFFFF"/>
        </w:rPr>
        <w:t xml:space="preserve">Barber M, Langhorne P, Rumley A, Lowe GD, Stott DJ. Hemostatic function and progressing ischemic stroke: D-dimer predicts early clinical progression. Stroke. 2004; 35(6):1421-5.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10.1161/01.STR.0000126890.63512.41</w:t>
      </w:r>
    </w:p>
    <w:p w14:paraId="05E3EC19" w14:textId="77777777" w:rsidR="00154D12" w:rsidRPr="005036AA" w:rsidRDefault="00154D12" w:rsidP="00154D12">
      <w:pPr>
        <w:pStyle w:val="ListParagraph"/>
        <w:numPr>
          <w:ilvl w:val="0"/>
          <w:numId w:val="1"/>
        </w:numPr>
        <w:jc w:val="both"/>
        <w:rPr>
          <w:rFonts w:ascii="Times New Roman" w:hAnsi="Times New Roman"/>
          <w:color w:val="212121"/>
          <w:sz w:val="24"/>
          <w:szCs w:val="24"/>
          <w:shd w:val="clear" w:color="auto" w:fill="FFFFFF"/>
        </w:rPr>
      </w:pPr>
      <w:r w:rsidRPr="005036AA">
        <w:rPr>
          <w:rFonts w:ascii="Times New Roman" w:hAnsi="Times New Roman"/>
          <w:color w:val="212121"/>
          <w:sz w:val="24"/>
          <w:szCs w:val="24"/>
          <w:shd w:val="clear" w:color="auto" w:fill="FFFFFF"/>
        </w:rPr>
        <w:t xml:space="preserve">Lippi G, Salvagno GL, Ippolito L, Franchini M, Favaloro EJ. Shortened activated partial thromboplastin time: causes and management. Blood </w:t>
      </w:r>
      <w:proofErr w:type="spellStart"/>
      <w:r w:rsidRPr="005036AA">
        <w:rPr>
          <w:rFonts w:ascii="Times New Roman" w:hAnsi="Times New Roman"/>
          <w:color w:val="212121"/>
          <w:sz w:val="24"/>
          <w:szCs w:val="24"/>
          <w:shd w:val="clear" w:color="auto" w:fill="FFFFFF"/>
        </w:rPr>
        <w:t>Coagul</w:t>
      </w:r>
      <w:proofErr w:type="spellEnd"/>
      <w:r w:rsidRPr="005036AA">
        <w:rPr>
          <w:rFonts w:ascii="Times New Roman" w:hAnsi="Times New Roman"/>
          <w:color w:val="212121"/>
          <w:sz w:val="24"/>
          <w:szCs w:val="24"/>
          <w:shd w:val="clear" w:color="auto" w:fill="FFFFFF"/>
        </w:rPr>
        <w:t xml:space="preserve"> Fibrinolysis. 2010 21(5):459-63.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10.1097/mbc.0b013e328338dbe8. </w:t>
      </w:r>
    </w:p>
    <w:p w14:paraId="13E5372D"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333333"/>
          <w:sz w:val="24"/>
          <w:szCs w:val="24"/>
          <w:shd w:val="clear" w:color="auto" w:fill="FCFCFC"/>
        </w:rPr>
        <w:t>Hashem, S.S., Helmy, S.M., El-</w:t>
      </w:r>
      <w:proofErr w:type="spellStart"/>
      <w:r w:rsidRPr="005036AA">
        <w:rPr>
          <w:rFonts w:ascii="Times New Roman" w:hAnsi="Times New Roman"/>
          <w:color w:val="333333"/>
          <w:sz w:val="24"/>
          <w:szCs w:val="24"/>
          <w:shd w:val="clear" w:color="auto" w:fill="FCFCFC"/>
        </w:rPr>
        <w:t>Fayomy</w:t>
      </w:r>
      <w:proofErr w:type="spellEnd"/>
      <w:r w:rsidRPr="005036AA">
        <w:rPr>
          <w:rFonts w:ascii="Times New Roman" w:hAnsi="Times New Roman"/>
          <w:color w:val="333333"/>
          <w:sz w:val="24"/>
          <w:szCs w:val="24"/>
          <w:shd w:val="clear" w:color="auto" w:fill="FCFCFC"/>
        </w:rPr>
        <w:t>, N.M. </w:t>
      </w:r>
      <w:r w:rsidRPr="005036AA">
        <w:rPr>
          <w:rFonts w:ascii="Times New Roman" w:hAnsi="Times New Roman"/>
          <w:i/>
          <w:iCs/>
          <w:color w:val="333333"/>
          <w:sz w:val="24"/>
          <w:szCs w:val="24"/>
          <w:shd w:val="clear" w:color="auto" w:fill="FCFCFC"/>
        </w:rPr>
        <w:t>et al.</w:t>
      </w:r>
      <w:r w:rsidRPr="005036AA">
        <w:rPr>
          <w:rFonts w:ascii="Times New Roman" w:hAnsi="Times New Roman"/>
          <w:color w:val="333333"/>
          <w:sz w:val="24"/>
          <w:szCs w:val="24"/>
          <w:shd w:val="clear" w:color="auto" w:fill="FCFCFC"/>
        </w:rPr>
        <w:t> Predictors of stroke outcome: the role of hemorheology, natural anticoagulants, and serum albumin. </w:t>
      </w:r>
      <w:r w:rsidRPr="005036AA">
        <w:rPr>
          <w:rFonts w:ascii="Times New Roman" w:hAnsi="Times New Roman"/>
          <w:i/>
          <w:iCs/>
          <w:color w:val="333333"/>
          <w:sz w:val="24"/>
          <w:szCs w:val="24"/>
          <w:shd w:val="clear" w:color="auto" w:fill="FCFCFC"/>
        </w:rPr>
        <w:t xml:space="preserve">Egypt J Neurol Psychiatry </w:t>
      </w:r>
      <w:proofErr w:type="spellStart"/>
      <w:proofErr w:type="gramStart"/>
      <w:r w:rsidRPr="005036AA">
        <w:rPr>
          <w:rFonts w:ascii="Times New Roman" w:hAnsi="Times New Roman"/>
          <w:i/>
          <w:iCs/>
          <w:color w:val="333333"/>
          <w:sz w:val="24"/>
          <w:szCs w:val="24"/>
          <w:shd w:val="clear" w:color="auto" w:fill="FCFCFC"/>
        </w:rPr>
        <w:t>Neurosurg</w:t>
      </w:r>
      <w:proofErr w:type="spellEnd"/>
      <w:r w:rsidRPr="005036AA">
        <w:rPr>
          <w:rFonts w:ascii="Times New Roman" w:hAnsi="Times New Roman"/>
          <w:color w:val="333333"/>
          <w:sz w:val="24"/>
          <w:szCs w:val="24"/>
          <w:shd w:val="clear" w:color="auto" w:fill="FCFCFC"/>
        </w:rPr>
        <w:t>  2018</w:t>
      </w:r>
      <w:proofErr w:type="gramEnd"/>
      <w:r w:rsidRPr="005036AA">
        <w:rPr>
          <w:rFonts w:ascii="Times New Roman" w:hAnsi="Times New Roman"/>
          <w:color w:val="333333"/>
          <w:sz w:val="24"/>
          <w:szCs w:val="24"/>
          <w:shd w:val="clear" w:color="auto" w:fill="FCFCFC"/>
        </w:rPr>
        <w:t xml:space="preserve">; </w:t>
      </w:r>
      <w:r w:rsidRPr="005036AA">
        <w:rPr>
          <w:rFonts w:ascii="Times New Roman" w:hAnsi="Times New Roman"/>
          <w:b/>
          <w:bCs/>
          <w:color w:val="333333"/>
          <w:sz w:val="24"/>
          <w:szCs w:val="24"/>
          <w:shd w:val="clear" w:color="auto" w:fill="FCFCFC"/>
        </w:rPr>
        <w:t>54</w:t>
      </w:r>
      <w:r w:rsidRPr="005036AA">
        <w:rPr>
          <w:rFonts w:ascii="Times New Roman" w:hAnsi="Times New Roman"/>
          <w:color w:val="333333"/>
          <w:sz w:val="24"/>
          <w:szCs w:val="24"/>
          <w:shd w:val="clear" w:color="auto" w:fill="FCFCFC"/>
        </w:rPr>
        <w:t xml:space="preserve">:18  </w:t>
      </w:r>
      <w:hyperlink r:id="rId11" w:history="1">
        <w:r w:rsidRPr="005036AA">
          <w:rPr>
            <w:rStyle w:val="Hyperlink"/>
            <w:rFonts w:ascii="Times New Roman" w:hAnsi="Times New Roman"/>
            <w:sz w:val="24"/>
            <w:szCs w:val="24"/>
            <w:shd w:val="clear" w:color="auto" w:fill="FCFCFC"/>
          </w:rPr>
          <w:t>https://doi.org/10.1186/s41983-018-0019-x</w:t>
        </w:r>
      </w:hyperlink>
    </w:p>
    <w:p w14:paraId="5B8286BF" w14:textId="77777777" w:rsidR="00154D12" w:rsidRPr="005036AA" w:rsidRDefault="00154D12" w:rsidP="00154D12">
      <w:pPr>
        <w:pStyle w:val="ListParagraph"/>
        <w:numPr>
          <w:ilvl w:val="0"/>
          <w:numId w:val="1"/>
        </w:numPr>
        <w:jc w:val="both"/>
        <w:rPr>
          <w:rFonts w:ascii="Times New Roman" w:hAnsi="Times New Roman"/>
          <w:sz w:val="24"/>
          <w:szCs w:val="24"/>
        </w:rPr>
      </w:pPr>
      <w:proofErr w:type="spellStart"/>
      <w:r w:rsidRPr="005036AA">
        <w:rPr>
          <w:rFonts w:ascii="Times New Roman" w:hAnsi="Times New Roman"/>
          <w:iCs/>
          <w:color w:val="4F4F4F"/>
          <w:sz w:val="24"/>
          <w:szCs w:val="24"/>
          <w:bdr w:val="none" w:sz="0" w:space="0" w:color="auto" w:frame="1"/>
          <w:shd w:val="clear" w:color="auto" w:fill="FFFFFF"/>
        </w:rPr>
        <w:t>Spiegelenberg</w:t>
      </w:r>
      <w:proofErr w:type="spellEnd"/>
      <w:r w:rsidRPr="005036AA">
        <w:rPr>
          <w:rFonts w:ascii="Times New Roman" w:hAnsi="Times New Roman"/>
          <w:b/>
          <w:bCs/>
          <w:iCs/>
          <w:color w:val="4F4F4F"/>
          <w:sz w:val="24"/>
          <w:szCs w:val="24"/>
          <w:bdr w:val="none" w:sz="0" w:space="0" w:color="auto" w:frame="1"/>
          <w:shd w:val="clear" w:color="auto" w:fill="FFFFFF"/>
        </w:rPr>
        <w:t xml:space="preserve"> J</w:t>
      </w:r>
      <w:r w:rsidRPr="005036AA">
        <w:rPr>
          <w:rFonts w:ascii="Times New Roman" w:hAnsi="Times New Roman"/>
          <w:iCs/>
          <w:color w:val="4F4F4F"/>
          <w:sz w:val="24"/>
          <w:szCs w:val="24"/>
          <w:shd w:val="clear" w:color="auto" w:fill="FFFFFF"/>
        </w:rPr>
        <w:t xml:space="preserve">, Roest M, De Laat B, van Gelder M, </w:t>
      </w:r>
      <w:proofErr w:type="spellStart"/>
      <w:r w:rsidRPr="005036AA">
        <w:rPr>
          <w:rFonts w:ascii="Times New Roman" w:hAnsi="Times New Roman"/>
          <w:iCs/>
          <w:color w:val="4F4F4F"/>
          <w:sz w:val="24"/>
          <w:szCs w:val="24"/>
          <w:shd w:val="clear" w:color="auto" w:fill="FFFFFF"/>
        </w:rPr>
        <w:t>Middeldorp</w:t>
      </w:r>
      <w:proofErr w:type="spellEnd"/>
      <w:r w:rsidRPr="005036AA">
        <w:rPr>
          <w:rFonts w:ascii="Times New Roman" w:hAnsi="Times New Roman"/>
          <w:iCs/>
          <w:color w:val="4F4F4F"/>
          <w:sz w:val="24"/>
          <w:szCs w:val="24"/>
          <w:shd w:val="clear" w:color="auto" w:fill="FFFFFF"/>
        </w:rPr>
        <w:t xml:space="preserve"> S, Tuladhar A, et al </w:t>
      </w:r>
      <w:r w:rsidRPr="005036AA">
        <w:rPr>
          <w:rFonts w:ascii="Times New Roman" w:hAnsi="Times New Roman"/>
          <w:sz w:val="24"/>
          <w:szCs w:val="24"/>
        </w:rPr>
        <w:t xml:space="preserve">Hemostasis Biomarkers and Long-Term Risk of Recurrent Cardiovascular Events and Bleeding Complications in Young Patients with an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American Society </w:t>
      </w:r>
      <w:proofErr w:type="gramStart"/>
      <w:r w:rsidRPr="005036AA">
        <w:rPr>
          <w:rFonts w:ascii="Times New Roman" w:hAnsi="Times New Roman"/>
          <w:sz w:val="24"/>
          <w:szCs w:val="24"/>
        </w:rPr>
        <w:t>Of</w:t>
      </w:r>
      <w:proofErr w:type="gramEnd"/>
      <w:r w:rsidRPr="005036AA">
        <w:rPr>
          <w:rFonts w:ascii="Times New Roman" w:hAnsi="Times New Roman"/>
          <w:sz w:val="24"/>
          <w:szCs w:val="24"/>
        </w:rPr>
        <w:t xml:space="preserve"> </w:t>
      </w:r>
      <w:proofErr w:type="spellStart"/>
      <w:r w:rsidRPr="005036AA">
        <w:rPr>
          <w:rFonts w:ascii="Times New Roman" w:hAnsi="Times New Roman"/>
          <w:sz w:val="24"/>
          <w:szCs w:val="24"/>
        </w:rPr>
        <w:t>Haematology</w:t>
      </w:r>
      <w:proofErr w:type="spellEnd"/>
      <w:r w:rsidRPr="005036AA">
        <w:rPr>
          <w:rFonts w:ascii="Times New Roman" w:hAnsi="Times New Roman"/>
          <w:sz w:val="24"/>
          <w:szCs w:val="24"/>
        </w:rPr>
        <w:t>, 2023 Annual meeting and exposition</w:t>
      </w:r>
      <w:r w:rsidRPr="005036AA">
        <w:rPr>
          <w:rFonts w:ascii="Times New Roman" w:hAnsi="Times New Roman"/>
          <w:b/>
          <w:sz w:val="24"/>
          <w:szCs w:val="24"/>
        </w:rPr>
        <w:t xml:space="preserve"> </w:t>
      </w:r>
    </w:p>
    <w:p w14:paraId="39783F94" w14:textId="77777777" w:rsidR="00154D12" w:rsidRPr="005036AA" w:rsidRDefault="00154D12" w:rsidP="00154D12">
      <w:pPr>
        <w:pStyle w:val="ListParagraph"/>
        <w:numPr>
          <w:ilvl w:val="0"/>
          <w:numId w:val="1"/>
        </w:numPr>
        <w:jc w:val="both"/>
        <w:rPr>
          <w:rFonts w:ascii="Times New Roman" w:hAnsi="Times New Roman"/>
          <w:sz w:val="24"/>
          <w:szCs w:val="24"/>
        </w:rPr>
      </w:pPr>
      <w:proofErr w:type="spellStart"/>
      <w:r w:rsidRPr="005036AA">
        <w:rPr>
          <w:rFonts w:ascii="Times New Roman" w:hAnsi="Times New Roman"/>
          <w:sz w:val="24"/>
          <w:szCs w:val="24"/>
        </w:rPr>
        <w:t>Maaijwee</w:t>
      </w:r>
      <w:proofErr w:type="spellEnd"/>
      <w:r w:rsidRPr="005036AA">
        <w:rPr>
          <w:rFonts w:ascii="Times New Roman" w:hAnsi="Times New Roman"/>
          <w:sz w:val="24"/>
          <w:szCs w:val="24"/>
        </w:rPr>
        <w:t xml:space="preserve"> NA, Rutten-Jacobs LC, </w:t>
      </w:r>
      <w:proofErr w:type="spellStart"/>
      <w:r w:rsidRPr="005036AA">
        <w:rPr>
          <w:rFonts w:ascii="Times New Roman" w:hAnsi="Times New Roman"/>
          <w:sz w:val="24"/>
          <w:szCs w:val="24"/>
        </w:rPr>
        <w:t>Schaapsmeerders</w:t>
      </w:r>
      <w:proofErr w:type="spellEnd"/>
      <w:r w:rsidRPr="005036AA">
        <w:rPr>
          <w:rFonts w:ascii="Times New Roman" w:hAnsi="Times New Roman"/>
          <w:sz w:val="24"/>
          <w:szCs w:val="24"/>
        </w:rPr>
        <w:t xml:space="preserve"> P, van Dijk EJ, de Leeuw FE. </w:t>
      </w:r>
      <w:proofErr w:type="spellStart"/>
      <w:r w:rsidRPr="005036AA">
        <w:rPr>
          <w:rFonts w:ascii="Times New Roman" w:hAnsi="Times New Roman"/>
          <w:sz w:val="24"/>
          <w:szCs w:val="24"/>
        </w:rPr>
        <w:t>Ischaemic</w:t>
      </w:r>
      <w:proofErr w:type="spellEnd"/>
      <w:r w:rsidRPr="005036AA">
        <w:rPr>
          <w:rFonts w:ascii="Times New Roman" w:hAnsi="Times New Roman"/>
          <w:sz w:val="24"/>
          <w:szCs w:val="24"/>
        </w:rPr>
        <w:t xml:space="preserve"> Stroke in Young Adults: Risk factors and long-term consequences. Nat </w:t>
      </w:r>
      <w:proofErr w:type="gramStart"/>
      <w:r w:rsidRPr="005036AA">
        <w:rPr>
          <w:rFonts w:ascii="Times New Roman" w:hAnsi="Times New Roman"/>
          <w:sz w:val="24"/>
          <w:szCs w:val="24"/>
        </w:rPr>
        <w:t>Rev  Neurol.</w:t>
      </w:r>
      <w:proofErr w:type="gramEnd"/>
      <w:r w:rsidRPr="005036AA">
        <w:rPr>
          <w:rFonts w:ascii="Times New Roman" w:hAnsi="Times New Roman"/>
          <w:sz w:val="24"/>
          <w:szCs w:val="24"/>
        </w:rPr>
        <w:t xml:space="preserve"> 2014;10:315-325. Doi:10.1038/nrneurol.2014.72 </w:t>
      </w:r>
    </w:p>
    <w:p w14:paraId="552BE3B6"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V</w:t>
      </w:r>
      <w:r w:rsidRPr="005036AA">
        <w:rPr>
          <w:rFonts w:ascii="Times New Roman" w:hAnsi="Times New Roman"/>
          <w:color w:val="333333"/>
          <w:sz w:val="24"/>
          <w:szCs w:val="24"/>
          <w:shd w:val="clear" w:color="auto" w:fill="FFFFFF"/>
        </w:rPr>
        <w:t>incent LE</w:t>
      </w:r>
      <w:r w:rsidRPr="005036AA">
        <w:rPr>
          <w:rStyle w:val="al-author-delim"/>
          <w:rFonts w:ascii="Times New Roman" w:hAnsi="Times New Roman"/>
          <w:color w:val="333333"/>
          <w:sz w:val="24"/>
          <w:szCs w:val="24"/>
          <w:shd w:val="clear" w:color="auto" w:fill="FFFFFF"/>
        </w:rPr>
        <w:t>, </w:t>
      </w:r>
      <w:proofErr w:type="spellStart"/>
      <w:r w:rsidRPr="005036AA">
        <w:rPr>
          <w:rFonts w:ascii="Times New Roman" w:hAnsi="Times New Roman"/>
          <w:color w:val="333333"/>
          <w:sz w:val="24"/>
          <w:szCs w:val="24"/>
          <w:shd w:val="clear" w:color="auto" w:fill="FFFFFF"/>
        </w:rPr>
        <w:t>Talanker</w:t>
      </w:r>
      <w:proofErr w:type="spellEnd"/>
      <w:r w:rsidRPr="005036AA">
        <w:rPr>
          <w:rFonts w:ascii="Times New Roman" w:hAnsi="Times New Roman"/>
          <w:color w:val="333333"/>
          <w:sz w:val="24"/>
          <w:szCs w:val="24"/>
          <w:shd w:val="clear" w:color="auto" w:fill="FFFFFF"/>
        </w:rPr>
        <w:t xml:space="preserve"> MM</w:t>
      </w:r>
      <w:r w:rsidRPr="005036AA">
        <w:rPr>
          <w:rStyle w:val="al-author-delim"/>
          <w:rFonts w:ascii="Times New Roman" w:hAnsi="Times New Roman"/>
          <w:color w:val="333333"/>
          <w:sz w:val="24"/>
          <w:szCs w:val="24"/>
          <w:shd w:val="clear" w:color="auto" w:fill="FFFFFF"/>
        </w:rPr>
        <w:t>, </w:t>
      </w:r>
      <w:r w:rsidRPr="005036AA">
        <w:rPr>
          <w:rFonts w:ascii="Times New Roman" w:hAnsi="Times New Roman"/>
          <w:color w:val="333333"/>
          <w:sz w:val="24"/>
          <w:szCs w:val="24"/>
          <w:shd w:val="clear" w:color="auto" w:fill="FFFFFF"/>
        </w:rPr>
        <w:t xml:space="preserve">Butler DD, et al. Association of Changes in Antithrombin Activity Over Time </w:t>
      </w:r>
      <w:proofErr w:type="gramStart"/>
      <w:r w:rsidRPr="005036AA">
        <w:rPr>
          <w:rFonts w:ascii="Times New Roman" w:hAnsi="Times New Roman"/>
          <w:color w:val="333333"/>
          <w:sz w:val="24"/>
          <w:szCs w:val="24"/>
          <w:shd w:val="clear" w:color="auto" w:fill="FFFFFF"/>
        </w:rPr>
        <w:t>With</w:t>
      </w:r>
      <w:proofErr w:type="gramEnd"/>
      <w:r w:rsidRPr="005036AA">
        <w:rPr>
          <w:rFonts w:ascii="Times New Roman" w:hAnsi="Times New Roman"/>
          <w:color w:val="333333"/>
          <w:sz w:val="24"/>
          <w:szCs w:val="24"/>
          <w:shd w:val="clear" w:color="auto" w:fill="FFFFFF"/>
        </w:rPr>
        <w:t xml:space="preserve"> Responsiveness to Enoxaparin Prophylaxis and Risk of Trauma-Related Venous Thromboembolism. </w:t>
      </w:r>
      <w:r w:rsidRPr="005036AA">
        <w:rPr>
          <w:rStyle w:val="Emphasis"/>
          <w:rFonts w:ascii="Times New Roman" w:hAnsi="Times New Roman"/>
          <w:color w:val="333333"/>
          <w:sz w:val="24"/>
          <w:szCs w:val="24"/>
          <w:shd w:val="clear" w:color="auto" w:fill="FFFFFF"/>
        </w:rPr>
        <w:t>JAMA Surg.</w:t>
      </w:r>
      <w:r w:rsidRPr="005036AA">
        <w:rPr>
          <w:rFonts w:ascii="Times New Roman" w:hAnsi="Times New Roman"/>
          <w:color w:val="333333"/>
          <w:sz w:val="24"/>
          <w:szCs w:val="24"/>
          <w:shd w:val="clear" w:color="auto" w:fill="FFFFFF"/>
        </w:rPr>
        <w:t> 2022;157(8):713–721. doi:10.1001/jamasurg.2022.2214</w:t>
      </w:r>
    </w:p>
    <w:p w14:paraId="0FCB99E2"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color w:val="212121"/>
          <w:sz w:val="24"/>
          <w:szCs w:val="24"/>
          <w:shd w:val="clear" w:color="auto" w:fill="FFFFFF"/>
        </w:rPr>
        <w:t xml:space="preserve">Wang H, Cao J, Su JB, Wang XQ, Zhang DM, Wang XH. The relationship between insulin sensitivity and serum antithrombin 3 </w:t>
      </w:r>
      <w:proofErr w:type="gramStart"/>
      <w:r w:rsidRPr="005036AA">
        <w:rPr>
          <w:rFonts w:ascii="Times New Roman" w:hAnsi="Times New Roman"/>
          <w:color w:val="212121"/>
          <w:sz w:val="24"/>
          <w:szCs w:val="24"/>
          <w:shd w:val="clear" w:color="auto" w:fill="FFFFFF"/>
        </w:rPr>
        <w:t>activity</w:t>
      </w:r>
      <w:proofErr w:type="gramEnd"/>
      <w:r w:rsidRPr="005036AA">
        <w:rPr>
          <w:rFonts w:ascii="Times New Roman" w:hAnsi="Times New Roman"/>
          <w:color w:val="212121"/>
          <w:sz w:val="24"/>
          <w:szCs w:val="24"/>
          <w:shd w:val="clear" w:color="auto" w:fill="FFFFFF"/>
        </w:rPr>
        <w:t xml:space="preserve"> in patients with type 2 diabetes. </w:t>
      </w:r>
      <w:proofErr w:type="spellStart"/>
      <w:r w:rsidRPr="005036AA">
        <w:rPr>
          <w:rFonts w:ascii="Times New Roman" w:hAnsi="Times New Roman"/>
          <w:color w:val="212121"/>
          <w:sz w:val="24"/>
          <w:szCs w:val="24"/>
          <w:shd w:val="clear" w:color="auto" w:fill="FFFFFF"/>
        </w:rPr>
        <w:t>Endocr</w:t>
      </w:r>
      <w:proofErr w:type="spellEnd"/>
      <w:r w:rsidRPr="005036AA">
        <w:rPr>
          <w:rFonts w:ascii="Times New Roman" w:hAnsi="Times New Roman"/>
          <w:color w:val="212121"/>
          <w:sz w:val="24"/>
          <w:szCs w:val="24"/>
          <w:shd w:val="clear" w:color="auto" w:fill="FFFFFF"/>
        </w:rPr>
        <w:t xml:space="preserve"> Connect. 2021;10(7):667-675. </w:t>
      </w:r>
      <w:proofErr w:type="spellStart"/>
      <w:r w:rsidRPr="005036AA">
        <w:rPr>
          <w:rFonts w:ascii="Times New Roman" w:hAnsi="Times New Roman"/>
          <w:color w:val="212121"/>
          <w:sz w:val="24"/>
          <w:szCs w:val="24"/>
          <w:shd w:val="clear" w:color="auto" w:fill="FFFFFF"/>
        </w:rPr>
        <w:t>doi</w:t>
      </w:r>
      <w:proofErr w:type="spellEnd"/>
      <w:r w:rsidRPr="005036AA">
        <w:rPr>
          <w:rFonts w:ascii="Times New Roman" w:hAnsi="Times New Roman"/>
          <w:color w:val="212121"/>
          <w:sz w:val="24"/>
          <w:szCs w:val="24"/>
          <w:shd w:val="clear" w:color="auto" w:fill="FFFFFF"/>
        </w:rPr>
        <w:t>: 10.1530/EC-21-0087</w:t>
      </w:r>
    </w:p>
    <w:p w14:paraId="10DB21A3"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Fisher NC, Wide JT, Elias ER. Deficiency of natural anticoagulant proteins C, S and Antithrombin in portal vein thrombosis: A secondary phenomenon. Gut 2000; 46: 534-539</w:t>
      </w:r>
    </w:p>
    <w:p w14:paraId="41A615F9" w14:textId="77777777" w:rsidR="00154D12" w:rsidRPr="005036AA" w:rsidRDefault="00154D12" w:rsidP="00154D12">
      <w:pPr>
        <w:pStyle w:val="ListParagraph"/>
        <w:numPr>
          <w:ilvl w:val="0"/>
          <w:numId w:val="1"/>
        </w:numPr>
        <w:jc w:val="both"/>
        <w:rPr>
          <w:rFonts w:ascii="Times New Roman" w:hAnsi="Times New Roman"/>
          <w:sz w:val="24"/>
          <w:szCs w:val="24"/>
        </w:rPr>
      </w:pPr>
      <w:r w:rsidRPr="005036AA">
        <w:rPr>
          <w:rFonts w:ascii="Times New Roman" w:hAnsi="Times New Roman"/>
          <w:sz w:val="24"/>
          <w:szCs w:val="24"/>
        </w:rPr>
        <w:t xml:space="preserve">Gissel M, </w:t>
      </w:r>
      <w:proofErr w:type="spellStart"/>
      <w:r w:rsidRPr="005036AA">
        <w:rPr>
          <w:rFonts w:ascii="Times New Roman" w:hAnsi="Times New Roman"/>
          <w:sz w:val="24"/>
          <w:szCs w:val="24"/>
        </w:rPr>
        <w:t>Undas</w:t>
      </w:r>
      <w:proofErr w:type="spellEnd"/>
      <w:r w:rsidRPr="005036AA">
        <w:rPr>
          <w:rFonts w:ascii="Times New Roman" w:hAnsi="Times New Roman"/>
          <w:sz w:val="24"/>
          <w:szCs w:val="24"/>
        </w:rPr>
        <w:t xml:space="preserve"> A, Agnieszka S, Mann KG et al. Plasma factor and inhibitor composition contributes to thrombin generation dynamics in patients with acute or previous CVA. Thrombosis Research 2010; 126 (4): 262-269</w:t>
      </w:r>
    </w:p>
    <w:p w14:paraId="1BA5CE4C" w14:textId="77777777" w:rsidR="003F79BE" w:rsidRPr="005036AA" w:rsidRDefault="003F79BE">
      <w:pPr>
        <w:rPr>
          <w:rFonts w:ascii="Times New Roman" w:hAnsi="Times New Roman"/>
          <w:sz w:val="24"/>
          <w:szCs w:val="24"/>
        </w:rPr>
      </w:pPr>
    </w:p>
    <w:sectPr w:rsidR="003F79BE" w:rsidRPr="005036AA" w:rsidSect="003F79B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C100F" w14:textId="77777777" w:rsidR="003507AE" w:rsidRDefault="003507AE" w:rsidP="00A362FD">
      <w:pPr>
        <w:spacing w:after="0" w:line="240" w:lineRule="auto"/>
      </w:pPr>
      <w:r>
        <w:separator/>
      </w:r>
    </w:p>
  </w:endnote>
  <w:endnote w:type="continuationSeparator" w:id="0">
    <w:p w14:paraId="19B00F1C" w14:textId="77777777" w:rsidR="003507AE" w:rsidRDefault="003507AE" w:rsidP="00A36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97BE1A" w14:textId="77777777" w:rsidR="00A410A1" w:rsidRDefault="00A41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7974716"/>
      <w:docPartObj>
        <w:docPartGallery w:val="Page Numbers (Bottom of Page)"/>
        <w:docPartUnique/>
      </w:docPartObj>
    </w:sdtPr>
    <w:sdtEndPr>
      <w:rPr>
        <w:noProof/>
      </w:rPr>
    </w:sdtEndPr>
    <w:sdtContent>
      <w:p w14:paraId="0F04E9DD" w14:textId="4B0AF8E0" w:rsidR="00A362FD" w:rsidRDefault="00A362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E5CE9" w14:textId="77777777" w:rsidR="00A362FD" w:rsidRDefault="00A36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478A5" w14:textId="77777777" w:rsidR="00A410A1" w:rsidRDefault="00A41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53BE2" w14:textId="77777777" w:rsidR="003507AE" w:rsidRDefault="003507AE" w:rsidP="00A362FD">
      <w:pPr>
        <w:spacing w:after="0" w:line="240" w:lineRule="auto"/>
      </w:pPr>
      <w:r>
        <w:separator/>
      </w:r>
    </w:p>
  </w:footnote>
  <w:footnote w:type="continuationSeparator" w:id="0">
    <w:p w14:paraId="6B6ACCCC" w14:textId="77777777" w:rsidR="003507AE" w:rsidRDefault="003507AE" w:rsidP="00A36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C5BF1" w14:textId="44B38BF0" w:rsidR="00A410A1" w:rsidRDefault="00A410A1">
    <w:pPr>
      <w:pStyle w:val="Header"/>
    </w:pPr>
    <w:r>
      <w:rPr>
        <w:noProof/>
      </w:rPr>
      <w:pict w14:anchorId="6855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6FD25" w14:textId="11C2FF5D" w:rsidR="00A410A1" w:rsidRDefault="00A410A1">
    <w:pPr>
      <w:pStyle w:val="Header"/>
    </w:pPr>
    <w:r>
      <w:rPr>
        <w:noProof/>
      </w:rPr>
      <w:pict w14:anchorId="574F21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13DB" w14:textId="7668EDED" w:rsidR="00A410A1" w:rsidRDefault="00A410A1">
    <w:pPr>
      <w:pStyle w:val="Header"/>
    </w:pPr>
    <w:r>
      <w:rPr>
        <w:noProof/>
      </w:rPr>
      <w:pict w14:anchorId="10A3C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979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CA32E5"/>
    <w:multiLevelType w:val="hybridMultilevel"/>
    <w:tmpl w:val="7EE20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334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12"/>
    <w:rsid w:val="000C5187"/>
    <w:rsid w:val="00154D12"/>
    <w:rsid w:val="001F51EA"/>
    <w:rsid w:val="002049C7"/>
    <w:rsid w:val="003507AE"/>
    <w:rsid w:val="00354A5A"/>
    <w:rsid w:val="003D213B"/>
    <w:rsid w:val="003F79BE"/>
    <w:rsid w:val="00471B7E"/>
    <w:rsid w:val="005036AA"/>
    <w:rsid w:val="00581F0C"/>
    <w:rsid w:val="005B60DE"/>
    <w:rsid w:val="00624FFC"/>
    <w:rsid w:val="00764B15"/>
    <w:rsid w:val="007A3200"/>
    <w:rsid w:val="007C7BA2"/>
    <w:rsid w:val="007D55F7"/>
    <w:rsid w:val="00807858"/>
    <w:rsid w:val="00841352"/>
    <w:rsid w:val="00987FED"/>
    <w:rsid w:val="00A362FD"/>
    <w:rsid w:val="00A410A1"/>
    <w:rsid w:val="00AC2BD9"/>
    <w:rsid w:val="00CE4238"/>
    <w:rsid w:val="00D13AFB"/>
    <w:rsid w:val="00D45998"/>
    <w:rsid w:val="00D81D32"/>
    <w:rsid w:val="00DE338E"/>
    <w:rsid w:val="00E707A2"/>
    <w:rsid w:val="00E71B84"/>
    <w:rsid w:val="00F001DA"/>
    <w:rsid w:val="00F808C1"/>
    <w:rsid w:val="00FB51D9"/>
    <w:rsid w:val="00FD0C09"/>
    <w:rsid w:val="00FF04CC"/>
    <w:rsid w:val="00FF10F6"/>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69663"/>
  <w15:docId w15:val="{0D48C9EE-CB3F-468B-8299-7307C924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D12"/>
    <w:rPr>
      <w:rFonts w:ascii="Calibri" w:eastAsia="Calibri" w:hAnsi="Calibri" w:cs="Times New Roman"/>
    </w:rPr>
  </w:style>
  <w:style w:type="paragraph" w:styleId="Heading2">
    <w:name w:val="heading 2"/>
    <w:basedOn w:val="Normal"/>
    <w:next w:val="Normal"/>
    <w:link w:val="Heading2Char"/>
    <w:uiPriority w:val="9"/>
    <w:unhideWhenUsed/>
    <w:qFormat/>
    <w:rsid w:val="00D13A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TOC2"/>
    <w:qFormat/>
    <w:rsid w:val="00154D12"/>
    <w:pPr>
      <w:spacing w:after="0" w:line="240" w:lineRule="auto"/>
    </w:pPr>
    <w:rPr>
      <w:rFonts w:ascii="Calibri" w:eastAsia="Calibri" w:hAnsi="Calibri" w:cs="Times New Roman"/>
    </w:rPr>
  </w:style>
  <w:style w:type="paragraph" w:styleId="TOC2">
    <w:name w:val="toc 2"/>
    <w:basedOn w:val="Normal"/>
    <w:next w:val="Normal"/>
    <w:autoRedefine/>
    <w:uiPriority w:val="39"/>
    <w:semiHidden/>
    <w:unhideWhenUsed/>
    <w:rsid w:val="00154D12"/>
    <w:pPr>
      <w:spacing w:after="100"/>
      <w:ind w:left="220"/>
    </w:pPr>
  </w:style>
  <w:style w:type="character" w:styleId="Hyperlink">
    <w:name w:val="Hyperlink"/>
    <w:basedOn w:val="DefaultParagraphFont"/>
    <w:uiPriority w:val="99"/>
    <w:unhideWhenUsed/>
    <w:rsid w:val="00154D12"/>
    <w:rPr>
      <w:color w:val="0000FF" w:themeColor="hyperlink"/>
      <w:u w:val="single"/>
    </w:rPr>
  </w:style>
  <w:style w:type="character" w:customStyle="1" w:styleId="al-author-delim">
    <w:name w:val="al-author-delim"/>
    <w:basedOn w:val="DefaultParagraphFont"/>
    <w:rsid w:val="00154D12"/>
  </w:style>
  <w:style w:type="character" w:styleId="Emphasis">
    <w:name w:val="Emphasis"/>
    <w:basedOn w:val="DefaultParagraphFont"/>
    <w:uiPriority w:val="20"/>
    <w:qFormat/>
    <w:rsid w:val="00154D12"/>
    <w:rPr>
      <w:i/>
      <w:iCs/>
    </w:rPr>
  </w:style>
  <w:style w:type="paragraph" w:styleId="ListParagraph">
    <w:name w:val="List Paragraph"/>
    <w:basedOn w:val="Normal"/>
    <w:uiPriority w:val="34"/>
    <w:qFormat/>
    <w:rsid w:val="00154D12"/>
    <w:pPr>
      <w:ind w:left="720"/>
      <w:contextualSpacing/>
    </w:pPr>
  </w:style>
  <w:style w:type="character" w:customStyle="1" w:styleId="epub-sectionitem">
    <w:name w:val="epub-section__item"/>
    <w:basedOn w:val="DefaultParagraphFont"/>
    <w:rsid w:val="00154D12"/>
  </w:style>
  <w:style w:type="paragraph" w:styleId="Header">
    <w:name w:val="header"/>
    <w:basedOn w:val="Normal"/>
    <w:link w:val="HeaderChar"/>
    <w:uiPriority w:val="99"/>
    <w:unhideWhenUsed/>
    <w:rsid w:val="00A36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FD"/>
    <w:rPr>
      <w:rFonts w:ascii="Calibri" w:eastAsia="Calibri" w:hAnsi="Calibri" w:cs="Times New Roman"/>
    </w:rPr>
  </w:style>
  <w:style w:type="paragraph" w:styleId="Footer">
    <w:name w:val="footer"/>
    <w:basedOn w:val="Normal"/>
    <w:link w:val="FooterChar"/>
    <w:uiPriority w:val="99"/>
    <w:unhideWhenUsed/>
    <w:rsid w:val="00A36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FD"/>
    <w:rPr>
      <w:rFonts w:ascii="Calibri" w:eastAsia="Calibri" w:hAnsi="Calibri" w:cs="Times New Roman"/>
    </w:rPr>
  </w:style>
  <w:style w:type="character" w:customStyle="1" w:styleId="Heading2Char">
    <w:name w:val="Heading 2 Char"/>
    <w:basedOn w:val="DefaultParagraphFont"/>
    <w:link w:val="Heading2"/>
    <w:uiPriority w:val="9"/>
    <w:rsid w:val="00D13AFB"/>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F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hajournals.org/doi/10.1161/CIRCULATIONAHA.104.47822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1983-018-0019-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86/s12883-022-02845-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61/CIRCULATIONAHA.104.4782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12</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Nnachi Oluomachi</dc:creator>
  <cp:keywords/>
  <dc:description/>
  <cp:lastModifiedBy>Editor-22</cp:lastModifiedBy>
  <cp:revision>13</cp:revision>
  <dcterms:created xsi:type="dcterms:W3CDTF">2024-06-10T17:27:00Z</dcterms:created>
  <dcterms:modified xsi:type="dcterms:W3CDTF">2024-06-22T13:05:00Z</dcterms:modified>
</cp:coreProperties>
</file>