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34EF5" w14:textId="482202A3" w:rsidR="001748E9" w:rsidRPr="005500E0" w:rsidRDefault="001748E9" w:rsidP="00A15A8F">
      <w:pPr>
        <w:spacing w:line="360" w:lineRule="auto"/>
        <w:jc w:val="center"/>
        <w:rPr>
          <w:rFonts w:ascii="Arial" w:hAnsi="Arial" w:cs="Arial"/>
          <w:b/>
          <w:bCs/>
        </w:rPr>
      </w:pPr>
      <w:r w:rsidRPr="005500E0">
        <w:rPr>
          <w:rFonts w:ascii="Arial" w:hAnsi="Arial" w:cs="Arial"/>
          <w:b/>
          <w:bCs/>
        </w:rPr>
        <w:t xml:space="preserve">Phytochemical </w:t>
      </w:r>
      <w:r w:rsidR="00B3037C">
        <w:rPr>
          <w:rFonts w:ascii="Arial" w:hAnsi="Arial" w:cs="Arial"/>
          <w:b/>
          <w:bCs/>
        </w:rPr>
        <w:t>Profiling</w:t>
      </w:r>
      <w:r w:rsidR="00A15A8F">
        <w:rPr>
          <w:rFonts w:ascii="Arial" w:hAnsi="Arial" w:cs="Arial"/>
          <w:b/>
          <w:bCs/>
        </w:rPr>
        <w:t xml:space="preserve"> and Antioxidant </w:t>
      </w:r>
      <w:r w:rsidR="00B3037C">
        <w:rPr>
          <w:rFonts w:ascii="Arial" w:hAnsi="Arial" w:cs="Arial"/>
          <w:b/>
          <w:bCs/>
        </w:rPr>
        <w:t>Potential</w:t>
      </w:r>
      <w:r w:rsidR="00A15A8F">
        <w:rPr>
          <w:rFonts w:ascii="Arial" w:hAnsi="Arial" w:cs="Arial"/>
          <w:b/>
          <w:bCs/>
        </w:rPr>
        <w:t xml:space="preserve"> </w:t>
      </w:r>
      <w:r w:rsidRPr="005500E0">
        <w:rPr>
          <w:rFonts w:ascii="Arial" w:hAnsi="Arial" w:cs="Arial"/>
          <w:b/>
          <w:bCs/>
        </w:rPr>
        <w:t xml:space="preserve">of </w:t>
      </w:r>
      <w:proofErr w:type="spellStart"/>
      <w:r w:rsidRPr="005500E0">
        <w:rPr>
          <w:rFonts w:ascii="Arial" w:hAnsi="Arial" w:cs="Arial"/>
          <w:b/>
          <w:bCs/>
          <w:i/>
          <w:iCs/>
        </w:rPr>
        <w:t>Pseudognaphalium</w:t>
      </w:r>
      <w:proofErr w:type="spellEnd"/>
      <w:r w:rsidRPr="005500E0">
        <w:rPr>
          <w:rFonts w:ascii="Arial" w:hAnsi="Arial" w:cs="Arial"/>
          <w:b/>
          <w:bCs/>
          <w:i/>
          <w:iCs/>
        </w:rPr>
        <w:t xml:space="preserve"> </w:t>
      </w:r>
      <w:proofErr w:type="spellStart"/>
      <w:r w:rsidRPr="005500E0">
        <w:rPr>
          <w:rFonts w:ascii="Arial" w:hAnsi="Arial" w:cs="Arial"/>
          <w:b/>
          <w:bCs/>
          <w:i/>
          <w:iCs/>
        </w:rPr>
        <w:t>luteoalbum</w:t>
      </w:r>
      <w:proofErr w:type="spellEnd"/>
      <w:r w:rsidRPr="005500E0">
        <w:rPr>
          <w:rFonts w:ascii="Arial" w:hAnsi="Arial" w:cs="Arial"/>
          <w:b/>
          <w:bCs/>
        </w:rPr>
        <w:t xml:space="preserve"> (</w:t>
      </w:r>
      <w:proofErr w:type="spellStart"/>
      <w:r w:rsidRPr="005500E0">
        <w:rPr>
          <w:rFonts w:ascii="Arial" w:hAnsi="Arial" w:cs="Arial"/>
          <w:b/>
          <w:bCs/>
        </w:rPr>
        <w:t>Phunil</w:t>
      </w:r>
      <w:proofErr w:type="spellEnd"/>
      <w:r w:rsidRPr="005500E0">
        <w:rPr>
          <w:rFonts w:ascii="Arial" w:hAnsi="Arial" w:cs="Arial"/>
          <w:b/>
          <w:bCs/>
        </w:rPr>
        <w:t>)</w:t>
      </w:r>
      <w:r w:rsidR="004E15F7">
        <w:rPr>
          <w:rFonts w:ascii="Arial" w:hAnsi="Arial" w:cs="Arial"/>
          <w:b/>
          <w:bCs/>
        </w:rPr>
        <w:t xml:space="preserve"> A </w:t>
      </w:r>
      <w:r w:rsidR="00B3037C">
        <w:rPr>
          <w:rFonts w:ascii="Arial" w:hAnsi="Arial" w:cs="Arial"/>
          <w:b/>
          <w:bCs/>
        </w:rPr>
        <w:t>Wild Edible Plant Found</w:t>
      </w:r>
      <w:r w:rsidRPr="005500E0">
        <w:rPr>
          <w:rFonts w:ascii="Arial" w:hAnsi="Arial" w:cs="Arial"/>
          <w:b/>
          <w:bCs/>
        </w:rPr>
        <w:t xml:space="preserve"> in Manipur</w:t>
      </w:r>
    </w:p>
    <w:p w14:paraId="4B28CAF8" w14:textId="77777777" w:rsidR="001748E9" w:rsidRPr="005500E0" w:rsidRDefault="001748E9" w:rsidP="00557DD0">
      <w:pPr>
        <w:spacing w:line="360" w:lineRule="auto"/>
        <w:rPr>
          <w:rFonts w:ascii="Arial" w:hAnsi="Arial" w:cs="Arial"/>
        </w:rPr>
      </w:pPr>
    </w:p>
    <w:p w14:paraId="69CDB2FD" w14:textId="2B0E1CE8" w:rsidR="00DB2E19" w:rsidRPr="00D62C9C" w:rsidRDefault="00D62C9C" w:rsidP="00DB2E19">
      <w:pPr>
        <w:spacing w:line="360" w:lineRule="auto"/>
        <w:jc w:val="center"/>
        <w:rPr>
          <w:rFonts w:ascii="Arial" w:hAnsi="Arial" w:cs="Arial"/>
          <w:color w:val="000000" w:themeColor="text1"/>
        </w:rPr>
      </w:pPr>
      <w:r w:rsidRPr="00D62C9C">
        <w:rPr>
          <w:rFonts w:ascii="Arial" w:hAnsi="Arial" w:cs="Arial"/>
          <w:color w:val="000000" w:themeColor="text1"/>
        </w:rPr>
        <w:t xml:space="preserve"> </w:t>
      </w:r>
    </w:p>
    <w:p w14:paraId="3A76B3DB" w14:textId="77777777" w:rsidR="00DB2E19" w:rsidRPr="00E77E89" w:rsidRDefault="00DB2E19" w:rsidP="00557DD0">
      <w:pPr>
        <w:spacing w:line="360" w:lineRule="auto"/>
        <w:jc w:val="center"/>
        <w:rPr>
          <w:rFonts w:ascii="Arial" w:hAnsi="Arial" w:cs="Arial"/>
          <w:b/>
          <w:bCs/>
        </w:rPr>
      </w:pPr>
    </w:p>
    <w:p w14:paraId="6762BA01" w14:textId="77777777" w:rsidR="001748E9" w:rsidRPr="005500E0" w:rsidRDefault="001748E9" w:rsidP="00557DD0">
      <w:pPr>
        <w:spacing w:line="360" w:lineRule="auto"/>
        <w:rPr>
          <w:rFonts w:ascii="Arial" w:hAnsi="Arial" w:cs="Arial"/>
          <w:b/>
          <w:bCs/>
        </w:rPr>
      </w:pPr>
      <w:r w:rsidRPr="005500E0">
        <w:rPr>
          <w:rFonts w:ascii="Arial" w:hAnsi="Arial" w:cs="Arial"/>
          <w:b/>
          <w:bCs/>
        </w:rPr>
        <w:t>Abstract</w:t>
      </w:r>
    </w:p>
    <w:p w14:paraId="5186B4E5" w14:textId="77777777" w:rsidR="001748E9" w:rsidRPr="005500E0" w:rsidRDefault="001748E9" w:rsidP="00557DD0">
      <w:pPr>
        <w:spacing w:line="360" w:lineRule="auto"/>
        <w:rPr>
          <w:rFonts w:ascii="Arial" w:hAnsi="Arial" w:cs="Arial"/>
        </w:rPr>
      </w:pPr>
    </w:p>
    <w:p w14:paraId="3C933F14" w14:textId="142C737B" w:rsidR="001748E9" w:rsidRPr="005500E0" w:rsidRDefault="001748E9" w:rsidP="00557DD0">
      <w:pPr>
        <w:spacing w:line="360" w:lineRule="auto"/>
        <w:jc w:val="both"/>
        <w:rPr>
          <w:rFonts w:ascii="Arial" w:hAnsi="Arial" w:cs="Arial"/>
        </w:rPr>
      </w:pPr>
      <w:r w:rsidRPr="005500E0">
        <w:rPr>
          <w:rFonts w:ascii="Arial" w:hAnsi="Arial" w:cs="Arial"/>
        </w:rPr>
        <w:t xml:space="preserve">The present study investigates the phytochemical composition and antioxidant properties of </w:t>
      </w:r>
      <w:proofErr w:type="spellStart"/>
      <w:r w:rsidRPr="005500E0">
        <w:rPr>
          <w:rFonts w:ascii="Arial" w:hAnsi="Arial" w:cs="Arial"/>
          <w:i/>
          <w:iCs/>
        </w:rPr>
        <w:t>Pseudognaphalium</w:t>
      </w:r>
      <w:proofErr w:type="spellEnd"/>
      <w:r w:rsidRPr="005500E0">
        <w:rPr>
          <w:rFonts w:ascii="Arial" w:hAnsi="Arial" w:cs="Arial"/>
          <w:i/>
          <w:iCs/>
        </w:rPr>
        <w:t xml:space="preserve"> </w:t>
      </w:r>
      <w:proofErr w:type="spellStart"/>
      <w:r w:rsidRPr="005500E0">
        <w:rPr>
          <w:rFonts w:ascii="Arial" w:hAnsi="Arial" w:cs="Arial"/>
          <w:i/>
          <w:iCs/>
        </w:rPr>
        <w:t>luteoalbum</w:t>
      </w:r>
      <w:proofErr w:type="spellEnd"/>
      <w:r w:rsidRPr="005500E0">
        <w:rPr>
          <w:rFonts w:ascii="Arial" w:hAnsi="Arial" w:cs="Arial"/>
        </w:rPr>
        <w:t xml:space="preserve"> (L.) Hilliard &amp; B.L. Burtt, commonly known as </w:t>
      </w:r>
      <w:proofErr w:type="spellStart"/>
      <w:r w:rsidRPr="005500E0">
        <w:rPr>
          <w:rFonts w:ascii="Arial" w:hAnsi="Arial" w:cs="Arial"/>
        </w:rPr>
        <w:t>Phunil</w:t>
      </w:r>
      <w:proofErr w:type="spellEnd"/>
      <w:r w:rsidRPr="005500E0">
        <w:rPr>
          <w:rFonts w:ascii="Arial" w:hAnsi="Arial" w:cs="Arial"/>
        </w:rPr>
        <w:t xml:space="preserve"> in Manipur. The aerial parts of the plant, including stems, leaves, pre-mature and mature seeds, and fruits, were assessed for their biochemical constituents, moisture content, antioxidant activity, and phytochemical composition using standard analytical techniques. The study revealed significant amounts of alkaloids (4.8 mg/g fresh weight), total soluble sugars (12.996 ± 0.179 µg/g fresh weight), total flavonoids (17.310 ± 0.0918 mg/g dry weight), total soluble proteins (140.97 ± 23.98 µg/g fresh weight), and total phenolics (49.926 ± 3.627 µg/g fresh weight). Antioxidant analysis indicated an inhibition concentration (IC50) of 11.579 µg/g dry weight, suggesting strong radical scavenging potential. The high antioxidant content and presence of bioactive compounds suggest that </w:t>
      </w:r>
      <w:proofErr w:type="spellStart"/>
      <w:r w:rsidR="00412D63" w:rsidRPr="005500E0">
        <w:rPr>
          <w:rFonts w:ascii="Arial" w:hAnsi="Arial" w:cs="Arial"/>
          <w:i/>
          <w:iCs/>
        </w:rPr>
        <w:t>Pseudognaphalium</w:t>
      </w:r>
      <w:proofErr w:type="spellEnd"/>
      <w:r w:rsidR="00412D63" w:rsidRPr="005500E0">
        <w:rPr>
          <w:rFonts w:ascii="Arial" w:hAnsi="Arial" w:cs="Arial"/>
          <w:i/>
          <w:iCs/>
        </w:rPr>
        <w:t xml:space="preserve"> </w:t>
      </w:r>
      <w:proofErr w:type="spellStart"/>
      <w:r w:rsidR="00412D63" w:rsidRPr="005500E0">
        <w:rPr>
          <w:rFonts w:ascii="Arial" w:hAnsi="Arial" w:cs="Arial"/>
          <w:i/>
          <w:iCs/>
        </w:rPr>
        <w:t>luteoalbum</w:t>
      </w:r>
      <w:proofErr w:type="spellEnd"/>
      <w:r w:rsidR="00412D63" w:rsidRPr="005500E0">
        <w:rPr>
          <w:rFonts w:ascii="Arial" w:hAnsi="Arial" w:cs="Arial"/>
        </w:rPr>
        <w:t xml:space="preserve"> (L.) Hilliard &amp; B.L. Burtt</w:t>
      </w:r>
      <w:r w:rsidRPr="005500E0">
        <w:rPr>
          <w:rFonts w:ascii="Arial" w:hAnsi="Arial" w:cs="Arial"/>
        </w:rPr>
        <w:t xml:space="preserve"> could serve as a valuable natural source of antioxidants with potential applications in both the food and pharmaceutical industries.</w:t>
      </w:r>
      <w:bookmarkStart w:id="0" w:name="_GoBack"/>
      <w:bookmarkEnd w:id="0"/>
    </w:p>
    <w:p w14:paraId="116A1B00" w14:textId="36638A75" w:rsidR="001748E9" w:rsidRPr="005500E0" w:rsidRDefault="001748E9" w:rsidP="00557DD0">
      <w:pPr>
        <w:spacing w:line="360" w:lineRule="auto"/>
        <w:jc w:val="both"/>
        <w:rPr>
          <w:rFonts w:ascii="Arial" w:hAnsi="Arial" w:cs="Arial"/>
          <w:b/>
          <w:bCs/>
        </w:rPr>
      </w:pPr>
      <w:r w:rsidRPr="005500E0">
        <w:rPr>
          <w:rFonts w:ascii="Arial" w:hAnsi="Arial" w:cs="Arial"/>
          <w:b/>
          <w:bCs/>
        </w:rPr>
        <w:t>Keywords</w:t>
      </w:r>
    </w:p>
    <w:p w14:paraId="2E9A80FB" w14:textId="4D480609" w:rsidR="001748E9" w:rsidRPr="005500E0" w:rsidRDefault="001748E9" w:rsidP="00557DD0">
      <w:pPr>
        <w:spacing w:line="360" w:lineRule="auto"/>
        <w:jc w:val="both"/>
        <w:rPr>
          <w:rFonts w:ascii="Arial" w:hAnsi="Arial" w:cs="Arial"/>
        </w:rPr>
      </w:pPr>
      <w:r w:rsidRPr="005500E0">
        <w:rPr>
          <w:rFonts w:ascii="Arial" w:hAnsi="Arial" w:cs="Arial"/>
        </w:rPr>
        <w:t xml:space="preserve">Antioxidant activity, Phytochemical composition, </w:t>
      </w:r>
      <w:proofErr w:type="spellStart"/>
      <w:r w:rsidR="00412D63" w:rsidRPr="005500E0">
        <w:rPr>
          <w:rFonts w:ascii="Arial" w:hAnsi="Arial" w:cs="Arial"/>
          <w:i/>
          <w:iCs/>
        </w:rPr>
        <w:t>Pseudognaphalium</w:t>
      </w:r>
      <w:proofErr w:type="spellEnd"/>
      <w:r w:rsidR="00412D63" w:rsidRPr="005500E0">
        <w:rPr>
          <w:rFonts w:ascii="Arial" w:hAnsi="Arial" w:cs="Arial"/>
          <w:i/>
          <w:iCs/>
        </w:rPr>
        <w:t xml:space="preserve"> </w:t>
      </w:r>
      <w:proofErr w:type="spellStart"/>
      <w:r w:rsidR="00412D63" w:rsidRPr="005500E0">
        <w:rPr>
          <w:rFonts w:ascii="Arial" w:hAnsi="Arial" w:cs="Arial"/>
          <w:i/>
          <w:iCs/>
        </w:rPr>
        <w:t>luteoalbum</w:t>
      </w:r>
      <w:proofErr w:type="spellEnd"/>
      <w:r w:rsidR="00412D63" w:rsidRPr="005500E0">
        <w:rPr>
          <w:rFonts w:ascii="Arial" w:hAnsi="Arial" w:cs="Arial"/>
        </w:rPr>
        <w:t xml:space="preserve"> (L.) Hilliard &amp; B.L. Burtt</w:t>
      </w:r>
      <w:r w:rsidRPr="005500E0">
        <w:rPr>
          <w:rFonts w:ascii="Arial" w:hAnsi="Arial" w:cs="Arial"/>
        </w:rPr>
        <w:t>, Traditional medicine, Manipur, Free radical scavenging</w:t>
      </w:r>
      <w:r w:rsidR="00531279" w:rsidRPr="005500E0">
        <w:rPr>
          <w:rFonts w:ascii="Arial" w:hAnsi="Arial" w:cs="Arial"/>
        </w:rPr>
        <w:t>.</w:t>
      </w:r>
    </w:p>
    <w:p w14:paraId="7852D693" w14:textId="77777777" w:rsidR="001748E9" w:rsidRPr="005500E0" w:rsidRDefault="001748E9" w:rsidP="00557DD0">
      <w:pPr>
        <w:spacing w:line="360" w:lineRule="auto"/>
        <w:rPr>
          <w:rFonts w:ascii="Arial" w:hAnsi="Arial" w:cs="Arial"/>
        </w:rPr>
      </w:pPr>
    </w:p>
    <w:p w14:paraId="21270E90" w14:textId="77777777" w:rsidR="00706515" w:rsidRDefault="00706515" w:rsidP="00557DD0">
      <w:pPr>
        <w:spacing w:line="360" w:lineRule="auto"/>
        <w:rPr>
          <w:rFonts w:ascii="Arial" w:hAnsi="Arial" w:cs="Arial"/>
        </w:rPr>
      </w:pPr>
    </w:p>
    <w:p w14:paraId="6DC46B9F" w14:textId="77777777" w:rsidR="00D62C9C" w:rsidRPr="005500E0" w:rsidRDefault="00D62C9C" w:rsidP="00557DD0">
      <w:pPr>
        <w:spacing w:line="360" w:lineRule="auto"/>
        <w:rPr>
          <w:rFonts w:ascii="Arial" w:hAnsi="Arial" w:cs="Arial"/>
        </w:rPr>
      </w:pPr>
    </w:p>
    <w:p w14:paraId="75B8D400" w14:textId="69837F0C" w:rsidR="001748E9" w:rsidRPr="005500E0" w:rsidRDefault="001748E9" w:rsidP="00557DD0">
      <w:pPr>
        <w:spacing w:line="360" w:lineRule="auto"/>
        <w:rPr>
          <w:rFonts w:ascii="Arial" w:hAnsi="Arial" w:cs="Arial"/>
          <w:b/>
          <w:bCs/>
        </w:rPr>
      </w:pPr>
      <w:r w:rsidRPr="005500E0">
        <w:rPr>
          <w:rFonts w:ascii="Arial" w:hAnsi="Arial" w:cs="Arial"/>
          <w:b/>
          <w:bCs/>
        </w:rPr>
        <w:t>1. Introduction</w:t>
      </w:r>
    </w:p>
    <w:p w14:paraId="696D87B6" w14:textId="74ADCF14" w:rsidR="001748E9" w:rsidRPr="00E77E89" w:rsidRDefault="001748E9" w:rsidP="00557DD0">
      <w:pPr>
        <w:spacing w:line="360" w:lineRule="auto"/>
        <w:jc w:val="both"/>
        <w:rPr>
          <w:rFonts w:ascii="Arial" w:hAnsi="Arial" w:cs="Arial"/>
          <w:b/>
          <w:bCs/>
        </w:rPr>
      </w:pPr>
      <w:r w:rsidRPr="00E77E89">
        <w:rPr>
          <w:rFonts w:ascii="Arial" w:hAnsi="Arial" w:cs="Arial"/>
          <w:b/>
          <w:bCs/>
        </w:rPr>
        <w:t>1.1 Background and Importance of the Study</w:t>
      </w:r>
    </w:p>
    <w:p w14:paraId="4B47DC52" w14:textId="548849F2" w:rsidR="001748E9" w:rsidRPr="005500E0" w:rsidRDefault="001748E9" w:rsidP="00557DD0">
      <w:pPr>
        <w:spacing w:line="360" w:lineRule="auto"/>
        <w:jc w:val="both"/>
        <w:rPr>
          <w:rFonts w:ascii="Arial" w:hAnsi="Arial" w:cs="Arial"/>
        </w:rPr>
      </w:pPr>
      <w:r w:rsidRPr="005500E0">
        <w:rPr>
          <w:rFonts w:ascii="Arial" w:hAnsi="Arial" w:cs="Arial"/>
        </w:rPr>
        <w:t xml:space="preserve">Medicinal plants have been an integral part of traditional healthcare systems across various cultures. In biodiversity-rich regions like Manipur, numerous plant species are widely used for their therapeutic properties. </w:t>
      </w:r>
      <w:proofErr w:type="spellStart"/>
      <w:r w:rsidR="00851965" w:rsidRPr="005500E0">
        <w:rPr>
          <w:rFonts w:ascii="Arial" w:hAnsi="Arial" w:cs="Arial"/>
          <w:i/>
          <w:iCs/>
        </w:rPr>
        <w:t>Pseudognaphalium</w:t>
      </w:r>
      <w:proofErr w:type="spellEnd"/>
      <w:r w:rsidR="00851965" w:rsidRPr="005500E0">
        <w:rPr>
          <w:rFonts w:ascii="Arial" w:hAnsi="Arial" w:cs="Arial"/>
          <w:i/>
          <w:iCs/>
        </w:rPr>
        <w:t xml:space="preserve"> </w:t>
      </w:r>
      <w:proofErr w:type="spellStart"/>
      <w:r w:rsidR="00851965" w:rsidRPr="005500E0">
        <w:rPr>
          <w:rFonts w:ascii="Arial" w:hAnsi="Arial" w:cs="Arial"/>
          <w:i/>
          <w:iCs/>
        </w:rPr>
        <w:t>luteoalbum</w:t>
      </w:r>
      <w:proofErr w:type="spellEnd"/>
      <w:r w:rsidR="00851965" w:rsidRPr="005500E0">
        <w:rPr>
          <w:rFonts w:ascii="Arial" w:hAnsi="Arial" w:cs="Arial"/>
        </w:rPr>
        <w:t xml:space="preserve"> (L.) Hilliard</w:t>
      </w:r>
      <w:r w:rsidR="00D96D41" w:rsidRPr="005500E0">
        <w:rPr>
          <w:rFonts w:ascii="Arial" w:hAnsi="Arial" w:cs="Arial"/>
        </w:rPr>
        <w:t xml:space="preserve"> </w:t>
      </w:r>
      <w:r w:rsidR="00851965" w:rsidRPr="005500E0">
        <w:rPr>
          <w:rFonts w:ascii="Arial" w:hAnsi="Arial" w:cs="Arial"/>
        </w:rPr>
        <w:t xml:space="preserve">&amp; B.L. </w:t>
      </w:r>
      <w:proofErr w:type="spellStart"/>
      <w:r w:rsidR="00851965" w:rsidRPr="005500E0">
        <w:rPr>
          <w:rFonts w:ascii="Arial" w:hAnsi="Arial" w:cs="Arial"/>
        </w:rPr>
        <w:t>Burtt</w:t>
      </w:r>
      <w:proofErr w:type="spellEnd"/>
      <w:r w:rsidR="0060272A" w:rsidRPr="005500E0">
        <w:rPr>
          <w:rFonts w:ascii="Arial" w:hAnsi="Arial" w:cs="Arial"/>
        </w:rPr>
        <w:t xml:space="preserve"> (</w:t>
      </w:r>
      <w:proofErr w:type="spellStart"/>
      <w:r w:rsidR="0060272A" w:rsidRPr="005500E0">
        <w:rPr>
          <w:rFonts w:ascii="Arial" w:hAnsi="Arial" w:cs="Arial"/>
        </w:rPr>
        <w:t>Phunil</w:t>
      </w:r>
      <w:proofErr w:type="spellEnd"/>
      <w:r w:rsidR="0060272A" w:rsidRPr="005500E0">
        <w:rPr>
          <w:rFonts w:ascii="Arial" w:hAnsi="Arial" w:cs="Arial"/>
        </w:rPr>
        <w:t>)</w:t>
      </w:r>
      <w:r w:rsidRPr="005500E0">
        <w:rPr>
          <w:rFonts w:ascii="Arial" w:hAnsi="Arial" w:cs="Arial"/>
        </w:rPr>
        <w:t xml:space="preserve">, </w:t>
      </w:r>
      <w:r w:rsidRPr="005500E0">
        <w:rPr>
          <w:rFonts w:ascii="Arial" w:hAnsi="Arial" w:cs="Arial"/>
        </w:rPr>
        <w:lastRenderedPageBreak/>
        <w:t>a perennial herb belonging to the Asteraceae family, has garnered attention for its medicinal benefits (Hussain et al., 2012; Kang et al., 2020).</w:t>
      </w:r>
    </w:p>
    <w:p w14:paraId="7BAF40E4" w14:textId="457AD8BF" w:rsidR="001748E9" w:rsidRPr="005500E0" w:rsidRDefault="001748E9" w:rsidP="00557DD0">
      <w:pPr>
        <w:spacing w:line="360" w:lineRule="auto"/>
        <w:jc w:val="both"/>
        <w:rPr>
          <w:rFonts w:ascii="Arial" w:hAnsi="Arial" w:cs="Arial"/>
        </w:rPr>
      </w:pPr>
      <w:r w:rsidRPr="005500E0">
        <w:rPr>
          <w:rFonts w:ascii="Arial" w:hAnsi="Arial" w:cs="Arial"/>
        </w:rPr>
        <w:t>The plant is used in ethnomedicine to treat wounds, infections, digestive disorders, and respiratory ailments (T</w:t>
      </w:r>
      <w:r w:rsidR="00077648" w:rsidRPr="005500E0">
        <w:rPr>
          <w:rFonts w:ascii="Arial" w:hAnsi="Arial" w:cs="Arial"/>
        </w:rPr>
        <w:t>u</w:t>
      </w:r>
      <w:r w:rsidRPr="005500E0">
        <w:rPr>
          <w:rFonts w:ascii="Arial" w:hAnsi="Arial" w:cs="Arial"/>
        </w:rPr>
        <w:t>men et al., 2010). It is particularly valued for its high antioxidant content, which plays a crucial role in neutralizing free radicals responsible for oxidative stress</w:t>
      </w:r>
      <w:r w:rsidR="0030553B">
        <w:rPr>
          <w:rFonts w:ascii="Arial" w:hAnsi="Arial" w:cs="Arial"/>
        </w:rPr>
        <w:t xml:space="preserve">, </w:t>
      </w:r>
      <w:r w:rsidRPr="005500E0">
        <w:rPr>
          <w:rFonts w:ascii="Arial" w:hAnsi="Arial" w:cs="Arial"/>
        </w:rPr>
        <w:t>one of the primary contributors to chronic diseases, including cancer, cardiovascular disorders, and neurodegenerative conditions (Prior et al., 2005).</w:t>
      </w:r>
    </w:p>
    <w:p w14:paraId="3738A896" w14:textId="605F716D" w:rsidR="001748E9" w:rsidRPr="005500E0" w:rsidRDefault="001748E9" w:rsidP="00557DD0">
      <w:pPr>
        <w:spacing w:line="360" w:lineRule="auto"/>
        <w:jc w:val="both"/>
        <w:rPr>
          <w:rFonts w:ascii="Arial" w:hAnsi="Arial" w:cs="Arial"/>
        </w:rPr>
      </w:pPr>
      <w:r w:rsidRPr="005500E0">
        <w:rPr>
          <w:rFonts w:ascii="Arial" w:hAnsi="Arial" w:cs="Arial"/>
        </w:rPr>
        <w:t xml:space="preserve">The presence of bioactive compounds such as flavonoids, alkaloids, phenolics, and terpenoids in </w:t>
      </w:r>
      <w:proofErr w:type="spellStart"/>
      <w:r w:rsidR="00851965" w:rsidRPr="005500E0">
        <w:rPr>
          <w:rFonts w:ascii="Arial" w:hAnsi="Arial" w:cs="Arial"/>
          <w:i/>
          <w:iCs/>
        </w:rPr>
        <w:t>Pseudognaphalium</w:t>
      </w:r>
      <w:proofErr w:type="spellEnd"/>
      <w:r w:rsidR="00851965" w:rsidRPr="005500E0">
        <w:rPr>
          <w:rFonts w:ascii="Arial" w:hAnsi="Arial" w:cs="Arial"/>
          <w:i/>
          <w:iCs/>
        </w:rPr>
        <w:t xml:space="preserve"> </w:t>
      </w:r>
      <w:proofErr w:type="spellStart"/>
      <w:r w:rsidR="00851965" w:rsidRPr="005500E0">
        <w:rPr>
          <w:rFonts w:ascii="Arial" w:hAnsi="Arial" w:cs="Arial"/>
          <w:i/>
          <w:iCs/>
        </w:rPr>
        <w:t>luteoalbum</w:t>
      </w:r>
      <w:proofErr w:type="spellEnd"/>
      <w:r w:rsidR="00851965" w:rsidRPr="005500E0">
        <w:rPr>
          <w:rFonts w:ascii="Arial" w:hAnsi="Arial" w:cs="Arial"/>
        </w:rPr>
        <w:t xml:space="preserve"> (L.) Hilliard &amp; B.L. Burtt</w:t>
      </w:r>
      <w:r w:rsidR="00851965" w:rsidRPr="005500E0">
        <w:rPr>
          <w:rFonts w:ascii="Arial" w:hAnsi="Arial" w:cs="Arial"/>
          <w:b/>
          <w:bCs/>
        </w:rPr>
        <w:t xml:space="preserve"> </w:t>
      </w:r>
      <w:r w:rsidRPr="005500E0">
        <w:rPr>
          <w:rFonts w:ascii="Arial" w:hAnsi="Arial" w:cs="Arial"/>
        </w:rPr>
        <w:t xml:space="preserve">has been reported to exhibit anti-inflammatory, antimicrobial, and anticancer properties (Harborne, 1998; </w:t>
      </w:r>
      <w:proofErr w:type="spellStart"/>
      <w:r w:rsidRPr="005500E0">
        <w:rPr>
          <w:rFonts w:ascii="Arial" w:hAnsi="Arial" w:cs="Arial"/>
        </w:rPr>
        <w:t>Kulisic</w:t>
      </w:r>
      <w:proofErr w:type="spellEnd"/>
      <w:r w:rsidRPr="005500E0">
        <w:rPr>
          <w:rFonts w:ascii="Arial" w:hAnsi="Arial" w:cs="Arial"/>
        </w:rPr>
        <w:t xml:space="preserve"> et al., 2004). Given these attributes, investigating its phytochemical composition and antioxidant activity is crucial for validating its medicinal potential and exploring its applications in pharmaceuticals and nutraceuticals.</w:t>
      </w:r>
    </w:p>
    <w:p w14:paraId="3CBA1CC0" w14:textId="2C079AD0" w:rsidR="001748E9" w:rsidRPr="005500E0" w:rsidRDefault="001748E9" w:rsidP="00557DD0">
      <w:pPr>
        <w:spacing w:line="360" w:lineRule="auto"/>
        <w:jc w:val="both"/>
        <w:rPr>
          <w:rFonts w:ascii="Arial" w:hAnsi="Arial" w:cs="Arial"/>
          <w:b/>
          <w:bCs/>
        </w:rPr>
      </w:pPr>
      <w:r w:rsidRPr="005500E0">
        <w:rPr>
          <w:rFonts w:ascii="Arial" w:hAnsi="Arial" w:cs="Arial"/>
          <w:b/>
          <w:bCs/>
        </w:rPr>
        <w:t>1.2 Distribution and Habitat</w:t>
      </w:r>
    </w:p>
    <w:p w14:paraId="1E971DD1" w14:textId="2CCCBC0A" w:rsidR="001748E9" w:rsidRPr="005500E0" w:rsidRDefault="004B4602" w:rsidP="00557DD0">
      <w:pPr>
        <w:spacing w:line="360" w:lineRule="auto"/>
        <w:jc w:val="both"/>
        <w:rPr>
          <w:rFonts w:ascii="Arial" w:hAnsi="Arial" w:cs="Arial"/>
        </w:rPr>
      </w:pPr>
      <w:proofErr w:type="spellStart"/>
      <w:r w:rsidRPr="005500E0">
        <w:rPr>
          <w:rFonts w:ascii="Arial" w:hAnsi="Arial" w:cs="Arial"/>
          <w:i/>
          <w:iCs/>
        </w:rPr>
        <w:t>Pseudognaphalium</w:t>
      </w:r>
      <w:proofErr w:type="spellEnd"/>
      <w:r w:rsidRPr="005500E0">
        <w:rPr>
          <w:rFonts w:ascii="Arial" w:hAnsi="Arial" w:cs="Arial"/>
          <w:i/>
          <w:iCs/>
        </w:rPr>
        <w:t xml:space="preserve"> </w:t>
      </w:r>
      <w:proofErr w:type="spellStart"/>
      <w:r w:rsidRPr="005500E0">
        <w:rPr>
          <w:rFonts w:ascii="Arial" w:hAnsi="Arial" w:cs="Arial"/>
          <w:i/>
          <w:iCs/>
        </w:rPr>
        <w:t>luteoalbum</w:t>
      </w:r>
      <w:proofErr w:type="spellEnd"/>
      <w:r w:rsidRPr="005500E0">
        <w:rPr>
          <w:rFonts w:ascii="Arial" w:hAnsi="Arial" w:cs="Arial"/>
          <w:i/>
          <w:iCs/>
        </w:rPr>
        <w:t xml:space="preserve"> </w:t>
      </w:r>
      <w:r w:rsidRPr="005500E0">
        <w:rPr>
          <w:rFonts w:ascii="Arial" w:hAnsi="Arial" w:cs="Arial"/>
        </w:rPr>
        <w:t>(L</w:t>
      </w:r>
      <w:r w:rsidR="0030553B">
        <w:rPr>
          <w:rFonts w:ascii="Arial" w:hAnsi="Arial" w:cs="Arial"/>
        </w:rPr>
        <w:t>.</w:t>
      </w:r>
      <w:r w:rsidRPr="005500E0">
        <w:rPr>
          <w:rFonts w:ascii="Arial" w:hAnsi="Arial" w:cs="Arial"/>
        </w:rPr>
        <w:t>) Hilliard</w:t>
      </w:r>
      <w:r w:rsidRPr="005500E0">
        <w:rPr>
          <w:rFonts w:ascii="Arial" w:hAnsi="Arial" w:cs="Arial"/>
        </w:rPr>
        <w:tab/>
        <w:t xml:space="preserve"> &amp; B.L. Burtt</w:t>
      </w:r>
      <w:r w:rsidRPr="005500E0">
        <w:rPr>
          <w:rFonts w:ascii="Arial" w:hAnsi="Arial" w:cs="Arial"/>
          <w:b/>
          <w:bCs/>
          <w:i/>
          <w:iCs/>
        </w:rPr>
        <w:t xml:space="preserve"> </w:t>
      </w:r>
      <w:r w:rsidR="001748E9" w:rsidRPr="005500E0">
        <w:rPr>
          <w:rFonts w:ascii="Arial" w:hAnsi="Arial" w:cs="Arial"/>
        </w:rPr>
        <w:t>thrives in cold climatic conditions, typically at altitudes ranging from 1,500 to 3,500 meters above sea level. The plant is commonly found in the Himalayan foothills, where it grows in well-drained, nutrient-rich soils. It is well adapted to seasonal variations, including prolonged periods of low temperatures and moderate precipitation (</w:t>
      </w:r>
      <w:proofErr w:type="spellStart"/>
      <w:r w:rsidR="001748E9" w:rsidRPr="005500E0">
        <w:rPr>
          <w:rFonts w:ascii="Arial" w:hAnsi="Arial" w:cs="Arial"/>
        </w:rPr>
        <w:t>Talapatra</w:t>
      </w:r>
      <w:proofErr w:type="spellEnd"/>
      <w:r w:rsidR="001748E9" w:rsidRPr="005500E0">
        <w:rPr>
          <w:rFonts w:ascii="Arial" w:hAnsi="Arial" w:cs="Arial"/>
        </w:rPr>
        <w:t xml:space="preserve"> </w:t>
      </w:r>
      <w:r w:rsidR="009B24BE" w:rsidRPr="005500E0">
        <w:rPr>
          <w:rFonts w:ascii="Arial" w:hAnsi="Arial" w:cs="Arial"/>
        </w:rPr>
        <w:t>and</w:t>
      </w:r>
      <w:r w:rsidR="001748E9" w:rsidRPr="005500E0">
        <w:rPr>
          <w:rFonts w:ascii="Arial" w:hAnsi="Arial" w:cs="Arial"/>
        </w:rPr>
        <w:t xml:space="preserve"> Roy, 1980).</w:t>
      </w:r>
    </w:p>
    <w:p w14:paraId="36B37FB0" w14:textId="110C5CF7" w:rsidR="001748E9" w:rsidRPr="005500E0" w:rsidRDefault="001748E9" w:rsidP="00557DD0">
      <w:pPr>
        <w:spacing w:line="360" w:lineRule="auto"/>
        <w:jc w:val="both"/>
        <w:rPr>
          <w:rFonts w:ascii="Arial" w:hAnsi="Arial" w:cs="Arial"/>
        </w:rPr>
      </w:pPr>
      <w:r w:rsidRPr="005500E0">
        <w:rPr>
          <w:rFonts w:ascii="Arial" w:hAnsi="Arial" w:cs="Arial"/>
        </w:rPr>
        <w:t>In Manipur, the plant is found in hilly terrains and semi-forested areas, where it is used extensively by indigenous communities for its medicinal benefits. The fresh leaves are often consumed as a vegetable to enhance appetite and aid digestion, while crushed plant material is applied externally to treat wounds and inflammation (</w:t>
      </w:r>
      <w:proofErr w:type="spellStart"/>
      <w:r w:rsidRPr="005500E0">
        <w:rPr>
          <w:rFonts w:ascii="Arial" w:hAnsi="Arial" w:cs="Arial"/>
        </w:rPr>
        <w:t>Kirtikar</w:t>
      </w:r>
      <w:proofErr w:type="spellEnd"/>
      <w:r w:rsidRPr="005500E0">
        <w:rPr>
          <w:rFonts w:ascii="Arial" w:hAnsi="Arial" w:cs="Arial"/>
        </w:rPr>
        <w:t xml:space="preserve"> </w:t>
      </w:r>
      <w:r w:rsidR="00DC690D" w:rsidRPr="005500E0">
        <w:rPr>
          <w:rFonts w:ascii="Arial" w:hAnsi="Arial" w:cs="Arial"/>
        </w:rPr>
        <w:t>and</w:t>
      </w:r>
      <w:r w:rsidRPr="005500E0">
        <w:rPr>
          <w:rFonts w:ascii="Arial" w:hAnsi="Arial" w:cs="Arial"/>
        </w:rPr>
        <w:t xml:space="preserve"> </w:t>
      </w:r>
      <w:proofErr w:type="spellStart"/>
      <w:r w:rsidRPr="005500E0">
        <w:rPr>
          <w:rFonts w:ascii="Arial" w:hAnsi="Arial" w:cs="Arial"/>
        </w:rPr>
        <w:t>Basu</w:t>
      </w:r>
      <w:proofErr w:type="spellEnd"/>
      <w:r w:rsidRPr="005500E0">
        <w:rPr>
          <w:rFonts w:ascii="Arial" w:hAnsi="Arial" w:cs="Arial"/>
        </w:rPr>
        <w:t xml:space="preserve">, 1918; Sharma </w:t>
      </w:r>
      <w:r w:rsidR="00DC690D" w:rsidRPr="005500E0">
        <w:rPr>
          <w:rFonts w:ascii="Arial" w:hAnsi="Arial" w:cs="Arial"/>
        </w:rPr>
        <w:t>and</w:t>
      </w:r>
      <w:r w:rsidRPr="005500E0">
        <w:rPr>
          <w:rFonts w:ascii="Arial" w:hAnsi="Arial" w:cs="Arial"/>
        </w:rPr>
        <w:t xml:space="preserve"> Devi, 2015).</w:t>
      </w:r>
    </w:p>
    <w:p w14:paraId="170624A7" w14:textId="45569091" w:rsidR="001748E9" w:rsidRPr="005500E0" w:rsidRDefault="001748E9" w:rsidP="00557DD0">
      <w:pPr>
        <w:spacing w:line="360" w:lineRule="auto"/>
        <w:jc w:val="both"/>
        <w:rPr>
          <w:rFonts w:ascii="Arial" w:hAnsi="Arial" w:cs="Arial"/>
        </w:rPr>
      </w:pPr>
      <w:r w:rsidRPr="005500E0">
        <w:rPr>
          <w:rFonts w:ascii="Arial" w:hAnsi="Arial" w:cs="Arial"/>
        </w:rPr>
        <w:t>The primary objectives of this study</w:t>
      </w:r>
      <w:r w:rsidR="005500E0" w:rsidRPr="005500E0">
        <w:rPr>
          <w:rFonts w:ascii="Arial" w:hAnsi="Arial" w:cs="Arial"/>
        </w:rPr>
        <w:t xml:space="preserve"> </w:t>
      </w:r>
      <w:proofErr w:type="gramStart"/>
      <w:r w:rsidR="005500E0" w:rsidRPr="005500E0">
        <w:rPr>
          <w:rFonts w:ascii="Arial" w:hAnsi="Arial" w:cs="Arial"/>
        </w:rPr>
        <w:t>is</w:t>
      </w:r>
      <w:proofErr w:type="gramEnd"/>
      <w:r w:rsidR="005500E0" w:rsidRPr="005500E0">
        <w:rPr>
          <w:rFonts w:ascii="Arial" w:hAnsi="Arial" w:cs="Arial"/>
        </w:rPr>
        <w:t xml:space="preserve"> to </w:t>
      </w:r>
      <w:proofErr w:type="spellStart"/>
      <w:r w:rsidRPr="005500E0">
        <w:rPr>
          <w:rFonts w:ascii="Arial" w:hAnsi="Arial" w:cs="Arial"/>
        </w:rPr>
        <w:t>analyze</w:t>
      </w:r>
      <w:proofErr w:type="spellEnd"/>
      <w:r w:rsidRPr="005500E0">
        <w:rPr>
          <w:rFonts w:ascii="Arial" w:hAnsi="Arial" w:cs="Arial"/>
        </w:rPr>
        <w:t xml:space="preserve"> th</w:t>
      </w:r>
      <w:r w:rsidR="00DB2E19" w:rsidRPr="005500E0">
        <w:rPr>
          <w:rFonts w:ascii="Arial" w:hAnsi="Arial" w:cs="Arial"/>
        </w:rPr>
        <w:t>e phytochemical</w:t>
      </w:r>
      <w:r w:rsidRPr="005500E0">
        <w:rPr>
          <w:rFonts w:ascii="Arial" w:hAnsi="Arial" w:cs="Arial"/>
        </w:rPr>
        <w:t xml:space="preserve"> composition</w:t>
      </w:r>
      <w:r w:rsidR="00DB2E19" w:rsidRPr="005500E0">
        <w:rPr>
          <w:rFonts w:ascii="Arial" w:hAnsi="Arial" w:cs="Arial"/>
        </w:rPr>
        <w:t xml:space="preserve"> and</w:t>
      </w:r>
      <w:r w:rsidRPr="005500E0">
        <w:rPr>
          <w:rFonts w:ascii="Arial" w:hAnsi="Arial" w:cs="Arial"/>
        </w:rPr>
        <w:t xml:space="preserve"> total antioxidant capacity of </w:t>
      </w:r>
      <w:proofErr w:type="spellStart"/>
      <w:r w:rsidR="000E3AEF" w:rsidRPr="005500E0">
        <w:rPr>
          <w:rFonts w:ascii="Arial" w:hAnsi="Arial" w:cs="Arial"/>
          <w:i/>
          <w:iCs/>
        </w:rPr>
        <w:t>Pseudognaphalium</w:t>
      </w:r>
      <w:proofErr w:type="spellEnd"/>
      <w:r w:rsidR="000E3AEF" w:rsidRPr="005500E0">
        <w:rPr>
          <w:rFonts w:ascii="Arial" w:hAnsi="Arial" w:cs="Arial"/>
          <w:i/>
          <w:iCs/>
        </w:rPr>
        <w:t xml:space="preserve"> </w:t>
      </w:r>
      <w:proofErr w:type="spellStart"/>
      <w:r w:rsidR="000E3AEF" w:rsidRPr="005500E0">
        <w:rPr>
          <w:rFonts w:ascii="Arial" w:hAnsi="Arial" w:cs="Arial"/>
          <w:i/>
          <w:iCs/>
        </w:rPr>
        <w:t>luteoalbum</w:t>
      </w:r>
      <w:proofErr w:type="spellEnd"/>
      <w:r w:rsidR="000E3AEF" w:rsidRPr="005500E0">
        <w:rPr>
          <w:rFonts w:ascii="Arial" w:hAnsi="Arial" w:cs="Arial"/>
        </w:rPr>
        <w:t xml:space="preserve"> (L.) Hilliard &amp; B.L. Burtt </w:t>
      </w:r>
      <w:r w:rsidR="0030553B">
        <w:rPr>
          <w:rFonts w:ascii="Arial" w:hAnsi="Arial" w:cs="Arial"/>
        </w:rPr>
        <w:t xml:space="preserve">are </w:t>
      </w:r>
      <w:r w:rsidRPr="005500E0">
        <w:rPr>
          <w:rFonts w:ascii="Arial" w:hAnsi="Arial" w:cs="Arial"/>
        </w:rPr>
        <w:t>using standard analytical techniques.</w:t>
      </w:r>
    </w:p>
    <w:p w14:paraId="0D192CF7" w14:textId="1BB0CB8F" w:rsidR="001748E9" w:rsidRPr="005500E0" w:rsidRDefault="002056E1" w:rsidP="00557DD0">
      <w:pPr>
        <w:spacing w:line="360" w:lineRule="auto"/>
        <w:jc w:val="both"/>
        <w:rPr>
          <w:rFonts w:ascii="Arial" w:hAnsi="Arial" w:cs="Arial"/>
          <w:b/>
          <w:bCs/>
        </w:rPr>
      </w:pPr>
      <w:r>
        <w:rPr>
          <w:rFonts w:ascii="Arial" w:hAnsi="Arial" w:cs="Arial"/>
          <w:b/>
          <w:bCs/>
        </w:rPr>
        <w:t>2</w:t>
      </w:r>
      <w:r w:rsidR="001748E9" w:rsidRPr="005500E0">
        <w:rPr>
          <w:rFonts w:ascii="Arial" w:hAnsi="Arial" w:cs="Arial"/>
          <w:b/>
          <w:bCs/>
        </w:rPr>
        <w:t>. Materials and Methods</w:t>
      </w:r>
    </w:p>
    <w:p w14:paraId="11459624" w14:textId="43AC7E04" w:rsidR="001748E9" w:rsidRPr="005500E0" w:rsidRDefault="002056E1" w:rsidP="00557DD0">
      <w:pPr>
        <w:spacing w:line="360" w:lineRule="auto"/>
        <w:jc w:val="both"/>
        <w:rPr>
          <w:rFonts w:ascii="Arial" w:hAnsi="Arial" w:cs="Arial"/>
          <w:b/>
          <w:bCs/>
        </w:rPr>
      </w:pPr>
      <w:r>
        <w:rPr>
          <w:rFonts w:ascii="Arial" w:hAnsi="Arial" w:cs="Arial"/>
          <w:b/>
          <w:bCs/>
        </w:rPr>
        <w:t>2</w:t>
      </w:r>
      <w:r w:rsidR="001748E9" w:rsidRPr="005500E0">
        <w:rPr>
          <w:rFonts w:ascii="Arial" w:hAnsi="Arial" w:cs="Arial"/>
          <w:b/>
          <w:bCs/>
        </w:rPr>
        <w:t>.1 Study Area</w:t>
      </w:r>
    </w:p>
    <w:p w14:paraId="7CD312A8" w14:textId="47C3DE3D" w:rsidR="001748E9" w:rsidRPr="005500E0" w:rsidRDefault="001748E9" w:rsidP="00557DD0">
      <w:pPr>
        <w:spacing w:line="360" w:lineRule="auto"/>
        <w:jc w:val="both"/>
        <w:rPr>
          <w:rFonts w:ascii="Arial" w:hAnsi="Arial" w:cs="Arial"/>
        </w:rPr>
      </w:pPr>
      <w:r w:rsidRPr="005500E0">
        <w:rPr>
          <w:rFonts w:ascii="Arial" w:hAnsi="Arial" w:cs="Arial"/>
        </w:rPr>
        <w:t xml:space="preserve">This study was conducted at the Plant Physiology Laboratory, Department of Life Sciences (Botany), Manipur University, India (23º.80′ N to 25º.68′ N and 93º.03′ E to 94º.78′ E). The plant samples were collected in March 2024 from the </w:t>
      </w:r>
      <w:r w:rsidR="005E08FD" w:rsidRPr="005500E0">
        <w:rPr>
          <w:rFonts w:ascii="Arial" w:hAnsi="Arial" w:cs="Arial"/>
        </w:rPr>
        <w:t>U</w:t>
      </w:r>
      <w:r w:rsidRPr="005500E0">
        <w:rPr>
          <w:rFonts w:ascii="Arial" w:hAnsi="Arial" w:cs="Arial"/>
        </w:rPr>
        <w:t xml:space="preserve">niversity </w:t>
      </w:r>
      <w:r w:rsidR="005E08FD" w:rsidRPr="005500E0">
        <w:rPr>
          <w:rFonts w:ascii="Arial" w:hAnsi="Arial" w:cs="Arial"/>
        </w:rPr>
        <w:t>C</w:t>
      </w:r>
      <w:r w:rsidRPr="005500E0">
        <w:rPr>
          <w:rFonts w:ascii="Arial" w:hAnsi="Arial" w:cs="Arial"/>
        </w:rPr>
        <w:t>ampus</w:t>
      </w:r>
      <w:r w:rsidR="005E08FD" w:rsidRPr="005500E0">
        <w:rPr>
          <w:rFonts w:ascii="Arial" w:hAnsi="Arial" w:cs="Arial"/>
        </w:rPr>
        <w:t xml:space="preserve">, </w:t>
      </w:r>
      <w:proofErr w:type="spellStart"/>
      <w:r w:rsidR="005E08FD" w:rsidRPr="005500E0">
        <w:rPr>
          <w:rFonts w:ascii="Arial" w:hAnsi="Arial" w:cs="Arial"/>
        </w:rPr>
        <w:t>Canchipur</w:t>
      </w:r>
      <w:proofErr w:type="spellEnd"/>
      <w:r w:rsidR="005E08FD" w:rsidRPr="005500E0">
        <w:rPr>
          <w:rFonts w:ascii="Arial" w:hAnsi="Arial" w:cs="Arial"/>
        </w:rPr>
        <w:t>,</w:t>
      </w:r>
      <w:r w:rsidRPr="005500E0">
        <w:rPr>
          <w:rFonts w:ascii="Arial" w:hAnsi="Arial" w:cs="Arial"/>
        </w:rPr>
        <w:t xml:space="preserve"> in Imphal West District, Manipur.</w:t>
      </w:r>
    </w:p>
    <w:p w14:paraId="6446C5C1" w14:textId="69E6B669" w:rsidR="001748E9" w:rsidRPr="005500E0" w:rsidRDefault="002056E1" w:rsidP="00557DD0">
      <w:pPr>
        <w:spacing w:line="360" w:lineRule="auto"/>
        <w:jc w:val="both"/>
        <w:rPr>
          <w:rFonts w:ascii="Arial" w:hAnsi="Arial" w:cs="Arial"/>
          <w:b/>
          <w:bCs/>
        </w:rPr>
      </w:pPr>
      <w:r>
        <w:rPr>
          <w:rFonts w:ascii="Arial" w:hAnsi="Arial" w:cs="Arial"/>
          <w:b/>
          <w:bCs/>
        </w:rPr>
        <w:lastRenderedPageBreak/>
        <w:t>2</w:t>
      </w:r>
      <w:r w:rsidR="001748E9" w:rsidRPr="005500E0">
        <w:rPr>
          <w:rFonts w:ascii="Arial" w:hAnsi="Arial" w:cs="Arial"/>
          <w:b/>
          <w:bCs/>
        </w:rPr>
        <w:t>.2 Sample Collection and Processing</w:t>
      </w:r>
    </w:p>
    <w:p w14:paraId="266094FD" w14:textId="62FBCA66" w:rsidR="001748E9" w:rsidRPr="005500E0" w:rsidRDefault="001748E9" w:rsidP="00557DD0">
      <w:pPr>
        <w:spacing w:line="360" w:lineRule="auto"/>
        <w:jc w:val="both"/>
        <w:rPr>
          <w:rFonts w:ascii="Arial" w:hAnsi="Arial" w:cs="Arial"/>
        </w:rPr>
      </w:pPr>
      <w:r w:rsidRPr="005500E0">
        <w:rPr>
          <w:rFonts w:ascii="Arial" w:hAnsi="Arial" w:cs="Arial"/>
        </w:rPr>
        <w:t xml:space="preserve">Fresh aerial parts of </w:t>
      </w:r>
      <w:proofErr w:type="spellStart"/>
      <w:r w:rsidR="00D1656A" w:rsidRPr="005500E0">
        <w:rPr>
          <w:rFonts w:ascii="Arial" w:hAnsi="Arial" w:cs="Arial"/>
          <w:i/>
          <w:iCs/>
        </w:rPr>
        <w:t>Pseudognaphalium</w:t>
      </w:r>
      <w:proofErr w:type="spellEnd"/>
      <w:r w:rsidR="00D1656A" w:rsidRPr="005500E0">
        <w:rPr>
          <w:rFonts w:ascii="Arial" w:hAnsi="Arial" w:cs="Arial"/>
          <w:i/>
          <w:iCs/>
        </w:rPr>
        <w:t xml:space="preserve"> </w:t>
      </w:r>
      <w:proofErr w:type="spellStart"/>
      <w:r w:rsidR="00D1656A" w:rsidRPr="005500E0">
        <w:rPr>
          <w:rFonts w:ascii="Arial" w:hAnsi="Arial" w:cs="Arial"/>
          <w:i/>
          <w:iCs/>
        </w:rPr>
        <w:t>luteoalbum</w:t>
      </w:r>
      <w:proofErr w:type="spellEnd"/>
      <w:r w:rsidR="00D1656A" w:rsidRPr="005500E0">
        <w:rPr>
          <w:rFonts w:ascii="Arial" w:hAnsi="Arial" w:cs="Arial"/>
        </w:rPr>
        <w:t xml:space="preserve"> (L.) Hilliard &amp; B.L. Burtt</w:t>
      </w:r>
      <w:r w:rsidR="00D1656A" w:rsidRPr="005500E0">
        <w:rPr>
          <w:rFonts w:ascii="Arial" w:hAnsi="Arial" w:cs="Arial"/>
          <w:b/>
          <w:bCs/>
        </w:rPr>
        <w:t xml:space="preserve"> </w:t>
      </w:r>
      <w:r w:rsidRPr="005500E0">
        <w:rPr>
          <w:rFonts w:ascii="Arial" w:hAnsi="Arial" w:cs="Arial"/>
        </w:rPr>
        <w:t>(leaves, stems, pre-mature and mature seeds, and fruits) were collected, cleaned with distilled water, and air-dried at room temperature. The dried plant material was ground into a fine powder and stored for biochemical and antioxidant analysis.</w:t>
      </w:r>
    </w:p>
    <w:p w14:paraId="0E612494" w14:textId="3EA9DC60" w:rsidR="003C5A31" w:rsidRPr="005500E0" w:rsidRDefault="003C5A31" w:rsidP="00557DD0">
      <w:pPr>
        <w:spacing w:line="360" w:lineRule="auto"/>
        <w:jc w:val="both"/>
        <w:rPr>
          <w:rFonts w:ascii="Arial" w:hAnsi="Arial" w:cs="Arial"/>
        </w:rPr>
      </w:pPr>
      <w:r w:rsidRPr="005500E0">
        <w:rPr>
          <w:rFonts w:ascii="Arial" w:hAnsi="Arial" w:cs="Arial"/>
          <w:noProof/>
        </w:rPr>
        <w:drawing>
          <wp:inline distT="0" distB="0" distL="0" distR="0" wp14:anchorId="2BB67C0D" wp14:editId="0B89B125">
            <wp:extent cx="2731135" cy="2413322"/>
            <wp:effectExtent l="0" t="0" r="0" b="6350"/>
            <wp:docPr id="3" name="Picture 2">
              <a:extLst xmlns:a="http://schemas.openxmlformats.org/drawingml/2006/main">
                <a:ext uri="{FF2B5EF4-FFF2-40B4-BE49-F238E27FC236}">
                  <a16:creationId xmlns:a16="http://schemas.microsoft.com/office/drawing/2014/main" id="{961491FA-BAF4-DC64-7076-1F1E823DF6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61491FA-BAF4-DC64-7076-1F1E823DF67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1135" cy="2413322"/>
                    </a:xfrm>
                    <a:prstGeom prst="rect">
                      <a:avLst/>
                    </a:prstGeom>
                  </pic:spPr>
                </pic:pic>
              </a:graphicData>
            </a:graphic>
          </wp:inline>
        </w:drawing>
      </w:r>
      <w:r w:rsidRPr="005500E0">
        <w:rPr>
          <w:rFonts w:ascii="Arial" w:hAnsi="Arial" w:cs="Arial"/>
        </w:rPr>
        <w:t xml:space="preserve">      </w:t>
      </w:r>
      <w:r w:rsidRPr="005500E0">
        <w:rPr>
          <w:rFonts w:ascii="Arial" w:hAnsi="Arial" w:cs="Arial"/>
          <w:noProof/>
        </w:rPr>
        <w:drawing>
          <wp:inline distT="0" distB="0" distL="0" distR="0" wp14:anchorId="1578335B" wp14:editId="1B209E2F">
            <wp:extent cx="2730718" cy="2435635"/>
            <wp:effectExtent l="0" t="0" r="0" b="3175"/>
            <wp:docPr id="4" name="Picture 3">
              <a:extLst xmlns:a="http://schemas.openxmlformats.org/drawingml/2006/main">
                <a:ext uri="{FF2B5EF4-FFF2-40B4-BE49-F238E27FC236}">
                  <a16:creationId xmlns:a16="http://schemas.microsoft.com/office/drawing/2014/main" id="{B805F0C0-3500-D792-549A-1250852DA6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805F0C0-3500-D792-549A-1250852DA6F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0718" cy="2435635"/>
                    </a:xfrm>
                    <a:prstGeom prst="rect">
                      <a:avLst/>
                    </a:prstGeom>
                  </pic:spPr>
                </pic:pic>
              </a:graphicData>
            </a:graphic>
          </wp:inline>
        </w:drawing>
      </w:r>
    </w:p>
    <w:p w14:paraId="68194EDE" w14:textId="62373FAD" w:rsidR="003C5A31" w:rsidRPr="005500E0" w:rsidRDefault="003C5A31" w:rsidP="003C5A31">
      <w:pPr>
        <w:spacing w:line="360" w:lineRule="auto"/>
        <w:jc w:val="center"/>
        <w:rPr>
          <w:rFonts w:ascii="Arial" w:hAnsi="Arial" w:cs="Arial"/>
        </w:rPr>
      </w:pPr>
      <w:r w:rsidRPr="005500E0">
        <w:rPr>
          <w:rFonts w:ascii="Arial" w:hAnsi="Arial" w:cs="Arial"/>
        </w:rPr>
        <w:t xml:space="preserve">(a)                                                                    </w:t>
      </w:r>
      <w:proofErr w:type="gramStart"/>
      <w:r w:rsidRPr="005500E0">
        <w:rPr>
          <w:rFonts w:ascii="Arial" w:hAnsi="Arial" w:cs="Arial"/>
        </w:rPr>
        <w:t xml:space="preserve">  </w:t>
      </w:r>
      <w:r w:rsidR="00A15A8F">
        <w:rPr>
          <w:rFonts w:ascii="Arial" w:hAnsi="Arial" w:cs="Arial"/>
        </w:rPr>
        <w:t xml:space="preserve"> </w:t>
      </w:r>
      <w:r w:rsidRPr="005500E0">
        <w:rPr>
          <w:rFonts w:ascii="Arial" w:hAnsi="Arial" w:cs="Arial"/>
        </w:rPr>
        <w:t>(</w:t>
      </w:r>
      <w:proofErr w:type="gramEnd"/>
      <w:r w:rsidRPr="005500E0">
        <w:rPr>
          <w:rFonts w:ascii="Arial" w:hAnsi="Arial" w:cs="Arial"/>
        </w:rPr>
        <w:t>b)</w:t>
      </w:r>
    </w:p>
    <w:p w14:paraId="23C5105D" w14:textId="75C47795" w:rsidR="003C5A31" w:rsidRPr="005500E0" w:rsidRDefault="003C5A31" w:rsidP="0088690A">
      <w:pPr>
        <w:spacing w:line="360" w:lineRule="auto"/>
        <w:jc w:val="both"/>
        <w:rPr>
          <w:rFonts w:ascii="Arial" w:hAnsi="Arial" w:cs="Arial"/>
        </w:rPr>
      </w:pPr>
      <w:r w:rsidRPr="005500E0">
        <w:rPr>
          <w:rFonts w:ascii="Arial" w:hAnsi="Arial" w:cs="Arial"/>
        </w:rPr>
        <w:t>Figure1. (a) Vegetative stage (b)</w:t>
      </w:r>
      <w:r w:rsidR="00884A23" w:rsidRPr="005500E0">
        <w:rPr>
          <w:rFonts w:ascii="Arial" w:hAnsi="Arial" w:cs="Arial"/>
        </w:rPr>
        <w:t xml:space="preserve"> Flowering stage of</w:t>
      </w:r>
      <w:r w:rsidR="00F33CF9" w:rsidRPr="005500E0">
        <w:rPr>
          <w:rFonts w:ascii="Arial" w:hAnsi="Arial" w:cs="Arial"/>
        </w:rPr>
        <w:t xml:space="preserve"> </w:t>
      </w:r>
      <w:proofErr w:type="spellStart"/>
      <w:r w:rsidR="00884A23" w:rsidRPr="005500E0">
        <w:rPr>
          <w:rFonts w:ascii="Arial" w:hAnsi="Arial" w:cs="Arial"/>
          <w:i/>
          <w:iCs/>
        </w:rPr>
        <w:t>Pseudognaphalium</w:t>
      </w:r>
      <w:proofErr w:type="spellEnd"/>
      <w:r w:rsidR="00884A23" w:rsidRPr="005500E0">
        <w:rPr>
          <w:rFonts w:ascii="Arial" w:hAnsi="Arial" w:cs="Arial"/>
          <w:i/>
          <w:iCs/>
        </w:rPr>
        <w:t xml:space="preserve"> </w:t>
      </w:r>
      <w:proofErr w:type="spellStart"/>
      <w:r w:rsidR="00884A23" w:rsidRPr="005500E0">
        <w:rPr>
          <w:rFonts w:ascii="Arial" w:hAnsi="Arial" w:cs="Arial"/>
          <w:i/>
          <w:iCs/>
        </w:rPr>
        <w:t>luteoalbum</w:t>
      </w:r>
      <w:proofErr w:type="spellEnd"/>
      <w:r w:rsidR="00884A23" w:rsidRPr="005500E0">
        <w:rPr>
          <w:rFonts w:ascii="Arial" w:hAnsi="Arial" w:cs="Arial"/>
        </w:rPr>
        <w:t xml:space="preserve"> (L.) Hilliard &amp; B.L. </w:t>
      </w:r>
      <w:proofErr w:type="spellStart"/>
      <w:r w:rsidR="00884A23" w:rsidRPr="005500E0">
        <w:rPr>
          <w:rFonts w:ascii="Arial" w:hAnsi="Arial" w:cs="Arial"/>
        </w:rPr>
        <w:t>Burtt</w:t>
      </w:r>
      <w:proofErr w:type="spellEnd"/>
      <w:r w:rsidR="00F33CF9" w:rsidRPr="005500E0">
        <w:rPr>
          <w:rFonts w:ascii="Arial" w:hAnsi="Arial" w:cs="Arial"/>
        </w:rPr>
        <w:t xml:space="preserve"> (</w:t>
      </w:r>
      <w:proofErr w:type="spellStart"/>
      <w:r w:rsidR="00F33CF9" w:rsidRPr="005500E0">
        <w:rPr>
          <w:rFonts w:ascii="Arial" w:hAnsi="Arial" w:cs="Arial"/>
        </w:rPr>
        <w:t>Phunil</w:t>
      </w:r>
      <w:proofErr w:type="spellEnd"/>
      <w:r w:rsidR="00F33CF9" w:rsidRPr="005500E0">
        <w:rPr>
          <w:rFonts w:ascii="Arial" w:hAnsi="Arial" w:cs="Arial"/>
        </w:rPr>
        <w:t>).</w:t>
      </w:r>
      <w:r w:rsidR="00884A23" w:rsidRPr="005500E0">
        <w:rPr>
          <w:rFonts w:ascii="Arial" w:hAnsi="Arial" w:cs="Arial"/>
          <w:b/>
          <w:bCs/>
        </w:rPr>
        <w:t xml:space="preserve"> </w:t>
      </w:r>
    </w:p>
    <w:p w14:paraId="60A7824A" w14:textId="79382511" w:rsidR="001748E9" w:rsidRPr="005500E0" w:rsidRDefault="002056E1" w:rsidP="00557DD0">
      <w:pPr>
        <w:spacing w:line="360" w:lineRule="auto"/>
        <w:jc w:val="both"/>
        <w:rPr>
          <w:rFonts w:ascii="Arial" w:hAnsi="Arial" w:cs="Arial"/>
          <w:b/>
          <w:bCs/>
        </w:rPr>
      </w:pPr>
      <w:r>
        <w:rPr>
          <w:rFonts w:ascii="Arial" w:hAnsi="Arial" w:cs="Arial"/>
          <w:b/>
          <w:bCs/>
        </w:rPr>
        <w:t>2</w:t>
      </w:r>
      <w:r w:rsidR="001748E9" w:rsidRPr="005500E0">
        <w:rPr>
          <w:rFonts w:ascii="Arial" w:hAnsi="Arial" w:cs="Arial"/>
          <w:b/>
          <w:bCs/>
        </w:rPr>
        <w:t>.4 Biochemical Analysis</w:t>
      </w:r>
    </w:p>
    <w:p w14:paraId="120A328E" w14:textId="163E1B6B" w:rsidR="001748E9" w:rsidRPr="005500E0" w:rsidRDefault="001748E9" w:rsidP="00557DD0">
      <w:pPr>
        <w:spacing w:line="360" w:lineRule="auto"/>
        <w:jc w:val="both"/>
        <w:rPr>
          <w:rFonts w:ascii="Arial" w:hAnsi="Arial" w:cs="Arial"/>
        </w:rPr>
      </w:pPr>
      <w:r w:rsidRPr="005500E0">
        <w:rPr>
          <w:rFonts w:ascii="Arial" w:hAnsi="Arial" w:cs="Arial"/>
        </w:rPr>
        <w:t xml:space="preserve">A series of biochemical assays were performed to evaluate the nutrient and bioactive compound composition of </w:t>
      </w:r>
      <w:proofErr w:type="spellStart"/>
      <w:r w:rsidR="00937024" w:rsidRPr="005500E0">
        <w:rPr>
          <w:rFonts w:ascii="Arial" w:hAnsi="Arial" w:cs="Arial"/>
          <w:i/>
          <w:iCs/>
        </w:rPr>
        <w:t>Pseudognaphalium</w:t>
      </w:r>
      <w:proofErr w:type="spellEnd"/>
      <w:r w:rsidR="00937024" w:rsidRPr="005500E0">
        <w:rPr>
          <w:rFonts w:ascii="Arial" w:hAnsi="Arial" w:cs="Arial"/>
          <w:i/>
          <w:iCs/>
        </w:rPr>
        <w:t xml:space="preserve"> </w:t>
      </w:r>
      <w:proofErr w:type="spellStart"/>
      <w:r w:rsidR="00937024" w:rsidRPr="005500E0">
        <w:rPr>
          <w:rFonts w:ascii="Arial" w:hAnsi="Arial" w:cs="Arial"/>
          <w:i/>
          <w:iCs/>
        </w:rPr>
        <w:t>luteoalbum</w:t>
      </w:r>
      <w:proofErr w:type="spellEnd"/>
      <w:r w:rsidR="00937024" w:rsidRPr="005500E0">
        <w:rPr>
          <w:rFonts w:ascii="Arial" w:hAnsi="Arial" w:cs="Arial"/>
        </w:rPr>
        <w:t xml:space="preserve"> (L.) Hilliard</w:t>
      </w:r>
      <w:r w:rsidR="00937024" w:rsidRPr="005500E0">
        <w:rPr>
          <w:rFonts w:ascii="Arial" w:hAnsi="Arial" w:cs="Arial"/>
        </w:rPr>
        <w:tab/>
        <w:t xml:space="preserve"> &amp; B.L. Burtt</w:t>
      </w:r>
      <w:r w:rsidRPr="005500E0">
        <w:rPr>
          <w:rFonts w:ascii="Arial" w:hAnsi="Arial" w:cs="Arial"/>
        </w:rPr>
        <w:t>. Each analysis was conducted in triplicate, and the mean values were used for interpretation. The results provide insights into the plant’s phytochemical profile, antioxidant potential, and nutritional importance.</w:t>
      </w:r>
    </w:p>
    <w:p w14:paraId="03B0E4AA" w14:textId="788DB3D0" w:rsidR="001748E9" w:rsidRPr="005500E0" w:rsidRDefault="002056E1" w:rsidP="00557DD0">
      <w:pPr>
        <w:spacing w:line="360" w:lineRule="auto"/>
        <w:jc w:val="both"/>
        <w:rPr>
          <w:rFonts w:ascii="Arial" w:hAnsi="Arial" w:cs="Arial"/>
          <w:b/>
          <w:bCs/>
        </w:rPr>
      </w:pPr>
      <w:r>
        <w:rPr>
          <w:rFonts w:ascii="Arial" w:hAnsi="Arial" w:cs="Arial"/>
          <w:b/>
          <w:bCs/>
        </w:rPr>
        <w:t>2</w:t>
      </w:r>
      <w:r w:rsidR="001748E9" w:rsidRPr="005500E0">
        <w:rPr>
          <w:rFonts w:ascii="Arial" w:hAnsi="Arial" w:cs="Arial"/>
          <w:b/>
          <w:bCs/>
        </w:rPr>
        <w:t>.4.1 Total Soluble Sugars</w:t>
      </w:r>
    </w:p>
    <w:p w14:paraId="3E2F3D14" w14:textId="6CEFBF37" w:rsidR="001748E9" w:rsidRPr="005500E0" w:rsidRDefault="001748E9" w:rsidP="00557DD0">
      <w:pPr>
        <w:spacing w:line="360" w:lineRule="auto"/>
        <w:jc w:val="both"/>
        <w:rPr>
          <w:rFonts w:ascii="Arial" w:hAnsi="Arial" w:cs="Arial"/>
        </w:rPr>
      </w:pPr>
      <w:r w:rsidRPr="005500E0">
        <w:rPr>
          <w:rFonts w:ascii="Arial" w:hAnsi="Arial" w:cs="Arial"/>
        </w:rPr>
        <w:t xml:space="preserve">Total soluble sugars were estimated using the </w:t>
      </w:r>
      <w:proofErr w:type="spellStart"/>
      <w:r w:rsidRPr="005500E0">
        <w:rPr>
          <w:rFonts w:ascii="Arial" w:hAnsi="Arial" w:cs="Arial"/>
        </w:rPr>
        <w:t>anthrone</w:t>
      </w:r>
      <w:proofErr w:type="spellEnd"/>
      <w:r w:rsidRPr="005500E0">
        <w:rPr>
          <w:rFonts w:ascii="Arial" w:hAnsi="Arial" w:cs="Arial"/>
        </w:rPr>
        <w:t xml:space="preserve"> method (Hedge &amp; </w:t>
      </w:r>
      <w:proofErr w:type="spellStart"/>
      <w:r w:rsidRPr="005500E0">
        <w:rPr>
          <w:rFonts w:ascii="Arial" w:hAnsi="Arial" w:cs="Arial"/>
        </w:rPr>
        <w:t>Hofreiter</w:t>
      </w:r>
      <w:proofErr w:type="spellEnd"/>
      <w:r w:rsidRPr="005500E0">
        <w:rPr>
          <w:rFonts w:ascii="Arial" w:hAnsi="Arial" w:cs="Arial"/>
        </w:rPr>
        <w:t xml:space="preserve">, 1962). The presence of soluble sugars is an essential factor in assessing the plant’s metabolic activities, as sugars serve as energy reservoirs and precursors for secondary metabolite synthesis. The assay involved treating the plant extract with </w:t>
      </w:r>
      <w:proofErr w:type="spellStart"/>
      <w:r w:rsidRPr="005500E0">
        <w:rPr>
          <w:rFonts w:ascii="Arial" w:hAnsi="Arial" w:cs="Arial"/>
        </w:rPr>
        <w:t>anthrone</w:t>
      </w:r>
      <w:proofErr w:type="spellEnd"/>
      <w:r w:rsidRPr="005500E0">
        <w:rPr>
          <w:rFonts w:ascii="Arial" w:hAnsi="Arial" w:cs="Arial"/>
        </w:rPr>
        <w:t xml:space="preserve"> reagent under acidic conditions, leading to the formation of a green-</w:t>
      </w:r>
      <w:proofErr w:type="spellStart"/>
      <w:r w:rsidRPr="005500E0">
        <w:rPr>
          <w:rFonts w:ascii="Arial" w:hAnsi="Arial" w:cs="Arial"/>
        </w:rPr>
        <w:t>colored</w:t>
      </w:r>
      <w:proofErr w:type="spellEnd"/>
      <w:r w:rsidRPr="005500E0">
        <w:rPr>
          <w:rFonts w:ascii="Arial" w:hAnsi="Arial" w:cs="Arial"/>
        </w:rPr>
        <w:t xml:space="preserve"> complex, which was quantified spectrophotometrically at 620 nm.</w:t>
      </w:r>
    </w:p>
    <w:p w14:paraId="015669E8" w14:textId="5B2B4D80" w:rsidR="001748E9" w:rsidRPr="005500E0" w:rsidRDefault="002056E1" w:rsidP="00557DD0">
      <w:pPr>
        <w:spacing w:line="360" w:lineRule="auto"/>
        <w:jc w:val="both"/>
        <w:rPr>
          <w:rFonts w:ascii="Arial" w:hAnsi="Arial" w:cs="Arial"/>
          <w:b/>
          <w:bCs/>
        </w:rPr>
      </w:pPr>
      <w:r>
        <w:rPr>
          <w:rFonts w:ascii="Arial" w:hAnsi="Arial" w:cs="Arial"/>
          <w:b/>
          <w:bCs/>
        </w:rPr>
        <w:t>2</w:t>
      </w:r>
      <w:r w:rsidR="001748E9" w:rsidRPr="005500E0">
        <w:rPr>
          <w:rFonts w:ascii="Arial" w:hAnsi="Arial" w:cs="Arial"/>
          <w:b/>
          <w:bCs/>
        </w:rPr>
        <w:t>.4.2 Soluble Proteins</w:t>
      </w:r>
    </w:p>
    <w:p w14:paraId="34C3436C" w14:textId="212B663D" w:rsidR="001748E9" w:rsidRPr="005500E0" w:rsidRDefault="001748E9" w:rsidP="00557DD0">
      <w:pPr>
        <w:spacing w:line="360" w:lineRule="auto"/>
        <w:jc w:val="both"/>
        <w:rPr>
          <w:rFonts w:ascii="Arial" w:hAnsi="Arial" w:cs="Arial"/>
        </w:rPr>
      </w:pPr>
      <w:r w:rsidRPr="005500E0">
        <w:rPr>
          <w:rFonts w:ascii="Arial" w:hAnsi="Arial" w:cs="Arial"/>
        </w:rPr>
        <w:lastRenderedPageBreak/>
        <w:t xml:space="preserve">Protein estimation was performed using Lowry’s method (Lowry et al., 1951). Proteins are vital macromolecules that participate in enzymatic reactions, structural functions, and metabolic pathways. The total soluble protein content in the plant extracts was determined by reacting the sample with the </w:t>
      </w:r>
      <w:proofErr w:type="spellStart"/>
      <w:r w:rsidRPr="005500E0">
        <w:rPr>
          <w:rFonts w:ascii="Arial" w:hAnsi="Arial" w:cs="Arial"/>
        </w:rPr>
        <w:t>Folin</w:t>
      </w:r>
      <w:proofErr w:type="spellEnd"/>
      <w:r w:rsidRPr="005500E0">
        <w:rPr>
          <w:rFonts w:ascii="Arial" w:hAnsi="Arial" w:cs="Arial"/>
        </w:rPr>
        <w:t>–</w:t>
      </w:r>
      <w:proofErr w:type="spellStart"/>
      <w:r w:rsidRPr="005500E0">
        <w:rPr>
          <w:rFonts w:ascii="Arial" w:hAnsi="Arial" w:cs="Arial"/>
        </w:rPr>
        <w:t>Ciocalteu</w:t>
      </w:r>
      <w:proofErr w:type="spellEnd"/>
      <w:r w:rsidRPr="005500E0">
        <w:rPr>
          <w:rFonts w:ascii="Arial" w:hAnsi="Arial" w:cs="Arial"/>
        </w:rPr>
        <w:t xml:space="preserve"> reagent, leading to a colorimetric reaction that was read at 750 nm.</w:t>
      </w:r>
    </w:p>
    <w:p w14:paraId="52ADB921" w14:textId="36C53847" w:rsidR="001748E9" w:rsidRPr="005500E0" w:rsidRDefault="002056E1" w:rsidP="00557DD0">
      <w:pPr>
        <w:spacing w:line="360" w:lineRule="auto"/>
        <w:jc w:val="both"/>
        <w:rPr>
          <w:rFonts w:ascii="Arial" w:hAnsi="Arial" w:cs="Arial"/>
          <w:b/>
          <w:bCs/>
        </w:rPr>
      </w:pPr>
      <w:r>
        <w:rPr>
          <w:rFonts w:ascii="Arial" w:hAnsi="Arial" w:cs="Arial"/>
          <w:b/>
          <w:bCs/>
        </w:rPr>
        <w:t>2</w:t>
      </w:r>
      <w:r w:rsidR="001748E9" w:rsidRPr="005500E0">
        <w:rPr>
          <w:rFonts w:ascii="Arial" w:hAnsi="Arial" w:cs="Arial"/>
          <w:b/>
          <w:bCs/>
        </w:rPr>
        <w:t>.4.3 Total Phenolic Content (TPC)</w:t>
      </w:r>
    </w:p>
    <w:p w14:paraId="1F77485F" w14:textId="62256FF1" w:rsidR="00DD5106" w:rsidRPr="005500E0" w:rsidRDefault="001748E9" w:rsidP="00557DD0">
      <w:pPr>
        <w:spacing w:line="360" w:lineRule="auto"/>
        <w:jc w:val="both"/>
        <w:rPr>
          <w:rFonts w:ascii="Arial" w:hAnsi="Arial" w:cs="Arial"/>
        </w:rPr>
      </w:pPr>
      <w:r w:rsidRPr="005500E0">
        <w:rPr>
          <w:rFonts w:ascii="Arial" w:hAnsi="Arial" w:cs="Arial"/>
        </w:rPr>
        <w:t xml:space="preserve">Phenolic compounds are potent antioxidants known to protect cells from oxidative damage by scavenging free radicals. Total phenolic content (TPC) was determined using the </w:t>
      </w:r>
      <w:proofErr w:type="spellStart"/>
      <w:r w:rsidRPr="005500E0">
        <w:rPr>
          <w:rFonts w:ascii="Arial" w:hAnsi="Arial" w:cs="Arial"/>
        </w:rPr>
        <w:t>Folin-Ciocalteu</w:t>
      </w:r>
      <w:proofErr w:type="spellEnd"/>
      <w:r w:rsidRPr="005500E0">
        <w:rPr>
          <w:rFonts w:ascii="Arial" w:hAnsi="Arial" w:cs="Arial"/>
        </w:rPr>
        <w:t xml:space="preserve"> reagent (Bray &amp; Thorpe, 1954). The plant extract was mixed with the reagent, and sodium carbonate was added to initiate the reaction. The absorbance was measured at 765 nm using gallic acid as the standard.</w:t>
      </w:r>
    </w:p>
    <w:p w14:paraId="31FF54E3" w14:textId="525B3A4C" w:rsidR="00DD5106" w:rsidRPr="005500E0" w:rsidRDefault="002056E1" w:rsidP="00557DD0">
      <w:pPr>
        <w:spacing w:line="360" w:lineRule="auto"/>
        <w:jc w:val="both"/>
        <w:rPr>
          <w:rFonts w:ascii="Arial" w:hAnsi="Arial" w:cs="Arial"/>
          <w:b/>
          <w:bCs/>
        </w:rPr>
      </w:pPr>
      <w:r>
        <w:rPr>
          <w:rFonts w:ascii="Arial" w:hAnsi="Arial" w:cs="Arial"/>
          <w:b/>
          <w:bCs/>
        </w:rPr>
        <w:t>2</w:t>
      </w:r>
      <w:r w:rsidR="00DD5106" w:rsidRPr="005500E0">
        <w:rPr>
          <w:rFonts w:ascii="Arial" w:hAnsi="Arial" w:cs="Arial"/>
          <w:b/>
          <w:bCs/>
        </w:rPr>
        <w:t>.4.4 Total Alkaloid Content</w:t>
      </w:r>
    </w:p>
    <w:p w14:paraId="51966A8A" w14:textId="51445BD9" w:rsidR="00DD5106" w:rsidRPr="005500E0" w:rsidRDefault="00DD5106" w:rsidP="00557DD0">
      <w:pPr>
        <w:spacing w:line="360" w:lineRule="auto"/>
        <w:jc w:val="both"/>
        <w:rPr>
          <w:rFonts w:ascii="Arial" w:hAnsi="Arial" w:cs="Arial"/>
        </w:rPr>
      </w:pPr>
      <w:r w:rsidRPr="005500E0">
        <w:rPr>
          <w:rFonts w:ascii="Arial" w:hAnsi="Arial" w:cs="Arial"/>
        </w:rPr>
        <w:t>Alkaloids, a diverse group of nitrogen-containing compounds, have significant pharmacological properties, including antimicrobial, anti-inflammatory, and anticancer activities. Alkaloid content was estimated using the gravimetric method (Harborne, 1973), where the sample was treated with dilute hydrochloric acid and precipitated using ammonium hydroxide. The dried precipitate weight was recorded to determine the alkaloid content.</w:t>
      </w:r>
    </w:p>
    <w:p w14:paraId="12821178" w14:textId="5910168C" w:rsidR="00DD5106" w:rsidRPr="005500E0" w:rsidRDefault="002056E1" w:rsidP="00557DD0">
      <w:pPr>
        <w:spacing w:line="360" w:lineRule="auto"/>
        <w:jc w:val="both"/>
        <w:rPr>
          <w:rFonts w:ascii="Arial" w:hAnsi="Arial" w:cs="Arial"/>
          <w:b/>
          <w:bCs/>
        </w:rPr>
      </w:pPr>
      <w:r>
        <w:rPr>
          <w:rFonts w:ascii="Arial" w:hAnsi="Arial" w:cs="Arial"/>
          <w:b/>
          <w:bCs/>
        </w:rPr>
        <w:t>2</w:t>
      </w:r>
      <w:r w:rsidR="00DD5106" w:rsidRPr="005500E0">
        <w:rPr>
          <w:rFonts w:ascii="Arial" w:hAnsi="Arial" w:cs="Arial"/>
          <w:b/>
          <w:bCs/>
        </w:rPr>
        <w:t>.4.5 Total Flavonoid Content (TFC)</w:t>
      </w:r>
    </w:p>
    <w:p w14:paraId="788C49BD" w14:textId="194128C9" w:rsidR="00DD5106" w:rsidRPr="005500E0" w:rsidRDefault="00DD5106" w:rsidP="00557DD0">
      <w:pPr>
        <w:spacing w:line="360" w:lineRule="auto"/>
        <w:jc w:val="both"/>
        <w:rPr>
          <w:rFonts w:ascii="Arial" w:hAnsi="Arial" w:cs="Arial"/>
        </w:rPr>
      </w:pPr>
      <w:r w:rsidRPr="005500E0">
        <w:rPr>
          <w:rFonts w:ascii="Arial" w:hAnsi="Arial" w:cs="Arial"/>
        </w:rPr>
        <w:t xml:space="preserve">Flavonoids are polyphenolic compounds that contribute to antioxidant activity, UV protection, and plant pigmentation. The total flavonoid content was assessed using the </w:t>
      </w:r>
      <w:proofErr w:type="spellStart"/>
      <w:r w:rsidRPr="005500E0">
        <w:rPr>
          <w:rFonts w:ascii="Arial" w:hAnsi="Arial" w:cs="Arial"/>
        </w:rPr>
        <w:t>aluminum</w:t>
      </w:r>
      <w:proofErr w:type="spellEnd"/>
      <w:r w:rsidRPr="005500E0">
        <w:rPr>
          <w:rFonts w:ascii="Arial" w:hAnsi="Arial" w:cs="Arial"/>
        </w:rPr>
        <w:t xml:space="preserve"> chloride colorimetric method (Chang et al., 2002). The absorbance of the reaction mixture was measured at 415 nm, and the results were expressed in terms of quercetin equivalents.</w:t>
      </w:r>
    </w:p>
    <w:p w14:paraId="47422F3E" w14:textId="34D7228B" w:rsidR="00DD5106" w:rsidRPr="005500E0" w:rsidRDefault="002056E1" w:rsidP="00557DD0">
      <w:pPr>
        <w:spacing w:line="360" w:lineRule="auto"/>
        <w:jc w:val="both"/>
        <w:rPr>
          <w:rFonts w:ascii="Arial" w:hAnsi="Arial" w:cs="Arial"/>
          <w:b/>
          <w:bCs/>
        </w:rPr>
      </w:pPr>
      <w:r>
        <w:rPr>
          <w:rFonts w:ascii="Arial" w:hAnsi="Arial" w:cs="Arial"/>
          <w:b/>
          <w:bCs/>
        </w:rPr>
        <w:t>2</w:t>
      </w:r>
      <w:r w:rsidR="00DD5106" w:rsidRPr="005500E0">
        <w:rPr>
          <w:rFonts w:ascii="Arial" w:hAnsi="Arial" w:cs="Arial"/>
          <w:b/>
          <w:bCs/>
        </w:rPr>
        <w:t>.4.6 Antioxidant Activity (DPPH Assay)</w:t>
      </w:r>
    </w:p>
    <w:p w14:paraId="1D94CC09" w14:textId="468471DE" w:rsidR="00DD5106" w:rsidRDefault="00DD5106" w:rsidP="00557DD0">
      <w:pPr>
        <w:spacing w:line="360" w:lineRule="auto"/>
        <w:jc w:val="both"/>
        <w:rPr>
          <w:rFonts w:ascii="Arial" w:hAnsi="Arial" w:cs="Arial"/>
        </w:rPr>
      </w:pPr>
      <w:r w:rsidRPr="005500E0">
        <w:rPr>
          <w:rFonts w:ascii="Arial" w:hAnsi="Arial" w:cs="Arial"/>
        </w:rPr>
        <w:t xml:space="preserve">Antioxidant activity was determined using the 2,2-diphenyl-1-picrylhydrazyl (DPPH) assay (Brand-William et al., 1995; </w:t>
      </w:r>
      <w:proofErr w:type="spellStart"/>
      <w:r w:rsidRPr="005500E0">
        <w:rPr>
          <w:rFonts w:ascii="Arial" w:hAnsi="Arial" w:cs="Arial"/>
        </w:rPr>
        <w:t>Kulisic</w:t>
      </w:r>
      <w:proofErr w:type="spellEnd"/>
      <w:r w:rsidRPr="005500E0">
        <w:rPr>
          <w:rFonts w:ascii="Arial" w:hAnsi="Arial" w:cs="Arial"/>
        </w:rPr>
        <w:t xml:space="preserve"> et al., 2004). The ability of the plant extract to donate electrons and neutralize DPPH radicals was measured spectrophotometrically at 517 nm. The percentage of DPPH inhibition was calculated, and the IC50 value (the concentration required to inhibit 50% of free radicals) was determined. A lower IC50 value indicates stronger antioxidant potential.</w:t>
      </w:r>
    </w:p>
    <w:p w14:paraId="1A4D3901" w14:textId="77777777" w:rsidR="00F87D01" w:rsidRPr="00487776" w:rsidRDefault="00F87D01" w:rsidP="00F87D01">
      <w:pPr>
        <w:spacing w:line="360" w:lineRule="auto"/>
        <w:jc w:val="both"/>
        <w:rPr>
          <w:rFonts w:ascii="Arial" w:hAnsi="Arial" w:cs="Arial"/>
          <w:bCs/>
          <w:color w:val="000000" w:themeColor="text1"/>
        </w:rPr>
      </w:pPr>
      <w:r w:rsidRPr="00487776">
        <w:rPr>
          <w:rFonts w:ascii="Arial" w:eastAsia="Times New Roman" w:hAnsi="Arial" w:cs="Arial"/>
          <w:b/>
          <w:color w:val="000000" w:themeColor="text1"/>
          <w:lang w:eastAsia="en-IN"/>
        </w:rPr>
        <w:t>3. Statistical analysis</w:t>
      </w:r>
    </w:p>
    <w:p w14:paraId="700566FF" w14:textId="5A8BB7C1" w:rsidR="00F87D01" w:rsidRPr="00F87D01" w:rsidRDefault="00F87D01" w:rsidP="00557DD0">
      <w:pPr>
        <w:spacing w:line="360" w:lineRule="auto"/>
        <w:jc w:val="both"/>
        <w:rPr>
          <w:rFonts w:ascii="Arial" w:hAnsi="Arial" w:cs="Arial"/>
          <w:bCs/>
          <w:color w:val="000000" w:themeColor="text1"/>
        </w:rPr>
      </w:pPr>
      <w:r w:rsidRPr="00487776">
        <w:rPr>
          <w:rFonts w:ascii="Arial" w:hAnsi="Arial" w:cs="Arial"/>
          <w:color w:val="000000" w:themeColor="text1"/>
        </w:rPr>
        <w:lastRenderedPageBreak/>
        <w:t>The experimental data were analysed statistically by following</w:t>
      </w:r>
      <w:r w:rsidRPr="00487776">
        <w:rPr>
          <w:rFonts w:ascii="Arial" w:eastAsia="Times New Roman" w:hAnsi="Arial" w:cs="Arial"/>
          <w:b/>
          <w:color w:val="000000" w:themeColor="text1"/>
          <w:lang w:eastAsia="en-IN"/>
        </w:rPr>
        <w:t xml:space="preserve"> </w:t>
      </w:r>
      <w:r w:rsidRPr="00487776">
        <w:rPr>
          <w:rFonts w:ascii="Arial" w:eastAsia="Times New Roman" w:hAnsi="Arial" w:cs="Arial"/>
          <w:bCs/>
          <w:color w:val="000000" w:themeColor="text1"/>
          <w:lang w:eastAsia="en-IN"/>
        </w:rPr>
        <w:t xml:space="preserve">the </w:t>
      </w:r>
      <w:r w:rsidRPr="00487776">
        <w:rPr>
          <w:rFonts w:ascii="Arial" w:hAnsi="Arial" w:cs="Arial"/>
          <w:bCs/>
          <w:color w:val="000000" w:themeColor="text1"/>
        </w:rPr>
        <w:t>s</w:t>
      </w:r>
      <w:r w:rsidRPr="00487776">
        <w:rPr>
          <w:rFonts w:ascii="Arial" w:hAnsi="Arial" w:cs="Arial"/>
          <w:color w:val="000000" w:themeColor="text1"/>
        </w:rPr>
        <w:t>tandard procedure outlined by Gomez and Gomez (1984), and the values were furnished</w:t>
      </w:r>
      <w:r>
        <w:rPr>
          <w:rFonts w:ascii="Arial" w:hAnsi="Arial" w:cs="Arial"/>
          <w:bCs/>
          <w:color w:val="000000" w:themeColor="text1"/>
        </w:rPr>
        <w:t xml:space="preserve"> in the form of standard error and standard deviations.</w:t>
      </w:r>
    </w:p>
    <w:p w14:paraId="4F78C22B" w14:textId="4A836720" w:rsidR="00DD5106" w:rsidRPr="005500E0" w:rsidRDefault="00F87D01" w:rsidP="00557DD0">
      <w:pPr>
        <w:spacing w:line="360" w:lineRule="auto"/>
        <w:jc w:val="both"/>
        <w:rPr>
          <w:rFonts w:ascii="Arial" w:hAnsi="Arial" w:cs="Arial"/>
          <w:b/>
          <w:bCs/>
        </w:rPr>
      </w:pPr>
      <w:r>
        <w:rPr>
          <w:rFonts w:ascii="Arial" w:hAnsi="Arial" w:cs="Arial"/>
          <w:b/>
          <w:bCs/>
        </w:rPr>
        <w:t>4</w:t>
      </w:r>
      <w:r w:rsidR="00DD5106" w:rsidRPr="005500E0">
        <w:rPr>
          <w:rFonts w:ascii="Arial" w:hAnsi="Arial" w:cs="Arial"/>
          <w:b/>
          <w:bCs/>
        </w:rPr>
        <w:t>. Results and Discussion</w:t>
      </w:r>
    </w:p>
    <w:p w14:paraId="7C828C3C" w14:textId="23007ECD" w:rsidR="00321BF4" w:rsidRPr="005500E0" w:rsidRDefault="00DD5106" w:rsidP="00557DD0">
      <w:pPr>
        <w:spacing w:line="360" w:lineRule="auto"/>
        <w:jc w:val="both"/>
        <w:rPr>
          <w:rFonts w:ascii="Arial" w:hAnsi="Arial" w:cs="Arial"/>
        </w:rPr>
      </w:pPr>
      <w:r w:rsidRPr="005500E0">
        <w:rPr>
          <w:rFonts w:ascii="Arial" w:hAnsi="Arial" w:cs="Arial"/>
        </w:rPr>
        <w:t xml:space="preserve">The phytochemical and antioxidant analysis of </w:t>
      </w:r>
      <w:proofErr w:type="spellStart"/>
      <w:r w:rsidR="00E05A57" w:rsidRPr="005500E0">
        <w:rPr>
          <w:rFonts w:ascii="Arial" w:hAnsi="Arial" w:cs="Arial"/>
          <w:i/>
          <w:iCs/>
        </w:rPr>
        <w:t>Pseudognaphalium</w:t>
      </w:r>
      <w:proofErr w:type="spellEnd"/>
      <w:r w:rsidR="00E05A57" w:rsidRPr="005500E0">
        <w:rPr>
          <w:rFonts w:ascii="Arial" w:hAnsi="Arial" w:cs="Arial"/>
          <w:i/>
          <w:iCs/>
        </w:rPr>
        <w:t xml:space="preserve"> </w:t>
      </w:r>
      <w:proofErr w:type="spellStart"/>
      <w:r w:rsidR="00E05A57" w:rsidRPr="005500E0">
        <w:rPr>
          <w:rFonts w:ascii="Arial" w:hAnsi="Arial" w:cs="Arial"/>
          <w:i/>
          <w:iCs/>
        </w:rPr>
        <w:t>luteoalbum</w:t>
      </w:r>
      <w:proofErr w:type="spellEnd"/>
      <w:r w:rsidR="00E05A57" w:rsidRPr="005500E0">
        <w:rPr>
          <w:rFonts w:ascii="Arial" w:hAnsi="Arial" w:cs="Arial"/>
        </w:rPr>
        <w:t xml:space="preserve"> (L.) Hilliard &amp; B.L. </w:t>
      </w:r>
      <w:proofErr w:type="spellStart"/>
      <w:r w:rsidR="00E05A57" w:rsidRPr="005500E0">
        <w:rPr>
          <w:rFonts w:ascii="Arial" w:hAnsi="Arial" w:cs="Arial"/>
        </w:rPr>
        <w:t>Burtt</w:t>
      </w:r>
      <w:proofErr w:type="spellEnd"/>
      <w:r w:rsidR="0029714C" w:rsidRPr="005500E0">
        <w:rPr>
          <w:rFonts w:ascii="Arial" w:hAnsi="Arial" w:cs="Arial"/>
        </w:rPr>
        <w:t xml:space="preserve"> (</w:t>
      </w:r>
      <w:proofErr w:type="spellStart"/>
      <w:r w:rsidR="0029714C" w:rsidRPr="005500E0">
        <w:rPr>
          <w:rFonts w:ascii="Arial" w:hAnsi="Arial" w:cs="Arial"/>
        </w:rPr>
        <w:t>Phunil</w:t>
      </w:r>
      <w:proofErr w:type="spellEnd"/>
      <w:r w:rsidR="0029714C" w:rsidRPr="005500E0">
        <w:rPr>
          <w:rFonts w:ascii="Arial" w:hAnsi="Arial" w:cs="Arial"/>
        </w:rPr>
        <w:t>)</w:t>
      </w:r>
      <w:r w:rsidRPr="005500E0">
        <w:rPr>
          <w:rFonts w:ascii="Arial" w:hAnsi="Arial" w:cs="Arial"/>
        </w:rPr>
        <w:t xml:space="preserve"> provided insights into the plant’s biochemical profile and its potential medicinal value.</w:t>
      </w:r>
    </w:p>
    <w:p w14:paraId="633D916B" w14:textId="6E9DDB7C" w:rsidR="001748E9" w:rsidRPr="005500E0" w:rsidRDefault="00F87D01" w:rsidP="00557DD0">
      <w:pPr>
        <w:spacing w:line="360" w:lineRule="auto"/>
        <w:jc w:val="both"/>
        <w:rPr>
          <w:rFonts w:ascii="Arial" w:hAnsi="Arial" w:cs="Arial"/>
          <w:b/>
          <w:bCs/>
        </w:rPr>
      </w:pPr>
      <w:r>
        <w:rPr>
          <w:rFonts w:ascii="Arial" w:hAnsi="Arial" w:cs="Arial"/>
          <w:b/>
          <w:bCs/>
        </w:rPr>
        <w:t>4</w:t>
      </w:r>
      <w:r w:rsidR="001748E9" w:rsidRPr="005500E0">
        <w:rPr>
          <w:rFonts w:ascii="Arial" w:hAnsi="Arial" w:cs="Arial"/>
          <w:b/>
          <w:bCs/>
        </w:rPr>
        <w:t>.1 Moisture Content</w:t>
      </w:r>
    </w:p>
    <w:p w14:paraId="70D77F6F" w14:textId="179723C4" w:rsidR="007D6E99" w:rsidRPr="005500E0" w:rsidRDefault="007D6E99" w:rsidP="007D6E99">
      <w:pPr>
        <w:spacing w:line="360" w:lineRule="auto"/>
        <w:jc w:val="both"/>
        <w:rPr>
          <w:rFonts w:ascii="Arial" w:hAnsi="Arial" w:cs="Arial"/>
        </w:rPr>
      </w:pPr>
      <w:r w:rsidRPr="005500E0">
        <w:rPr>
          <w:rFonts w:ascii="Arial" w:hAnsi="Arial" w:cs="Arial"/>
        </w:rPr>
        <w:t xml:space="preserve">Table 1: Results of percentage water content in </w:t>
      </w:r>
      <w:proofErr w:type="spellStart"/>
      <w:r w:rsidR="00E05A57" w:rsidRPr="005500E0">
        <w:rPr>
          <w:rFonts w:ascii="Arial" w:hAnsi="Arial" w:cs="Arial"/>
          <w:i/>
          <w:iCs/>
        </w:rPr>
        <w:t>Pseudognaphalium</w:t>
      </w:r>
      <w:proofErr w:type="spellEnd"/>
      <w:r w:rsidR="00E05A57" w:rsidRPr="005500E0">
        <w:rPr>
          <w:rFonts w:ascii="Arial" w:hAnsi="Arial" w:cs="Arial"/>
          <w:i/>
          <w:iCs/>
        </w:rPr>
        <w:t xml:space="preserve"> </w:t>
      </w:r>
      <w:proofErr w:type="spellStart"/>
      <w:r w:rsidR="00E05A57" w:rsidRPr="005500E0">
        <w:rPr>
          <w:rFonts w:ascii="Arial" w:hAnsi="Arial" w:cs="Arial"/>
          <w:i/>
          <w:iCs/>
        </w:rPr>
        <w:t>luteoalbum</w:t>
      </w:r>
      <w:proofErr w:type="spellEnd"/>
      <w:r w:rsidR="00E05A57" w:rsidRPr="005500E0">
        <w:rPr>
          <w:rFonts w:ascii="Arial" w:hAnsi="Arial" w:cs="Arial"/>
        </w:rPr>
        <w:t xml:space="preserve"> (L.) Hilliard &amp; B.L. Burtt</w:t>
      </w:r>
      <w:r w:rsidRPr="005500E0">
        <w:rPr>
          <w:rFonts w:ascii="Arial" w:hAnsi="Arial" w:cs="Arial"/>
          <w:i/>
          <w:iCs/>
        </w:rPr>
        <w:t xml:space="preserve"> </w:t>
      </w:r>
      <w:r w:rsidRPr="005500E0">
        <w:rPr>
          <w:rFonts w:ascii="Arial" w:hAnsi="Arial" w:cs="Arial"/>
        </w:rPr>
        <w:t>Hook. based on fresh weight and dry weight.</w:t>
      </w:r>
    </w:p>
    <w:tbl>
      <w:tblPr>
        <w:tblStyle w:val="TableGrid"/>
        <w:tblW w:w="0" w:type="auto"/>
        <w:tblLook w:val="04A0" w:firstRow="1" w:lastRow="0" w:firstColumn="1" w:lastColumn="0" w:noHBand="0" w:noVBand="1"/>
      </w:tblPr>
      <w:tblGrid>
        <w:gridCol w:w="816"/>
        <w:gridCol w:w="2384"/>
        <w:gridCol w:w="1369"/>
        <w:gridCol w:w="2223"/>
        <w:gridCol w:w="2224"/>
      </w:tblGrid>
      <w:tr w:rsidR="009F5540" w:rsidRPr="005500E0" w14:paraId="0E90AA17" w14:textId="4EA57B97" w:rsidTr="009F5540">
        <w:tc>
          <w:tcPr>
            <w:tcW w:w="464" w:type="dxa"/>
          </w:tcPr>
          <w:p w14:paraId="264A1F28" w14:textId="6847D305" w:rsidR="009F5540" w:rsidRPr="005500E0" w:rsidRDefault="009F5540" w:rsidP="007D6E99">
            <w:pPr>
              <w:spacing w:line="360" w:lineRule="auto"/>
              <w:jc w:val="both"/>
              <w:rPr>
                <w:rFonts w:ascii="Arial" w:hAnsi="Arial" w:cs="Arial"/>
                <w:b/>
                <w:bCs/>
              </w:rPr>
            </w:pPr>
            <w:r w:rsidRPr="005500E0">
              <w:rPr>
                <w:rFonts w:ascii="Arial" w:hAnsi="Arial" w:cs="Arial"/>
                <w:b/>
                <w:bCs/>
              </w:rPr>
              <w:t>Sl.no.</w:t>
            </w:r>
          </w:p>
        </w:tc>
        <w:tc>
          <w:tcPr>
            <w:tcW w:w="2508" w:type="dxa"/>
          </w:tcPr>
          <w:p w14:paraId="0499F8AF" w14:textId="00ACECD1" w:rsidR="009F5540" w:rsidRPr="005500E0" w:rsidRDefault="009F5540" w:rsidP="007D6E99">
            <w:pPr>
              <w:spacing w:line="360" w:lineRule="auto"/>
              <w:jc w:val="both"/>
              <w:rPr>
                <w:rFonts w:ascii="Arial" w:hAnsi="Arial" w:cs="Arial"/>
                <w:b/>
                <w:bCs/>
              </w:rPr>
            </w:pPr>
            <w:r w:rsidRPr="005500E0">
              <w:rPr>
                <w:rFonts w:ascii="Arial" w:hAnsi="Arial" w:cs="Arial"/>
                <w:b/>
                <w:bCs/>
              </w:rPr>
              <w:t>Content</w:t>
            </w:r>
          </w:p>
        </w:tc>
        <w:tc>
          <w:tcPr>
            <w:tcW w:w="1402" w:type="dxa"/>
          </w:tcPr>
          <w:p w14:paraId="21E5F910" w14:textId="3F036D4D" w:rsidR="009F5540" w:rsidRPr="005500E0" w:rsidRDefault="009F5540" w:rsidP="007D6E99">
            <w:pPr>
              <w:spacing w:line="360" w:lineRule="auto"/>
              <w:jc w:val="both"/>
              <w:rPr>
                <w:rFonts w:ascii="Arial" w:hAnsi="Arial" w:cs="Arial"/>
                <w:b/>
                <w:bCs/>
              </w:rPr>
            </w:pPr>
            <w:r w:rsidRPr="005500E0">
              <w:rPr>
                <w:rFonts w:ascii="Arial" w:hAnsi="Arial" w:cs="Arial"/>
                <w:b/>
                <w:bCs/>
              </w:rPr>
              <w:t>% water content</w:t>
            </w:r>
          </w:p>
        </w:tc>
        <w:tc>
          <w:tcPr>
            <w:tcW w:w="2321" w:type="dxa"/>
          </w:tcPr>
          <w:p w14:paraId="0CFB1FCE" w14:textId="658B58F2" w:rsidR="009F5540" w:rsidRPr="005500E0" w:rsidRDefault="009F5540" w:rsidP="007D6E99">
            <w:pPr>
              <w:spacing w:line="360" w:lineRule="auto"/>
              <w:jc w:val="both"/>
              <w:rPr>
                <w:rFonts w:ascii="Arial" w:hAnsi="Arial" w:cs="Arial"/>
                <w:b/>
                <w:bCs/>
              </w:rPr>
            </w:pPr>
            <w:r w:rsidRPr="005500E0">
              <w:rPr>
                <w:rFonts w:ascii="Arial" w:hAnsi="Arial" w:cs="Arial"/>
                <w:b/>
                <w:bCs/>
              </w:rPr>
              <w:t>Standard error</w:t>
            </w:r>
          </w:p>
        </w:tc>
        <w:tc>
          <w:tcPr>
            <w:tcW w:w="2321" w:type="dxa"/>
          </w:tcPr>
          <w:p w14:paraId="3D832DAB" w14:textId="1CA52203" w:rsidR="009F5540" w:rsidRPr="005500E0" w:rsidRDefault="009F5540" w:rsidP="007D6E99">
            <w:pPr>
              <w:spacing w:line="360" w:lineRule="auto"/>
              <w:jc w:val="both"/>
              <w:rPr>
                <w:rFonts w:ascii="Arial" w:hAnsi="Arial" w:cs="Arial"/>
                <w:b/>
                <w:bCs/>
              </w:rPr>
            </w:pPr>
            <w:r w:rsidRPr="005500E0">
              <w:rPr>
                <w:rFonts w:ascii="Arial" w:hAnsi="Arial" w:cs="Arial"/>
                <w:b/>
                <w:bCs/>
              </w:rPr>
              <w:t>Standard deviation</w:t>
            </w:r>
          </w:p>
        </w:tc>
      </w:tr>
      <w:tr w:rsidR="009F5540" w:rsidRPr="005500E0" w14:paraId="26F05D03" w14:textId="6C7BBC7B" w:rsidTr="009F5540">
        <w:tc>
          <w:tcPr>
            <w:tcW w:w="464" w:type="dxa"/>
          </w:tcPr>
          <w:p w14:paraId="5ED9EE93" w14:textId="4BEC112E" w:rsidR="009F5540" w:rsidRPr="005500E0" w:rsidRDefault="009F5540" w:rsidP="007D6E99">
            <w:pPr>
              <w:spacing w:line="360" w:lineRule="auto"/>
              <w:jc w:val="both"/>
              <w:rPr>
                <w:rFonts w:ascii="Arial" w:hAnsi="Arial" w:cs="Arial"/>
              </w:rPr>
            </w:pPr>
            <w:r w:rsidRPr="005500E0">
              <w:rPr>
                <w:rFonts w:ascii="Arial" w:hAnsi="Arial" w:cs="Arial"/>
              </w:rPr>
              <w:t>1.</w:t>
            </w:r>
          </w:p>
        </w:tc>
        <w:tc>
          <w:tcPr>
            <w:tcW w:w="2508" w:type="dxa"/>
          </w:tcPr>
          <w:p w14:paraId="69A25C69" w14:textId="7C86F20A" w:rsidR="009F5540" w:rsidRPr="005500E0" w:rsidRDefault="009F5540" w:rsidP="007D6E99">
            <w:pPr>
              <w:spacing w:line="360" w:lineRule="auto"/>
              <w:jc w:val="both"/>
              <w:rPr>
                <w:rFonts w:ascii="Arial" w:hAnsi="Arial" w:cs="Arial"/>
              </w:rPr>
            </w:pPr>
            <w:r w:rsidRPr="005500E0">
              <w:rPr>
                <w:rFonts w:ascii="Arial" w:hAnsi="Arial" w:cs="Arial"/>
              </w:rPr>
              <w:t>% Water content (fresh   weight   basis)</w:t>
            </w:r>
          </w:p>
        </w:tc>
        <w:tc>
          <w:tcPr>
            <w:tcW w:w="1402" w:type="dxa"/>
          </w:tcPr>
          <w:p w14:paraId="14C00E46" w14:textId="54BA9C2D" w:rsidR="009F5540" w:rsidRPr="005500E0" w:rsidRDefault="009F5540" w:rsidP="007D6E99">
            <w:pPr>
              <w:spacing w:line="360" w:lineRule="auto"/>
              <w:jc w:val="both"/>
              <w:rPr>
                <w:rFonts w:ascii="Arial" w:hAnsi="Arial" w:cs="Arial"/>
              </w:rPr>
            </w:pPr>
            <w:r w:rsidRPr="005500E0">
              <w:rPr>
                <w:rFonts w:ascii="Arial" w:hAnsi="Arial" w:cs="Arial"/>
              </w:rPr>
              <w:t>83.48</w:t>
            </w:r>
          </w:p>
        </w:tc>
        <w:tc>
          <w:tcPr>
            <w:tcW w:w="2321" w:type="dxa"/>
          </w:tcPr>
          <w:p w14:paraId="2B8A1A02" w14:textId="6A68EDAE" w:rsidR="009F5540" w:rsidRPr="005500E0" w:rsidRDefault="009F5540" w:rsidP="007D6E99">
            <w:pPr>
              <w:spacing w:line="360" w:lineRule="auto"/>
              <w:jc w:val="both"/>
              <w:rPr>
                <w:rFonts w:ascii="Arial" w:hAnsi="Arial" w:cs="Arial"/>
              </w:rPr>
            </w:pPr>
            <w:r w:rsidRPr="005500E0">
              <w:rPr>
                <w:rFonts w:ascii="Arial" w:hAnsi="Arial" w:cs="Arial"/>
              </w:rPr>
              <w:t>0.79</w:t>
            </w:r>
          </w:p>
        </w:tc>
        <w:tc>
          <w:tcPr>
            <w:tcW w:w="2321" w:type="dxa"/>
          </w:tcPr>
          <w:p w14:paraId="61FA9FD6" w14:textId="02E20CC5" w:rsidR="009F5540" w:rsidRPr="005500E0" w:rsidRDefault="009F5540" w:rsidP="007D6E99">
            <w:pPr>
              <w:spacing w:line="360" w:lineRule="auto"/>
              <w:jc w:val="both"/>
              <w:rPr>
                <w:rFonts w:ascii="Arial" w:hAnsi="Arial" w:cs="Arial"/>
              </w:rPr>
            </w:pPr>
            <w:r w:rsidRPr="005500E0">
              <w:rPr>
                <w:rFonts w:ascii="Arial" w:hAnsi="Arial" w:cs="Arial"/>
              </w:rPr>
              <w:t>1.58</w:t>
            </w:r>
          </w:p>
        </w:tc>
      </w:tr>
      <w:tr w:rsidR="009F5540" w:rsidRPr="005500E0" w14:paraId="4B5DB7F5" w14:textId="66D2B6F9" w:rsidTr="009F5540">
        <w:tc>
          <w:tcPr>
            <w:tcW w:w="464" w:type="dxa"/>
          </w:tcPr>
          <w:p w14:paraId="6E2CFDCD" w14:textId="746B0641" w:rsidR="009F5540" w:rsidRPr="005500E0" w:rsidRDefault="009F5540" w:rsidP="007D6E99">
            <w:pPr>
              <w:spacing w:line="360" w:lineRule="auto"/>
              <w:jc w:val="both"/>
              <w:rPr>
                <w:rFonts w:ascii="Arial" w:hAnsi="Arial" w:cs="Arial"/>
              </w:rPr>
            </w:pPr>
            <w:r w:rsidRPr="005500E0">
              <w:rPr>
                <w:rFonts w:ascii="Arial" w:hAnsi="Arial" w:cs="Arial"/>
              </w:rPr>
              <w:t>2.</w:t>
            </w:r>
          </w:p>
        </w:tc>
        <w:tc>
          <w:tcPr>
            <w:tcW w:w="2508" w:type="dxa"/>
          </w:tcPr>
          <w:p w14:paraId="4F1186C6" w14:textId="60005381" w:rsidR="009F5540" w:rsidRPr="005500E0" w:rsidRDefault="009F5540" w:rsidP="007D6E99">
            <w:pPr>
              <w:spacing w:line="360" w:lineRule="auto"/>
              <w:jc w:val="both"/>
              <w:rPr>
                <w:rFonts w:ascii="Arial" w:hAnsi="Arial" w:cs="Arial"/>
              </w:rPr>
            </w:pPr>
            <w:r w:rsidRPr="005500E0">
              <w:rPr>
                <w:rFonts w:ascii="Arial" w:hAnsi="Arial" w:cs="Arial"/>
              </w:rPr>
              <w:t>% Water content (dry   weight   basis)</w:t>
            </w:r>
          </w:p>
        </w:tc>
        <w:tc>
          <w:tcPr>
            <w:tcW w:w="1402" w:type="dxa"/>
          </w:tcPr>
          <w:p w14:paraId="6E6C49F2" w14:textId="29EC7627" w:rsidR="009F5540" w:rsidRPr="005500E0" w:rsidRDefault="009F5540" w:rsidP="007D6E99">
            <w:pPr>
              <w:spacing w:line="360" w:lineRule="auto"/>
              <w:jc w:val="both"/>
              <w:rPr>
                <w:rFonts w:ascii="Arial" w:hAnsi="Arial" w:cs="Arial"/>
              </w:rPr>
            </w:pPr>
            <w:r w:rsidRPr="005500E0">
              <w:rPr>
                <w:rFonts w:ascii="Arial" w:hAnsi="Arial" w:cs="Arial"/>
              </w:rPr>
              <w:t>507.62</w:t>
            </w:r>
          </w:p>
        </w:tc>
        <w:tc>
          <w:tcPr>
            <w:tcW w:w="2321" w:type="dxa"/>
          </w:tcPr>
          <w:p w14:paraId="6CD7883A" w14:textId="35F48273" w:rsidR="009F5540" w:rsidRPr="005500E0" w:rsidRDefault="009F5540" w:rsidP="007D6E99">
            <w:pPr>
              <w:spacing w:line="360" w:lineRule="auto"/>
              <w:jc w:val="both"/>
              <w:rPr>
                <w:rFonts w:ascii="Arial" w:hAnsi="Arial" w:cs="Arial"/>
              </w:rPr>
            </w:pPr>
            <w:r w:rsidRPr="005500E0">
              <w:rPr>
                <w:rFonts w:ascii="Arial" w:hAnsi="Arial" w:cs="Arial"/>
              </w:rPr>
              <w:t>60.035</w:t>
            </w:r>
          </w:p>
        </w:tc>
        <w:tc>
          <w:tcPr>
            <w:tcW w:w="2321" w:type="dxa"/>
          </w:tcPr>
          <w:p w14:paraId="3CC24D51" w14:textId="688949A3" w:rsidR="009F5540" w:rsidRPr="005500E0" w:rsidRDefault="009F5540" w:rsidP="007D6E99">
            <w:pPr>
              <w:spacing w:line="360" w:lineRule="auto"/>
              <w:jc w:val="both"/>
              <w:rPr>
                <w:rFonts w:ascii="Arial" w:hAnsi="Arial" w:cs="Arial"/>
              </w:rPr>
            </w:pPr>
            <w:r w:rsidRPr="005500E0">
              <w:rPr>
                <w:rFonts w:ascii="Arial" w:hAnsi="Arial" w:cs="Arial"/>
              </w:rPr>
              <w:t>30.018</w:t>
            </w:r>
          </w:p>
        </w:tc>
      </w:tr>
    </w:tbl>
    <w:p w14:paraId="5AE0CE5B" w14:textId="77777777" w:rsidR="004D69B2" w:rsidRPr="005500E0" w:rsidRDefault="004D69B2" w:rsidP="00557DD0">
      <w:pPr>
        <w:spacing w:line="360" w:lineRule="auto"/>
        <w:jc w:val="both"/>
        <w:rPr>
          <w:rFonts w:ascii="Arial" w:hAnsi="Arial" w:cs="Arial"/>
        </w:rPr>
      </w:pPr>
    </w:p>
    <w:p w14:paraId="705B139D" w14:textId="300D2F62" w:rsidR="001748E9" w:rsidRPr="005500E0" w:rsidRDefault="001748E9" w:rsidP="00557DD0">
      <w:pPr>
        <w:spacing w:line="360" w:lineRule="auto"/>
        <w:jc w:val="both"/>
        <w:rPr>
          <w:rFonts w:ascii="Arial" w:hAnsi="Arial" w:cs="Arial"/>
        </w:rPr>
      </w:pPr>
      <w:r w:rsidRPr="005500E0">
        <w:rPr>
          <w:rFonts w:ascii="Arial" w:hAnsi="Arial" w:cs="Arial"/>
        </w:rPr>
        <w:t xml:space="preserve">Moisture content is a crucial indicator of a plant’s metabolic state and shelf life. Studies have reported that </w:t>
      </w:r>
      <w:proofErr w:type="spellStart"/>
      <w:r w:rsidR="0053788E" w:rsidRPr="005500E0">
        <w:rPr>
          <w:rFonts w:ascii="Arial" w:hAnsi="Arial" w:cs="Arial"/>
          <w:i/>
          <w:iCs/>
        </w:rPr>
        <w:t>Pseudognaphalium</w:t>
      </w:r>
      <w:proofErr w:type="spellEnd"/>
      <w:r w:rsidR="0053788E" w:rsidRPr="005500E0">
        <w:rPr>
          <w:rFonts w:ascii="Arial" w:hAnsi="Arial" w:cs="Arial"/>
          <w:i/>
          <w:iCs/>
        </w:rPr>
        <w:t xml:space="preserve"> </w:t>
      </w:r>
      <w:proofErr w:type="spellStart"/>
      <w:r w:rsidR="0053788E" w:rsidRPr="005500E0">
        <w:rPr>
          <w:rFonts w:ascii="Arial" w:hAnsi="Arial" w:cs="Arial"/>
          <w:i/>
          <w:iCs/>
        </w:rPr>
        <w:t>luteoalbum</w:t>
      </w:r>
      <w:proofErr w:type="spellEnd"/>
      <w:r w:rsidR="0053788E" w:rsidRPr="005500E0">
        <w:rPr>
          <w:rFonts w:ascii="Arial" w:hAnsi="Arial" w:cs="Arial"/>
        </w:rPr>
        <w:t xml:space="preserve"> (L.) Hilliard &amp; B.L. Burtt</w:t>
      </w:r>
      <w:r w:rsidRPr="005500E0">
        <w:rPr>
          <w:rFonts w:ascii="Arial" w:hAnsi="Arial" w:cs="Arial"/>
        </w:rPr>
        <w:t xml:space="preserve"> exhibits high moisture levels</w:t>
      </w:r>
      <w:r w:rsidR="002875B5" w:rsidRPr="005500E0">
        <w:rPr>
          <w:rFonts w:ascii="Arial" w:hAnsi="Arial" w:cs="Arial"/>
        </w:rPr>
        <w:t xml:space="preserve"> (Table.1)</w:t>
      </w:r>
      <w:r w:rsidRPr="005500E0">
        <w:rPr>
          <w:rFonts w:ascii="Arial" w:hAnsi="Arial" w:cs="Arial"/>
        </w:rPr>
        <w:t>, suggesting substantial water retention, which may influence its enzymatic activities and shelf stability. High moisture content is a characteristic of many medicinal plants, as noted by Kader (2005), who emphasized that water content plays a crucial role in the post-harvest physiology of medicinal plants, affecting their longevity and biochemical composition. Additionally, Ghasemzadeh et al. (2016) highlighted that moisture levels significantly impact the concentration of bioactive compounds, influencing both antioxidant potential and pharmacological efficacy.</w:t>
      </w:r>
    </w:p>
    <w:p w14:paraId="0535C89A" w14:textId="6AC9F0FC" w:rsidR="001748E9" w:rsidRPr="005500E0" w:rsidRDefault="00F87D01" w:rsidP="00557DD0">
      <w:pPr>
        <w:spacing w:line="360" w:lineRule="auto"/>
        <w:jc w:val="both"/>
        <w:rPr>
          <w:rFonts w:ascii="Arial" w:hAnsi="Arial" w:cs="Arial"/>
          <w:b/>
          <w:bCs/>
        </w:rPr>
      </w:pPr>
      <w:r>
        <w:rPr>
          <w:rFonts w:ascii="Arial" w:hAnsi="Arial" w:cs="Arial"/>
          <w:b/>
          <w:bCs/>
        </w:rPr>
        <w:t>4</w:t>
      </w:r>
      <w:r w:rsidR="001748E9" w:rsidRPr="005500E0">
        <w:rPr>
          <w:rFonts w:ascii="Arial" w:hAnsi="Arial" w:cs="Arial"/>
          <w:b/>
          <w:bCs/>
        </w:rPr>
        <w:t>.2 Chlorophyll Content</w:t>
      </w:r>
    </w:p>
    <w:p w14:paraId="4C48BFBB" w14:textId="4CFE0225" w:rsidR="001748E9" w:rsidRPr="005500E0" w:rsidRDefault="001748E9" w:rsidP="00557DD0">
      <w:pPr>
        <w:spacing w:line="360" w:lineRule="auto"/>
        <w:jc w:val="both"/>
        <w:rPr>
          <w:rFonts w:ascii="Arial" w:hAnsi="Arial" w:cs="Arial"/>
        </w:rPr>
      </w:pPr>
      <w:r w:rsidRPr="005500E0">
        <w:rPr>
          <w:rFonts w:ascii="Arial" w:hAnsi="Arial" w:cs="Arial"/>
        </w:rPr>
        <w:t>Chlorophyll is essential for photosynthesis, and its concentration provides insights into the plant’s photosynthetic efficiency.</w:t>
      </w:r>
    </w:p>
    <w:p w14:paraId="69A83260" w14:textId="51D16B10" w:rsidR="004D69B2" w:rsidRPr="005500E0" w:rsidRDefault="004D69B2" w:rsidP="00557DD0">
      <w:pPr>
        <w:spacing w:line="360" w:lineRule="auto"/>
        <w:jc w:val="both"/>
        <w:rPr>
          <w:rFonts w:ascii="Arial" w:hAnsi="Arial" w:cs="Arial"/>
        </w:rPr>
      </w:pPr>
      <w:r w:rsidRPr="005500E0">
        <w:rPr>
          <w:rFonts w:ascii="Arial" w:hAnsi="Arial" w:cs="Arial"/>
        </w:rPr>
        <w:t xml:space="preserve">Table 2: Results of Chlorophyll a, Chlorophyll b, and total chlorophyll in µg/g fr. wt. </w:t>
      </w:r>
      <w:r w:rsidR="00382048" w:rsidRPr="005500E0">
        <w:rPr>
          <w:rFonts w:ascii="Arial" w:hAnsi="Arial" w:cs="Arial"/>
        </w:rPr>
        <w:t xml:space="preserve">for </w:t>
      </w:r>
      <w:proofErr w:type="spellStart"/>
      <w:r w:rsidR="0053788E" w:rsidRPr="005500E0">
        <w:rPr>
          <w:rFonts w:ascii="Arial" w:hAnsi="Arial" w:cs="Arial"/>
          <w:i/>
          <w:iCs/>
        </w:rPr>
        <w:t>Pseudognaphalium</w:t>
      </w:r>
      <w:proofErr w:type="spellEnd"/>
      <w:r w:rsidR="0053788E" w:rsidRPr="005500E0">
        <w:rPr>
          <w:rFonts w:ascii="Arial" w:hAnsi="Arial" w:cs="Arial"/>
          <w:i/>
          <w:iCs/>
        </w:rPr>
        <w:t xml:space="preserve"> </w:t>
      </w:r>
      <w:proofErr w:type="spellStart"/>
      <w:r w:rsidR="0053788E" w:rsidRPr="005500E0">
        <w:rPr>
          <w:rFonts w:ascii="Arial" w:hAnsi="Arial" w:cs="Arial"/>
          <w:i/>
          <w:iCs/>
        </w:rPr>
        <w:t>luteoalbum</w:t>
      </w:r>
      <w:proofErr w:type="spellEnd"/>
      <w:r w:rsidR="0053788E" w:rsidRPr="005500E0">
        <w:rPr>
          <w:rFonts w:ascii="Arial" w:hAnsi="Arial" w:cs="Arial"/>
        </w:rPr>
        <w:t xml:space="preserve"> (L.) Hilliard</w:t>
      </w:r>
      <w:r w:rsidR="0053788E" w:rsidRPr="005500E0">
        <w:rPr>
          <w:rFonts w:ascii="Arial" w:hAnsi="Arial" w:cs="Arial"/>
        </w:rPr>
        <w:tab/>
        <w:t xml:space="preserve"> &amp; B.L. Burtt</w:t>
      </w:r>
      <w:r w:rsidR="0053788E" w:rsidRPr="005500E0">
        <w:rPr>
          <w:rFonts w:ascii="Arial" w:hAnsi="Arial" w:cs="Arial"/>
          <w:i/>
          <w:iCs/>
        </w:rPr>
        <w:t>.</w:t>
      </w:r>
    </w:p>
    <w:tbl>
      <w:tblPr>
        <w:tblStyle w:val="TableGrid"/>
        <w:tblW w:w="0" w:type="auto"/>
        <w:tblLook w:val="04A0" w:firstRow="1" w:lastRow="0" w:firstColumn="1" w:lastColumn="0" w:noHBand="0" w:noVBand="1"/>
      </w:tblPr>
      <w:tblGrid>
        <w:gridCol w:w="816"/>
        <w:gridCol w:w="2448"/>
        <w:gridCol w:w="3239"/>
        <w:gridCol w:w="2513"/>
      </w:tblGrid>
      <w:tr w:rsidR="007D6E99" w:rsidRPr="005500E0" w14:paraId="194C6E61" w14:textId="27D89FA8" w:rsidTr="007D6E99">
        <w:tc>
          <w:tcPr>
            <w:tcW w:w="790" w:type="dxa"/>
          </w:tcPr>
          <w:p w14:paraId="40DFA531" w14:textId="22F8C8C4" w:rsidR="007D6E99" w:rsidRPr="005500E0" w:rsidRDefault="007D6E99" w:rsidP="00557DD0">
            <w:pPr>
              <w:spacing w:line="360" w:lineRule="auto"/>
              <w:jc w:val="both"/>
              <w:rPr>
                <w:rFonts w:ascii="Arial" w:hAnsi="Arial" w:cs="Arial"/>
                <w:b/>
                <w:bCs/>
              </w:rPr>
            </w:pPr>
            <w:r w:rsidRPr="005500E0">
              <w:rPr>
                <w:rFonts w:ascii="Arial" w:hAnsi="Arial" w:cs="Arial"/>
                <w:b/>
                <w:bCs/>
              </w:rPr>
              <w:lastRenderedPageBreak/>
              <w:t>Sl.no.</w:t>
            </w:r>
          </w:p>
        </w:tc>
        <w:tc>
          <w:tcPr>
            <w:tcW w:w="2455" w:type="dxa"/>
          </w:tcPr>
          <w:p w14:paraId="5ED12A5B" w14:textId="0C722294" w:rsidR="007D6E99" w:rsidRPr="005500E0" w:rsidRDefault="007D6E99" w:rsidP="00557DD0">
            <w:pPr>
              <w:spacing w:line="360" w:lineRule="auto"/>
              <w:jc w:val="both"/>
              <w:rPr>
                <w:rFonts w:ascii="Arial" w:hAnsi="Arial" w:cs="Arial"/>
                <w:b/>
                <w:bCs/>
              </w:rPr>
            </w:pPr>
            <w:r w:rsidRPr="005500E0">
              <w:rPr>
                <w:rFonts w:ascii="Arial" w:hAnsi="Arial" w:cs="Arial"/>
                <w:b/>
                <w:bCs/>
              </w:rPr>
              <w:t>Component</w:t>
            </w:r>
          </w:p>
        </w:tc>
        <w:tc>
          <w:tcPr>
            <w:tcW w:w="3249" w:type="dxa"/>
          </w:tcPr>
          <w:p w14:paraId="1952D1EF" w14:textId="7DC2E316" w:rsidR="007D6E99" w:rsidRPr="005500E0" w:rsidRDefault="007D6E99" w:rsidP="00557DD0">
            <w:pPr>
              <w:spacing w:line="360" w:lineRule="auto"/>
              <w:jc w:val="both"/>
              <w:rPr>
                <w:rFonts w:ascii="Arial" w:hAnsi="Arial" w:cs="Arial"/>
                <w:b/>
                <w:bCs/>
              </w:rPr>
            </w:pPr>
            <w:r w:rsidRPr="005500E0">
              <w:rPr>
                <w:rFonts w:ascii="Arial" w:hAnsi="Arial" w:cs="Arial"/>
                <w:b/>
                <w:bCs/>
              </w:rPr>
              <w:t>Concentration (µg/g fresh weight)</w:t>
            </w:r>
          </w:p>
        </w:tc>
        <w:tc>
          <w:tcPr>
            <w:tcW w:w="2522" w:type="dxa"/>
          </w:tcPr>
          <w:p w14:paraId="3C71C453" w14:textId="0DEF2CE4" w:rsidR="007D6E99" w:rsidRPr="005500E0" w:rsidRDefault="007D6E99" w:rsidP="00557DD0">
            <w:pPr>
              <w:spacing w:line="360" w:lineRule="auto"/>
              <w:jc w:val="both"/>
              <w:rPr>
                <w:rFonts w:ascii="Arial" w:hAnsi="Arial" w:cs="Arial"/>
                <w:b/>
                <w:bCs/>
              </w:rPr>
            </w:pPr>
            <w:r w:rsidRPr="005500E0">
              <w:rPr>
                <w:rFonts w:ascii="Arial" w:hAnsi="Arial" w:cs="Arial"/>
                <w:b/>
                <w:bCs/>
              </w:rPr>
              <w:t>Standard deviation</w:t>
            </w:r>
            <w:r w:rsidR="007601F2" w:rsidRPr="005500E0">
              <w:rPr>
                <w:rFonts w:ascii="Arial" w:hAnsi="Arial" w:cs="Arial"/>
                <w:b/>
                <w:bCs/>
              </w:rPr>
              <w:t xml:space="preserve"> (mean)</w:t>
            </w:r>
          </w:p>
        </w:tc>
      </w:tr>
      <w:tr w:rsidR="007D6E99" w:rsidRPr="005500E0" w14:paraId="0EF1FA2C" w14:textId="73858B40" w:rsidTr="007D6E99">
        <w:tc>
          <w:tcPr>
            <w:tcW w:w="790" w:type="dxa"/>
          </w:tcPr>
          <w:p w14:paraId="24334DB1" w14:textId="5B3FB019" w:rsidR="007D6E99" w:rsidRPr="005500E0" w:rsidRDefault="007D6E99" w:rsidP="00557DD0">
            <w:pPr>
              <w:spacing w:line="360" w:lineRule="auto"/>
              <w:jc w:val="both"/>
              <w:rPr>
                <w:rFonts w:ascii="Arial" w:hAnsi="Arial" w:cs="Arial"/>
              </w:rPr>
            </w:pPr>
            <w:r w:rsidRPr="005500E0">
              <w:rPr>
                <w:rFonts w:ascii="Arial" w:hAnsi="Arial" w:cs="Arial"/>
              </w:rPr>
              <w:t>1.</w:t>
            </w:r>
          </w:p>
        </w:tc>
        <w:tc>
          <w:tcPr>
            <w:tcW w:w="2455" w:type="dxa"/>
          </w:tcPr>
          <w:p w14:paraId="5F383998" w14:textId="7CB70EFF" w:rsidR="007D6E99" w:rsidRPr="005500E0" w:rsidRDefault="007D6E99" w:rsidP="00557DD0">
            <w:pPr>
              <w:spacing w:line="360" w:lineRule="auto"/>
              <w:jc w:val="both"/>
              <w:rPr>
                <w:rFonts w:ascii="Arial" w:hAnsi="Arial" w:cs="Arial"/>
              </w:rPr>
            </w:pPr>
            <w:r w:rsidRPr="005500E0">
              <w:rPr>
                <w:rFonts w:ascii="Arial" w:hAnsi="Arial" w:cs="Arial"/>
              </w:rPr>
              <w:t>Chlorophyll a</w:t>
            </w:r>
          </w:p>
        </w:tc>
        <w:tc>
          <w:tcPr>
            <w:tcW w:w="3249" w:type="dxa"/>
          </w:tcPr>
          <w:p w14:paraId="0B066233" w14:textId="15C73EC1" w:rsidR="007D6E99" w:rsidRPr="005500E0" w:rsidRDefault="007D6E99" w:rsidP="00557DD0">
            <w:pPr>
              <w:spacing w:line="360" w:lineRule="auto"/>
              <w:jc w:val="both"/>
              <w:rPr>
                <w:rFonts w:ascii="Arial" w:hAnsi="Arial" w:cs="Arial"/>
              </w:rPr>
            </w:pPr>
            <w:r w:rsidRPr="005500E0">
              <w:rPr>
                <w:rFonts w:ascii="Arial" w:hAnsi="Arial" w:cs="Arial"/>
              </w:rPr>
              <w:t>0.393 ± 0.005</w:t>
            </w:r>
          </w:p>
        </w:tc>
        <w:tc>
          <w:tcPr>
            <w:tcW w:w="2522" w:type="dxa"/>
          </w:tcPr>
          <w:p w14:paraId="653C140D" w14:textId="39359164" w:rsidR="007D6E99" w:rsidRPr="005500E0" w:rsidRDefault="007D6E99" w:rsidP="00557DD0">
            <w:pPr>
              <w:spacing w:line="360" w:lineRule="auto"/>
              <w:jc w:val="both"/>
              <w:rPr>
                <w:rFonts w:ascii="Arial" w:hAnsi="Arial" w:cs="Arial"/>
              </w:rPr>
            </w:pPr>
            <w:r w:rsidRPr="005500E0">
              <w:rPr>
                <w:rFonts w:ascii="Arial" w:hAnsi="Arial" w:cs="Arial"/>
              </w:rPr>
              <w:t>0.009</w:t>
            </w:r>
          </w:p>
        </w:tc>
      </w:tr>
      <w:tr w:rsidR="007D6E99" w:rsidRPr="005500E0" w14:paraId="575ABB7A" w14:textId="4CDA3606" w:rsidTr="007D6E99">
        <w:tc>
          <w:tcPr>
            <w:tcW w:w="790" w:type="dxa"/>
          </w:tcPr>
          <w:p w14:paraId="741733F0" w14:textId="64420EAB" w:rsidR="007D6E99" w:rsidRPr="005500E0" w:rsidRDefault="007D6E99" w:rsidP="00557DD0">
            <w:pPr>
              <w:spacing w:line="360" w:lineRule="auto"/>
              <w:jc w:val="both"/>
              <w:rPr>
                <w:rFonts w:ascii="Arial" w:hAnsi="Arial" w:cs="Arial"/>
              </w:rPr>
            </w:pPr>
            <w:r w:rsidRPr="005500E0">
              <w:rPr>
                <w:rFonts w:ascii="Arial" w:hAnsi="Arial" w:cs="Arial"/>
              </w:rPr>
              <w:t>2.</w:t>
            </w:r>
          </w:p>
        </w:tc>
        <w:tc>
          <w:tcPr>
            <w:tcW w:w="2455" w:type="dxa"/>
          </w:tcPr>
          <w:p w14:paraId="393062BE" w14:textId="17BF3E2B" w:rsidR="007D6E99" w:rsidRPr="005500E0" w:rsidRDefault="007D6E99" w:rsidP="00557DD0">
            <w:pPr>
              <w:spacing w:line="360" w:lineRule="auto"/>
              <w:jc w:val="both"/>
              <w:rPr>
                <w:rFonts w:ascii="Arial" w:hAnsi="Arial" w:cs="Arial"/>
              </w:rPr>
            </w:pPr>
            <w:r w:rsidRPr="005500E0">
              <w:rPr>
                <w:rFonts w:ascii="Arial" w:hAnsi="Arial" w:cs="Arial"/>
              </w:rPr>
              <w:t>Chlorophyll b</w:t>
            </w:r>
          </w:p>
        </w:tc>
        <w:tc>
          <w:tcPr>
            <w:tcW w:w="3249" w:type="dxa"/>
          </w:tcPr>
          <w:p w14:paraId="1048E3E0" w14:textId="1EC0B91C" w:rsidR="007D6E99" w:rsidRPr="005500E0" w:rsidRDefault="007D6E99" w:rsidP="00557DD0">
            <w:pPr>
              <w:spacing w:line="360" w:lineRule="auto"/>
              <w:jc w:val="both"/>
              <w:rPr>
                <w:rFonts w:ascii="Arial" w:hAnsi="Arial" w:cs="Arial"/>
              </w:rPr>
            </w:pPr>
            <w:r w:rsidRPr="005500E0">
              <w:rPr>
                <w:rFonts w:ascii="Arial" w:hAnsi="Arial" w:cs="Arial"/>
              </w:rPr>
              <w:t>0.159 ± 0.005</w:t>
            </w:r>
          </w:p>
        </w:tc>
        <w:tc>
          <w:tcPr>
            <w:tcW w:w="2522" w:type="dxa"/>
          </w:tcPr>
          <w:p w14:paraId="6A577552" w14:textId="6040332E" w:rsidR="007D6E99" w:rsidRPr="005500E0" w:rsidRDefault="007D6E99" w:rsidP="00557DD0">
            <w:pPr>
              <w:spacing w:line="360" w:lineRule="auto"/>
              <w:jc w:val="both"/>
              <w:rPr>
                <w:rFonts w:ascii="Arial" w:hAnsi="Arial" w:cs="Arial"/>
              </w:rPr>
            </w:pPr>
            <w:r w:rsidRPr="005500E0">
              <w:rPr>
                <w:rFonts w:ascii="Arial" w:hAnsi="Arial" w:cs="Arial"/>
              </w:rPr>
              <w:t>0.009</w:t>
            </w:r>
          </w:p>
        </w:tc>
      </w:tr>
      <w:tr w:rsidR="007D6E99" w:rsidRPr="005500E0" w14:paraId="2A182CD5" w14:textId="383CAF45" w:rsidTr="007D6E99">
        <w:tc>
          <w:tcPr>
            <w:tcW w:w="790" w:type="dxa"/>
          </w:tcPr>
          <w:p w14:paraId="4ED70C83" w14:textId="1D31F815" w:rsidR="007D6E99" w:rsidRPr="005500E0" w:rsidRDefault="007D6E99" w:rsidP="00557DD0">
            <w:pPr>
              <w:spacing w:line="360" w:lineRule="auto"/>
              <w:jc w:val="both"/>
              <w:rPr>
                <w:rFonts w:ascii="Arial" w:hAnsi="Arial" w:cs="Arial"/>
              </w:rPr>
            </w:pPr>
            <w:r w:rsidRPr="005500E0">
              <w:rPr>
                <w:rFonts w:ascii="Arial" w:hAnsi="Arial" w:cs="Arial"/>
              </w:rPr>
              <w:t>3.</w:t>
            </w:r>
          </w:p>
        </w:tc>
        <w:tc>
          <w:tcPr>
            <w:tcW w:w="2455" w:type="dxa"/>
          </w:tcPr>
          <w:p w14:paraId="2B07EB96" w14:textId="628A3791" w:rsidR="007D6E99" w:rsidRPr="005500E0" w:rsidRDefault="007D6E99" w:rsidP="00557DD0">
            <w:pPr>
              <w:spacing w:line="360" w:lineRule="auto"/>
              <w:jc w:val="both"/>
              <w:rPr>
                <w:rFonts w:ascii="Arial" w:hAnsi="Arial" w:cs="Arial"/>
              </w:rPr>
            </w:pPr>
            <w:r w:rsidRPr="005500E0">
              <w:rPr>
                <w:rFonts w:ascii="Arial" w:hAnsi="Arial" w:cs="Arial"/>
              </w:rPr>
              <w:t>Total Chlorophyll</w:t>
            </w:r>
          </w:p>
        </w:tc>
        <w:tc>
          <w:tcPr>
            <w:tcW w:w="3249" w:type="dxa"/>
          </w:tcPr>
          <w:p w14:paraId="69E5A5D8" w14:textId="6B82B20E" w:rsidR="007D6E99" w:rsidRPr="005500E0" w:rsidRDefault="007D6E99" w:rsidP="00557DD0">
            <w:pPr>
              <w:spacing w:line="360" w:lineRule="auto"/>
              <w:jc w:val="both"/>
              <w:rPr>
                <w:rFonts w:ascii="Arial" w:hAnsi="Arial" w:cs="Arial"/>
              </w:rPr>
            </w:pPr>
            <w:r w:rsidRPr="005500E0">
              <w:rPr>
                <w:rFonts w:ascii="Arial" w:hAnsi="Arial" w:cs="Arial"/>
              </w:rPr>
              <w:t>0.549 ± 0.009</w:t>
            </w:r>
          </w:p>
        </w:tc>
        <w:tc>
          <w:tcPr>
            <w:tcW w:w="2522" w:type="dxa"/>
          </w:tcPr>
          <w:p w14:paraId="0B1CB3CD" w14:textId="5C318547" w:rsidR="007D6E99" w:rsidRPr="005500E0" w:rsidRDefault="007D6E99" w:rsidP="00557DD0">
            <w:pPr>
              <w:spacing w:line="360" w:lineRule="auto"/>
              <w:jc w:val="both"/>
              <w:rPr>
                <w:rFonts w:ascii="Arial" w:hAnsi="Arial" w:cs="Arial"/>
              </w:rPr>
            </w:pPr>
            <w:r w:rsidRPr="005500E0">
              <w:rPr>
                <w:rFonts w:ascii="Arial" w:hAnsi="Arial" w:cs="Arial"/>
              </w:rPr>
              <w:t>0.016</w:t>
            </w:r>
          </w:p>
        </w:tc>
      </w:tr>
    </w:tbl>
    <w:p w14:paraId="307449D4" w14:textId="77777777" w:rsidR="00DB6A05" w:rsidRPr="005500E0" w:rsidRDefault="00DB6A05" w:rsidP="00557DD0">
      <w:pPr>
        <w:spacing w:line="360" w:lineRule="auto"/>
        <w:jc w:val="both"/>
        <w:rPr>
          <w:rFonts w:ascii="Arial" w:hAnsi="Arial" w:cs="Arial"/>
        </w:rPr>
      </w:pPr>
    </w:p>
    <w:p w14:paraId="59E16F3A" w14:textId="18349244" w:rsidR="00043FBA" w:rsidRPr="005500E0" w:rsidRDefault="001748E9" w:rsidP="00557DD0">
      <w:pPr>
        <w:spacing w:line="360" w:lineRule="auto"/>
        <w:jc w:val="both"/>
        <w:rPr>
          <w:rFonts w:ascii="Arial" w:hAnsi="Arial" w:cs="Arial"/>
        </w:rPr>
      </w:pPr>
      <w:r w:rsidRPr="005500E0">
        <w:rPr>
          <w:rFonts w:ascii="Arial" w:hAnsi="Arial" w:cs="Arial"/>
        </w:rPr>
        <w:t>The relatively low chlorophyll content</w:t>
      </w:r>
      <w:r w:rsidR="003E0A10" w:rsidRPr="005500E0">
        <w:rPr>
          <w:rFonts w:ascii="Arial" w:hAnsi="Arial" w:cs="Arial"/>
        </w:rPr>
        <w:t xml:space="preserve"> (</w:t>
      </w:r>
      <w:r w:rsidR="0030553B">
        <w:rPr>
          <w:rFonts w:ascii="Arial" w:hAnsi="Arial" w:cs="Arial"/>
        </w:rPr>
        <w:t xml:space="preserve">Table </w:t>
      </w:r>
      <w:r w:rsidR="003E0A10" w:rsidRPr="005500E0">
        <w:rPr>
          <w:rFonts w:ascii="Arial" w:hAnsi="Arial" w:cs="Arial"/>
        </w:rPr>
        <w:t>2)</w:t>
      </w:r>
      <w:r w:rsidRPr="005500E0">
        <w:rPr>
          <w:rFonts w:ascii="Arial" w:hAnsi="Arial" w:cs="Arial"/>
        </w:rPr>
        <w:t xml:space="preserve"> suggests that the plant may not be highly photosynthetically active or may undergo seasonal variations in chlorophyll synthesis. The ratio of chlorophyll a to chlorophyll b (approximately 2.47:1) indicates a predominance of photosystem II, which is crucial for light absorption and energy transfer. Studies on other medicinal plants have reported varying chlorophyll contents. For instance, Kadam et al. (2013) found that </w:t>
      </w:r>
      <w:proofErr w:type="spellStart"/>
      <w:r w:rsidRPr="005500E0">
        <w:rPr>
          <w:rFonts w:ascii="Arial" w:hAnsi="Arial" w:cs="Arial"/>
          <w:i/>
          <w:iCs/>
        </w:rPr>
        <w:t>Sesbania</w:t>
      </w:r>
      <w:proofErr w:type="spellEnd"/>
      <w:r w:rsidRPr="005500E0">
        <w:rPr>
          <w:rFonts w:ascii="Arial" w:hAnsi="Arial" w:cs="Arial"/>
          <w:i/>
          <w:iCs/>
        </w:rPr>
        <w:t xml:space="preserve"> </w:t>
      </w:r>
      <w:proofErr w:type="spellStart"/>
      <w:r w:rsidRPr="005500E0">
        <w:rPr>
          <w:rFonts w:ascii="Arial" w:hAnsi="Arial" w:cs="Arial"/>
          <w:i/>
          <w:iCs/>
        </w:rPr>
        <w:t>exaltata</w:t>
      </w:r>
      <w:proofErr w:type="spellEnd"/>
      <w:r w:rsidRPr="005500E0">
        <w:rPr>
          <w:rFonts w:ascii="Arial" w:hAnsi="Arial" w:cs="Arial"/>
        </w:rPr>
        <w:t xml:space="preserve"> exhibited chlorophyll a </w:t>
      </w:r>
      <w:proofErr w:type="gramStart"/>
      <w:r w:rsidRPr="005500E0">
        <w:rPr>
          <w:rFonts w:ascii="Arial" w:hAnsi="Arial" w:cs="Arial"/>
        </w:rPr>
        <w:t>levels</w:t>
      </w:r>
      <w:proofErr w:type="gramEnd"/>
      <w:r w:rsidRPr="005500E0">
        <w:rPr>
          <w:rFonts w:ascii="Arial" w:hAnsi="Arial" w:cs="Arial"/>
        </w:rPr>
        <w:t xml:space="preserve"> ranging from 2.98 to 3.36 mg/g fresh weight and chlorophyll b levels from 2.61 to 3.08 mg/g fresh weight, depending on the season. Similarly, Kulkarni and </w:t>
      </w:r>
      <w:proofErr w:type="spellStart"/>
      <w:r w:rsidRPr="005500E0">
        <w:rPr>
          <w:rFonts w:ascii="Arial" w:hAnsi="Arial" w:cs="Arial"/>
        </w:rPr>
        <w:t>Gaherwar</w:t>
      </w:r>
      <w:proofErr w:type="spellEnd"/>
      <w:r w:rsidRPr="005500E0">
        <w:rPr>
          <w:rFonts w:ascii="Arial" w:hAnsi="Arial" w:cs="Arial"/>
        </w:rPr>
        <w:t xml:space="preserve"> (2018) reported that </w:t>
      </w:r>
      <w:proofErr w:type="spellStart"/>
      <w:r w:rsidRPr="005500E0">
        <w:rPr>
          <w:rFonts w:ascii="Arial" w:hAnsi="Arial" w:cs="Arial"/>
          <w:i/>
          <w:iCs/>
        </w:rPr>
        <w:t>Azadirachta</w:t>
      </w:r>
      <w:proofErr w:type="spellEnd"/>
      <w:r w:rsidRPr="005500E0">
        <w:rPr>
          <w:rFonts w:ascii="Arial" w:hAnsi="Arial" w:cs="Arial"/>
          <w:i/>
          <w:iCs/>
        </w:rPr>
        <w:t xml:space="preserve"> </w:t>
      </w:r>
      <w:proofErr w:type="spellStart"/>
      <w:r w:rsidRPr="005500E0">
        <w:rPr>
          <w:rFonts w:ascii="Arial" w:hAnsi="Arial" w:cs="Arial"/>
          <w:i/>
          <w:iCs/>
        </w:rPr>
        <w:t>indica</w:t>
      </w:r>
      <w:proofErr w:type="spellEnd"/>
      <w:r w:rsidRPr="005500E0">
        <w:rPr>
          <w:rFonts w:ascii="Arial" w:hAnsi="Arial" w:cs="Arial"/>
        </w:rPr>
        <w:t xml:space="preserve"> had a total chlorophyll content of 3.206 mg/g fresh weight. These comparisons highlight the variability in chlorophyll content among different species and underscore the need for further research on </w:t>
      </w:r>
      <w:proofErr w:type="spellStart"/>
      <w:r w:rsidR="0053788E" w:rsidRPr="005500E0">
        <w:rPr>
          <w:rFonts w:ascii="Arial" w:hAnsi="Arial" w:cs="Arial"/>
          <w:i/>
          <w:iCs/>
        </w:rPr>
        <w:t>Pseudognaphalium</w:t>
      </w:r>
      <w:proofErr w:type="spellEnd"/>
      <w:r w:rsidR="0053788E" w:rsidRPr="005500E0">
        <w:rPr>
          <w:rFonts w:ascii="Arial" w:hAnsi="Arial" w:cs="Arial"/>
          <w:i/>
          <w:iCs/>
        </w:rPr>
        <w:t xml:space="preserve"> </w:t>
      </w:r>
      <w:proofErr w:type="spellStart"/>
      <w:r w:rsidR="0053788E" w:rsidRPr="005500E0">
        <w:rPr>
          <w:rFonts w:ascii="Arial" w:hAnsi="Arial" w:cs="Arial"/>
          <w:i/>
          <w:iCs/>
        </w:rPr>
        <w:t>luteoalbum</w:t>
      </w:r>
      <w:proofErr w:type="spellEnd"/>
      <w:r w:rsidR="0053788E" w:rsidRPr="005500E0">
        <w:rPr>
          <w:rFonts w:ascii="Arial" w:hAnsi="Arial" w:cs="Arial"/>
        </w:rPr>
        <w:t xml:space="preserve"> (L.) Hilliard</w:t>
      </w:r>
      <w:r w:rsidR="0053788E" w:rsidRPr="005500E0">
        <w:rPr>
          <w:rFonts w:ascii="Arial" w:hAnsi="Arial" w:cs="Arial"/>
        </w:rPr>
        <w:tab/>
        <w:t xml:space="preserve"> &amp; B.L. Burtt</w:t>
      </w:r>
      <w:r w:rsidRPr="005500E0">
        <w:rPr>
          <w:rFonts w:ascii="Arial" w:hAnsi="Arial" w:cs="Arial"/>
        </w:rPr>
        <w:t>.</w:t>
      </w:r>
    </w:p>
    <w:p w14:paraId="7B1F4709" w14:textId="0092693C" w:rsidR="00A918C2" w:rsidRPr="005500E0" w:rsidRDefault="00F87D01" w:rsidP="00557DD0">
      <w:pPr>
        <w:spacing w:line="360" w:lineRule="auto"/>
        <w:jc w:val="both"/>
        <w:rPr>
          <w:rFonts w:ascii="Arial" w:hAnsi="Arial" w:cs="Arial"/>
          <w:b/>
          <w:bCs/>
        </w:rPr>
      </w:pPr>
      <w:r>
        <w:rPr>
          <w:rFonts w:ascii="Arial" w:hAnsi="Arial" w:cs="Arial"/>
          <w:b/>
          <w:bCs/>
        </w:rPr>
        <w:t>4</w:t>
      </w:r>
      <w:r w:rsidR="001748E9" w:rsidRPr="005500E0">
        <w:rPr>
          <w:rFonts w:ascii="Arial" w:hAnsi="Arial" w:cs="Arial"/>
          <w:b/>
          <w:bCs/>
        </w:rPr>
        <w:t>.3 Biochemical Composition</w:t>
      </w:r>
    </w:p>
    <w:p w14:paraId="79DF0594" w14:textId="2F2D5E4C" w:rsidR="001748E9" w:rsidRPr="005500E0" w:rsidRDefault="001748E9" w:rsidP="00557DD0">
      <w:pPr>
        <w:spacing w:line="360" w:lineRule="auto"/>
        <w:jc w:val="both"/>
        <w:rPr>
          <w:rFonts w:ascii="Arial" w:hAnsi="Arial" w:cs="Arial"/>
        </w:rPr>
      </w:pPr>
      <w:r w:rsidRPr="005500E0">
        <w:rPr>
          <w:rFonts w:ascii="Arial" w:hAnsi="Arial" w:cs="Arial"/>
        </w:rPr>
        <w:t xml:space="preserve">The plant demonstrates a rich biochemical profile, confirming its potential as a nutraceutical and medicinal </w:t>
      </w:r>
      <w:r w:rsidR="00066622" w:rsidRPr="005500E0">
        <w:rPr>
          <w:rFonts w:ascii="Arial" w:hAnsi="Arial" w:cs="Arial"/>
        </w:rPr>
        <w:t>plant</w:t>
      </w:r>
      <w:r w:rsidRPr="005500E0">
        <w:rPr>
          <w:rFonts w:ascii="Arial" w:hAnsi="Arial" w:cs="Arial"/>
        </w:rPr>
        <w:t>.</w:t>
      </w:r>
    </w:p>
    <w:p w14:paraId="0D41D072" w14:textId="33DBF692" w:rsidR="00907734" w:rsidRPr="005500E0" w:rsidRDefault="00907734" w:rsidP="00557DD0">
      <w:pPr>
        <w:spacing w:line="360" w:lineRule="auto"/>
        <w:jc w:val="both"/>
        <w:rPr>
          <w:rFonts w:ascii="Arial" w:hAnsi="Arial" w:cs="Arial"/>
        </w:rPr>
      </w:pPr>
      <w:r w:rsidRPr="005500E0">
        <w:rPr>
          <w:rFonts w:ascii="Arial" w:hAnsi="Arial" w:cs="Arial"/>
          <w:lang w:val="en-US"/>
        </w:rPr>
        <w:t>Table 3: Results of the quantitative value for soluble protein, total soluble sugar</w:t>
      </w:r>
      <w:r w:rsidR="0030553B">
        <w:rPr>
          <w:rFonts w:ascii="Arial" w:hAnsi="Arial" w:cs="Arial"/>
          <w:lang w:val="en-US"/>
        </w:rPr>
        <w:t>,</w:t>
      </w:r>
      <w:r w:rsidRPr="005500E0">
        <w:rPr>
          <w:rFonts w:ascii="Arial" w:hAnsi="Arial" w:cs="Arial"/>
          <w:lang w:val="en-US"/>
        </w:rPr>
        <w:t xml:space="preserve"> and total phenols in µg/g fr. wt. f</w:t>
      </w:r>
      <w:r w:rsidR="005479E4" w:rsidRPr="005500E0">
        <w:rPr>
          <w:rFonts w:ascii="Arial" w:hAnsi="Arial" w:cs="Arial"/>
          <w:lang w:val="en-US"/>
        </w:rPr>
        <w:t>or</w:t>
      </w:r>
      <w:r w:rsidR="007C5528" w:rsidRPr="005500E0">
        <w:rPr>
          <w:rFonts w:ascii="Arial" w:hAnsi="Arial" w:cs="Arial"/>
          <w:lang w:val="en-US"/>
        </w:rPr>
        <w:t xml:space="preserve"> </w:t>
      </w:r>
      <w:proofErr w:type="spellStart"/>
      <w:r w:rsidR="00C25C2E" w:rsidRPr="005500E0">
        <w:rPr>
          <w:rFonts w:ascii="Arial" w:hAnsi="Arial" w:cs="Arial"/>
          <w:i/>
          <w:iCs/>
        </w:rPr>
        <w:t>Pseudognaphalium</w:t>
      </w:r>
      <w:proofErr w:type="spellEnd"/>
      <w:r w:rsidR="00C25C2E" w:rsidRPr="005500E0">
        <w:rPr>
          <w:rFonts w:ascii="Arial" w:hAnsi="Arial" w:cs="Arial"/>
          <w:i/>
          <w:iCs/>
        </w:rPr>
        <w:t xml:space="preserve"> </w:t>
      </w:r>
      <w:proofErr w:type="spellStart"/>
      <w:r w:rsidR="00C25C2E" w:rsidRPr="005500E0">
        <w:rPr>
          <w:rFonts w:ascii="Arial" w:hAnsi="Arial" w:cs="Arial"/>
          <w:i/>
          <w:iCs/>
        </w:rPr>
        <w:t>luteoalbum</w:t>
      </w:r>
      <w:proofErr w:type="spellEnd"/>
      <w:r w:rsidR="00C25C2E" w:rsidRPr="005500E0">
        <w:rPr>
          <w:rFonts w:ascii="Arial" w:hAnsi="Arial" w:cs="Arial"/>
        </w:rPr>
        <w:t xml:space="preserve"> (L.) Hilliard &amp; B.L. Burtt.</w:t>
      </w:r>
    </w:p>
    <w:tbl>
      <w:tblPr>
        <w:tblStyle w:val="TableGrid"/>
        <w:tblW w:w="0" w:type="auto"/>
        <w:tblLook w:val="04A0" w:firstRow="1" w:lastRow="0" w:firstColumn="1" w:lastColumn="0" w:noHBand="0" w:noVBand="1"/>
      </w:tblPr>
      <w:tblGrid>
        <w:gridCol w:w="965"/>
        <w:gridCol w:w="2339"/>
        <w:gridCol w:w="3212"/>
        <w:gridCol w:w="2500"/>
      </w:tblGrid>
      <w:tr w:rsidR="00712BB2" w:rsidRPr="005500E0" w14:paraId="2A98677C" w14:textId="0A0F1C38" w:rsidTr="00712BB2">
        <w:tc>
          <w:tcPr>
            <w:tcW w:w="965" w:type="dxa"/>
          </w:tcPr>
          <w:p w14:paraId="32527407" w14:textId="5B0AAA15" w:rsidR="00712BB2" w:rsidRPr="005500E0" w:rsidRDefault="00712BB2" w:rsidP="00557DD0">
            <w:pPr>
              <w:spacing w:line="360" w:lineRule="auto"/>
              <w:jc w:val="both"/>
              <w:rPr>
                <w:rFonts w:ascii="Arial" w:hAnsi="Arial" w:cs="Arial"/>
                <w:b/>
                <w:bCs/>
              </w:rPr>
            </w:pPr>
            <w:r w:rsidRPr="005500E0">
              <w:rPr>
                <w:rFonts w:ascii="Arial" w:hAnsi="Arial" w:cs="Arial"/>
                <w:b/>
                <w:bCs/>
              </w:rPr>
              <w:t>Sl.no.</w:t>
            </w:r>
          </w:p>
        </w:tc>
        <w:tc>
          <w:tcPr>
            <w:tcW w:w="2339" w:type="dxa"/>
          </w:tcPr>
          <w:p w14:paraId="2039F76D" w14:textId="61EB147D" w:rsidR="00712BB2" w:rsidRPr="005500E0" w:rsidRDefault="00712BB2" w:rsidP="00557DD0">
            <w:pPr>
              <w:spacing w:line="360" w:lineRule="auto"/>
              <w:jc w:val="both"/>
              <w:rPr>
                <w:rFonts w:ascii="Arial" w:hAnsi="Arial" w:cs="Arial"/>
                <w:b/>
                <w:bCs/>
              </w:rPr>
            </w:pPr>
            <w:r w:rsidRPr="005500E0">
              <w:rPr>
                <w:rFonts w:ascii="Arial" w:hAnsi="Arial" w:cs="Arial"/>
                <w:b/>
                <w:bCs/>
              </w:rPr>
              <w:t>Component</w:t>
            </w:r>
          </w:p>
        </w:tc>
        <w:tc>
          <w:tcPr>
            <w:tcW w:w="3212" w:type="dxa"/>
          </w:tcPr>
          <w:p w14:paraId="6AD5E3FE" w14:textId="0DAD1794" w:rsidR="00712BB2" w:rsidRPr="005500E0" w:rsidRDefault="00712BB2" w:rsidP="00557DD0">
            <w:pPr>
              <w:spacing w:line="360" w:lineRule="auto"/>
              <w:jc w:val="both"/>
              <w:rPr>
                <w:rFonts w:ascii="Arial" w:hAnsi="Arial" w:cs="Arial"/>
                <w:b/>
                <w:bCs/>
              </w:rPr>
            </w:pPr>
            <w:r w:rsidRPr="005500E0">
              <w:rPr>
                <w:rFonts w:ascii="Arial" w:hAnsi="Arial" w:cs="Arial"/>
                <w:b/>
                <w:bCs/>
              </w:rPr>
              <w:t>Concentration (µg/g fr</w:t>
            </w:r>
            <w:r w:rsidR="00666BB9" w:rsidRPr="005500E0">
              <w:rPr>
                <w:rFonts w:ascii="Arial" w:hAnsi="Arial" w:cs="Arial"/>
                <w:b/>
                <w:bCs/>
              </w:rPr>
              <w:t>esh</w:t>
            </w:r>
            <w:r w:rsidRPr="005500E0">
              <w:rPr>
                <w:rFonts w:ascii="Arial" w:hAnsi="Arial" w:cs="Arial"/>
                <w:b/>
                <w:bCs/>
              </w:rPr>
              <w:t xml:space="preserve"> wt</w:t>
            </w:r>
            <w:r w:rsidR="002C3018" w:rsidRPr="005500E0">
              <w:rPr>
                <w:rFonts w:ascii="Arial" w:hAnsi="Arial" w:cs="Arial"/>
                <w:b/>
                <w:bCs/>
              </w:rPr>
              <w:t>.</w:t>
            </w:r>
            <w:r w:rsidRPr="005500E0">
              <w:rPr>
                <w:rFonts w:ascii="Arial" w:hAnsi="Arial" w:cs="Arial"/>
                <w:b/>
                <w:bCs/>
              </w:rPr>
              <w:t>)</w:t>
            </w:r>
          </w:p>
        </w:tc>
        <w:tc>
          <w:tcPr>
            <w:tcW w:w="2500" w:type="dxa"/>
          </w:tcPr>
          <w:p w14:paraId="00BA4459" w14:textId="3FBA5B4A" w:rsidR="00712BB2" w:rsidRPr="005500E0" w:rsidRDefault="00712BB2" w:rsidP="00557DD0">
            <w:pPr>
              <w:spacing w:line="360" w:lineRule="auto"/>
              <w:jc w:val="both"/>
              <w:rPr>
                <w:rFonts w:ascii="Arial" w:hAnsi="Arial" w:cs="Arial"/>
                <w:b/>
                <w:bCs/>
              </w:rPr>
            </w:pPr>
            <w:r w:rsidRPr="005500E0">
              <w:rPr>
                <w:rFonts w:ascii="Arial" w:hAnsi="Arial" w:cs="Arial"/>
                <w:b/>
                <w:bCs/>
              </w:rPr>
              <w:t>Standard deviation (mean)</w:t>
            </w:r>
          </w:p>
        </w:tc>
      </w:tr>
      <w:tr w:rsidR="00712BB2" w:rsidRPr="005500E0" w14:paraId="5355C4BD" w14:textId="04DCC00F" w:rsidTr="00712BB2">
        <w:tc>
          <w:tcPr>
            <w:tcW w:w="965" w:type="dxa"/>
          </w:tcPr>
          <w:p w14:paraId="33C6BC37" w14:textId="0008F183" w:rsidR="00712BB2" w:rsidRPr="005500E0" w:rsidRDefault="00712BB2" w:rsidP="00557DD0">
            <w:pPr>
              <w:spacing w:line="360" w:lineRule="auto"/>
              <w:jc w:val="both"/>
              <w:rPr>
                <w:rFonts w:ascii="Arial" w:hAnsi="Arial" w:cs="Arial"/>
              </w:rPr>
            </w:pPr>
            <w:r w:rsidRPr="005500E0">
              <w:rPr>
                <w:rFonts w:ascii="Arial" w:hAnsi="Arial" w:cs="Arial"/>
              </w:rPr>
              <w:t>1.</w:t>
            </w:r>
          </w:p>
        </w:tc>
        <w:tc>
          <w:tcPr>
            <w:tcW w:w="2339" w:type="dxa"/>
          </w:tcPr>
          <w:p w14:paraId="6A2F5E59" w14:textId="136319F9" w:rsidR="00712BB2" w:rsidRPr="005500E0" w:rsidRDefault="00712BB2" w:rsidP="00557DD0">
            <w:pPr>
              <w:spacing w:line="360" w:lineRule="auto"/>
              <w:jc w:val="both"/>
              <w:rPr>
                <w:rFonts w:ascii="Arial" w:hAnsi="Arial" w:cs="Arial"/>
              </w:rPr>
            </w:pPr>
            <w:r w:rsidRPr="005500E0">
              <w:rPr>
                <w:rFonts w:ascii="Arial" w:hAnsi="Arial" w:cs="Arial"/>
              </w:rPr>
              <w:t>Soluble Protein</w:t>
            </w:r>
          </w:p>
        </w:tc>
        <w:tc>
          <w:tcPr>
            <w:tcW w:w="3212" w:type="dxa"/>
          </w:tcPr>
          <w:p w14:paraId="36436A67" w14:textId="24A06539" w:rsidR="00712BB2" w:rsidRPr="005500E0" w:rsidRDefault="00712BB2" w:rsidP="00557DD0">
            <w:pPr>
              <w:spacing w:line="360" w:lineRule="auto"/>
              <w:jc w:val="both"/>
              <w:rPr>
                <w:rFonts w:ascii="Arial" w:hAnsi="Arial" w:cs="Arial"/>
              </w:rPr>
            </w:pPr>
            <w:r w:rsidRPr="005500E0">
              <w:rPr>
                <w:rFonts w:ascii="Arial" w:hAnsi="Arial" w:cs="Arial"/>
              </w:rPr>
              <w:t>140.97 ± 23.98</w:t>
            </w:r>
          </w:p>
        </w:tc>
        <w:tc>
          <w:tcPr>
            <w:tcW w:w="2500" w:type="dxa"/>
          </w:tcPr>
          <w:p w14:paraId="23C0BBFF" w14:textId="1B2CE074" w:rsidR="00712BB2" w:rsidRPr="005500E0" w:rsidRDefault="00712BB2" w:rsidP="00557DD0">
            <w:pPr>
              <w:spacing w:line="360" w:lineRule="auto"/>
              <w:jc w:val="both"/>
              <w:rPr>
                <w:rFonts w:ascii="Arial" w:hAnsi="Arial" w:cs="Arial"/>
              </w:rPr>
            </w:pPr>
            <w:r w:rsidRPr="005500E0">
              <w:rPr>
                <w:rFonts w:ascii="Arial" w:hAnsi="Arial" w:cs="Arial"/>
              </w:rPr>
              <w:t>41.54</w:t>
            </w:r>
          </w:p>
        </w:tc>
      </w:tr>
      <w:tr w:rsidR="00712BB2" w:rsidRPr="005500E0" w14:paraId="26BD9C7B" w14:textId="33F8DB9E" w:rsidTr="00712BB2">
        <w:tc>
          <w:tcPr>
            <w:tcW w:w="965" w:type="dxa"/>
          </w:tcPr>
          <w:p w14:paraId="1C695FE7" w14:textId="32643797" w:rsidR="00712BB2" w:rsidRPr="005500E0" w:rsidRDefault="00712BB2" w:rsidP="00557DD0">
            <w:pPr>
              <w:spacing w:line="360" w:lineRule="auto"/>
              <w:jc w:val="both"/>
              <w:rPr>
                <w:rFonts w:ascii="Arial" w:hAnsi="Arial" w:cs="Arial"/>
              </w:rPr>
            </w:pPr>
            <w:r w:rsidRPr="005500E0">
              <w:rPr>
                <w:rFonts w:ascii="Arial" w:hAnsi="Arial" w:cs="Arial"/>
              </w:rPr>
              <w:t>2.</w:t>
            </w:r>
          </w:p>
        </w:tc>
        <w:tc>
          <w:tcPr>
            <w:tcW w:w="2339" w:type="dxa"/>
          </w:tcPr>
          <w:p w14:paraId="1190E136" w14:textId="3878BCEA" w:rsidR="00712BB2" w:rsidRPr="005500E0" w:rsidRDefault="00712BB2" w:rsidP="00557DD0">
            <w:pPr>
              <w:spacing w:line="360" w:lineRule="auto"/>
              <w:jc w:val="both"/>
              <w:rPr>
                <w:rFonts w:ascii="Arial" w:hAnsi="Arial" w:cs="Arial"/>
              </w:rPr>
            </w:pPr>
            <w:r w:rsidRPr="005500E0">
              <w:rPr>
                <w:rFonts w:ascii="Arial" w:hAnsi="Arial" w:cs="Arial"/>
              </w:rPr>
              <w:t>Total Soluble Sugar</w:t>
            </w:r>
          </w:p>
        </w:tc>
        <w:tc>
          <w:tcPr>
            <w:tcW w:w="3212" w:type="dxa"/>
          </w:tcPr>
          <w:p w14:paraId="7E1C823F" w14:textId="12F84538" w:rsidR="00712BB2" w:rsidRPr="005500E0" w:rsidRDefault="00712BB2" w:rsidP="00557DD0">
            <w:pPr>
              <w:spacing w:line="360" w:lineRule="auto"/>
              <w:jc w:val="both"/>
              <w:rPr>
                <w:rFonts w:ascii="Arial" w:hAnsi="Arial" w:cs="Arial"/>
              </w:rPr>
            </w:pPr>
            <w:r w:rsidRPr="005500E0">
              <w:rPr>
                <w:rFonts w:ascii="Arial" w:hAnsi="Arial" w:cs="Arial"/>
              </w:rPr>
              <w:t>12.996 ± 0.179</w:t>
            </w:r>
          </w:p>
        </w:tc>
        <w:tc>
          <w:tcPr>
            <w:tcW w:w="2500" w:type="dxa"/>
          </w:tcPr>
          <w:p w14:paraId="6D0E1CDE" w14:textId="7A0EAC2E" w:rsidR="00712BB2" w:rsidRPr="005500E0" w:rsidRDefault="00712BB2" w:rsidP="00557DD0">
            <w:pPr>
              <w:spacing w:line="360" w:lineRule="auto"/>
              <w:jc w:val="both"/>
              <w:rPr>
                <w:rFonts w:ascii="Arial" w:hAnsi="Arial" w:cs="Arial"/>
              </w:rPr>
            </w:pPr>
            <w:r w:rsidRPr="005500E0">
              <w:rPr>
                <w:rFonts w:ascii="Arial" w:hAnsi="Arial" w:cs="Arial"/>
              </w:rPr>
              <w:t>0.311</w:t>
            </w:r>
          </w:p>
        </w:tc>
      </w:tr>
      <w:tr w:rsidR="00712BB2" w:rsidRPr="005500E0" w14:paraId="1ADF3086" w14:textId="51765863" w:rsidTr="00712BB2">
        <w:tc>
          <w:tcPr>
            <w:tcW w:w="965" w:type="dxa"/>
          </w:tcPr>
          <w:p w14:paraId="5328DC3F" w14:textId="44A6E5DD" w:rsidR="00712BB2" w:rsidRPr="005500E0" w:rsidRDefault="00712BB2" w:rsidP="00557DD0">
            <w:pPr>
              <w:spacing w:line="360" w:lineRule="auto"/>
              <w:jc w:val="both"/>
              <w:rPr>
                <w:rFonts w:ascii="Arial" w:hAnsi="Arial" w:cs="Arial"/>
              </w:rPr>
            </w:pPr>
            <w:r w:rsidRPr="005500E0">
              <w:rPr>
                <w:rFonts w:ascii="Arial" w:hAnsi="Arial" w:cs="Arial"/>
              </w:rPr>
              <w:t>3.</w:t>
            </w:r>
          </w:p>
        </w:tc>
        <w:tc>
          <w:tcPr>
            <w:tcW w:w="2339" w:type="dxa"/>
          </w:tcPr>
          <w:p w14:paraId="61963440" w14:textId="09F528BD" w:rsidR="00712BB2" w:rsidRPr="005500E0" w:rsidRDefault="00712BB2" w:rsidP="00557DD0">
            <w:pPr>
              <w:spacing w:line="360" w:lineRule="auto"/>
              <w:jc w:val="both"/>
              <w:rPr>
                <w:rFonts w:ascii="Arial" w:hAnsi="Arial" w:cs="Arial"/>
              </w:rPr>
            </w:pPr>
            <w:r w:rsidRPr="005500E0">
              <w:rPr>
                <w:rFonts w:ascii="Arial" w:hAnsi="Arial" w:cs="Arial"/>
              </w:rPr>
              <w:t>Total Phenolics</w:t>
            </w:r>
          </w:p>
        </w:tc>
        <w:tc>
          <w:tcPr>
            <w:tcW w:w="3212" w:type="dxa"/>
          </w:tcPr>
          <w:p w14:paraId="5A5F7382" w14:textId="23404682" w:rsidR="00712BB2" w:rsidRPr="005500E0" w:rsidRDefault="00712BB2" w:rsidP="00557DD0">
            <w:pPr>
              <w:spacing w:line="360" w:lineRule="auto"/>
              <w:jc w:val="both"/>
              <w:rPr>
                <w:rFonts w:ascii="Arial" w:hAnsi="Arial" w:cs="Arial"/>
              </w:rPr>
            </w:pPr>
            <w:r w:rsidRPr="005500E0">
              <w:rPr>
                <w:rFonts w:ascii="Arial" w:hAnsi="Arial" w:cs="Arial"/>
              </w:rPr>
              <w:t>49.926 ± 3.627</w:t>
            </w:r>
          </w:p>
        </w:tc>
        <w:tc>
          <w:tcPr>
            <w:tcW w:w="2500" w:type="dxa"/>
          </w:tcPr>
          <w:p w14:paraId="4429A734" w14:textId="2039161B" w:rsidR="00712BB2" w:rsidRPr="005500E0" w:rsidRDefault="00712BB2" w:rsidP="00557DD0">
            <w:pPr>
              <w:spacing w:line="360" w:lineRule="auto"/>
              <w:jc w:val="both"/>
              <w:rPr>
                <w:rFonts w:ascii="Arial" w:hAnsi="Arial" w:cs="Arial"/>
              </w:rPr>
            </w:pPr>
            <w:r w:rsidRPr="005500E0">
              <w:rPr>
                <w:rFonts w:ascii="Arial" w:hAnsi="Arial" w:cs="Arial"/>
              </w:rPr>
              <w:t>6.282</w:t>
            </w:r>
          </w:p>
        </w:tc>
      </w:tr>
    </w:tbl>
    <w:p w14:paraId="76FC1614" w14:textId="77777777" w:rsidR="0026132B" w:rsidRPr="005500E0" w:rsidRDefault="0026132B" w:rsidP="00557DD0">
      <w:pPr>
        <w:spacing w:line="360" w:lineRule="auto"/>
        <w:jc w:val="both"/>
        <w:rPr>
          <w:rFonts w:ascii="Arial" w:hAnsi="Arial" w:cs="Arial"/>
        </w:rPr>
      </w:pPr>
    </w:p>
    <w:p w14:paraId="40C3E9CE" w14:textId="520590AE" w:rsidR="001748E9" w:rsidRPr="005500E0" w:rsidRDefault="001748E9" w:rsidP="00557DD0">
      <w:pPr>
        <w:spacing w:line="360" w:lineRule="auto"/>
        <w:jc w:val="both"/>
        <w:rPr>
          <w:rFonts w:ascii="Arial" w:hAnsi="Arial" w:cs="Arial"/>
        </w:rPr>
      </w:pPr>
      <w:r w:rsidRPr="005500E0">
        <w:rPr>
          <w:rFonts w:ascii="Arial" w:hAnsi="Arial" w:cs="Arial"/>
        </w:rPr>
        <w:t>The presence of high protein levels</w:t>
      </w:r>
      <w:r w:rsidR="006758F0" w:rsidRPr="005500E0">
        <w:rPr>
          <w:rFonts w:ascii="Arial" w:hAnsi="Arial" w:cs="Arial"/>
        </w:rPr>
        <w:t xml:space="preserve"> (140.97 ± 23.98 µg/g fr</w:t>
      </w:r>
      <w:r w:rsidR="00666BB9" w:rsidRPr="005500E0">
        <w:rPr>
          <w:rFonts w:ascii="Arial" w:hAnsi="Arial" w:cs="Arial"/>
        </w:rPr>
        <w:t>esh</w:t>
      </w:r>
      <w:r w:rsidR="006758F0" w:rsidRPr="005500E0">
        <w:rPr>
          <w:rFonts w:ascii="Arial" w:hAnsi="Arial" w:cs="Arial"/>
        </w:rPr>
        <w:t xml:space="preserve"> wt.) </w:t>
      </w:r>
      <w:r w:rsidRPr="005500E0">
        <w:rPr>
          <w:rFonts w:ascii="Arial" w:hAnsi="Arial" w:cs="Arial"/>
        </w:rPr>
        <w:t>suggests that the plant may have enzymatic or structural functions contributing to its growth and defen</w:t>
      </w:r>
      <w:r w:rsidR="00CE16B9" w:rsidRPr="005500E0">
        <w:rPr>
          <w:rFonts w:ascii="Arial" w:hAnsi="Arial" w:cs="Arial"/>
        </w:rPr>
        <w:t>c</w:t>
      </w:r>
      <w:r w:rsidRPr="005500E0">
        <w:rPr>
          <w:rFonts w:ascii="Arial" w:hAnsi="Arial" w:cs="Arial"/>
        </w:rPr>
        <w:t>e mechanisms. Phenolic compounds</w:t>
      </w:r>
      <w:r w:rsidR="00CE16B9" w:rsidRPr="005500E0">
        <w:rPr>
          <w:rFonts w:ascii="Arial" w:hAnsi="Arial" w:cs="Arial"/>
        </w:rPr>
        <w:t xml:space="preserve">, </w:t>
      </w:r>
      <w:r w:rsidRPr="005500E0">
        <w:rPr>
          <w:rFonts w:ascii="Arial" w:hAnsi="Arial" w:cs="Arial"/>
        </w:rPr>
        <w:t>known for their antioxidant properties, were found to be significantly high, further supporting the plant’s medicinal value. According to Al-</w:t>
      </w:r>
      <w:proofErr w:type="spellStart"/>
      <w:r w:rsidRPr="005500E0">
        <w:rPr>
          <w:rFonts w:ascii="Arial" w:hAnsi="Arial" w:cs="Arial"/>
        </w:rPr>
        <w:t>Snafi</w:t>
      </w:r>
      <w:proofErr w:type="spellEnd"/>
      <w:r w:rsidRPr="005500E0">
        <w:rPr>
          <w:rFonts w:ascii="Arial" w:hAnsi="Arial" w:cs="Arial"/>
        </w:rPr>
        <w:t xml:space="preserve"> (2019), the phytochemical screening of </w:t>
      </w:r>
      <w:r w:rsidRPr="005500E0">
        <w:rPr>
          <w:rFonts w:ascii="Arial" w:hAnsi="Arial" w:cs="Arial"/>
          <w:i/>
          <w:iCs/>
        </w:rPr>
        <w:t xml:space="preserve">Gnaphalium </w:t>
      </w:r>
      <w:proofErr w:type="spellStart"/>
      <w:r w:rsidRPr="005500E0">
        <w:rPr>
          <w:rFonts w:ascii="Arial" w:hAnsi="Arial" w:cs="Arial"/>
          <w:i/>
          <w:iCs/>
        </w:rPr>
        <w:t>luteoalbum</w:t>
      </w:r>
      <w:proofErr w:type="spellEnd"/>
      <w:r w:rsidRPr="005500E0">
        <w:rPr>
          <w:rFonts w:ascii="Arial" w:hAnsi="Arial" w:cs="Arial"/>
        </w:rPr>
        <w:t xml:space="preserve"> revealed the presence of alkaloids, </w:t>
      </w:r>
      <w:r w:rsidRPr="005500E0">
        <w:rPr>
          <w:rFonts w:ascii="Arial" w:hAnsi="Arial" w:cs="Arial"/>
        </w:rPr>
        <w:lastRenderedPageBreak/>
        <w:t xml:space="preserve">carbohydrates, phenols, flavonoids, saponins, tannins, glucoside resins, </w:t>
      </w:r>
      <w:proofErr w:type="spellStart"/>
      <w:r w:rsidRPr="005500E0">
        <w:rPr>
          <w:rFonts w:ascii="Arial" w:hAnsi="Arial" w:cs="Arial"/>
        </w:rPr>
        <w:t>phytosterins</w:t>
      </w:r>
      <w:proofErr w:type="spellEnd"/>
      <w:r w:rsidRPr="005500E0">
        <w:rPr>
          <w:rFonts w:ascii="Arial" w:hAnsi="Arial" w:cs="Arial"/>
        </w:rPr>
        <w:t xml:space="preserve">, terpenoids, and fixed oils. </w:t>
      </w:r>
    </w:p>
    <w:p w14:paraId="33B485A7" w14:textId="091A4B3D" w:rsidR="00066622" w:rsidRPr="005500E0" w:rsidRDefault="00F87D01" w:rsidP="00557DD0">
      <w:pPr>
        <w:spacing w:line="360" w:lineRule="auto"/>
        <w:jc w:val="both"/>
        <w:rPr>
          <w:rFonts w:ascii="Arial" w:hAnsi="Arial" w:cs="Arial"/>
          <w:b/>
          <w:bCs/>
        </w:rPr>
      </w:pPr>
      <w:r>
        <w:rPr>
          <w:rFonts w:ascii="Arial" w:hAnsi="Arial" w:cs="Arial"/>
          <w:b/>
          <w:bCs/>
        </w:rPr>
        <w:t>4</w:t>
      </w:r>
      <w:r w:rsidR="001748E9" w:rsidRPr="005500E0">
        <w:rPr>
          <w:rFonts w:ascii="Arial" w:hAnsi="Arial" w:cs="Arial"/>
          <w:b/>
          <w:bCs/>
        </w:rPr>
        <w:t>.4 Alkaloids and Flavonoids</w:t>
      </w:r>
    </w:p>
    <w:p w14:paraId="6CFB887F" w14:textId="37353CD7" w:rsidR="006B4FB1" w:rsidRPr="005500E0" w:rsidRDefault="006B4FB1" w:rsidP="00557DD0">
      <w:pPr>
        <w:spacing w:line="360" w:lineRule="auto"/>
        <w:jc w:val="both"/>
        <w:rPr>
          <w:rFonts w:ascii="Arial" w:hAnsi="Arial" w:cs="Arial"/>
        </w:rPr>
      </w:pPr>
      <w:r w:rsidRPr="005500E0">
        <w:rPr>
          <w:rFonts w:ascii="Arial" w:hAnsi="Arial" w:cs="Arial"/>
        </w:rPr>
        <w:t>Table 4: Results of the quantitative value for total alkaloids and total flavonoids</w:t>
      </w:r>
      <w:r w:rsidR="005A6240" w:rsidRPr="005500E0">
        <w:rPr>
          <w:rFonts w:ascii="Arial" w:hAnsi="Arial" w:cs="Arial"/>
        </w:rPr>
        <w:t xml:space="preserve"> </w:t>
      </w:r>
      <w:r w:rsidR="005479E4" w:rsidRPr="005500E0">
        <w:rPr>
          <w:rFonts w:ascii="Arial" w:hAnsi="Arial" w:cs="Arial"/>
        </w:rPr>
        <w:t>f</w:t>
      </w:r>
      <w:r w:rsidR="005A6240" w:rsidRPr="005500E0">
        <w:rPr>
          <w:rFonts w:ascii="Arial" w:hAnsi="Arial" w:cs="Arial"/>
        </w:rPr>
        <w:t>or</w:t>
      </w:r>
      <w:r w:rsidR="005479E4" w:rsidRPr="005500E0">
        <w:rPr>
          <w:rFonts w:ascii="Arial" w:hAnsi="Arial" w:cs="Arial"/>
        </w:rPr>
        <w:t xml:space="preserve"> </w:t>
      </w:r>
      <w:proofErr w:type="spellStart"/>
      <w:r w:rsidR="005479E4" w:rsidRPr="005500E0">
        <w:rPr>
          <w:rFonts w:ascii="Arial" w:hAnsi="Arial" w:cs="Arial"/>
          <w:i/>
          <w:iCs/>
        </w:rPr>
        <w:t>Pseudognaphalium</w:t>
      </w:r>
      <w:proofErr w:type="spellEnd"/>
      <w:r w:rsidR="005479E4" w:rsidRPr="005500E0">
        <w:rPr>
          <w:rFonts w:ascii="Arial" w:hAnsi="Arial" w:cs="Arial"/>
          <w:i/>
          <w:iCs/>
        </w:rPr>
        <w:t xml:space="preserve"> </w:t>
      </w:r>
      <w:proofErr w:type="spellStart"/>
      <w:r w:rsidR="005479E4" w:rsidRPr="005500E0">
        <w:rPr>
          <w:rFonts w:ascii="Arial" w:hAnsi="Arial" w:cs="Arial"/>
          <w:i/>
          <w:iCs/>
        </w:rPr>
        <w:t>luteoalbum</w:t>
      </w:r>
      <w:proofErr w:type="spellEnd"/>
      <w:r w:rsidR="005479E4" w:rsidRPr="005500E0">
        <w:rPr>
          <w:rFonts w:ascii="Arial" w:hAnsi="Arial" w:cs="Arial"/>
        </w:rPr>
        <w:t xml:space="preserve"> (L.) Hilliard</w:t>
      </w:r>
      <w:r w:rsidR="005479E4" w:rsidRPr="005500E0">
        <w:rPr>
          <w:rFonts w:ascii="Arial" w:hAnsi="Arial" w:cs="Arial"/>
        </w:rPr>
        <w:tab/>
        <w:t xml:space="preserve"> &amp; B.L. </w:t>
      </w:r>
      <w:proofErr w:type="spellStart"/>
      <w:r w:rsidR="005479E4" w:rsidRPr="005500E0">
        <w:rPr>
          <w:rFonts w:ascii="Arial" w:hAnsi="Arial" w:cs="Arial"/>
        </w:rPr>
        <w:t>Burtt</w:t>
      </w:r>
      <w:proofErr w:type="spellEnd"/>
      <w:r w:rsidR="005479E4" w:rsidRPr="005500E0">
        <w:rPr>
          <w:rFonts w:ascii="Arial" w:hAnsi="Arial" w:cs="Arial"/>
          <w:b/>
          <w:bCs/>
        </w:rPr>
        <w:t xml:space="preserve"> </w:t>
      </w:r>
      <w:r w:rsidRPr="005500E0">
        <w:rPr>
          <w:rFonts w:ascii="Arial" w:hAnsi="Arial" w:cs="Arial"/>
        </w:rPr>
        <w:t xml:space="preserve">in mg/g </w:t>
      </w:r>
      <w:proofErr w:type="spellStart"/>
      <w:r w:rsidRPr="005500E0">
        <w:rPr>
          <w:rFonts w:ascii="Arial" w:hAnsi="Arial" w:cs="Arial"/>
        </w:rPr>
        <w:t>fr.wt</w:t>
      </w:r>
      <w:proofErr w:type="spellEnd"/>
      <w:r w:rsidRPr="005500E0">
        <w:rPr>
          <w:rFonts w:ascii="Arial" w:hAnsi="Arial" w:cs="Arial"/>
        </w:rPr>
        <w:t>.</w:t>
      </w:r>
    </w:p>
    <w:tbl>
      <w:tblPr>
        <w:tblStyle w:val="TableGrid"/>
        <w:tblW w:w="0" w:type="auto"/>
        <w:tblLook w:val="04A0" w:firstRow="1" w:lastRow="0" w:firstColumn="1" w:lastColumn="0" w:noHBand="0" w:noVBand="1"/>
      </w:tblPr>
      <w:tblGrid>
        <w:gridCol w:w="965"/>
        <w:gridCol w:w="2339"/>
        <w:gridCol w:w="3212"/>
        <w:gridCol w:w="2500"/>
      </w:tblGrid>
      <w:tr w:rsidR="007A32A3" w:rsidRPr="005500E0" w14:paraId="49B69DFB" w14:textId="47001976" w:rsidTr="007A32A3">
        <w:tc>
          <w:tcPr>
            <w:tcW w:w="965" w:type="dxa"/>
          </w:tcPr>
          <w:p w14:paraId="0DCAA53C" w14:textId="77777777" w:rsidR="007A32A3" w:rsidRPr="005500E0" w:rsidRDefault="007A32A3" w:rsidP="00557DD0">
            <w:pPr>
              <w:spacing w:line="360" w:lineRule="auto"/>
              <w:jc w:val="both"/>
              <w:rPr>
                <w:rFonts w:ascii="Arial" w:hAnsi="Arial" w:cs="Arial"/>
                <w:b/>
                <w:bCs/>
              </w:rPr>
            </w:pPr>
            <w:r w:rsidRPr="005500E0">
              <w:rPr>
                <w:rFonts w:ascii="Arial" w:hAnsi="Arial" w:cs="Arial"/>
                <w:b/>
                <w:bCs/>
              </w:rPr>
              <w:t>Sl.no.</w:t>
            </w:r>
          </w:p>
        </w:tc>
        <w:tc>
          <w:tcPr>
            <w:tcW w:w="2339" w:type="dxa"/>
          </w:tcPr>
          <w:p w14:paraId="3231AD23" w14:textId="1E7DD739" w:rsidR="007A32A3" w:rsidRPr="005500E0" w:rsidRDefault="007A32A3" w:rsidP="00557DD0">
            <w:pPr>
              <w:spacing w:line="360" w:lineRule="auto"/>
              <w:jc w:val="both"/>
              <w:rPr>
                <w:rFonts w:ascii="Arial" w:hAnsi="Arial" w:cs="Arial"/>
                <w:b/>
                <w:bCs/>
              </w:rPr>
            </w:pPr>
            <w:r w:rsidRPr="005500E0">
              <w:rPr>
                <w:rFonts w:ascii="Arial" w:hAnsi="Arial" w:cs="Arial"/>
                <w:b/>
                <w:bCs/>
              </w:rPr>
              <w:t>Component</w:t>
            </w:r>
          </w:p>
        </w:tc>
        <w:tc>
          <w:tcPr>
            <w:tcW w:w="3212" w:type="dxa"/>
          </w:tcPr>
          <w:p w14:paraId="36CBF65A" w14:textId="496D6BAE" w:rsidR="007A32A3" w:rsidRPr="005500E0" w:rsidRDefault="007A32A3" w:rsidP="00557DD0">
            <w:pPr>
              <w:spacing w:line="360" w:lineRule="auto"/>
              <w:jc w:val="both"/>
              <w:rPr>
                <w:rFonts w:ascii="Arial" w:hAnsi="Arial" w:cs="Arial"/>
                <w:b/>
                <w:bCs/>
              </w:rPr>
            </w:pPr>
            <w:r w:rsidRPr="005500E0">
              <w:rPr>
                <w:rFonts w:ascii="Arial" w:hAnsi="Arial" w:cs="Arial"/>
                <w:b/>
                <w:bCs/>
              </w:rPr>
              <w:t>Concentration (mg/g fresh wt</w:t>
            </w:r>
            <w:r w:rsidR="009D146E" w:rsidRPr="005500E0">
              <w:rPr>
                <w:rFonts w:ascii="Arial" w:hAnsi="Arial" w:cs="Arial"/>
                <w:b/>
                <w:bCs/>
              </w:rPr>
              <w:t>.</w:t>
            </w:r>
            <w:r w:rsidRPr="005500E0">
              <w:rPr>
                <w:rFonts w:ascii="Arial" w:hAnsi="Arial" w:cs="Arial"/>
                <w:b/>
                <w:bCs/>
              </w:rPr>
              <w:t>)</w:t>
            </w:r>
          </w:p>
        </w:tc>
        <w:tc>
          <w:tcPr>
            <w:tcW w:w="2500" w:type="dxa"/>
          </w:tcPr>
          <w:p w14:paraId="69DDAF16" w14:textId="668A60DD" w:rsidR="007A32A3" w:rsidRPr="005500E0" w:rsidRDefault="007A32A3" w:rsidP="00557DD0">
            <w:pPr>
              <w:spacing w:line="360" w:lineRule="auto"/>
              <w:jc w:val="both"/>
              <w:rPr>
                <w:rFonts w:ascii="Arial" w:hAnsi="Arial" w:cs="Arial"/>
                <w:b/>
                <w:bCs/>
              </w:rPr>
            </w:pPr>
            <w:r w:rsidRPr="005500E0">
              <w:rPr>
                <w:rFonts w:ascii="Arial" w:hAnsi="Arial" w:cs="Arial"/>
                <w:b/>
                <w:bCs/>
              </w:rPr>
              <w:t>Standard deviation (mean)</w:t>
            </w:r>
          </w:p>
        </w:tc>
      </w:tr>
      <w:tr w:rsidR="007A32A3" w:rsidRPr="005500E0" w14:paraId="33A3977B" w14:textId="7892DC6B" w:rsidTr="007A32A3">
        <w:tc>
          <w:tcPr>
            <w:tcW w:w="965" w:type="dxa"/>
          </w:tcPr>
          <w:p w14:paraId="7DD7845D" w14:textId="77777777" w:rsidR="007A32A3" w:rsidRPr="005500E0" w:rsidRDefault="007A32A3" w:rsidP="00557DD0">
            <w:pPr>
              <w:spacing w:line="360" w:lineRule="auto"/>
              <w:jc w:val="both"/>
              <w:rPr>
                <w:rFonts w:ascii="Arial" w:hAnsi="Arial" w:cs="Arial"/>
              </w:rPr>
            </w:pPr>
            <w:r w:rsidRPr="005500E0">
              <w:rPr>
                <w:rFonts w:ascii="Arial" w:hAnsi="Arial" w:cs="Arial"/>
              </w:rPr>
              <w:t>1.</w:t>
            </w:r>
          </w:p>
        </w:tc>
        <w:tc>
          <w:tcPr>
            <w:tcW w:w="2339" w:type="dxa"/>
          </w:tcPr>
          <w:p w14:paraId="4FFDF05A" w14:textId="45173B62" w:rsidR="007A32A3" w:rsidRPr="005500E0" w:rsidRDefault="007A32A3" w:rsidP="00557DD0">
            <w:pPr>
              <w:spacing w:line="360" w:lineRule="auto"/>
              <w:jc w:val="both"/>
              <w:rPr>
                <w:rFonts w:ascii="Arial" w:hAnsi="Arial" w:cs="Arial"/>
              </w:rPr>
            </w:pPr>
            <w:r w:rsidRPr="005500E0">
              <w:rPr>
                <w:rFonts w:ascii="Arial" w:hAnsi="Arial" w:cs="Arial"/>
              </w:rPr>
              <w:t>Total Alkaloids</w:t>
            </w:r>
          </w:p>
        </w:tc>
        <w:tc>
          <w:tcPr>
            <w:tcW w:w="3212" w:type="dxa"/>
          </w:tcPr>
          <w:p w14:paraId="5BFA7D3E" w14:textId="42BB1D29" w:rsidR="007A32A3" w:rsidRPr="005500E0" w:rsidRDefault="007A32A3" w:rsidP="00557DD0">
            <w:pPr>
              <w:spacing w:line="360" w:lineRule="auto"/>
              <w:jc w:val="both"/>
              <w:rPr>
                <w:rFonts w:ascii="Arial" w:hAnsi="Arial" w:cs="Arial"/>
              </w:rPr>
            </w:pPr>
            <w:r w:rsidRPr="005500E0">
              <w:rPr>
                <w:rFonts w:ascii="Arial" w:hAnsi="Arial" w:cs="Arial"/>
              </w:rPr>
              <w:t>4.8</w:t>
            </w:r>
          </w:p>
        </w:tc>
        <w:tc>
          <w:tcPr>
            <w:tcW w:w="2500" w:type="dxa"/>
          </w:tcPr>
          <w:p w14:paraId="351EF79F" w14:textId="45441B3C" w:rsidR="007A32A3" w:rsidRPr="005500E0" w:rsidRDefault="006B4FB1" w:rsidP="00557DD0">
            <w:pPr>
              <w:spacing w:line="360" w:lineRule="auto"/>
              <w:jc w:val="both"/>
              <w:rPr>
                <w:rFonts w:ascii="Arial" w:hAnsi="Arial" w:cs="Arial"/>
              </w:rPr>
            </w:pPr>
            <w:r w:rsidRPr="005500E0">
              <w:rPr>
                <w:rFonts w:ascii="Arial" w:hAnsi="Arial" w:cs="Arial"/>
              </w:rPr>
              <w:t>0.311</w:t>
            </w:r>
          </w:p>
        </w:tc>
      </w:tr>
      <w:tr w:rsidR="007A32A3" w:rsidRPr="005500E0" w14:paraId="27ACB571" w14:textId="000E6742" w:rsidTr="007A32A3">
        <w:tc>
          <w:tcPr>
            <w:tcW w:w="965" w:type="dxa"/>
          </w:tcPr>
          <w:p w14:paraId="25F70900" w14:textId="77777777" w:rsidR="007A32A3" w:rsidRPr="005500E0" w:rsidRDefault="007A32A3" w:rsidP="00557DD0">
            <w:pPr>
              <w:spacing w:line="360" w:lineRule="auto"/>
              <w:jc w:val="both"/>
              <w:rPr>
                <w:rFonts w:ascii="Arial" w:hAnsi="Arial" w:cs="Arial"/>
              </w:rPr>
            </w:pPr>
            <w:r w:rsidRPr="005500E0">
              <w:rPr>
                <w:rFonts w:ascii="Arial" w:hAnsi="Arial" w:cs="Arial"/>
              </w:rPr>
              <w:t>2.</w:t>
            </w:r>
          </w:p>
        </w:tc>
        <w:tc>
          <w:tcPr>
            <w:tcW w:w="2339" w:type="dxa"/>
          </w:tcPr>
          <w:p w14:paraId="11210B23" w14:textId="0EFA29EA" w:rsidR="007A32A3" w:rsidRPr="005500E0" w:rsidRDefault="007A32A3" w:rsidP="00557DD0">
            <w:pPr>
              <w:spacing w:line="360" w:lineRule="auto"/>
              <w:jc w:val="both"/>
              <w:rPr>
                <w:rFonts w:ascii="Arial" w:hAnsi="Arial" w:cs="Arial"/>
              </w:rPr>
            </w:pPr>
            <w:r w:rsidRPr="005500E0">
              <w:rPr>
                <w:rFonts w:ascii="Arial" w:hAnsi="Arial" w:cs="Arial"/>
              </w:rPr>
              <w:t>Total Flavonoids</w:t>
            </w:r>
          </w:p>
        </w:tc>
        <w:tc>
          <w:tcPr>
            <w:tcW w:w="3212" w:type="dxa"/>
          </w:tcPr>
          <w:p w14:paraId="3BB4F1CA" w14:textId="117AF56D" w:rsidR="007A32A3" w:rsidRPr="005500E0" w:rsidRDefault="007A32A3" w:rsidP="00557DD0">
            <w:pPr>
              <w:spacing w:line="360" w:lineRule="auto"/>
              <w:jc w:val="both"/>
              <w:rPr>
                <w:rFonts w:ascii="Arial" w:hAnsi="Arial" w:cs="Arial"/>
              </w:rPr>
            </w:pPr>
            <w:r w:rsidRPr="005500E0">
              <w:rPr>
                <w:rFonts w:ascii="Arial" w:hAnsi="Arial" w:cs="Arial"/>
              </w:rPr>
              <w:t>17.310 ± 0.0918</w:t>
            </w:r>
          </w:p>
        </w:tc>
        <w:tc>
          <w:tcPr>
            <w:tcW w:w="2500" w:type="dxa"/>
          </w:tcPr>
          <w:p w14:paraId="439BEFF2" w14:textId="16CFD6A0" w:rsidR="007A32A3" w:rsidRPr="005500E0" w:rsidRDefault="006B4FB1" w:rsidP="00557DD0">
            <w:pPr>
              <w:spacing w:line="360" w:lineRule="auto"/>
              <w:jc w:val="both"/>
              <w:rPr>
                <w:rFonts w:ascii="Arial" w:hAnsi="Arial" w:cs="Arial"/>
              </w:rPr>
            </w:pPr>
            <w:r w:rsidRPr="005500E0">
              <w:rPr>
                <w:rFonts w:ascii="Arial" w:hAnsi="Arial" w:cs="Arial"/>
              </w:rPr>
              <w:t>6.282</w:t>
            </w:r>
          </w:p>
        </w:tc>
      </w:tr>
    </w:tbl>
    <w:p w14:paraId="1850F703" w14:textId="77777777" w:rsidR="00243D8A" w:rsidRPr="005500E0" w:rsidRDefault="00243D8A" w:rsidP="00557DD0">
      <w:pPr>
        <w:spacing w:line="360" w:lineRule="auto"/>
        <w:jc w:val="both"/>
        <w:rPr>
          <w:rFonts w:ascii="Arial" w:hAnsi="Arial" w:cs="Arial"/>
        </w:rPr>
      </w:pPr>
    </w:p>
    <w:p w14:paraId="0D472E40" w14:textId="30A05DAA" w:rsidR="001748E9" w:rsidRPr="005500E0" w:rsidRDefault="001748E9" w:rsidP="00557DD0">
      <w:pPr>
        <w:spacing w:line="360" w:lineRule="auto"/>
        <w:jc w:val="both"/>
        <w:rPr>
          <w:rFonts w:ascii="Arial" w:hAnsi="Arial" w:cs="Arial"/>
        </w:rPr>
      </w:pPr>
      <w:r w:rsidRPr="005500E0">
        <w:rPr>
          <w:rFonts w:ascii="Arial" w:hAnsi="Arial" w:cs="Arial"/>
        </w:rPr>
        <w:t xml:space="preserve">The substantial alkaloid content aligns with traditional medicinal uses of </w:t>
      </w:r>
      <w:proofErr w:type="spellStart"/>
      <w:r w:rsidR="009F5540" w:rsidRPr="005500E0">
        <w:rPr>
          <w:rFonts w:ascii="Arial" w:hAnsi="Arial" w:cs="Arial"/>
          <w:i/>
          <w:iCs/>
        </w:rPr>
        <w:t>Pseudognaphalium</w:t>
      </w:r>
      <w:proofErr w:type="spellEnd"/>
      <w:r w:rsidR="009F5540" w:rsidRPr="005500E0">
        <w:rPr>
          <w:rFonts w:ascii="Arial" w:hAnsi="Arial" w:cs="Arial"/>
          <w:i/>
          <w:iCs/>
        </w:rPr>
        <w:t xml:space="preserve"> </w:t>
      </w:r>
      <w:proofErr w:type="spellStart"/>
      <w:r w:rsidR="009F5540" w:rsidRPr="005500E0">
        <w:rPr>
          <w:rFonts w:ascii="Arial" w:hAnsi="Arial" w:cs="Arial"/>
          <w:i/>
          <w:iCs/>
        </w:rPr>
        <w:t>luteoalbum</w:t>
      </w:r>
      <w:proofErr w:type="spellEnd"/>
      <w:r w:rsidR="009F5540" w:rsidRPr="005500E0">
        <w:rPr>
          <w:rFonts w:ascii="Arial" w:hAnsi="Arial" w:cs="Arial"/>
        </w:rPr>
        <w:t xml:space="preserve"> (L.) Hilliard</w:t>
      </w:r>
      <w:r w:rsidR="0021226B" w:rsidRPr="005500E0">
        <w:rPr>
          <w:rFonts w:ascii="Arial" w:hAnsi="Arial" w:cs="Arial"/>
        </w:rPr>
        <w:t xml:space="preserve"> </w:t>
      </w:r>
      <w:r w:rsidR="009F5540" w:rsidRPr="005500E0">
        <w:rPr>
          <w:rFonts w:ascii="Arial" w:hAnsi="Arial" w:cs="Arial"/>
        </w:rPr>
        <w:t>&amp; B.L. Burtt</w:t>
      </w:r>
      <w:r w:rsidRPr="005500E0">
        <w:rPr>
          <w:rFonts w:ascii="Arial" w:hAnsi="Arial" w:cs="Arial"/>
        </w:rPr>
        <w:t xml:space="preserve">, as alkaloids are known for their antimicrobial and neuroprotective effects. Flavonoids, which contribute to UV protection and antioxidant activity, were found in significant amounts, reinforcing the plant’s potential for pharmaceutical applications. Wang et al. (2024) highlighted that plants in the genus </w:t>
      </w:r>
      <w:r w:rsidRPr="005500E0">
        <w:rPr>
          <w:rFonts w:ascii="Arial" w:hAnsi="Arial" w:cs="Arial"/>
          <w:i/>
          <w:iCs/>
        </w:rPr>
        <w:t>Gnaphalium</w:t>
      </w:r>
      <w:r w:rsidRPr="005500E0">
        <w:rPr>
          <w:rFonts w:ascii="Arial" w:hAnsi="Arial" w:cs="Arial"/>
        </w:rPr>
        <w:t xml:space="preserve"> have been used for treating various diseases, including pain and rheumatism, and possess bioactive compounds such as flavonoids and phenolic acids. </w:t>
      </w:r>
    </w:p>
    <w:p w14:paraId="213035BF" w14:textId="35D557DF" w:rsidR="00F24D42" w:rsidRPr="005500E0" w:rsidRDefault="00F87D01" w:rsidP="00557DD0">
      <w:pPr>
        <w:tabs>
          <w:tab w:val="right" w:pos="9026"/>
        </w:tabs>
        <w:spacing w:line="360" w:lineRule="auto"/>
        <w:jc w:val="both"/>
        <w:rPr>
          <w:rFonts w:ascii="Arial" w:hAnsi="Arial" w:cs="Arial"/>
          <w:b/>
          <w:bCs/>
        </w:rPr>
      </w:pPr>
      <w:r>
        <w:rPr>
          <w:rFonts w:ascii="Arial" w:hAnsi="Arial" w:cs="Arial"/>
          <w:b/>
          <w:bCs/>
        </w:rPr>
        <w:t>4</w:t>
      </w:r>
      <w:r w:rsidR="001748E9" w:rsidRPr="005500E0">
        <w:rPr>
          <w:rFonts w:ascii="Arial" w:hAnsi="Arial" w:cs="Arial"/>
          <w:b/>
          <w:bCs/>
        </w:rPr>
        <w:t>.5 Antioxidant Activity</w:t>
      </w:r>
    </w:p>
    <w:p w14:paraId="0D502EA9" w14:textId="495B0BE0" w:rsidR="001748E9" w:rsidRPr="005500E0" w:rsidRDefault="00F24D42" w:rsidP="00F24D42">
      <w:pPr>
        <w:spacing w:line="360" w:lineRule="auto"/>
        <w:jc w:val="both"/>
        <w:rPr>
          <w:rFonts w:ascii="Arial" w:hAnsi="Arial" w:cs="Arial"/>
        </w:rPr>
      </w:pPr>
      <w:r w:rsidRPr="005500E0">
        <w:rPr>
          <w:rFonts w:ascii="Arial" w:hAnsi="Arial" w:cs="Arial"/>
        </w:rPr>
        <w:t>Table 5: Results of the quantitative value for antioxidant activity</w:t>
      </w:r>
      <w:r w:rsidR="002934ED" w:rsidRPr="005500E0">
        <w:rPr>
          <w:rFonts w:ascii="Arial" w:hAnsi="Arial" w:cs="Arial"/>
        </w:rPr>
        <w:t xml:space="preserve"> for </w:t>
      </w:r>
      <w:proofErr w:type="spellStart"/>
      <w:r w:rsidR="002934ED" w:rsidRPr="005500E0">
        <w:rPr>
          <w:rFonts w:ascii="Arial" w:hAnsi="Arial" w:cs="Arial"/>
          <w:i/>
          <w:iCs/>
        </w:rPr>
        <w:t>Pseudognaphalium</w:t>
      </w:r>
      <w:proofErr w:type="spellEnd"/>
      <w:r w:rsidR="002934ED" w:rsidRPr="005500E0">
        <w:rPr>
          <w:rFonts w:ascii="Arial" w:hAnsi="Arial" w:cs="Arial"/>
          <w:i/>
          <w:iCs/>
        </w:rPr>
        <w:t xml:space="preserve"> </w:t>
      </w:r>
      <w:proofErr w:type="spellStart"/>
      <w:r w:rsidR="002934ED" w:rsidRPr="005500E0">
        <w:rPr>
          <w:rFonts w:ascii="Arial" w:hAnsi="Arial" w:cs="Arial"/>
          <w:i/>
          <w:iCs/>
        </w:rPr>
        <w:t>luteoalbum</w:t>
      </w:r>
      <w:proofErr w:type="spellEnd"/>
      <w:r w:rsidR="002934ED" w:rsidRPr="005500E0">
        <w:rPr>
          <w:rFonts w:ascii="Arial" w:hAnsi="Arial" w:cs="Arial"/>
        </w:rPr>
        <w:t xml:space="preserve"> (L.) Hilliard &amp; B.L. Burtt</w:t>
      </w:r>
      <w:r w:rsidRPr="005500E0">
        <w:rPr>
          <w:rFonts w:ascii="Arial" w:hAnsi="Arial" w:cs="Arial"/>
        </w:rPr>
        <w:t xml:space="preserve"> in µg/g dry wt.</w:t>
      </w:r>
    </w:p>
    <w:tbl>
      <w:tblPr>
        <w:tblStyle w:val="TableGrid"/>
        <w:tblW w:w="0" w:type="auto"/>
        <w:tblLook w:val="04A0" w:firstRow="1" w:lastRow="0" w:firstColumn="1" w:lastColumn="0" w:noHBand="0" w:noVBand="1"/>
      </w:tblPr>
      <w:tblGrid>
        <w:gridCol w:w="5553"/>
        <w:gridCol w:w="3324"/>
      </w:tblGrid>
      <w:tr w:rsidR="00607642" w:rsidRPr="005500E0" w14:paraId="0401DB77" w14:textId="77777777" w:rsidTr="00F24D42">
        <w:trPr>
          <w:trHeight w:val="456"/>
        </w:trPr>
        <w:tc>
          <w:tcPr>
            <w:tcW w:w="5553" w:type="dxa"/>
          </w:tcPr>
          <w:p w14:paraId="217BC39E" w14:textId="6BDC968D" w:rsidR="00607642" w:rsidRPr="005500E0" w:rsidRDefault="00607642" w:rsidP="00557DD0">
            <w:pPr>
              <w:spacing w:line="360" w:lineRule="auto"/>
              <w:jc w:val="both"/>
              <w:rPr>
                <w:rFonts w:ascii="Arial" w:hAnsi="Arial" w:cs="Arial"/>
                <w:b/>
                <w:bCs/>
              </w:rPr>
            </w:pPr>
            <w:r w:rsidRPr="005500E0">
              <w:rPr>
                <w:rFonts w:ascii="Arial" w:hAnsi="Arial" w:cs="Arial"/>
                <w:b/>
                <w:bCs/>
              </w:rPr>
              <w:t>Parameter</w:t>
            </w:r>
          </w:p>
        </w:tc>
        <w:tc>
          <w:tcPr>
            <w:tcW w:w="3324" w:type="dxa"/>
          </w:tcPr>
          <w:p w14:paraId="240C3960" w14:textId="3BC76D80" w:rsidR="00607642" w:rsidRPr="005500E0" w:rsidRDefault="00607642" w:rsidP="00557DD0">
            <w:pPr>
              <w:spacing w:line="360" w:lineRule="auto"/>
              <w:jc w:val="both"/>
              <w:rPr>
                <w:rFonts w:ascii="Arial" w:hAnsi="Arial" w:cs="Arial"/>
                <w:b/>
                <w:bCs/>
              </w:rPr>
            </w:pPr>
            <w:r w:rsidRPr="005500E0">
              <w:rPr>
                <w:rFonts w:ascii="Arial" w:hAnsi="Arial" w:cs="Arial"/>
                <w:b/>
                <w:bCs/>
              </w:rPr>
              <w:t>Value</w:t>
            </w:r>
          </w:p>
        </w:tc>
      </w:tr>
      <w:tr w:rsidR="00607642" w:rsidRPr="005500E0" w14:paraId="37F16982" w14:textId="77777777" w:rsidTr="00F24D42">
        <w:trPr>
          <w:trHeight w:val="456"/>
        </w:trPr>
        <w:tc>
          <w:tcPr>
            <w:tcW w:w="5553" w:type="dxa"/>
          </w:tcPr>
          <w:p w14:paraId="65A79707" w14:textId="3E75A4AE" w:rsidR="00607642" w:rsidRPr="005500E0" w:rsidRDefault="00607642" w:rsidP="00557DD0">
            <w:pPr>
              <w:spacing w:line="360" w:lineRule="auto"/>
              <w:jc w:val="both"/>
              <w:rPr>
                <w:rFonts w:ascii="Arial" w:hAnsi="Arial" w:cs="Arial"/>
                <w:b/>
                <w:bCs/>
              </w:rPr>
            </w:pPr>
            <w:r w:rsidRPr="005500E0">
              <w:rPr>
                <w:rFonts w:ascii="Arial" w:hAnsi="Arial" w:cs="Arial"/>
              </w:rPr>
              <w:t>IC50 (DPPH Assay)</w:t>
            </w:r>
          </w:p>
        </w:tc>
        <w:tc>
          <w:tcPr>
            <w:tcW w:w="3324" w:type="dxa"/>
          </w:tcPr>
          <w:p w14:paraId="6959DFF3" w14:textId="7E74345F" w:rsidR="00607642" w:rsidRPr="005500E0" w:rsidRDefault="00607642" w:rsidP="00557DD0">
            <w:pPr>
              <w:spacing w:line="360" w:lineRule="auto"/>
              <w:jc w:val="both"/>
              <w:rPr>
                <w:rFonts w:ascii="Arial" w:hAnsi="Arial" w:cs="Arial"/>
                <w:b/>
                <w:bCs/>
              </w:rPr>
            </w:pPr>
            <w:r w:rsidRPr="005500E0">
              <w:rPr>
                <w:rFonts w:ascii="Arial" w:hAnsi="Arial" w:cs="Arial"/>
              </w:rPr>
              <w:t>11.579 µg/g dry wt</w:t>
            </w:r>
            <w:r w:rsidR="005C34B0" w:rsidRPr="005500E0">
              <w:rPr>
                <w:rFonts w:ascii="Arial" w:hAnsi="Arial" w:cs="Arial"/>
              </w:rPr>
              <w:t>.</w:t>
            </w:r>
          </w:p>
        </w:tc>
      </w:tr>
    </w:tbl>
    <w:p w14:paraId="50E0BD40" w14:textId="77777777" w:rsidR="0018762F" w:rsidRPr="005500E0" w:rsidRDefault="0018762F" w:rsidP="00557DD0">
      <w:pPr>
        <w:spacing w:line="360" w:lineRule="auto"/>
        <w:jc w:val="both"/>
        <w:rPr>
          <w:rFonts w:ascii="Arial" w:hAnsi="Arial" w:cs="Arial"/>
        </w:rPr>
      </w:pPr>
    </w:p>
    <w:p w14:paraId="32D85688" w14:textId="7D9AD466" w:rsidR="001C07DF" w:rsidRPr="005500E0" w:rsidRDefault="001748E9" w:rsidP="00B61ED6">
      <w:pPr>
        <w:spacing w:line="360" w:lineRule="auto"/>
        <w:jc w:val="both"/>
        <w:rPr>
          <w:rFonts w:ascii="Arial" w:hAnsi="Arial" w:cs="Arial"/>
        </w:rPr>
      </w:pPr>
      <w:r w:rsidRPr="005500E0">
        <w:rPr>
          <w:rFonts w:ascii="Arial" w:hAnsi="Arial" w:cs="Arial"/>
        </w:rPr>
        <w:t>Antioxidant assays revealed significant free radical scavenging properties. The low IC50 value</w:t>
      </w:r>
      <w:r w:rsidR="009459FE" w:rsidRPr="005500E0">
        <w:rPr>
          <w:rFonts w:ascii="Arial" w:hAnsi="Arial" w:cs="Arial"/>
        </w:rPr>
        <w:t xml:space="preserve"> (11.579 µg/g dry wt</w:t>
      </w:r>
      <w:r w:rsidR="005C34B0" w:rsidRPr="005500E0">
        <w:rPr>
          <w:rFonts w:ascii="Arial" w:hAnsi="Arial" w:cs="Arial"/>
        </w:rPr>
        <w:t>.</w:t>
      </w:r>
      <w:r w:rsidR="009459FE" w:rsidRPr="005500E0">
        <w:rPr>
          <w:rFonts w:ascii="Arial" w:hAnsi="Arial" w:cs="Arial"/>
        </w:rPr>
        <w:t>)</w:t>
      </w:r>
      <w:r w:rsidRPr="005500E0">
        <w:rPr>
          <w:rFonts w:ascii="Arial" w:hAnsi="Arial" w:cs="Arial"/>
        </w:rPr>
        <w:t xml:space="preserve"> suggests strong antioxidant activity, comparable to well-known medicinal plants. This indicates that </w:t>
      </w:r>
      <w:proofErr w:type="spellStart"/>
      <w:r w:rsidRPr="005500E0">
        <w:rPr>
          <w:rFonts w:ascii="Arial" w:hAnsi="Arial" w:cs="Arial"/>
          <w:i/>
          <w:iCs/>
        </w:rPr>
        <w:t>Pseudognaphalium</w:t>
      </w:r>
      <w:proofErr w:type="spellEnd"/>
      <w:r w:rsidRPr="005500E0">
        <w:rPr>
          <w:rFonts w:ascii="Arial" w:hAnsi="Arial" w:cs="Arial"/>
          <w:i/>
          <w:iCs/>
        </w:rPr>
        <w:t xml:space="preserve"> </w:t>
      </w:r>
      <w:proofErr w:type="spellStart"/>
      <w:r w:rsidRPr="005500E0">
        <w:rPr>
          <w:rFonts w:ascii="Arial" w:hAnsi="Arial" w:cs="Arial"/>
          <w:i/>
          <w:iCs/>
        </w:rPr>
        <w:t>luteoalbum</w:t>
      </w:r>
      <w:proofErr w:type="spellEnd"/>
      <w:r w:rsidRPr="005500E0">
        <w:rPr>
          <w:rFonts w:ascii="Arial" w:hAnsi="Arial" w:cs="Arial"/>
        </w:rPr>
        <w:t xml:space="preserve"> can be an effective natural antioxidant source, potentially useful in preventing oxidative stress-related diseases such as cancer, cardiovascular disorders, and neurodegenerative conditions. A study by </w:t>
      </w:r>
      <w:proofErr w:type="spellStart"/>
      <w:r w:rsidRPr="005500E0">
        <w:rPr>
          <w:rFonts w:ascii="Arial" w:hAnsi="Arial" w:cs="Arial"/>
        </w:rPr>
        <w:t>Aderogba</w:t>
      </w:r>
      <w:proofErr w:type="spellEnd"/>
      <w:r w:rsidRPr="005500E0">
        <w:rPr>
          <w:rFonts w:ascii="Arial" w:hAnsi="Arial" w:cs="Arial"/>
        </w:rPr>
        <w:t xml:space="preserve"> et al. (2014) demonstrated the antifungal activity of </w:t>
      </w:r>
      <w:proofErr w:type="spellStart"/>
      <w:r w:rsidRPr="005500E0">
        <w:rPr>
          <w:rFonts w:ascii="Arial" w:hAnsi="Arial" w:cs="Arial"/>
          <w:i/>
          <w:iCs/>
        </w:rPr>
        <w:t>Pseudognaphalium</w:t>
      </w:r>
      <w:proofErr w:type="spellEnd"/>
      <w:r w:rsidRPr="005500E0">
        <w:rPr>
          <w:rFonts w:ascii="Arial" w:hAnsi="Arial" w:cs="Arial"/>
          <w:i/>
          <w:iCs/>
        </w:rPr>
        <w:t xml:space="preserve"> </w:t>
      </w:r>
      <w:proofErr w:type="spellStart"/>
      <w:r w:rsidRPr="005500E0">
        <w:rPr>
          <w:rFonts w:ascii="Arial" w:hAnsi="Arial" w:cs="Arial"/>
          <w:i/>
          <w:iCs/>
        </w:rPr>
        <w:t>luteoalbum</w:t>
      </w:r>
      <w:proofErr w:type="spellEnd"/>
      <w:r w:rsidRPr="005500E0">
        <w:rPr>
          <w:rFonts w:ascii="Arial" w:hAnsi="Arial" w:cs="Arial"/>
        </w:rPr>
        <w:t xml:space="preserve"> leaf acetone extracts and purified compounds, indicating its potential as a source of biologically active compounds. </w:t>
      </w:r>
    </w:p>
    <w:p w14:paraId="563C6EEE" w14:textId="76B52B33" w:rsidR="0018762F" w:rsidRPr="005500E0" w:rsidRDefault="0018762F" w:rsidP="00B61ED6">
      <w:pPr>
        <w:tabs>
          <w:tab w:val="right" w:pos="9026"/>
        </w:tabs>
        <w:spacing w:line="360" w:lineRule="auto"/>
        <w:jc w:val="both"/>
        <w:rPr>
          <w:rFonts w:ascii="Arial" w:hAnsi="Arial" w:cs="Arial"/>
        </w:rPr>
      </w:pPr>
      <w:r w:rsidRPr="005500E0">
        <w:rPr>
          <w:rFonts w:ascii="Arial" w:hAnsi="Arial" w:cs="Arial"/>
        </w:rPr>
        <w:lastRenderedPageBreak/>
        <w:t xml:space="preserve">    </w:t>
      </w:r>
      <w:r w:rsidR="001C07DF" w:rsidRPr="005500E0">
        <w:rPr>
          <w:rFonts w:ascii="Arial" w:hAnsi="Arial" w:cs="Arial"/>
          <w:noProof/>
        </w:rPr>
        <w:drawing>
          <wp:inline distT="0" distB="0" distL="0" distR="0" wp14:anchorId="204CD46A" wp14:editId="2F7D97FE">
            <wp:extent cx="5676265" cy="3978077"/>
            <wp:effectExtent l="0" t="0" r="635" b="3810"/>
            <wp:docPr id="668996656" name="Chart 1">
              <a:extLst xmlns:a="http://schemas.openxmlformats.org/drawingml/2006/main">
                <a:ext uri="{FF2B5EF4-FFF2-40B4-BE49-F238E27FC236}">
                  <a16:creationId xmlns:a16="http://schemas.microsoft.com/office/drawing/2014/main" id="{E71B0790-5122-E143-BC80-009AF7D01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0E4D17" w14:textId="75BE4417" w:rsidR="00AE43F7" w:rsidRPr="005500E0" w:rsidRDefault="0018762F" w:rsidP="00700995">
      <w:pPr>
        <w:tabs>
          <w:tab w:val="right" w:pos="9026"/>
        </w:tabs>
        <w:spacing w:line="360" w:lineRule="auto"/>
        <w:jc w:val="both"/>
        <w:rPr>
          <w:rFonts w:ascii="Arial" w:hAnsi="Arial" w:cs="Arial"/>
        </w:rPr>
      </w:pPr>
      <w:r w:rsidRPr="005500E0">
        <w:rPr>
          <w:rFonts w:ascii="Arial" w:hAnsi="Arial" w:cs="Arial"/>
        </w:rPr>
        <w:t xml:space="preserve">Figure </w:t>
      </w:r>
      <w:r w:rsidR="000F192F" w:rsidRPr="005500E0">
        <w:rPr>
          <w:rFonts w:ascii="Arial" w:hAnsi="Arial" w:cs="Arial"/>
        </w:rPr>
        <w:t>2</w:t>
      </w:r>
      <w:r w:rsidRPr="005500E0">
        <w:rPr>
          <w:rFonts w:ascii="Arial" w:hAnsi="Arial" w:cs="Arial"/>
        </w:rPr>
        <w:t>:</w:t>
      </w:r>
      <w:r w:rsidR="00AE43F7" w:rsidRPr="005500E0">
        <w:rPr>
          <w:rFonts w:ascii="Arial" w:hAnsi="Arial" w:cs="Arial"/>
        </w:rPr>
        <w:t xml:space="preserve"> </w:t>
      </w:r>
      <w:r w:rsidRPr="005500E0">
        <w:rPr>
          <w:rFonts w:ascii="Arial" w:hAnsi="Arial" w:cs="Arial"/>
        </w:rPr>
        <w:t xml:space="preserve">Graphical </w:t>
      </w:r>
      <w:proofErr w:type="spellStart"/>
      <w:r w:rsidRPr="005500E0">
        <w:rPr>
          <w:rFonts w:ascii="Arial" w:hAnsi="Arial" w:cs="Arial"/>
        </w:rPr>
        <w:t>representation</w:t>
      </w:r>
      <w:r w:rsidR="00513DB8" w:rsidRPr="005500E0">
        <w:rPr>
          <w:rFonts w:ascii="Arial" w:hAnsi="Arial" w:cs="Arial"/>
        </w:rPr>
        <w:t>of</w:t>
      </w:r>
      <w:proofErr w:type="spellEnd"/>
      <w:r w:rsidR="00513DB8" w:rsidRPr="005500E0">
        <w:rPr>
          <w:rFonts w:ascii="Arial" w:hAnsi="Arial" w:cs="Arial"/>
        </w:rPr>
        <w:t xml:space="preserve"> </w:t>
      </w:r>
      <w:r w:rsidR="00AE43F7" w:rsidRPr="005500E0">
        <w:rPr>
          <w:rFonts w:ascii="Arial" w:hAnsi="Arial" w:cs="Arial"/>
        </w:rPr>
        <w:t xml:space="preserve">% inhibition for </w:t>
      </w:r>
      <w:proofErr w:type="spellStart"/>
      <w:r w:rsidR="006E59ED" w:rsidRPr="005500E0">
        <w:rPr>
          <w:rFonts w:ascii="Arial" w:hAnsi="Arial" w:cs="Arial"/>
          <w:i/>
          <w:iCs/>
        </w:rPr>
        <w:t>Pseudognaphalium</w:t>
      </w:r>
      <w:proofErr w:type="spellEnd"/>
      <w:r w:rsidR="006E59ED" w:rsidRPr="005500E0">
        <w:rPr>
          <w:rFonts w:ascii="Arial" w:hAnsi="Arial" w:cs="Arial"/>
          <w:i/>
          <w:iCs/>
        </w:rPr>
        <w:t xml:space="preserve"> </w:t>
      </w:r>
      <w:proofErr w:type="spellStart"/>
      <w:r w:rsidR="006E59ED" w:rsidRPr="005500E0">
        <w:rPr>
          <w:rFonts w:ascii="Arial" w:hAnsi="Arial" w:cs="Arial"/>
          <w:i/>
          <w:iCs/>
        </w:rPr>
        <w:t>luteoalbum</w:t>
      </w:r>
      <w:proofErr w:type="spellEnd"/>
      <w:r w:rsidR="006E59ED" w:rsidRPr="005500E0">
        <w:rPr>
          <w:rFonts w:ascii="Arial" w:hAnsi="Arial" w:cs="Arial"/>
        </w:rPr>
        <w:t xml:space="preserve"> (L.) Hilliard and B.L. Burtt</w:t>
      </w:r>
    </w:p>
    <w:p w14:paraId="0A3513BD" w14:textId="08015DAC" w:rsidR="001748E9" w:rsidRPr="005500E0" w:rsidRDefault="00F87D01" w:rsidP="00557DD0">
      <w:pPr>
        <w:spacing w:line="360" w:lineRule="auto"/>
        <w:jc w:val="both"/>
        <w:rPr>
          <w:rFonts w:ascii="Arial" w:hAnsi="Arial" w:cs="Arial"/>
          <w:b/>
          <w:bCs/>
          <w:color w:val="000000" w:themeColor="text1"/>
        </w:rPr>
      </w:pPr>
      <w:r>
        <w:rPr>
          <w:rFonts w:ascii="Arial" w:hAnsi="Arial" w:cs="Arial"/>
          <w:b/>
          <w:bCs/>
          <w:color w:val="000000" w:themeColor="text1"/>
        </w:rPr>
        <w:t>4</w:t>
      </w:r>
      <w:r w:rsidR="001748E9" w:rsidRPr="005500E0">
        <w:rPr>
          <w:rFonts w:ascii="Arial" w:hAnsi="Arial" w:cs="Arial"/>
          <w:b/>
          <w:bCs/>
          <w:color w:val="000000" w:themeColor="text1"/>
        </w:rPr>
        <w:t>.6 Comparative Analysis with Other Medicinal Plants</w:t>
      </w:r>
    </w:p>
    <w:p w14:paraId="4EE589E4" w14:textId="6BEC17CB" w:rsidR="00081ED9" w:rsidRPr="005500E0" w:rsidRDefault="006C1C99" w:rsidP="00081ED9">
      <w:pPr>
        <w:spacing w:line="360" w:lineRule="auto"/>
        <w:jc w:val="both"/>
        <w:rPr>
          <w:rFonts w:ascii="Arial" w:hAnsi="Arial" w:cs="Arial"/>
          <w:color w:val="000000" w:themeColor="text1"/>
        </w:rPr>
      </w:pPr>
      <w:r w:rsidRPr="005500E0">
        <w:rPr>
          <w:rFonts w:ascii="Arial" w:hAnsi="Arial" w:cs="Arial"/>
          <w:color w:val="000000" w:themeColor="text1"/>
        </w:rPr>
        <w:t>To further assess the significance of the obtained results, a comparison was made with other medicinal plants known for their antioxidant properties.</w:t>
      </w:r>
    </w:p>
    <w:p w14:paraId="48D635C7" w14:textId="450009AC" w:rsidR="00266716" w:rsidRPr="005500E0" w:rsidRDefault="00081ED9" w:rsidP="00773250">
      <w:pPr>
        <w:tabs>
          <w:tab w:val="right" w:pos="9026"/>
        </w:tabs>
        <w:spacing w:line="360" w:lineRule="auto"/>
        <w:jc w:val="both"/>
        <w:rPr>
          <w:rFonts w:ascii="Arial" w:hAnsi="Arial" w:cs="Arial"/>
        </w:rPr>
      </w:pPr>
      <w:r w:rsidRPr="005500E0">
        <w:rPr>
          <w:rFonts w:ascii="Arial" w:hAnsi="Arial" w:cs="Arial"/>
        </w:rPr>
        <w:t xml:space="preserve">Table 6: </w:t>
      </w:r>
      <w:r w:rsidRPr="005500E0">
        <w:rPr>
          <w:rFonts w:ascii="Arial" w:hAnsi="Arial" w:cs="Arial"/>
          <w:color w:val="000000" w:themeColor="text1"/>
        </w:rPr>
        <w:t xml:space="preserve">Comparative Analysis </w:t>
      </w:r>
      <w:r w:rsidR="00266716" w:rsidRPr="005500E0">
        <w:rPr>
          <w:rFonts w:ascii="Arial" w:hAnsi="Arial" w:cs="Arial"/>
          <w:color w:val="000000" w:themeColor="text1"/>
        </w:rPr>
        <w:t xml:space="preserve">of </w:t>
      </w:r>
      <w:proofErr w:type="spellStart"/>
      <w:r w:rsidR="00266716" w:rsidRPr="005500E0">
        <w:rPr>
          <w:rFonts w:ascii="Arial" w:hAnsi="Arial" w:cs="Arial"/>
          <w:i/>
          <w:iCs/>
        </w:rPr>
        <w:t>Pseudognaphalium</w:t>
      </w:r>
      <w:proofErr w:type="spellEnd"/>
      <w:r w:rsidR="00266716" w:rsidRPr="005500E0">
        <w:rPr>
          <w:rFonts w:ascii="Arial" w:hAnsi="Arial" w:cs="Arial"/>
          <w:i/>
          <w:iCs/>
        </w:rPr>
        <w:t xml:space="preserve"> </w:t>
      </w:r>
      <w:proofErr w:type="spellStart"/>
      <w:r w:rsidR="00266716" w:rsidRPr="005500E0">
        <w:rPr>
          <w:rFonts w:ascii="Arial" w:hAnsi="Arial" w:cs="Arial"/>
          <w:i/>
          <w:iCs/>
        </w:rPr>
        <w:t>luteoalbum</w:t>
      </w:r>
      <w:proofErr w:type="spellEnd"/>
      <w:r w:rsidR="00266716" w:rsidRPr="005500E0">
        <w:rPr>
          <w:rFonts w:ascii="Arial" w:hAnsi="Arial" w:cs="Arial"/>
        </w:rPr>
        <w:t xml:space="preserve"> (L.) Hilliard and B.L. Burtt</w:t>
      </w:r>
    </w:p>
    <w:p w14:paraId="02B2C2DF" w14:textId="5CD9FD8A" w:rsidR="00081ED9" w:rsidRPr="005500E0" w:rsidRDefault="00081ED9" w:rsidP="00773250">
      <w:pPr>
        <w:spacing w:line="360" w:lineRule="auto"/>
        <w:jc w:val="both"/>
        <w:rPr>
          <w:rFonts w:ascii="Arial" w:hAnsi="Arial" w:cs="Arial"/>
        </w:rPr>
      </w:pPr>
      <w:r w:rsidRPr="005500E0">
        <w:rPr>
          <w:rFonts w:ascii="Arial" w:hAnsi="Arial" w:cs="Arial"/>
          <w:color w:val="000000" w:themeColor="text1"/>
        </w:rPr>
        <w:t>with Other Medicinal Plants for</w:t>
      </w:r>
      <w:r w:rsidRPr="005500E0">
        <w:rPr>
          <w:rFonts w:ascii="Arial" w:hAnsi="Arial" w:cs="Arial"/>
        </w:rPr>
        <w:t xml:space="preserve"> </w:t>
      </w:r>
      <w:r w:rsidR="00FC4B77" w:rsidRPr="005500E0">
        <w:rPr>
          <w:rFonts w:ascii="Arial" w:hAnsi="Arial" w:cs="Arial"/>
        </w:rPr>
        <w:t>total phenolics</w:t>
      </w:r>
      <w:r w:rsidR="0018762F" w:rsidRPr="005500E0">
        <w:rPr>
          <w:rFonts w:ascii="Arial" w:hAnsi="Arial" w:cs="Arial"/>
        </w:rPr>
        <w:t xml:space="preserve">, </w:t>
      </w:r>
      <w:r w:rsidR="00FC4B77" w:rsidRPr="005500E0">
        <w:rPr>
          <w:rFonts w:ascii="Arial" w:hAnsi="Arial" w:cs="Arial"/>
        </w:rPr>
        <w:t xml:space="preserve">total flavonoids and </w:t>
      </w:r>
      <w:r w:rsidRPr="005500E0">
        <w:rPr>
          <w:rFonts w:ascii="Arial" w:hAnsi="Arial" w:cs="Arial"/>
        </w:rPr>
        <w:t>antioxidant activity</w:t>
      </w:r>
      <w:r w:rsidR="0018762F" w:rsidRPr="005500E0">
        <w:rPr>
          <w:rFonts w:ascii="Arial" w:hAnsi="Arial" w:cs="Arial"/>
        </w:rPr>
        <w:t>.</w:t>
      </w:r>
    </w:p>
    <w:tbl>
      <w:tblPr>
        <w:tblStyle w:val="TableGrid"/>
        <w:tblW w:w="9021" w:type="dxa"/>
        <w:tblInd w:w="-5" w:type="dxa"/>
        <w:tblLook w:val="04A0" w:firstRow="1" w:lastRow="0" w:firstColumn="1" w:lastColumn="0" w:noHBand="0" w:noVBand="1"/>
      </w:tblPr>
      <w:tblGrid>
        <w:gridCol w:w="851"/>
        <w:gridCol w:w="2835"/>
        <w:gridCol w:w="1984"/>
        <w:gridCol w:w="1843"/>
        <w:gridCol w:w="1508"/>
      </w:tblGrid>
      <w:tr w:rsidR="00DF59D7" w:rsidRPr="005500E0" w14:paraId="45EE01DF" w14:textId="77777777" w:rsidTr="00773250">
        <w:tc>
          <w:tcPr>
            <w:tcW w:w="851" w:type="dxa"/>
          </w:tcPr>
          <w:p w14:paraId="50F19A2E" w14:textId="739D98D6" w:rsidR="00551167" w:rsidRPr="005500E0" w:rsidRDefault="00551167" w:rsidP="006C1C99">
            <w:pPr>
              <w:spacing w:line="360" w:lineRule="auto"/>
              <w:jc w:val="both"/>
              <w:rPr>
                <w:rFonts w:ascii="Arial" w:hAnsi="Arial" w:cs="Arial"/>
                <w:b/>
                <w:bCs/>
                <w:color w:val="000000" w:themeColor="text1"/>
              </w:rPr>
            </w:pPr>
            <w:r w:rsidRPr="005500E0">
              <w:rPr>
                <w:rFonts w:ascii="Arial" w:hAnsi="Arial" w:cs="Arial"/>
                <w:b/>
                <w:bCs/>
                <w:color w:val="000000" w:themeColor="text1"/>
              </w:rPr>
              <w:t>Sl. no</w:t>
            </w:r>
          </w:p>
        </w:tc>
        <w:tc>
          <w:tcPr>
            <w:tcW w:w="2835" w:type="dxa"/>
          </w:tcPr>
          <w:p w14:paraId="1FFD0F98" w14:textId="43F2B409" w:rsidR="00551167" w:rsidRPr="005500E0" w:rsidRDefault="00551167" w:rsidP="006C1C99">
            <w:pPr>
              <w:spacing w:line="360" w:lineRule="auto"/>
              <w:jc w:val="both"/>
              <w:rPr>
                <w:rFonts w:ascii="Arial" w:hAnsi="Arial" w:cs="Arial"/>
                <w:b/>
                <w:bCs/>
                <w:color w:val="000000" w:themeColor="text1"/>
              </w:rPr>
            </w:pPr>
            <w:r w:rsidRPr="005500E0">
              <w:rPr>
                <w:rFonts w:ascii="Arial" w:hAnsi="Arial" w:cs="Arial"/>
                <w:b/>
                <w:bCs/>
                <w:color w:val="000000" w:themeColor="text1"/>
              </w:rPr>
              <w:t>Plant Species</w:t>
            </w:r>
          </w:p>
          <w:p w14:paraId="5F632665" w14:textId="77777777" w:rsidR="00551167" w:rsidRPr="005500E0" w:rsidRDefault="00551167" w:rsidP="00551167">
            <w:pPr>
              <w:rPr>
                <w:rFonts w:ascii="Arial" w:hAnsi="Arial" w:cs="Arial"/>
                <w:b/>
                <w:bCs/>
                <w:color w:val="000000" w:themeColor="text1"/>
              </w:rPr>
            </w:pPr>
          </w:p>
          <w:p w14:paraId="425F4D92" w14:textId="617D2CEE" w:rsidR="00551167" w:rsidRPr="005500E0" w:rsidRDefault="00551167" w:rsidP="00551167">
            <w:pPr>
              <w:rPr>
                <w:rFonts w:ascii="Arial" w:hAnsi="Arial" w:cs="Arial"/>
                <w:b/>
                <w:bCs/>
                <w:color w:val="000000" w:themeColor="text1"/>
              </w:rPr>
            </w:pPr>
          </w:p>
        </w:tc>
        <w:tc>
          <w:tcPr>
            <w:tcW w:w="1984" w:type="dxa"/>
          </w:tcPr>
          <w:p w14:paraId="0B5FF393" w14:textId="1A319356" w:rsidR="00551167" w:rsidRPr="005500E0" w:rsidRDefault="00551167" w:rsidP="006C1C99">
            <w:pPr>
              <w:spacing w:line="360" w:lineRule="auto"/>
              <w:jc w:val="both"/>
              <w:rPr>
                <w:rFonts w:ascii="Arial" w:hAnsi="Arial" w:cs="Arial"/>
                <w:b/>
                <w:bCs/>
                <w:color w:val="000000" w:themeColor="text1"/>
              </w:rPr>
            </w:pPr>
            <w:r w:rsidRPr="005500E0">
              <w:rPr>
                <w:rFonts w:ascii="Arial" w:hAnsi="Arial" w:cs="Arial"/>
                <w:b/>
                <w:bCs/>
                <w:color w:val="000000" w:themeColor="text1"/>
              </w:rPr>
              <w:t>Total Phenolics (µg/g)</w:t>
            </w:r>
          </w:p>
        </w:tc>
        <w:tc>
          <w:tcPr>
            <w:tcW w:w="1843" w:type="dxa"/>
          </w:tcPr>
          <w:p w14:paraId="7B0FFEF4" w14:textId="7AEDFACB" w:rsidR="00551167" w:rsidRPr="005500E0" w:rsidRDefault="00551167" w:rsidP="006C1C99">
            <w:pPr>
              <w:spacing w:line="360" w:lineRule="auto"/>
              <w:jc w:val="both"/>
              <w:rPr>
                <w:rFonts w:ascii="Arial" w:hAnsi="Arial" w:cs="Arial"/>
                <w:b/>
                <w:bCs/>
                <w:color w:val="000000" w:themeColor="text1"/>
              </w:rPr>
            </w:pPr>
            <w:r w:rsidRPr="005500E0">
              <w:rPr>
                <w:rFonts w:ascii="Arial" w:hAnsi="Arial" w:cs="Arial"/>
                <w:b/>
                <w:bCs/>
                <w:color w:val="000000" w:themeColor="text1"/>
              </w:rPr>
              <w:t>Total Flavonoids (mg/g)</w:t>
            </w:r>
          </w:p>
        </w:tc>
        <w:tc>
          <w:tcPr>
            <w:tcW w:w="1508" w:type="dxa"/>
          </w:tcPr>
          <w:p w14:paraId="2FB4CB75" w14:textId="16BB3290" w:rsidR="00551167" w:rsidRPr="005500E0" w:rsidRDefault="00551167" w:rsidP="006C1C99">
            <w:pPr>
              <w:spacing w:line="360" w:lineRule="auto"/>
              <w:jc w:val="both"/>
              <w:rPr>
                <w:rFonts w:ascii="Arial" w:hAnsi="Arial" w:cs="Arial"/>
                <w:b/>
                <w:bCs/>
                <w:color w:val="000000" w:themeColor="text1"/>
              </w:rPr>
            </w:pPr>
            <w:r w:rsidRPr="005500E0">
              <w:rPr>
                <w:rFonts w:ascii="Arial" w:hAnsi="Arial" w:cs="Arial"/>
                <w:b/>
                <w:bCs/>
                <w:color w:val="000000" w:themeColor="text1"/>
              </w:rPr>
              <w:t>IC50 (DPPH)</w:t>
            </w:r>
          </w:p>
        </w:tc>
      </w:tr>
      <w:tr w:rsidR="00DF59D7" w:rsidRPr="005500E0" w14:paraId="3E469890" w14:textId="77777777" w:rsidTr="00773250">
        <w:tc>
          <w:tcPr>
            <w:tcW w:w="851" w:type="dxa"/>
          </w:tcPr>
          <w:p w14:paraId="333ED360" w14:textId="67EAD26E"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w:t>
            </w:r>
          </w:p>
        </w:tc>
        <w:tc>
          <w:tcPr>
            <w:tcW w:w="2835" w:type="dxa"/>
          </w:tcPr>
          <w:p w14:paraId="09373A5F" w14:textId="1499324C" w:rsidR="00551167" w:rsidRPr="005500E0" w:rsidRDefault="0026263F" w:rsidP="006C1C99">
            <w:pPr>
              <w:spacing w:line="360" w:lineRule="auto"/>
              <w:jc w:val="both"/>
              <w:rPr>
                <w:rFonts w:ascii="Arial" w:hAnsi="Arial" w:cs="Arial"/>
                <w:color w:val="000000" w:themeColor="text1"/>
              </w:rPr>
            </w:pPr>
            <w:proofErr w:type="spellStart"/>
            <w:r w:rsidRPr="005500E0">
              <w:rPr>
                <w:rFonts w:ascii="Arial" w:hAnsi="Arial" w:cs="Arial"/>
                <w:i/>
                <w:iCs/>
              </w:rPr>
              <w:t>Pseudognaphalium</w:t>
            </w:r>
            <w:proofErr w:type="spellEnd"/>
            <w:r w:rsidRPr="005500E0">
              <w:rPr>
                <w:rFonts w:ascii="Arial" w:hAnsi="Arial" w:cs="Arial"/>
                <w:i/>
                <w:iCs/>
              </w:rPr>
              <w:t xml:space="preserve"> </w:t>
            </w:r>
            <w:proofErr w:type="spellStart"/>
            <w:r w:rsidRPr="005500E0">
              <w:rPr>
                <w:rFonts w:ascii="Arial" w:hAnsi="Arial" w:cs="Arial"/>
                <w:i/>
                <w:iCs/>
              </w:rPr>
              <w:t>luteoalbum</w:t>
            </w:r>
            <w:proofErr w:type="spellEnd"/>
            <w:r w:rsidRPr="005500E0">
              <w:rPr>
                <w:rFonts w:ascii="Arial" w:hAnsi="Arial" w:cs="Arial"/>
              </w:rPr>
              <w:t xml:space="preserve"> (L.) Hilliard and B.L. Burtt</w:t>
            </w:r>
            <w:r w:rsidR="00190D79" w:rsidRPr="005500E0">
              <w:rPr>
                <w:rFonts w:ascii="Arial" w:hAnsi="Arial" w:cs="Arial"/>
              </w:rPr>
              <w:t xml:space="preserve"> </w:t>
            </w:r>
          </w:p>
        </w:tc>
        <w:tc>
          <w:tcPr>
            <w:tcW w:w="1984" w:type="dxa"/>
          </w:tcPr>
          <w:p w14:paraId="56CAB4F5" w14:textId="69159828"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49.926 ± 3.627</w:t>
            </w:r>
          </w:p>
        </w:tc>
        <w:tc>
          <w:tcPr>
            <w:tcW w:w="1843" w:type="dxa"/>
          </w:tcPr>
          <w:p w14:paraId="398CF8E4" w14:textId="7C7B146A"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17.310 ± 0.0918</w:t>
            </w:r>
          </w:p>
        </w:tc>
        <w:tc>
          <w:tcPr>
            <w:tcW w:w="1508" w:type="dxa"/>
          </w:tcPr>
          <w:p w14:paraId="70350D28" w14:textId="18CB1734"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11.579 µg/g</w:t>
            </w:r>
          </w:p>
        </w:tc>
      </w:tr>
      <w:tr w:rsidR="00DF59D7" w:rsidRPr="005500E0" w14:paraId="1F6B49F6" w14:textId="77777777" w:rsidTr="00773250">
        <w:tc>
          <w:tcPr>
            <w:tcW w:w="851" w:type="dxa"/>
          </w:tcPr>
          <w:p w14:paraId="0A9F6EB1" w14:textId="33BFB297"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2.</w:t>
            </w:r>
          </w:p>
        </w:tc>
        <w:tc>
          <w:tcPr>
            <w:tcW w:w="2835" w:type="dxa"/>
          </w:tcPr>
          <w:p w14:paraId="3D226762" w14:textId="0C3FE777"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Curcuma longa (Turmeric)</w:t>
            </w:r>
          </w:p>
        </w:tc>
        <w:tc>
          <w:tcPr>
            <w:tcW w:w="1984" w:type="dxa"/>
          </w:tcPr>
          <w:p w14:paraId="3557AED8" w14:textId="0DC4B069"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45.62 ± 2.91</w:t>
            </w:r>
          </w:p>
        </w:tc>
        <w:tc>
          <w:tcPr>
            <w:tcW w:w="1843" w:type="dxa"/>
          </w:tcPr>
          <w:p w14:paraId="7FDB68D6" w14:textId="4DB0532F"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15.75 ± 0.82</w:t>
            </w:r>
          </w:p>
        </w:tc>
        <w:tc>
          <w:tcPr>
            <w:tcW w:w="1508" w:type="dxa"/>
          </w:tcPr>
          <w:p w14:paraId="1F51C7D0" w14:textId="0073FDE8"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14.3 µg/g</w:t>
            </w:r>
          </w:p>
        </w:tc>
      </w:tr>
      <w:tr w:rsidR="00DF59D7" w:rsidRPr="005500E0" w14:paraId="4D811676" w14:textId="77777777" w:rsidTr="00773250">
        <w:tc>
          <w:tcPr>
            <w:tcW w:w="851" w:type="dxa"/>
          </w:tcPr>
          <w:p w14:paraId="66105050" w14:textId="2EB22DC1"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3.</w:t>
            </w:r>
          </w:p>
        </w:tc>
        <w:tc>
          <w:tcPr>
            <w:tcW w:w="2835" w:type="dxa"/>
          </w:tcPr>
          <w:p w14:paraId="59D9176F" w14:textId="21662118" w:rsidR="00551167" w:rsidRPr="005500E0" w:rsidRDefault="00551167" w:rsidP="006C1C99">
            <w:pPr>
              <w:spacing w:line="360" w:lineRule="auto"/>
              <w:jc w:val="both"/>
              <w:rPr>
                <w:rFonts w:ascii="Arial" w:hAnsi="Arial" w:cs="Arial"/>
                <w:color w:val="000000" w:themeColor="text1"/>
              </w:rPr>
            </w:pPr>
            <w:proofErr w:type="spellStart"/>
            <w:r w:rsidRPr="005500E0">
              <w:rPr>
                <w:rFonts w:ascii="Arial" w:hAnsi="Arial" w:cs="Arial"/>
                <w:color w:val="000000" w:themeColor="text1"/>
              </w:rPr>
              <w:t>Azadirachta</w:t>
            </w:r>
            <w:proofErr w:type="spellEnd"/>
            <w:r w:rsidRPr="005500E0">
              <w:rPr>
                <w:rFonts w:ascii="Arial" w:hAnsi="Arial" w:cs="Arial"/>
                <w:color w:val="000000" w:themeColor="text1"/>
              </w:rPr>
              <w:t xml:space="preserve"> </w:t>
            </w:r>
            <w:proofErr w:type="spellStart"/>
            <w:r w:rsidRPr="005500E0">
              <w:rPr>
                <w:rFonts w:ascii="Arial" w:hAnsi="Arial" w:cs="Arial"/>
                <w:color w:val="000000" w:themeColor="text1"/>
              </w:rPr>
              <w:t>indica</w:t>
            </w:r>
            <w:proofErr w:type="spellEnd"/>
            <w:r w:rsidRPr="005500E0">
              <w:rPr>
                <w:rFonts w:ascii="Arial" w:hAnsi="Arial" w:cs="Arial"/>
                <w:color w:val="000000" w:themeColor="text1"/>
              </w:rPr>
              <w:t xml:space="preserve"> (Neem)</w:t>
            </w:r>
          </w:p>
        </w:tc>
        <w:tc>
          <w:tcPr>
            <w:tcW w:w="1984" w:type="dxa"/>
          </w:tcPr>
          <w:p w14:paraId="7864F176" w14:textId="45E4500C"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52.38 ± 4.12</w:t>
            </w:r>
          </w:p>
        </w:tc>
        <w:tc>
          <w:tcPr>
            <w:tcW w:w="1843" w:type="dxa"/>
          </w:tcPr>
          <w:p w14:paraId="53902A89" w14:textId="62DFBCCA"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18.62 ± 0.76</w:t>
            </w:r>
          </w:p>
        </w:tc>
        <w:tc>
          <w:tcPr>
            <w:tcW w:w="1508" w:type="dxa"/>
          </w:tcPr>
          <w:p w14:paraId="5CBCAE8C" w14:textId="3C5A88D2"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10.95 µg/g</w:t>
            </w:r>
          </w:p>
        </w:tc>
      </w:tr>
    </w:tbl>
    <w:p w14:paraId="735B9816" w14:textId="77777777" w:rsidR="00551167" w:rsidRPr="005500E0" w:rsidRDefault="00551167" w:rsidP="00557DD0">
      <w:pPr>
        <w:spacing w:line="360" w:lineRule="auto"/>
        <w:jc w:val="both"/>
        <w:rPr>
          <w:rFonts w:ascii="Arial" w:hAnsi="Arial" w:cs="Arial"/>
          <w:color w:val="000000" w:themeColor="text1"/>
        </w:rPr>
      </w:pPr>
    </w:p>
    <w:p w14:paraId="732855F7" w14:textId="60842E4C" w:rsidR="003F2CE5" w:rsidRPr="005500E0" w:rsidRDefault="006C1C99" w:rsidP="00D34E92">
      <w:pPr>
        <w:tabs>
          <w:tab w:val="right" w:pos="9026"/>
        </w:tabs>
        <w:spacing w:line="360" w:lineRule="auto"/>
        <w:jc w:val="both"/>
        <w:rPr>
          <w:rFonts w:ascii="Arial" w:hAnsi="Arial" w:cs="Arial"/>
        </w:rPr>
      </w:pPr>
      <w:r w:rsidRPr="005500E0">
        <w:rPr>
          <w:rFonts w:ascii="Arial" w:hAnsi="Arial" w:cs="Arial"/>
          <w:color w:val="000000" w:themeColor="text1"/>
        </w:rPr>
        <w:lastRenderedPageBreak/>
        <w:t xml:space="preserve">The data indicate that </w:t>
      </w:r>
      <w:proofErr w:type="spellStart"/>
      <w:r w:rsidR="00030973" w:rsidRPr="005500E0">
        <w:rPr>
          <w:rFonts w:ascii="Arial" w:hAnsi="Arial" w:cs="Arial"/>
          <w:i/>
          <w:iCs/>
        </w:rPr>
        <w:t>Pseudognaphalium</w:t>
      </w:r>
      <w:proofErr w:type="spellEnd"/>
      <w:r w:rsidR="00030973" w:rsidRPr="005500E0">
        <w:rPr>
          <w:rFonts w:ascii="Arial" w:hAnsi="Arial" w:cs="Arial"/>
          <w:i/>
          <w:iCs/>
        </w:rPr>
        <w:t xml:space="preserve"> </w:t>
      </w:r>
      <w:proofErr w:type="spellStart"/>
      <w:r w:rsidR="00030973" w:rsidRPr="005500E0">
        <w:rPr>
          <w:rFonts w:ascii="Arial" w:hAnsi="Arial" w:cs="Arial"/>
          <w:i/>
          <w:iCs/>
        </w:rPr>
        <w:t>luteoalbum</w:t>
      </w:r>
      <w:proofErr w:type="spellEnd"/>
      <w:r w:rsidR="00030973" w:rsidRPr="005500E0">
        <w:rPr>
          <w:rFonts w:ascii="Arial" w:hAnsi="Arial" w:cs="Arial"/>
        </w:rPr>
        <w:t xml:space="preserve"> (L.) Hilliard and B.L.</w:t>
      </w:r>
      <w:r w:rsidR="00D34E92" w:rsidRPr="005500E0">
        <w:rPr>
          <w:rFonts w:ascii="Arial" w:hAnsi="Arial" w:cs="Arial"/>
        </w:rPr>
        <w:t xml:space="preserve"> Burt exhibit</w:t>
      </w:r>
      <w:r w:rsidRPr="005500E0">
        <w:rPr>
          <w:rFonts w:ascii="Arial" w:hAnsi="Arial" w:cs="Arial"/>
          <w:color w:val="000000" w:themeColor="text1"/>
        </w:rPr>
        <w:t xml:space="preserve"> antioxidant activity comparable to that of turmeric and neem, two widely recognized medicinal plants. The findings align with previous studies by Ghasemzadeh et al. (2016), who </w:t>
      </w:r>
      <w:proofErr w:type="spellStart"/>
      <w:r w:rsidRPr="005500E0">
        <w:rPr>
          <w:rFonts w:ascii="Arial" w:hAnsi="Arial" w:cs="Arial"/>
          <w:color w:val="000000" w:themeColor="text1"/>
        </w:rPr>
        <w:t>analyzed</w:t>
      </w:r>
      <w:proofErr w:type="spellEnd"/>
      <w:r w:rsidRPr="005500E0">
        <w:rPr>
          <w:rFonts w:ascii="Arial" w:hAnsi="Arial" w:cs="Arial"/>
          <w:color w:val="000000" w:themeColor="text1"/>
        </w:rPr>
        <w:t xml:space="preserve"> the phytochemical composition of </w:t>
      </w:r>
      <w:r w:rsidRPr="005500E0">
        <w:rPr>
          <w:rFonts w:ascii="Arial" w:hAnsi="Arial" w:cs="Arial"/>
          <w:i/>
          <w:iCs/>
          <w:color w:val="000000" w:themeColor="text1"/>
        </w:rPr>
        <w:t>Curcuma longa</w:t>
      </w:r>
      <w:r w:rsidRPr="005500E0">
        <w:rPr>
          <w:rFonts w:ascii="Arial" w:hAnsi="Arial" w:cs="Arial"/>
          <w:color w:val="000000" w:themeColor="text1"/>
        </w:rPr>
        <w:t xml:space="preserve">, and Hussain et al. (2012), who reported the antioxidant potential of </w:t>
      </w:r>
      <w:proofErr w:type="spellStart"/>
      <w:r w:rsidRPr="005500E0">
        <w:rPr>
          <w:rFonts w:ascii="Arial" w:hAnsi="Arial" w:cs="Arial"/>
          <w:i/>
          <w:iCs/>
          <w:color w:val="000000" w:themeColor="text1"/>
        </w:rPr>
        <w:t>Azadirachta</w:t>
      </w:r>
      <w:proofErr w:type="spellEnd"/>
      <w:r w:rsidRPr="005500E0">
        <w:rPr>
          <w:rFonts w:ascii="Arial" w:hAnsi="Arial" w:cs="Arial"/>
          <w:i/>
          <w:iCs/>
          <w:color w:val="000000" w:themeColor="text1"/>
        </w:rPr>
        <w:t xml:space="preserve"> </w:t>
      </w:r>
      <w:proofErr w:type="spellStart"/>
      <w:r w:rsidRPr="005500E0">
        <w:rPr>
          <w:rFonts w:ascii="Arial" w:hAnsi="Arial" w:cs="Arial"/>
          <w:i/>
          <w:iCs/>
          <w:color w:val="000000" w:themeColor="text1"/>
        </w:rPr>
        <w:t>indica</w:t>
      </w:r>
      <w:proofErr w:type="spellEnd"/>
      <w:r w:rsidRPr="005500E0">
        <w:rPr>
          <w:rFonts w:ascii="Arial" w:hAnsi="Arial" w:cs="Arial"/>
          <w:color w:val="000000" w:themeColor="text1"/>
        </w:rPr>
        <w:t xml:space="preserve">. These comparisons further validate the medicinal significance of </w:t>
      </w:r>
      <w:proofErr w:type="spellStart"/>
      <w:r w:rsidR="00D34E92" w:rsidRPr="005500E0">
        <w:rPr>
          <w:rFonts w:ascii="Arial" w:hAnsi="Arial" w:cs="Arial"/>
          <w:i/>
          <w:iCs/>
        </w:rPr>
        <w:t>Pseudognaphalium</w:t>
      </w:r>
      <w:proofErr w:type="spellEnd"/>
      <w:r w:rsidR="00D34E92" w:rsidRPr="005500E0">
        <w:rPr>
          <w:rFonts w:ascii="Arial" w:hAnsi="Arial" w:cs="Arial"/>
          <w:i/>
          <w:iCs/>
        </w:rPr>
        <w:t xml:space="preserve"> </w:t>
      </w:r>
      <w:proofErr w:type="spellStart"/>
      <w:r w:rsidR="00D34E92" w:rsidRPr="005500E0">
        <w:rPr>
          <w:rFonts w:ascii="Arial" w:hAnsi="Arial" w:cs="Arial"/>
          <w:i/>
          <w:iCs/>
        </w:rPr>
        <w:t>luteoalbum</w:t>
      </w:r>
      <w:proofErr w:type="spellEnd"/>
      <w:r w:rsidR="00D34E92" w:rsidRPr="005500E0">
        <w:rPr>
          <w:rFonts w:ascii="Arial" w:hAnsi="Arial" w:cs="Arial"/>
        </w:rPr>
        <w:t xml:space="preserve"> (L.) Hilliard and B.L. Burtt</w:t>
      </w:r>
      <w:r w:rsidRPr="005500E0">
        <w:rPr>
          <w:rFonts w:ascii="Arial" w:hAnsi="Arial" w:cs="Arial"/>
          <w:color w:val="000000" w:themeColor="text1"/>
        </w:rPr>
        <w:t xml:space="preserve"> as a potent natural antioxidant source.</w:t>
      </w:r>
      <w:r w:rsidR="0004315B" w:rsidRPr="005500E0">
        <w:rPr>
          <w:rFonts w:ascii="Arial" w:hAnsi="Arial" w:cs="Arial"/>
          <w:color w:val="000000" w:themeColor="text1"/>
        </w:rPr>
        <w:t xml:space="preserve"> Additionally, according to Wang et al. (2024), the </w:t>
      </w:r>
      <w:r w:rsidR="0004315B" w:rsidRPr="005500E0">
        <w:rPr>
          <w:rFonts w:ascii="Arial" w:hAnsi="Arial" w:cs="Arial"/>
          <w:i/>
          <w:iCs/>
          <w:color w:val="000000" w:themeColor="text1"/>
        </w:rPr>
        <w:t>Gnaphalium</w:t>
      </w:r>
      <w:r w:rsidR="0004315B" w:rsidRPr="005500E0">
        <w:rPr>
          <w:rFonts w:ascii="Arial" w:hAnsi="Arial" w:cs="Arial"/>
          <w:color w:val="000000" w:themeColor="text1"/>
        </w:rPr>
        <w:t xml:space="preserve"> genus possesses various therapeutic properties, including antioxidant activity, which supports the findings of this study.</w:t>
      </w:r>
    </w:p>
    <w:p w14:paraId="0937DFF0" w14:textId="5CCB3E4E" w:rsidR="00593CA4" w:rsidRPr="005500E0" w:rsidRDefault="00F87D01" w:rsidP="00557DD0">
      <w:pPr>
        <w:spacing w:line="360" w:lineRule="auto"/>
        <w:jc w:val="both"/>
        <w:rPr>
          <w:rFonts w:ascii="Arial" w:hAnsi="Arial" w:cs="Arial"/>
          <w:b/>
          <w:bCs/>
          <w:color w:val="FF0000"/>
        </w:rPr>
      </w:pPr>
      <w:r>
        <w:rPr>
          <w:rFonts w:ascii="Arial" w:hAnsi="Arial" w:cs="Arial"/>
          <w:b/>
          <w:bCs/>
        </w:rPr>
        <w:t>4</w:t>
      </w:r>
      <w:r w:rsidR="001748E9" w:rsidRPr="005500E0">
        <w:rPr>
          <w:rFonts w:ascii="Arial" w:hAnsi="Arial" w:cs="Arial"/>
          <w:b/>
          <w:bCs/>
        </w:rPr>
        <w:t>.7 Significance of the Findings</w:t>
      </w:r>
    </w:p>
    <w:p w14:paraId="3A030A71" w14:textId="4EB6ED70" w:rsidR="001748E9" w:rsidRPr="005500E0" w:rsidRDefault="001748E9" w:rsidP="00557DD0">
      <w:pPr>
        <w:spacing w:line="360" w:lineRule="auto"/>
        <w:jc w:val="both"/>
        <w:rPr>
          <w:rFonts w:ascii="Arial" w:hAnsi="Arial" w:cs="Arial"/>
          <w:b/>
          <w:bCs/>
        </w:rPr>
      </w:pPr>
      <w:r w:rsidRPr="005500E0">
        <w:rPr>
          <w:rFonts w:ascii="Arial" w:hAnsi="Arial" w:cs="Arial"/>
        </w:rPr>
        <w:t xml:space="preserve">The high levels of phenolics, flavonoids, and alkaloids, along with potent antioxidant activity, support the traditional uses of </w:t>
      </w:r>
      <w:proofErr w:type="spellStart"/>
      <w:r w:rsidR="00CB0486" w:rsidRPr="005500E0">
        <w:rPr>
          <w:rFonts w:ascii="Arial" w:hAnsi="Arial" w:cs="Arial"/>
          <w:i/>
          <w:iCs/>
        </w:rPr>
        <w:t>Pseudognaphalium</w:t>
      </w:r>
      <w:proofErr w:type="spellEnd"/>
      <w:r w:rsidR="00CB0486" w:rsidRPr="005500E0">
        <w:rPr>
          <w:rFonts w:ascii="Arial" w:hAnsi="Arial" w:cs="Arial"/>
          <w:i/>
          <w:iCs/>
        </w:rPr>
        <w:t xml:space="preserve"> </w:t>
      </w:r>
      <w:proofErr w:type="spellStart"/>
      <w:r w:rsidR="00CB0486" w:rsidRPr="005500E0">
        <w:rPr>
          <w:rFonts w:ascii="Arial" w:hAnsi="Arial" w:cs="Arial"/>
          <w:i/>
          <w:iCs/>
        </w:rPr>
        <w:t>luteoalbum</w:t>
      </w:r>
      <w:proofErr w:type="spellEnd"/>
      <w:r w:rsidR="00CB0486" w:rsidRPr="005500E0">
        <w:rPr>
          <w:rFonts w:ascii="Arial" w:hAnsi="Arial" w:cs="Arial"/>
        </w:rPr>
        <w:t xml:space="preserve"> (L.) Hilliard and B.L. </w:t>
      </w:r>
      <w:proofErr w:type="spellStart"/>
      <w:r w:rsidR="00CB0486" w:rsidRPr="005500E0">
        <w:rPr>
          <w:rFonts w:ascii="Arial" w:hAnsi="Arial" w:cs="Arial"/>
        </w:rPr>
        <w:t>Burtt</w:t>
      </w:r>
      <w:proofErr w:type="spellEnd"/>
      <w:r w:rsidR="00631FE3" w:rsidRPr="005500E0">
        <w:rPr>
          <w:rFonts w:ascii="Arial" w:hAnsi="Arial" w:cs="Arial"/>
        </w:rPr>
        <w:t xml:space="preserve"> (</w:t>
      </w:r>
      <w:proofErr w:type="spellStart"/>
      <w:r w:rsidR="00631FE3" w:rsidRPr="005500E0">
        <w:rPr>
          <w:rFonts w:ascii="Arial" w:hAnsi="Arial" w:cs="Arial"/>
        </w:rPr>
        <w:t>Phunil</w:t>
      </w:r>
      <w:proofErr w:type="spellEnd"/>
      <w:r w:rsidR="00631FE3" w:rsidRPr="005500E0">
        <w:rPr>
          <w:rFonts w:ascii="Arial" w:hAnsi="Arial" w:cs="Arial"/>
        </w:rPr>
        <w:t>)</w:t>
      </w:r>
      <w:r w:rsidRPr="005500E0">
        <w:rPr>
          <w:rFonts w:ascii="Arial" w:hAnsi="Arial" w:cs="Arial"/>
        </w:rPr>
        <w:t xml:space="preserve"> These findings suggest that the plant could be further investigated for developing herbal medicines, dietary supplements, and functional foods. The presence of bioactive compounds such as flavonoids and phenolic acids, as highlighted by Wang et al. (2024), underscores the plant’s potential in pharmaceutical applications. </w:t>
      </w:r>
    </w:p>
    <w:p w14:paraId="3D890F39" w14:textId="423DBB3C" w:rsidR="005E1A19" w:rsidRPr="005500E0" w:rsidRDefault="00F87D01" w:rsidP="005E1A19">
      <w:pPr>
        <w:spacing w:line="360" w:lineRule="auto"/>
        <w:jc w:val="both"/>
        <w:rPr>
          <w:rFonts w:ascii="Arial" w:hAnsi="Arial" w:cs="Arial"/>
          <w:b/>
          <w:bCs/>
        </w:rPr>
      </w:pPr>
      <w:r>
        <w:rPr>
          <w:rFonts w:ascii="Arial" w:hAnsi="Arial" w:cs="Arial"/>
          <w:b/>
          <w:bCs/>
        </w:rPr>
        <w:t>5</w:t>
      </w:r>
      <w:r w:rsidR="005E1A19" w:rsidRPr="005500E0">
        <w:rPr>
          <w:rFonts w:ascii="Arial" w:hAnsi="Arial" w:cs="Arial"/>
          <w:b/>
          <w:bCs/>
        </w:rPr>
        <w:t>. Conclusion</w:t>
      </w:r>
    </w:p>
    <w:p w14:paraId="17406123" w14:textId="5777B597" w:rsidR="00FF7AFB" w:rsidRPr="005500E0" w:rsidRDefault="005E1A19" w:rsidP="00E6422F">
      <w:pPr>
        <w:spacing w:line="360" w:lineRule="auto"/>
        <w:jc w:val="both"/>
        <w:rPr>
          <w:rFonts w:ascii="Arial" w:hAnsi="Arial" w:cs="Arial"/>
        </w:rPr>
      </w:pPr>
      <w:r w:rsidRPr="005500E0">
        <w:rPr>
          <w:rFonts w:ascii="Arial" w:hAnsi="Arial" w:cs="Arial"/>
        </w:rPr>
        <w:t xml:space="preserve">The present study highlights the phytochemical and antioxidant potential of </w:t>
      </w:r>
      <w:proofErr w:type="spellStart"/>
      <w:r w:rsidR="00CB0486" w:rsidRPr="005500E0">
        <w:rPr>
          <w:rFonts w:ascii="Arial" w:hAnsi="Arial" w:cs="Arial"/>
          <w:i/>
          <w:iCs/>
        </w:rPr>
        <w:t>Pseudognaphalium</w:t>
      </w:r>
      <w:proofErr w:type="spellEnd"/>
      <w:r w:rsidR="00CB0486" w:rsidRPr="005500E0">
        <w:rPr>
          <w:rFonts w:ascii="Arial" w:hAnsi="Arial" w:cs="Arial"/>
          <w:i/>
          <w:iCs/>
        </w:rPr>
        <w:t xml:space="preserve"> </w:t>
      </w:r>
      <w:proofErr w:type="spellStart"/>
      <w:r w:rsidR="00CB0486" w:rsidRPr="005500E0">
        <w:rPr>
          <w:rFonts w:ascii="Arial" w:hAnsi="Arial" w:cs="Arial"/>
          <w:i/>
          <w:iCs/>
        </w:rPr>
        <w:t>luteoalbum</w:t>
      </w:r>
      <w:proofErr w:type="spellEnd"/>
      <w:r w:rsidR="00CB0486" w:rsidRPr="005500E0">
        <w:rPr>
          <w:rFonts w:ascii="Arial" w:hAnsi="Arial" w:cs="Arial"/>
        </w:rPr>
        <w:t xml:space="preserve"> (L.) Hilliard and B.L. </w:t>
      </w:r>
      <w:proofErr w:type="spellStart"/>
      <w:r w:rsidR="00CB0486" w:rsidRPr="005500E0">
        <w:rPr>
          <w:rFonts w:ascii="Arial" w:hAnsi="Arial" w:cs="Arial"/>
        </w:rPr>
        <w:t>Burtt</w:t>
      </w:r>
      <w:proofErr w:type="spellEnd"/>
      <w:r w:rsidR="002D4A55" w:rsidRPr="005500E0">
        <w:rPr>
          <w:rFonts w:ascii="Arial" w:hAnsi="Arial" w:cs="Arial"/>
        </w:rPr>
        <w:t xml:space="preserve"> (</w:t>
      </w:r>
      <w:proofErr w:type="spellStart"/>
      <w:r w:rsidR="002D4A55" w:rsidRPr="005500E0">
        <w:rPr>
          <w:rFonts w:ascii="Arial" w:hAnsi="Arial" w:cs="Arial"/>
        </w:rPr>
        <w:t>Phunil</w:t>
      </w:r>
      <w:proofErr w:type="spellEnd"/>
      <w:r w:rsidR="002D4A55" w:rsidRPr="005500E0">
        <w:rPr>
          <w:rFonts w:ascii="Arial" w:hAnsi="Arial" w:cs="Arial"/>
        </w:rPr>
        <w:t>)</w:t>
      </w:r>
      <w:r w:rsidRPr="005500E0">
        <w:rPr>
          <w:rFonts w:ascii="Arial" w:hAnsi="Arial" w:cs="Arial"/>
          <w:i/>
          <w:iCs/>
        </w:rPr>
        <w:t>,</w:t>
      </w:r>
      <w:r w:rsidRPr="005500E0">
        <w:rPr>
          <w:rFonts w:ascii="Arial" w:hAnsi="Arial" w:cs="Arial"/>
        </w:rPr>
        <w:t xml:space="preserve"> confirming its value as a medicinal and nutraceutical plant. The high levels of phenolics, flavonoids, and alkaloids, combined with strong antioxidant activity, support its traditional medicinal uses and suggest its potential application in herbal medicines, dietary supplements, and functional foods.</w:t>
      </w:r>
      <w:r w:rsidR="00F87D01">
        <w:rPr>
          <w:rFonts w:ascii="Arial" w:hAnsi="Arial" w:cs="Arial"/>
        </w:rPr>
        <w:t xml:space="preserve"> </w:t>
      </w:r>
      <w:r w:rsidRPr="005500E0">
        <w:rPr>
          <w:rFonts w:ascii="Arial" w:hAnsi="Arial" w:cs="Arial"/>
        </w:rPr>
        <w:t xml:space="preserve">Given the increasing demand for plant-based antioxidants in the pharmaceutical and food industries, this study provides a strong foundation for further exploration of </w:t>
      </w:r>
      <w:proofErr w:type="spellStart"/>
      <w:r w:rsidR="006E0B50" w:rsidRPr="005500E0">
        <w:rPr>
          <w:rFonts w:ascii="Arial" w:hAnsi="Arial" w:cs="Arial"/>
          <w:i/>
          <w:iCs/>
        </w:rPr>
        <w:t>Pseudognaphalium</w:t>
      </w:r>
      <w:proofErr w:type="spellEnd"/>
      <w:r w:rsidR="006E0B50" w:rsidRPr="005500E0">
        <w:rPr>
          <w:rFonts w:ascii="Arial" w:hAnsi="Arial" w:cs="Arial"/>
          <w:i/>
          <w:iCs/>
        </w:rPr>
        <w:t xml:space="preserve"> </w:t>
      </w:r>
      <w:proofErr w:type="spellStart"/>
      <w:r w:rsidR="006E0B50" w:rsidRPr="005500E0">
        <w:rPr>
          <w:rFonts w:ascii="Arial" w:hAnsi="Arial" w:cs="Arial"/>
          <w:i/>
          <w:iCs/>
        </w:rPr>
        <w:t>luteoalbum</w:t>
      </w:r>
      <w:proofErr w:type="spellEnd"/>
      <w:r w:rsidR="006E0B50" w:rsidRPr="005500E0">
        <w:rPr>
          <w:rFonts w:ascii="Arial" w:hAnsi="Arial" w:cs="Arial"/>
        </w:rPr>
        <w:t xml:space="preserve"> (L.) Hilliard and B.L. Burtt </w:t>
      </w:r>
      <w:r w:rsidRPr="005500E0">
        <w:rPr>
          <w:rFonts w:ascii="Arial" w:hAnsi="Arial" w:cs="Arial"/>
        </w:rPr>
        <w:t xml:space="preserve">as a </w:t>
      </w:r>
      <w:proofErr w:type="gramStart"/>
      <w:r w:rsidRPr="005500E0">
        <w:rPr>
          <w:rFonts w:ascii="Arial" w:hAnsi="Arial" w:cs="Arial"/>
        </w:rPr>
        <w:t xml:space="preserve">valuable medicinal </w:t>
      </w:r>
      <w:r w:rsidR="006E0B50" w:rsidRPr="005500E0">
        <w:rPr>
          <w:rFonts w:ascii="Arial" w:hAnsi="Arial" w:cs="Arial"/>
        </w:rPr>
        <w:t>resources</w:t>
      </w:r>
      <w:proofErr w:type="gramEnd"/>
      <w:r w:rsidRPr="005500E0">
        <w:rPr>
          <w:rFonts w:ascii="Arial" w:hAnsi="Arial" w:cs="Arial"/>
        </w:rPr>
        <w:t>.</w:t>
      </w:r>
    </w:p>
    <w:p w14:paraId="020FC543" w14:textId="77777777" w:rsidR="00723D15" w:rsidRPr="005500E0" w:rsidRDefault="00723D15" w:rsidP="00723D15">
      <w:pPr>
        <w:spacing w:line="360" w:lineRule="auto"/>
        <w:jc w:val="both"/>
        <w:rPr>
          <w:rFonts w:ascii="Arial" w:hAnsi="Arial" w:cs="Arial"/>
          <w:b/>
          <w:bCs/>
        </w:rPr>
      </w:pPr>
      <w:r w:rsidRPr="005500E0">
        <w:rPr>
          <w:rFonts w:ascii="Arial" w:hAnsi="Arial" w:cs="Arial"/>
          <w:b/>
          <w:bCs/>
        </w:rPr>
        <w:t>References</w:t>
      </w:r>
      <w:r w:rsidRPr="005500E0">
        <w:rPr>
          <w:rFonts w:ascii="Arial" w:hAnsi="Arial" w:cs="Arial"/>
        </w:rPr>
        <w:tab/>
      </w:r>
    </w:p>
    <w:p w14:paraId="320F4719" w14:textId="17D084BC" w:rsidR="00723D15" w:rsidRPr="005500E0" w:rsidRDefault="00723D15" w:rsidP="00723D15">
      <w:pPr>
        <w:spacing w:line="360" w:lineRule="auto"/>
        <w:jc w:val="both"/>
        <w:rPr>
          <w:rFonts w:ascii="Arial" w:hAnsi="Arial" w:cs="Arial"/>
        </w:rPr>
      </w:pPr>
      <w:proofErr w:type="spellStart"/>
      <w:r w:rsidRPr="005500E0">
        <w:rPr>
          <w:rFonts w:ascii="Arial" w:hAnsi="Arial" w:cs="Arial"/>
        </w:rPr>
        <w:t>Aderogba</w:t>
      </w:r>
      <w:proofErr w:type="spellEnd"/>
      <w:r w:rsidRPr="005500E0">
        <w:rPr>
          <w:rFonts w:ascii="Arial" w:hAnsi="Arial" w:cs="Arial"/>
        </w:rPr>
        <w:t xml:space="preserve">, M. A., McGaw, L., Bagla, V., &amp; Abegaz, B. M. (2014). In vitro antifungal activity of the acetone extract and two isolated compounds from the weed, </w:t>
      </w:r>
      <w:proofErr w:type="spellStart"/>
      <w:r w:rsidRPr="005500E0">
        <w:rPr>
          <w:rFonts w:ascii="Arial" w:hAnsi="Arial" w:cs="Arial"/>
        </w:rPr>
        <w:t>Pseudognaphalium</w:t>
      </w:r>
      <w:proofErr w:type="spellEnd"/>
      <w:r w:rsidRPr="005500E0">
        <w:rPr>
          <w:rFonts w:ascii="Arial" w:hAnsi="Arial" w:cs="Arial"/>
        </w:rPr>
        <w:t xml:space="preserve"> </w:t>
      </w:r>
      <w:proofErr w:type="spellStart"/>
      <w:r w:rsidRPr="005500E0">
        <w:rPr>
          <w:rFonts w:ascii="Arial" w:hAnsi="Arial" w:cs="Arial"/>
        </w:rPr>
        <w:t>luteoalbum</w:t>
      </w:r>
      <w:proofErr w:type="spellEnd"/>
      <w:r w:rsidRPr="005500E0">
        <w:rPr>
          <w:rFonts w:ascii="Arial" w:hAnsi="Arial" w:cs="Arial"/>
        </w:rPr>
        <w:t>. South African Journal of Botany, 93, 174-178.</w:t>
      </w:r>
    </w:p>
    <w:p w14:paraId="0F2766ED" w14:textId="40F38CD8" w:rsidR="00723D15" w:rsidRPr="005500E0" w:rsidRDefault="00723D15" w:rsidP="00723D15">
      <w:pPr>
        <w:spacing w:line="360" w:lineRule="auto"/>
        <w:jc w:val="both"/>
        <w:rPr>
          <w:rFonts w:ascii="Arial" w:hAnsi="Arial" w:cs="Arial"/>
        </w:rPr>
      </w:pPr>
      <w:r w:rsidRPr="005500E0">
        <w:rPr>
          <w:rFonts w:ascii="Arial" w:hAnsi="Arial" w:cs="Arial"/>
        </w:rPr>
        <w:t>Al-</w:t>
      </w:r>
      <w:proofErr w:type="spellStart"/>
      <w:r w:rsidRPr="005500E0">
        <w:rPr>
          <w:rFonts w:ascii="Arial" w:hAnsi="Arial" w:cs="Arial"/>
        </w:rPr>
        <w:t>Snafi</w:t>
      </w:r>
      <w:proofErr w:type="spellEnd"/>
      <w:r w:rsidRPr="005500E0">
        <w:rPr>
          <w:rFonts w:ascii="Arial" w:hAnsi="Arial" w:cs="Arial"/>
        </w:rPr>
        <w:t xml:space="preserve">, A. E. (2019). The Medical Benefit of Gnaphalium </w:t>
      </w:r>
      <w:proofErr w:type="spellStart"/>
      <w:r w:rsidRPr="005500E0">
        <w:rPr>
          <w:rFonts w:ascii="Arial" w:hAnsi="Arial" w:cs="Arial"/>
        </w:rPr>
        <w:t>luteoalbum</w:t>
      </w:r>
      <w:proofErr w:type="spellEnd"/>
      <w:r w:rsidRPr="005500E0">
        <w:rPr>
          <w:rFonts w:ascii="Arial" w:hAnsi="Arial" w:cs="Arial"/>
        </w:rPr>
        <w:t>—A Review. IOSR Journal of Pharmacy, 9(5), 40-44.</w:t>
      </w:r>
    </w:p>
    <w:p w14:paraId="75A4383C" w14:textId="3F5E3F57" w:rsidR="00723D15" w:rsidRPr="005500E0" w:rsidRDefault="00723D15" w:rsidP="00723D15">
      <w:pPr>
        <w:spacing w:line="360" w:lineRule="auto"/>
        <w:jc w:val="both"/>
        <w:rPr>
          <w:rFonts w:ascii="Arial" w:hAnsi="Arial" w:cs="Arial"/>
        </w:rPr>
      </w:pPr>
      <w:r w:rsidRPr="005500E0">
        <w:rPr>
          <w:rFonts w:ascii="Arial" w:hAnsi="Arial" w:cs="Arial"/>
        </w:rPr>
        <w:lastRenderedPageBreak/>
        <w:t>Brand-Williams, W., Cuvelier, M. E., &amp; Berset, C. (1995). Use of a free radical method to evaluate antioxidant activity. LWT - Food Science and Technology, 28(1), 25-30. https://doi.org/10.1016/S0023-6438(95)80008-5</w:t>
      </w:r>
    </w:p>
    <w:p w14:paraId="380E4118" w14:textId="00F50DCE" w:rsidR="00723D15" w:rsidRPr="005500E0" w:rsidRDefault="00723D15" w:rsidP="00723D15">
      <w:pPr>
        <w:spacing w:line="360" w:lineRule="auto"/>
        <w:jc w:val="both"/>
        <w:rPr>
          <w:rFonts w:ascii="Arial" w:hAnsi="Arial" w:cs="Arial"/>
        </w:rPr>
      </w:pPr>
      <w:r w:rsidRPr="005500E0">
        <w:rPr>
          <w:rFonts w:ascii="Arial" w:hAnsi="Arial" w:cs="Arial"/>
        </w:rPr>
        <w:t>Bray, H. G., &amp; Thorpe, W. V. (1954). Analysis of phenolic compounds of interest in metabolism. Methods of Biochemical Analysis, 1, 27-52. https://doi.org/10.1002/9780470110171.ch2</w:t>
      </w:r>
    </w:p>
    <w:p w14:paraId="15E413C2" w14:textId="447F196D" w:rsidR="00723D15" w:rsidRPr="005500E0" w:rsidRDefault="00723D15" w:rsidP="00723D15">
      <w:pPr>
        <w:spacing w:line="360" w:lineRule="auto"/>
        <w:jc w:val="both"/>
        <w:rPr>
          <w:rFonts w:ascii="Arial" w:hAnsi="Arial" w:cs="Arial"/>
        </w:rPr>
      </w:pPr>
      <w:r w:rsidRPr="005500E0">
        <w:rPr>
          <w:rFonts w:ascii="Arial" w:hAnsi="Arial" w:cs="Arial"/>
        </w:rPr>
        <w:t>Chang, C. C., Yang, M. H., Wen, H. M., &amp; Chern, J. C. (2002). Estimation of total flavonoid content in propolis by two complementary colorimetric methods. Journal of Food and Drug Analysis, 10(3), 178-182.</w:t>
      </w:r>
    </w:p>
    <w:p w14:paraId="69D6AB60" w14:textId="185A42C4" w:rsidR="00723D15" w:rsidRDefault="00723D15" w:rsidP="00723D15">
      <w:pPr>
        <w:spacing w:line="360" w:lineRule="auto"/>
        <w:jc w:val="both"/>
        <w:rPr>
          <w:rFonts w:ascii="Arial" w:hAnsi="Arial" w:cs="Arial"/>
        </w:rPr>
      </w:pPr>
      <w:r w:rsidRPr="005500E0">
        <w:rPr>
          <w:rFonts w:ascii="Arial" w:hAnsi="Arial" w:cs="Arial"/>
        </w:rPr>
        <w:t xml:space="preserve">Ghasemzadeh, A., Jaafar, H. Z. E., Rahmat, A., Wahab, P. E. M., &amp; Halim, M. R. A. (2016). Effects of different drying methods on metabolite compositions and antioxidant activity of Curcuma </w:t>
      </w:r>
      <w:proofErr w:type="spellStart"/>
      <w:r w:rsidRPr="005500E0">
        <w:rPr>
          <w:rFonts w:ascii="Arial" w:hAnsi="Arial" w:cs="Arial"/>
        </w:rPr>
        <w:t>zedoaria</w:t>
      </w:r>
      <w:proofErr w:type="spellEnd"/>
      <w:r w:rsidRPr="005500E0">
        <w:rPr>
          <w:rFonts w:ascii="Arial" w:hAnsi="Arial" w:cs="Arial"/>
        </w:rPr>
        <w:t xml:space="preserve"> (</w:t>
      </w:r>
      <w:proofErr w:type="spellStart"/>
      <w:r w:rsidRPr="005500E0">
        <w:rPr>
          <w:rFonts w:ascii="Arial" w:hAnsi="Arial" w:cs="Arial"/>
        </w:rPr>
        <w:t>Christm</w:t>
      </w:r>
      <w:proofErr w:type="spellEnd"/>
      <w:r w:rsidRPr="005500E0">
        <w:rPr>
          <w:rFonts w:ascii="Arial" w:hAnsi="Arial" w:cs="Arial"/>
        </w:rPr>
        <w:t>.) Roscoe. Molecules, 21(7), 925.</w:t>
      </w:r>
    </w:p>
    <w:p w14:paraId="4E17C09E" w14:textId="7CEA5F68" w:rsidR="00467334" w:rsidRPr="00467334" w:rsidRDefault="00467334" w:rsidP="00467334">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Gomez, K. A., &amp; Gomez, A. A. (1984). Statistical procedure for agricultural research. New York: John Wiley and Sons.</w:t>
      </w:r>
    </w:p>
    <w:p w14:paraId="6B798107" w14:textId="72B9DD4D" w:rsidR="00723D15" w:rsidRPr="005500E0" w:rsidRDefault="00723D15" w:rsidP="00723D15">
      <w:pPr>
        <w:spacing w:line="360" w:lineRule="auto"/>
        <w:jc w:val="both"/>
        <w:rPr>
          <w:rFonts w:ascii="Arial" w:hAnsi="Arial" w:cs="Arial"/>
        </w:rPr>
      </w:pPr>
      <w:r w:rsidRPr="005500E0">
        <w:rPr>
          <w:rFonts w:ascii="Arial" w:hAnsi="Arial" w:cs="Arial"/>
        </w:rPr>
        <w:t>Harborne, J. B. (1973). Phytochemical methods: A guide to modern techniques of plant analysis. Chapman &amp; Hall.</w:t>
      </w:r>
    </w:p>
    <w:p w14:paraId="2F57CCC0" w14:textId="6D2D9F50" w:rsidR="00723D15" w:rsidRPr="005500E0" w:rsidRDefault="00723D15" w:rsidP="00723D15">
      <w:pPr>
        <w:spacing w:line="360" w:lineRule="auto"/>
        <w:jc w:val="both"/>
        <w:rPr>
          <w:rFonts w:ascii="Arial" w:hAnsi="Arial" w:cs="Arial"/>
        </w:rPr>
      </w:pPr>
      <w:r w:rsidRPr="005500E0">
        <w:rPr>
          <w:rFonts w:ascii="Arial" w:hAnsi="Arial" w:cs="Arial"/>
        </w:rPr>
        <w:t>Harborne, J. B. (1998). Phytochemical methods: A guide to modern techniques of plant analysis (3rd ed.). Springer. https://doi.org/10.1007/978-94-009-5570-7</w:t>
      </w:r>
    </w:p>
    <w:p w14:paraId="5656A81B" w14:textId="641F8BA5" w:rsidR="00723D15" w:rsidRPr="005500E0" w:rsidRDefault="00723D15" w:rsidP="00723D15">
      <w:pPr>
        <w:spacing w:line="360" w:lineRule="auto"/>
        <w:jc w:val="both"/>
        <w:rPr>
          <w:rFonts w:ascii="Arial" w:hAnsi="Arial" w:cs="Arial"/>
        </w:rPr>
      </w:pPr>
      <w:r w:rsidRPr="005500E0">
        <w:rPr>
          <w:rFonts w:ascii="Arial" w:hAnsi="Arial" w:cs="Arial"/>
        </w:rPr>
        <w:t xml:space="preserve">Hedge, J. E., &amp; </w:t>
      </w:r>
      <w:proofErr w:type="spellStart"/>
      <w:r w:rsidRPr="005500E0">
        <w:rPr>
          <w:rFonts w:ascii="Arial" w:hAnsi="Arial" w:cs="Arial"/>
        </w:rPr>
        <w:t>Hofreiter</w:t>
      </w:r>
      <w:proofErr w:type="spellEnd"/>
      <w:r w:rsidRPr="005500E0">
        <w:rPr>
          <w:rFonts w:ascii="Arial" w:hAnsi="Arial" w:cs="Arial"/>
        </w:rPr>
        <w:t xml:space="preserve">, B. T. (1962). Estimation of carbohydrates by </w:t>
      </w:r>
      <w:proofErr w:type="spellStart"/>
      <w:r w:rsidRPr="005500E0">
        <w:rPr>
          <w:rFonts w:ascii="Arial" w:hAnsi="Arial" w:cs="Arial"/>
        </w:rPr>
        <w:t>anthrone</w:t>
      </w:r>
      <w:proofErr w:type="spellEnd"/>
      <w:r w:rsidRPr="005500E0">
        <w:rPr>
          <w:rFonts w:ascii="Arial" w:hAnsi="Arial" w:cs="Arial"/>
        </w:rPr>
        <w:t xml:space="preserve"> method. In R. L. Whistler &amp; J. N. BeMiller (Eds.), Methods in Carbohydrate Chemistry (Vol. 17, pp. 420-421). Academic Press.</w:t>
      </w:r>
    </w:p>
    <w:p w14:paraId="557C0327" w14:textId="62D64A92" w:rsidR="00723D15" w:rsidRPr="005500E0" w:rsidRDefault="00723D15" w:rsidP="00723D15">
      <w:pPr>
        <w:spacing w:line="360" w:lineRule="auto"/>
        <w:jc w:val="both"/>
        <w:rPr>
          <w:rFonts w:ascii="Arial" w:hAnsi="Arial" w:cs="Arial"/>
        </w:rPr>
      </w:pPr>
      <w:r w:rsidRPr="005500E0">
        <w:rPr>
          <w:rFonts w:ascii="Arial" w:hAnsi="Arial" w:cs="Arial"/>
        </w:rPr>
        <w:t>Hussain, A. I., Anwar, F., Chatha, S. A. S., Jabbar, A., Mahboob, S., &amp; Nigam, P. S. (2012). Rosmarinus officinalis essential oil: Antiproliferative, antioxidant and antibacterial activities. Brazilian Journal of Microbiology, 43(2), 431-440. https://doi.org/10.1590/S1517-83822012000200001</w:t>
      </w:r>
    </w:p>
    <w:p w14:paraId="1191C5DD" w14:textId="52DEADCD" w:rsidR="00723D15" w:rsidRPr="005500E0" w:rsidRDefault="00723D15" w:rsidP="00723D15">
      <w:pPr>
        <w:spacing w:line="360" w:lineRule="auto"/>
        <w:jc w:val="both"/>
        <w:rPr>
          <w:rFonts w:ascii="Arial" w:hAnsi="Arial" w:cs="Arial"/>
        </w:rPr>
      </w:pPr>
      <w:r w:rsidRPr="005500E0">
        <w:rPr>
          <w:rFonts w:ascii="Arial" w:hAnsi="Arial" w:cs="Arial"/>
        </w:rPr>
        <w:t xml:space="preserve">Kader, A. A. (2005). Increasing food availability by reducing postharvest losses of fresh produce. Acta </w:t>
      </w:r>
      <w:proofErr w:type="spellStart"/>
      <w:r w:rsidRPr="005500E0">
        <w:rPr>
          <w:rFonts w:ascii="Arial" w:hAnsi="Arial" w:cs="Arial"/>
        </w:rPr>
        <w:t>Horticulturae</w:t>
      </w:r>
      <w:proofErr w:type="spellEnd"/>
      <w:r w:rsidRPr="005500E0">
        <w:rPr>
          <w:rFonts w:ascii="Arial" w:hAnsi="Arial" w:cs="Arial"/>
        </w:rPr>
        <w:t>, 682, 2169-2176.</w:t>
      </w:r>
    </w:p>
    <w:p w14:paraId="206068D5" w14:textId="77607C0E" w:rsidR="00723D15" w:rsidRPr="005500E0" w:rsidRDefault="00723D15" w:rsidP="00723D15">
      <w:pPr>
        <w:spacing w:line="360" w:lineRule="auto"/>
        <w:jc w:val="both"/>
        <w:rPr>
          <w:rFonts w:ascii="Arial" w:hAnsi="Arial" w:cs="Arial"/>
        </w:rPr>
      </w:pPr>
      <w:r w:rsidRPr="005500E0">
        <w:rPr>
          <w:rFonts w:ascii="Arial" w:hAnsi="Arial" w:cs="Arial"/>
        </w:rPr>
        <w:t xml:space="preserve">Kang, J., </w:t>
      </w:r>
      <w:proofErr w:type="spellStart"/>
      <w:r w:rsidRPr="005500E0">
        <w:rPr>
          <w:rFonts w:ascii="Arial" w:hAnsi="Arial" w:cs="Arial"/>
        </w:rPr>
        <w:t>Thakali</w:t>
      </w:r>
      <w:proofErr w:type="spellEnd"/>
      <w:r w:rsidRPr="005500E0">
        <w:rPr>
          <w:rFonts w:ascii="Arial" w:hAnsi="Arial" w:cs="Arial"/>
        </w:rPr>
        <w:t>, K. M., Xie, C., Kondo, M., Tong, Y., Ou, B., &amp; Stoner, G. D. (2020). Bioactivities of phytochemicals present in berries. Molecular Nutrition &amp; Food Research, 64(4), e1900749. https://doi.org/10.1002/mnfr.201900749</w:t>
      </w:r>
    </w:p>
    <w:p w14:paraId="2DA27A0A" w14:textId="492F7F04" w:rsidR="00723D15" w:rsidRPr="005500E0" w:rsidRDefault="00723D15" w:rsidP="00723D15">
      <w:pPr>
        <w:spacing w:line="360" w:lineRule="auto"/>
        <w:jc w:val="both"/>
        <w:rPr>
          <w:rFonts w:ascii="Arial" w:hAnsi="Arial" w:cs="Arial"/>
        </w:rPr>
      </w:pPr>
      <w:proofErr w:type="spellStart"/>
      <w:r w:rsidRPr="005500E0">
        <w:rPr>
          <w:rFonts w:ascii="Arial" w:hAnsi="Arial" w:cs="Arial"/>
        </w:rPr>
        <w:t>Kirtikar</w:t>
      </w:r>
      <w:proofErr w:type="spellEnd"/>
      <w:r w:rsidRPr="005500E0">
        <w:rPr>
          <w:rFonts w:ascii="Arial" w:hAnsi="Arial" w:cs="Arial"/>
        </w:rPr>
        <w:t>, K. R., &amp; Basu, B. D. (1918). Indian medicinal plants (Vol. 3). Lalit Mohan Basu.</w:t>
      </w:r>
    </w:p>
    <w:p w14:paraId="4D30901F" w14:textId="2C925C89" w:rsidR="00723D15" w:rsidRPr="005500E0" w:rsidRDefault="00723D15" w:rsidP="00723D15">
      <w:pPr>
        <w:spacing w:line="360" w:lineRule="auto"/>
        <w:jc w:val="both"/>
        <w:rPr>
          <w:rFonts w:ascii="Arial" w:hAnsi="Arial" w:cs="Arial"/>
        </w:rPr>
      </w:pPr>
      <w:proofErr w:type="spellStart"/>
      <w:r w:rsidRPr="005500E0">
        <w:rPr>
          <w:rFonts w:ascii="Arial" w:hAnsi="Arial" w:cs="Arial"/>
        </w:rPr>
        <w:lastRenderedPageBreak/>
        <w:t>Kulisic</w:t>
      </w:r>
      <w:proofErr w:type="spellEnd"/>
      <w:r w:rsidRPr="005500E0">
        <w:rPr>
          <w:rFonts w:ascii="Arial" w:hAnsi="Arial" w:cs="Arial"/>
        </w:rPr>
        <w:t xml:space="preserve">, T., </w:t>
      </w:r>
      <w:proofErr w:type="spellStart"/>
      <w:r w:rsidRPr="005500E0">
        <w:rPr>
          <w:rFonts w:ascii="Arial" w:hAnsi="Arial" w:cs="Arial"/>
        </w:rPr>
        <w:t>Radonic</w:t>
      </w:r>
      <w:proofErr w:type="spellEnd"/>
      <w:r w:rsidRPr="005500E0">
        <w:rPr>
          <w:rFonts w:ascii="Arial" w:hAnsi="Arial" w:cs="Arial"/>
        </w:rPr>
        <w:t xml:space="preserve">, A., </w:t>
      </w:r>
      <w:proofErr w:type="spellStart"/>
      <w:r w:rsidRPr="005500E0">
        <w:rPr>
          <w:rFonts w:ascii="Arial" w:hAnsi="Arial" w:cs="Arial"/>
        </w:rPr>
        <w:t>Katalinic</w:t>
      </w:r>
      <w:proofErr w:type="spellEnd"/>
      <w:r w:rsidRPr="005500E0">
        <w:rPr>
          <w:rFonts w:ascii="Arial" w:hAnsi="Arial" w:cs="Arial"/>
        </w:rPr>
        <w:t>, V., &amp; Milos, M. (2004). Use of different methods for testing antioxidative activity of oregano essential oil. Food Chemistry, 85(4), 633-640. https://doi.org/10.1016/j.foodchem.2003.07.024</w:t>
      </w:r>
    </w:p>
    <w:p w14:paraId="5B15E1D5" w14:textId="00D68D99" w:rsidR="00723D15" w:rsidRPr="005500E0" w:rsidRDefault="00723D15" w:rsidP="00723D15">
      <w:pPr>
        <w:spacing w:line="360" w:lineRule="auto"/>
        <w:jc w:val="both"/>
        <w:rPr>
          <w:rFonts w:ascii="Arial" w:hAnsi="Arial" w:cs="Arial"/>
        </w:rPr>
      </w:pPr>
      <w:r w:rsidRPr="005500E0">
        <w:rPr>
          <w:rFonts w:ascii="Arial" w:hAnsi="Arial" w:cs="Arial"/>
        </w:rPr>
        <w:t>Lowry, O. H., Rosebrough, N. J., Farr, A. L., &amp; Randall, R. J. (1951). Protein measurement with the Folin phenol reagent. Journal of Biological Chemistry, 193(1), 265-275. https://doi.org/10.1016/S0021-9258(19)52451-6</w:t>
      </w:r>
    </w:p>
    <w:p w14:paraId="718589C8" w14:textId="3965ABE8" w:rsidR="00723D15" w:rsidRPr="005500E0" w:rsidRDefault="00723D15" w:rsidP="00723D15">
      <w:pPr>
        <w:spacing w:line="360" w:lineRule="auto"/>
        <w:jc w:val="both"/>
        <w:rPr>
          <w:rFonts w:ascii="Arial" w:hAnsi="Arial" w:cs="Arial"/>
        </w:rPr>
      </w:pPr>
      <w:r w:rsidRPr="005500E0">
        <w:rPr>
          <w:rFonts w:ascii="Arial" w:hAnsi="Arial" w:cs="Arial"/>
        </w:rPr>
        <w:t>Prior, R. L., Wu, X., &amp; Schaich, K. (2005). Standardized methods for the determination of antioxidant capacity and phenolics in foods and dietary supplements. Journal of Agricultural and Food Chemistry, 53(10), 4290-4302. https://doi.org/10.1021/jf0502698</w:t>
      </w:r>
    </w:p>
    <w:p w14:paraId="2B03C2F5" w14:textId="687C2F25" w:rsidR="00723D15" w:rsidRPr="005500E0" w:rsidRDefault="00723D15" w:rsidP="00723D15">
      <w:pPr>
        <w:spacing w:line="360" w:lineRule="auto"/>
        <w:jc w:val="both"/>
        <w:rPr>
          <w:rFonts w:ascii="Arial" w:hAnsi="Arial" w:cs="Arial"/>
        </w:rPr>
      </w:pPr>
      <w:r w:rsidRPr="005500E0">
        <w:rPr>
          <w:rFonts w:ascii="Arial" w:hAnsi="Arial" w:cs="Arial"/>
        </w:rPr>
        <w:t>Sharma, H. K., &amp; Devi, N. (2015). Traditional knowledge on medicinal plants used for the treatment of skin diseases in Manipur, India. Indian Journal of Traditional Knowledge, 14(3), 457-462.</w:t>
      </w:r>
    </w:p>
    <w:p w14:paraId="4A5AE9E0" w14:textId="7A3E8AA6" w:rsidR="00723D15" w:rsidRPr="005500E0" w:rsidRDefault="00723D15" w:rsidP="00723D15">
      <w:pPr>
        <w:spacing w:line="360" w:lineRule="auto"/>
        <w:jc w:val="both"/>
        <w:rPr>
          <w:rFonts w:ascii="Arial" w:hAnsi="Arial" w:cs="Arial"/>
        </w:rPr>
      </w:pPr>
      <w:proofErr w:type="spellStart"/>
      <w:r w:rsidRPr="005500E0">
        <w:rPr>
          <w:rFonts w:ascii="Arial" w:hAnsi="Arial" w:cs="Arial"/>
        </w:rPr>
        <w:t>Talapatra</w:t>
      </w:r>
      <w:proofErr w:type="spellEnd"/>
      <w:r w:rsidRPr="005500E0">
        <w:rPr>
          <w:rFonts w:ascii="Arial" w:hAnsi="Arial" w:cs="Arial"/>
        </w:rPr>
        <w:t xml:space="preserve">, S. K., &amp; Roy, R. (1980). Principles of plant taxonomy. Mohan </w:t>
      </w:r>
      <w:proofErr w:type="spellStart"/>
      <w:r w:rsidRPr="005500E0">
        <w:rPr>
          <w:rFonts w:ascii="Arial" w:hAnsi="Arial" w:cs="Arial"/>
        </w:rPr>
        <w:t>Primlani</w:t>
      </w:r>
      <w:proofErr w:type="spellEnd"/>
      <w:r w:rsidRPr="005500E0">
        <w:rPr>
          <w:rFonts w:ascii="Arial" w:hAnsi="Arial" w:cs="Arial"/>
        </w:rPr>
        <w:t xml:space="preserve"> for Oxford &amp; IBH Publishing Co.</w:t>
      </w:r>
    </w:p>
    <w:p w14:paraId="1CCB0B0C" w14:textId="223B781C" w:rsidR="00723D15" w:rsidRPr="005500E0" w:rsidRDefault="00723D15" w:rsidP="00723D15">
      <w:pPr>
        <w:spacing w:line="360" w:lineRule="auto"/>
        <w:jc w:val="both"/>
        <w:rPr>
          <w:rFonts w:ascii="Arial" w:hAnsi="Arial" w:cs="Arial"/>
        </w:rPr>
      </w:pPr>
      <w:r w:rsidRPr="005500E0">
        <w:rPr>
          <w:rFonts w:ascii="Arial" w:hAnsi="Arial" w:cs="Arial"/>
        </w:rPr>
        <w:t>T</w:t>
      </w:r>
      <w:r w:rsidR="00A45ACF">
        <w:rPr>
          <w:rFonts w:ascii="Arial" w:hAnsi="Arial" w:cs="Arial"/>
        </w:rPr>
        <w:t>u</w:t>
      </w:r>
      <w:r w:rsidRPr="005500E0">
        <w:rPr>
          <w:rFonts w:ascii="Arial" w:hAnsi="Arial" w:cs="Arial"/>
        </w:rPr>
        <w:t xml:space="preserve">men, G., </w:t>
      </w:r>
      <w:proofErr w:type="spellStart"/>
      <w:r w:rsidRPr="005500E0">
        <w:rPr>
          <w:rFonts w:ascii="Arial" w:hAnsi="Arial" w:cs="Arial"/>
        </w:rPr>
        <w:t>Kirimer</w:t>
      </w:r>
      <w:proofErr w:type="spellEnd"/>
      <w:r w:rsidRPr="005500E0">
        <w:rPr>
          <w:rFonts w:ascii="Arial" w:hAnsi="Arial" w:cs="Arial"/>
        </w:rPr>
        <w:t xml:space="preserve">, N., </w:t>
      </w:r>
      <w:proofErr w:type="spellStart"/>
      <w:r w:rsidRPr="005500E0">
        <w:rPr>
          <w:rFonts w:ascii="Arial" w:hAnsi="Arial" w:cs="Arial"/>
        </w:rPr>
        <w:t>Kurkcuoglu</w:t>
      </w:r>
      <w:proofErr w:type="spellEnd"/>
      <w:r w:rsidRPr="005500E0">
        <w:rPr>
          <w:rFonts w:ascii="Arial" w:hAnsi="Arial" w:cs="Arial"/>
        </w:rPr>
        <w:t xml:space="preserve">, M., Baser, K. H. C., &amp; Demirci, B. (2010). Essential oil composition of </w:t>
      </w:r>
      <w:proofErr w:type="spellStart"/>
      <w:r w:rsidRPr="005500E0">
        <w:rPr>
          <w:rFonts w:ascii="Arial" w:hAnsi="Arial" w:cs="Arial"/>
        </w:rPr>
        <w:t>Pseudognaphalium</w:t>
      </w:r>
      <w:proofErr w:type="spellEnd"/>
      <w:r w:rsidRPr="005500E0">
        <w:rPr>
          <w:rFonts w:ascii="Arial" w:hAnsi="Arial" w:cs="Arial"/>
        </w:rPr>
        <w:t xml:space="preserve"> </w:t>
      </w:r>
      <w:proofErr w:type="spellStart"/>
      <w:r w:rsidRPr="005500E0">
        <w:rPr>
          <w:rFonts w:ascii="Arial" w:hAnsi="Arial" w:cs="Arial"/>
        </w:rPr>
        <w:t>luteoalbum</w:t>
      </w:r>
      <w:proofErr w:type="spellEnd"/>
      <w:r w:rsidRPr="005500E0">
        <w:rPr>
          <w:rFonts w:ascii="Arial" w:hAnsi="Arial" w:cs="Arial"/>
        </w:rPr>
        <w:t xml:space="preserve"> (L.) Hilliard &amp; B.L. Burtt from Turkey. Natural Product Research, 24(14), 1371-1378. https://doi.org/10.1080/14786410903132445</w:t>
      </w:r>
    </w:p>
    <w:p w14:paraId="34738894" w14:textId="64E29A04" w:rsidR="00723D15" w:rsidRPr="005500E0" w:rsidRDefault="00723D15" w:rsidP="00723D15">
      <w:pPr>
        <w:spacing w:line="360" w:lineRule="auto"/>
        <w:jc w:val="both"/>
        <w:rPr>
          <w:rFonts w:ascii="Arial" w:hAnsi="Arial" w:cs="Arial"/>
        </w:rPr>
      </w:pPr>
      <w:r w:rsidRPr="005500E0">
        <w:rPr>
          <w:rFonts w:ascii="Arial" w:hAnsi="Arial" w:cs="Arial"/>
        </w:rPr>
        <w:t xml:space="preserve">Wang, X., Liu, D., Xiong, L., </w:t>
      </w:r>
      <w:proofErr w:type="spellStart"/>
      <w:r w:rsidRPr="005500E0">
        <w:rPr>
          <w:rFonts w:ascii="Arial" w:hAnsi="Arial" w:cs="Arial"/>
        </w:rPr>
        <w:t>Dunzhu</w:t>
      </w:r>
      <w:proofErr w:type="spellEnd"/>
      <w:r w:rsidRPr="005500E0">
        <w:rPr>
          <w:rFonts w:ascii="Arial" w:hAnsi="Arial" w:cs="Arial"/>
        </w:rPr>
        <w:t>, B., Zhang, L., Chen, W., Yang, Y., Xiao, Y., &amp; Sun, L. (2024). Ethnopharmacology, phytochemistry, bioactivities and quality control of the Gnaphalium genus: an updated review. Medicinal Plant Biology, 3, Article e005</w:t>
      </w:r>
    </w:p>
    <w:p w14:paraId="1E89A64F" w14:textId="4F4B589A" w:rsidR="000273F9" w:rsidRPr="005500E0" w:rsidRDefault="000273F9" w:rsidP="00557DD0">
      <w:pPr>
        <w:spacing w:line="360" w:lineRule="auto"/>
        <w:jc w:val="both"/>
        <w:rPr>
          <w:rFonts w:ascii="Arial" w:hAnsi="Arial" w:cs="Arial"/>
        </w:rPr>
      </w:pPr>
    </w:p>
    <w:sectPr w:rsidR="000273F9" w:rsidRPr="005500E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06A4F" w14:textId="77777777" w:rsidR="0043681F" w:rsidRDefault="0043681F" w:rsidP="00A42DDB">
      <w:pPr>
        <w:spacing w:after="0" w:line="240" w:lineRule="auto"/>
      </w:pPr>
      <w:r>
        <w:separator/>
      </w:r>
    </w:p>
  </w:endnote>
  <w:endnote w:type="continuationSeparator" w:id="0">
    <w:p w14:paraId="420B1C0B" w14:textId="77777777" w:rsidR="0043681F" w:rsidRDefault="0043681F" w:rsidP="00A4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1959" w14:textId="77777777" w:rsidR="00A42DDB" w:rsidRDefault="00A42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F97CC" w14:textId="77777777" w:rsidR="00A42DDB" w:rsidRDefault="00A42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C6D5E" w14:textId="77777777" w:rsidR="00A42DDB" w:rsidRDefault="00A4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3247E" w14:textId="77777777" w:rsidR="0043681F" w:rsidRDefault="0043681F" w:rsidP="00A42DDB">
      <w:pPr>
        <w:spacing w:after="0" w:line="240" w:lineRule="auto"/>
      </w:pPr>
      <w:r>
        <w:separator/>
      </w:r>
    </w:p>
  </w:footnote>
  <w:footnote w:type="continuationSeparator" w:id="0">
    <w:p w14:paraId="03B7CF04" w14:textId="77777777" w:rsidR="0043681F" w:rsidRDefault="0043681F" w:rsidP="00A42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FA39" w14:textId="627B8DD2" w:rsidR="00A42DDB" w:rsidRDefault="00A42DDB">
    <w:pPr>
      <w:pStyle w:val="Header"/>
    </w:pPr>
    <w:r>
      <w:rPr>
        <w:noProof/>
      </w:rPr>
      <w:pict w14:anchorId="47DF7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83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4790" w14:textId="065ADD81" w:rsidR="00A42DDB" w:rsidRDefault="00A42DDB">
    <w:pPr>
      <w:pStyle w:val="Header"/>
    </w:pPr>
    <w:r>
      <w:rPr>
        <w:noProof/>
      </w:rPr>
      <w:pict w14:anchorId="5AA4F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83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EE4A" w14:textId="54F61EF8" w:rsidR="00A42DDB" w:rsidRDefault="00A42DDB">
    <w:pPr>
      <w:pStyle w:val="Header"/>
    </w:pPr>
    <w:r>
      <w:rPr>
        <w:noProof/>
      </w:rPr>
      <w:pict w14:anchorId="34D11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83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93"/>
    <w:rsid w:val="000273F9"/>
    <w:rsid w:val="00030973"/>
    <w:rsid w:val="00030BC7"/>
    <w:rsid w:val="0004315B"/>
    <w:rsid w:val="00043FBA"/>
    <w:rsid w:val="00066622"/>
    <w:rsid w:val="00077648"/>
    <w:rsid w:val="00081ED9"/>
    <w:rsid w:val="00084535"/>
    <w:rsid w:val="000A5CCC"/>
    <w:rsid w:val="000B10B1"/>
    <w:rsid w:val="000E1B53"/>
    <w:rsid w:val="000E3AEF"/>
    <w:rsid w:val="000F192F"/>
    <w:rsid w:val="00157AD6"/>
    <w:rsid w:val="001748E9"/>
    <w:rsid w:val="0018762F"/>
    <w:rsid w:val="00190D79"/>
    <w:rsid w:val="001C07DF"/>
    <w:rsid w:val="002048D6"/>
    <w:rsid w:val="002056E1"/>
    <w:rsid w:val="0021226B"/>
    <w:rsid w:val="00217F62"/>
    <w:rsid w:val="002248B5"/>
    <w:rsid w:val="00243D8A"/>
    <w:rsid w:val="00243EC1"/>
    <w:rsid w:val="00244A46"/>
    <w:rsid w:val="00247FF9"/>
    <w:rsid w:val="0026132B"/>
    <w:rsid w:val="0026263F"/>
    <w:rsid w:val="00266716"/>
    <w:rsid w:val="002875B5"/>
    <w:rsid w:val="002934ED"/>
    <w:rsid w:val="0029714C"/>
    <w:rsid w:val="002A5A0B"/>
    <w:rsid w:val="002C3018"/>
    <w:rsid w:val="002D4A55"/>
    <w:rsid w:val="0030553B"/>
    <w:rsid w:val="00310EE7"/>
    <w:rsid w:val="00321BF4"/>
    <w:rsid w:val="00331152"/>
    <w:rsid w:val="003342CC"/>
    <w:rsid w:val="00352677"/>
    <w:rsid w:val="00371541"/>
    <w:rsid w:val="00382048"/>
    <w:rsid w:val="003B2F57"/>
    <w:rsid w:val="003C5A31"/>
    <w:rsid w:val="003D1E20"/>
    <w:rsid w:val="003E0A10"/>
    <w:rsid w:val="003E0C8B"/>
    <w:rsid w:val="003F2CE5"/>
    <w:rsid w:val="00412D63"/>
    <w:rsid w:val="00421457"/>
    <w:rsid w:val="004229E6"/>
    <w:rsid w:val="00432022"/>
    <w:rsid w:val="0043681F"/>
    <w:rsid w:val="00437200"/>
    <w:rsid w:val="00467334"/>
    <w:rsid w:val="004B4602"/>
    <w:rsid w:val="004D69B2"/>
    <w:rsid w:val="004E15F7"/>
    <w:rsid w:val="004F1615"/>
    <w:rsid w:val="004F1A0B"/>
    <w:rsid w:val="004F5F8F"/>
    <w:rsid w:val="00511561"/>
    <w:rsid w:val="00513703"/>
    <w:rsid w:val="00513DB8"/>
    <w:rsid w:val="00515C71"/>
    <w:rsid w:val="00531279"/>
    <w:rsid w:val="0053788E"/>
    <w:rsid w:val="005479E4"/>
    <w:rsid w:val="005500E0"/>
    <w:rsid w:val="00551167"/>
    <w:rsid w:val="00557DD0"/>
    <w:rsid w:val="00593CA4"/>
    <w:rsid w:val="005A6240"/>
    <w:rsid w:val="005C34B0"/>
    <w:rsid w:val="005E08FD"/>
    <w:rsid w:val="005E1A19"/>
    <w:rsid w:val="005E2F47"/>
    <w:rsid w:val="0060272A"/>
    <w:rsid w:val="00605193"/>
    <w:rsid w:val="00607642"/>
    <w:rsid w:val="006243F5"/>
    <w:rsid w:val="00631FE3"/>
    <w:rsid w:val="00666BB9"/>
    <w:rsid w:val="00667239"/>
    <w:rsid w:val="006758F0"/>
    <w:rsid w:val="00685E84"/>
    <w:rsid w:val="006B4FB1"/>
    <w:rsid w:val="006C1C99"/>
    <w:rsid w:val="006E0B50"/>
    <w:rsid w:val="006E59ED"/>
    <w:rsid w:val="006F3BAA"/>
    <w:rsid w:val="00700995"/>
    <w:rsid w:val="0070399B"/>
    <w:rsid w:val="00706515"/>
    <w:rsid w:val="00707D2E"/>
    <w:rsid w:val="00711DDB"/>
    <w:rsid w:val="00712BB2"/>
    <w:rsid w:val="00723D15"/>
    <w:rsid w:val="007601F2"/>
    <w:rsid w:val="00773250"/>
    <w:rsid w:val="007A32A3"/>
    <w:rsid w:val="007C5528"/>
    <w:rsid w:val="007D6E99"/>
    <w:rsid w:val="007E4CC4"/>
    <w:rsid w:val="0084497D"/>
    <w:rsid w:val="00851251"/>
    <w:rsid w:val="00851965"/>
    <w:rsid w:val="00884A23"/>
    <w:rsid w:val="0088690A"/>
    <w:rsid w:val="00892C4D"/>
    <w:rsid w:val="008C2AA3"/>
    <w:rsid w:val="008D6E21"/>
    <w:rsid w:val="008F30C3"/>
    <w:rsid w:val="008F5D1A"/>
    <w:rsid w:val="00907734"/>
    <w:rsid w:val="00915771"/>
    <w:rsid w:val="0092762A"/>
    <w:rsid w:val="00937024"/>
    <w:rsid w:val="009459FE"/>
    <w:rsid w:val="009A6D83"/>
    <w:rsid w:val="009B24BE"/>
    <w:rsid w:val="009D146E"/>
    <w:rsid w:val="009F4AA3"/>
    <w:rsid w:val="009F5540"/>
    <w:rsid w:val="00A15A8F"/>
    <w:rsid w:val="00A42DDB"/>
    <w:rsid w:val="00A45ACF"/>
    <w:rsid w:val="00A918C2"/>
    <w:rsid w:val="00AA0F7D"/>
    <w:rsid w:val="00AB124F"/>
    <w:rsid w:val="00AB2B1C"/>
    <w:rsid w:val="00AC515F"/>
    <w:rsid w:val="00AE43F7"/>
    <w:rsid w:val="00B27F0E"/>
    <w:rsid w:val="00B3037C"/>
    <w:rsid w:val="00B558DA"/>
    <w:rsid w:val="00B61ED6"/>
    <w:rsid w:val="00B94A92"/>
    <w:rsid w:val="00BC5C8F"/>
    <w:rsid w:val="00BD0C93"/>
    <w:rsid w:val="00C25C2E"/>
    <w:rsid w:val="00C47C6C"/>
    <w:rsid w:val="00CB0486"/>
    <w:rsid w:val="00CD06CE"/>
    <w:rsid w:val="00CE16B9"/>
    <w:rsid w:val="00D1656A"/>
    <w:rsid w:val="00D34E92"/>
    <w:rsid w:val="00D4073C"/>
    <w:rsid w:val="00D62C9C"/>
    <w:rsid w:val="00D96D41"/>
    <w:rsid w:val="00D97C74"/>
    <w:rsid w:val="00DB2E19"/>
    <w:rsid w:val="00DB6A05"/>
    <w:rsid w:val="00DC2EBE"/>
    <w:rsid w:val="00DC690D"/>
    <w:rsid w:val="00DD5106"/>
    <w:rsid w:val="00DF59D7"/>
    <w:rsid w:val="00E05A57"/>
    <w:rsid w:val="00E44486"/>
    <w:rsid w:val="00E6422F"/>
    <w:rsid w:val="00E77E89"/>
    <w:rsid w:val="00ED524A"/>
    <w:rsid w:val="00EE030B"/>
    <w:rsid w:val="00EF2241"/>
    <w:rsid w:val="00F04F2B"/>
    <w:rsid w:val="00F24D42"/>
    <w:rsid w:val="00F33CF9"/>
    <w:rsid w:val="00F573FD"/>
    <w:rsid w:val="00F87D01"/>
    <w:rsid w:val="00FB0ACB"/>
    <w:rsid w:val="00FC4B77"/>
    <w:rsid w:val="00FD24B5"/>
    <w:rsid w:val="00FF7A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DE829F"/>
  <w15:chartTrackingRefBased/>
  <w15:docId w15:val="{4A770F80-11F9-4BB4-AA2E-D7A33B9D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0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0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0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0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0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0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0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0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0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0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C93"/>
    <w:rPr>
      <w:rFonts w:eastAsiaTheme="majorEastAsia" w:cstheme="majorBidi"/>
      <w:color w:val="272727" w:themeColor="text1" w:themeTint="D8"/>
    </w:rPr>
  </w:style>
  <w:style w:type="paragraph" w:styleId="Title">
    <w:name w:val="Title"/>
    <w:basedOn w:val="Normal"/>
    <w:next w:val="Normal"/>
    <w:link w:val="TitleChar"/>
    <w:uiPriority w:val="10"/>
    <w:qFormat/>
    <w:rsid w:val="00BD0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C93"/>
    <w:pPr>
      <w:spacing w:before="160"/>
      <w:jc w:val="center"/>
    </w:pPr>
    <w:rPr>
      <w:i/>
      <w:iCs/>
      <w:color w:val="404040" w:themeColor="text1" w:themeTint="BF"/>
    </w:rPr>
  </w:style>
  <w:style w:type="character" w:customStyle="1" w:styleId="QuoteChar">
    <w:name w:val="Quote Char"/>
    <w:basedOn w:val="DefaultParagraphFont"/>
    <w:link w:val="Quote"/>
    <w:uiPriority w:val="29"/>
    <w:rsid w:val="00BD0C93"/>
    <w:rPr>
      <w:i/>
      <w:iCs/>
      <w:color w:val="404040" w:themeColor="text1" w:themeTint="BF"/>
    </w:rPr>
  </w:style>
  <w:style w:type="paragraph" w:styleId="ListParagraph">
    <w:name w:val="List Paragraph"/>
    <w:basedOn w:val="Normal"/>
    <w:uiPriority w:val="34"/>
    <w:qFormat/>
    <w:rsid w:val="00BD0C93"/>
    <w:pPr>
      <w:ind w:left="720"/>
      <w:contextualSpacing/>
    </w:pPr>
  </w:style>
  <w:style w:type="character" w:styleId="IntenseEmphasis">
    <w:name w:val="Intense Emphasis"/>
    <w:basedOn w:val="DefaultParagraphFont"/>
    <w:uiPriority w:val="21"/>
    <w:qFormat/>
    <w:rsid w:val="00BD0C93"/>
    <w:rPr>
      <w:i/>
      <w:iCs/>
      <w:color w:val="2F5496" w:themeColor="accent1" w:themeShade="BF"/>
    </w:rPr>
  </w:style>
  <w:style w:type="paragraph" w:styleId="IntenseQuote">
    <w:name w:val="Intense Quote"/>
    <w:basedOn w:val="Normal"/>
    <w:next w:val="Normal"/>
    <w:link w:val="IntenseQuoteChar"/>
    <w:uiPriority w:val="30"/>
    <w:qFormat/>
    <w:rsid w:val="00BD0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0C93"/>
    <w:rPr>
      <w:i/>
      <w:iCs/>
      <w:color w:val="2F5496" w:themeColor="accent1" w:themeShade="BF"/>
    </w:rPr>
  </w:style>
  <w:style w:type="character" w:styleId="IntenseReference">
    <w:name w:val="Intense Reference"/>
    <w:basedOn w:val="DefaultParagraphFont"/>
    <w:uiPriority w:val="32"/>
    <w:qFormat/>
    <w:rsid w:val="00BD0C93"/>
    <w:rPr>
      <w:b/>
      <w:bCs/>
      <w:smallCaps/>
      <w:color w:val="2F5496" w:themeColor="accent1" w:themeShade="BF"/>
      <w:spacing w:val="5"/>
    </w:rPr>
  </w:style>
  <w:style w:type="table" w:styleId="TableGrid">
    <w:name w:val="Table Grid"/>
    <w:basedOn w:val="TableNormal"/>
    <w:uiPriority w:val="39"/>
    <w:rsid w:val="00DB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43F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D62C9C"/>
    <w:rPr>
      <w:color w:val="0563C1" w:themeColor="hyperlink"/>
      <w:u w:val="single"/>
    </w:rPr>
  </w:style>
  <w:style w:type="character" w:styleId="UnresolvedMention">
    <w:name w:val="Unresolved Mention"/>
    <w:basedOn w:val="DefaultParagraphFont"/>
    <w:uiPriority w:val="99"/>
    <w:semiHidden/>
    <w:unhideWhenUsed/>
    <w:rsid w:val="00D62C9C"/>
    <w:rPr>
      <w:color w:val="605E5C"/>
      <w:shd w:val="clear" w:color="auto" w:fill="E1DFDD"/>
    </w:rPr>
  </w:style>
  <w:style w:type="paragraph" w:styleId="Header">
    <w:name w:val="header"/>
    <w:basedOn w:val="Normal"/>
    <w:link w:val="HeaderChar"/>
    <w:uiPriority w:val="99"/>
    <w:unhideWhenUsed/>
    <w:rsid w:val="00A42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DB"/>
  </w:style>
  <w:style w:type="paragraph" w:styleId="Footer">
    <w:name w:val="footer"/>
    <w:basedOn w:val="Normal"/>
    <w:link w:val="FooterChar"/>
    <w:uiPriority w:val="99"/>
    <w:unhideWhenUsed/>
    <w:rsid w:val="00A42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4536">
      <w:bodyDiv w:val="1"/>
      <w:marLeft w:val="0"/>
      <w:marRight w:val="0"/>
      <w:marTop w:val="0"/>
      <w:marBottom w:val="0"/>
      <w:divBdr>
        <w:top w:val="none" w:sz="0" w:space="0" w:color="auto"/>
        <w:left w:val="none" w:sz="0" w:space="0" w:color="auto"/>
        <w:bottom w:val="none" w:sz="0" w:space="0" w:color="auto"/>
        <w:right w:val="none" w:sz="0" w:space="0" w:color="auto"/>
      </w:divBdr>
    </w:div>
    <w:div w:id="633949473">
      <w:bodyDiv w:val="1"/>
      <w:marLeft w:val="0"/>
      <w:marRight w:val="0"/>
      <w:marTop w:val="0"/>
      <w:marBottom w:val="0"/>
      <w:divBdr>
        <w:top w:val="none" w:sz="0" w:space="0" w:color="auto"/>
        <w:left w:val="none" w:sz="0" w:space="0" w:color="auto"/>
        <w:bottom w:val="none" w:sz="0" w:space="0" w:color="auto"/>
        <w:right w:val="none" w:sz="0" w:space="0" w:color="auto"/>
      </w:divBdr>
    </w:div>
    <w:div w:id="637228764">
      <w:bodyDiv w:val="1"/>
      <w:marLeft w:val="0"/>
      <w:marRight w:val="0"/>
      <w:marTop w:val="0"/>
      <w:marBottom w:val="0"/>
      <w:divBdr>
        <w:top w:val="none" w:sz="0" w:space="0" w:color="auto"/>
        <w:left w:val="none" w:sz="0" w:space="0" w:color="auto"/>
        <w:bottom w:val="none" w:sz="0" w:space="0" w:color="auto"/>
        <w:right w:val="none" w:sz="0" w:space="0" w:color="auto"/>
      </w:divBdr>
    </w:div>
    <w:div w:id="1372611944">
      <w:bodyDiv w:val="1"/>
      <w:marLeft w:val="0"/>
      <w:marRight w:val="0"/>
      <w:marTop w:val="0"/>
      <w:marBottom w:val="0"/>
      <w:divBdr>
        <w:top w:val="none" w:sz="0" w:space="0" w:color="auto"/>
        <w:left w:val="none" w:sz="0" w:space="0" w:color="auto"/>
        <w:bottom w:val="none" w:sz="0" w:space="0" w:color="auto"/>
        <w:right w:val="none" w:sz="0" w:space="0" w:color="auto"/>
      </w:divBdr>
    </w:div>
    <w:div w:id="1746419440">
      <w:bodyDiv w:val="1"/>
      <w:marLeft w:val="0"/>
      <w:marRight w:val="0"/>
      <w:marTop w:val="0"/>
      <w:marBottom w:val="0"/>
      <w:divBdr>
        <w:top w:val="none" w:sz="0" w:space="0" w:color="auto"/>
        <w:left w:val="none" w:sz="0" w:space="0" w:color="auto"/>
        <w:bottom w:val="none" w:sz="0" w:space="0" w:color="auto"/>
        <w:right w:val="none" w:sz="0" w:space="0" w:color="auto"/>
      </w:divBdr>
    </w:div>
    <w:div w:id="1953658976">
      <w:bodyDiv w:val="1"/>
      <w:marLeft w:val="0"/>
      <w:marRight w:val="0"/>
      <w:marTop w:val="0"/>
      <w:marBottom w:val="0"/>
      <w:divBdr>
        <w:top w:val="none" w:sz="0" w:space="0" w:color="auto"/>
        <w:left w:val="none" w:sz="0" w:space="0" w:color="auto"/>
        <w:bottom w:val="none" w:sz="0" w:space="0" w:color="auto"/>
        <w:right w:val="none" w:sz="0" w:space="0" w:color="auto"/>
      </w:divBdr>
    </w:div>
    <w:div w:id="21060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ndy\Desktop\msc%20dessertation%20pap\Flavonoi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Antioxidant</a:t>
            </a:r>
            <a:r>
              <a:rPr lang="en-IN" sz="1200" b="1" baseline="0">
                <a:latin typeface="Times New Roman" panose="02020603050405020304" pitchFamily="18" charset="0"/>
                <a:cs typeface="Times New Roman" panose="02020603050405020304" pitchFamily="18" charset="0"/>
              </a:rPr>
              <a:t> for </a:t>
            </a:r>
            <a:r>
              <a:rPr lang="en-IN" sz="1200" b="1" i="1" u="none" strike="noStrike" baseline="0">
                <a:effectLst/>
                <a:latin typeface="Times New Roman" panose="02020603050405020304" pitchFamily="18" charset="0"/>
                <a:cs typeface="Times New Roman" panose="02020603050405020304" pitchFamily="18" charset="0"/>
              </a:rPr>
              <a:t>Pseudognaphalium luteoalbum</a:t>
            </a:r>
            <a:r>
              <a:rPr lang="en-IN" sz="1200" b="1" i="0" u="none" strike="noStrike" baseline="0">
                <a:effectLst/>
                <a:latin typeface="Times New Roman" panose="02020603050405020304" pitchFamily="18" charset="0"/>
                <a:cs typeface="Times New Roman" panose="02020603050405020304" pitchFamily="18" charset="0"/>
              </a:rPr>
              <a:t> (L.) Hilliard and B.L. Burtt </a:t>
            </a:r>
            <a:endParaRPr lang="en-IN" sz="1200" b="1" i="1">
              <a:latin typeface="Times New Roman" panose="02020603050405020304" pitchFamily="18" charset="0"/>
              <a:cs typeface="Times New Roman" panose="02020603050405020304" pitchFamily="18" charset="0"/>
            </a:endParaRPr>
          </a:p>
        </c:rich>
      </c:tx>
      <c:layout>
        <c:manualLayout>
          <c:xMode val="edge"/>
          <c:yMode val="edge"/>
          <c:x val="0.18529390115906605"/>
          <c:y val="2.7625982006099781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748048999432391"/>
          <c:y val="0.17530532585309325"/>
          <c:w val="0.4798094967554084"/>
          <c:h val="0.5978784026782733"/>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3"/>
              <c:layout>
                <c:manualLayout>
                  <c:x val="-1.1186933661483387E-2"/>
                  <c:y val="0"/>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A3-46A7-946A-60642C6E0C14}"/>
                </c:ext>
              </c:extLst>
            </c:dLbl>
            <c:dLbl>
              <c:idx val="4"/>
              <c:layout>
                <c:manualLayout>
                  <c:x val="8.9495469291866279E-3"/>
                  <c:y val="9.578544061302681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A3-46A7-946A-60642C6E0C14}"/>
                </c:ext>
              </c:extLst>
            </c:dLbl>
            <c:dLbl>
              <c:idx val="5"/>
              <c:layout>
                <c:manualLayout>
                  <c:x val="1.3424320393780064E-2"/>
                  <c:y val="-2.55427841634738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A3-46A7-946A-60642C6E0C1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intercept val="0"/>
            <c:dispRSqr val="1"/>
            <c:dispEq val="1"/>
            <c:trendlineLbl>
              <c:layout>
                <c:manualLayout>
                  <c:x val="0.37991221186276536"/>
                  <c:y val="-5.4948505995787669E-2"/>
                </c:manualLayout>
              </c:layout>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200" baseline="0">
                        <a:latin typeface="Times New Roman" panose="02020603050405020304" pitchFamily="18" charset="0"/>
                        <a:cs typeface="Times New Roman" panose="02020603050405020304" pitchFamily="18" charset="0"/>
                      </a:rPr>
                      <a:t>y = 4.3179x</a:t>
                    </a:r>
                    <a:br>
                      <a:rPr lang="en-US" sz="1200" baseline="0">
                        <a:latin typeface="Times New Roman" panose="02020603050405020304" pitchFamily="18" charset="0"/>
                        <a:cs typeface="Times New Roman" panose="02020603050405020304" pitchFamily="18" charset="0"/>
                      </a:rPr>
                    </a:br>
                    <a:r>
                      <a:rPr lang="en-US" sz="1200" baseline="0">
                        <a:latin typeface="Times New Roman" panose="02020603050405020304" pitchFamily="18" charset="0"/>
                        <a:cs typeface="Times New Roman" panose="02020603050405020304" pitchFamily="18" charset="0"/>
                      </a:rPr>
                      <a:t>R² = 0.9558</a:t>
                    </a:r>
                    <a:endParaRPr lang="en-US" sz="1200">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rendlineLbl>
          </c:trendline>
          <c:xVal>
            <c:numRef>
              <c:f>'Phunil ant oxidant'!$C$13:$C$18</c:f>
              <c:numCache>
                <c:formatCode>General</c:formatCode>
                <c:ptCount val="6"/>
                <c:pt idx="0">
                  <c:v>0</c:v>
                </c:pt>
                <c:pt idx="1">
                  <c:v>5</c:v>
                </c:pt>
                <c:pt idx="2">
                  <c:v>10</c:v>
                </c:pt>
                <c:pt idx="3">
                  <c:v>15</c:v>
                </c:pt>
                <c:pt idx="4">
                  <c:v>20</c:v>
                </c:pt>
                <c:pt idx="5">
                  <c:v>25</c:v>
                </c:pt>
              </c:numCache>
            </c:numRef>
          </c:xVal>
          <c:yVal>
            <c:numRef>
              <c:f>'Phunil ant oxidant'!$D$13:$D$18</c:f>
              <c:numCache>
                <c:formatCode>General</c:formatCode>
                <c:ptCount val="6"/>
                <c:pt idx="0">
                  <c:v>0</c:v>
                </c:pt>
                <c:pt idx="1">
                  <c:v>39.78</c:v>
                </c:pt>
                <c:pt idx="2">
                  <c:v>48.54</c:v>
                </c:pt>
                <c:pt idx="3">
                  <c:v>86.45</c:v>
                </c:pt>
                <c:pt idx="4">
                  <c:v>86.49</c:v>
                </c:pt>
                <c:pt idx="5">
                  <c:v>89.05</c:v>
                </c:pt>
              </c:numCache>
            </c:numRef>
          </c:yVal>
          <c:smooth val="0"/>
          <c:extLst>
            <c:ext xmlns:c16="http://schemas.microsoft.com/office/drawing/2014/chart" uri="{C3380CC4-5D6E-409C-BE32-E72D297353CC}">
              <c16:uniqueId val="{00000001-26A3-4940-9B85-0E16337437BB}"/>
            </c:ext>
          </c:extLst>
        </c:ser>
        <c:dLbls>
          <c:showLegendKey val="0"/>
          <c:showVal val="1"/>
          <c:showCatName val="0"/>
          <c:showSerName val="0"/>
          <c:showPercent val="0"/>
          <c:showBubbleSize val="0"/>
        </c:dLbls>
        <c:axId val="1595497055"/>
        <c:axId val="1306147727"/>
      </c:scatterChart>
      <c:valAx>
        <c:axId val="1595497055"/>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Concentration</a:t>
                </a:r>
                <a:r>
                  <a:rPr lang="en-IN" sz="1200" b="1" baseline="0">
                    <a:latin typeface="Times New Roman" panose="02020603050405020304" pitchFamily="18" charset="0"/>
                    <a:cs typeface="Times New Roman" panose="02020603050405020304" pitchFamily="18" charset="0"/>
                  </a:rPr>
                  <a:t> of </a:t>
                </a:r>
                <a:r>
                  <a:rPr lang="en-IN" sz="1200" b="1" i="1" u="none" strike="noStrike" baseline="0">
                    <a:effectLst/>
                    <a:latin typeface="Times New Roman" panose="02020603050405020304" pitchFamily="18" charset="0"/>
                    <a:cs typeface="Times New Roman" panose="02020603050405020304" pitchFamily="18" charset="0"/>
                  </a:rPr>
                  <a:t>Pseudognaphalium luteoalbum</a:t>
                </a:r>
                <a:r>
                  <a:rPr lang="en-IN" sz="1200" b="1" i="0" u="none" strike="noStrike" baseline="0">
                    <a:effectLst/>
                    <a:latin typeface="Times New Roman" panose="02020603050405020304" pitchFamily="18" charset="0"/>
                    <a:cs typeface="Times New Roman" panose="02020603050405020304" pitchFamily="18" charset="0"/>
                  </a:rPr>
                  <a:t> (L.) Hilliard and B.L. Burtt </a:t>
                </a:r>
                <a:r>
                  <a:rPr lang="en-IN" sz="1200" b="1" baseline="0">
                    <a:latin typeface="Times New Roman" panose="02020603050405020304" pitchFamily="18" charset="0"/>
                    <a:cs typeface="Times New Roman" panose="02020603050405020304" pitchFamily="18" charset="0"/>
                  </a:rPr>
                  <a:t> in µg/g</a:t>
                </a:r>
                <a:endParaRPr lang="en-IN" sz="1200" b="1">
                  <a:latin typeface="Times New Roman" panose="02020603050405020304" pitchFamily="18" charset="0"/>
                  <a:cs typeface="Times New Roman" panose="02020603050405020304" pitchFamily="18" charset="0"/>
                </a:endParaRPr>
              </a:p>
            </c:rich>
          </c:tx>
          <c:layout>
            <c:manualLayout>
              <c:xMode val="edge"/>
              <c:yMode val="edge"/>
              <c:x val="0.1569152759540372"/>
              <c:y val="0.8655584053134259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6147727"/>
        <c:crosses val="autoZero"/>
        <c:crossBetween val="midCat"/>
      </c:valAx>
      <c:valAx>
        <c:axId val="1306147727"/>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 inhibition of DPPH</a:t>
                </a:r>
              </a:p>
            </c:rich>
          </c:tx>
          <c:layout>
            <c:manualLayout>
              <c:xMode val="edge"/>
              <c:yMode val="edge"/>
              <c:x val="4.7722623823781979E-2"/>
              <c:y val="0.2393077933141985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549705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11</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Wangkhem Sandhya Chanu</dc:creator>
  <cp:keywords/>
  <dc:description/>
  <cp:lastModifiedBy>SDI 1084</cp:lastModifiedBy>
  <cp:revision>483</cp:revision>
  <dcterms:created xsi:type="dcterms:W3CDTF">2025-03-29T16:08:00Z</dcterms:created>
  <dcterms:modified xsi:type="dcterms:W3CDTF">2025-06-16T10:30:00Z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5b31191872e31820efe5abb390aee5e52fca3b99f8029214cfc69699be2cb317</vt:lpwstr>
  </property>
</Properties>
</file>