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23E0C" w14:textId="77777777" w:rsidR="00493689" w:rsidRPr="00493689" w:rsidRDefault="00493689" w:rsidP="00493689">
      <w:pPr>
        <w:pStyle w:val="Heading1"/>
        <w:rPr>
          <w:rFonts w:ascii="Arial" w:hAnsi="Arial" w:cs="Arial"/>
          <w:i/>
          <w:u w:val="single"/>
          <w:lang w:val="en-US"/>
        </w:rPr>
      </w:pPr>
      <w:bookmarkStart w:id="0" w:name="_Toc536760994"/>
      <w:r w:rsidRPr="00493689">
        <w:rPr>
          <w:rFonts w:ascii="Arial" w:hAnsi="Arial" w:cs="Arial"/>
          <w:i/>
          <w:u w:val="single"/>
          <w:lang w:val="en-US"/>
        </w:rPr>
        <w:t>Original Research Article</w:t>
      </w:r>
    </w:p>
    <w:p w14:paraId="42835ECD" w14:textId="552C7843" w:rsidR="00374A65" w:rsidRDefault="00374A65" w:rsidP="00FD59DA">
      <w:pPr>
        <w:pStyle w:val="Heading1"/>
        <w:spacing w:after="0" w:line="240" w:lineRule="auto"/>
        <w:rPr>
          <w:rFonts w:ascii="Arial" w:hAnsi="Arial" w:cs="Arial"/>
          <w:sz w:val="22"/>
          <w:szCs w:val="22"/>
        </w:rPr>
      </w:pPr>
      <w:r w:rsidRPr="00DC016F">
        <w:rPr>
          <w:rFonts w:ascii="Arial" w:hAnsi="Arial" w:cs="Arial"/>
          <w:sz w:val="22"/>
          <w:szCs w:val="22"/>
        </w:rPr>
        <w:t>assessment of NUTRITIONAL and antioxidant status of under-FIVE</w:t>
      </w:r>
      <w:r w:rsidR="005D0CB8">
        <w:rPr>
          <w:rFonts w:ascii="Arial" w:hAnsi="Arial" w:cs="Arial"/>
          <w:sz w:val="22"/>
          <w:szCs w:val="22"/>
        </w:rPr>
        <w:t xml:space="preserve"> </w:t>
      </w:r>
      <w:r w:rsidRPr="00DC016F">
        <w:rPr>
          <w:rFonts w:ascii="Arial" w:hAnsi="Arial" w:cs="Arial"/>
          <w:sz w:val="22"/>
          <w:szCs w:val="22"/>
        </w:rPr>
        <w:t>Years children in Funakaye L.G.A Gombe state</w:t>
      </w:r>
      <w:bookmarkEnd w:id="0"/>
    </w:p>
    <w:p w14:paraId="30EEEE7C" w14:textId="77777777" w:rsidR="00493689" w:rsidRPr="00493689" w:rsidRDefault="00493689" w:rsidP="00493689">
      <w:pPr>
        <w:rPr>
          <w:lang w:val="en-ZA"/>
        </w:rPr>
      </w:pPr>
    </w:p>
    <w:p w14:paraId="3DAB058E" w14:textId="5013BED3" w:rsidR="00493689" w:rsidRDefault="00493689" w:rsidP="00813ADA">
      <w:pPr>
        <w:spacing w:after="0" w:line="240" w:lineRule="auto"/>
        <w:rPr>
          <w:rFonts w:ascii="Arial" w:hAnsi="Arial" w:cs="Arial"/>
          <w:b/>
          <w:bCs/>
        </w:rPr>
      </w:pPr>
    </w:p>
    <w:p w14:paraId="7BBCF677" w14:textId="77777777" w:rsidR="00493689" w:rsidRPr="00FA5EF9" w:rsidRDefault="00493689" w:rsidP="00DC016F">
      <w:pPr>
        <w:spacing w:after="0"/>
        <w:jc w:val="both"/>
        <w:rPr>
          <w:rFonts w:ascii="Arial" w:hAnsi="Arial" w:cs="Arial"/>
          <w:b/>
          <w:bCs/>
        </w:rPr>
      </w:pPr>
    </w:p>
    <w:p w14:paraId="3EBC5EF4" w14:textId="77777777" w:rsidR="00AC43DA" w:rsidRPr="00DC016F" w:rsidRDefault="00AC43DA" w:rsidP="00AC43DA">
      <w:pPr>
        <w:spacing w:after="0" w:line="240" w:lineRule="auto"/>
        <w:rPr>
          <w:rFonts w:ascii="Arial" w:hAnsi="Arial" w:cs="Arial"/>
          <w:b/>
        </w:rPr>
      </w:pPr>
    </w:p>
    <w:p w14:paraId="40792055" w14:textId="77777777" w:rsidR="00374A65" w:rsidRPr="00DC016F" w:rsidRDefault="00374A65" w:rsidP="00FD59DA">
      <w:pPr>
        <w:pStyle w:val="Heading1"/>
        <w:spacing w:after="0" w:line="240" w:lineRule="auto"/>
        <w:rPr>
          <w:rStyle w:val="fontstyle01"/>
          <w:rFonts w:ascii="Arial" w:hAnsi="Arial" w:cs="Arial"/>
          <w:color w:val="auto"/>
          <w:sz w:val="22"/>
          <w:szCs w:val="22"/>
        </w:rPr>
      </w:pPr>
      <w:bookmarkStart w:id="1" w:name="_Toc70173288"/>
      <w:bookmarkStart w:id="2" w:name="_Toc70173401"/>
      <w:bookmarkStart w:id="3" w:name="_Toc536761004"/>
    </w:p>
    <w:p w14:paraId="6C84C505" w14:textId="04BC19EE" w:rsidR="00374A65" w:rsidRPr="00DC016F" w:rsidRDefault="00374A65" w:rsidP="00FD59DA">
      <w:pPr>
        <w:pStyle w:val="Heading1"/>
        <w:spacing w:after="0" w:line="240" w:lineRule="auto"/>
        <w:rPr>
          <w:rStyle w:val="fontstyle01"/>
          <w:rFonts w:ascii="Arial" w:eastAsiaTheme="minorEastAsia" w:hAnsi="Arial" w:cs="Arial"/>
          <w:color w:val="auto"/>
          <w:sz w:val="22"/>
          <w:szCs w:val="22"/>
        </w:rPr>
      </w:pPr>
      <w:r w:rsidRPr="00DC016F">
        <w:rPr>
          <w:rStyle w:val="fontstyle01"/>
          <w:rFonts w:ascii="Arial" w:eastAsiaTheme="minorEastAsia" w:hAnsi="Arial" w:cs="Arial"/>
          <w:color w:val="auto"/>
          <w:sz w:val="22"/>
          <w:szCs w:val="22"/>
        </w:rPr>
        <w:t>ABSTRACT</w:t>
      </w:r>
      <w:bookmarkEnd w:id="1"/>
      <w:bookmarkEnd w:id="2"/>
      <w:bookmarkEnd w:id="3"/>
      <w:r w:rsidR="008627AC" w:rsidRPr="00DC016F">
        <w:rPr>
          <w:rStyle w:val="fontstyle01"/>
          <w:rFonts w:ascii="Arial" w:eastAsiaTheme="minorEastAsia" w:hAnsi="Arial" w:cs="Arial"/>
          <w:color w:val="auto"/>
          <w:sz w:val="22"/>
          <w:szCs w:val="22"/>
        </w:rPr>
        <w:t xml:space="preserve"> </w:t>
      </w:r>
    </w:p>
    <w:p w14:paraId="33CEC3FE" w14:textId="7F2A8ACA" w:rsidR="00B6350A" w:rsidRPr="00DC016F" w:rsidRDefault="00B6350A" w:rsidP="00FD59DA">
      <w:pPr>
        <w:pStyle w:val="NormalWeb"/>
        <w:jc w:val="both"/>
        <w:rPr>
          <w:rFonts w:ascii="Arial" w:hAnsi="Arial" w:cs="Arial"/>
          <w:sz w:val="22"/>
          <w:szCs w:val="22"/>
        </w:rPr>
      </w:pPr>
      <w:r w:rsidRPr="00DC016F">
        <w:rPr>
          <w:rFonts w:ascii="Arial" w:hAnsi="Arial" w:cs="Arial"/>
          <w:sz w:val="22"/>
          <w:szCs w:val="22"/>
        </w:rPr>
        <w:t>Malnutrition, particularly in early childhood, compromises immunity, exacerbates illnesses, and increases mortality rates from diarrhea and respiratory infections despite various maternal and child nutrition policies in Nigeria. Micronutrients, including vitamins and minerals, and antioxidants,</w:t>
      </w:r>
      <w:r w:rsidR="00561E6F" w:rsidRPr="00DC016F">
        <w:rPr>
          <w:rFonts w:ascii="Arial" w:hAnsi="Arial" w:cs="Arial"/>
          <w:sz w:val="22"/>
          <w:szCs w:val="22"/>
        </w:rPr>
        <w:t xml:space="preserve"> </w:t>
      </w:r>
      <w:r w:rsidRPr="00DC016F">
        <w:rPr>
          <w:rFonts w:ascii="Arial" w:hAnsi="Arial" w:cs="Arial"/>
          <w:sz w:val="22"/>
          <w:szCs w:val="22"/>
        </w:rPr>
        <w:t>essential for health, were the primary focus of this research. The study involved 100 under-five children from 10 wards, e</w:t>
      </w:r>
      <w:r w:rsidR="00561E6F" w:rsidRPr="00DC016F">
        <w:rPr>
          <w:rFonts w:ascii="Arial" w:hAnsi="Arial" w:cs="Arial"/>
          <w:sz w:val="22"/>
          <w:szCs w:val="22"/>
        </w:rPr>
        <w:t>val</w:t>
      </w:r>
      <w:r w:rsidR="0080389D" w:rsidRPr="00DC016F">
        <w:rPr>
          <w:rFonts w:ascii="Arial" w:hAnsi="Arial" w:cs="Arial"/>
          <w:sz w:val="22"/>
          <w:szCs w:val="22"/>
        </w:rPr>
        <w:t>uating;</w:t>
      </w:r>
      <w:r w:rsidRPr="00DC016F">
        <w:rPr>
          <w:rFonts w:ascii="Arial" w:hAnsi="Arial" w:cs="Arial"/>
          <w:sz w:val="22"/>
          <w:szCs w:val="22"/>
        </w:rPr>
        <w:t xml:space="preserve"> anthropometric indices (weight-for-age, height-for-age, BMI-for-age), antioxidant vitamins (A, C, D, E), and minerals (Zn, Mn, Se, Fe, Cu), along with antioxidant enzymes (SOD, CAT, GPX). Results revealed significant variations in micronutrient levels across </w:t>
      </w:r>
      <w:r w:rsidR="00FF4379" w:rsidRPr="00DC016F">
        <w:rPr>
          <w:rFonts w:ascii="Arial" w:hAnsi="Arial" w:cs="Arial"/>
          <w:sz w:val="22"/>
          <w:szCs w:val="22"/>
        </w:rPr>
        <w:t xml:space="preserve">the </w:t>
      </w:r>
      <w:r w:rsidRPr="00DC016F">
        <w:rPr>
          <w:rFonts w:ascii="Arial" w:hAnsi="Arial" w:cs="Arial"/>
          <w:sz w:val="22"/>
          <w:szCs w:val="22"/>
        </w:rPr>
        <w:t xml:space="preserve">wards. For instance, vitamin A levels ranged from 933.4±219.0 µg in Tilde Bodor to 1618.7±665.4 µg in Ribadu. Similarly, vitamin C was highest in </w:t>
      </w:r>
      <w:proofErr w:type="spellStart"/>
      <w:r w:rsidRPr="00DC016F">
        <w:rPr>
          <w:rFonts w:ascii="Arial" w:hAnsi="Arial" w:cs="Arial"/>
          <w:sz w:val="22"/>
          <w:szCs w:val="22"/>
        </w:rPr>
        <w:t>Jillahi</w:t>
      </w:r>
      <w:proofErr w:type="spellEnd"/>
      <w:r w:rsidRPr="00DC016F">
        <w:rPr>
          <w:rFonts w:ascii="Arial" w:hAnsi="Arial" w:cs="Arial"/>
          <w:sz w:val="22"/>
          <w:szCs w:val="22"/>
        </w:rPr>
        <w:t xml:space="preserve"> (322.4±99.3 µg) and lowest in Ribadu (191.5±28.9 µg). Variations in other vitamins, including D and E, and minerals like selenium, copper, and zinc, were also statistically significant (P &lt; 0.05). Anthropometric findings showed mean values for mid-upper-arm circumference (MUAC), weight-for-age (WAZ), height-for-age (HAZ), and BMI-for-age (BAZ) at 11.44±2.54 cm, 0.21±0.62, 0.73±0.19, and 0.37±0.79, respectively. The prevalence of severe acute malnutrition (2%), moderate acute malnutrition (9%), overweight (7%), and obesity (1%) highlighted varying degrees of nutritional challenges. Additionally, rates of underweight, stunting, overweight, and obesity were recorded at 6%, 3%, 7%, and 3%, respectively.</w:t>
      </w:r>
    </w:p>
    <w:p w14:paraId="2DD4B221" w14:textId="0B9C9CFF" w:rsidR="008627AC" w:rsidRPr="008A0722" w:rsidRDefault="008627AC" w:rsidP="00D47120">
      <w:pPr>
        <w:pStyle w:val="NormalWeb"/>
        <w:spacing w:before="0" w:beforeAutospacing="0" w:after="0" w:afterAutospacing="0"/>
        <w:jc w:val="both"/>
        <w:rPr>
          <w:rFonts w:ascii="Arial" w:hAnsi="Arial" w:cs="Arial"/>
          <w:b/>
          <w:bCs/>
          <w:sz w:val="22"/>
          <w:szCs w:val="22"/>
        </w:rPr>
      </w:pPr>
      <w:r w:rsidRPr="00DC016F">
        <w:rPr>
          <w:rFonts w:ascii="Arial" w:hAnsi="Arial" w:cs="Arial"/>
          <w:b/>
          <w:bCs/>
          <w:sz w:val="22"/>
          <w:szCs w:val="22"/>
        </w:rPr>
        <w:t>Keyword: under-five children,</w:t>
      </w:r>
      <w:r w:rsidR="00D47120" w:rsidRPr="00DC016F">
        <w:rPr>
          <w:rFonts w:ascii="Arial" w:hAnsi="Arial" w:cs="Arial"/>
          <w:b/>
          <w:bCs/>
          <w:sz w:val="22"/>
          <w:szCs w:val="22"/>
        </w:rPr>
        <w:t xml:space="preserve"> </w:t>
      </w:r>
      <w:r w:rsidRPr="00DC016F">
        <w:rPr>
          <w:rFonts w:ascii="Arial" w:hAnsi="Arial" w:cs="Arial"/>
          <w:b/>
          <w:bCs/>
          <w:sz w:val="22"/>
          <w:szCs w:val="22"/>
        </w:rPr>
        <w:t>Micronutrients, antioxidant enzymes and</w:t>
      </w:r>
      <w:r w:rsidR="00D47120" w:rsidRPr="00DC016F">
        <w:rPr>
          <w:rFonts w:ascii="Arial" w:hAnsi="Arial" w:cs="Arial"/>
          <w:b/>
          <w:bCs/>
          <w:sz w:val="22"/>
          <w:szCs w:val="22"/>
        </w:rPr>
        <w:t xml:space="preserve"> </w:t>
      </w:r>
      <w:r w:rsidRPr="00DC016F">
        <w:rPr>
          <w:rFonts w:ascii="Arial" w:hAnsi="Arial" w:cs="Arial"/>
          <w:b/>
          <w:bCs/>
          <w:sz w:val="22"/>
          <w:szCs w:val="22"/>
        </w:rPr>
        <w:t xml:space="preserve">anthropometric indices </w:t>
      </w:r>
    </w:p>
    <w:p w14:paraId="6AE0200B" w14:textId="77777777" w:rsidR="00AF00AB" w:rsidRDefault="00AF00AB" w:rsidP="00FD59DA">
      <w:pPr>
        <w:pStyle w:val="Heading2"/>
        <w:spacing w:line="240" w:lineRule="auto"/>
        <w:rPr>
          <w:rFonts w:ascii="Arial" w:hAnsi="Arial" w:cs="Arial"/>
          <w:b/>
          <w:bCs/>
          <w:color w:val="auto"/>
          <w:sz w:val="22"/>
          <w:szCs w:val="22"/>
        </w:rPr>
      </w:pPr>
    </w:p>
    <w:p w14:paraId="123FA94C" w14:textId="77777777" w:rsidR="008A0722" w:rsidRDefault="008A0722" w:rsidP="008A0722"/>
    <w:p w14:paraId="2F4E871A" w14:textId="77777777" w:rsidR="008A0722" w:rsidRDefault="008A0722" w:rsidP="008A0722"/>
    <w:p w14:paraId="72A1B6A6" w14:textId="77777777" w:rsidR="008A0722" w:rsidRDefault="008A0722" w:rsidP="008A0722"/>
    <w:p w14:paraId="40E90613" w14:textId="77777777" w:rsidR="008A0722" w:rsidRDefault="008A0722" w:rsidP="008A0722"/>
    <w:p w14:paraId="469AE5D6" w14:textId="77777777" w:rsidR="008A0722" w:rsidRDefault="008A0722" w:rsidP="008A0722"/>
    <w:p w14:paraId="3F7021E7" w14:textId="77777777" w:rsidR="008A0722" w:rsidRDefault="008A0722" w:rsidP="008A0722"/>
    <w:p w14:paraId="41D4BD44" w14:textId="77777777" w:rsidR="00813ADA" w:rsidRDefault="00813ADA" w:rsidP="008A0722"/>
    <w:p w14:paraId="2114C718" w14:textId="77777777" w:rsidR="00813ADA" w:rsidRDefault="00813ADA" w:rsidP="008A0722"/>
    <w:p w14:paraId="4BD1689E" w14:textId="77777777" w:rsidR="008A0722" w:rsidRDefault="008A0722" w:rsidP="008A0722"/>
    <w:p w14:paraId="3BA75D1A" w14:textId="77777777" w:rsidR="008A0722" w:rsidRDefault="008A0722" w:rsidP="008A0722"/>
    <w:p w14:paraId="7820E4C9" w14:textId="73EBB7BF" w:rsidR="00446385" w:rsidRPr="00DC016F" w:rsidRDefault="00446385" w:rsidP="00AF00AB">
      <w:pPr>
        <w:pStyle w:val="Heading2"/>
        <w:numPr>
          <w:ilvl w:val="0"/>
          <w:numId w:val="41"/>
        </w:numPr>
        <w:spacing w:line="240" w:lineRule="auto"/>
        <w:rPr>
          <w:rFonts w:ascii="Arial" w:hAnsi="Arial" w:cs="Arial"/>
          <w:b/>
          <w:bCs/>
          <w:color w:val="auto"/>
          <w:sz w:val="22"/>
          <w:szCs w:val="22"/>
        </w:rPr>
      </w:pPr>
      <w:r w:rsidRPr="00DC016F">
        <w:rPr>
          <w:rFonts w:ascii="Arial" w:hAnsi="Arial" w:cs="Arial"/>
          <w:b/>
          <w:bCs/>
          <w:color w:val="auto"/>
          <w:sz w:val="22"/>
          <w:szCs w:val="22"/>
        </w:rPr>
        <w:lastRenderedPageBreak/>
        <w:t xml:space="preserve">Introduction </w:t>
      </w:r>
    </w:p>
    <w:p w14:paraId="15D6FE6F" w14:textId="77777777" w:rsidR="00AF00AB" w:rsidRPr="00DC016F" w:rsidRDefault="00AF00AB" w:rsidP="00AF00AB">
      <w:pPr>
        <w:spacing w:after="0"/>
        <w:rPr>
          <w:rFonts w:ascii="Arial" w:hAnsi="Arial" w:cs="Arial"/>
        </w:rPr>
      </w:pPr>
    </w:p>
    <w:p w14:paraId="13E001B8" w14:textId="66900C09" w:rsidR="00446385" w:rsidRPr="00DC016F" w:rsidRDefault="00446385" w:rsidP="00AF00AB">
      <w:pPr>
        <w:pStyle w:val="ListParagraph"/>
        <w:spacing w:after="0" w:line="360" w:lineRule="auto"/>
        <w:ind w:left="0"/>
        <w:jc w:val="both"/>
        <w:rPr>
          <w:rFonts w:ascii="Arial" w:hAnsi="Arial" w:cs="Arial"/>
        </w:rPr>
      </w:pPr>
      <w:r w:rsidRPr="00DC016F">
        <w:rPr>
          <w:rFonts w:ascii="Arial" w:hAnsi="Arial" w:cs="Arial"/>
        </w:rPr>
        <w:t>Malnutrition represents insufficient, excessive, or imbalanced consumption of nutrients</w:t>
      </w:r>
      <w:r w:rsidR="00AF00AB" w:rsidRPr="00DC016F">
        <w:rPr>
          <w:rFonts w:ascii="Arial" w:hAnsi="Arial" w:cs="Arial"/>
        </w:rPr>
        <w:t xml:space="preserve">. </w:t>
      </w:r>
      <w:r w:rsidRPr="00DC016F">
        <w:rPr>
          <w:rFonts w:ascii="Arial" w:hAnsi="Arial" w:cs="Arial"/>
        </w:rPr>
        <w:t xml:space="preserve">The World Health </w:t>
      </w:r>
      <w:r w:rsidR="00D47120" w:rsidRPr="00DC016F">
        <w:rPr>
          <w:rFonts w:ascii="Arial" w:hAnsi="Arial" w:cs="Arial"/>
        </w:rPr>
        <w:t>Organization (</w:t>
      </w:r>
      <w:r w:rsidRPr="00DC016F">
        <w:rPr>
          <w:rFonts w:ascii="Arial" w:hAnsi="Arial" w:cs="Arial"/>
        </w:rPr>
        <w:t xml:space="preserve">WHO) cites malnutrition as the greatest single threat to the world's public </w:t>
      </w:r>
      <w:r w:rsidR="00D47120" w:rsidRPr="00DC016F">
        <w:rPr>
          <w:rFonts w:ascii="Arial" w:hAnsi="Arial" w:cs="Arial"/>
        </w:rPr>
        <w:t>health (</w:t>
      </w:r>
      <w:r w:rsidRPr="00DC016F">
        <w:rPr>
          <w:rFonts w:ascii="Arial" w:hAnsi="Arial" w:cs="Arial"/>
        </w:rPr>
        <w:t xml:space="preserve">WHO). In developing countries such as Nigeria, this imbalance is most frequently associated with under-nutrition, which presents mainly as protein-energy malnutrition (PEM) and micronutrient deficiencies </w:t>
      </w:r>
      <w:r w:rsidR="00B649FC">
        <w:rPr>
          <w:rFonts w:ascii="Arial" w:hAnsi="Arial" w:cs="Arial"/>
        </w:rPr>
        <w:t>[1]</w:t>
      </w:r>
      <w:r w:rsidRPr="00DC016F">
        <w:rPr>
          <w:rFonts w:ascii="Arial" w:hAnsi="Arial" w:cs="Arial"/>
        </w:rPr>
        <w:t xml:space="preserve">. PEM and micronutrient deficiency are very common diseases affecting children in the developing world </w:t>
      </w:r>
      <w:r w:rsidR="00B649FC">
        <w:rPr>
          <w:rFonts w:ascii="Arial" w:hAnsi="Arial" w:cs="Arial"/>
        </w:rPr>
        <w:t>[2]</w:t>
      </w:r>
      <w:r w:rsidR="00D47120" w:rsidRPr="00DC016F">
        <w:rPr>
          <w:rFonts w:ascii="Arial" w:hAnsi="Arial" w:cs="Arial"/>
        </w:rPr>
        <w:t>. Malnutrition</w:t>
      </w:r>
      <w:r w:rsidRPr="00DC016F">
        <w:rPr>
          <w:rFonts w:ascii="Arial" w:hAnsi="Arial" w:cs="Arial"/>
        </w:rPr>
        <w:t xml:space="preserve"> is used to refer to the deficiencies of vitamins and/or minerals of public health importance. These include, but not limited to, iron deficiency anemia, iodine deficiency disorder (IDD), Vitamin A deficiency, Vitamin D deficiency, and zinc deficiency </w:t>
      </w:r>
      <w:r w:rsidR="00B649FC">
        <w:rPr>
          <w:rFonts w:ascii="Arial" w:hAnsi="Arial" w:cs="Arial"/>
        </w:rPr>
        <w:t>[3]</w:t>
      </w:r>
      <w:r w:rsidRPr="00DC016F">
        <w:rPr>
          <w:rFonts w:ascii="Arial" w:hAnsi="Arial" w:cs="Arial"/>
        </w:rPr>
        <w:t xml:space="preserve">. PEM, on the other hand, represents a range of pathological conditions arising from the deficiency/imbalance of protein and energy, and is commonly associated with infections </w:t>
      </w:r>
      <w:r w:rsidR="00B649FC">
        <w:rPr>
          <w:rFonts w:ascii="Arial" w:hAnsi="Arial" w:cs="Arial"/>
        </w:rPr>
        <w:t>[4]</w:t>
      </w:r>
      <w:r w:rsidRPr="00DC016F">
        <w:rPr>
          <w:rFonts w:ascii="Arial" w:hAnsi="Arial" w:cs="Arial"/>
        </w:rPr>
        <w:t xml:space="preserve">. It occurs more frequently in infants and young children, but it is also observed in adolescents and adults, mostly lactating women, especially during periods of famine or other emergencies. Globally, all children under 5 years of age are at a risk of one form of nutrient deficiency or the other, with cases of rickets rising, especially among dark-skinned population </w:t>
      </w:r>
      <w:r w:rsidR="00B649FC">
        <w:rPr>
          <w:rFonts w:ascii="Arial" w:hAnsi="Arial" w:cs="Arial"/>
        </w:rPr>
        <w:t>[2]</w:t>
      </w:r>
      <w:r w:rsidRPr="00DC016F">
        <w:rPr>
          <w:rFonts w:ascii="Arial" w:hAnsi="Arial" w:cs="Arial"/>
        </w:rPr>
        <w:t xml:space="preserve">, Micronutrient deficiency has been considered as a major risk factor for child survival in Nigeria, increasing the risk of death from common diseases such as acute gastroenteritis, pneumonia, and measles </w:t>
      </w:r>
      <w:r w:rsidR="00E8509B">
        <w:rPr>
          <w:rFonts w:ascii="Arial" w:hAnsi="Arial" w:cs="Arial"/>
        </w:rPr>
        <w:t>[5]</w:t>
      </w:r>
      <w:r w:rsidRPr="00DC016F">
        <w:rPr>
          <w:rFonts w:ascii="Arial" w:hAnsi="Arial" w:cs="Arial"/>
        </w:rPr>
        <w:t>. The prevalence of micronutrient deficiencies in Nigerian children under 5 years was reported 12 years ago by the Nigerian Food Consumption Survey as, 23.3%, 34.0%, 13.0%, and 20.0% for Vitamin A deficiency, iron deficiency anemia, IDDs, and zinc deficiency disorders, r</w:t>
      </w:r>
      <w:r w:rsidR="00F67EA0" w:rsidRPr="00DC016F">
        <w:rPr>
          <w:rFonts w:ascii="Arial" w:hAnsi="Arial" w:cs="Arial"/>
        </w:rPr>
        <w:t>espect</w:t>
      </w:r>
      <w:r w:rsidR="006B6809">
        <w:rPr>
          <w:rFonts w:ascii="Arial" w:hAnsi="Arial" w:cs="Arial"/>
        </w:rPr>
        <w:t>ively</w:t>
      </w:r>
      <w:r w:rsidR="00F67EA0" w:rsidRPr="00DC016F">
        <w:rPr>
          <w:rFonts w:ascii="Arial" w:hAnsi="Arial" w:cs="Arial"/>
        </w:rPr>
        <w:t xml:space="preserve"> </w:t>
      </w:r>
      <w:r w:rsidR="006B6809">
        <w:rPr>
          <w:rFonts w:ascii="Arial" w:hAnsi="Arial" w:cs="Arial"/>
        </w:rPr>
        <w:t>[6]</w:t>
      </w:r>
      <w:r w:rsidR="00F67EA0" w:rsidRPr="00DC016F">
        <w:rPr>
          <w:rFonts w:ascii="Arial" w:hAnsi="Arial" w:cs="Arial"/>
        </w:rPr>
        <w:t>.</w:t>
      </w:r>
      <w:r w:rsidR="004C7E16" w:rsidRPr="00DC016F">
        <w:rPr>
          <w:rFonts w:ascii="Arial" w:hAnsi="Arial" w:cs="Arial"/>
        </w:rPr>
        <w:t xml:space="preserve"> </w:t>
      </w:r>
      <w:r w:rsidRPr="00DC016F">
        <w:rPr>
          <w:rFonts w:ascii="Arial" w:hAnsi="Arial" w:cs="Arial"/>
        </w:rPr>
        <w:t xml:space="preserve"> </w:t>
      </w:r>
    </w:p>
    <w:p w14:paraId="5DA57F9C" w14:textId="1629865C" w:rsidR="00B71686" w:rsidRPr="00DC016F" w:rsidRDefault="00B71686" w:rsidP="009E2BA3">
      <w:pPr>
        <w:spacing w:after="0" w:line="360" w:lineRule="auto"/>
        <w:jc w:val="both"/>
        <w:rPr>
          <w:rStyle w:val="Heading1Char"/>
          <w:rFonts w:ascii="Arial" w:eastAsiaTheme="minorEastAsia" w:hAnsi="Arial" w:cs="Arial"/>
          <w:sz w:val="22"/>
          <w:szCs w:val="22"/>
        </w:rPr>
      </w:pPr>
      <w:r w:rsidRPr="00DC016F">
        <w:rPr>
          <w:rFonts w:ascii="Arial" w:hAnsi="Arial" w:cs="Arial"/>
        </w:rPr>
        <w:t xml:space="preserve">The 2013 Nigeria Demographic and Health Survey </w:t>
      </w:r>
      <w:r w:rsidR="004A7E20">
        <w:rPr>
          <w:rFonts w:ascii="Arial" w:hAnsi="Arial" w:cs="Arial"/>
        </w:rPr>
        <w:t>[7]</w:t>
      </w:r>
      <w:r w:rsidRPr="00DC016F">
        <w:rPr>
          <w:rFonts w:ascii="Arial" w:hAnsi="Arial" w:cs="Arial"/>
        </w:rPr>
        <w:t xml:space="preserve">, revealed that 37% of children under the age of five are stunted, while 21% are severely stunted, eighteen percent of under-five children in Nigeria are considered wasted and 9% are severely wasted while 29% are underweight, with 12% being severely underweight </w:t>
      </w:r>
      <w:r w:rsidR="004A7E20">
        <w:rPr>
          <w:rFonts w:ascii="Arial" w:hAnsi="Arial" w:cs="Arial"/>
        </w:rPr>
        <w:t>[7]</w:t>
      </w:r>
      <w:r w:rsidRPr="00DC016F">
        <w:rPr>
          <w:rFonts w:ascii="Arial" w:hAnsi="Arial" w:cs="Arial"/>
        </w:rPr>
        <w:t xml:space="preserve">. The under-five mortality rate in Nigeria is 128/1000 live birth which is among the world’s highest </w:t>
      </w:r>
      <w:r w:rsidR="00CE1CFA">
        <w:rPr>
          <w:rFonts w:ascii="Arial" w:hAnsi="Arial" w:cs="Arial"/>
        </w:rPr>
        <w:t>[7]</w:t>
      </w:r>
      <w:r w:rsidRPr="00DC016F">
        <w:rPr>
          <w:rFonts w:ascii="Arial" w:hAnsi="Arial" w:cs="Arial"/>
        </w:rPr>
        <w:t xml:space="preserve">. Children whose mothers have no education (54%) and those from the poorest households (55%) are more likely to be stunted. In Nigeria, 7% of children under five are wasted, a sign for acute malnutrition in addition, 22% of children under five are under weight. Rural children have higher levels of stunting, wasting and underweight compared to urban children </w:t>
      </w:r>
      <w:r w:rsidR="00322B5E">
        <w:rPr>
          <w:rFonts w:ascii="Arial" w:hAnsi="Arial" w:cs="Arial"/>
        </w:rPr>
        <w:t>[7]</w:t>
      </w:r>
      <w:r w:rsidRPr="00DC016F">
        <w:rPr>
          <w:rFonts w:ascii="Arial" w:hAnsi="Arial" w:cs="Arial"/>
        </w:rPr>
        <w:t xml:space="preserve">. There have been many studies on nutritional status of under-five children and factors responsible but very few looks at the influence of micronutrients on the antioxidant and nutritional status of their under-fives </w:t>
      </w:r>
      <w:r w:rsidR="00322B5E">
        <w:rPr>
          <w:rFonts w:ascii="Arial" w:hAnsi="Arial" w:cs="Arial"/>
        </w:rPr>
        <w:t>[8]</w:t>
      </w:r>
      <w:r w:rsidRPr="00DC016F">
        <w:rPr>
          <w:rFonts w:ascii="Arial" w:hAnsi="Arial" w:cs="Arial"/>
        </w:rPr>
        <w:t xml:space="preserve">. </w:t>
      </w:r>
      <w:r w:rsidR="008A0722">
        <w:rPr>
          <w:rFonts w:ascii="Arial" w:hAnsi="Arial" w:cs="Arial"/>
        </w:rPr>
        <w:t>The aim of this research is to assess</w:t>
      </w:r>
      <w:r w:rsidR="008A0722" w:rsidRPr="00DC016F">
        <w:rPr>
          <w:rFonts w:ascii="Arial" w:hAnsi="Arial" w:cs="Arial"/>
        </w:rPr>
        <w:t xml:space="preserve"> of nutritional and antioxidant status of under-</w:t>
      </w:r>
      <w:r w:rsidR="008A0722">
        <w:rPr>
          <w:rFonts w:ascii="Arial" w:hAnsi="Arial" w:cs="Arial"/>
        </w:rPr>
        <w:t>f</w:t>
      </w:r>
      <w:r w:rsidR="008A0722" w:rsidRPr="00DC016F">
        <w:rPr>
          <w:rFonts w:ascii="Arial" w:hAnsi="Arial" w:cs="Arial"/>
        </w:rPr>
        <w:t>ive</w:t>
      </w:r>
      <w:r w:rsidR="008A0722">
        <w:rPr>
          <w:rFonts w:ascii="Arial" w:hAnsi="Arial" w:cs="Arial"/>
        </w:rPr>
        <w:t xml:space="preserve"> </w:t>
      </w:r>
      <w:r w:rsidR="008A0722" w:rsidRPr="00DC016F">
        <w:rPr>
          <w:rFonts w:ascii="Arial" w:hAnsi="Arial" w:cs="Arial"/>
        </w:rPr>
        <w:t xml:space="preserve">years children in </w:t>
      </w:r>
      <w:proofErr w:type="spellStart"/>
      <w:r w:rsidR="008A0722" w:rsidRPr="00DC016F">
        <w:rPr>
          <w:rFonts w:ascii="Arial" w:hAnsi="Arial" w:cs="Arial"/>
        </w:rPr>
        <w:t>Funakaye</w:t>
      </w:r>
      <w:proofErr w:type="spellEnd"/>
      <w:r w:rsidR="008A0722" w:rsidRPr="00DC016F">
        <w:rPr>
          <w:rFonts w:ascii="Arial" w:hAnsi="Arial" w:cs="Arial"/>
        </w:rPr>
        <w:t xml:space="preserve"> L.G.A Gombe state</w:t>
      </w:r>
      <w:r w:rsidR="00F00175">
        <w:rPr>
          <w:rFonts w:ascii="Arial" w:hAnsi="Arial" w:cs="Arial"/>
        </w:rPr>
        <w:t>, Nigeria</w:t>
      </w:r>
      <w:r w:rsidR="0052487B">
        <w:rPr>
          <w:rFonts w:ascii="Arial" w:hAnsi="Arial" w:cs="Arial"/>
        </w:rPr>
        <w:t>.</w:t>
      </w:r>
    </w:p>
    <w:p w14:paraId="04D4EDFC" w14:textId="77777777" w:rsidR="00E46052" w:rsidRPr="00DC016F" w:rsidRDefault="00E46052" w:rsidP="00FD59DA">
      <w:pPr>
        <w:spacing w:after="0" w:line="240" w:lineRule="auto"/>
        <w:rPr>
          <w:rFonts w:ascii="Arial" w:hAnsi="Arial" w:cs="Arial"/>
        </w:rPr>
      </w:pPr>
    </w:p>
    <w:p w14:paraId="0245714D" w14:textId="2483174C" w:rsidR="00447106" w:rsidRPr="00DC016F" w:rsidRDefault="0052487B" w:rsidP="00FD59DA">
      <w:pPr>
        <w:pStyle w:val="Heading1"/>
        <w:spacing w:line="240" w:lineRule="auto"/>
        <w:jc w:val="left"/>
        <w:rPr>
          <w:rFonts w:ascii="Arial" w:hAnsi="Arial" w:cs="Arial"/>
          <w:sz w:val="22"/>
          <w:szCs w:val="22"/>
        </w:rPr>
      </w:pPr>
      <w:r>
        <w:rPr>
          <w:rFonts w:ascii="Arial" w:hAnsi="Arial" w:cs="Arial"/>
          <w:sz w:val="22"/>
          <w:szCs w:val="22"/>
        </w:rPr>
        <w:lastRenderedPageBreak/>
        <w:t xml:space="preserve">2.0 </w:t>
      </w:r>
      <w:r w:rsidR="00447106" w:rsidRPr="00DC016F">
        <w:rPr>
          <w:rFonts w:ascii="Arial" w:hAnsi="Arial" w:cs="Arial"/>
          <w:sz w:val="22"/>
          <w:szCs w:val="22"/>
        </w:rPr>
        <w:t>MATERIALS AND METHODS</w:t>
      </w:r>
    </w:p>
    <w:p w14:paraId="3D183A57" w14:textId="542189C3" w:rsidR="00447106" w:rsidRPr="00DC016F" w:rsidRDefault="0052487B" w:rsidP="00FD59DA">
      <w:pPr>
        <w:pStyle w:val="Heading2"/>
        <w:spacing w:line="240" w:lineRule="auto"/>
        <w:rPr>
          <w:rFonts w:ascii="Arial" w:hAnsi="Arial" w:cs="Arial"/>
          <w:b/>
          <w:bCs/>
          <w:color w:val="auto"/>
          <w:sz w:val="22"/>
          <w:szCs w:val="22"/>
        </w:rPr>
      </w:pPr>
      <w:bookmarkStart w:id="4" w:name="_Toc536761064"/>
      <w:r>
        <w:rPr>
          <w:rFonts w:ascii="Arial" w:hAnsi="Arial" w:cs="Arial"/>
          <w:b/>
          <w:bCs/>
          <w:color w:val="auto"/>
          <w:sz w:val="22"/>
          <w:szCs w:val="22"/>
        </w:rPr>
        <w:t xml:space="preserve">2.1 </w:t>
      </w:r>
      <w:r w:rsidR="00447106" w:rsidRPr="00DC016F">
        <w:rPr>
          <w:rFonts w:ascii="Arial" w:hAnsi="Arial" w:cs="Arial"/>
          <w:b/>
          <w:bCs/>
          <w:color w:val="auto"/>
          <w:sz w:val="22"/>
          <w:szCs w:val="22"/>
        </w:rPr>
        <w:t>Chemical and Reagents</w:t>
      </w:r>
      <w:bookmarkEnd w:id="4"/>
    </w:p>
    <w:p w14:paraId="6582EB41" w14:textId="7ED2B8F6" w:rsidR="00447106" w:rsidRPr="00DC016F" w:rsidRDefault="00447106" w:rsidP="00FD59DA">
      <w:pPr>
        <w:tabs>
          <w:tab w:val="left" w:pos="90"/>
        </w:tabs>
        <w:autoSpaceDE w:val="0"/>
        <w:autoSpaceDN w:val="0"/>
        <w:adjustRightInd w:val="0"/>
        <w:spacing w:line="240" w:lineRule="auto"/>
        <w:jc w:val="both"/>
        <w:rPr>
          <w:rFonts w:ascii="Arial" w:hAnsi="Arial" w:cs="Arial"/>
          <w:lang w:val="en-GB"/>
        </w:rPr>
      </w:pPr>
      <w:r w:rsidRPr="00DC016F">
        <w:rPr>
          <w:rFonts w:ascii="Arial" w:hAnsi="Arial" w:cs="Arial"/>
          <w:lang w:val="en-GB"/>
        </w:rPr>
        <w:t>All the chemicals and reagents used are of analytical grade and were purchased from reputable companies.</w:t>
      </w:r>
    </w:p>
    <w:p w14:paraId="4FC2FA83" w14:textId="25AEDECD" w:rsidR="003A5655" w:rsidRPr="00DC016F" w:rsidRDefault="0052487B" w:rsidP="003A5655">
      <w:pPr>
        <w:tabs>
          <w:tab w:val="left" w:pos="90"/>
          <w:tab w:val="left" w:pos="270"/>
        </w:tabs>
        <w:spacing w:after="0" w:line="240" w:lineRule="auto"/>
        <w:jc w:val="both"/>
        <w:rPr>
          <w:rFonts w:ascii="Arial" w:eastAsia="Times New Roman" w:hAnsi="Arial" w:cs="Arial"/>
          <w:b/>
        </w:rPr>
      </w:pPr>
      <w:r>
        <w:rPr>
          <w:rFonts w:ascii="Arial" w:eastAsia="Times New Roman" w:hAnsi="Arial" w:cs="Arial"/>
          <w:b/>
        </w:rPr>
        <w:t xml:space="preserve">2.2 </w:t>
      </w:r>
      <w:r w:rsidR="003A5655" w:rsidRPr="00DC016F">
        <w:rPr>
          <w:rFonts w:ascii="Arial" w:eastAsia="Times New Roman" w:hAnsi="Arial" w:cs="Arial"/>
          <w:b/>
        </w:rPr>
        <w:t>Eligibility Criteria</w:t>
      </w:r>
    </w:p>
    <w:p w14:paraId="7C61819B" w14:textId="77777777" w:rsidR="009E2BA3" w:rsidRPr="00DC016F" w:rsidRDefault="003A5655" w:rsidP="003A5655">
      <w:pPr>
        <w:tabs>
          <w:tab w:val="left" w:pos="90"/>
          <w:tab w:val="left" w:pos="270"/>
        </w:tabs>
        <w:spacing w:after="0" w:line="240" w:lineRule="auto"/>
        <w:jc w:val="both"/>
        <w:rPr>
          <w:rFonts w:ascii="Arial" w:eastAsia="Times New Roman" w:hAnsi="Arial" w:cs="Arial"/>
        </w:rPr>
      </w:pPr>
      <w:r w:rsidRPr="00DC016F">
        <w:rPr>
          <w:rFonts w:ascii="Arial" w:eastAsia="Times New Roman" w:hAnsi="Arial" w:cs="Arial"/>
        </w:rPr>
        <w:t xml:space="preserve">The inclusion criteria for respondents who will participate in the study were children aged </w:t>
      </w:r>
      <w:r w:rsidR="009E2BA3" w:rsidRPr="00DC016F">
        <w:rPr>
          <w:rFonts w:ascii="Arial" w:eastAsia="Times New Roman" w:hAnsi="Arial" w:cs="Arial"/>
        </w:rPr>
        <w:t>0</w:t>
      </w:r>
      <w:r w:rsidRPr="00DC016F">
        <w:rPr>
          <w:rFonts w:ascii="Arial" w:eastAsia="Times New Roman" w:hAnsi="Arial" w:cs="Arial"/>
        </w:rPr>
        <w:t>- 59 months.</w:t>
      </w:r>
      <w:r w:rsidR="009E2BA3" w:rsidRPr="00DC016F">
        <w:rPr>
          <w:rFonts w:ascii="Arial" w:eastAsia="Times New Roman" w:hAnsi="Arial" w:cs="Arial"/>
        </w:rPr>
        <w:t xml:space="preserve"> </w:t>
      </w:r>
    </w:p>
    <w:p w14:paraId="608B43CC" w14:textId="70DE79BA" w:rsidR="003A5655" w:rsidRPr="00DC016F" w:rsidRDefault="003A5655" w:rsidP="003A5655">
      <w:pPr>
        <w:tabs>
          <w:tab w:val="left" w:pos="90"/>
          <w:tab w:val="left" w:pos="270"/>
        </w:tabs>
        <w:spacing w:after="0" w:line="240" w:lineRule="auto"/>
        <w:jc w:val="both"/>
        <w:rPr>
          <w:rFonts w:ascii="Arial" w:eastAsia="Times New Roman" w:hAnsi="Arial" w:cs="Arial"/>
        </w:rPr>
      </w:pPr>
      <w:r w:rsidRPr="00DC016F">
        <w:rPr>
          <w:rFonts w:ascii="Arial" w:eastAsia="Times New Roman" w:hAnsi="Arial" w:cs="Arial"/>
        </w:rPr>
        <w:t xml:space="preserve">Children aged </w:t>
      </w:r>
      <w:r w:rsidR="009E2BA3" w:rsidRPr="00DC016F">
        <w:rPr>
          <w:rFonts w:ascii="Arial" w:eastAsia="Times New Roman" w:hAnsi="Arial" w:cs="Arial"/>
        </w:rPr>
        <w:t>0</w:t>
      </w:r>
      <w:r w:rsidRPr="00DC016F">
        <w:rPr>
          <w:rFonts w:ascii="Arial" w:eastAsia="Times New Roman" w:hAnsi="Arial" w:cs="Arial"/>
        </w:rPr>
        <w:t xml:space="preserve"> – 59 months that were sick requiring hospitalization and those that are handicapped were excluded from the study. Children above 59 months are also excluded.</w:t>
      </w:r>
    </w:p>
    <w:p w14:paraId="750EB1AC" w14:textId="77777777" w:rsidR="003A5655" w:rsidRPr="00DC016F" w:rsidRDefault="003A5655" w:rsidP="00FD59DA">
      <w:pPr>
        <w:tabs>
          <w:tab w:val="left" w:pos="90"/>
        </w:tabs>
        <w:autoSpaceDE w:val="0"/>
        <w:autoSpaceDN w:val="0"/>
        <w:adjustRightInd w:val="0"/>
        <w:spacing w:line="240" w:lineRule="auto"/>
        <w:jc w:val="both"/>
        <w:rPr>
          <w:rFonts w:ascii="Arial" w:hAnsi="Arial" w:cs="Arial"/>
          <w:lang w:val="en-GB"/>
        </w:rPr>
      </w:pPr>
    </w:p>
    <w:p w14:paraId="193A65B3" w14:textId="40A61399" w:rsidR="00447106" w:rsidRPr="00DC016F" w:rsidRDefault="0052487B" w:rsidP="00FD59DA">
      <w:pPr>
        <w:pStyle w:val="Heading2"/>
        <w:spacing w:line="240" w:lineRule="auto"/>
        <w:rPr>
          <w:rFonts w:ascii="Arial" w:hAnsi="Arial" w:cs="Arial"/>
          <w:b/>
          <w:bCs/>
          <w:color w:val="auto"/>
          <w:sz w:val="22"/>
          <w:szCs w:val="22"/>
        </w:rPr>
      </w:pPr>
      <w:bookmarkStart w:id="5" w:name="_Toc536761065"/>
      <w:r>
        <w:rPr>
          <w:rFonts w:ascii="Arial" w:hAnsi="Arial" w:cs="Arial"/>
          <w:b/>
          <w:bCs/>
          <w:color w:val="auto"/>
          <w:sz w:val="22"/>
          <w:szCs w:val="22"/>
        </w:rPr>
        <w:t xml:space="preserve">2.3 </w:t>
      </w:r>
      <w:r w:rsidR="00447106" w:rsidRPr="00DC016F">
        <w:rPr>
          <w:rFonts w:ascii="Arial" w:hAnsi="Arial" w:cs="Arial"/>
          <w:b/>
          <w:bCs/>
          <w:color w:val="auto"/>
          <w:sz w:val="22"/>
          <w:szCs w:val="22"/>
        </w:rPr>
        <w:t>Study Area</w:t>
      </w:r>
      <w:bookmarkEnd w:id="5"/>
    </w:p>
    <w:p w14:paraId="441FAAE4" w14:textId="7A5755FB" w:rsidR="00447106" w:rsidRPr="00DC016F" w:rsidRDefault="00447106" w:rsidP="00FD59DA">
      <w:pPr>
        <w:spacing w:line="240" w:lineRule="auto"/>
        <w:jc w:val="both"/>
        <w:rPr>
          <w:rFonts w:ascii="Arial" w:hAnsi="Arial" w:cs="Arial"/>
        </w:rPr>
      </w:pPr>
      <w:r w:rsidRPr="00DC016F">
        <w:rPr>
          <w:rFonts w:ascii="Arial" w:hAnsi="Arial" w:cs="Arial"/>
        </w:rPr>
        <w:t xml:space="preserve">The study was conducted at Funakaye local government area, Gombe State, Nigeria. The samples were collected from 10 wards of Funakaye LGA, which has a coordinates of10°51’N and 11°26’E and analyzed at the Department of Biochemistry Laboratory, Gombe State University, Nigeria. The local government is bounded in the east by Gongola River and Lake </w:t>
      </w:r>
      <w:proofErr w:type="spellStart"/>
      <w:r w:rsidRPr="00DC016F">
        <w:rPr>
          <w:rFonts w:ascii="Arial" w:hAnsi="Arial" w:cs="Arial"/>
        </w:rPr>
        <w:t>DadinKowa</w:t>
      </w:r>
      <w:proofErr w:type="spellEnd"/>
      <w:r w:rsidRPr="00DC016F">
        <w:rPr>
          <w:rFonts w:ascii="Arial" w:hAnsi="Arial" w:cs="Arial"/>
        </w:rPr>
        <w:t xml:space="preserve">, beyond which lies Yobe State and Borno state. It has a total area of 546 </w:t>
      </w:r>
      <w:r w:rsidR="00112415" w:rsidRPr="00DC016F">
        <w:rPr>
          <w:rFonts w:ascii="Arial" w:hAnsi="Arial" w:cs="Arial"/>
        </w:rPr>
        <w:t>m</w:t>
      </w:r>
      <w:r w:rsidR="00112415" w:rsidRPr="00DC016F">
        <w:rPr>
          <w:rFonts w:ascii="Arial" w:hAnsi="Arial" w:cs="Arial"/>
          <w:vertAlign w:val="superscript"/>
        </w:rPr>
        <w:t>2</w:t>
      </w:r>
      <w:r w:rsidRPr="00DC016F">
        <w:rPr>
          <w:rFonts w:ascii="Arial" w:hAnsi="Arial" w:cs="Arial"/>
        </w:rPr>
        <w:t>.</w:t>
      </w:r>
      <w:bookmarkStart w:id="6" w:name="_Toc536761066"/>
      <w:r w:rsidR="00112415" w:rsidRPr="00DC016F">
        <w:rPr>
          <w:rFonts w:ascii="Arial" w:hAnsi="Arial" w:cs="Arial"/>
        </w:rPr>
        <w:t xml:space="preserve"> The s</w:t>
      </w:r>
      <w:r w:rsidRPr="00DC016F">
        <w:rPr>
          <w:rFonts w:ascii="Arial" w:hAnsi="Arial" w:cs="Arial"/>
        </w:rPr>
        <w:t xml:space="preserve">tudy </w:t>
      </w:r>
      <w:r w:rsidR="00112415" w:rsidRPr="00DC016F">
        <w:rPr>
          <w:rFonts w:ascii="Arial" w:hAnsi="Arial" w:cs="Arial"/>
        </w:rPr>
        <w:t>p</w:t>
      </w:r>
      <w:r w:rsidRPr="00DC016F">
        <w:rPr>
          <w:rFonts w:ascii="Arial" w:hAnsi="Arial" w:cs="Arial"/>
        </w:rPr>
        <w:t>opulation</w:t>
      </w:r>
      <w:bookmarkEnd w:id="6"/>
      <w:r w:rsidR="00112415" w:rsidRPr="00DC016F">
        <w:rPr>
          <w:rFonts w:ascii="Arial" w:hAnsi="Arial" w:cs="Arial"/>
        </w:rPr>
        <w:t xml:space="preserve">; </w:t>
      </w:r>
      <w:r w:rsidRPr="00DC016F">
        <w:rPr>
          <w:rFonts w:ascii="Arial" w:hAnsi="Arial" w:cs="Arial"/>
        </w:rPr>
        <w:t xml:space="preserve">Funakaye local government has a total population 346,866 and under-five age </w:t>
      </w:r>
      <w:r w:rsidR="00112415" w:rsidRPr="00DC016F">
        <w:rPr>
          <w:rFonts w:ascii="Arial" w:hAnsi="Arial" w:cs="Arial"/>
        </w:rPr>
        <w:t xml:space="preserve">proportion of </w:t>
      </w:r>
      <w:r w:rsidRPr="00DC016F">
        <w:rPr>
          <w:rFonts w:ascii="Arial" w:hAnsi="Arial" w:cs="Arial"/>
        </w:rPr>
        <w:t xml:space="preserve">4,494 </w:t>
      </w:r>
      <w:r w:rsidR="003F1FD6">
        <w:rPr>
          <w:rFonts w:ascii="Arial" w:hAnsi="Arial" w:cs="Arial"/>
        </w:rPr>
        <w:t>[9]</w:t>
      </w:r>
      <w:r w:rsidRPr="00DC016F">
        <w:rPr>
          <w:rFonts w:ascii="Arial" w:hAnsi="Arial" w:cs="Arial"/>
        </w:rPr>
        <w:t xml:space="preserve">. </w:t>
      </w:r>
      <w:bookmarkStart w:id="7" w:name="_Toc208123896"/>
    </w:p>
    <w:bookmarkEnd w:id="7"/>
    <w:p w14:paraId="7AF00B20" w14:textId="3E4AA61B" w:rsidR="002C6AAC" w:rsidRPr="00DC016F" w:rsidRDefault="0052487B" w:rsidP="002C6AAC">
      <w:pPr>
        <w:tabs>
          <w:tab w:val="left" w:pos="90"/>
          <w:tab w:val="left" w:pos="270"/>
        </w:tabs>
        <w:spacing w:after="0" w:line="360" w:lineRule="auto"/>
        <w:jc w:val="both"/>
        <w:rPr>
          <w:rFonts w:ascii="Arial" w:eastAsia="Times New Roman" w:hAnsi="Arial" w:cs="Arial"/>
          <w:b/>
        </w:rPr>
      </w:pPr>
      <w:r>
        <w:rPr>
          <w:rFonts w:ascii="Arial" w:eastAsia="Times New Roman" w:hAnsi="Arial" w:cs="Arial"/>
          <w:b/>
        </w:rPr>
        <w:t xml:space="preserve">2.4 </w:t>
      </w:r>
      <w:r w:rsidR="002C6AAC" w:rsidRPr="00DC016F">
        <w:rPr>
          <w:rFonts w:ascii="Arial" w:eastAsia="Times New Roman" w:hAnsi="Arial" w:cs="Arial"/>
          <w:b/>
        </w:rPr>
        <w:t>Sample Size</w:t>
      </w:r>
    </w:p>
    <w:p w14:paraId="65E7BB3E" w14:textId="77777777" w:rsidR="002C6AAC" w:rsidRPr="00DC016F" w:rsidRDefault="002C6AAC" w:rsidP="002C6AAC">
      <w:pPr>
        <w:tabs>
          <w:tab w:val="left" w:pos="90"/>
          <w:tab w:val="left" w:pos="270"/>
        </w:tabs>
        <w:spacing w:after="0" w:line="360" w:lineRule="auto"/>
        <w:jc w:val="both"/>
        <w:rPr>
          <w:rFonts w:ascii="Arial" w:eastAsia="Times New Roman" w:hAnsi="Arial" w:cs="Arial"/>
        </w:rPr>
      </w:pPr>
      <w:r w:rsidRPr="00DC016F">
        <w:rPr>
          <w:rFonts w:ascii="Arial" w:eastAsia="Times New Roman" w:hAnsi="Arial" w:cs="Arial"/>
        </w:rPr>
        <w:t>The sample size for the study was determined using Cochrane’s sample size formula below:</w:t>
      </w:r>
    </w:p>
    <w:p w14:paraId="060713AB" w14:textId="77777777" w:rsidR="002C6AAC" w:rsidRPr="00DC016F" w:rsidRDefault="002C6AAC" w:rsidP="002C6AAC">
      <w:pPr>
        <w:pStyle w:val="ListParagraph"/>
        <w:tabs>
          <w:tab w:val="left" w:pos="90"/>
          <w:tab w:val="left" w:pos="270"/>
        </w:tabs>
        <w:spacing w:after="0" w:line="360" w:lineRule="auto"/>
        <w:ind w:left="1080"/>
        <w:jc w:val="both"/>
        <w:rPr>
          <w:rFonts w:ascii="Arial" w:eastAsia="Times New Roman" w:hAnsi="Arial" w:cs="Arial"/>
          <w:u w:val="single"/>
        </w:rPr>
      </w:pPr>
      <w:r w:rsidRPr="00DC016F">
        <w:rPr>
          <w:rFonts w:ascii="Arial" w:eastAsia="Times New Roman" w:hAnsi="Arial" w:cs="Arial"/>
        </w:rPr>
        <w:t>N</w:t>
      </w:r>
      <w:proofErr w:type="gramStart"/>
      <w:r w:rsidRPr="00DC016F">
        <w:rPr>
          <w:rFonts w:ascii="Arial" w:eastAsia="Times New Roman" w:hAnsi="Arial" w:cs="Arial"/>
        </w:rPr>
        <w:t xml:space="preserve">= </w:t>
      </w:r>
      <w:r w:rsidRPr="00DC016F">
        <w:rPr>
          <w:rFonts w:ascii="Arial" w:eastAsia="Times New Roman" w:hAnsi="Arial" w:cs="Arial"/>
          <w:vertAlign w:val="superscript"/>
        </w:rPr>
        <w:t xml:space="preserve"> </w:t>
      </w:r>
      <w:r w:rsidRPr="00DC016F">
        <w:rPr>
          <w:rFonts w:ascii="Arial" w:eastAsia="Times New Roman" w:hAnsi="Arial" w:cs="Arial"/>
          <w:u w:val="single"/>
        </w:rPr>
        <w:t>Z</w:t>
      </w:r>
      <w:proofErr w:type="gramEnd"/>
      <w:r w:rsidRPr="00DC016F">
        <w:rPr>
          <w:rFonts w:ascii="Arial" w:eastAsia="Times New Roman" w:hAnsi="Arial" w:cs="Arial"/>
          <w:u w:val="single"/>
          <w:vertAlign w:val="superscript"/>
        </w:rPr>
        <w:t>2</w:t>
      </w:r>
      <w:r w:rsidRPr="00DC016F">
        <w:rPr>
          <w:rFonts w:ascii="Arial" w:eastAsia="Times New Roman" w:hAnsi="Arial" w:cs="Arial"/>
          <w:u w:val="single"/>
        </w:rPr>
        <w:t>pq</w:t>
      </w:r>
    </w:p>
    <w:p w14:paraId="588A27F0" w14:textId="77777777" w:rsidR="002C6AAC" w:rsidRPr="00DC016F" w:rsidRDefault="002C6AAC" w:rsidP="002C6AAC">
      <w:pPr>
        <w:pStyle w:val="ListParagraph"/>
        <w:tabs>
          <w:tab w:val="left" w:pos="90"/>
          <w:tab w:val="left" w:pos="270"/>
        </w:tabs>
        <w:spacing w:after="0" w:line="360" w:lineRule="auto"/>
        <w:ind w:left="1080"/>
        <w:jc w:val="both"/>
        <w:rPr>
          <w:rFonts w:ascii="Arial" w:eastAsia="Times New Roman" w:hAnsi="Arial" w:cs="Arial"/>
          <w:vertAlign w:val="superscript"/>
        </w:rPr>
      </w:pPr>
      <w:r w:rsidRPr="00DC016F">
        <w:rPr>
          <w:rFonts w:ascii="Arial" w:eastAsia="Times New Roman" w:hAnsi="Arial" w:cs="Arial"/>
        </w:rPr>
        <w:tab/>
        <w:t>d</w:t>
      </w:r>
      <w:r w:rsidRPr="00DC016F">
        <w:rPr>
          <w:rFonts w:ascii="Arial" w:eastAsia="Times New Roman" w:hAnsi="Arial" w:cs="Arial"/>
          <w:vertAlign w:val="superscript"/>
        </w:rPr>
        <w:t>2</w:t>
      </w:r>
    </w:p>
    <w:p w14:paraId="472B1175" w14:textId="77777777" w:rsidR="002C6AAC" w:rsidRPr="00DC016F" w:rsidRDefault="002C6AAC" w:rsidP="002C6AAC">
      <w:pPr>
        <w:pStyle w:val="ListParagraph"/>
        <w:tabs>
          <w:tab w:val="left" w:pos="90"/>
          <w:tab w:val="left" w:pos="270"/>
        </w:tabs>
        <w:spacing w:after="0" w:line="360" w:lineRule="auto"/>
        <w:ind w:left="0"/>
        <w:jc w:val="both"/>
        <w:rPr>
          <w:rFonts w:ascii="Arial" w:eastAsia="Times New Roman" w:hAnsi="Arial" w:cs="Arial"/>
        </w:rPr>
      </w:pPr>
      <w:r w:rsidRPr="00DC016F">
        <w:rPr>
          <w:rFonts w:ascii="Arial" w:eastAsia="Times New Roman" w:hAnsi="Arial" w:cs="Arial"/>
        </w:rPr>
        <w:t>Where:</w:t>
      </w:r>
    </w:p>
    <w:p w14:paraId="5A49853A" w14:textId="77777777" w:rsidR="002C6AAC" w:rsidRPr="00DC016F" w:rsidRDefault="002C6AAC" w:rsidP="002C6AAC">
      <w:pPr>
        <w:pStyle w:val="ListParagraph"/>
        <w:tabs>
          <w:tab w:val="left" w:pos="90"/>
          <w:tab w:val="left" w:pos="270"/>
        </w:tabs>
        <w:spacing w:after="0" w:line="360" w:lineRule="auto"/>
        <w:ind w:left="0"/>
        <w:jc w:val="both"/>
        <w:rPr>
          <w:rFonts w:ascii="Arial" w:eastAsia="Times New Roman" w:hAnsi="Arial" w:cs="Arial"/>
        </w:rPr>
      </w:pPr>
      <w:r w:rsidRPr="00DC016F">
        <w:rPr>
          <w:rFonts w:ascii="Arial" w:eastAsia="Times New Roman" w:hAnsi="Arial" w:cs="Arial"/>
        </w:rPr>
        <w:t>N= minimum sample size</w:t>
      </w:r>
    </w:p>
    <w:p w14:paraId="5188E619" w14:textId="77777777" w:rsidR="002C6AAC" w:rsidRPr="00DC016F" w:rsidRDefault="002C6AAC" w:rsidP="002C6AAC">
      <w:pPr>
        <w:pStyle w:val="ListParagraph"/>
        <w:tabs>
          <w:tab w:val="left" w:pos="90"/>
          <w:tab w:val="left" w:pos="270"/>
        </w:tabs>
        <w:spacing w:after="0" w:line="360" w:lineRule="auto"/>
        <w:ind w:left="0"/>
        <w:jc w:val="both"/>
        <w:rPr>
          <w:rFonts w:ascii="Arial" w:eastAsia="Times New Roman" w:hAnsi="Arial" w:cs="Arial"/>
        </w:rPr>
      </w:pPr>
      <w:r w:rsidRPr="00DC016F">
        <w:rPr>
          <w:rFonts w:ascii="Arial" w:eastAsia="Times New Roman" w:hAnsi="Arial" w:cs="Arial"/>
        </w:rPr>
        <w:t>Z= standard normal deviate corresponding to 95% confidence level, the value obtained from normal distribution table is 1.96</w:t>
      </w:r>
    </w:p>
    <w:p w14:paraId="0BF039BB" w14:textId="40DAE239" w:rsidR="002C6AAC" w:rsidRPr="00DC016F" w:rsidRDefault="002C6AAC" w:rsidP="002C6AAC">
      <w:pPr>
        <w:pStyle w:val="ListParagraph"/>
        <w:tabs>
          <w:tab w:val="left" w:pos="90"/>
          <w:tab w:val="left" w:pos="270"/>
        </w:tabs>
        <w:spacing w:after="0" w:line="360" w:lineRule="auto"/>
        <w:ind w:left="0"/>
        <w:jc w:val="both"/>
        <w:rPr>
          <w:rFonts w:ascii="Arial" w:eastAsia="Times New Roman" w:hAnsi="Arial" w:cs="Arial"/>
        </w:rPr>
      </w:pPr>
      <w:r w:rsidRPr="00DC016F">
        <w:rPr>
          <w:rFonts w:ascii="Arial" w:eastAsia="Times New Roman" w:hAnsi="Arial" w:cs="Arial"/>
        </w:rPr>
        <w:t>P= prevalence, estimated from a reference previous study, in this case 13.6% (Mustafa &amp; Saleh, 2018</w:t>
      </w:r>
      <w:r w:rsidR="0043405C">
        <w:rPr>
          <w:rFonts w:ascii="Arial" w:eastAsia="Times New Roman" w:hAnsi="Arial" w:cs="Arial"/>
        </w:rPr>
        <w:t xml:space="preserve"> [10]</w:t>
      </w:r>
      <w:r w:rsidRPr="00DC016F">
        <w:rPr>
          <w:rFonts w:ascii="Arial" w:eastAsia="Times New Roman" w:hAnsi="Arial" w:cs="Arial"/>
        </w:rPr>
        <w:t>)</w:t>
      </w:r>
    </w:p>
    <w:p w14:paraId="19E37CF3" w14:textId="77777777" w:rsidR="002C6AAC" w:rsidRPr="00DC016F" w:rsidRDefault="002C6AAC" w:rsidP="002C6AAC">
      <w:pPr>
        <w:pStyle w:val="ListParagraph"/>
        <w:tabs>
          <w:tab w:val="left" w:pos="90"/>
          <w:tab w:val="left" w:pos="270"/>
        </w:tabs>
        <w:spacing w:after="0" w:line="360" w:lineRule="auto"/>
        <w:ind w:left="0"/>
        <w:jc w:val="both"/>
        <w:rPr>
          <w:rFonts w:ascii="Arial" w:eastAsia="Times New Roman" w:hAnsi="Arial" w:cs="Arial"/>
        </w:rPr>
      </w:pPr>
      <w:r w:rsidRPr="00DC016F">
        <w:rPr>
          <w:rFonts w:ascii="Arial" w:eastAsia="Times New Roman" w:hAnsi="Arial" w:cs="Arial"/>
        </w:rPr>
        <w:t xml:space="preserve">q= complementary probability of p, </w:t>
      </w:r>
      <w:proofErr w:type="spellStart"/>
      <w:r w:rsidRPr="00DC016F">
        <w:rPr>
          <w:rFonts w:ascii="Arial" w:eastAsia="Times New Roman" w:hAnsi="Arial" w:cs="Arial"/>
        </w:rPr>
        <w:t>i.e</w:t>
      </w:r>
      <w:proofErr w:type="spellEnd"/>
      <w:r w:rsidRPr="00DC016F">
        <w:rPr>
          <w:rFonts w:ascii="Arial" w:eastAsia="Times New Roman" w:hAnsi="Arial" w:cs="Arial"/>
        </w:rPr>
        <w:t xml:space="preserve"> (1-p).</w:t>
      </w:r>
    </w:p>
    <w:p w14:paraId="473D2ABA" w14:textId="77777777" w:rsidR="002C6AAC" w:rsidRPr="00DC016F" w:rsidRDefault="002C6AAC" w:rsidP="002C6AAC">
      <w:pPr>
        <w:pStyle w:val="ListParagraph"/>
        <w:tabs>
          <w:tab w:val="left" w:pos="90"/>
          <w:tab w:val="left" w:pos="270"/>
        </w:tabs>
        <w:spacing w:after="0" w:line="360" w:lineRule="auto"/>
        <w:ind w:left="0"/>
        <w:jc w:val="both"/>
        <w:rPr>
          <w:rFonts w:ascii="Arial" w:eastAsia="Times New Roman" w:hAnsi="Arial" w:cs="Arial"/>
        </w:rPr>
      </w:pPr>
      <w:r w:rsidRPr="00DC016F">
        <w:rPr>
          <w:rFonts w:ascii="Arial" w:eastAsia="Times New Roman" w:hAnsi="Arial" w:cs="Arial"/>
        </w:rPr>
        <w:t>d= desired precision. In this case 5% = 0.05</w:t>
      </w:r>
    </w:p>
    <w:p w14:paraId="109D011B" w14:textId="77777777" w:rsidR="002C6AAC" w:rsidRPr="00DC016F" w:rsidRDefault="002C6AAC" w:rsidP="002C6AAC">
      <w:pPr>
        <w:tabs>
          <w:tab w:val="left" w:pos="90"/>
          <w:tab w:val="left" w:pos="270"/>
        </w:tabs>
        <w:spacing w:after="0" w:line="360" w:lineRule="auto"/>
        <w:jc w:val="both"/>
        <w:rPr>
          <w:rFonts w:ascii="Arial" w:eastAsia="Times New Roman" w:hAnsi="Arial" w:cs="Arial"/>
        </w:rPr>
      </w:pPr>
      <w:r w:rsidRPr="00DC016F">
        <w:rPr>
          <w:rFonts w:ascii="Arial" w:eastAsia="Times New Roman" w:hAnsi="Arial" w:cs="Arial"/>
        </w:rPr>
        <w:t>Imputing:</w:t>
      </w:r>
    </w:p>
    <w:p w14:paraId="724032FC" w14:textId="2CCE6650" w:rsidR="002C6AAC" w:rsidRPr="00DC016F" w:rsidRDefault="002C6AAC" w:rsidP="002C6AAC">
      <w:pPr>
        <w:pStyle w:val="ListParagraph"/>
        <w:tabs>
          <w:tab w:val="left" w:pos="90"/>
          <w:tab w:val="left" w:pos="270"/>
        </w:tabs>
        <w:spacing w:after="0" w:line="360" w:lineRule="auto"/>
        <w:ind w:left="90"/>
        <w:jc w:val="both"/>
        <w:rPr>
          <w:rFonts w:ascii="Arial" w:eastAsia="Times New Roman" w:hAnsi="Arial" w:cs="Arial"/>
          <w:u w:val="single"/>
        </w:rPr>
      </w:pPr>
      <w:r w:rsidRPr="00DC016F">
        <w:rPr>
          <w:rFonts w:ascii="Arial" w:eastAsia="Times New Roman" w:hAnsi="Arial" w:cs="Arial"/>
          <w:u w:val="single"/>
        </w:rPr>
        <w:t>(1.96)</w:t>
      </w:r>
      <w:r w:rsidRPr="00DC016F">
        <w:rPr>
          <w:rFonts w:ascii="Arial" w:eastAsia="Times New Roman" w:hAnsi="Arial" w:cs="Arial"/>
          <w:u w:val="single"/>
          <w:vertAlign w:val="superscript"/>
        </w:rPr>
        <w:t>2</w:t>
      </w:r>
      <w:r w:rsidRPr="00DC016F">
        <w:rPr>
          <w:rFonts w:ascii="Arial" w:eastAsia="Times New Roman" w:hAnsi="Arial" w:cs="Arial"/>
          <w:u w:val="single"/>
        </w:rPr>
        <w:t xml:space="preserve"> × 0.136 (1- 0.545)</w:t>
      </w:r>
    </w:p>
    <w:p w14:paraId="23F0E702" w14:textId="77777777" w:rsidR="002C6AAC" w:rsidRPr="00DC016F" w:rsidRDefault="002C6AAC" w:rsidP="002C6AAC">
      <w:pPr>
        <w:pStyle w:val="ListParagraph"/>
        <w:tabs>
          <w:tab w:val="left" w:pos="90"/>
          <w:tab w:val="left" w:pos="270"/>
        </w:tabs>
        <w:spacing w:after="0" w:line="360" w:lineRule="auto"/>
        <w:ind w:left="90"/>
        <w:jc w:val="both"/>
        <w:rPr>
          <w:rFonts w:ascii="Arial" w:eastAsia="Times New Roman" w:hAnsi="Arial" w:cs="Arial"/>
          <w:vertAlign w:val="superscript"/>
        </w:rPr>
      </w:pPr>
      <w:r w:rsidRPr="00DC016F">
        <w:rPr>
          <w:rFonts w:ascii="Arial" w:eastAsia="Times New Roman" w:hAnsi="Arial" w:cs="Arial"/>
        </w:rPr>
        <w:t xml:space="preserve">            (0.05)</w:t>
      </w:r>
      <w:r w:rsidRPr="00DC016F">
        <w:rPr>
          <w:rFonts w:ascii="Arial" w:eastAsia="Times New Roman" w:hAnsi="Arial" w:cs="Arial"/>
          <w:vertAlign w:val="superscript"/>
        </w:rPr>
        <w:t>2</w:t>
      </w:r>
    </w:p>
    <w:p w14:paraId="4B079E56" w14:textId="7ADC9AA6" w:rsidR="002C6AAC" w:rsidRPr="00DC016F" w:rsidRDefault="002C6AAC" w:rsidP="002C6AAC">
      <w:pPr>
        <w:tabs>
          <w:tab w:val="left" w:pos="90"/>
          <w:tab w:val="left" w:pos="270"/>
        </w:tabs>
        <w:spacing w:after="0" w:line="360" w:lineRule="auto"/>
        <w:jc w:val="both"/>
        <w:rPr>
          <w:rFonts w:ascii="Arial" w:eastAsia="Times New Roman" w:hAnsi="Arial" w:cs="Arial"/>
        </w:rPr>
      </w:pPr>
      <w:r w:rsidRPr="00DC016F">
        <w:rPr>
          <w:rFonts w:ascii="Arial" w:eastAsia="Times New Roman" w:hAnsi="Arial" w:cs="Arial"/>
        </w:rPr>
        <w:t xml:space="preserve">= </w:t>
      </w:r>
      <w:r w:rsidRPr="00DC016F">
        <w:rPr>
          <w:rFonts w:ascii="Arial" w:eastAsia="Times New Roman" w:hAnsi="Arial" w:cs="Arial"/>
          <w:u w:val="single"/>
        </w:rPr>
        <w:t>3.8416 ×0.136 ×0.455</w:t>
      </w:r>
    </w:p>
    <w:p w14:paraId="7E5217FD" w14:textId="7B45E21E" w:rsidR="002C6AAC" w:rsidRPr="00DC016F" w:rsidRDefault="002C6AAC" w:rsidP="002C6AAC">
      <w:pPr>
        <w:pStyle w:val="ListParagraph"/>
        <w:tabs>
          <w:tab w:val="left" w:pos="90"/>
          <w:tab w:val="left" w:pos="270"/>
        </w:tabs>
        <w:spacing w:after="0" w:line="360" w:lineRule="auto"/>
        <w:ind w:left="90"/>
        <w:jc w:val="both"/>
        <w:rPr>
          <w:rFonts w:ascii="Arial" w:eastAsia="Times New Roman" w:hAnsi="Arial" w:cs="Arial"/>
        </w:rPr>
      </w:pPr>
      <w:r w:rsidRPr="00DC016F">
        <w:rPr>
          <w:rFonts w:ascii="Arial" w:eastAsia="Times New Roman" w:hAnsi="Arial" w:cs="Arial"/>
        </w:rPr>
        <w:t xml:space="preserve">            0.0025</w:t>
      </w:r>
    </w:p>
    <w:p w14:paraId="7D2E61B1" w14:textId="77777777" w:rsidR="002C6AAC" w:rsidRPr="00DC016F" w:rsidRDefault="002C6AAC" w:rsidP="002C6AAC">
      <w:pPr>
        <w:tabs>
          <w:tab w:val="left" w:pos="90"/>
          <w:tab w:val="left" w:pos="270"/>
        </w:tabs>
        <w:spacing w:after="0" w:line="360" w:lineRule="auto"/>
        <w:ind w:left="90"/>
        <w:jc w:val="both"/>
        <w:rPr>
          <w:rFonts w:ascii="Arial" w:eastAsia="Times New Roman" w:hAnsi="Arial" w:cs="Arial"/>
          <w:u w:val="single"/>
        </w:rPr>
      </w:pPr>
      <w:r w:rsidRPr="00DC016F">
        <w:rPr>
          <w:rFonts w:ascii="Arial" w:eastAsia="Times New Roman" w:hAnsi="Arial" w:cs="Arial"/>
        </w:rPr>
        <w:t xml:space="preserve"> = </w:t>
      </w:r>
      <w:r w:rsidRPr="00DC016F">
        <w:rPr>
          <w:rFonts w:ascii="Arial" w:eastAsia="Times New Roman" w:hAnsi="Arial" w:cs="Arial"/>
          <w:u w:val="single"/>
        </w:rPr>
        <w:t>0.953</w:t>
      </w:r>
    </w:p>
    <w:p w14:paraId="7766B4BD" w14:textId="77777777" w:rsidR="002C6AAC" w:rsidRPr="00DC016F" w:rsidRDefault="002C6AAC" w:rsidP="002C6AAC">
      <w:pPr>
        <w:tabs>
          <w:tab w:val="left" w:pos="90"/>
          <w:tab w:val="left" w:pos="270"/>
        </w:tabs>
        <w:spacing w:after="0" w:line="360" w:lineRule="auto"/>
        <w:ind w:left="90"/>
        <w:jc w:val="both"/>
        <w:rPr>
          <w:rFonts w:ascii="Arial" w:eastAsia="Times New Roman" w:hAnsi="Arial" w:cs="Arial"/>
          <w:u w:val="single"/>
        </w:rPr>
      </w:pPr>
      <w:r w:rsidRPr="00DC016F">
        <w:rPr>
          <w:rFonts w:ascii="Arial" w:eastAsia="Times New Roman" w:hAnsi="Arial" w:cs="Arial"/>
        </w:rPr>
        <w:t xml:space="preserve">    0.0025</w:t>
      </w:r>
    </w:p>
    <w:p w14:paraId="79EF8D83" w14:textId="2E806B89" w:rsidR="002C6AAC" w:rsidRPr="00DC016F" w:rsidRDefault="002C6AAC" w:rsidP="002C6AAC">
      <w:pPr>
        <w:tabs>
          <w:tab w:val="left" w:pos="90"/>
          <w:tab w:val="left" w:pos="270"/>
        </w:tabs>
        <w:spacing w:after="0" w:line="360" w:lineRule="auto"/>
        <w:ind w:left="90"/>
        <w:jc w:val="both"/>
        <w:rPr>
          <w:rFonts w:ascii="Arial" w:eastAsia="Times New Roman" w:hAnsi="Arial" w:cs="Arial"/>
        </w:rPr>
      </w:pPr>
      <w:r w:rsidRPr="00DC016F">
        <w:rPr>
          <w:rFonts w:ascii="Arial" w:eastAsia="Times New Roman" w:hAnsi="Arial" w:cs="Arial"/>
        </w:rPr>
        <w:t>= 95.09</w:t>
      </w:r>
    </w:p>
    <w:p w14:paraId="4F4951CE" w14:textId="1137FF85" w:rsidR="0052487B" w:rsidRPr="000652CB" w:rsidRDefault="00447106" w:rsidP="000652CB">
      <w:pPr>
        <w:spacing w:after="0" w:line="360" w:lineRule="auto"/>
        <w:jc w:val="both"/>
        <w:rPr>
          <w:rFonts w:ascii="Arial" w:hAnsi="Arial" w:cs="Arial"/>
          <w:lang w:val="en-ZA"/>
        </w:rPr>
      </w:pPr>
      <w:r w:rsidRPr="00DC016F">
        <w:rPr>
          <w:rFonts w:ascii="Arial" w:hAnsi="Arial" w:cs="Arial"/>
          <w:lang w:val="en-ZA"/>
        </w:rPr>
        <w:t xml:space="preserve">A total number of 100 under five children were </w:t>
      </w:r>
      <w:r w:rsidR="00112415" w:rsidRPr="00DC016F">
        <w:rPr>
          <w:rFonts w:ascii="Arial" w:hAnsi="Arial" w:cs="Arial"/>
          <w:lang w:val="en-ZA"/>
        </w:rPr>
        <w:t>consented</w:t>
      </w:r>
      <w:r w:rsidR="00E0105F" w:rsidRPr="00DC016F">
        <w:rPr>
          <w:rFonts w:ascii="Arial" w:hAnsi="Arial" w:cs="Arial"/>
          <w:lang w:val="en-ZA"/>
        </w:rPr>
        <w:t xml:space="preserve"> across the ten political wards, hence </w:t>
      </w:r>
      <w:r w:rsidRPr="00DC016F">
        <w:rPr>
          <w:rFonts w:ascii="Arial" w:hAnsi="Arial" w:cs="Arial"/>
          <w:lang w:val="en-ZA"/>
        </w:rPr>
        <w:t xml:space="preserve">10 individuals per </w:t>
      </w:r>
      <w:r w:rsidR="00E0105F" w:rsidRPr="00DC016F">
        <w:rPr>
          <w:rFonts w:ascii="Arial" w:hAnsi="Arial" w:cs="Arial"/>
          <w:lang w:val="en-ZA"/>
        </w:rPr>
        <w:t xml:space="preserve">ward </w:t>
      </w:r>
      <w:r w:rsidRPr="00DC016F">
        <w:rPr>
          <w:rFonts w:ascii="Arial" w:hAnsi="Arial" w:cs="Arial"/>
          <w:lang w:val="en-ZA"/>
        </w:rPr>
        <w:t>group</w:t>
      </w:r>
      <w:r w:rsidR="00E0105F" w:rsidRPr="00DC016F">
        <w:rPr>
          <w:rFonts w:ascii="Arial" w:hAnsi="Arial" w:cs="Arial"/>
          <w:lang w:val="en-ZA"/>
        </w:rPr>
        <w:t>ing</w:t>
      </w:r>
      <w:r w:rsidR="002C6AAC" w:rsidRPr="00DC016F">
        <w:rPr>
          <w:rFonts w:ascii="Arial" w:hAnsi="Arial" w:cs="Arial"/>
          <w:lang w:val="en-ZA"/>
        </w:rPr>
        <w:t xml:space="preserve">, with attrition </w:t>
      </w:r>
      <w:r w:rsidR="000F34FE" w:rsidRPr="00DC016F">
        <w:rPr>
          <w:rFonts w:ascii="Arial" w:hAnsi="Arial" w:cs="Arial"/>
          <w:lang w:val="en-ZA"/>
        </w:rPr>
        <w:t>of almost 5%</w:t>
      </w:r>
      <w:bookmarkStart w:id="8" w:name="_Toc536761068"/>
      <w:r w:rsidR="000652CB">
        <w:rPr>
          <w:rFonts w:ascii="Arial" w:hAnsi="Arial" w:cs="Arial"/>
          <w:lang w:val="en-ZA"/>
        </w:rPr>
        <w:t>.</w:t>
      </w:r>
    </w:p>
    <w:p w14:paraId="786AD2AB" w14:textId="50D32543" w:rsidR="00447106" w:rsidRPr="00DC016F" w:rsidRDefault="0052487B" w:rsidP="000F34FE">
      <w:pPr>
        <w:pStyle w:val="Heading2"/>
        <w:spacing w:before="0" w:line="360" w:lineRule="auto"/>
        <w:rPr>
          <w:rFonts w:ascii="Arial" w:hAnsi="Arial" w:cs="Arial"/>
          <w:b/>
          <w:bCs/>
          <w:color w:val="auto"/>
          <w:sz w:val="22"/>
          <w:szCs w:val="22"/>
        </w:rPr>
      </w:pPr>
      <w:r>
        <w:rPr>
          <w:rFonts w:ascii="Arial" w:hAnsi="Arial" w:cs="Arial"/>
          <w:b/>
          <w:bCs/>
          <w:color w:val="auto"/>
          <w:sz w:val="22"/>
          <w:szCs w:val="22"/>
        </w:rPr>
        <w:lastRenderedPageBreak/>
        <w:t xml:space="preserve">2.5 </w:t>
      </w:r>
      <w:r w:rsidR="00447106" w:rsidRPr="00DC016F">
        <w:rPr>
          <w:rFonts w:ascii="Arial" w:hAnsi="Arial" w:cs="Arial"/>
          <w:b/>
          <w:bCs/>
          <w:color w:val="auto"/>
          <w:sz w:val="22"/>
          <w:szCs w:val="22"/>
        </w:rPr>
        <w:t>Ethics</w:t>
      </w:r>
      <w:bookmarkEnd w:id="8"/>
    </w:p>
    <w:p w14:paraId="3520F005" w14:textId="4C3D326B" w:rsidR="00447106" w:rsidRPr="00DC016F" w:rsidRDefault="00447106" w:rsidP="000F34FE">
      <w:pPr>
        <w:spacing w:after="0" w:line="360" w:lineRule="auto"/>
        <w:jc w:val="both"/>
        <w:rPr>
          <w:rFonts w:ascii="Arial" w:hAnsi="Arial" w:cs="Arial"/>
        </w:rPr>
      </w:pPr>
      <w:r w:rsidRPr="00DC016F">
        <w:rPr>
          <w:rFonts w:ascii="Arial" w:hAnsi="Arial" w:cs="Arial"/>
        </w:rPr>
        <w:t xml:space="preserve">Ethical approval/consent for the study was obtained from the Gombe State Primary Health Care Development Agency. Parents of all </w:t>
      </w:r>
      <w:r w:rsidR="00E0105F" w:rsidRPr="00DC016F">
        <w:rPr>
          <w:rFonts w:ascii="Arial" w:hAnsi="Arial" w:cs="Arial"/>
        </w:rPr>
        <w:t xml:space="preserve">consented subject </w:t>
      </w:r>
      <w:r w:rsidRPr="00DC016F">
        <w:rPr>
          <w:rFonts w:ascii="Arial" w:hAnsi="Arial" w:cs="Arial"/>
        </w:rPr>
        <w:t>for the study signed. Confidentiality was ensured at every stage of this study, and all procedures were carried out in accordance with the ethical standard dated 27</w:t>
      </w:r>
      <w:r w:rsidRPr="00DC016F">
        <w:rPr>
          <w:rFonts w:ascii="Arial" w:hAnsi="Arial" w:cs="Arial"/>
          <w:vertAlign w:val="superscript"/>
        </w:rPr>
        <w:t>th</w:t>
      </w:r>
      <w:r w:rsidRPr="00DC016F">
        <w:rPr>
          <w:rFonts w:ascii="Arial" w:hAnsi="Arial" w:cs="Arial"/>
        </w:rPr>
        <w:t>June, 2019 with a number FKLG/PHC/ADM/ST/6/VOL.1</w:t>
      </w:r>
    </w:p>
    <w:p w14:paraId="1B8858E4" w14:textId="4AD43D34" w:rsidR="00E0105F" w:rsidRPr="00DC016F" w:rsidRDefault="0052487B" w:rsidP="000F34FE">
      <w:pPr>
        <w:pStyle w:val="Heading2"/>
        <w:spacing w:before="0" w:line="360" w:lineRule="auto"/>
        <w:jc w:val="both"/>
        <w:rPr>
          <w:rFonts w:ascii="Arial" w:hAnsi="Arial" w:cs="Arial"/>
          <w:b/>
          <w:bCs/>
          <w:color w:val="auto"/>
          <w:sz w:val="22"/>
          <w:szCs w:val="22"/>
        </w:rPr>
      </w:pPr>
      <w:bookmarkStart w:id="9" w:name="_Toc536761070"/>
      <w:r>
        <w:rPr>
          <w:rFonts w:ascii="Arial" w:hAnsi="Arial" w:cs="Arial"/>
          <w:b/>
          <w:bCs/>
          <w:color w:val="auto"/>
          <w:sz w:val="22"/>
          <w:szCs w:val="22"/>
        </w:rPr>
        <w:t xml:space="preserve">2.6 </w:t>
      </w:r>
      <w:r w:rsidR="00E0105F" w:rsidRPr="00DC016F">
        <w:rPr>
          <w:rFonts w:ascii="Arial" w:hAnsi="Arial" w:cs="Arial"/>
          <w:b/>
          <w:bCs/>
          <w:color w:val="auto"/>
          <w:sz w:val="22"/>
          <w:szCs w:val="22"/>
        </w:rPr>
        <w:t>Biochemical Analysis</w:t>
      </w:r>
    </w:p>
    <w:p w14:paraId="5B79D686" w14:textId="3AE60639" w:rsidR="000F34FE" w:rsidRPr="00DC016F" w:rsidRDefault="00090D39" w:rsidP="000F34FE">
      <w:pPr>
        <w:pStyle w:val="Heading2"/>
        <w:spacing w:before="0" w:line="360" w:lineRule="auto"/>
        <w:jc w:val="both"/>
        <w:rPr>
          <w:rFonts w:ascii="Arial" w:hAnsi="Arial" w:cs="Arial"/>
          <w:color w:val="auto"/>
          <w:sz w:val="22"/>
          <w:szCs w:val="22"/>
        </w:rPr>
      </w:pPr>
      <w:r w:rsidRPr="00DC016F">
        <w:rPr>
          <w:rFonts w:ascii="Arial" w:hAnsi="Arial" w:cs="Arial"/>
          <w:bCs/>
          <w:color w:val="auto"/>
          <w:sz w:val="22"/>
          <w:szCs w:val="22"/>
        </w:rPr>
        <w:t xml:space="preserve">Serme </w:t>
      </w:r>
      <w:r w:rsidR="00447106" w:rsidRPr="00DC016F">
        <w:rPr>
          <w:rFonts w:ascii="Arial" w:hAnsi="Arial" w:cs="Arial"/>
          <w:bCs/>
          <w:color w:val="auto"/>
          <w:sz w:val="22"/>
          <w:szCs w:val="22"/>
        </w:rPr>
        <w:t>Superoxide Dismutase (SOD) and Glutathione Peroxidase (GSH)</w:t>
      </w:r>
      <w:bookmarkEnd w:id="9"/>
      <w:r w:rsidRPr="00DC016F">
        <w:rPr>
          <w:rFonts w:ascii="Arial" w:hAnsi="Arial" w:cs="Arial"/>
          <w:bCs/>
          <w:color w:val="auto"/>
          <w:sz w:val="22"/>
          <w:szCs w:val="22"/>
        </w:rPr>
        <w:t xml:space="preserve">, were determination according to </w:t>
      </w:r>
      <w:r w:rsidR="0043405C">
        <w:rPr>
          <w:rFonts w:ascii="Arial" w:hAnsi="Arial" w:cs="Arial"/>
          <w:color w:val="auto"/>
          <w:sz w:val="22"/>
          <w:szCs w:val="22"/>
        </w:rPr>
        <w:t>[11]</w:t>
      </w:r>
      <w:r w:rsidRPr="00DC016F">
        <w:rPr>
          <w:rFonts w:ascii="Arial" w:hAnsi="Arial" w:cs="Arial"/>
          <w:color w:val="auto"/>
          <w:sz w:val="22"/>
          <w:szCs w:val="22"/>
        </w:rPr>
        <w:t xml:space="preserve">, </w:t>
      </w:r>
      <w:bookmarkStart w:id="10" w:name="_Toc536761071"/>
      <w:r w:rsidR="00447106" w:rsidRPr="00DC016F">
        <w:rPr>
          <w:rFonts w:ascii="Arial" w:hAnsi="Arial" w:cs="Arial"/>
          <w:bCs/>
          <w:color w:val="auto"/>
          <w:sz w:val="22"/>
          <w:szCs w:val="22"/>
        </w:rPr>
        <w:t>catalase activity</w:t>
      </w:r>
      <w:bookmarkEnd w:id="10"/>
      <w:r w:rsidR="000F34FE" w:rsidRPr="00DC016F">
        <w:rPr>
          <w:rFonts w:ascii="Arial" w:hAnsi="Arial" w:cs="Arial"/>
          <w:bCs/>
          <w:color w:val="auto"/>
          <w:sz w:val="22"/>
          <w:szCs w:val="22"/>
        </w:rPr>
        <w:t xml:space="preserve"> </w:t>
      </w:r>
      <w:r w:rsidRPr="00DC016F">
        <w:rPr>
          <w:rFonts w:ascii="Arial" w:hAnsi="Arial" w:cs="Arial"/>
          <w:color w:val="auto"/>
          <w:sz w:val="22"/>
          <w:szCs w:val="22"/>
        </w:rPr>
        <w:t xml:space="preserve">by </w:t>
      </w:r>
      <w:r w:rsidR="00447106" w:rsidRPr="00DC016F">
        <w:rPr>
          <w:rFonts w:ascii="Arial" w:hAnsi="Arial" w:cs="Arial"/>
          <w:color w:val="auto"/>
          <w:sz w:val="22"/>
          <w:szCs w:val="22"/>
        </w:rPr>
        <w:t>Sinha</w:t>
      </w:r>
      <w:r w:rsidRPr="00DC016F">
        <w:rPr>
          <w:rFonts w:ascii="Arial" w:hAnsi="Arial" w:cs="Arial"/>
          <w:color w:val="auto"/>
          <w:sz w:val="22"/>
          <w:szCs w:val="22"/>
        </w:rPr>
        <w:t xml:space="preserve"> </w:t>
      </w:r>
      <w:r w:rsidR="00017214">
        <w:rPr>
          <w:rFonts w:ascii="Arial" w:hAnsi="Arial" w:cs="Arial"/>
          <w:color w:val="auto"/>
          <w:sz w:val="22"/>
          <w:szCs w:val="22"/>
        </w:rPr>
        <w:t>[12</w:t>
      </w:r>
      <w:proofErr w:type="gramStart"/>
      <w:r w:rsidR="00017214">
        <w:rPr>
          <w:rFonts w:ascii="Arial" w:hAnsi="Arial" w:cs="Arial"/>
          <w:color w:val="auto"/>
          <w:sz w:val="22"/>
          <w:szCs w:val="22"/>
        </w:rPr>
        <w:t>]</w:t>
      </w:r>
      <w:r w:rsidR="00F67EA0" w:rsidRPr="00DC016F">
        <w:rPr>
          <w:rFonts w:ascii="Arial" w:hAnsi="Arial" w:cs="Arial"/>
          <w:color w:val="auto"/>
          <w:sz w:val="22"/>
          <w:szCs w:val="22"/>
        </w:rPr>
        <w:t xml:space="preserve"> </w:t>
      </w:r>
      <w:r w:rsidRPr="00DC016F">
        <w:rPr>
          <w:rFonts w:ascii="Arial" w:hAnsi="Arial" w:cs="Arial"/>
          <w:color w:val="auto"/>
          <w:sz w:val="22"/>
          <w:szCs w:val="22"/>
        </w:rPr>
        <w:t xml:space="preserve"> method</w:t>
      </w:r>
      <w:proofErr w:type="gramEnd"/>
      <w:r w:rsidR="00447106" w:rsidRPr="00DC016F">
        <w:rPr>
          <w:rFonts w:ascii="Arial" w:hAnsi="Arial" w:cs="Arial"/>
          <w:color w:val="auto"/>
          <w:sz w:val="22"/>
          <w:szCs w:val="22"/>
        </w:rPr>
        <w:t>.</w:t>
      </w:r>
      <w:r w:rsidR="000F34FE" w:rsidRPr="00DC016F">
        <w:rPr>
          <w:rFonts w:ascii="Arial" w:hAnsi="Arial" w:cs="Arial"/>
          <w:color w:val="auto"/>
          <w:sz w:val="22"/>
          <w:szCs w:val="22"/>
        </w:rPr>
        <w:t xml:space="preserve"> </w:t>
      </w:r>
      <w:bookmarkStart w:id="11" w:name="_Toc536761072"/>
    </w:p>
    <w:p w14:paraId="1B9EC999" w14:textId="10C0713E" w:rsidR="000F34FE" w:rsidRPr="00DC016F" w:rsidRDefault="00447106" w:rsidP="000F34FE">
      <w:pPr>
        <w:pStyle w:val="Heading2"/>
        <w:spacing w:before="0" w:line="360" w:lineRule="auto"/>
        <w:jc w:val="both"/>
        <w:rPr>
          <w:rFonts w:ascii="Arial" w:hAnsi="Arial" w:cs="Arial"/>
          <w:bCs/>
          <w:color w:val="auto"/>
          <w:sz w:val="22"/>
          <w:szCs w:val="22"/>
        </w:rPr>
      </w:pPr>
      <w:r w:rsidRPr="00DC016F">
        <w:rPr>
          <w:rFonts w:ascii="Arial" w:hAnsi="Arial" w:cs="Arial"/>
          <w:bCs/>
          <w:color w:val="auto"/>
          <w:sz w:val="22"/>
          <w:szCs w:val="22"/>
        </w:rPr>
        <w:t>Serum vitamin A</w:t>
      </w:r>
      <w:r w:rsidR="00090D39" w:rsidRPr="00DC016F">
        <w:rPr>
          <w:rFonts w:ascii="Arial" w:hAnsi="Arial" w:cs="Arial"/>
          <w:bCs/>
          <w:color w:val="auto"/>
          <w:sz w:val="22"/>
          <w:szCs w:val="22"/>
        </w:rPr>
        <w:t xml:space="preserve"> and C</w:t>
      </w:r>
      <w:r w:rsidRPr="00DC016F">
        <w:rPr>
          <w:rFonts w:ascii="Arial" w:hAnsi="Arial" w:cs="Arial"/>
          <w:bCs/>
          <w:color w:val="auto"/>
          <w:sz w:val="22"/>
          <w:szCs w:val="22"/>
        </w:rPr>
        <w:t xml:space="preserve"> </w:t>
      </w:r>
      <w:bookmarkEnd w:id="11"/>
      <w:r w:rsidR="00090D39" w:rsidRPr="00DC016F">
        <w:rPr>
          <w:rFonts w:ascii="Arial" w:hAnsi="Arial" w:cs="Arial"/>
          <w:bCs/>
          <w:color w:val="auto"/>
          <w:sz w:val="22"/>
          <w:szCs w:val="22"/>
        </w:rPr>
        <w:t xml:space="preserve">by </w:t>
      </w:r>
      <w:r w:rsidRPr="00DC016F">
        <w:rPr>
          <w:rFonts w:ascii="Arial" w:hAnsi="Arial" w:cs="Arial"/>
          <w:color w:val="auto"/>
          <w:sz w:val="22"/>
          <w:szCs w:val="22"/>
        </w:rPr>
        <w:t>Oser</w:t>
      </w:r>
      <w:r w:rsidR="00090D39" w:rsidRPr="00DC016F">
        <w:rPr>
          <w:rFonts w:ascii="Arial" w:hAnsi="Arial" w:cs="Arial"/>
          <w:color w:val="auto"/>
          <w:sz w:val="22"/>
          <w:szCs w:val="22"/>
        </w:rPr>
        <w:t xml:space="preserve"> </w:t>
      </w:r>
      <w:r w:rsidR="00B637A7">
        <w:rPr>
          <w:rFonts w:ascii="Arial" w:hAnsi="Arial" w:cs="Arial"/>
          <w:color w:val="auto"/>
          <w:sz w:val="22"/>
          <w:szCs w:val="22"/>
        </w:rPr>
        <w:t>[13]</w:t>
      </w:r>
      <w:r w:rsidRPr="00DC016F">
        <w:rPr>
          <w:rFonts w:ascii="Arial" w:hAnsi="Arial" w:cs="Arial"/>
          <w:color w:val="auto"/>
          <w:sz w:val="22"/>
          <w:szCs w:val="22"/>
        </w:rPr>
        <w:t>.</w:t>
      </w:r>
      <w:r w:rsidR="000F34FE" w:rsidRPr="00DC016F">
        <w:rPr>
          <w:rFonts w:ascii="Arial" w:hAnsi="Arial" w:cs="Arial"/>
          <w:color w:val="auto"/>
          <w:sz w:val="22"/>
          <w:szCs w:val="22"/>
        </w:rPr>
        <w:t xml:space="preserve"> </w:t>
      </w:r>
      <w:bookmarkStart w:id="12" w:name="_Toc536761074"/>
      <w:r w:rsidRPr="00DC016F">
        <w:rPr>
          <w:rFonts w:ascii="Arial" w:hAnsi="Arial" w:cs="Arial"/>
          <w:bCs/>
          <w:color w:val="auto"/>
          <w:sz w:val="22"/>
          <w:szCs w:val="22"/>
        </w:rPr>
        <w:t xml:space="preserve">Serum vitamin E </w:t>
      </w:r>
      <w:bookmarkEnd w:id="12"/>
      <w:r w:rsidR="00090D39" w:rsidRPr="00DC016F">
        <w:rPr>
          <w:rFonts w:ascii="Arial" w:hAnsi="Arial" w:cs="Arial"/>
          <w:bCs/>
          <w:color w:val="auto"/>
          <w:sz w:val="22"/>
          <w:szCs w:val="22"/>
        </w:rPr>
        <w:t xml:space="preserve">by </w:t>
      </w:r>
      <w:r w:rsidRPr="00DC016F">
        <w:rPr>
          <w:rFonts w:ascii="Arial" w:hAnsi="Arial" w:cs="Arial"/>
          <w:color w:val="auto"/>
          <w:sz w:val="22"/>
          <w:szCs w:val="22"/>
        </w:rPr>
        <w:t xml:space="preserve">Backer </w:t>
      </w:r>
      <w:r w:rsidR="00F67EA0" w:rsidRPr="00DC016F">
        <w:rPr>
          <w:rFonts w:ascii="Arial" w:hAnsi="Arial" w:cs="Arial"/>
          <w:i/>
          <w:color w:val="auto"/>
          <w:sz w:val="22"/>
          <w:szCs w:val="22"/>
        </w:rPr>
        <w:t>et al</w:t>
      </w:r>
      <w:r w:rsidRPr="00DC016F">
        <w:rPr>
          <w:rFonts w:ascii="Arial" w:hAnsi="Arial" w:cs="Arial"/>
          <w:color w:val="auto"/>
          <w:sz w:val="22"/>
          <w:szCs w:val="22"/>
        </w:rPr>
        <w:t>.</w:t>
      </w:r>
      <w:r w:rsidR="00090D39" w:rsidRPr="00DC016F">
        <w:rPr>
          <w:rFonts w:ascii="Arial" w:hAnsi="Arial" w:cs="Arial"/>
          <w:color w:val="auto"/>
          <w:sz w:val="22"/>
          <w:szCs w:val="22"/>
        </w:rPr>
        <w:t xml:space="preserve"> </w:t>
      </w:r>
      <w:r w:rsidR="00B637A7">
        <w:rPr>
          <w:rFonts w:ascii="Arial" w:hAnsi="Arial" w:cs="Arial"/>
          <w:color w:val="auto"/>
          <w:sz w:val="22"/>
          <w:szCs w:val="22"/>
        </w:rPr>
        <w:t>[14]</w:t>
      </w:r>
      <w:r w:rsidR="00090D39" w:rsidRPr="00DC016F">
        <w:rPr>
          <w:rFonts w:ascii="Arial" w:hAnsi="Arial" w:cs="Arial"/>
          <w:color w:val="auto"/>
          <w:sz w:val="22"/>
          <w:szCs w:val="22"/>
        </w:rPr>
        <w:t xml:space="preserve"> </w:t>
      </w:r>
      <w:bookmarkStart w:id="13" w:name="_Toc536761075"/>
      <w:r w:rsidRPr="00DC016F">
        <w:rPr>
          <w:rFonts w:ascii="Arial" w:hAnsi="Arial" w:cs="Arial"/>
          <w:bCs/>
          <w:color w:val="auto"/>
          <w:sz w:val="22"/>
          <w:szCs w:val="22"/>
        </w:rPr>
        <w:t>vitamin D</w:t>
      </w:r>
      <w:bookmarkEnd w:id="13"/>
      <w:r w:rsidR="00090D39" w:rsidRPr="00DC016F">
        <w:rPr>
          <w:rFonts w:ascii="Arial" w:hAnsi="Arial" w:cs="Arial"/>
          <w:bCs/>
          <w:color w:val="auto"/>
          <w:sz w:val="22"/>
          <w:szCs w:val="22"/>
        </w:rPr>
        <w:t xml:space="preserve"> by </w:t>
      </w:r>
      <w:r w:rsidRPr="00DC016F">
        <w:rPr>
          <w:rFonts w:ascii="Arial" w:hAnsi="Arial" w:cs="Arial"/>
          <w:bCs/>
          <w:color w:val="auto"/>
          <w:sz w:val="22"/>
          <w:szCs w:val="22"/>
        </w:rPr>
        <w:t xml:space="preserve">Rad </w:t>
      </w:r>
      <w:r w:rsidR="00F67EA0" w:rsidRPr="00DC016F">
        <w:rPr>
          <w:rFonts w:ascii="Arial" w:hAnsi="Arial" w:cs="Arial"/>
          <w:bCs/>
          <w:i/>
          <w:color w:val="auto"/>
          <w:sz w:val="22"/>
          <w:szCs w:val="22"/>
        </w:rPr>
        <w:t>et al</w:t>
      </w:r>
      <w:r w:rsidRPr="00DC016F">
        <w:rPr>
          <w:rFonts w:ascii="Arial" w:hAnsi="Arial" w:cs="Arial"/>
          <w:bCs/>
          <w:color w:val="auto"/>
          <w:sz w:val="22"/>
          <w:szCs w:val="22"/>
        </w:rPr>
        <w:t xml:space="preserve"> </w:t>
      </w:r>
      <w:r w:rsidR="0015687C">
        <w:rPr>
          <w:rFonts w:ascii="Arial" w:hAnsi="Arial" w:cs="Arial"/>
          <w:bCs/>
          <w:color w:val="auto"/>
          <w:sz w:val="22"/>
          <w:szCs w:val="22"/>
        </w:rPr>
        <w:t>[15]</w:t>
      </w:r>
      <w:r w:rsidRPr="00DC016F">
        <w:rPr>
          <w:rFonts w:ascii="Arial" w:hAnsi="Arial" w:cs="Arial"/>
          <w:bCs/>
          <w:color w:val="auto"/>
          <w:sz w:val="22"/>
          <w:szCs w:val="22"/>
        </w:rPr>
        <w:t>.</w:t>
      </w:r>
      <w:bookmarkStart w:id="14" w:name="_Toc536761076"/>
      <w:r w:rsidR="000F34FE" w:rsidRPr="00DC016F">
        <w:rPr>
          <w:rFonts w:ascii="Arial" w:hAnsi="Arial" w:cs="Arial"/>
          <w:bCs/>
          <w:color w:val="auto"/>
          <w:sz w:val="22"/>
          <w:szCs w:val="22"/>
        </w:rPr>
        <w:t xml:space="preserve"> </w:t>
      </w:r>
    </w:p>
    <w:p w14:paraId="6635E255" w14:textId="2FFEA043" w:rsidR="00447106" w:rsidRPr="00DC016F" w:rsidRDefault="000F34FE" w:rsidP="000F34FE">
      <w:pPr>
        <w:pStyle w:val="Heading2"/>
        <w:spacing w:before="0" w:line="360" w:lineRule="auto"/>
        <w:jc w:val="both"/>
        <w:rPr>
          <w:rFonts w:ascii="Arial" w:hAnsi="Arial" w:cs="Arial"/>
          <w:color w:val="auto"/>
          <w:sz w:val="22"/>
          <w:szCs w:val="22"/>
        </w:rPr>
      </w:pPr>
      <w:r w:rsidRPr="00DC016F">
        <w:rPr>
          <w:rFonts w:ascii="Arial" w:hAnsi="Arial" w:cs="Arial"/>
          <w:bCs/>
          <w:color w:val="auto"/>
          <w:sz w:val="22"/>
          <w:szCs w:val="22"/>
        </w:rPr>
        <w:t>S</w:t>
      </w:r>
      <w:r w:rsidR="00447106" w:rsidRPr="00DC016F">
        <w:rPr>
          <w:rFonts w:ascii="Arial" w:hAnsi="Arial" w:cs="Arial"/>
          <w:bCs/>
          <w:color w:val="auto"/>
          <w:sz w:val="22"/>
          <w:szCs w:val="22"/>
        </w:rPr>
        <w:t>erum</w:t>
      </w:r>
      <w:r w:rsidRPr="00DC016F">
        <w:rPr>
          <w:rFonts w:ascii="Arial" w:hAnsi="Arial" w:cs="Arial"/>
          <w:bCs/>
          <w:color w:val="auto"/>
          <w:sz w:val="22"/>
          <w:szCs w:val="22"/>
        </w:rPr>
        <w:t xml:space="preserve"> </w:t>
      </w:r>
      <w:r w:rsidR="00447106" w:rsidRPr="00DC016F">
        <w:rPr>
          <w:rFonts w:ascii="Arial" w:hAnsi="Arial" w:cs="Arial"/>
          <w:bCs/>
          <w:color w:val="auto"/>
          <w:sz w:val="22"/>
          <w:szCs w:val="22"/>
        </w:rPr>
        <w:t xml:space="preserve">micro </w:t>
      </w:r>
      <w:r w:rsidR="00090D39" w:rsidRPr="00DC016F">
        <w:rPr>
          <w:rFonts w:ascii="Arial" w:hAnsi="Arial" w:cs="Arial"/>
          <w:bCs/>
          <w:color w:val="auto"/>
          <w:sz w:val="22"/>
          <w:szCs w:val="22"/>
        </w:rPr>
        <w:t xml:space="preserve">minerals </w:t>
      </w:r>
      <w:r w:rsidR="00447106" w:rsidRPr="00DC016F">
        <w:rPr>
          <w:rFonts w:ascii="Arial" w:hAnsi="Arial" w:cs="Arial"/>
          <w:bCs/>
          <w:color w:val="auto"/>
          <w:sz w:val="22"/>
          <w:szCs w:val="22"/>
        </w:rPr>
        <w:t>(Zn,</w:t>
      </w:r>
      <w:r w:rsidR="00090D39" w:rsidRPr="00DC016F">
        <w:rPr>
          <w:rFonts w:ascii="Arial" w:hAnsi="Arial" w:cs="Arial"/>
          <w:bCs/>
          <w:color w:val="auto"/>
          <w:sz w:val="22"/>
          <w:szCs w:val="22"/>
        </w:rPr>
        <w:t xml:space="preserve"> </w:t>
      </w:r>
      <w:r w:rsidR="00447106" w:rsidRPr="00DC016F">
        <w:rPr>
          <w:rFonts w:ascii="Arial" w:hAnsi="Arial" w:cs="Arial"/>
          <w:bCs/>
          <w:color w:val="auto"/>
          <w:sz w:val="22"/>
          <w:szCs w:val="22"/>
        </w:rPr>
        <w:t>Mn, Se,</w:t>
      </w:r>
      <w:r w:rsidR="00090D39" w:rsidRPr="00DC016F">
        <w:rPr>
          <w:rFonts w:ascii="Arial" w:hAnsi="Arial" w:cs="Arial"/>
          <w:bCs/>
          <w:color w:val="auto"/>
          <w:sz w:val="22"/>
          <w:szCs w:val="22"/>
        </w:rPr>
        <w:t xml:space="preserve"> </w:t>
      </w:r>
      <w:r w:rsidR="00447106" w:rsidRPr="00DC016F">
        <w:rPr>
          <w:rFonts w:ascii="Arial" w:hAnsi="Arial" w:cs="Arial"/>
          <w:bCs/>
          <w:color w:val="auto"/>
          <w:sz w:val="22"/>
          <w:szCs w:val="22"/>
        </w:rPr>
        <w:t>Ca, Cu</w:t>
      </w:r>
      <w:r w:rsidR="00090D39" w:rsidRPr="00DC016F">
        <w:rPr>
          <w:rFonts w:ascii="Arial" w:hAnsi="Arial" w:cs="Arial"/>
          <w:bCs/>
          <w:color w:val="auto"/>
          <w:sz w:val="22"/>
          <w:szCs w:val="22"/>
        </w:rPr>
        <w:t xml:space="preserve"> </w:t>
      </w:r>
      <w:r w:rsidR="00447106" w:rsidRPr="00DC016F">
        <w:rPr>
          <w:rFonts w:ascii="Arial" w:hAnsi="Arial" w:cs="Arial"/>
          <w:bCs/>
          <w:color w:val="auto"/>
          <w:sz w:val="22"/>
          <w:szCs w:val="22"/>
        </w:rPr>
        <w:t>and</w:t>
      </w:r>
      <w:r w:rsidR="00090D39" w:rsidRPr="00DC016F">
        <w:rPr>
          <w:rFonts w:ascii="Arial" w:hAnsi="Arial" w:cs="Arial"/>
          <w:bCs/>
          <w:color w:val="auto"/>
          <w:sz w:val="22"/>
          <w:szCs w:val="22"/>
        </w:rPr>
        <w:t xml:space="preserve"> </w:t>
      </w:r>
      <w:r w:rsidR="00447106" w:rsidRPr="00DC016F">
        <w:rPr>
          <w:rFonts w:ascii="Arial" w:hAnsi="Arial" w:cs="Arial"/>
          <w:bCs/>
          <w:color w:val="auto"/>
          <w:sz w:val="22"/>
          <w:szCs w:val="22"/>
        </w:rPr>
        <w:t>Fe)</w:t>
      </w:r>
      <w:bookmarkEnd w:id="14"/>
      <w:r w:rsidR="00090D39" w:rsidRPr="00DC016F">
        <w:rPr>
          <w:rFonts w:ascii="Arial" w:hAnsi="Arial" w:cs="Arial"/>
          <w:bCs/>
          <w:color w:val="auto"/>
          <w:sz w:val="22"/>
          <w:szCs w:val="22"/>
        </w:rPr>
        <w:t xml:space="preserve"> were determined using </w:t>
      </w:r>
      <w:r w:rsidR="00447106" w:rsidRPr="00DC016F">
        <w:rPr>
          <w:rFonts w:ascii="Arial" w:hAnsi="Arial" w:cs="Arial"/>
          <w:color w:val="auto"/>
          <w:sz w:val="22"/>
          <w:szCs w:val="22"/>
        </w:rPr>
        <w:t xml:space="preserve">AAS </w:t>
      </w:r>
      <w:r w:rsidR="00090D39" w:rsidRPr="00DC016F">
        <w:rPr>
          <w:rFonts w:ascii="Arial" w:hAnsi="Arial" w:cs="Arial"/>
          <w:color w:val="auto"/>
          <w:sz w:val="22"/>
          <w:szCs w:val="22"/>
        </w:rPr>
        <w:t xml:space="preserve">according to </w:t>
      </w:r>
      <w:r w:rsidR="00447106" w:rsidRPr="00DC016F">
        <w:rPr>
          <w:rFonts w:ascii="Arial" w:hAnsi="Arial" w:cs="Arial"/>
          <w:color w:val="auto"/>
          <w:sz w:val="22"/>
          <w:szCs w:val="22"/>
        </w:rPr>
        <w:t xml:space="preserve">FAO </w:t>
      </w:r>
      <w:r w:rsidR="0034498A">
        <w:rPr>
          <w:rFonts w:ascii="Arial" w:hAnsi="Arial" w:cs="Arial"/>
          <w:color w:val="auto"/>
          <w:sz w:val="22"/>
          <w:szCs w:val="22"/>
        </w:rPr>
        <w:t>[16]</w:t>
      </w:r>
      <w:r w:rsidR="00447106" w:rsidRPr="00DC016F">
        <w:rPr>
          <w:rFonts w:ascii="Arial" w:hAnsi="Arial" w:cs="Arial"/>
          <w:color w:val="auto"/>
          <w:sz w:val="22"/>
          <w:szCs w:val="22"/>
        </w:rPr>
        <w:t>.</w:t>
      </w:r>
      <w:r w:rsidR="00090D39" w:rsidRPr="00DC016F">
        <w:rPr>
          <w:rFonts w:ascii="Arial" w:hAnsi="Arial" w:cs="Arial"/>
          <w:color w:val="auto"/>
          <w:sz w:val="22"/>
          <w:szCs w:val="22"/>
        </w:rPr>
        <w:t xml:space="preserve"> </w:t>
      </w:r>
    </w:p>
    <w:p w14:paraId="4DD74949" w14:textId="3EF27FA6" w:rsidR="00D06044" w:rsidRPr="00DC016F" w:rsidRDefault="0052487B" w:rsidP="000F34FE">
      <w:pPr>
        <w:pStyle w:val="Heading2"/>
        <w:spacing w:before="0" w:line="360" w:lineRule="auto"/>
        <w:jc w:val="both"/>
        <w:rPr>
          <w:rFonts w:ascii="Arial" w:hAnsi="Arial" w:cs="Arial"/>
          <w:b/>
          <w:bCs/>
          <w:color w:val="auto"/>
          <w:sz w:val="22"/>
          <w:szCs w:val="22"/>
        </w:rPr>
      </w:pPr>
      <w:bookmarkStart w:id="15" w:name="_Toc536761077"/>
      <w:r>
        <w:rPr>
          <w:rFonts w:ascii="Arial" w:hAnsi="Arial" w:cs="Arial"/>
          <w:b/>
          <w:bCs/>
          <w:color w:val="auto"/>
          <w:sz w:val="22"/>
          <w:szCs w:val="22"/>
        </w:rPr>
        <w:t xml:space="preserve">2.7 </w:t>
      </w:r>
      <w:r w:rsidR="00D06044" w:rsidRPr="00DC016F">
        <w:rPr>
          <w:rFonts w:ascii="Arial" w:hAnsi="Arial" w:cs="Arial"/>
          <w:b/>
          <w:bCs/>
          <w:color w:val="auto"/>
          <w:sz w:val="22"/>
          <w:szCs w:val="22"/>
        </w:rPr>
        <w:t>Determination Macro nutrient and Energy intake</w:t>
      </w:r>
      <w:bookmarkEnd w:id="15"/>
    </w:p>
    <w:p w14:paraId="675EA350" w14:textId="77777777" w:rsidR="00447106" w:rsidRPr="00DC016F" w:rsidRDefault="00447106" w:rsidP="000F34FE">
      <w:pPr>
        <w:tabs>
          <w:tab w:val="center" w:pos="4680"/>
        </w:tabs>
        <w:spacing w:after="0" w:line="360" w:lineRule="auto"/>
        <w:jc w:val="both"/>
        <w:rPr>
          <w:rFonts w:ascii="Arial" w:hAnsi="Arial" w:cs="Arial"/>
        </w:rPr>
      </w:pPr>
      <w:r w:rsidRPr="00DC016F">
        <w:rPr>
          <w:rFonts w:ascii="Arial" w:hAnsi="Arial" w:cs="Arial"/>
        </w:rPr>
        <w:t>Macronutrient and energy intake derived from the food frequency questionnaire were analyzed using Nutri-survey software version and the result were compared with RDA (WHO) of under-five children.</w:t>
      </w:r>
    </w:p>
    <w:p w14:paraId="34AC28CD" w14:textId="7817D5CC" w:rsidR="00447106" w:rsidRPr="00DC016F" w:rsidRDefault="0052487B" w:rsidP="000F34FE">
      <w:pPr>
        <w:tabs>
          <w:tab w:val="center" w:pos="4680"/>
        </w:tabs>
        <w:spacing w:after="0" w:line="360" w:lineRule="auto"/>
        <w:jc w:val="both"/>
        <w:rPr>
          <w:rFonts w:ascii="Arial" w:hAnsi="Arial" w:cs="Arial"/>
          <w:b/>
        </w:rPr>
      </w:pPr>
      <w:r>
        <w:rPr>
          <w:rFonts w:ascii="Arial" w:hAnsi="Arial" w:cs="Arial"/>
          <w:b/>
        </w:rPr>
        <w:t xml:space="preserve">2.8 </w:t>
      </w:r>
      <w:r w:rsidR="00447106" w:rsidRPr="00DC016F">
        <w:rPr>
          <w:rFonts w:ascii="Arial" w:hAnsi="Arial" w:cs="Arial"/>
          <w:b/>
        </w:rPr>
        <w:t xml:space="preserve">Determination of Demographic Characteristics </w:t>
      </w:r>
    </w:p>
    <w:p w14:paraId="4BA61A29" w14:textId="44F6F173" w:rsidR="00447106" w:rsidRPr="00DC016F" w:rsidRDefault="00447106" w:rsidP="000F34FE">
      <w:pPr>
        <w:tabs>
          <w:tab w:val="center" w:pos="4680"/>
        </w:tabs>
        <w:spacing w:after="0" w:line="360" w:lineRule="auto"/>
        <w:jc w:val="both"/>
        <w:rPr>
          <w:rFonts w:ascii="Arial" w:hAnsi="Arial" w:cs="Arial"/>
        </w:rPr>
      </w:pPr>
      <w:r w:rsidRPr="00DC016F">
        <w:rPr>
          <w:rFonts w:ascii="Arial" w:hAnsi="Arial" w:cs="Arial"/>
        </w:rPr>
        <w:t xml:space="preserve">A questionnaire was used to collect demographic data from the parent of the study population. </w:t>
      </w:r>
      <w:r w:rsidR="00D06044" w:rsidRPr="00DC016F">
        <w:rPr>
          <w:rFonts w:ascii="Arial" w:hAnsi="Arial" w:cs="Arial"/>
        </w:rPr>
        <w:t>Such as</w:t>
      </w:r>
      <w:r w:rsidRPr="00DC016F">
        <w:rPr>
          <w:rFonts w:ascii="Arial" w:hAnsi="Arial" w:cs="Arial"/>
        </w:rPr>
        <w:t xml:space="preserve"> household income, educational background and the type of food eaten.</w:t>
      </w:r>
    </w:p>
    <w:p w14:paraId="3E4680FE" w14:textId="4571F2CA" w:rsidR="00447106" w:rsidRPr="00DC016F" w:rsidRDefault="0052487B" w:rsidP="000F34FE">
      <w:pPr>
        <w:pStyle w:val="Heading2"/>
        <w:spacing w:before="0" w:line="360" w:lineRule="auto"/>
        <w:rPr>
          <w:rFonts w:ascii="Arial" w:hAnsi="Arial" w:cs="Arial"/>
          <w:b/>
          <w:bCs/>
          <w:color w:val="auto"/>
          <w:sz w:val="22"/>
          <w:szCs w:val="22"/>
        </w:rPr>
      </w:pPr>
      <w:bookmarkStart w:id="16" w:name="_Toc536761078"/>
      <w:r>
        <w:rPr>
          <w:rFonts w:ascii="Arial" w:hAnsi="Arial" w:cs="Arial"/>
          <w:b/>
          <w:bCs/>
          <w:color w:val="auto"/>
          <w:sz w:val="22"/>
          <w:szCs w:val="22"/>
        </w:rPr>
        <w:t xml:space="preserve">2.9 </w:t>
      </w:r>
      <w:r w:rsidR="00447106" w:rsidRPr="00DC016F">
        <w:rPr>
          <w:rFonts w:ascii="Arial" w:hAnsi="Arial" w:cs="Arial"/>
          <w:b/>
          <w:bCs/>
          <w:color w:val="auto"/>
          <w:sz w:val="22"/>
          <w:szCs w:val="22"/>
        </w:rPr>
        <w:t>Data analysis</w:t>
      </w:r>
      <w:bookmarkEnd w:id="16"/>
    </w:p>
    <w:p w14:paraId="2A93CFA9" w14:textId="31CF71E8" w:rsidR="00447106" w:rsidRPr="00DC016F" w:rsidRDefault="00447106" w:rsidP="000F34FE">
      <w:pPr>
        <w:spacing w:after="0" w:line="360" w:lineRule="auto"/>
        <w:jc w:val="both"/>
        <w:rPr>
          <w:rFonts w:ascii="Arial" w:hAnsi="Arial" w:cs="Arial"/>
        </w:rPr>
      </w:pPr>
      <w:r w:rsidRPr="00DC016F">
        <w:rPr>
          <w:rFonts w:ascii="Arial" w:hAnsi="Arial" w:cs="Arial"/>
        </w:rPr>
        <w:t>Data analysis was done with Statistical Package for social sciences (SPSS) version 20.0 (Chicago II). Frequency and percentage were used to summarize categorical variables such as the nutritional status, age category and socio-economic status while means and standard deviations were used to summarize continuous variables such as weight for height and height for age z-scores and also chi square test was used to measure the nutritional status. All reported p-values &lt;0.05 were taken as statistically significant. Results are presented in tables and charts.</w:t>
      </w:r>
    </w:p>
    <w:p w14:paraId="43E7DF6B" w14:textId="77777777" w:rsidR="00447106" w:rsidRPr="00DC016F" w:rsidRDefault="00447106" w:rsidP="000F34FE">
      <w:pPr>
        <w:spacing w:after="0" w:line="360" w:lineRule="auto"/>
        <w:rPr>
          <w:rFonts w:ascii="Arial" w:hAnsi="Arial" w:cs="Arial"/>
        </w:rPr>
      </w:pPr>
    </w:p>
    <w:p w14:paraId="202285F2" w14:textId="3F7BF6A4" w:rsidR="00447106" w:rsidRPr="00DC016F" w:rsidRDefault="0052487B" w:rsidP="000F34FE">
      <w:pPr>
        <w:spacing w:after="0" w:line="360" w:lineRule="auto"/>
        <w:rPr>
          <w:rFonts w:ascii="Arial" w:hAnsi="Arial" w:cs="Arial"/>
          <w:b/>
          <w:bCs/>
        </w:rPr>
      </w:pPr>
      <w:r>
        <w:rPr>
          <w:rFonts w:ascii="Arial" w:hAnsi="Arial" w:cs="Arial"/>
          <w:b/>
          <w:bCs/>
        </w:rPr>
        <w:t xml:space="preserve">3.0 </w:t>
      </w:r>
      <w:r w:rsidR="00447106" w:rsidRPr="00DC016F">
        <w:rPr>
          <w:rFonts w:ascii="Arial" w:hAnsi="Arial" w:cs="Arial"/>
          <w:b/>
          <w:bCs/>
        </w:rPr>
        <w:t>RESULTS</w:t>
      </w:r>
      <w:r w:rsidR="00D06044" w:rsidRPr="00DC016F">
        <w:rPr>
          <w:rFonts w:ascii="Arial" w:hAnsi="Arial" w:cs="Arial"/>
          <w:b/>
          <w:bCs/>
        </w:rPr>
        <w:t xml:space="preserve"> and Discussion </w:t>
      </w:r>
    </w:p>
    <w:p w14:paraId="5CC35641" w14:textId="7F6B9617" w:rsidR="005B20B1" w:rsidRPr="0052487B" w:rsidRDefault="005B20B1" w:rsidP="000F34FE">
      <w:pPr>
        <w:pStyle w:val="Heading2"/>
        <w:spacing w:before="0" w:line="360" w:lineRule="auto"/>
        <w:jc w:val="both"/>
        <w:rPr>
          <w:rFonts w:ascii="Arial" w:hAnsi="Arial" w:cs="Arial"/>
          <w:b/>
          <w:i/>
          <w:color w:val="auto"/>
          <w:sz w:val="22"/>
          <w:szCs w:val="22"/>
        </w:rPr>
      </w:pPr>
      <w:bookmarkStart w:id="17" w:name="_Toc70173368"/>
      <w:bookmarkStart w:id="18" w:name="_Toc70173481"/>
      <w:bookmarkStart w:id="19" w:name="_Toc536761081"/>
      <w:r w:rsidRPr="0052487B">
        <w:rPr>
          <w:rFonts w:ascii="Arial" w:hAnsi="Arial" w:cs="Arial"/>
          <w:b/>
          <w:i/>
          <w:color w:val="auto"/>
          <w:sz w:val="22"/>
          <w:szCs w:val="22"/>
        </w:rPr>
        <w:t>Demographic Characteristics of Study Respondents</w:t>
      </w:r>
      <w:bookmarkEnd w:id="17"/>
      <w:bookmarkEnd w:id="18"/>
      <w:bookmarkEnd w:id="19"/>
    </w:p>
    <w:p w14:paraId="4CD0DC0C" w14:textId="1068977A" w:rsidR="005B20B1" w:rsidRPr="00DC016F" w:rsidRDefault="005B20B1" w:rsidP="000F34FE">
      <w:pPr>
        <w:spacing w:after="0" w:line="360" w:lineRule="auto"/>
        <w:jc w:val="both"/>
        <w:rPr>
          <w:rStyle w:val="fontstyle01"/>
          <w:rFonts w:ascii="Arial" w:hAnsi="Arial" w:cs="Arial"/>
          <w:color w:val="auto"/>
          <w:kern w:val="144"/>
          <w:sz w:val="22"/>
          <w:szCs w:val="22"/>
        </w:rPr>
      </w:pPr>
      <w:r w:rsidRPr="00DC016F">
        <w:rPr>
          <w:rStyle w:val="fontstyle01"/>
          <w:rFonts w:ascii="Arial" w:hAnsi="Arial" w:cs="Arial"/>
          <w:color w:val="auto"/>
          <w:kern w:val="144"/>
          <w:sz w:val="22"/>
          <w:szCs w:val="22"/>
        </w:rPr>
        <w:t xml:space="preserve">A total of 100 </w:t>
      </w:r>
      <w:r w:rsidRPr="00DC016F">
        <w:rPr>
          <w:rFonts w:ascii="Arial" w:hAnsi="Arial" w:cs="Arial"/>
          <w:kern w:val="144"/>
        </w:rPr>
        <w:t>under 5 years children were screened</w:t>
      </w:r>
      <w:r w:rsidRPr="00DC016F">
        <w:rPr>
          <w:rStyle w:val="fontstyle01"/>
          <w:rFonts w:ascii="Arial" w:hAnsi="Arial" w:cs="Arial"/>
          <w:color w:val="auto"/>
          <w:kern w:val="144"/>
          <w:sz w:val="22"/>
          <w:szCs w:val="22"/>
        </w:rPr>
        <w:t>, of these,</w:t>
      </w:r>
      <w:r w:rsidR="00D06044" w:rsidRPr="00DC016F">
        <w:rPr>
          <w:rStyle w:val="fontstyle01"/>
          <w:rFonts w:ascii="Arial" w:hAnsi="Arial" w:cs="Arial"/>
          <w:color w:val="auto"/>
          <w:kern w:val="144"/>
          <w:sz w:val="22"/>
          <w:szCs w:val="22"/>
        </w:rPr>
        <w:t xml:space="preserve"> </w:t>
      </w:r>
      <w:r w:rsidRPr="00DC016F">
        <w:rPr>
          <w:rStyle w:val="fontstyle01"/>
          <w:rFonts w:ascii="Arial" w:hAnsi="Arial" w:cs="Arial"/>
          <w:color w:val="auto"/>
          <w:kern w:val="144"/>
          <w:sz w:val="22"/>
          <w:szCs w:val="22"/>
        </w:rPr>
        <w:t>(14%)</w:t>
      </w:r>
      <w:r w:rsidR="00D06044" w:rsidRPr="00DC016F">
        <w:rPr>
          <w:rStyle w:val="fontstyle01"/>
          <w:rFonts w:ascii="Arial" w:hAnsi="Arial" w:cs="Arial"/>
          <w:color w:val="auto"/>
          <w:kern w:val="144"/>
          <w:sz w:val="22"/>
          <w:szCs w:val="22"/>
        </w:rPr>
        <w:t xml:space="preserve"> </w:t>
      </w:r>
      <w:r w:rsidRPr="00DC016F">
        <w:rPr>
          <w:rStyle w:val="fontstyle01"/>
          <w:rFonts w:ascii="Arial" w:hAnsi="Arial" w:cs="Arial"/>
          <w:color w:val="auto"/>
          <w:kern w:val="144"/>
          <w:sz w:val="22"/>
          <w:szCs w:val="22"/>
        </w:rPr>
        <w:t>aged between 0 and 11 months, (21%) children were within the age of 12 – 23 months while (17%) of the children aged between 24 and 35 months. Children that aged between 36 and 47 months, and between 48 and 59 months had frequencies of (26%) a</w:t>
      </w:r>
      <w:r w:rsidR="000E323F">
        <w:rPr>
          <w:rStyle w:val="fontstyle01"/>
          <w:rFonts w:ascii="Arial" w:hAnsi="Arial" w:cs="Arial"/>
          <w:color w:val="auto"/>
          <w:kern w:val="144"/>
          <w:sz w:val="22"/>
          <w:szCs w:val="22"/>
        </w:rPr>
        <w:t xml:space="preserve">nd (22%) respectively (Figure </w:t>
      </w:r>
      <w:r w:rsidRPr="00DC016F">
        <w:rPr>
          <w:rStyle w:val="fontstyle01"/>
          <w:rFonts w:ascii="Arial" w:hAnsi="Arial" w:cs="Arial"/>
          <w:color w:val="auto"/>
          <w:kern w:val="144"/>
          <w:sz w:val="22"/>
          <w:szCs w:val="22"/>
        </w:rPr>
        <w:t>1).</w:t>
      </w:r>
    </w:p>
    <w:p w14:paraId="03968970" w14:textId="497380B3" w:rsidR="005B20B1" w:rsidRPr="00DC016F" w:rsidRDefault="005B20B1" w:rsidP="000F34FE">
      <w:pPr>
        <w:spacing w:after="0" w:line="360" w:lineRule="auto"/>
        <w:jc w:val="both"/>
        <w:rPr>
          <w:rFonts w:ascii="Arial" w:eastAsia="Times New Roman" w:hAnsi="Arial" w:cs="Arial"/>
        </w:rPr>
      </w:pPr>
      <w:r w:rsidRPr="00DC016F">
        <w:rPr>
          <w:rFonts w:ascii="Arial" w:eastAsia="Times New Roman" w:hAnsi="Arial" w:cs="Arial"/>
        </w:rPr>
        <w:lastRenderedPageBreak/>
        <w:t>The result showed that 49% of the study respondents are of the Fulani ethnic group while 23% and 20% are of Kanuri and Bolewa ethnic groups respectively. In addition, 8% of the study respondents are fro</w:t>
      </w:r>
      <w:r w:rsidR="000E323F">
        <w:rPr>
          <w:rFonts w:ascii="Arial" w:eastAsia="Times New Roman" w:hAnsi="Arial" w:cs="Arial"/>
        </w:rPr>
        <w:t xml:space="preserve">m other ethnic groups (Figure </w:t>
      </w:r>
      <w:r w:rsidRPr="00DC016F">
        <w:rPr>
          <w:rFonts w:ascii="Arial" w:eastAsia="Times New Roman" w:hAnsi="Arial" w:cs="Arial"/>
        </w:rPr>
        <w:t>2).</w:t>
      </w:r>
    </w:p>
    <w:p w14:paraId="7DDB98B5" w14:textId="55EEA5E4" w:rsidR="005B20B1" w:rsidRPr="00DC016F" w:rsidRDefault="000E323F" w:rsidP="000F34FE">
      <w:pPr>
        <w:spacing w:after="0" w:line="360" w:lineRule="auto"/>
        <w:jc w:val="both"/>
        <w:rPr>
          <w:rFonts w:ascii="Arial" w:eastAsia="Times New Roman" w:hAnsi="Arial" w:cs="Arial"/>
        </w:rPr>
      </w:pPr>
      <w:r>
        <w:rPr>
          <w:rFonts w:ascii="Arial" w:eastAsia="Times New Roman" w:hAnsi="Arial" w:cs="Arial"/>
        </w:rPr>
        <w:t xml:space="preserve">Figure </w:t>
      </w:r>
      <w:r w:rsidR="005B20B1" w:rsidRPr="00DC016F">
        <w:rPr>
          <w:rFonts w:ascii="Arial" w:eastAsia="Times New Roman" w:hAnsi="Arial" w:cs="Arial"/>
        </w:rPr>
        <w:t>3 showed the distribution of household and number of children in the family. The result showed that (22%) of the respondents were from household of 2 to 3 persons, while 34 (34%) are from household of 4 to 5 persons. In addition,</w:t>
      </w:r>
      <w:r w:rsidR="00CB2A12" w:rsidRPr="00DC016F">
        <w:rPr>
          <w:rFonts w:ascii="Arial" w:eastAsia="Times New Roman" w:hAnsi="Arial" w:cs="Arial"/>
        </w:rPr>
        <w:t xml:space="preserve"> </w:t>
      </w:r>
      <w:r w:rsidR="005B20B1" w:rsidRPr="00DC016F">
        <w:rPr>
          <w:rFonts w:ascii="Arial" w:eastAsia="Times New Roman" w:hAnsi="Arial" w:cs="Arial"/>
        </w:rPr>
        <w:t>44% respondents are of the household of more than 6 persons.</w:t>
      </w:r>
      <w:r w:rsidR="00CB2A12" w:rsidRPr="00DC016F">
        <w:rPr>
          <w:rFonts w:ascii="Arial" w:eastAsia="Times New Roman" w:hAnsi="Arial" w:cs="Arial"/>
        </w:rPr>
        <w:t xml:space="preserve"> </w:t>
      </w:r>
      <w:r w:rsidR="005B20B1" w:rsidRPr="00DC016F">
        <w:rPr>
          <w:rFonts w:ascii="Arial" w:eastAsia="Times New Roman" w:hAnsi="Arial" w:cs="Arial"/>
        </w:rPr>
        <w:t>Similarly, (41%) of the respondents are from family having more than 6 children in the family while (36%) are of family with 4 -5 children.</w:t>
      </w:r>
    </w:p>
    <w:p w14:paraId="6C7E46DF" w14:textId="6F22072F" w:rsidR="005B20B1" w:rsidRPr="00DC016F" w:rsidRDefault="005B20B1" w:rsidP="000F34FE">
      <w:pPr>
        <w:spacing w:after="0" w:line="360" w:lineRule="auto"/>
        <w:jc w:val="both"/>
        <w:rPr>
          <w:rFonts w:ascii="Arial" w:hAnsi="Arial" w:cs="Arial"/>
        </w:rPr>
      </w:pPr>
      <w:r w:rsidRPr="00DC016F">
        <w:rPr>
          <w:rFonts w:ascii="Arial" w:eastAsia="Times New Roman" w:hAnsi="Arial" w:cs="Arial"/>
        </w:rPr>
        <w:t xml:space="preserve">The study showed the </w:t>
      </w:r>
      <w:r w:rsidRPr="00DC016F">
        <w:rPr>
          <w:rFonts w:ascii="Arial" w:hAnsi="Arial" w:cs="Arial"/>
        </w:rPr>
        <w:t>respondents’ parental occupation (</w:t>
      </w:r>
      <w:r w:rsidR="000E323F">
        <w:rPr>
          <w:rFonts w:ascii="Arial" w:eastAsia="Times New Roman" w:hAnsi="Arial" w:cs="Arial"/>
        </w:rPr>
        <w:t xml:space="preserve">Figure </w:t>
      </w:r>
      <w:r w:rsidRPr="00DC016F">
        <w:rPr>
          <w:rFonts w:ascii="Arial" w:eastAsia="Times New Roman" w:hAnsi="Arial" w:cs="Arial"/>
        </w:rPr>
        <w:t xml:space="preserve">4). </w:t>
      </w:r>
      <w:r w:rsidR="00CB2A12" w:rsidRPr="00DC016F">
        <w:rPr>
          <w:rFonts w:ascii="Arial" w:eastAsia="Times New Roman" w:hAnsi="Arial" w:cs="Arial"/>
        </w:rPr>
        <w:t xml:space="preserve">in which </w:t>
      </w:r>
      <w:r w:rsidRPr="00DC016F">
        <w:rPr>
          <w:rFonts w:ascii="Arial" w:eastAsia="Times New Roman" w:hAnsi="Arial" w:cs="Arial"/>
        </w:rPr>
        <w:t xml:space="preserve">41% of the respondents’ parents are traders, 11% are farmers, 10% are house wives 31% are civil servants while 7% of the respondents’ parents did not disclose their occupation. </w:t>
      </w:r>
      <w:r w:rsidR="000E323F">
        <w:rPr>
          <w:rFonts w:ascii="Arial" w:hAnsi="Arial" w:cs="Arial"/>
        </w:rPr>
        <w:t xml:space="preserve">Figure </w:t>
      </w:r>
      <w:r w:rsidRPr="00DC016F">
        <w:rPr>
          <w:rFonts w:ascii="Arial" w:hAnsi="Arial" w:cs="Arial"/>
        </w:rPr>
        <w:t>5 showed that majority (30%) of the respondents’ household earn above ₦45,000 while the least income household (12%) earn less than ₦5,000.</w:t>
      </w:r>
      <w:r w:rsidR="00893E0C" w:rsidRPr="00DC016F">
        <w:rPr>
          <w:rFonts w:ascii="Arial" w:hAnsi="Arial" w:cs="Arial"/>
        </w:rPr>
        <w:t xml:space="preserve"> </w:t>
      </w:r>
      <w:r w:rsidR="000E323F">
        <w:rPr>
          <w:rFonts w:ascii="Arial" w:hAnsi="Arial" w:cs="Arial"/>
        </w:rPr>
        <w:t xml:space="preserve">Figure </w:t>
      </w:r>
      <w:r w:rsidRPr="00DC016F">
        <w:rPr>
          <w:rFonts w:ascii="Arial" w:hAnsi="Arial" w:cs="Arial"/>
        </w:rPr>
        <w:t>6 shows the</w:t>
      </w:r>
      <w:r w:rsidR="00893E0C" w:rsidRPr="00DC016F">
        <w:rPr>
          <w:rFonts w:ascii="Arial" w:hAnsi="Arial" w:cs="Arial"/>
        </w:rPr>
        <w:t xml:space="preserve"> </w:t>
      </w:r>
      <w:r w:rsidRPr="00DC016F">
        <w:rPr>
          <w:rFonts w:ascii="Arial" w:hAnsi="Arial" w:cs="Arial"/>
        </w:rPr>
        <w:t>educational</w:t>
      </w:r>
      <w:r w:rsidR="00893E0C" w:rsidRPr="00DC016F">
        <w:rPr>
          <w:rFonts w:ascii="Arial" w:hAnsi="Arial" w:cs="Arial"/>
        </w:rPr>
        <w:t xml:space="preserve"> </w:t>
      </w:r>
      <w:r w:rsidRPr="00DC016F">
        <w:rPr>
          <w:rFonts w:ascii="Arial" w:hAnsi="Arial" w:cs="Arial"/>
        </w:rPr>
        <w:t>levels of the respondents’</w:t>
      </w:r>
      <w:r w:rsidR="00893E0C" w:rsidRPr="00DC016F">
        <w:rPr>
          <w:rFonts w:ascii="Arial" w:hAnsi="Arial" w:cs="Arial"/>
        </w:rPr>
        <w:t xml:space="preserve"> </w:t>
      </w:r>
      <w:r w:rsidRPr="00DC016F">
        <w:rPr>
          <w:rFonts w:ascii="Arial" w:hAnsi="Arial" w:cs="Arial"/>
        </w:rPr>
        <w:t>parents, those that attended primary (12%), junior secondary (13%), senior secondary (29%), post-secondary (19%) and 13% are graduates. However, the result showed that 14% of the respondents’ parents had no formal education.</w:t>
      </w:r>
    </w:p>
    <w:p w14:paraId="229D36EB" w14:textId="7278258C" w:rsidR="005B20B1" w:rsidRPr="0018494E" w:rsidRDefault="005B20B1" w:rsidP="0018494E">
      <w:pPr>
        <w:spacing w:line="240" w:lineRule="auto"/>
        <w:jc w:val="both"/>
        <w:rPr>
          <w:rFonts w:ascii="Arial" w:hAnsi="Arial" w:cs="Arial"/>
          <w:b/>
        </w:rPr>
      </w:pPr>
      <w:r w:rsidRPr="00DC016F">
        <w:rPr>
          <w:rFonts w:ascii="Arial" w:hAnsi="Arial" w:cs="Arial"/>
          <w:noProof/>
        </w:rPr>
        <w:drawing>
          <wp:inline distT="0" distB="0" distL="0" distR="0" wp14:anchorId="22E6BDBB" wp14:editId="1C0F2364">
            <wp:extent cx="5895975" cy="16478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20" w:name="_Toc85539475"/>
      <w:r w:rsidRPr="00DC016F">
        <w:rPr>
          <w:rFonts w:ascii="Arial" w:hAnsi="Arial" w:cs="Arial"/>
        </w:rPr>
        <w:t xml:space="preserve">Figure </w:t>
      </w:r>
      <w:r w:rsidR="001C6099" w:rsidRPr="00DC016F">
        <w:rPr>
          <w:rFonts w:ascii="Arial" w:hAnsi="Arial" w:cs="Arial"/>
        </w:rPr>
        <w:t>1</w:t>
      </w:r>
      <w:r w:rsidRPr="00DC016F">
        <w:rPr>
          <w:rFonts w:ascii="Arial" w:hAnsi="Arial" w:cs="Arial"/>
        </w:rPr>
        <w:t xml:space="preserve">: Age of under-five children </w:t>
      </w:r>
      <w:r w:rsidRPr="00DC016F">
        <w:rPr>
          <w:rFonts w:ascii="Arial" w:eastAsia="Times New Roman" w:hAnsi="Arial" w:cs="Arial"/>
        </w:rPr>
        <w:t>(</w:t>
      </w:r>
      <w:r w:rsidRPr="00DC016F">
        <w:rPr>
          <w:rFonts w:ascii="Arial" w:eastAsia="Times New Roman" w:hAnsi="Arial" w:cs="Arial"/>
          <w:i/>
        </w:rPr>
        <w:t xml:space="preserve">n </w:t>
      </w:r>
      <w:r w:rsidRPr="00DC016F">
        <w:rPr>
          <w:rFonts w:ascii="Arial" w:eastAsia="Times New Roman" w:hAnsi="Arial" w:cs="Arial"/>
        </w:rPr>
        <w:t>= 100)</w:t>
      </w:r>
      <w:bookmarkEnd w:id="20"/>
    </w:p>
    <w:p w14:paraId="238D3F6B" w14:textId="0C7EA682" w:rsidR="005B20B1" w:rsidRPr="00DC016F" w:rsidRDefault="005B20B1" w:rsidP="0018494E">
      <w:pPr>
        <w:spacing w:line="240" w:lineRule="auto"/>
        <w:jc w:val="both"/>
        <w:rPr>
          <w:rFonts w:ascii="Arial" w:eastAsia="Times New Roman" w:hAnsi="Arial" w:cs="Arial"/>
        </w:rPr>
      </w:pPr>
      <w:r w:rsidRPr="00DC016F">
        <w:rPr>
          <w:rFonts w:ascii="Arial" w:hAnsi="Arial" w:cs="Arial"/>
          <w:noProof/>
        </w:rPr>
        <w:drawing>
          <wp:anchor distT="0" distB="0" distL="114300" distR="114300" simplePos="0" relativeHeight="251658240" behindDoc="0" locked="0" layoutInCell="1" allowOverlap="1" wp14:anchorId="4BEB1B75" wp14:editId="3B59D91E">
            <wp:simplePos x="952500" y="6372225"/>
            <wp:positionH relativeFrom="column">
              <wp:align>left</wp:align>
            </wp:positionH>
            <wp:positionV relativeFrom="paragraph">
              <wp:align>top</wp:align>
            </wp:positionV>
            <wp:extent cx="3637652" cy="2554014"/>
            <wp:effectExtent l="38100" t="0" r="3937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893E0C" w:rsidRPr="00DC016F">
        <w:rPr>
          <w:rFonts w:ascii="Arial" w:eastAsia="Times New Roman" w:hAnsi="Arial" w:cs="Arial"/>
        </w:rPr>
        <w:br w:type="textWrapping" w:clear="all"/>
      </w:r>
      <w:bookmarkStart w:id="21" w:name="_Toc85539476"/>
      <w:r w:rsidRPr="00DC016F">
        <w:rPr>
          <w:rFonts w:ascii="Arial" w:hAnsi="Arial" w:cs="Arial"/>
        </w:rPr>
        <w:t xml:space="preserve">Figure </w:t>
      </w:r>
      <w:r w:rsidR="001C6099" w:rsidRPr="00DC016F">
        <w:rPr>
          <w:rFonts w:ascii="Arial" w:hAnsi="Arial" w:cs="Arial"/>
        </w:rPr>
        <w:t>2</w:t>
      </w:r>
      <w:r w:rsidRPr="00DC016F">
        <w:rPr>
          <w:rFonts w:ascii="Arial" w:hAnsi="Arial" w:cs="Arial"/>
        </w:rPr>
        <w:t xml:space="preserve">: Ethnic groups of the study respondents in Funakaye LGA </w:t>
      </w:r>
      <w:r w:rsidRPr="00DC016F">
        <w:rPr>
          <w:rFonts w:ascii="Arial" w:eastAsia="Times New Roman" w:hAnsi="Arial" w:cs="Arial"/>
        </w:rPr>
        <w:t>(</w:t>
      </w:r>
      <w:r w:rsidRPr="00DC016F">
        <w:rPr>
          <w:rFonts w:ascii="Arial" w:eastAsia="Times New Roman" w:hAnsi="Arial" w:cs="Arial"/>
          <w:i/>
        </w:rPr>
        <w:t xml:space="preserve">n </w:t>
      </w:r>
      <w:r w:rsidRPr="00DC016F">
        <w:rPr>
          <w:rFonts w:ascii="Arial" w:eastAsia="Times New Roman" w:hAnsi="Arial" w:cs="Arial"/>
        </w:rPr>
        <w:t>= 100)</w:t>
      </w:r>
      <w:bookmarkEnd w:id="21"/>
    </w:p>
    <w:p w14:paraId="6F11DA81" w14:textId="77777777" w:rsidR="005B20B1" w:rsidRPr="00DC016F" w:rsidRDefault="005B20B1" w:rsidP="00FD59DA">
      <w:pPr>
        <w:spacing w:after="0" w:line="240" w:lineRule="auto"/>
        <w:jc w:val="both"/>
        <w:rPr>
          <w:rFonts w:ascii="Arial" w:hAnsi="Arial" w:cs="Arial"/>
          <w:b/>
        </w:rPr>
      </w:pPr>
      <w:r w:rsidRPr="00DC016F">
        <w:rPr>
          <w:rFonts w:ascii="Arial" w:hAnsi="Arial" w:cs="Arial"/>
          <w:noProof/>
        </w:rPr>
        <w:lastRenderedPageBreak/>
        <w:drawing>
          <wp:inline distT="0" distB="0" distL="0" distR="0" wp14:anchorId="4C08A533" wp14:editId="4EB1051C">
            <wp:extent cx="6219825" cy="29051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118795" w14:textId="77777777" w:rsidR="00003AE0" w:rsidRPr="00DC016F" w:rsidRDefault="00003AE0" w:rsidP="00FD59DA">
      <w:pPr>
        <w:pStyle w:val="Caption"/>
        <w:spacing w:line="240" w:lineRule="auto"/>
        <w:rPr>
          <w:rFonts w:ascii="Arial" w:hAnsi="Arial" w:cs="Arial"/>
          <w:sz w:val="22"/>
          <w:szCs w:val="22"/>
        </w:rPr>
      </w:pPr>
      <w:bookmarkStart w:id="22" w:name="_Toc85539477"/>
    </w:p>
    <w:p w14:paraId="1AF87BD4" w14:textId="518E95B1" w:rsidR="005B20B1" w:rsidRPr="00DC016F" w:rsidRDefault="005B20B1" w:rsidP="00FD59DA">
      <w:pPr>
        <w:pStyle w:val="Caption"/>
        <w:spacing w:line="240" w:lineRule="auto"/>
        <w:rPr>
          <w:rFonts w:ascii="Arial" w:eastAsia="Times New Roman" w:hAnsi="Arial" w:cs="Arial"/>
          <w:sz w:val="22"/>
          <w:szCs w:val="22"/>
        </w:rPr>
      </w:pPr>
      <w:r w:rsidRPr="00DC016F">
        <w:rPr>
          <w:rFonts w:ascii="Arial" w:hAnsi="Arial" w:cs="Arial"/>
          <w:sz w:val="22"/>
          <w:szCs w:val="22"/>
        </w:rPr>
        <w:t xml:space="preserve">Figure </w:t>
      </w:r>
      <w:r w:rsidR="001706B5" w:rsidRPr="00DC016F">
        <w:rPr>
          <w:rFonts w:ascii="Arial" w:hAnsi="Arial" w:cs="Arial"/>
          <w:sz w:val="22"/>
          <w:szCs w:val="22"/>
        </w:rPr>
        <w:fldChar w:fldCharType="begin"/>
      </w:r>
      <w:r w:rsidR="001706B5" w:rsidRPr="00DC016F">
        <w:rPr>
          <w:rFonts w:ascii="Arial" w:hAnsi="Arial" w:cs="Arial"/>
          <w:sz w:val="22"/>
          <w:szCs w:val="22"/>
        </w:rPr>
        <w:instrText xml:space="preserve"> SEQ Figure_4. \* ARABIC </w:instrText>
      </w:r>
      <w:r w:rsidR="001706B5" w:rsidRPr="00DC016F">
        <w:rPr>
          <w:rFonts w:ascii="Arial" w:hAnsi="Arial" w:cs="Arial"/>
          <w:sz w:val="22"/>
          <w:szCs w:val="22"/>
        </w:rPr>
        <w:fldChar w:fldCharType="separate"/>
      </w:r>
      <w:r w:rsidRPr="00DC016F">
        <w:rPr>
          <w:rFonts w:ascii="Arial" w:hAnsi="Arial" w:cs="Arial"/>
          <w:noProof/>
          <w:sz w:val="22"/>
          <w:szCs w:val="22"/>
        </w:rPr>
        <w:t>3</w:t>
      </w:r>
      <w:r w:rsidR="001706B5" w:rsidRPr="00DC016F">
        <w:rPr>
          <w:rFonts w:ascii="Arial" w:hAnsi="Arial" w:cs="Arial"/>
          <w:noProof/>
          <w:sz w:val="22"/>
          <w:szCs w:val="22"/>
        </w:rPr>
        <w:fldChar w:fldCharType="end"/>
      </w:r>
      <w:r w:rsidRPr="00DC016F">
        <w:rPr>
          <w:rFonts w:ascii="Arial" w:hAnsi="Arial" w:cs="Arial"/>
          <w:sz w:val="22"/>
          <w:szCs w:val="22"/>
        </w:rPr>
        <w:t xml:space="preserve">: Number of household and children in the family of the study respondents </w:t>
      </w:r>
      <w:r w:rsidRPr="00DC016F">
        <w:rPr>
          <w:rFonts w:ascii="Arial" w:eastAsia="Times New Roman" w:hAnsi="Arial" w:cs="Arial"/>
          <w:sz w:val="22"/>
          <w:szCs w:val="22"/>
        </w:rPr>
        <w:t>(</w:t>
      </w:r>
      <w:r w:rsidRPr="00DC016F">
        <w:rPr>
          <w:rFonts w:ascii="Arial" w:eastAsia="Times New Roman" w:hAnsi="Arial" w:cs="Arial"/>
          <w:i/>
          <w:sz w:val="22"/>
          <w:szCs w:val="22"/>
        </w:rPr>
        <w:t xml:space="preserve">n </w:t>
      </w:r>
      <w:r w:rsidRPr="00DC016F">
        <w:rPr>
          <w:rFonts w:ascii="Arial" w:eastAsia="Times New Roman" w:hAnsi="Arial" w:cs="Arial"/>
          <w:sz w:val="22"/>
          <w:szCs w:val="22"/>
        </w:rPr>
        <w:t>= 100)</w:t>
      </w:r>
      <w:bookmarkEnd w:id="22"/>
    </w:p>
    <w:p w14:paraId="49B33C52" w14:textId="77777777" w:rsidR="005B20B1" w:rsidRPr="00DC016F" w:rsidRDefault="005B20B1" w:rsidP="00FD59DA">
      <w:pPr>
        <w:spacing w:line="240" w:lineRule="auto"/>
        <w:jc w:val="both"/>
        <w:rPr>
          <w:rFonts w:ascii="Arial" w:eastAsia="Times New Roman" w:hAnsi="Arial" w:cs="Arial"/>
        </w:rPr>
      </w:pPr>
    </w:p>
    <w:p w14:paraId="7C1DFA7D" w14:textId="77777777" w:rsidR="005B20B1" w:rsidRPr="00DC016F" w:rsidRDefault="005B20B1" w:rsidP="00FD59DA">
      <w:pPr>
        <w:spacing w:line="240" w:lineRule="auto"/>
        <w:jc w:val="both"/>
        <w:rPr>
          <w:rFonts w:ascii="Arial" w:eastAsia="Times New Roman" w:hAnsi="Arial" w:cs="Arial"/>
        </w:rPr>
      </w:pPr>
      <w:r w:rsidRPr="00DC016F">
        <w:rPr>
          <w:rFonts w:ascii="Arial" w:hAnsi="Arial" w:cs="Arial"/>
          <w:noProof/>
        </w:rPr>
        <w:drawing>
          <wp:inline distT="0" distB="0" distL="0" distR="0" wp14:anchorId="2CB2D11F" wp14:editId="222DBA2B">
            <wp:extent cx="5462270" cy="3848431"/>
            <wp:effectExtent l="0" t="0" r="5080" b="762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1F9269" w14:textId="33A09F18" w:rsidR="005B20B1" w:rsidRPr="00DC016F" w:rsidRDefault="005B20B1" w:rsidP="00FD59DA">
      <w:pPr>
        <w:pStyle w:val="Caption"/>
        <w:spacing w:line="240" w:lineRule="auto"/>
        <w:rPr>
          <w:rFonts w:ascii="Arial" w:eastAsia="Times New Roman" w:hAnsi="Arial" w:cs="Arial"/>
          <w:sz w:val="22"/>
          <w:szCs w:val="22"/>
        </w:rPr>
      </w:pPr>
      <w:bookmarkStart w:id="23" w:name="_Toc85539478"/>
      <w:r w:rsidRPr="00DC016F">
        <w:rPr>
          <w:rFonts w:ascii="Arial" w:hAnsi="Arial" w:cs="Arial"/>
          <w:sz w:val="22"/>
          <w:szCs w:val="22"/>
        </w:rPr>
        <w:t>Figure</w:t>
      </w:r>
      <w:r w:rsidR="001C6099" w:rsidRPr="00DC016F">
        <w:rPr>
          <w:rFonts w:ascii="Arial" w:hAnsi="Arial" w:cs="Arial"/>
          <w:sz w:val="22"/>
          <w:szCs w:val="22"/>
        </w:rPr>
        <w:t xml:space="preserve"> </w:t>
      </w:r>
      <w:r w:rsidR="001706B5" w:rsidRPr="00DC016F">
        <w:rPr>
          <w:rFonts w:ascii="Arial" w:hAnsi="Arial" w:cs="Arial"/>
          <w:sz w:val="22"/>
          <w:szCs w:val="22"/>
        </w:rPr>
        <w:fldChar w:fldCharType="begin"/>
      </w:r>
      <w:r w:rsidR="001706B5" w:rsidRPr="00DC016F">
        <w:rPr>
          <w:rFonts w:ascii="Arial" w:hAnsi="Arial" w:cs="Arial"/>
          <w:sz w:val="22"/>
          <w:szCs w:val="22"/>
        </w:rPr>
        <w:instrText xml:space="preserve"> SEQ Figure_4. \* ARABIC </w:instrText>
      </w:r>
      <w:r w:rsidR="001706B5" w:rsidRPr="00DC016F">
        <w:rPr>
          <w:rFonts w:ascii="Arial" w:hAnsi="Arial" w:cs="Arial"/>
          <w:sz w:val="22"/>
          <w:szCs w:val="22"/>
        </w:rPr>
        <w:fldChar w:fldCharType="separate"/>
      </w:r>
      <w:r w:rsidRPr="00DC016F">
        <w:rPr>
          <w:rFonts w:ascii="Arial" w:hAnsi="Arial" w:cs="Arial"/>
          <w:noProof/>
          <w:sz w:val="22"/>
          <w:szCs w:val="22"/>
        </w:rPr>
        <w:t>4</w:t>
      </w:r>
      <w:r w:rsidR="001706B5" w:rsidRPr="00DC016F">
        <w:rPr>
          <w:rFonts w:ascii="Arial" w:hAnsi="Arial" w:cs="Arial"/>
          <w:noProof/>
          <w:sz w:val="22"/>
          <w:szCs w:val="22"/>
        </w:rPr>
        <w:fldChar w:fldCharType="end"/>
      </w:r>
      <w:r w:rsidRPr="00DC016F">
        <w:rPr>
          <w:rFonts w:ascii="Arial" w:hAnsi="Arial" w:cs="Arial"/>
          <w:sz w:val="22"/>
          <w:szCs w:val="22"/>
        </w:rPr>
        <w:t xml:space="preserve">: Parental occupation to the study respondents </w:t>
      </w:r>
      <w:r w:rsidRPr="00DC016F">
        <w:rPr>
          <w:rFonts w:ascii="Arial" w:eastAsia="Times New Roman" w:hAnsi="Arial" w:cs="Arial"/>
          <w:sz w:val="22"/>
          <w:szCs w:val="22"/>
        </w:rPr>
        <w:t>(</w:t>
      </w:r>
      <w:r w:rsidRPr="00DC016F">
        <w:rPr>
          <w:rFonts w:ascii="Arial" w:eastAsia="Times New Roman" w:hAnsi="Arial" w:cs="Arial"/>
          <w:i/>
          <w:sz w:val="22"/>
          <w:szCs w:val="22"/>
        </w:rPr>
        <w:t xml:space="preserve">n </w:t>
      </w:r>
      <w:r w:rsidRPr="00DC016F">
        <w:rPr>
          <w:rFonts w:ascii="Arial" w:eastAsia="Times New Roman" w:hAnsi="Arial" w:cs="Arial"/>
          <w:sz w:val="22"/>
          <w:szCs w:val="22"/>
        </w:rPr>
        <w:t>= 100)</w:t>
      </w:r>
      <w:bookmarkEnd w:id="23"/>
    </w:p>
    <w:p w14:paraId="0C2F1E8A" w14:textId="77777777" w:rsidR="005B20B1" w:rsidRPr="00DC016F" w:rsidRDefault="005B20B1" w:rsidP="00FD59DA">
      <w:pPr>
        <w:spacing w:after="0" w:line="240" w:lineRule="auto"/>
        <w:jc w:val="both"/>
        <w:rPr>
          <w:rFonts w:ascii="Arial" w:eastAsia="Times New Roman" w:hAnsi="Arial" w:cs="Arial"/>
        </w:rPr>
      </w:pPr>
      <w:r w:rsidRPr="00DC016F">
        <w:rPr>
          <w:rFonts w:ascii="Arial" w:hAnsi="Arial" w:cs="Arial"/>
          <w:noProof/>
        </w:rPr>
        <w:lastRenderedPageBreak/>
        <w:drawing>
          <wp:inline distT="0" distB="0" distL="0" distR="0" wp14:anchorId="14946EA6" wp14:editId="6E905400">
            <wp:extent cx="4034637" cy="2490952"/>
            <wp:effectExtent l="38100" t="0" r="42545" b="508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B33EB2" w14:textId="5CF645BB" w:rsidR="005B20B1" w:rsidRPr="00DC016F" w:rsidRDefault="005B20B1" w:rsidP="00FD59DA">
      <w:pPr>
        <w:pStyle w:val="Caption"/>
        <w:spacing w:line="240" w:lineRule="auto"/>
        <w:rPr>
          <w:rFonts w:ascii="Arial" w:eastAsia="Times New Roman" w:hAnsi="Arial" w:cs="Arial"/>
          <w:sz w:val="22"/>
          <w:szCs w:val="22"/>
        </w:rPr>
      </w:pPr>
      <w:bookmarkStart w:id="24" w:name="_Toc70168361"/>
      <w:bookmarkStart w:id="25" w:name="_Toc85539479"/>
      <w:r w:rsidRPr="00DC016F">
        <w:rPr>
          <w:rFonts w:ascii="Arial" w:hAnsi="Arial" w:cs="Arial"/>
          <w:sz w:val="22"/>
          <w:szCs w:val="22"/>
        </w:rPr>
        <w:t xml:space="preserve">Figure </w:t>
      </w:r>
      <w:r w:rsidR="001706B5" w:rsidRPr="00DC016F">
        <w:rPr>
          <w:rFonts w:ascii="Arial" w:hAnsi="Arial" w:cs="Arial"/>
          <w:sz w:val="22"/>
          <w:szCs w:val="22"/>
        </w:rPr>
        <w:fldChar w:fldCharType="begin"/>
      </w:r>
      <w:r w:rsidR="001706B5" w:rsidRPr="00DC016F">
        <w:rPr>
          <w:rFonts w:ascii="Arial" w:hAnsi="Arial" w:cs="Arial"/>
          <w:sz w:val="22"/>
          <w:szCs w:val="22"/>
        </w:rPr>
        <w:instrText xml:space="preserve"> SEQ Figure_4. \* ARABIC </w:instrText>
      </w:r>
      <w:r w:rsidR="001706B5" w:rsidRPr="00DC016F">
        <w:rPr>
          <w:rFonts w:ascii="Arial" w:hAnsi="Arial" w:cs="Arial"/>
          <w:sz w:val="22"/>
          <w:szCs w:val="22"/>
        </w:rPr>
        <w:fldChar w:fldCharType="separate"/>
      </w:r>
      <w:r w:rsidRPr="00DC016F">
        <w:rPr>
          <w:rFonts w:ascii="Arial" w:hAnsi="Arial" w:cs="Arial"/>
          <w:noProof/>
          <w:sz w:val="22"/>
          <w:szCs w:val="22"/>
        </w:rPr>
        <w:t>5</w:t>
      </w:r>
      <w:r w:rsidR="001706B5" w:rsidRPr="00DC016F">
        <w:rPr>
          <w:rFonts w:ascii="Arial" w:hAnsi="Arial" w:cs="Arial"/>
          <w:noProof/>
          <w:sz w:val="22"/>
          <w:szCs w:val="22"/>
        </w:rPr>
        <w:fldChar w:fldCharType="end"/>
      </w:r>
      <w:r w:rsidRPr="00DC016F">
        <w:rPr>
          <w:rFonts w:ascii="Arial" w:hAnsi="Arial" w:cs="Arial"/>
          <w:sz w:val="22"/>
          <w:szCs w:val="22"/>
        </w:rPr>
        <w:t xml:space="preserve">: </w:t>
      </w:r>
      <w:r w:rsidRPr="00DC016F">
        <w:rPr>
          <w:rFonts w:ascii="Arial" w:eastAsia="Times New Roman" w:hAnsi="Arial" w:cs="Arial"/>
          <w:sz w:val="22"/>
          <w:szCs w:val="22"/>
        </w:rPr>
        <w:t>Estimated household income of study participants</w:t>
      </w:r>
      <w:bookmarkEnd w:id="24"/>
      <w:bookmarkEnd w:id="25"/>
    </w:p>
    <w:p w14:paraId="2578ECBC" w14:textId="77777777" w:rsidR="005B20B1" w:rsidRPr="00DC016F" w:rsidRDefault="005B20B1" w:rsidP="00FD59DA">
      <w:pPr>
        <w:spacing w:line="240" w:lineRule="auto"/>
        <w:jc w:val="both"/>
        <w:rPr>
          <w:rFonts w:ascii="Arial" w:hAnsi="Arial" w:cs="Arial"/>
        </w:rPr>
      </w:pPr>
    </w:p>
    <w:p w14:paraId="3FB4DF46" w14:textId="77777777" w:rsidR="005B20B1" w:rsidRPr="00DC016F" w:rsidRDefault="005B20B1" w:rsidP="00FD59DA">
      <w:pPr>
        <w:spacing w:line="240" w:lineRule="auto"/>
        <w:jc w:val="both"/>
        <w:rPr>
          <w:rFonts w:ascii="Arial" w:hAnsi="Arial" w:cs="Arial"/>
          <w:b/>
        </w:rPr>
      </w:pPr>
      <w:r w:rsidRPr="00DC016F">
        <w:rPr>
          <w:rFonts w:ascii="Arial" w:hAnsi="Arial" w:cs="Arial"/>
          <w:noProof/>
        </w:rPr>
        <w:drawing>
          <wp:inline distT="0" distB="0" distL="0" distR="0" wp14:anchorId="5E54AD71" wp14:editId="2E8476EC">
            <wp:extent cx="4175677" cy="2358390"/>
            <wp:effectExtent l="38100" t="19050" r="34925" b="381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928983" w14:textId="65B21951" w:rsidR="005B20B1" w:rsidRPr="00DC016F" w:rsidRDefault="005B20B1" w:rsidP="001C6099">
      <w:pPr>
        <w:pStyle w:val="Caption"/>
        <w:spacing w:line="240" w:lineRule="auto"/>
        <w:rPr>
          <w:rFonts w:ascii="Arial" w:eastAsia="Times New Roman" w:hAnsi="Arial" w:cs="Arial"/>
          <w:sz w:val="22"/>
          <w:szCs w:val="22"/>
        </w:rPr>
      </w:pPr>
      <w:bookmarkStart w:id="26" w:name="_Toc85539480"/>
      <w:r w:rsidRPr="00DC016F">
        <w:rPr>
          <w:rFonts w:ascii="Arial" w:hAnsi="Arial" w:cs="Arial"/>
          <w:sz w:val="22"/>
          <w:szCs w:val="22"/>
        </w:rPr>
        <w:t>Figure</w:t>
      </w:r>
      <w:r w:rsidR="001C6099" w:rsidRPr="00DC016F">
        <w:rPr>
          <w:rFonts w:ascii="Arial" w:hAnsi="Arial" w:cs="Arial"/>
          <w:sz w:val="22"/>
          <w:szCs w:val="22"/>
        </w:rPr>
        <w:t xml:space="preserve"> </w:t>
      </w:r>
      <w:r w:rsidR="001706B5" w:rsidRPr="00DC016F">
        <w:rPr>
          <w:rFonts w:ascii="Arial" w:hAnsi="Arial" w:cs="Arial"/>
          <w:sz w:val="22"/>
          <w:szCs w:val="22"/>
        </w:rPr>
        <w:fldChar w:fldCharType="begin"/>
      </w:r>
      <w:r w:rsidR="001706B5" w:rsidRPr="00DC016F">
        <w:rPr>
          <w:rFonts w:ascii="Arial" w:hAnsi="Arial" w:cs="Arial"/>
          <w:sz w:val="22"/>
          <w:szCs w:val="22"/>
        </w:rPr>
        <w:instrText xml:space="preserve"> SEQ Figure_4. \* ARABIC </w:instrText>
      </w:r>
      <w:r w:rsidR="001706B5" w:rsidRPr="00DC016F">
        <w:rPr>
          <w:rFonts w:ascii="Arial" w:hAnsi="Arial" w:cs="Arial"/>
          <w:sz w:val="22"/>
          <w:szCs w:val="22"/>
        </w:rPr>
        <w:fldChar w:fldCharType="separate"/>
      </w:r>
      <w:r w:rsidRPr="00DC016F">
        <w:rPr>
          <w:rFonts w:ascii="Arial" w:hAnsi="Arial" w:cs="Arial"/>
          <w:noProof/>
          <w:sz w:val="22"/>
          <w:szCs w:val="22"/>
        </w:rPr>
        <w:t>6</w:t>
      </w:r>
      <w:r w:rsidR="001706B5" w:rsidRPr="00DC016F">
        <w:rPr>
          <w:rFonts w:ascii="Arial" w:hAnsi="Arial" w:cs="Arial"/>
          <w:noProof/>
          <w:sz w:val="22"/>
          <w:szCs w:val="22"/>
        </w:rPr>
        <w:fldChar w:fldCharType="end"/>
      </w:r>
      <w:r w:rsidRPr="00DC016F">
        <w:rPr>
          <w:rFonts w:ascii="Arial" w:hAnsi="Arial" w:cs="Arial"/>
          <w:sz w:val="22"/>
          <w:szCs w:val="22"/>
        </w:rPr>
        <w:t xml:space="preserve">: Educational Level </w:t>
      </w:r>
      <w:r w:rsidRPr="00DC016F">
        <w:rPr>
          <w:rFonts w:ascii="Arial" w:eastAsia="Times New Roman" w:hAnsi="Arial" w:cs="Arial"/>
          <w:sz w:val="22"/>
          <w:szCs w:val="22"/>
        </w:rPr>
        <w:t>of study participants’ parents</w:t>
      </w:r>
      <w:bookmarkEnd w:id="26"/>
    </w:p>
    <w:p w14:paraId="261435B5" w14:textId="77777777" w:rsidR="000F34FE" w:rsidRPr="00DC016F" w:rsidRDefault="000F34FE" w:rsidP="00FD59DA">
      <w:pPr>
        <w:pStyle w:val="Heading2"/>
        <w:spacing w:line="240" w:lineRule="auto"/>
        <w:rPr>
          <w:rFonts w:ascii="Arial" w:hAnsi="Arial" w:cs="Arial"/>
          <w:b/>
          <w:bCs/>
          <w:color w:val="auto"/>
          <w:sz w:val="22"/>
          <w:szCs w:val="22"/>
        </w:rPr>
      </w:pPr>
      <w:bookmarkStart w:id="27" w:name="_Toc70173382"/>
      <w:bookmarkStart w:id="28" w:name="_Toc70173495"/>
      <w:bookmarkStart w:id="29" w:name="_Toc536761082"/>
    </w:p>
    <w:p w14:paraId="402292FB" w14:textId="77777777" w:rsidR="000F34FE" w:rsidRPr="00DC016F" w:rsidRDefault="000F34FE" w:rsidP="00FD59DA">
      <w:pPr>
        <w:pStyle w:val="Heading2"/>
        <w:spacing w:line="240" w:lineRule="auto"/>
        <w:rPr>
          <w:rFonts w:ascii="Arial" w:hAnsi="Arial" w:cs="Arial"/>
          <w:b/>
          <w:bCs/>
          <w:color w:val="auto"/>
          <w:sz w:val="22"/>
          <w:szCs w:val="22"/>
        </w:rPr>
      </w:pPr>
    </w:p>
    <w:p w14:paraId="32B21C9D" w14:textId="705D235D" w:rsidR="005B20B1" w:rsidRPr="0052487B" w:rsidRDefault="005B20B1" w:rsidP="000F34FE">
      <w:pPr>
        <w:pStyle w:val="Heading2"/>
        <w:spacing w:before="0" w:line="360" w:lineRule="auto"/>
        <w:rPr>
          <w:rFonts w:ascii="Arial" w:hAnsi="Arial" w:cs="Arial"/>
          <w:b/>
          <w:bCs/>
          <w:i/>
          <w:color w:val="auto"/>
          <w:sz w:val="22"/>
          <w:szCs w:val="22"/>
        </w:rPr>
      </w:pPr>
      <w:r w:rsidRPr="0052487B">
        <w:rPr>
          <w:rFonts w:ascii="Arial" w:hAnsi="Arial" w:cs="Arial"/>
          <w:b/>
          <w:bCs/>
          <w:i/>
          <w:color w:val="auto"/>
          <w:sz w:val="22"/>
          <w:szCs w:val="22"/>
        </w:rPr>
        <w:t>Energy and macronutrients intakes</w:t>
      </w:r>
      <w:bookmarkEnd w:id="27"/>
      <w:bookmarkEnd w:id="28"/>
      <w:bookmarkEnd w:id="29"/>
    </w:p>
    <w:p w14:paraId="0DF2A182" w14:textId="4174390A" w:rsidR="005B20B1" w:rsidRPr="00DC016F" w:rsidRDefault="0018494E" w:rsidP="000F34FE">
      <w:pPr>
        <w:spacing w:after="0" w:line="360" w:lineRule="auto"/>
        <w:jc w:val="both"/>
        <w:rPr>
          <w:rFonts w:ascii="Arial" w:hAnsi="Arial" w:cs="Arial"/>
        </w:rPr>
      </w:pPr>
      <w:r>
        <w:rPr>
          <w:rFonts w:ascii="Arial" w:hAnsi="Arial" w:cs="Arial"/>
        </w:rPr>
        <w:t xml:space="preserve">Table </w:t>
      </w:r>
      <w:r w:rsidR="005B20B1" w:rsidRPr="00DC016F">
        <w:rPr>
          <w:rFonts w:ascii="Arial" w:hAnsi="Arial" w:cs="Arial"/>
        </w:rPr>
        <w:t xml:space="preserve">1 shows the mean nutrient intake as percentage of RDA for the under-five children derived from the food frequency questionnaire (FFQ). The mean energy, protein, vitamin A, iron and calcium intake in the under-five children were </w:t>
      </w:r>
      <w:r w:rsidR="005B20B1" w:rsidRPr="00DC016F">
        <w:rPr>
          <w:rFonts w:ascii="Arial" w:eastAsia="Times New Roman" w:hAnsi="Arial" w:cs="Arial"/>
        </w:rPr>
        <w:t>1364.4</w:t>
      </w:r>
      <w:r w:rsidR="005B20B1" w:rsidRPr="00DC016F">
        <w:rPr>
          <w:rFonts w:ascii="Arial" w:hAnsi="Arial" w:cs="Arial"/>
        </w:rPr>
        <w:t xml:space="preserve">kcal, 39.1 g, </w:t>
      </w:r>
      <w:r w:rsidR="005B20B1" w:rsidRPr="00DC016F">
        <w:rPr>
          <w:rFonts w:ascii="Arial" w:eastAsia="Times New Roman" w:hAnsi="Arial" w:cs="Arial"/>
        </w:rPr>
        <w:t>311.1</w:t>
      </w:r>
      <w:r w:rsidR="005B20B1" w:rsidRPr="00DC016F">
        <w:rPr>
          <w:rFonts w:ascii="Arial" w:hAnsi="Arial" w:cs="Arial"/>
        </w:rPr>
        <w:t>µg, 538mg and 370.5mg respectively. These values were below the recommended dietary allowance (RDA) in the children. The children were found to consume high amount of carbohydrate foods resulting to the 113% fulfillment of the carbohydrate intake in the study population.</w:t>
      </w:r>
      <w:bookmarkStart w:id="30" w:name="_Toc85539270"/>
    </w:p>
    <w:p w14:paraId="71645CE6" w14:textId="77777777" w:rsidR="00E02B77" w:rsidRPr="00DC016F" w:rsidRDefault="00E02B77" w:rsidP="00FD59DA">
      <w:pPr>
        <w:pStyle w:val="Caption"/>
        <w:spacing w:line="240" w:lineRule="auto"/>
        <w:ind w:left="0" w:firstLine="0"/>
        <w:rPr>
          <w:rFonts w:ascii="Arial" w:hAnsi="Arial" w:cs="Arial"/>
          <w:b/>
          <w:sz w:val="22"/>
          <w:szCs w:val="22"/>
        </w:rPr>
      </w:pPr>
    </w:p>
    <w:p w14:paraId="46974B97" w14:textId="77777777" w:rsidR="00E02B77" w:rsidRDefault="00E02B77" w:rsidP="00FD59DA">
      <w:pPr>
        <w:pStyle w:val="Caption"/>
        <w:spacing w:line="240" w:lineRule="auto"/>
        <w:ind w:left="0" w:firstLine="0"/>
        <w:rPr>
          <w:rFonts w:ascii="Arial" w:hAnsi="Arial" w:cs="Arial"/>
          <w:b/>
          <w:sz w:val="22"/>
          <w:szCs w:val="22"/>
        </w:rPr>
      </w:pPr>
    </w:p>
    <w:p w14:paraId="22BD0F60" w14:textId="77777777" w:rsidR="0018494E" w:rsidRPr="0018494E" w:rsidRDefault="0018494E" w:rsidP="0018494E"/>
    <w:p w14:paraId="302AACE7" w14:textId="15E0A3EA" w:rsidR="005B20B1" w:rsidRPr="00DC016F" w:rsidRDefault="005B20B1" w:rsidP="00FD59DA">
      <w:pPr>
        <w:pStyle w:val="Caption"/>
        <w:spacing w:line="240" w:lineRule="auto"/>
        <w:ind w:left="0" w:firstLine="0"/>
        <w:rPr>
          <w:rFonts w:ascii="Arial" w:hAnsi="Arial" w:cs="Arial"/>
          <w:b/>
          <w:sz w:val="22"/>
          <w:szCs w:val="22"/>
        </w:rPr>
      </w:pPr>
      <w:r w:rsidRPr="00DC016F">
        <w:rPr>
          <w:rFonts w:ascii="Arial" w:hAnsi="Arial" w:cs="Arial"/>
          <w:b/>
          <w:sz w:val="22"/>
          <w:szCs w:val="22"/>
        </w:rPr>
        <w:lastRenderedPageBreak/>
        <w:t xml:space="preserve">Table </w:t>
      </w:r>
      <w:r w:rsidRPr="00DC016F">
        <w:rPr>
          <w:rFonts w:ascii="Arial" w:hAnsi="Arial" w:cs="Arial"/>
          <w:b/>
          <w:sz w:val="22"/>
          <w:szCs w:val="22"/>
        </w:rPr>
        <w:fldChar w:fldCharType="begin"/>
      </w:r>
      <w:r w:rsidRPr="00DC016F">
        <w:rPr>
          <w:rFonts w:ascii="Arial" w:hAnsi="Arial" w:cs="Arial"/>
          <w:b/>
          <w:sz w:val="22"/>
          <w:szCs w:val="22"/>
        </w:rPr>
        <w:instrText xml:space="preserve"> SEQ Table_4. \* ARABIC </w:instrText>
      </w:r>
      <w:r w:rsidRPr="00DC016F">
        <w:rPr>
          <w:rFonts w:ascii="Arial" w:hAnsi="Arial" w:cs="Arial"/>
          <w:b/>
          <w:sz w:val="22"/>
          <w:szCs w:val="22"/>
        </w:rPr>
        <w:fldChar w:fldCharType="separate"/>
      </w:r>
      <w:r w:rsidRPr="00DC016F">
        <w:rPr>
          <w:rFonts w:ascii="Arial" w:hAnsi="Arial" w:cs="Arial"/>
          <w:b/>
          <w:noProof/>
          <w:sz w:val="22"/>
          <w:szCs w:val="22"/>
        </w:rPr>
        <w:t>1</w:t>
      </w:r>
      <w:r w:rsidRPr="00DC016F">
        <w:rPr>
          <w:rFonts w:ascii="Arial" w:hAnsi="Arial" w:cs="Arial"/>
          <w:b/>
          <w:noProof/>
          <w:sz w:val="22"/>
          <w:szCs w:val="22"/>
        </w:rPr>
        <w:fldChar w:fldCharType="end"/>
      </w:r>
      <w:r w:rsidRPr="00DC016F">
        <w:rPr>
          <w:rFonts w:ascii="Arial" w:hAnsi="Arial" w:cs="Arial"/>
          <w:b/>
          <w:sz w:val="22"/>
          <w:szCs w:val="22"/>
        </w:rPr>
        <w:t xml:space="preserve">: Mean </w:t>
      </w:r>
      <w:r w:rsidR="0018494E">
        <w:rPr>
          <w:rFonts w:ascii="Arial" w:hAnsi="Arial" w:cs="Arial"/>
          <w:b/>
          <w:sz w:val="22"/>
          <w:szCs w:val="22"/>
        </w:rPr>
        <w:t>Nutrient Intake as Percentage o</w:t>
      </w:r>
      <w:r w:rsidR="0018494E" w:rsidRPr="00DC016F">
        <w:rPr>
          <w:rFonts w:ascii="Arial" w:hAnsi="Arial" w:cs="Arial"/>
          <w:b/>
          <w:sz w:val="22"/>
          <w:szCs w:val="22"/>
        </w:rPr>
        <w:t xml:space="preserve">f </w:t>
      </w:r>
      <w:r w:rsidRPr="00DC016F">
        <w:rPr>
          <w:rFonts w:ascii="Arial" w:hAnsi="Arial" w:cs="Arial"/>
          <w:b/>
          <w:sz w:val="22"/>
          <w:szCs w:val="22"/>
        </w:rPr>
        <w:t xml:space="preserve">RDA </w:t>
      </w:r>
      <w:r w:rsidR="0018494E">
        <w:rPr>
          <w:rFonts w:ascii="Arial" w:hAnsi="Arial" w:cs="Arial"/>
          <w:b/>
          <w:sz w:val="22"/>
          <w:szCs w:val="22"/>
        </w:rPr>
        <w:t>for t</w:t>
      </w:r>
      <w:r w:rsidR="0018494E" w:rsidRPr="00DC016F">
        <w:rPr>
          <w:rFonts w:ascii="Arial" w:hAnsi="Arial" w:cs="Arial"/>
          <w:b/>
          <w:sz w:val="22"/>
          <w:szCs w:val="22"/>
        </w:rPr>
        <w:t>he Under-Five Children</w:t>
      </w:r>
      <w:bookmarkEnd w:id="30"/>
      <w:r w:rsidR="0018494E" w:rsidRPr="00DC016F">
        <w:rPr>
          <w:rFonts w:ascii="Arial" w:hAnsi="Arial" w:cs="Arial"/>
          <w:b/>
          <w:sz w:val="22"/>
          <w:szCs w:val="22"/>
        </w:rPr>
        <w:t xml:space="preserve"> (Nutri-Survey App 2020 Version</w:t>
      </w:r>
      <w:r w:rsidRPr="00DC016F">
        <w:rPr>
          <w:rFonts w:ascii="Arial" w:hAnsi="Arial" w:cs="Arial"/>
          <w:b/>
          <w:sz w:val="22"/>
          <w:szCs w:val="22"/>
        </w:rPr>
        <w:t>)</w:t>
      </w:r>
    </w:p>
    <w:tbl>
      <w:tblPr>
        <w:tblStyle w:val="LightShading1"/>
        <w:tblW w:w="8838" w:type="dxa"/>
        <w:tblLook w:val="04A0" w:firstRow="1" w:lastRow="0" w:firstColumn="1" w:lastColumn="0" w:noHBand="0" w:noVBand="1"/>
      </w:tblPr>
      <w:tblGrid>
        <w:gridCol w:w="2606"/>
        <w:gridCol w:w="1566"/>
        <w:gridCol w:w="1377"/>
        <w:gridCol w:w="3289"/>
      </w:tblGrid>
      <w:tr w:rsidR="008071B7" w:rsidRPr="00DC016F" w14:paraId="27F7B30A" w14:textId="77777777" w:rsidTr="001706B5">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7037E7FE" w14:textId="77777777" w:rsidR="005B20B1" w:rsidRPr="00DC016F" w:rsidRDefault="005B20B1" w:rsidP="00A9422C">
            <w:pPr>
              <w:spacing w:after="0" w:line="240" w:lineRule="auto"/>
              <w:rPr>
                <w:rFonts w:ascii="Arial" w:eastAsia="Times New Roman" w:hAnsi="Arial" w:cs="Arial"/>
                <w:color w:val="auto"/>
              </w:rPr>
            </w:pPr>
            <w:r w:rsidRPr="00DC016F">
              <w:rPr>
                <w:rFonts w:ascii="Arial" w:eastAsia="Times New Roman" w:hAnsi="Arial" w:cs="Arial"/>
                <w:color w:val="auto"/>
              </w:rPr>
              <w:t>Variable</w:t>
            </w:r>
          </w:p>
        </w:tc>
        <w:tc>
          <w:tcPr>
            <w:tcW w:w="1581" w:type="dxa"/>
            <w:shd w:val="clear" w:color="auto" w:fill="auto"/>
            <w:vAlign w:val="center"/>
            <w:hideMark/>
          </w:tcPr>
          <w:p w14:paraId="2BCBDF74" w14:textId="77777777" w:rsidR="005B20B1" w:rsidRPr="00DC016F" w:rsidRDefault="005B20B1" w:rsidP="00A942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Intake</w:t>
            </w:r>
          </w:p>
        </w:tc>
        <w:tc>
          <w:tcPr>
            <w:tcW w:w="1299" w:type="dxa"/>
            <w:shd w:val="clear" w:color="auto" w:fill="auto"/>
            <w:vAlign w:val="center"/>
            <w:hideMark/>
          </w:tcPr>
          <w:p w14:paraId="4748396F" w14:textId="77777777" w:rsidR="005B20B1" w:rsidRPr="00DC016F" w:rsidRDefault="005B20B1" w:rsidP="00A942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RDA(WHO)</w:t>
            </w:r>
          </w:p>
        </w:tc>
        <w:tc>
          <w:tcPr>
            <w:tcW w:w="3330" w:type="dxa"/>
            <w:shd w:val="clear" w:color="auto" w:fill="auto"/>
            <w:vAlign w:val="center"/>
            <w:hideMark/>
          </w:tcPr>
          <w:p w14:paraId="38D03E6D" w14:textId="77777777" w:rsidR="005B20B1" w:rsidRPr="00DC016F" w:rsidRDefault="005B20B1" w:rsidP="00A942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Percentage fulfillment (%)</w:t>
            </w:r>
          </w:p>
        </w:tc>
      </w:tr>
      <w:tr w:rsidR="008071B7" w:rsidRPr="00DC016F" w14:paraId="7C44D0AF" w14:textId="77777777" w:rsidTr="001706B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649C5F7F"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Energy (kcal)</w:t>
            </w:r>
          </w:p>
        </w:tc>
        <w:tc>
          <w:tcPr>
            <w:tcW w:w="1581" w:type="dxa"/>
            <w:shd w:val="clear" w:color="auto" w:fill="auto"/>
            <w:vAlign w:val="center"/>
            <w:hideMark/>
          </w:tcPr>
          <w:p w14:paraId="5E08754F"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1364.4</w:t>
            </w:r>
          </w:p>
        </w:tc>
        <w:tc>
          <w:tcPr>
            <w:tcW w:w="1299" w:type="dxa"/>
            <w:shd w:val="clear" w:color="auto" w:fill="auto"/>
            <w:vAlign w:val="center"/>
            <w:hideMark/>
          </w:tcPr>
          <w:p w14:paraId="0589404E"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2036.3</w:t>
            </w:r>
          </w:p>
        </w:tc>
        <w:tc>
          <w:tcPr>
            <w:tcW w:w="3330" w:type="dxa"/>
            <w:shd w:val="clear" w:color="auto" w:fill="auto"/>
            <w:vAlign w:val="center"/>
            <w:hideMark/>
          </w:tcPr>
          <w:p w14:paraId="7D749353"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67</w:t>
            </w:r>
          </w:p>
        </w:tc>
      </w:tr>
      <w:tr w:rsidR="008071B7" w:rsidRPr="00DC016F" w14:paraId="455F4E69"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7706BB63"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Water (g)</w:t>
            </w:r>
          </w:p>
        </w:tc>
        <w:tc>
          <w:tcPr>
            <w:tcW w:w="1581" w:type="dxa"/>
            <w:shd w:val="clear" w:color="auto" w:fill="auto"/>
            <w:vAlign w:val="center"/>
            <w:hideMark/>
          </w:tcPr>
          <w:p w14:paraId="584FC1DF"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402.9</w:t>
            </w:r>
          </w:p>
        </w:tc>
        <w:tc>
          <w:tcPr>
            <w:tcW w:w="1299" w:type="dxa"/>
            <w:shd w:val="clear" w:color="auto" w:fill="auto"/>
            <w:vAlign w:val="center"/>
            <w:hideMark/>
          </w:tcPr>
          <w:p w14:paraId="06CD5A10"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1300</w:t>
            </w:r>
          </w:p>
        </w:tc>
        <w:tc>
          <w:tcPr>
            <w:tcW w:w="3330" w:type="dxa"/>
            <w:shd w:val="clear" w:color="auto" w:fill="auto"/>
            <w:vAlign w:val="center"/>
            <w:hideMark/>
          </w:tcPr>
          <w:p w14:paraId="0F04C752"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31</w:t>
            </w:r>
          </w:p>
        </w:tc>
      </w:tr>
      <w:tr w:rsidR="008071B7" w:rsidRPr="00DC016F" w14:paraId="10E3A454"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744FDFC4"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Protein (g)</w:t>
            </w:r>
          </w:p>
        </w:tc>
        <w:tc>
          <w:tcPr>
            <w:tcW w:w="1581" w:type="dxa"/>
            <w:shd w:val="clear" w:color="auto" w:fill="auto"/>
            <w:vAlign w:val="center"/>
            <w:hideMark/>
          </w:tcPr>
          <w:p w14:paraId="3748694D"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39.1</w:t>
            </w:r>
          </w:p>
        </w:tc>
        <w:tc>
          <w:tcPr>
            <w:tcW w:w="1299" w:type="dxa"/>
            <w:shd w:val="clear" w:color="auto" w:fill="auto"/>
            <w:vAlign w:val="center"/>
            <w:hideMark/>
          </w:tcPr>
          <w:p w14:paraId="6FFC75A1"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60.1</w:t>
            </w:r>
          </w:p>
        </w:tc>
        <w:tc>
          <w:tcPr>
            <w:tcW w:w="3330" w:type="dxa"/>
            <w:shd w:val="clear" w:color="auto" w:fill="auto"/>
            <w:vAlign w:val="center"/>
            <w:hideMark/>
          </w:tcPr>
          <w:p w14:paraId="43398658"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65</w:t>
            </w:r>
          </w:p>
        </w:tc>
      </w:tr>
      <w:tr w:rsidR="008071B7" w:rsidRPr="00DC016F" w14:paraId="30FF300B"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0823F380"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Fat (g)</w:t>
            </w:r>
          </w:p>
        </w:tc>
        <w:tc>
          <w:tcPr>
            <w:tcW w:w="1581" w:type="dxa"/>
            <w:shd w:val="clear" w:color="auto" w:fill="auto"/>
            <w:vAlign w:val="center"/>
            <w:hideMark/>
          </w:tcPr>
          <w:p w14:paraId="664125D4"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32.3</w:t>
            </w:r>
          </w:p>
        </w:tc>
        <w:tc>
          <w:tcPr>
            <w:tcW w:w="1299" w:type="dxa"/>
            <w:shd w:val="clear" w:color="auto" w:fill="auto"/>
            <w:vAlign w:val="center"/>
            <w:hideMark/>
          </w:tcPr>
          <w:p w14:paraId="6C5515EC"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69.1</w:t>
            </w:r>
          </w:p>
        </w:tc>
        <w:tc>
          <w:tcPr>
            <w:tcW w:w="3330" w:type="dxa"/>
            <w:shd w:val="clear" w:color="auto" w:fill="auto"/>
            <w:vAlign w:val="center"/>
            <w:hideMark/>
          </w:tcPr>
          <w:p w14:paraId="1736EBC2"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47</w:t>
            </w:r>
          </w:p>
        </w:tc>
      </w:tr>
      <w:tr w:rsidR="008071B7" w:rsidRPr="00DC016F" w14:paraId="05AB0921"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48E2E32C"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Carbohydrate (g) </w:t>
            </w:r>
          </w:p>
        </w:tc>
        <w:tc>
          <w:tcPr>
            <w:tcW w:w="1581" w:type="dxa"/>
            <w:shd w:val="clear" w:color="auto" w:fill="auto"/>
            <w:vAlign w:val="center"/>
            <w:hideMark/>
          </w:tcPr>
          <w:p w14:paraId="4331EC45"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327.8</w:t>
            </w:r>
          </w:p>
        </w:tc>
        <w:tc>
          <w:tcPr>
            <w:tcW w:w="1299" w:type="dxa"/>
            <w:shd w:val="clear" w:color="auto" w:fill="auto"/>
            <w:vAlign w:val="center"/>
            <w:hideMark/>
          </w:tcPr>
          <w:p w14:paraId="6D41F25F"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290.7</w:t>
            </w:r>
          </w:p>
        </w:tc>
        <w:tc>
          <w:tcPr>
            <w:tcW w:w="3330" w:type="dxa"/>
            <w:shd w:val="clear" w:color="auto" w:fill="auto"/>
            <w:vAlign w:val="center"/>
            <w:hideMark/>
          </w:tcPr>
          <w:p w14:paraId="15FC2884"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113</w:t>
            </w:r>
          </w:p>
        </w:tc>
      </w:tr>
      <w:tr w:rsidR="008071B7" w:rsidRPr="00DC016F" w14:paraId="7452C6BA"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0D89DACF"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Dietary fiber (g)</w:t>
            </w:r>
          </w:p>
        </w:tc>
        <w:tc>
          <w:tcPr>
            <w:tcW w:w="1581" w:type="dxa"/>
            <w:shd w:val="clear" w:color="auto" w:fill="auto"/>
            <w:vAlign w:val="center"/>
            <w:hideMark/>
          </w:tcPr>
          <w:p w14:paraId="7C9BE3EE"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40.6</w:t>
            </w:r>
          </w:p>
        </w:tc>
        <w:tc>
          <w:tcPr>
            <w:tcW w:w="1299" w:type="dxa"/>
            <w:shd w:val="clear" w:color="auto" w:fill="auto"/>
            <w:vAlign w:val="center"/>
            <w:hideMark/>
          </w:tcPr>
          <w:p w14:paraId="03840C2A"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c>
          <w:tcPr>
            <w:tcW w:w="3330" w:type="dxa"/>
            <w:shd w:val="clear" w:color="auto" w:fill="auto"/>
            <w:vAlign w:val="center"/>
            <w:hideMark/>
          </w:tcPr>
          <w:p w14:paraId="7BD34D8B"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r>
      <w:tr w:rsidR="008071B7" w:rsidRPr="00DC016F" w14:paraId="6325885C"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269EC9E1"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Alcohol (g)</w:t>
            </w:r>
          </w:p>
        </w:tc>
        <w:tc>
          <w:tcPr>
            <w:tcW w:w="1581" w:type="dxa"/>
            <w:shd w:val="clear" w:color="auto" w:fill="auto"/>
            <w:vAlign w:val="center"/>
            <w:hideMark/>
          </w:tcPr>
          <w:p w14:paraId="34B37D67"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299" w:type="dxa"/>
            <w:shd w:val="clear" w:color="auto" w:fill="auto"/>
            <w:vAlign w:val="center"/>
            <w:hideMark/>
          </w:tcPr>
          <w:p w14:paraId="64DEA8E4"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c>
          <w:tcPr>
            <w:tcW w:w="3330" w:type="dxa"/>
            <w:shd w:val="clear" w:color="auto" w:fill="auto"/>
            <w:vAlign w:val="center"/>
            <w:hideMark/>
          </w:tcPr>
          <w:p w14:paraId="4D020FD0"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r>
      <w:tr w:rsidR="008071B7" w:rsidRPr="00DC016F" w14:paraId="65929B4D"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31ED1D8B"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Cholesterol (mg)</w:t>
            </w:r>
          </w:p>
        </w:tc>
        <w:tc>
          <w:tcPr>
            <w:tcW w:w="1581" w:type="dxa"/>
            <w:shd w:val="clear" w:color="auto" w:fill="auto"/>
            <w:vAlign w:val="center"/>
            <w:hideMark/>
          </w:tcPr>
          <w:p w14:paraId="70933B74"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25.3</w:t>
            </w:r>
          </w:p>
        </w:tc>
        <w:tc>
          <w:tcPr>
            <w:tcW w:w="1299" w:type="dxa"/>
            <w:shd w:val="clear" w:color="auto" w:fill="auto"/>
            <w:vAlign w:val="center"/>
            <w:hideMark/>
          </w:tcPr>
          <w:p w14:paraId="5B5CC8CD"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c>
          <w:tcPr>
            <w:tcW w:w="3330" w:type="dxa"/>
            <w:shd w:val="clear" w:color="auto" w:fill="auto"/>
            <w:vAlign w:val="center"/>
            <w:hideMark/>
          </w:tcPr>
          <w:p w14:paraId="11903D76"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r>
      <w:tr w:rsidR="008071B7" w:rsidRPr="00DC016F" w14:paraId="4F41408B"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445CC518"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Vit. A (µg)</w:t>
            </w:r>
          </w:p>
        </w:tc>
        <w:tc>
          <w:tcPr>
            <w:tcW w:w="1581" w:type="dxa"/>
            <w:shd w:val="clear" w:color="auto" w:fill="auto"/>
            <w:vAlign w:val="center"/>
            <w:hideMark/>
          </w:tcPr>
          <w:p w14:paraId="360207AE"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311.1</w:t>
            </w:r>
          </w:p>
        </w:tc>
        <w:tc>
          <w:tcPr>
            <w:tcW w:w="1299" w:type="dxa"/>
            <w:shd w:val="clear" w:color="auto" w:fill="auto"/>
            <w:vAlign w:val="center"/>
            <w:hideMark/>
          </w:tcPr>
          <w:p w14:paraId="06ED6F83"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600</w:t>
            </w:r>
          </w:p>
        </w:tc>
        <w:tc>
          <w:tcPr>
            <w:tcW w:w="3330" w:type="dxa"/>
            <w:shd w:val="clear" w:color="auto" w:fill="auto"/>
            <w:vAlign w:val="center"/>
            <w:hideMark/>
          </w:tcPr>
          <w:p w14:paraId="5DDBAB23"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52</w:t>
            </w:r>
          </w:p>
        </w:tc>
      </w:tr>
      <w:tr w:rsidR="008071B7" w:rsidRPr="00DC016F" w14:paraId="61FC083D"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155604BE"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Carotene (mg)</w:t>
            </w:r>
          </w:p>
        </w:tc>
        <w:tc>
          <w:tcPr>
            <w:tcW w:w="1581" w:type="dxa"/>
            <w:shd w:val="clear" w:color="auto" w:fill="auto"/>
            <w:vAlign w:val="center"/>
            <w:hideMark/>
          </w:tcPr>
          <w:p w14:paraId="2000A43F"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c>
          <w:tcPr>
            <w:tcW w:w="1299" w:type="dxa"/>
            <w:shd w:val="clear" w:color="auto" w:fill="auto"/>
            <w:vAlign w:val="center"/>
            <w:hideMark/>
          </w:tcPr>
          <w:p w14:paraId="53A9D9B4"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c>
          <w:tcPr>
            <w:tcW w:w="3330" w:type="dxa"/>
            <w:shd w:val="clear" w:color="auto" w:fill="auto"/>
            <w:vAlign w:val="center"/>
            <w:hideMark/>
          </w:tcPr>
          <w:p w14:paraId="3611BFE8"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 </w:t>
            </w:r>
          </w:p>
        </w:tc>
      </w:tr>
      <w:tr w:rsidR="008071B7" w:rsidRPr="00DC016F" w14:paraId="248096D1"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1CD4E7A6"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Vit. E (eq.) (mg)</w:t>
            </w:r>
          </w:p>
        </w:tc>
        <w:tc>
          <w:tcPr>
            <w:tcW w:w="1581" w:type="dxa"/>
            <w:shd w:val="clear" w:color="auto" w:fill="auto"/>
            <w:vAlign w:val="center"/>
            <w:hideMark/>
          </w:tcPr>
          <w:p w14:paraId="2EC79CD4"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w:t>
            </w:r>
          </w:p>
        </w:tc>
        <w:tc>
          <w:tcPr>
            <w:tcW w:w="1299" w:type="dxa"/>
            <w:shd w:val="clear" w:color="auto" w:fill="auto"/>
            <w:vAlign w:val="center"/>
            <w:hideMark/>
          </w:tcPr>
          <w:p w14:paraId="3AD83C78"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5.5</w:t>
            </w:r>
          </w:p>
        </w:tc>
        <w:tc>
          <w:tcPr>
            <w:tcW w:w="3330" w:type="dxa"/>
            <w:shd w:val="clear" w:color="auto" w:fill="auto"/>
            <w:vAlign w:val="center"/>
            <w:hideMark/>
          </w:tcPr>
          <w:p w14:paraId="14949E10"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36</w:t>
            </w:r>
          </w:p>
        </w:tc>
      </w:tr>
      <w:tr w:rsidR="008071B7" w:rsidRPr="00DC016F" w14:paraId="0FCC9F07"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7426A2F2"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Vit. B1 (mg)</w:t>
            </w:r>
          </w:p>
        </w:tc>
        <w:tc>
          <w:tcPr>
            <w:tcW w:w="1581" w:type="dxa"/>
            <w:shd w:val="clear" w:color="auto" w:fill="auto"/>
            <w:vAlign w:val="center"/>
            <w:hideMark/>
          </w:tcPr>
          <w:p w14:paraId="094601A6"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0.2</w:t>
            </w:r>
          </w:p>
        </w:tc>
        <w:tc>
          <w:tcPr>
            <w:tcW w:w="1299" w:type="dxa"/>
            <w:shd w:val="clear" w:color="auto" w:fill="auto"/>
            <w:vAlign w:val="center"/>
            <w:hideMark/>
          </w:tcPr>
          <w:p w14:paraId="5DB9E7CA"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0.6</w:t>
            </w:r>
          </w:p>
        </w:tc>
        <w:tc>
          <w:tcPr>
            <w:tcW w:w="3330" w:type="dxa"/>
            <w:shd w:val="clear" w:color="auto" w:fill="auto"/>
            <w:vAlign w:val="center"/>
            <w:hideMark/>
          </w:tcPr>
          <w:p w14:paraId="3FFE09D9"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33</w:t>
            </w:r>
          </w:p>
        </w:tc>
      </w:tr>
      <w:tr w:rsidR="008071B7" w:rsidRPr="00DC016F" w14:paraId="2825970B"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37FD972D"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Vit. B2 (mg)</w:t>
            </w:r>
          </w:p>
        </w:tc>
        <w:tc>
          <w:tcPr>
            <w:tcW w:w="1581" w:type="dxa"/>
            <w:shd w:val="clear" w:color="auto" w:fill="auto"/>
            <w:vAlign w:val="center"/>
            <w:hideMark/>
          </w:tcPr>
          <w:p w14:paraId="169D65B4"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0.3</w:t>
            </w:r>
          </w:p>
        </w:tc>
        <w:tc>
          <w:tcPr>
            <w:tcW w:w="1299" w:type="dxa"/>
            <w:shd w:val="clear" w:color="auto" w:fill="auto"/>
            <w:vAlign w:val="center"/>
            <w:hideMark/>
          </w:tcPr>
          <w:p w14:paraId="2F536164"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0.7</w:t>
            </w:r>
          </w:p>
        </w:tc>
        <w:tc>
          <w:tcPr>
            <w:tcW w:w="3330" w:type="dxa"/>
            <w:shd w:val="clear" w:color="auto" w:fill="auto"/>
            <w:vAlign w:val="center"/>
            <w:hideMark/>
          </w:tcPr>
          <w:p w14:paraId="2CCBF93E"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43</w:t>
            </w:r>
          </w:p>
        </w:tc>
      </w:tr>
      <w:tr w:rsidR="008071B7" w:rsidRPr="00DC016F" w14:paraId="3A9F2D78"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45203A77"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Vit. B6 (mg)</w:t>
            </w:r>
          </w:p>
        </w:tc>
        <w:tc>
          <w:tcPr>
            <w:tcW w:w="1581" w:type="dxa"/>
            <w:shd w:val="clear" w:color="auto" w:fill="auto"/>
            <w:vAlign w:val="center"/>
            <w:hideMark/>
          </w:tcPr>
          <w:p w14:paraId="006FCD49"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0.1</w:t>
            </w:r>
          </w:p>
        </w:tc>
        <w:tc>
          <w:tcPr>
            <w:tcW w:w="1299" w:type="dxa"/>
            <w:shd w:val="clear" w:color="auto" w:fill="auto"/>
            <w:vAlign w:val="center"/>
            <w:hideMark/>
          </w:tcPr>
          <w:p w14:paraId="5C232C21"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0.4</w:t>
            </w:r>
          </w:p>
        </w:tc>
        <w:tc>
          <w:tcPr>
            <w:tcW w:w="3330" w:type="dxa"/>
            <w:shd w:val="clear" w:color="auto" w:fill="auto"/>
            <w:vAlign w:val="center"/>
            <w:hideMark/>
          </w:tcPr>
          <w:p w14:paraId="4C60DA2F"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25</w:t>
            </w:r>
          </w:p>
        </w:tc>
      </w:tr>
      <w:tr w:rsidR="008071B7" w:rsidRPr="00DC016F" w14:paraId="14C0AE7B"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07A019C2"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Tot. folic acid (µg)</w:t>
            </w:r>
          </w:p>
        </w:tc>
        <w:tc>
          <w:tcPr>
            <w:tcW w:w="1581" w:type="dxa"/>
            <w:shd w:val="clear" w:color="auto" w:fill="auto"/>
            <w:vAlign w:val="center"/>
            <w:hideMark/>
          </w:tcPr>
          <w:p w14:paraId="2408CDB1"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129.7</w:t>
            </w:r>
          </w:p>
        </w:tc>
        <w:tc>
          <w:tcPr>
            <w:tcW w:w="1299" w:type="dxa"/>
            <w:shd w:val="clear" w:color="auto" w:fill="auto"/>
            <w:vAlign w:val="center"/>
            <w:hideMark/>
          </w:tcPr>
          <w:p w14:paraId="00C7CB35"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200</w:t>
            </w:r>
          </w:p>
        </w:tc>
        <w:tc>
          <w:tcPr>
            <w:tcW w:w="3330" w:type="dxa"/>
            <w:shd w:val="clear" w:color="auto" w:fill="auto"/>
            <w:vAlign w:val="center"/>
            <w:hideMark/>
          </w:tcPr>
          <w:p w14:paraId="0BCB63CF"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65</w:t>
            </w:r>
          </w:p>
        </w:tc>
      </w:tr>
      <w:tr w:rsidR="008071B7" w:rsidRPr="00DC016F" w14:paraId="138D8D7E"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3EF25F17"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Vit. C (mg)</w:t>
            </w:r>
          </w:p>
        </w:tc>
        <w:tc>
          <w:tcPr>
            <w:tcW w:w="1581" w:type="dxa"/>
            <w:shd w:val="clear" w:color="auto" w:fill="auto"/>
            <w:vAlign w:val="center"/>
            <w:hideMark/>
          </w:tcPr>
          <w:p w14:paraId="7336D29A"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37.7</w:t>
            </w:r>
          </w:p>
        </w:tc>
        <w:tc>
          <w:tcPr>
            <w:tcW w:w="1299" w:type="dxa"/>
            <w:shd w:val="clear" w:color="auto" w:fill="auto"/>
            <w:vAlign w:val="center"/>
            <w:hideMark/>
          </w:tcPr>
          <w:p w14:paraId="193A4CFE"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60</w:t>
            </w:r>
          </w:p>
        </w:tc>
        <w:tc>
          <w:tcPr>
            <w:tcW w:w="3330" w:type="dxa"/>
            <w:shd w:val="clear" w:color="auto" w:fill="auto"/>
            <w:vAlign w:val="center"/>
            <w:hideMark/>
          </w:tcPr>
          <w:p w14:paraId="6CA8673D"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63</w:t>
            </w:r>
          </w:p>
        </w:tc>
      </w:tr>
      <w:tr w:rsidR="008071B7" w:rsidRPr="00DC016F" w14:paraId="762D202D"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3879D7D7"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Sodium (mg)</w:t>
            </w:r>
          </w:p>
        </w:tc>
        <w:tc>
          <w:tcPr>
            <w:tcW w:w="1581" w:type="dxa"/>
            <w:shd w:val="clear" w:color="auto" w:fill="auto"/>
            <w:vAlign w:val="center"/>
            <w:hideMark/>
          </w:tcPr>
          <w:p w14:paraId="355A2E5E"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188.9</w:t>
            </w:r>
          </w:p>
        </w:tc>
        <w:tc>
          <w:tcPr>
            <w:tcW w:w="1299" w:type="dxa"/>
            <w:shd w:val="clear" w:color="auto" w:fill="auto"/>
            <w:vAlign w:val="center"/>
            <w:hideMark/>
          </w:tcPr>
          <w:p w14:paraId="5FB1AF21"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c>
          <w:tcPr>
            <w:tcW w:w="3330" w:type="dxa"/>
            <w:shd w:val="clear" w:color="auto" w:fill="auto"/>
            <w:vAlign w:val="center"/>
            <w:hideMark/>
          </w:tcPr>
          <w:p w14:paraId="3E985CCE"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 </w:t>
            </w:r>
          </w:p>
        </w:tc>
      </w:tr>
      <w:tr w:rsidR="008071B7" w:rsidRPr="00DC016F" w14:paraId="554CE742"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3C385A48"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Potassium (mg)</w:t>
            </w:r>
          </w:p>
        </w:tc>
        <w:tc>
          <w:tcPr>
            <w:tcW w:w="1581" w:type="dxa"/>
            <w:shd w:val="clear" w:color="auto" w:fill="auto"/>
            <w:vAlign w:val="center"/>
            <w:hideMark/>
          </w:tcPr>
          <w:p w14:paraId="58EC406A"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1299.6</w:t>
            </w:r>
          </w:p>
        </w:tc>
        <w:tc>
          <w:tcPr>
            <w:tcW w:w="1299" w:type="dxa"/>
            <w:shd w:val="clear" w:color="auto" w:fill="auto"/>
            <w:vAlign w:val="center"/>
            <w:hideMark/>
          </w:tcPr>
          <w:p w14:paraId="7A700E8D"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1500</w:t>
            </w:r>
          </w:p>
        </w:tc>
        <w:tc>
          <w:tcPr>
            <w:tcW w:w="3330" w:type="dxa"/>
            <w:shd w:val="clear" w:color="auto" w:fill="auto"/>
            <w:vAlign w:val="center"/>
            <w:hideMark/>
          </w:tcPr>
          <w:p w14:paraId="37EB3494"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87</w:t>
            </w:r>
          </w:p>
        </w:tc>
      </w:tr>
      <w:tr w:rsidR="008071B7" w:rsidRPr="00DC016F" w14:paraId="6D3C1718"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0250B27C"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Calcium (mg)</w:t>
            </w:r>
          </w:p>
        </w:tc>
        <w:tc>
          <w:tcPr>
            <w:tcW w:w="1581" w:type="dxa"/>
            <w:shd w:val="clear" w:color="auto" w:fill="auto"/>
            <w:vAlign w:val="center"/>
            <w:hideMark/>
          </w:tcPr>
          <w:p w14:paraId="6CDBFAEA"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370.5</w:t>
            </w:r>
          </w:p>
        </w:tc>
        <w:tc>
          <w:tcPr>
            <w:tcW w:w="1299" w:type="dxa"/>
            <w:shd w:val="clear" w:color="auto" w:fill="auto"/>
            <w:vAlign w:val="center"/>
            <w:hideMark/>
          </w:tcPr>
          <w:p w14:paraId="4E35C1DE"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600</w:t>
            </w:r>
          </w:p>
        </w:tc>
        <w:tc>
          <w:tcPr>
            <w:tcW w:w="3330" w:type="dxa"/>
            <w:shd w:val="clear" w:color="auto" w:fill="auto"/>
            <w:vAlign w:val="center"/>
            <w:hideMark/>
          </w:tcPr>
          <w:p w14:paraId="7F5B50EA"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62</w:t>
            </w:r>
          </w:p>
        </w:tc>
      </w:tr>
      <w:tr w:rsidR="008071B7" w:rsidRPr="00DC016F" w14:paraId="447D63D5"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354ED7C0"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Magnesium (mg)</w:t>
            </w:r>
          </w:p>
        </w:tc>
        <w:tc>
          <w:tcPr>
            <w:tcW w:w="1581" w:type="dxa"/>
            <w:shd w:val="clear" w:color="auto" w:fill="auto"/>
            <w:vAlign w:val="center"/>
            <w:hideMark/>
          </w:tcPr>
          <w:p w14:paraId="2CB7A71C"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37.3</w:t>
            </w:r>
          </w:p>
        </w:tc>
        <w:tc>
          <w:tcPr>
            <w:tcW w:w="1299" w:type="dxa"/>
            <w:shd w:val="clear" w:color="auto" w:fill="auto"/>
            <w:vAlign w:val="center"/>
            <w:hideMark/>
          </w:tcPr>
          <w:p w14:paraId="1C92A628"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80</w:t>
            </w:r>
          </w:p>
        </w:tc>
        <w:tc>
          <w:tcPr>
            <w:tcW w:w="3330" w:type="dxa"/>
            <w:shd w:val="clear" w:color="auto" w:fill="auto"/>
            <w:vAlign w:val="center"/>
            <w:hideMark/>
          </w:tcPr>
          <w:p w14:paraId="40FCFCDC"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47</w:t>
            </w:r>
          </w:p>
        </w:tc>
      </w:tr>
      <w:tr w:rsidR="008071B7" w:rsidRPr="00DC016F" w14:paraId="7C2C21F3"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196BA90A"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Phosphorus (mg)</w:t>
            </w:r>
          </w:p>
        </w:tc>
        <w:tc>
          <w:tcPr>
            <w:tcW w:w="1581" w:type="dxa"/>
            <w:shd w:val="clear" w:color="auto" w:fill="auto"/>
            <w:vAlign w:val="center"/>
            <w:hideMark/>
          </w:tcPr>
          <w:p w14:paraId="5240A31F"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436.2</w:t>
            </w:r>
          </w:p>
        </w:tc>
        <w:tc>
          <w:tcPr>
            <w:tcW w:w="1299" w:type="dxa"/>
            <w:shd w:val="clear" w:color="auto" w:fill="auto"/>
            <w:vAlign w:val="center"/>
            <w:hideMark/>
          </w:tcPr>
          <w:p w14:paraId="14BEC8D6"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500</w:t>
            </w:r>
          </w:p>
        </w:tc>
        <w:tc>
          <w:tcPr>
            <w:tcW w:w="3330" w:type="dxa"/>
            <w:shd w:val="clear" w:color="auto" w:fill="auto"/>
            <w:vAlign w:val="center"/>
            <w:hideMark/>
          </w:tcPr>
          <w:p w14:paraId="762B74C8"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87</w:t>
            </w:r>
          </w:p>
        </w:tc>
      </w:tr>
      <w:tr w:rsidR="008071B7" w:rsidRPr="00DC016F" w14:paraId="760329E2"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441F6CE0"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Iron (mg)</w:t>
            </w:r>
          </w:p>
        </w:tc>
        <w:tc>
          <w:tcPr>
            <w:tcW w:w="1581" w:type="dxa"/>
            <w:shd w:val="clear" w:color="auto" w:fill="auto"/>
            <w:vAlign w:val="center"/>
            <w:hideMark/>
          </w:tcPr>
          <w:p w14:paraId="04A0A21F"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5.8</w:t>
            </w:r>
          </w:p>
        </w:tc>
        <w:tc>
          <w:tcPr>
            <w:tcW w:w="1299" w:type="dxa"/>
            <w:shd w:val="clear" w:color="auto" w:fill="auto"/>
            <w:vAlign w:val="center"/>
            <w:hideMark/>
          </w:tcPr>
          <w:p w14:paraId="21784373"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8</w:t>
            </w:r>
          </w:p>
        </w:tc>
        <w:tc>
          <w:tcPr>
            <w:tcW w:w="3330" w:type="dxa"/>
            <w:shd w:val="clear" w:color="auto" w:fill="auto"/>
            <w:vAlign w:val="center"/>
            <w:hideMark/>
          </w:tcPr>
          <w:p w14:paraId="1DC0517F"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73</w:t>
            </w:r>
          </w:p>
        </w:tc>
      </w:tr>
      <w:tr w:rsidR="008071B7" w:rsidRPr="00DC016F" w14:paraId="282F05DB"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726ABE81"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Zinc (mg)</w:t>
            </w:r>
          </w:p>
        </w:tc>
        <w:tc>
          <w:tcPr>
            <w:tcW w:w="1581" w:type="dxa"/>
            <w:shd w:val="clear" w:color="auto" w:fill="auto"/>
            <w:vAlign w:val="center"/>
            <w:hideMark/>
          </w:tcPr>
          <w:p w14:paraId="041B615D"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1.5</w:t>
            </w:r>
          </w:p>
        </w:tc>
        <w:tc>
          <w:tcPr>
            <w:tcW w:w="1299" w:type="dxa"/>
            <w:shd w:val="clear" w:color="auto" w:fill="auto"/>
            <w:vAlign w:val="center"/>
            <w:hideMark/>
          </w:tcPr>
          <w:p w14:paraId="2972E210"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w:t>
            </w:r>
          </w:p>
        </w:tc>
        <w:tc>
          <w:tcPr>
            <w:tcW w:w="3330" w:type="dxa"/>
            <w:shd w:val="clear" w:color="auto" w:fill="auto"/>
            <w:vAlign w:val="center"/>
            <w:hideMark/>
          </w:tcPr>
          <w:p w14:paraId="375738E9"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50</w:t>
            </w:r>
          </w:p>
        </w:tc>
      </w:tr>
    </w:tbl>
    <w:p w14:paraId="016FCB4F" w14:textId="77777777" w:rsidR="00A9422C" w:rsidRPr="00DC016F" w:rsidRDefault="00A9422C" w:rsidP="00FD59DA">
      <w:pPr>
        <w:pStyle w:val="Heading2"/>
        <w:spacing w:line="240" w:lineRule="auto"/>
        <w:rPr>
          <w:rStyle w:val="fontstyle01"/>
          <w:rFonts w:ascii="Arial" w:hAnsi="Arial" w:cs="Arial"/>
          <w:color w:val="auto"/>
          <w:sz w:val="22"/>
          <w:szCs w:val="22"/>
        </w:rPr>
      </w:pPr>
      <w:bookmarkStart w:id="31" w:name="_Toc536761083"/>
    </w:p>
    <w:p w14:paraId="65FD17E1" w14:textId="77777777" w:rsidR="0018494E" w:rsidRDefault="0018494E" w:rsidP="00FD59DA">
      <w:pPr>
        <w:pStyle w:val="Heading2"/>
        <w:spacing w:line="240" w:lineRule="auto"/>
        <w:rPr>
          <w:rStyle w:val="fontstyle01"/>
          <w:rFonts w:ascii="Arial" w:hAnsi="Arial" w:cs="Arial"/>
          <w:b/>
          <w:bCs/>
          <w:color w:val="auto"/>
          <w:sz w:val="22"/>
          <w:szCs w:val="22"/>
        </w:rPr>
      </w:pPr>
    </w:p>
    <w:p w14:paraId="398A04B4" w14:textId="77777777" w:rsidR="0018494E" w:rsidRDefault="0018494E" w:rsidP="00FD59DA">
      <w:pPr>
        <w:pStyle w:val="Heading2"/>
        <w:spacing w:line="240" w:lineRule="auto"/>
        <w:rPr>
          <w:rStyle w:val="fontstyle01"/>
          <w:rFonts w:ascii="Arial" w:hAnsi="Arial" w:cs="Arial"/>
          <w:b/>
          <w:bCs/>
          <w:color w:val="auto"/>
          <w:sz w:val="22"/>
          <w:szCs w:val="22"/>
        </w:rPr>
      </w:pPr>
    </w:p>
    <w:p w14:paraId="2F0079C7" w14:textId="7D996976" w:rsidR="005B20B1" w:rsidRPr="00DC016F" w:rsidRDefault="005B20B1" w:rsidP="00FD59DA">
      <w:pPr>
        <w:pStyle w:val="Heading2"/>
        <w:spacing w:line="240" w:lineRule="auto"/>
        <w:rPr>
          <w:rFonts w:ascii="Arial" w:hAnsi="Arial" w:cs="Arial"/>
          <w:b/>
          <w:bCs/>
          <w:color w:val="auto"/>
          <w:sz w:val="22"/>
          <w:szCs w:val="22"/>
        </w:rPr>
      </w:pPr>
      <w:r w:rsidRPr="00DC016F">
        <w:rPr>
          <w:rStyle w:val="fontstyle01"/>
          <w:rFonts w:ascii="Arial" w:hAnsi="Arial" w:cs="Arial"/>
          <w:b/>
          <w:bCs/>
          <w:color w:val="auto"/>
          <w:sz w:val="22"/>
          <w:szCs w:val="22"/>
        </w:rPr>
        <w:t xml:space="preserve">Anthropometric profile of </w:t>
      </w:r>
      <w:r w:rsidRPr="00DC016F">
        <w:rPr>
          <w:rFonts w:ascii="Arial" w:hAnsi="Arial" w:cs="Arial"/>
          <w:b/>
          <w:bCs/>
          <w:color w:val="auto"/>
          <w:sz w:val="22"/>
          <w:szCs w:val="22"/>
        </w:rPr>
        <w:t>the study respondents</w:t>
      </w:r>
      <w:bookmarkEnd w:id="31"/>
    </w:p>
    <w:p w14:paraId="404C8B41" w14:textId="2AEFC44A" w:rsidR="005B20B1" w:rsidRPr="00DC016F" w:rsidRDefault="005B20B1" w:rsidP="00FD59DA">
      <w:pPr>
        <w:spacing w:line="240" w:lineRule="auto"/>
        <w:jc w:val="both"/>
        <w:rPr>
          <w:rFonts w:ascii="Arial" w:eastAsia="Times New Roman" w:hAnsi="Arial" w:cs="Arial"/>
        </w:rPr>
      </w:pPr>
      <w:r w:rsidRPr="00DC016F">
        <w:rPr>
          <w:rStyle w:val="fontstyle01"/>
          <w:rFonts w:ascii="Arial" w:hAnsi="Arial" w:cs="Arial"/>
          <w:color w:val="auto"/>
          <w:sz w:val="22"/>
          <w:szCs w:val="22"/>
        </w:rPr>
        <w:t xml:space="preserve">The result of the anthropometric profile of </w:t>
      </w:r>
      <w:r w:rsidRPr="00DC016F">
        <w:rPr>
          <w:rFonts w:ascii="Arial" w:hAnsi="Arial" w:cs="Arial"/>
        </w:rPr>
        <w:t xml:space="preserve">the study respondents showed a mean weight of </w:t>
      </w:r>
      <w:r w:rsidRPr="00DC016F">
        <w:rPr>
          <w:rFonts w:ascii="Arial" w:eastAsia="Times New Roman" w:hAnsi="Arial" w:cs="Arial"/>
        </w:rPr>
        <w:t>13.98±2.49</w:t>
      </w:r>
      <w:r w:rsidRPr="00DC016F">
        <w:rPr>
          <w:rFonts w:ascii="Arial" w:hAnsi="Arial" w:cs="Arial"/>
        </w:rPr>
        <w:t>kg. The mean heights (</w:t>
      </w:r>
      <w:r w:rsidRPr="00DC016F">
        <w:rPr>
          <w:rFonts w:ascii="Arial" w:eastAsia="Times New Roman" w:hAnsi="Arial" w:cs="Arial"/>
        </w:rPr>
        <w:t xml:space="preserve">0.87±0.10 m) </w:t>
      </w:r>
      <w:r w:rsidRPr="00DC016F">
        <w:rPr>
          <w:rFonts w:ascii="Arial" w:hAnsi="Arial" w:cs="Arial"/>
        </w:rPr>
        <w:t xml:space="preserve">of the respondents in the current study ranged between </w:t>
      </w:r>
      <w:r w:rsidRPr="00DC016F">
        <w:rPr>
          <w:rFonts w:ascii="Arial" w:eastAsia="Times New Roman" w:hAnsi="Arial" w:cs="Arial"/>
        </w:rPr>
        <w:t>0.65</w:t>
      </w:r>
      <w:r w:rsidRPr="00DC016F">
        <w:rPr>
          <w:rFonts w:ascii="Arial" w:hAnsi="Arial" w:cs="Arial"/>
        </w:rPr>
        <w:t xml:space="preserve"> and </w:t>
      </w:r>
      <w:r w:rsidRPr="00DC016F">
        <w:rPr>
          <w:rFonts w:ascii="Arial" w:eastAsia="Times New Roman" w:hAnsi="Arial" w:cs="Arial"/>
        </w:rPr>
        <w:t>1.02</w:t>
      </w:r>
      <w:r w:rsidRPr="00DC016F">
        <w:rPr>
          <w:rFonts w:ascii="Arial" w:hAnsi="Arial" w:cs="Arial"/>
        </w:rPr>
        <w:t xml:space="preserve">m. The study respondents had a mean BMI of </w:t>
      </w:r>
      <w:r w:rsidRPr="00DC016F">
        <w:rPr>
          <w:rFonts w:ascii="Arial" w:eastAsia="Times New Roman" w:hAnsi="Arial" w:cs="Arial"/>
        </w:rPr>
        <w:t>19.02±4.37</w:t>
      </w:r>
      <w:r w:rsidRPr="00DC016F">
        <w:rPr>
          <w:rFonts w:ascii="Arial" w:hAnsi="Arial" w:cs="Arial"/>
        </w:rPr>
        <w:t xml:space="preserve"> kg/m</w:t>
      </w:r>
      <w:r w:rsidRPr="00DC016F">
        <w:rPr>
          <w:rFonts w:ascii="Arial" w:hAnsi="Arial" w:cs="Arial"/>
          <w:vertAlign w:val="superscript"/>
        </w:rPr>
        <w:t>2</w:t>
      </w:r>
      <w:r w:rsidRPr="00DC016F">
        <w:rPr>
          <w:rFonts w:ascii="Arial" w:hAnsi="Arial" w:cs="Arial"/>
        </w:rPr>
        <w:t xml:space="preserve"> that ranged between </w:t>
      </w:r>
      <w:r w:rsidRPr="00DC016F">
        <w:rPr>
          <w:rFonts w:ascii="Arial" w:eastAsia="Times New Roman" w:hAnsi="Arial" w:cs="Arial"/>
        </w:rPr>
        <w:t>11.73 and 33.88</w:t>
      </w:r>
      <w:r w:rsidRPr="00DC016F">
        <w:rPr>
          <w:rFonts w:ascii="Arial" w:hAnsi="Arial" w:cs="Arial"/>
        </w:rPr>
        <w:t>kg/m</w:t>
      </w:r>
      <w:r w:rsidRPr="00DC016F">
        <w:rPr>
          <w:rFonts w:ascii="Arial" w:hAnsi="Arial" w:cs="Arial"/>
          <w:vertAlign w:val="superscript"/>
        </w:rPr>
        <w:t>2</w:t>
      </w:r>
      <w:r w:rsidRPr="00DC016F">
        <w:rPr>
          <w:rFonts w:ascii="Arial" w:hAnsi="Arial" w:cs="Arial"/>
        </w:rPr>
        <w:t xml:space="preserve">. The result further showed a mid-upper-arm circumference (MUAC) of </w:t>
      </w:r>
      <w:r w:rsidR="0018494E">
        <w:rPr>
          <w:rFonts w:ascii="Arial" w:eastAsia="Times New Roman" w:hAnsi="Arial" w:cs="Arial"/>
        </w:rPr>
        <w:t xml:space="preserve">11.44±2.54 cm (Figure </w:t>
      </w:r>
      <w:r w:rsidRPr="00DC016F">
        <w:rPr>
          <w:rFonts w:ascii="Arial" w:eastAsia="Times New Roman" w:hAnsi="Arial" w:cs="Arial"/>
        </w:rPr>
        <w:t>7).</w:t>
      </w:r>
    </w:p>
    <w:p w14:paraId="65005A41" w14:textId="59934D7F" w:rsidR="00E02B77" w:rsidRPr="00DC016F" w:rsidRDefault="00E02B77" w:rsidP="00FD59DA">
      <w:pPr>
        <w:spacing w:line="240" w:lineRule="auto"/>
        <w:jc w:val="both"/>
        <w:rPr>
          <w:rFonts w:ascii="Arial" w:eastAsia="Times New Roman" w:hAnsi="Arial" w:cs="Arial"/>
        </w:rPr>
      </w:pPr>
    </w:p>
    <w:p w14:paraId="0310F1D5" w14:textId="328E7755" w:rsidR="00E02B77" w:rsidRPr="00DC016F" w:rsidRDefault="00E02B77" w:rsidP="00FD59DA">
      <w:pPr>
        <w:spacing w:line="240" w:lineRule="auto"/>
        <w:jc w:val="both"/>
        <w:rPr>
          <w:rFonts w:ascii="Arial" w:eastAsia="Times New Roman" w:hAnsi="Arial" w:cs="Arial"/>
        </w:rPr>
      </w:pPr>
    </w:p>
    <w:p w14:paraId="1E84BAA4" w14:textId="357495BE" w:rsidR="00E02B77" w:rsidRPr="00DC016F" w:rsidRDefault="00E02B77" w:rsidP="00FD59DA">
      <w:pPr>
        <w:spacing w:line="240" w:lineRule="auto"/>
        <w:jc w:val="both"/>
        <w:rPr>
          <w:rFonts w:ascii="Arial" w:eastAsia="Times New Roman" w:hAnsi="Arial" w:cs="Arial"/>
        </w:rPr>
      </w:pPr>
    </w:p>
    <w:p w14:paraId="54A17044" w14:textId="5CB11D2F" w:rsidR="00E02B77" w:rsidRPr="00DC016F" w:rsidRDefault="00E02B77" w:rsidP="00FD59DA">
      <w:pPr>
        <w:spacing w:line="240" w:lineRule="auto"/>
        <w:jc w:val="both"/>
        <w:rPr>
          <w:rFonts w:ascii="Arial" w:eastAsia="Times New Roman" w:hAnsi="Arial" w:cs="Arial"/>
        </w:rPr>
      </w:pPr>
    </w:p>
    <w:p w14:paraId="11B96F6A" w14:textId="5E7F7539" w:rsidR="00E02B77" w:rsidRPr="00DC016F" w:rsidRDefault="00E02B77" w:rsidP="00FD59DA">
      <w:pPr>
        <w:spacing w:line="240" w:lineRule="auto"/>
        <w:jc w:val="both"/>
        <w:rPr>
          <w:rFonts w:ascii="Arial" w:eastAsia="Times New Roman" w:hAnsi="Arial" w:cs="Arial"/>
        </w:rPr>
      </w:pPr>
    </w:p>
    <w:p w14:paraId="5AC1041E" w14:textId="534AEA10" w:rsidR="00E02B77" w:rsidRPr="00DC016F" w:rsidRDefault="00E02B77" w:rsidP="00FD59DA">
      <w:pPr>
        <w:spacing w:line="240" w:lineRule="auto"/>
        <w:jc w:val="both"/>
        <w:rPr>
          <w:rFonts w:ascii="Arial" w:eastAsia="Times New Roman" w:hAnsi="Arial" w:cs="Arial"/>
        </w:rPr>
      </w:pPr>
    </w:p>
    <w:p w14:paraId="7C02488B" w14:textId="259A8E56" w:rsidR="00E02B77" w:rsidRPr="00DC016F" w:rsidRDefault="00E02B77" w:rsidP="00FD59DA">
      <w:pPr>
        <w:spacing w:line="240" w:lineRule="auto"/>
        <w:jc w:val="both"/>
        <w:rPr>
          <w:rFonts w:ascii="Arial" w:eastAsia="Times New Roman" w:hAnsi="Arial" w:cs="Arial"/>
        </w:rPr>
      </w:pPr>
    </w:p>
    <w:p w14:paraId="355332A3" w14:textId="5BF19B36" w:rsidR="00E02B77" w:rsidRPr="00DC016F" w:rsidRDefault="00E02B77" w:rsidP="00FD59DA">
      <w:pPr>
        <w:spacing w:line="240" w:lineRule="auto"/>
        <w:jc w:val="both"/>
        <w:rPr>
          <w:rFonts w:ascii="Arial" w:eastAsia="Times New Roman" w:hAnsi="Arial" w:cs="Arial"/>
        </w:rPr>
      </w:pPr>
    </w:p>
    <w:p w14:paraId="5EDC4F11" w14:textId="6265FD6C" w:rsidR="00E02B77" w:rsidRPr="00DC016F" w:rsidRDefault="00E02B77" w:rsidP="00FD59DA">
      <w:pPr>
        <w:spacing w:line="240" w:lineRule="auto"/>
        <w:jc w:val="both"/>
        <w:rPr>
          <w:rFonts w:ascii="Arial" w:eastAsia="Times New Roman" w:hAnsi="Arial" w:cs="Arial"/>
        </w:rPr>
      </w:pPr>
    </w:p>
    <w:p w14:paraId="1989760F" w14:textId="6BE69A7C" w:rsidR="005B20B1" w:rsidRPr="00DC016F" w:rsidRDefault="005B20B1" w:rsidP="00276303">
      <w:pPr>
        <w:pStyle w:val="Caption"/>
        <w:spacing w:line="240" w:lineRule="auto"/>
        <w:rPr>
          <w:rFonts w:ascii="Arial" w:hAnsi="Arial" w:cs="Arial"/>
          <w:b/>
          <w:sz w:val="22"/>
          <w:szCs w:val="22"/>
        </w:rPr>
      </w:pPr>
      <w:bookmarkStart w:id="32" w:name="_Toc85539481"/>
      <w:r w:rsidRPr="00DC016F">
        <w:rPr>
          <w:rFonts w:ascii="Arial" w:hAnsi="Arial" w:cs="Arial"/>
          <w:b/>
          <w:sz w:val="22"/>
          <w:szCs w:val="22"/>
        </w:rPr>
        <w:lastRenderedPageBreak/>
        <w:t xml:space="preserve">Figure </w:t>
      </w:r>
      <w:r w:rsidRPr="00DC016F">
        <w:rPr>
          <w:rFonts w:ascii="Arial" w:hAnsi="Arial" w:cs="Arial"/>
          <w:b/>
          <w:sz w:val="22"/>
          <w:szCs w:val="22"/>
        </w:rPr>
        <w:fldChar w:fldCharType="begin"/>
      </w:r>
      <w:r w:rsidRPr="00DC016F">
        <w:rPr>
          <w:rFonts w:ascii="Arial" w:hAnsi="Arial" w:cs="Arial"/>
          <w:b/>
          <w:sz w:val="22"/>
          <w:szCs w:val="22"/>
        </w:rPr>
        <w:instrText xml:space="preserve"> SEQ Figure_4. \* ARABIC </w:instrText>
      </w:r>
      <w:r w:rsidRPr="00DC016F">
        <w:rPr>
          <w:rFonts w:ascii="Arial" w:hAnsi="Arial" w:cs="Arial"/>
          <w:b/>
          <w:sz w:val="22"/>
          <w:szCs w:val="22"/>
        </w:rPr>
        <w:fldChar w:fldCharType="separate"/>
      </w:r>
      <w:r w:rsidRPr="00DC016F">
        <w:rPr>
          <w:rFonts w:ascii="Arial" w:hAnsi="Arial" w:cs="Arial"/>
          <w:b/>
          <w:noProof/>
          <w:sz w:val="22"/>
          <w:szCs w:val="22"/>
        </w:rPr>
        <w:t>7</w:t>
      </w:r>
      <w:r w:rsidRPr="00DC016F">
        <w:rPr>
          <w:rFonts w:ascii="Arial" w:hAnsi="Arial" w:cs="Arial"/>
          <w:b/>
          <w:noProof/>
          <w:sz w:val="22"/>
          <w:szCs w:val="22"/>
        </w:rPr>
        <w:fldChar w:fldCharType="end"/>
      </w:r>
      <w:r w:rsidRPr="00DC016F">
        <w:rPr>
          <w:rFonts w:ascii="Arial" w:hAnsi="Arial" w:cs="Arial"/>
          <w:b/>
          <w:sz w:val="22"/>
          <w:szCs w:val="22"/>
        </w:rPr>
        <w:t>: Anthropometric Status of the study respondents across the various locations</w:t>
      </w:r>
      <w:bookmarkEnd w:id="32"/>
    </w:p>
    <w:p w14:paraId="4982E1B5" w14:textId="77777777" w:rsidR="005B20B1" w:rsidRPr="00DC016F" w:rsidRDefault="005B20B1" w:rsidP="00FD59DA">
      <w:pPr>
        <w:spacing w:line="240" w:lineRule="auto"/>
        <w:jc w:val="both"/>
        <w:rPr>
          <w:rFonts w:ascii="Arial" w:eastAsia="Times New Roman" w:hAnsi="Arial" w:cs="Arial"/>
        </w:rPr>
      </w:pPr>
      <w:r w:rsidRPr="00DC016F">
        <w:rPr>
          <w:rFonts w:ascii="Arial" w:hAnsi="Arial" w:cs="Arial"/>
          <w:noProof/>
        </w:rPr>
        <w:drawing>
          <wp:inline distT="0" distB="0" distL="0" distR="0" wp14:anchorId="0CBF41A2" wp14:editId="20C66EEB">
            <wp:extent cx="6183133" cy="2282024"/>
            <wp:effectExtent l="0" t="0" r="825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19C8CD" w14:textId="77777777" w:rsidR="005B20B1" w:rsidRPr="00DC016F" w:rsidRDefault="005B20B1" w:rsidP="00FD59DA">
      <w:pPr>
        <w:spacing w:line="240" w:lineRule="auto"/>
        <w:ind w:left="540" w:hanging="540"/>
        <w:jc w:val="both"/>
        <w:rPr>
          <w:rFonts w:ascii="Arial" w:hAnsi="Arial" w:cs="Arial"/>
          <w:b/>
        </w:rPr>
      </w:pPr>
      <w:r w:rsidRPr="00DC016F">
        <w:rPr>
          <w:rFonts w:ascii="Arial" w:hAnsi="Arial" w:cs="Arial"/>
          <w:b/>
        </w:rPr>
        <w:t>Keys:</w:t>
      </w:r>
      <w:r w:rsidRPr="00DC016F">
        <w:rPr>
          <w:rFonts w:ascii="Arial" w:hAnsi="Arial" w:cs="Arial"/>
        </w:rPr>
        <w:t xml:space="preserve"> Columns represent mean ± SD of 10 observations from each sampling locations. BE – </w:t>
      </w:r>
      <w:proofErr w:type="spellStart"/>
      <w:r w:rsidRPr="00DC016F">
        <w:rPr>
          <w:rFonts w:ascii="Arial" w:hAnsi="Arial" w:cs="Arial"/>
        </w:rPr>
        <w:t>Bajoga</w:t>
      </w:r>
      <w:proofErr w:type="spellEnd"/>
      <w:r w:rsidRPr="00DC016F">
        <w:rPr>
          <w:rFonts w:ascii="Arial" w:hAnsi="Arial" w:cs="Arial"/>
        </w:rPr>
        <w:t xml:space="preserve"> East; BW – </w:t>
      </w:r>
      <w:proofErr w:type="spellStart"/>
      <w:r w:rsidRPr="00DC016F">
        <w:rPr>
          <w:rFonts w:ascii="Arial" w:hAnsi="Arial" w:cs="Arial"/>
        </w:rPr>
        <w:t>Bajoga</w:t>
      </w:r>
      <w:proofErr w:type="spellEnd"/>
      <w:r w:rsidRPr="00DC016F">
        <w:rPr>
          <w:rFonts w:ascii="Arial" w:hAnsi="Arial" w:cs="Arial"/>
        </w:rPr>
        <w:t xml:space="preserve"> West; WA – </w:t>
      </w:r>
      <w:proofErr w:type="spellStart"/>
      <w:r w:rsidRPr="00DC016F">
        <w:rPr>
          <w:rFonts w:ascii="Arial" w:hAnsi="Arial" w:cs="Arial"/>
        </w:rPr>
        <w:t>Jillahi</w:t>
      </w:r>
      <w:proofErr w:type="spellEnd"/>
      <w:r w:rsidRPr="00DC016F">
        <w:rPr>
          <w:rFonts w:ascii="Arial" w:hAnsi="Arial" w:cs="Arial"/>
        </w:rPr>
        <w:t xml:space="preserve">; KT – </w:t>
      </w:r>
      <w:proofErr w:type="spellStart"/>
      <w:r w:rsidRPr="00DC016F">
        <w:rPr>
          <w:rFonts w:ascii="Arial" w:hAnsi="Arial" w:cs="Arial"/>
        </w:rPr>
        <w:t>Kupto</w:t>
      </w:r>
      <w:proofErr w:type="spellEnd"/>
      <w:r w:rsidRPr="00DC016F">
        <w:rPr>
          <w:rFonts w:ascii="Arial" w:hAnsi="Arial" w:cs="Arial"/>
        </w:rPr>
        <w:t>; TW – Tongo Ward; WW – Wawa/</w:t>
      </w:r>
      <w:proofErr w:type="spellStart"/>
      <w:r w:rsidRPr="00DC016F">
        <w:rPr>
          <w:rFonts w:ascii="Arial" w:hAnsi="Arial" w:cs="Arial"/>
        </w:rPr>
        <w:t>Wakkaltu</w:t>
      </w:r>
      <w:proofErr w:type="spellEnd"/>
      <w:r w:rsidRPr="00DC016F">
        <w:rPr>
          <w:rFonts w:ascii="Arial" w:hAnsi="Arial" w:cs="Arial"/>
        </w:rPr>
        <w:t xml:space="preserve">; AM – </w:t>
      </w:r>
      <w:proofErr w:type="spellStart"/>
      <w:r w:rsidRPr="00DC016F">
        <w:rPr>
          <w:rFonts w:ascii="Arial" w:hAnsi="Arial" w:cs="Arial"/>
        </w:rPr>
        <w:t>Ashaka</w:t>
      </w:r>
      <w:proofErr w:type="spellEnd"/>
      <w:r w:rsidRPr="00DC016F">
        <w:rPr>
          <w:rFonts w:ascii="Arial" w:hAnsi="Arial" w:cs="Arial"/>
        </w:rPr>
        <w:t>/</w:t>
      </w:r>
      <w:proofErr w:type="spellStart"/>
      <w:r w:rsidRPr="00DC016F">
        <w:rPr>
          <w:rFonts w:ascii="Arial" w:hAnsi="Arial" w:cs="Arial"/>
        </w:rPr>
        <w:t>Magaba</w:t>
      </w:r>
      <w:proofErr w:type="spellEnd"/>
      <w:r w:rsidRPr="00DC016F">
        <w:rPr>
          <w:rFonts w:ascii="Arial" w:hAnsi="Arial" w:cs="Arial"/>
        </w:rPr>
        <w:t xml:space="preserve">; TB – Tilde/Bodor; BG – Bage; RB – Ribadu.  </w:t>
      </w:r>
    </w:p>
    <w:p w14:paraId="524DAC17" w14:textId="77777777" w:rsidR="00A9422C" w:rsidRPr="00DC016F" w:rsidRDefault="00A9422C" w:rsidP="00FD59DA">
      <w:pPr>
        <w:pStyle w:val="Heading2"/>
        <w:spacing w:line="240" w:lineRule="auto"/>
        <w:rPr>
          <w:rFonts w:ascii="Arial" w:hAnsi="Arial" w:cs="Arial"/>
          <w:color w:val="auto"/>
          <w:sz w:val="22"/>
          <w:szCs w:val="22"/>
        </w:rPr>
      </w:pPr>
      <w:bookmarkStart w:id="33" w:name="_Toc536761084"/>
    </w:p>
    <w:p w14:paraId="2B11A5A6" w14:textId="08CFDBAE" w:rsidR="005B20B1" w:rsidRPr="00DC016F" w:rsidRDefault="005B20B1" w:rsidP="000F34FE">
      <w:pPr>
        <w:pStyle w:val="Heading2"/>
        <w:spacing w:before="0" w:line="360" w:lineRule="auto"/>
        <w:rPr>
          <w:rFonts w:ascii="Arial" w:hAnsi="Arial" w:cs="Arial"/>
          <w:b/>
          <w:bCs/>
          <w:color w:val="auto"/>
          <w:sz w:val="22"/>
          <w:szCs w:val="22"/>
        </w:rPr>
      </w:pPr>
      <w:r w:rsidRPr="00DC016F">
        <w:rPr>
          <w:rFonts w:ascii="Arial" w:hAnsi="Arial" w:cs="Arial"/>
          <w:b/>
          <w:bCs/>
          <w:color w:val="auto"/>
          <w:sz w:val="22"/>
          <w:szCs w:val="22"/>
        </w:rPr>
        <w:t>Nutritional status of Study Respondents</w:t>
      </w:r>
      <w:bookmarkEnd w:id="33"/>
    </w:p>
    <w:p w14:paraId="5F0CADD7" w14:textId="1CB992AE" w:rsidR="005B20B1" w:rsidRPr="00DC016F" w:rsidRDefault="0018494E" w:rsidP="000F34FE">
      <w:pPr>
        <w:spacing w:after="0" w:line="360" w:lineRule="auto"/>
        <w:jc w:val="both"/>
        <w:rPr>
          <w:rFonts w:ascii="Arial" w:hAnsi="Arial" w:cs="Arial"/>
        </w:rPr>
      </w:pPr>
      <w:r>
        <w:rPr>
          <w:rFonts w:ascii="Arial" w:hAnsi="Arial" w:cs="Arial"/>
        </w:rPr>
        <w:t xml:space="preserve">Table </w:t>
      </w:r>
      <w:r w:rsidR="005B20B1" w:rsidRPr="00DC016F">
        <w:rPr>
          <w:rFonts w:ascii="Arial" w:hAnsi="Arial" w:cs="Arial"/>
        </w:rPr>
        <w:t>2 shows the nutritional status of the study respondents according to their ages</w:t>
      </w:r>
      <w:r w:rsidR="00E02B77" w:rsidRPr="00DC016F">
        <w:rPr>
          <w:rFonts w:ascii="Arial" w:hAnsi="Arial" w:cs="Arial"/>
        </w:rPr>
        <w:t>,</w:t>
      </w:r>
      <w:r w:rsidR="005B20B1" w:rsidRPr="00DC016F">
        <w:rPr>
          <w:rFonts w:ascii="Arial" w:hAnsi="Arial" w:cs="Arial"/>
        </w:rPr>
        <w:t xml:space="preserve"> </w:t>
      </w:r>
      <w:r w:rsidR="00E02B77" w:rsidRPr="00DC016F">
        <w:rPr>
          <w:rFonts w:ascii="Arial" w:hAnsi="Arial" w:cs="Arial"/>
        </w:rPr>
        <w:t>o</w:t>
      </w:r>
      <w:r w:rsidR="005B20B1" w:rsidRPr="00DC016F">
        <w:rPr>
          <w:rFonts w:ascii="Arial" w:hAnsi="Arial" w:cs="Arial"/>
        </w:rPr>
        <w:t>f the 100 under –</w:t>
      </w:r>
      <w:r w:rsidR="00E02B77" w:rsidRPr="00DC016F">
        <w:rPr>
          <w:rFonts w:ascii="Arial" w:hAnsi="Arial" w:cs="Arial"/>
        </w:rPr>
        <w:t xml:space="preserve"> </w:t>
      </w:r>
      <w:r w:rsidR="005B20B1" w:rsidRPr="00DC016F">
        <w:rPr>
          <w:rFonts w:ascii="Arial" w:hAnsi="Arial" w:cs="Arial"/>
        </w:rPr>
        <w:t xml:space="preserve">five years children, 94% had normal weight-for-age (WAZ), 4% were underweight while 2% were severally underweight. </w:t>
      </w:r>
    </w:p>
    <w:p w14:paraId="0475F776" w14:textId="690404CE" w:rsidR="005B20B1" w:rsidRPr="00DC016F" w:rsidRDefault="005B20B1" w:rsidP="000F34FE">
      <w:pPr>
        <w:spacing w:after="0" w:line="360" w:lineRule="auto"/>
        <w:jc w:val="both"/>
        <w:rPr>
          <w:rStyle w:val="fontstyle01"/>
          <w:rFonts w:ascii="Arial" w:hAnsi="Arial" w:cs="Arial"/>
          <w:color w:val="auto"/>
          <w:sz w:val="22"/>
          <w:szCs w:val="22"/>
        </w:rPr>
      </w:pPr>
      <w:r w:rsidRPr="00DC016F">
        <w:rPr>
          <w:rFonts w:ascii="Arial" w:hAnsi="Arial" w:cs="Arial"/>
        </w:rPr>
        <w:t xml:space="preserve">The mean Z-score of the height-for-age (HAZ) classification of the children was </w:t>
      </w:r>
      <w:r w:rsidRPr="00DC016F">
        <w:rPr>
          <w:rStyle w:val="fontstyle01"/>
          <w:rFonts w:ascii="Arial" w:hAnsi="Arial" w:cs="Arial"/>
          <w:color w:val="auto"/>
          <w:sz w:val="22"/>
          <w:szCs w:val="22"/>
        </w:rPr>
        <w:t>0.73±0.19,</w:t>
      </w:r>
      <w:r w:rsidR="00E02B77" w:rsidRPr="00DC016F">
        <w:rPr>
          <w:rStyle w:val="fontstyle01"/>
          <w:rFonts w:ascii="Arial" w:hAnsi="Arial" w:cs="Arial"/>
          <w:color w:val="auto"/>
          <w:sz w:val="22"/>
          <w:szCs w:val="22"/>
        </w:rPr>
        <w:t xml:space="preserve"> </w:t>
      </w:r>
      <w:r w:rsidRPr="00DC016F">
        <w:rPr>
          <w:rStyle w:val="fontstyle01"/>
          <w:rFonts w:ascii="Arial" w:hAnsi="Arial" w:cs="Arial"/>
          <w:color w:val="auto"/>
          <w:sz w:val="22"/>
          <w:szCs w:val="22"/>
        </w:rPr>
        <w:t xml:space="preserve">with 97% of the children having the normal height-for-age (HAZ). </w:t>
      </w:r>
    </w:p>
    <w:p w14:paraId="3CA321FD" w14:textId="4691D07D" w:rsidR="005B20B1" w:rsidRPr="00DC016F" w:rsidRDefault="005B20B1" w:rsidP="000F34FE">
      <w:pPr>
        <w:spacing w:after="0" w:line="360" w:lineRule="auto"/>
        <w:jc w:val="both"/>
        <w:rPr>
          <w:rFonts w:ascii="Arial" w:hAnsi="Arial" w:cs="Arial"/>
        </w:rPr>
      </w:pPr>
      <w:r w:rsidRPr="00DC016F">
        <w:rPr>
          <w:rStyle w:val="fontstyle01"/>
          <w:rFonts w:ascii="Arial" w:hAnsi="Arial" w:cs="Arial"/>
          <w:color w:val="auto"/>
          <w:sz w:val="22"/>
          <w:szCs w:val="22"/>
        </w:rPr>
        <w:t>The result shows that of the 100 under-five years children, 2% were stunted while</w:t>
      </w:r>
      <w:r w:rsidR="00E02B77" w:rsidRPr="00DC016F">
        <w:rPr>
          <w:rStyle w:val="fontstyle01"/>
          <w:rFonts w:ascii="Arial" w:hAnsi="Arial" w:cs="Arial"/>
          <w:color w:val="auto"/>
          <w:sz w:val="22"/>
          <w:szCs w:val="22"/>
        </w:rPr>
        <w:t xml:space="preserve"> </w:t>
      </w:r>
      <w:r w:rsidRPr="00DC016F">
        <w:rPr>
          <w:rStyle w:val="fontstyle01"/>
          <w:rFonts w:ascii="Arial" w:hAnsi="Arial" w:cs="Arial"/>
          <w:color w:val="auto"/>
          <w:sz w:val="22"/>
          <w:szCs w:val="22"/>
        </w:rPr>
        <w:t>1% was severally stunted. Based on the BMI-for-age (BAZ) classification, 3% of the study subjects were obese, 7% were overweight, 85% were normal while 5% were underweight</w:t>
      </w:r>
      <w:r w:rsidRPr="00DC016F">
        <w:rPr>
          <w:rFonts w:ascii="Arial" w:hAnsi="Arial" w:cs="Arial"/>
        </w:rPr>
        <w:t>. The differences between the various parameters of nutritional status were found to be statistically insignificant at (</w:t>
      </w:r>
      <w:r w:rsidRPr="00DC016F">
        <w:rPr>
          <w:rFonts w:ascii="Arial" w:hAnsi="Arial" w:cs="Arial"/>
          <w:i/>
        </w:rPr>
        <w:t>P</w:t>
      </w:r>
      <w:r w:rsidR="00A43BAB" w:rsidRPr="00DC016F">
        <w:rPr>
          <w:rFonts w:ascii="Arial" w:hAnsi="Arial" w:cs="Arial"/>
        </w:rPr>
        <w:t>&gt;</w:t>
      </w:r>
      <w:r w:rsidRPr="00DC016F">
        <w:rPr>
          <w:rFonts w:ascii="Arial" w:hAnsi="Arial" w:cs="Arial"/>
        </w:rPr>
        <w:t xml:space="preserve"> 0.05).</w:t>
      </w:r>
    </w:p>
    <w:p w14:paraId="595BC29F" w14:textId="62F833A2" w:rsidR="005B20B1" w:rsidRPr="00DC016F" w:rsidRDefault="005B20B1" w:rsidP="00FD59DA">
      <w:pPr>
        <w:spacing w:line="240" w:lineRule="auto"/>
        <w:rPr>
          <w:rFonts w:ascii="Arial" w:hAnsi="Arial" w:cs="Arial"/>
        </w:rPr>
      </w:pPr>
      <w:bookmarkStart w:id="34" w:name="_Toc85539271"/>
    </w:p>
    <w:p w14:paraId="66E1C117" w14:textId="7DB97721" w:rsidR="00A43BAB" w:rsidRPr="00DC016F" w:rsidRDefault="00A43BAB" w:rsidP="00FD59DA">
      <w:pPr>
        <w:spacing w:line="240" w:lineRule="auto"/>
        <w:rPr>
          <w:rFonts w:ascii="Arial" w:hAnsi="Arial" w:cs="Arial"/>
        </w:rPr>
      </w:pPr>
    </w:p>
    <w:p w14:paraId="4F1C1CC8" w14:textId="0488FECD" w:rsidR="00A43BAB" w:rsidRPr="00DC016F" w:rsidRDefault="00A43BAB" w:rsidP="00FD59DA">
      <w:pPr>
        <w:spacing w:line="240" w:lineRule="auto"/>
        <w:rPr>
          <w:rFonts w:ascii="Arial" w:hAnsi="Arial" w:cs="Arial"/>
        </w:rPr>
      </w:pPr>
    </w:p>
    <w:p w14:paraId="16A39F4B" w14:textId="1E22C927" w:rsidR="00A43BAB" w:rsidRPr="00DC016F" w:rsidRDefault="00A43BAB" w:rsidP="00FD59DA">
      <w:pPr>
        <w:spacing w:line="240" w:lineRule="auto"/>
        <w:rPr>
          <w:rFonts w:ascii="Arial" w:hAnsi="Arial" w:cs="Arial"/>
        </w:rPr>
      </w:pPr>
    </w:p>
    <w:p w14:paraId="378BACE4" w14:textId="04748ADD" w:rsidR="00A43BAB" w:rsidRPr="00DC016F" w:rsidRDefault="00A43BAB" w:rsidP="00FD59DA">
      <w:pPr>
        <w:spacing w:line="240" w:lineRule="auto"/>
        <w:rPr>
          <w:rFonts w:ascii="Arial" w:hAnsi="Arial" w:cs="Arial"/>
        </w:rPr>
      </w:pPr>
    </w:p>
    <w:p w14:paraId="05FFE035" w14:textId="44491344" w:rsidR="00A43BAB" w:rsidRPr="00DC016F" w:rsidRDefault="00A43BAB" w:rsidP="00FD59DA">
      <w:pPr>
        <w:spacing w:line="240" w:lineRule="auto"/>
        <w:rPr>
          <w:rFonts w:ascii="Arial" w:hAnsi="Arial" w:cs="Arial"/>
        </w:rPr>
      </w:pPr>
    </w:p>
    <w:p w14:paraId="4274F284" w14:textId="1B88917D" w:rsidR="00A43BAB" w:rsidRPr="00DC016F" w:rsidRDefault="00A43BAB" w:rsidP="00FD59DA">
      <w:pPr>
        <w:spacing w:line="240" w:lineRule="auto"/>
        <w:rPr>
          <w:rFonts w:ascii="Arial" w:hAnsi="Arial" w:cs="Arial"/>
        </w:rPr>
      </w:pPr>
    </w:p>
    <w:p w14:paraId="61423296" w14:textId="439B9DF3" w:rsidR="00A43BAB" w:rsidRPr="00DC016F" w:rsidRDefault="00A43BAB" w:rsidP="00FD59DA">
      <w:pPr>
        <w:spacing w:line="240" w:lineRule="auto"/>
        <w:rPr>
          <w:rFonts w:ascii="Arial" w:hAnsi="Arial" w:cs="Arial"/>
        </w:rPr>
      </w:pPr>
    </w:p>
    <w:p w14:paraId="30463431" w14:textId="14059DE4" w:rsidR="005B20B1" w:rsidRPr="00DC016F" w:rsidRDefault="0020592D" w:rsidP="00FD59DA">
      <w:pPr>
        <w:spacing w:line="240" w:lineRule="auto"/>
        <w:rPr>
          <w:rFonts w:ascii="Arial" w:hAnsi="Arial" w:cs="Arial"/>
          <w:b/>
        </w:rPr>
      </w:pPr>
      <w:r>
        <w:rPr>
          <w:rFonts w:ascii="Arial" w:hAnsi="Arial" w:cs="Arial"/>
          <w:b/>
        </w:rPr>
        <w:lastRenderedPageBreak/>
        <w:t xml:space="preserve">Table </w:t>
      </w:r>
      <w:r w:rsidR="005B20B1" w:rsidRPr="00DC016F">
        <w:rPr>
          <w:rFonts w:ascii="Arial" w:hAnsi="Arial" w:cs="Arial"/>
          <w:b/>
        </w:rPr>
        <w:fldChar w:fldCharType="begin"/>
      </w:r>
      <w:r w:rsidR="005B20B1" w:rsidRPr="00DC016F">
        <w:rPr>
          <w:rFonts w:ascii="Arial" w:hAnsi="Arial" w:cs="Arial"/>
          <w:b/>
        </w:rPr>
        <w:instrText xml:space="preserve"> SEQ Table_4. \* ARABIC </w:instrText>
      </w:r>
      <w:r w:rsidR="005B20B1" w:rsidRPr="00DC016F">
        <w:rPr>
          <w:rFonts w:ascii="Arial" w:hAnsi="Arial" w:cs="Arial"/>
          <w:b/>
        </w:rPr>
        <w:fldChar w:fldCharType="separate"/>
      </w:r>
      <w:r w:rsidR="005B20B1" w:rsidRPr="00DC016F">
        <w:rPr>
          <w:rFonts w:ascii="Arial" w:hAnsi="Arial" w:cs="Arial"/>
          <w:b/>
          <w:noProof/>
        </w:rPr>
        <w:t>2</w:t>
      </w:r>
      <w:r w:rsidR="005B20B1" w:rsidRPr="00DC016F">
        <w:rPr>
          <w:rFonts w:ascii="Arial" w:hAnsi="Arial" w:cs="Arial"/>
          <w:b/>
          <w:noProof/>
        </w:rPr>
        <w:fldChar w:fldCharType="end"/>
      </w:r>
      <w:r>
        <w:rPr>
          <w:rFonts w:ascii="Arial" w:hAnsi="Arial" w:cs="Arial"/>
          <w:b/>
        </w:rPr>
        <w:t>: Nutritional Status Distribution of the Study Respondents A</w:t>
      </w:r>
      <w:r w:rsidR="005B20B1" w:rsidRPr="00DC016F">
        <w:rPr>
          <w:rFonts w:ascii="Arial" w:hAnsi="Arial" w:cs="Arial"/>
          <w:b/>
        </w:rPr>
        <w:t>ccordin</w:t>
      </w:r>
      <w:r>
        <w:rPr>
          <w:rFonts w:ascii="Arial" w:hAnsi="Arial" w:cs="Arial"/>
          <w:b/>
        </w:rPr>
        <w:t>g to age R</w:t>
      </w:r>
      <w:r w:rsidR="005B20B1" w:rsidRPr="00DC016F">
        <w:rPr>
          <w:rFonts w:ascii="Arial" w:hAnsi="Arial" w:cs="Arial"/>
          <w:b/>
        </w:rPr>
        <w:t>ange</w:t>
      </w:r>
      <w:bookmarkEnd w:id="34"/>
    </w:p>
    <w:tbl>
      <w:tblPr>
        <w:tblStyle w:val="LightShading1"/>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380"/>
        <w:gridCol w:w="1380"/>
        <w:gridCol w:w="1380"/>
        <w:gridCol w:w="1380"/>
        <w:gridCol w:w="1385"/>
      </w:tblGrid>
      <w:tr w:rsidR="008071B7" w:rsidRPr="00DC016F" w14:paraId="1C7EF3AD" w14:textId="77777777" w:rsidTr="001706B5">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noWrap/>
            <w:vAlign w:val="center"/>
            <w:hideMark/>
          </w:tcPr>
          <w:p w14:paraId="104CFAE5" w14:textId="07A4452A" w:rsidR="005B20B1" w:rsidRPr="00DC016F" w:rsidRDefault="00A633DF" w:rsidP="00A9422C">
            <w:pPr>
              <w:spacing w:after="0" w:line="240" w:lineRule="auto"/>
              <w:rPr>
                <w:rFonts w:ascii="Arial" w:hAnsi="Arial" w:cs="Arial"/>
                <w:color w:val="auto"/>
              </w:rPr>
            </w:pPr>
            <w:r>
              <w:rPr>
                <w:rStyle w:val="fontstyle01"/>
                <w:rFonts w:ascii="Arial" w:hAnsi="Arial" w:cs="Arial"/>
                <w:color w:val="auto"/>
                <w:sz w:val="22"/>
                <w:szCs w:val="22"/>
              </w:rPr>
              <w:t>Nutrition I</w:t>
            </w:r>
            <w:r w:rsidR="005B20B1" w:rsidRPr="00DC016F">
              <w:rPr>
                <w:rStyle w:val="fontstyle01"/>
                <w:rFonts w:ascii="Arial" w:hAnsi="Arial" w:cs="Arial"/>
                <w:color w:val="auto"/>
                <w:sz w:val="22"/>
                <w:szCs w:val="22"/>
              </w:rPr>
              <w:t>ndicators</w:t>
            </w:r>
          </w:p>
        </w:tc>
        <w:tc>
          <w:tcPr>
            <w:tcW w:w="6905" w:type="dxa"/>
            <w:gridSpan w:val="5"/>
            <w:shd w:val="clear" w:color="auto" w:fill="auto"/>
            <w:noWrap/>
            <w:hideMark/>
          </w:tcPr>
          <w:p w14:paraId="7441D46B" w14:textId="77777777" w:rsidR="005B20B1" w:rsidRPr="00DC016F" w:rsidRDefault="005B20B1" w:rsidP="00A9422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Style w:val="fontstyle01"/>
                <w:rFonts w:ascii="Arial" w:hAnsi="Arial" w:cs="Arial"/>
                <w:color w:val="auto"/>
                <w:sz w:val="22"/>
                <w:szCs w:val="22"/>
              </w:rPr>
              <w:t>Age group (months)</w:t>
            </w:r>
          </w:p>
        </w:tc>
      </w:tr>
      <w:tr w:rsidR="008071B7" w:rsidRPr="00DC016F" w14:paraId="14232009" w14:textId="77777777" w:rsidTr="001706B5">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noWrap/>
            <w:vAlign w:val="center"/>
          </w:tcPr>
          <w:p w14:paraId="4D56EF6A" w14:textId="77777777" w:rsidR="005B20B1" w:rsidRPr="00DC016F" w:rsidRDefault="005B20B1" w:rsidP="00A9422C">
            <w:pPr>
              <w:spacing w:after="0" w:line="240" w:lineRule="auto"/>
              <w:rPr>
                <w:rStyle w:val="fontstyle01"/>
                <w:rFonts w:ascii="Arial" w:hAnsi="Arial" w:cs="Arial"/>
                <w:color w:val="auto"/>
                <w:sz w:val="22"/>
                <w:szCs w:val="22"/>
              </w:rPr>
            </w:pPr>
          </w:p>
        </w:tc>
        <w:tc>
          <w:tcPr>
            <w:tcW w:w="1380" w:type="dxa"/>
            <w:shd w:val="clear" w:color="auto" w:fill="auto"/>
            <w:noWrap/>
          </w:tcPr>
          <w:p w14:paraId="1B2B9EDC" w14:textId="77777777" w:rsidR="005B20B1" w:rsidRPr="00DC016F" w:rsidRDefault="005B20B1" w:rsidP="00A942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0 – 11</w:t>
            </w:r>
          </w:p>
        </w:tc>
        <w:tc>
          <w:tcPr>
            <w:tcW w:w="1380" w:type="dxa"/>
            <w:shd w:val="clear" w:color="auto" w:fill="auto"/>
            <w:noWrap/>
          </w:tcPr>
          <w:p w14:paraId="737A203B" w14:textId="77777777" w:rsidR="005B20B1" w:rsidRPr="00DC016F" w:rsidRDefault="005B20B1" w:rsidP="00A942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12 – 23</w:t>
            </w:r>
          </w:p>
        </w:tc>
        <w:tc>
          <w:tcPr>
            <w:tcW w:w="1380" w:type="dxa"/>
            <w:shd w:val="clear" w:color="auto" w:fill="auto"/>
            <w:noWrap/>
          </w:tcPr>
          <w:p w14:paraId="2F336E1F" w14:textId="77777777" w:rsidR="005B20B1" w:rsidRPr="00DC016F" w:rsidRDefault="005B20B1" w:rsidP="00A942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24 - 35</w:t>
            </w:r>
          </w:p>
        </w:tc>
        <w:tc>
          <w:tcPr>
            <w:tcW w:w="1380" w:type="dxa"/>
            <w:shd w:val="clear" w:color="auto" w:fill="auto"/>
          </w:tcPr>
          <w:p w14:paraId="63146A4F" w14:textId="77777777" w:rsidR="005B20B1" w:rsidRPr="00DC016F" w:rsidRDefault="005B20B1" w:rsidP="00A942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36 - 47</w:t>
            </w:r>
          </w:p>
        </w:tc>
        <w:tc>
          <w:tcPr>
            <w:tcW w:w="1385" w:type="dxa"/>
            <w:shd w:val="clear" w:color="auto" w:fill="auto"/>
          </w:tcPr>
          <w:p w14:paraId="213F4ABE" w14:textId="77777777" w:rsidR="005B20B1" w:rsidRPr="00DC016F" w:rsidRDefault="005B20B1" w:rsidP="00A942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48 – 59</w:t>
            </w:r>
          </w:p>
        </w:tc>
      </w:tr>
      <w:tr w:rsidR="008071B7" w:rsidRPr="00DC016F" w14:paraId="1571D38D" w14:textId="77777777" w:rsidTr="001706B5">
        <w:trPr>
          <w:trHeight w:val="55"/>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2290B7E9" w14:textId="77777777" w:rsidR="005B20B1" w:rsidRPr="00DC016F" w:rsidRDefault="005B20B1" w:rsidP="00A9422C">
            <w:pPr>
              <w:spacing w:after="0" w:line="240" w:lineRule="auto"/>
              <w:rPr>
                <w:rFonts w:ascii="Arial" w:hAnsi="Arial" w:cs="Arial"/>
                <w:color w:val="auto"/>
              </w:rPr>
            </w:pPr>
            <w:r w:rsidRPr="00DC016F">
              <w:rPr>
                <w:rStyle w:val="fontstyle01"/>
                <w:rFonts w:ascii="Arial" w:hAnsi="Arial" w:cs="Arial"/>
                <w:color w:val="auto"/>
                <w:sz w:val="22"/>
                <w:szCs w:val="22"/>
              </w:rPr>
              <w:t>Weight-for-age (WAZ)</w:t>
            </w:r>
          </w:p>
        </w:tc>
        <w:tc>
          <w:tcPr>
            <w:tcW w:w="6905" w:type="dxa"/>
            <w:gridSpan w:val="5"/>
            <w:shd w:val="clear" w:color="auto" w:fill="auto"/>
            <w:noWrap/>
            <w:vAlign w:val="center"/>
          </w:tcPr>
          <w:p w14:paraId="24EC39CA" w14:textId="77777777" w:rsidR="005B20B1" w:rsidRPr="00DC016F" w:rsidRDefault="005B20B1" w:rsidP="00A9422C">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color w:val="auto"/>
                <w:sz w:val="22"/>
                <w:szCs w:val="22"/>
              </w:rPr>
            </w:pPr>
            <w:r w:rsidRPr="00DC016F">
              <w:rPr>
                <w:rStyle w:val="fontstyle01"/>
                <w:rFonts w:ascii="Arial" w:hAnsi="Arial" w:cs="Arial"/>
                <w:b/>
                <w:color w:val="auto"/>
                <w:sz w:val="22"/>
                <w:szCs w:val="22"/>
              </w:rPr>
              <w:t>Mean Z-score (0.21±0.62)</w:t>
            </w:r>
          </w:p>
        </w:tc>
      </w:tr>
      <w:tr w:rsidR="008071B7" w:rsidRPr="00DC016F" w14:paraId="56B718C6" w14:textId="77777777" w:rsidTr="001706B5">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4ACD818B"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Normal</w:t>
            </w:r>
          </w:p>
        </w:tc>
        <w:tc>
          <w:tcPr>
            <w:tcW w:w="1380" w:type="dxa"/>
            <w:shd w:val="clear" w:color="auto" w:fill="auto"/>
            <w:noWrap/>
          </w:tcPr>
          <w:p w14:paraId="48EF899D"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92.9%</w:t>
            </w:r>
          </w:p>
        </w:tc>
        <w:tc>
          <w:tcPr>
            <w:tcW w:w="1380" w:type="dxa"/>
            <w:shd w:val="clear" w:color="auto" w:fill="auto"/>
            <w:noWrap/>
          </w:tcPr>
          <w:p w14:paraId="287F16E4"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90.4%</w:t>
            </w:r>
          </w:p>
        </w:tc>
        <w:tc>
          <w:tcPr>
            <w:tcW w:w="1380" w:type="dxa"/>
            <w:shd w:val="clear" w:color="auto" w:fill="auto"/>
            <w:noWrap/>
          </w:tcPr>
          <w:p w14:paraId="2E9DEDEA"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94.1%</w:t>
            </w:r>
          </w:p>
        </w:tc>
        <w:tc>
          <w:tcPr>
            <w:tcW w:w="1380" w:type="dxa"/>
            <w:shd w:val="clear" w:color="auto" w:fill="auto"/>
          </w:tcPr>
          <w:p w14:paraId="7BBCEF9D"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96.1%</w:t>
            </w:r>
          </w:p>
        </w:tc>
        <w:tc>
          <w:tcPr>
            <w:tcW w:w="1385" w:type="dxa"/>
            <w:shd w:val="clear" w:color="auto" w:fill="auto"/>
          </w:tcPr>
          <w:p w14:paraId="1A41506D"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95.4%</w:t>
            </w:r>
          </w:p>
        </w:tc>
      </w:tr>
      <w:tr w:rsidR="008071B7" w:rsidRPr="00DC016F" w14:paraId="5FF92503" w14:textId="77777777" w:rsidTr="001706B5">
        <w:trPr>
          <w:trHeight w:val="55"/>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493E4017"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Underweight</w:t>
            </w:r>
          </w:p>
        </w:tc>
        <w:tc>
          <w:tcPr>
            <w:tcW w:w="1380" w:type="dxa"/>
            <w:shd w:val="clear" w:color="auto" w:fill="auto"/>
            <w:noWrap/>
          </w:tcPr>
          <w:p w14:paraId="742D9C3A"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7.1%</w:t>
            </w:r>
          </w:p>
        </w:tc>
        <w:tc>
          <w:tcPr>
            <w:tcW w:w="1380" w:type="dxa"/>
            <w:shd w:val="clear" w:color="auto" w:fill="auto"/>
            <w:noWrap/>
          </w:tcPr>
          <w:p w14:paraId="14CF502A"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4.8%</w:t>
            </w:r>
          </w:p>
        </w:tc>
        <w:tc>
          <w:tcPr>
            <w:tcW w:w="1380" w:type="dxa"/>
            <w:shd w:val="clear" w:color="auto" w:fill="auto"/>
            <w:noWrap/>
          </w:tcPr>
          <w:p w14:paraId="70430EBB"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tcPr>
          <w:p w14:paraId="579913F8"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3.9%</w:t>
            </w:r>
          </w:p>
        </w:tc>
        <w:tc>
          <w:tcPr>
            <w:tcW w:w="1385" w:type="dxa"/>
            <w:shd w:val="clear" w:color="auto" w:fill="auto"/>
          </w:tcPr>
          <w:p w14:paraId="269FEAA3"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4.6%</w:t>
            </w:r>
          </w:p>
        </w:tc>
      </w:tr>
      <w:tr w:rsidR="008071B7" w:rsidRPr="00DC016F" w14:paraId="637A958A" w14:textId="77777777" w:rsidTr="001706B5">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740DCDF6"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Severally underweight</w:t>
            </w:r>
          </w:p>
        </w:tc>
        <w:tc>
          <w:tcPr>
            <w:tcW w:w="1380" w:type="dxa"/>
            <w:shd w:val="clear" w:color="auto" w:fill="auto"/>
            <w:noWrap/>
          </w:tcPr>
          <w:p w14:paraId="50A34975"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noWrap/>
          </w:tcPr>
          <w:p w14:paraId="2345E758"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4.8%</w:t>
            </w:r>
          </w:p>
        </w:tc>
        <w:tc>
          <w:tcPr>
            <w:tcW w:w="1380" w:type="dxa"/>
            <w:shd w:val="clear" w:color="auto" w:fill="auto"/>
            <w:noWrap/>
          </w:tcPr>
          <w:p w14:paraId="4BC8ECA4"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5.9%</w:t>
            </w:r>
          </w:p>
        </w:tc>
        <w:tc>
          <w:tcPr>
            <w:tcW w:w="1380" w:type="dxa"/>
            <w:shd w:val="clear" w:color="auto" w:fill="auto"/>
          </w:tcPr>
          <w:p w14:paraId="762B28F7"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5" w:type="dxa"/>
            <w:shd w:val="clear" w:color="auto" w:fill="auto"/>
          </w:tcPr>
          <w:p w14:paraId="70CF8051"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r>
      <w:tr w:rsidR="008071B7" w:rsidRPr="00DC016F" w14:paraId="0356B9AB" w14:textId="77777777" w:rsidTr="001706B5">
        <w:trPr>
          <w:trHeight w:val="55"/>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70C7C18C" w14:textId="77777777" w:rsidR="005B20B1" w:rsidRPr="00DC016F" w:rsidRDefault="005B20B1" w:rsidP="00A9422C">
            <w:pPr>
              <w:spacing w:after="0" w:line="240" w:lineRule="auto"/>
              <w:rPr>
                <w:rStyle w:val="fontstyle01"/>
                <w:rFonts w:ascii="Arial" w:hAnsi="Arial" w:cs="Arial"/>
                <w:color w:val="auto"/>
                <w:sz w:val="22"/>
                <w:szCs w:val="22"/>
              </w:rPr>
            </w:pPr>
            <w:r w:rsidRPr="00DC016F">
              <w:rPr>
                <w:rStyle w:val="fontstyle01"/>
                <w:rFonts w:ascii="Arial" w:hAnsi="Arial" w:cs="Arial"/>
                <w:color w:val="auto"/>
                <w:sz w:val="22"/>
                <w:szCs w:val="22"/>
              </w:rPr>
              <w:t>Height-for-age (HAZ)</w:t>
            </w:r>
          </w:p>
        </w:tc>
        <w:tc>
          <w:tcPr>
            <w:tcW w:w="6905" w:type="dxa"/>
            <w:gridSpan w:val="5"/>
            <w:shd w:val="clear" w:color="auto" w:fill="auto"/>
            <w:noWrap/>
            <w:vAlign w:val="center"/>
          </w:tcPr>
          <w:p w14:paraId="3A58FFB6" w14:textId="77777777" w:rsidR="005B20B1" w:rsidRPr="00DC016F" w:rsidRDefault="005B20B1" w:rsidP="00A942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Style w:val="fontstyle01"/>
                <w:rFonts w:ascii="Arial" w:hAnsi="Arial" w:cs="Arial"/>
                <w:b/>
                <w:color w:val="auto"/>
                <w:sz w:val="22"/>
                <w:szCs w:val="22"/>
              </w:rPr>
              <w:t>Mean Z-score (0.73±0.19)</w:t>
            </w:r>
          </w:p>
        </w:tc>
      </w:tr>
      <w:tr w:rsidR="008071B7" w:rsidRPr="00DC016F" w14:paraId="4220040A" w14:textId="77777777" w:rsidTr="001706B5">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311D92B7"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Normal</w:t>
            </w:r>
          </w:p>
        </w:tc>
        <w:tc>
          <w:tcPr>
            <w:tcW w:w="1380" w:type="dxa"/>
            <w:shd w:val="clear" w:color="auto" w:fill="auto"/>
            <w:noWrap/>
          </w:tcPr>
          <w:p w14:paraId="569235CB"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100.0%</w:t>
            </w:r>
          </w:p>
        </w:tc>
        <w:tc>
          <w:tcPr>
            <w:tcW w:w="1380" w:type="dxa"/>
            <w:shd w:val="clear" w:color="auto" w:fill="auto"/>
            <w:noWrap/>
          </w:tcPr>
          <w:p w14:paraId="4226993E"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95.2%</w:t>
            </w:r>
          </w:p>
        </w:tc>
        <w:tc>
          <w:tcPr>
            <w:tcW w:w="1380" w:type="dxa"/>
            <w:shd w:val="clear" w:color="auto" w:fill="auto"/>
            <w:noWrap/>
          </w:tcPr>
          <w:p w14:paraId="5DD1B9F6"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94.1%</w:t>
            </w:r>
          </w:p>
        </w:tc>
        <w:tc>
          <w:tcPr>
            <w:tcW w:w="1380" w:type="dxa"/>
            <w:shd w:val="clear" w:color="auto" w:fill="auto"/>
          </w:tcPr>
          <w:p w14:paraId="51D7F56C"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96.1%</w:t>
            </w:r>
          </w:p>
        </w:tc>
        <w:tc>
          <w:tcPr>
            <w:tcW w:w="1385" w:type="dxa"/>
            <w:shd w:val="clear" w:color="auto" w:fill="auto"/>
          </w:tcPr>
          <w:p w14:paraId="64EF0F04"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100.0%</w:t>
            </w:r>
          </w:p>
        </w:tc>
      </w:tr>
      <w:tr w:rsidR="008071B7" w:rsidRPr="00DC016F" w14:paraId="2E6E6108" w14:textId="77777777" w:rsidTr="001706B5">
        <w:trPr>
          <w:trHeight w:val="3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6147C993"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Stunted</w:t>
            </w:r>
          </w:p>
        </w:tc>
        <w:tc>
          <w:tcPr>
            <w:tcW w:w="1380" w:type="dxa"/>
            <w:shd w:val="clear" w:color="auto" w:fill="auto"/>
            <w:noWrap/>
          </w:tcPr>
          <w:p w14:paraId="1A0CF35B"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noWrap/>
          </w:tcPr>
          <w:p w14:paraId="7DE0B38F"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4.8%</w:t>
            </w:r>
          </w:p>
        </w:tc>
        <w:tc>
          <w:tcPr>
            <w:tcW w:w="1380" w:type="dxa"/>
            <w:shd w:val="clear" w:color="auto" w:fill="auto"/>
            <w:noWrap/>
          </w:tcPr>
          <w:p w14:paraId="30557C6C"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5.9%</w:t>
            </w:r>
          </w:p>
        </w:tc>
        <w:tc>
          <w:tcPr>
            <w:tcW w:w="1380" w:type="dxa"/>
            <w:shd w:val="clear" w:color="auto" w:fill="auto"/>
          </w:tcPr>
          <w:p w14:paraId="5A92FE4B"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5" w:type="dxa"/>
            <w:shd w:val="clear" w:color="auto" w:fill="auto"/>
          </w:tcPr>
          <w:p w14:paraId="543272E3"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w:t>
            </w:r>
          </w:p>
        </w:tc>
      </w:tr>
      <w:tr w:rsidR="008071B7" w:rsidRPr="00DC016F" w14:paraId="1881166E" w14:textId="77777777" w:rsidTr="001706B5">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5B8D3F54"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Severally stunted</w:t>
            </w:r>
          </w:p>
        </w:tc>
        <w:tc>
          <w:tcPr>
            <w:tcW w:w="1380" w:type="dxa"/>
            <w:shd w:val="clear" w:color="auto" w:fill="auto"/>
            <w:noWrap/>
          </w:tcPr>
          <w:p w14:paraId="54C36809"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noWrap/>
          </w:tcPr>
          <w:p w14:paraId="677AF809"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noWrap/>
          </w:tcPr>
          <w:p w14:paraId="738A5825"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tcPr>
          <w:p w14:paraId="1D646C58"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3.9%</w:t>
            </w:r>
          </w:p>
        </w:tc>
        <w:tc>
          <w:tcPr>
            <w:tcW w:w="1385" w:type="dxa"/>
            <w:shd w:val="clear" w:color="auto" w:fill="auto"/>
          </w:tcPr>
          <w:p w14:paraId="309D2AD6"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r>
      <w:tr w:rsidR="008071B7" w:rsidRPr="00DC016F" w14:paraId="4F01B8DB" w14:textId="77777777" w:rsidTr="001706B5">
        <w:trPr>
          <w:trHeight w:val="22"/>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2B4646C4" w14:textId="77777777" w:rsidR="005B20B1" w:rsidRPr="00DC016F" w:rsidRDefault="005B20B1" w:rsidP="00A9422C">
            <w:pPr>
              <w:spacing w:after="0" w:line="240" w:lineRule="auto"/>
              <w:rPr>
                <w:rFonts w:ascii="Arial" w:hAnsi="Arial" w:cs="Arial"/>
                <w:color w:val="auto"/>
              </w:rPr>
            </w:pPr>
            <w:r w:rsidRPr="00DC016F">
              <w:rPr>
                <w:rFonts w:ascii="Arial" w:hAnsi="Arial" w:cs="Arial"/>
                <w:color w:val="auto"/>
              </w:rPr>
              <w:t>BMI-for-age</w:t>
            </w:r>
            <w:r w:rsidRPr="00DC016F">
              <w:rPr>
                <w:rFonts w:ascii="Arial" w:hAnsi="Arial" w:cs="Arial"/>
                <w:bCs w:val="0"/>
                <w:color w:val="auto"/>
              </w:rPr>
              <w:t>(</w:t>
            </w:r>
            <w:r w:rsidRPr="00DC016F">
              <w:rPr>
                <w:rStyle w:val="fontstyle01"/>
                <w:rFonts w:ascii="Arial" w:hAnsi="Arial" w:cs="Arial"/>
                <w:color w:val="auto"/>
                <w:sz w:val="22"/>
                <w:szCs w:val="22"/>
              </w:rPr>
              <w:t>BAZ)</w:t>
            </w:r>
          </w:p>
        </w:tc>
        <w:tc>
          <w:tcPr>
            <w:tcW w:w="6905" w:type="dxa"/>
            <w:gridSpan w:val="5"/>
            <w:shd w:val="clear" w:color="auto" w:fill="auto"/>
            <w:noWrap/>
            <w:vAlign w:val="center"/>
          </w:tcPr>
          <w:p w14:paraId="421587A6" w14:textId="77777777" w:rsidR="005B20B1" w:rsidRPr="00DC016F" w:rsidRDefault="005B20B1" w:rsidP="00A942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Style w:val="fontstyle01"/>
                <w:rFonts w:ascii="Arial" w:hAnsi="Arial" w:cs="Arial"/>
                <w:b/>
                <w:color w:val="auto"/>
                <w:sz w:val="22"/>
                <w:szCs w:val="22"/>
              </w:rPr>
              <w:t>Mean Z-score (0.37±0.79</w:t>
            </w:r>
            <w:r w:rsidRPr="00DC016F">
              <w:rPr>
                <w:rStyle w:val="fontstyle01"/>
                <w:rFonts w:ascii="Arial" w:hAnsi="Arial" w:cs="Arial"/>
                <w:color w:val="auto"/>
                <w:sz w:val="22"/>
                <w:szCs w:val="22"/>
              </w:rPr>
              <w:t>)</w:t>
            </w:r>
          </w:p>
        </w:tc>
      </w:tr>
      <w:tr w:rsidR="008071B7" w:rsidRPr="00DC016F" w14:paraId="4A60FD0D" w14:textId="77777777" w:rsidTr="001706B5">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101D8353" w14:textId="77777777" w:rsidR="005B20B1" w:rsidRPr="00DC016F" w:rsidRDefault="005B20B1" w:rsidP="00A9422C">
            <w:pPr>
              <w:spacing w:after="0" w:line="240" w:lineRule="auto"/>
              <w:rPr>
                <w:rFonts w:ascii="Arial" w:hAnsi="Arial" w:cs="Arial"/>
                <w:b w:val="0"/>
                <w:color w:val="auto"/>
              </w:rPr>
            </w:pPr>
            <w:r w:rsidRPr="00DC016F">
              <w:rPr>
                <w:rFonts w:ascii="Arial" w:hAnsi="Arial" w:cs="Arial"/>
                <w:b w:val="0"/>
                <w:color w:val="auto"/>
              </w:rPr>
              <w:t xml:space="preserve">Obese </w:t>
            </w:r>
          </w:p>
        </w:tc>
        <w:tc>
          <w:tcPr>
            <w:tcW w:w="1380" w:type="dxa"/>
            <w:shd w:val="clear" w:color="auto" w:fill="auto"/>
            <w:noWrap/>
          </w:tcPr>
          <w:p w14:paraId="5743D1DB"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noWrap/>
          </w:tcPr>
          <w:p w14:paraId="5FD69C11"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noWrap/>
          </w:tcPr>
          <w:p w14:paraId="472E2C64"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5.9%</w:t>
            </w:r>
          </w:p>
        </w:tc>
        <w:tc>
          <w:tcPr>
            <w:tcW w:w="1380" w:type="dxa"/>
            <w:shd w:val="clear" w:color="auto" w:fill="auto"/>
          </w:tcPr>
          <w:p w14:paraId="5169C79A"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7.8%</w:t>
            </w:r>
          </w:p>
        </w:tc>
        <w:tc>
          <w:tcPr>
            <w:tcW w:w="1385" w:type="dxa"/>
            <w:shd w:val="clear" w:color="auto" w:fill="auto"/>
          </w:tcPr>
          <w:p w14:paraId="621B3F87"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r>
      <w:tr w:rsidR="008071B7" w:rsidRPr="00DC016F" w14:paraId="3E9CDCA4" w14:textId="77777777" w:rsidTr="001706B5">
        <w:trPr>
          <w:trHeight w:val="22"/>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05D8C1DB"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 xml:space="preserve">Overweight </w:t>
            </w:r>
          </w:p>
        </w:tc>
        <w:tc>
          <w:tcPr>
            <w:tcW w:w="1380" w:type="dxa"/>
            <w:shd w:val="clear" w:color="auto" w:fill="auto"/>
            <w:noWrap/>
          </w:tcPr>
          <w:p w14:paraId="679191C6"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7.1%</w:t>
            </w:r>
          </w:p>
        </w:tc>
        <w:tc>
          <w:tcPr>
            <w:tcW w:w="1380" w:type="dxa"/>
            <w:shd w:val="clear" w:color="auto" w:fill="auto"/>
            <w:noWrap/>
          </w:tcPr>
          <w:p w14:paraId="56924101"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9.5%</w:t>
            </w:r>
          </w:p>
        </w:tc>
        <w:tc>
          <w:tcPr>
            <w:tcW w:w="1380" w:type="dxa"/>
            <w:shd w:val="clear" w:color="auto" w:fill="auto"/>
            <w:noWrap/>
          </w:tcPr>
          <w:p w14:paraId="43D4A8AB"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tcPr>
          <w:p w14:paraId="505771C6"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11.5%</w:t>
            </w:r>
          </w:p>
        </w:tc>
        <w:tc>
          <w:tcPr>
            <w:tcW w:w="1385" w:type="dxa"/>
            <w:shd w:val="clear" w:color="auto" w:fill="auto"/>
          </w:tcPr>
          <w:p w14:paraId="45B4A7F9"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4.6%</w:t>
            </w:r>
          </w:p>
        </w:tc>
      </w:tr>
      <w:tr w:rsidR="008071B7" w:rsidRPr="00DC016F" w14:paraId="70A0532D" w14:textId="77777777" w:rsidTr="001706B5">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22C9499C"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Normal</w:t>
            </w:r>
          </w:p>
        </w:tc>
        <w:tc>
          <w:tcPr>
            <w:tcW w:w="1380" w:type="dxa"/>
            <w:shd w:val="clear" w:color="auto" w:fill="auto"/>
            <w:noWrap/>
          </w:tcPr>
          <w:p w14:paraId="1F19AAD5"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85.8%</w:t>
            </w:r>
          </w:p>
        </w:tc>
        <w:tc>
          <w:tcPr>
            <w:tcW w:w="1380" w:type="dxa"/>
            <w:shd w:val="clear" w:color="auto" w:fill="auto"/>
            <w:noWrap/>
          </w:tcPr>
          <w:p w14:paraId="36BB79F5"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81.0%</w:t>
            </w:r>
          </w:p>
        </w:tc>
        <w:tc>
          <w:tcPr>
            <w:tcW w:w="1380" w:type="dxa"/>
            <w:shd w:val="clear" w:color="auto" w:fill="auto"/>
            <w:noWrap/>
          </w:tcPr>
          <w:p w14:paraId="514277E8"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94.1%</w:t>
            </w:r>
          </w:p>
        </w:tc>
        <w:tc>
          <w:tcPr>
            <w:tcW w:w="1380" w:type="dxa"/>
            <w:shd w:val="clear" w:color="auto" w:fill="auto"/>
          </w:tcPr>
          <w:p w14:paraId="7DFED931"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66.8%</w:t>
            </w:r>
          </w:p>
        </w:tc>
        <w:tc>
          <w:tcPr>
            <w:tcW w:w="1385" w:type="dxa"/>
            <w:shd w:val="clear" w:color="auto" w:fill="auto"/>
          </w:tcPr>
          <w:p w14:paraId="34DF2BCE"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90.8%</w:t>
            </w:r>
          </w:p>
        </w:tc>
      </w:tr>
      <w:tr w:rsidR="008071B7" w:rsidRPr="00DC016F" w14:paraId="16C5C01A" w14:textId="77777777" w:rsidTr="001706B5">
        <w:trPr>
          <w:trHeight w:val="22"/>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51A3E147"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Underweight</w:t>
            </w:r>
          </w:p>
        </w:tc>
        <w:tc>
          <w:tcPr>
            <w:tcW w:w="1380" w:type="dxa"/>
            <w:shd w:val="clear" w:color="auto" w:fill="auto"/>
            <w:noWrap/>
          </w:tcPr>
          <w:p w14:paraId="17064B6B"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7.1%</w:t>
            </w:r>
          </w:p>
        </w:tc>
        <w:tc>
          <w:tcPr>
            <w:tcW w:w="1380" w:type="dxa"/>
            <w:shd w:val="clear" w:color="auto" w:fill="auto"/>
            <w:noWrap/>
          </w:tcPr>
          <w:p w14:paraId="67880D8D"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9.5%</w:t>
            </w:r>
          </w:p>
        </w:tc>
        <w:tc>
          <w:tcPr>
            <w:tcW w:w="1380" w:type="dxa"/>
            <w:shd w:val="clear" w:color="auto" w:fill="auto"/>
            <w:noWrap/>
          </w:tcPr>
          <w:p w14:paraId="697CD793"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tcPr>
          <w:p w14:paraId="75671E2E"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3.9%</w:t>
            </w:r>
          </w:p>
        </w:tc>
        <w:tc>
          <w:tcPr>
            <w:tcW w:w="1385" w:type="dxa"/>
            <w:shd w:val="clear" w:color="auto" w:fill="auto"/>
          </w:tcPr>
          <w:p w14:paraId="0FFDCD9D"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4.6%</w:t>
            </w:r>
          </w:p>
        </w:tc>
      </w:tr>
    </w:tbl>
    <w:p w14:paraId="790694A5" w14:textId="77777777" w:rsidR="000F34FE" w:rsidRPr="00DC016F" w:rsidRDefault="000F34FE" w:rsidP="00FD59DA">
      <w:pPr>
        <w:spacing w:after="0" w:line="240" w:lineRule="auto"/>
        <w:ind w:left="630" w:hanging="630"/>
        <w:jc w:val="both"/>
        <w:rPr>
          <w:rFonts w:ascii="Arial" w:hAnsi="Arial" w:cs="Arial"/>
          <w:b/>
          <w:vertAlign w:val="superscript"/>
        </w:rPr>
      </w:pPr>
    </w:p>
    <w:p w14:paraId="3B676489" w14:textId="141B5E8A" w:rsidR="005B20B1" w:rsidRPr="00DC016F" w:rsidRDefault="005B20B1" w:rsidP="00FD59DA">
      <w:pPr>
        <w:spacing w:after="0" w:line="240" w:lineRule="auto"/>
        <w:ind w:left="630" w:hanging="630"/>
        <w:jc w:val="both"/>
        <w:rPr>
          <w:rFonts w:ascii="Arial" w:hAnsi="Arial" w:cs="Arial"/>
          <w:b/>
        </w:rPr>
      </w:pPr>
      <w:proofErr w:type="spellStart"/>
      <w:r w:rsidRPr="00DC016F">
        <w:rPr>
          <w:rFonts w:ascii="Arial" w:hAnsi="Arial" w:cs="Arial"/>
          <w:b/>
          <w:vertAlign w:val="superscript"/>
        </w:rPr>
        <w:t>a</w:t>
      </w:r>
      <w:r w:rsidRPr="00DC016F">
        <w:rPr>
          <w:rFonts w:ascii="Arial" w:hAnsi="Arial" w:cs="Arial"/>
          <w:b/>
        </w:rPr>
        <w:t>Nutrition</w:t>
      </w:r>
      <w:proofErr w:type="spellEnd"/>
      <w:r w:rsidRPr="00DC016F">
        <w:rPr>
          <w:rFonts w:ascii="Arial" w:hAnsi="Arial" w:cs="Arial"/>
          <w:b/>
        </w:rPr>
        <w:t xml:space="preserve"> Assessment and Classification User’s Guide Module 2 (2016).</w:t>
      </w:r>
    </w:p>
    <w:p w14:paraId="0888B35D" w14:textId="77777777" w:rsidR="005B20B1" w:rsidRPr="00DC016F" w:rsidRDefault="005B20B1" w:rsidP="00FD59DA">
      <w:pPr>
        <w:spacing w:after="0" w:line="240" w:lineRule="auto"/>
        <w:ind w:left="630" w:hanging="630"/>
        <w:jc w:val="both"/>
        <w:rPr>
          <w:rFonts w:ascii="Arial" w:hAnsi="Arial" w:cs="Arial"/>
          <w:b/>
        </w:rPr>
      </w:pPr>
    </w:p>
    <w:p w14:paraId="43FE1F18" w14:textId="77777777" w:rsidR="00A633DF" w:rsidRDefault="00A633DF" w:rsidP="00A43BAB">
      <w:pPr>
        <w:pStyle w:val="Heading2"/>
        <w:spacing w:before="0" w:line="360" w:lineRule="auto"/>
        <w:rPr>
          <w:rStyle w:val="fontstyle01"/>
          <w:rFonts w:ascii="Arial" w:hAnsi="Arial" w:cs="Arial"/>
          <w:b/>
          <w:bCs/>
          <w:color w:val="auto"/>
          <w:sz w:val="22"/>
          <w:szCs w:val="22"/>
        </w:rPr>
      </w:pPr>
      <w:bookmarkStart w:id="35" w:name="_Toc70173379"/>
      <w:bookmarkStart w:id="36" w:name="_Toc70173492"/>
      <w:bookmarkStart w:id="37" w:name="_Toc536761085"/>
    </w:p>
    <w:p w14:paraId="06FBB676" w14:textId="77777777" w:rsidR="00A633DF" w:rsidRDefault="00A633DF" w:rsidP="00A43BAB">
      <w:pPr>
        <w:pStyle w:val="Heading2"/>
        <w:spacing w:before="0" w:line="360" w:lineRule="auto"/>
        <w:rPr>
          <w:rStyle w:val="fontstyle01"/>
          <w:rFonts w:ascii="Arial" w:hAnsi="Arial" w:cs="Arial"/>
          <w:b/>
          <w:bCs/>
          <w:color w:val="auto"/>
          <w:sz w:val="22"/>
          <w:szCs w:val="22"/>
        </w:rPr>
      </w:pPr>
    </w:p>
    <w:p w14:paraId="1662E7A4" w14:textId="7EBE3F92" w:rsidR="005B20B1" w:rsidRPr="00DC016F" w:rsidRDefault="005B20B1" w:rsidP="00A43BAB">
      <w:pPr>
        <w:pStyle w:val="Heading2"/>
        <w:spacing w:before="0" w:line="360" w:lineRule="auto"/>
        <w:rPr>
          <w:rStyle w:val="fontstyle01"/>
          <w:rFonts w:ascii="Arial" w:hAnsi="Arial" w:cs="Arial"/>
          <w:b/>
          <w:bCs/>
          <w:color w:val="auto"/>
          <w:sz w:val="22"/>
          <w:szCs w:val="22"/>
        </w:rPr>
      </w:pPr>
      <w:r w:rsidRPr="00DC016F">
        <w:rPr>
          <w:rStyle w:val="fontstyle01"/>
          <w:rFonts w:ascii="Arial" w:hAnsi="Arial" w:cs="Arial"/>
          <w:b/>
          <w:bCs/>
          <w:color w:val="auto"/>
          <w:sz w:val="22"/>
          <w:szCs w:val="22"/>
        </w:rPr>
        <w:t xml:space="preserve">Vitamins and Minerals Status of </w:t>
      </w:r>
      <w:r w:rsidRPr="00DC016F">
        <w:rPr>
          <w:rFonts w:ascii="Arial" w:hAnsi="Arial" w:cs="Arial"/>
          <w:b/>
          <w:bCs/>
          <w:color w:val="auto"/>
          <w:sz w:val="22"/>
          <w:szCs w:val="22"/>
        </w:rPr>
        <w:t>the Study Respondents</w:t>
      </w:r>
      <w:bookmarkEnd w:id="35"/>
      <w:bookmarkEnd w:id="36"/>
      <w:bookmarkEnd w:id="37"/>
    </w:p>
    <w:p w14:paraId="6B221E4B" w14:textId="127EA3D8" w:rsidR="00276303" w:rsidRPr="00DC016F" w:rsidRDefault="005B20B1" w:rsidP="00A43BAB">
      <w:pPr>
        <w:spacing w:after="0" w:line="360" w:lineRule="auto"/>
        <w:jc w:val="both"/>
        <w:rPr>
          <w:rFonts w:ascii="Arial" w:hAnsi="Arial" w:cs="Arial"/>
        </w:rPr>
      </w:pPr>
      <w:r w:rsidRPr="00DC016F">
        <w:rPr>
          <w:rStyle w:val="fontstyle01"/>
          <w:rFonts w:ascii="Arial" w:hAnsi="Arial" w:cs="Arial"/>
          <w:color w:val="auto"/>
          <w:sz w:val="22"/>
          <w:szCs w:val="22"/>
        </w:rPr>
        <w:t xml:space="preserve">Table 3 presents the result of the vitamins A, C, E and D status of </w:t>
      </w:r>
      <w:r w:rsidRPr="00DC016F">
        <w:rPr>
          <w:rFonts w:ascii="Arial" w:hAnsi="Arial" w:cs="Arial"/>
        </w:rPr>
        <w:t>the study respondents. The current result showed a higher serum level of Vitamin A in samples from Ribadu (RB) and Tilde/</w:t>
      </w:r>
      <w:proofErr w:type="spellStart"/>
      <w:r w:rsidRPr="00DC016F">
        <w:rPr>
          <w:rFonts w:ascii="Arial" w:hAnsi="Arial" w:cs="Arial"/>
        </w:rPr>
        <w:t>bodor</w:t>
      </w:r>
      <w:proofErr w:type="spellEnd"/>
      <w:r w:rsidRPr="00DC016F">
        <w:rPr>
          <w:rFonts w:ascii="Arial" w:hAnsi="Arial" w:cs="Arial"/>
        </w:rPr>
        <w:t xml:space="preserve"> (TB) has the lowest level of serum vit A at P&lt;0.05 which means that there is a significance difference in vitamin A level.</w:t>
      </w:r>
      <w:r w:rsidR="00A43BAB" w:rsidRPr="00DC016F">
        <w:rPr>
          <w:rFonts w:ascii="Arial" w:hAnsi="Arial" w:cs="Arial"/>
        </w:rPr>
        <w:t xml:space="preserve"> </w:t>
      </w:r>
      <w:r w:rsidRPr="00DC016F">
        <w:rPr>
          <w:rFonts w:ascii="Arial" w:hAnsi="Arial" w:cs="Arial"/>
        </w:rPr>
        <w:t xml:space="preserve">The result also showed a significant difference at P&lt;0.05 in the level of vitamin C with </w:t>
      </w:r>
      <w:proofErr w:type="spellStart"/>
      <w:r w:rsidRPr="00DC016F">
        <w:rPr>
          <w:rFonts w:ascii="Arial" w:hAnsi="Arial" w:cs="Arial"/>
        </w:rPr>
        <w:t>Jillahi</w:t>
      </w:r>
      <w:proofErr w:type="spellEnd"/>
      <w:r w:rsidRPr="00DC016F">
        <w:rPr>
          <w:rFonts w:ascii="Arial" w:hAnsi="Arial" w:cs="Arial"/>
        </w:rPr>
        <w:t xml:space="preserve"> (JH) ward having the highest level and Ribadu (RB) ward having the lowest level at P&lt;0.05. the result also showed that, there is a significant difference in the level of vitamin D with Ribadu (RB) and </w:t>
      </w:r>
      <w:proofErr w:type="spellStart"/>
      <w:r w:rsidRPr="00DC016F">
        <w:rPr>
          <w:rFonts w:ascii="Arial" w:hAnsi="Arial" w:cs="Arial"/>
        </w:rPr>
        <w:t>Jillahi</w:t>
      </w:r>
      <w:proofErr w:type="spellEnd"/>
      <w:r w:rsidRPr="00DC016F">
        <w:rPr>
          <w:rFonts w:ascii="Arial" w:hAnsi="Arial" w:cs="Arial"/>
        </w:rPr>
        <w:t xml:space="preserve"> (JH) wards having the highest level and </w:t>
      </w:r>
      <w:proofErr w:type="spellStart"/>
      <w:r w:rsidRPr="00DC016F">
        <w:rPr>
          <w:rFonts w:ascii="Arial" w:hAnsi="Arial" w:cs="Arial"/>
        </w:rPr>
        <w:t>Bajoga</w:t>
      </w:r>
      <w:proofErr w:type="spellEnd"/>
      <w:r w:rsidRPr="00DC016F">
        <w:rPr>
          <w:rFonts w:ascii="Arial" w:hAnsi="Arial" w:cs="Arial"/>
        </w:rPr>
        <w:t xml:space="preserve"> west (BW) having the lowest level of serum vitamin D at P&lt;0.05. the result also showed that, there is a significant difference in the serum level of vitamin E, for which </w:t>
      </w:r>
      <w:proofErr w:type="spellStart"/>
      <w:r w:rsidRPr="00DC016F">
        <w:rPr>
          <w:rFonts w:ascii="Arial" w:hAnsi="Arial" w:cs="Arial"/>
        </w:rPr>
        <w:t>Bajoga</w:t>
      </w:r>
      <w:proofErr w:type="spellEnd"/>
      <w:r w:rsidRPr="00DC016F">
        <w:rPr>
          <w:rFonts w:ascii="Arial" w:hAnsi="Arial" w:cs="Arial"/>
        </w:rPr>
        <w:t xml:space="preserve"> west (BW), Tongo (TW) and Bage (BG) wards have the lowest level while </w:t>
      </w:r>
      <w:proofErr w:type="spellStart"/>
      <w:r w:rsidRPr="00DC016F">
        <w:rPr>
          <w:rFonts w:ascii="Arial" w:hAnsi="Arial" w:cs="Arial"/>
        </w:rPr>
        <w:t>Ashaka</w:t>
      </w:r>
      <w:proofErr w:type="spellEnd"/>
      <w:r w:rsidRPr="00DC016F">
        <w:rPr>
          <w:rFonts w:ascii="Arial" w:hAnsi="Arial" w:cs="Arial"/>
        </w:rPr>
        <w:t>/</w:t>
      </w:r>
      <w:proofErr w:type="spellStart"/>
      <w:r w:rsidRPr="00DC016F">
        <w:rPr>
          <w:rFonts w:ascii="Arial" w:hAnsi="Arial" w:cs="Arial"/>
        </w:rPr>
        <w:t>magaba</w:t>
      </w:r>
      <w:proofErr w:type="spellEnd"/>
      <w:r w:rsidRPr="00DC016F">
        <w:rPr>
          <w:rFonts w:ascii="Arial" w:hAnsi="Arial" w:cs="Arial"/>
        </w:rPr>
        <w:t xml:space="preserve"> (AM) having the highest level of vitamin E at P&lt;0.05.</w:t>
      </w:r>
    </w:p>
    <w:p w14:paraId="00942BB0" w14:textId="4F5CAE71" w:rsidR="00A43BAB" w:rsidRPr="00DC016F" w:rsidRDefault="00A43BAB" w:rsidP="00A43BAB">
      <w:pPr>
        <w:spacing w:after="0" w:line="360" w:lineRule="auto"/>
        <w:jc w:val="both"/>
        <w:rPr>
          <w:rFonts w:ascii="Arial" w:hAnsi="Arial" w:cs="Arial"/>
        </w:rPr>
      </w:pPr>
    </w:p>
    <w:p w14:paraId="319D0509" w14:textId="31D34FF4" w:rsidR="00A43BAB" w:rsidRPr="00DC016F" w:rsidRDefault="00A43BAB" w:rsidP="00A43BAB">
      <w:pPr>
        <w:spacing w:after="0" w:line="360" w:lineRule="auto"/>
        <w:jc w:val="both"/>
        <w:rPr>
          <w:rFonts w:ascii="Arial" w:hAnsi="Arial" w:cs="Arial"/>
        </w:rPr>
      </w:pPr>
    </w:p>
    <w:p w14:paraId="12AF0E1F" w14:textId="6EE5AD6F" w:rsidR="00A43BAB" w:rsidRPr="00DC016F" w:rsidRDefault="00A43BAB" w:rsidP="00A43BAB">
      <w:pPr>
        <w:spacing w:after="0" w:line="360" w:lineRule="auto"/>
        <w:jc w:val="both"/>
        <w:rPr>
          <w:rFonts w:ascii="Arial" w:hAnsi="Arial" w:cs="Arial"/>
        </w:rPr>
      </w:pPr>
    </w:p>
    <w:p w14:paraId="7C3B6678" w14:textId="1DE8C7EA" w:rsidR="00A43BAB" w:rsidRPr="00DC016F" w:rsidRDefault="00A43BAB" w:rsidP="00A43BAB">
      <w:pPr>
        <w:spacing w:after="0" w:line="360" w:lineRule="auto"/>
        <w:jc w:val="both"/>
        <w:rPr>
          <w:rFonts w:ascii="Arial" w:hAnsi="Arial" w:cs="Arial"/>
        </w:rPr>
      </w:pPr>
    </w:p>
    <w:p w14:paraId="064A1C86" w14:textId="22CAEC4E" w:rsidR="00A43BAB" w:rsidRPr="00DC016F" w:rsidRDefault="00A43BAB" w:rsidP="00A43BAB">
      <w:pPr>
        <w:spacing w:after="0" w:line="360" w:lineRule="auto"/>
        <w:jc w:val="both"/>
        <w:rPr>
          <w:rFonts w:ascii="Arial" w:hAnsi="Arial" w:cs="Arial"/>
        </w:rPr>
      </w:pPr>
    </w:p>
    <w:p w14:paraId="5DD83923" w14:textId="57723F32" w:rsidR="00A43BAB" w:rsidRPr="00DC016F" w:rsidRDefault="00A43BAB" w:rsidP="00A43BAB">
      <w:pPr>
        <w:spacing w:after="0" w:line="360" w:lineRule="auto"/>
        <w:jc w:val="both"/>
        <w:rPr>
          <w:rFonts w:ascii="Arial" w:hAnsi="Arial" w:cs="Arial"/>
        </w:rPr>
      </w:pPr>
    </w:p>
    <w:p w14:paraId="54EF5261" w14:textId="17C6E9F6" w:rsidR="00A43BAB" w:rsidRPr="00DC016F" w:rsidRDefault="00A43BAB" w:rsidP="00A43BAB">
      <w:pPr>
        <w:spacing w:after="0" w:line="360" w:lineRule="auto"/>
        <w:jc w:val="both"/>
        <w:rPr>
          <w:rFonts w:ascii="Arial" w:hAnsi="Arial" w:cs="Arial"/>
        </w:rPr>
      </w:pPr>
    </w:p>
    <w:p w14:paraId="450A3C83" w14:textId="77777777" w:rsidR="00A43BAB" w:rsidRPr="00DC016F" w:rsidRDefault="00A43BAB" w:rsidP="00A43BAB">
      <w:pPr>
        <w:spacing w:after="0" w:line="360" w:lineRule="auto"/>
        <w:jc w:val="both"/>
        <w:rPr>
          <w:rFonts w:ascii="Arial" w:hAnsi="Arial" w:cs="Arial"/>
        </w:rPr>
      </w:pPr>
    </w:p>
    <w:p w14:paraId="279D3947" w14:textId="5B020DD0" w:rsidR="005B20B1" w:rsidRPr="00DC016F" w:rsidRDefault="005B20B1" w:rsidP="00FD59DA">
      <w:pPr>
        <w:pStyle w:val="Caption"/>
        <w:spacing w:line="240" w:lineRule="auto"/>
        <w:rPr>
          <w:rFonts w:ascii="Arial" w:hAnsi="Arial" w:cs="Arial"/>
          <w:b/>
          <w:sz w:val="22"/>
          <w:szCs w:val="22"/>
        </w:rPr>
      </w:pPr>
      <w:bookmarkStart w:id="38" w:name="_Toc85539272"/>
      <w:r w:rsidRPr="00DC016F">
        <w:rPr>
          <w:rFonts w:ascii="Arial" w:hAnsi="Arial" w:cs="Arial"/>
          <w:b/>
          <w:sz w:val="22"/>
          <w:szCs w:val="22"/>
        </w:rPr>
        <w:lastRenderedPageBreak/>
        <w:t xml:space="preserve">Table </w:t>
      </w:r>
      <w:r w:rsidRPr="00DC016F">
        <w:rPr>
          <w:rFonts w:ascii="Arial" w:hAnsi="Arial" w:cs="Arial"/>
          <w:b/>
          <w:sz w:val="22"/>
          <w:szCs w:val="22"/>
        </w:rPr>
        <w:fldChar w:fldCharType="begin"/>
      </w:r>
      <w:r w:rsidRPr="00DC016F">
        <w:rPr>
          <w:rFonts w:ascii="Arial" w:hAnsi="Arial" w:cs="Arial"/>
          <w:b/>
          <w:sz w:val="22"/>
          <w:szCs w:val="22"/>
        </w:rPr>
        <w:instrText xml:space="preserve"> SEQ Table_4. \* ARABIC </w:instrText>
      </w:r>
      <w:r w:rsidRPr="00DC016F">
        <w:rPr>
          <w:rFonts w:ascii="Arial" w:hAnsi="Arial" w:cs="Arial"/>
          <w:b/>
          <w:sz w:val="22"/>
          <w:szCs w:val="22"/>
        </w:rPr>
        <w:fldChar w:fldCharType="separate"/>
      </w:r>
      <w:r w:rsidRPr="00DC016F">
        <w:rPr>
          <w:rFonts w:ascii="Arial" w:hAnsi="Arial" w:cs="Arial"/>
          <w:b/>
          <w:noProof/>
          <w:sz w:val="22"/>
          <w:szCs w:val="22"/>
        </w:rPr>
        <w:t>3</w:t>
      </w:r>
      <w:r w:rsidRPr="00DC016F">
        <w:rPr>
          <w:rFonts w:ascii="Arial" w:hAnsi="Arial" w:cs="Arial"/>
          <w:b/>
          <w:sz w:val="22"/>
          <w:szCs w:val="22"/>
        </w:rPr>
        <w:fldChar w:fldCharType="end"/>
      </w:r>
      <w:r w:rsidR="00B66C80">
        <w:rPr>
          <w:rStyle w:val="fontstyle01"/>
          <w:rFonts w:ascii="Arial" w:hAnsi="Arial" w:cs="Arial"/>
          <w:b/>
          <w:color w:val="auto"/>
          <w:sz w:val="22"/>
          <w:szCs w:val="22"/>
        </w:rPr>
        <w:t>: Vitamin S</w:t>
      </w:r>
      <w:r w:rsidRPr="00DC016F">
        <w:rPr>
          <w:rStyle w:val="fontstyle01"/>
          <w:rFonts w:ascii="Arial" w:hAnsi="Arial" w:cs="Arial"/>
          <w:b/>
          <w:color w:val="auto"/>
          <w:sz w:val="22"/>
          <w:szCs w:val="22"/>
        </w:rPr>
        <w:t xml:space="preserve">tatus </w:t>
      </w:r>
      <w:r w:rsidR="00B66C80">
        <w:rPr>
          <w:rFonts w:ascii="Arial" w:hAnsi="Arial" w:cs="Arial"/>
          <w:b/>
          <w:sz w:val="22"/>
          <w:szCs w:val="22"/>
        </w:rPr>
        <w:t>for the Under-F</w:t>
      </w:r>
      <w:r w:rsidRPr="00DC016F">
        <w:rPr>
          <w:rFonts w:ascii="Arial" w:hAnsi="Arial" w:cs="Arial"/>
          <w:b/>
          <w:sz w:val="22"/>
          <w:szCs w:val="22"/>
        </w:rPr>
        <w:t xml:space="preserve">ive </w:t>
      </w:r>
      <w:r w:rsidR="00B66C80">
        <w:rPr>
          <w:rFonts w:ascii="Arial" w:hAnsi="Arial" w:cs="Arial"/>
          <w:b/>
          <w:sz w:val="22"/>
          <w:szCs w:val="22"/>
        </w:rPr>
        <w:t>C</w:t>
      </w:r>
      <w:r w:rsidRPr="00DC016F">
        <w:rPr>
          <w:rFonts w:ascii="Arial" w:hAnsi="Arial" w:cs="Arial"/>
          <w:b/>
          <w:sz w:val="22"/>
          <w:szCs w:val="22"/>
        </w:rPr>
        <w:t>hildren</w:t>
      </w:r>
      <w:bookmarkEnd w:id="38"/>
    </w:p>
    <w:tbl>
      <w:tblPr>
        <w:tblStyle w:val="TableGrid"/>
        <w:tblW w:w="91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1832"/>
        <w:gridCol w:w="1832"/>
        <w:gridCol w:w="1832"/>
        <w:gridCol w:w="1832"/>
      </w:tblGrid>
      <w:tr w:rsidR="008071B7" w:rsidRPr="00DC016F" w14:paraId="38CB8865" w14:textId="77777777" w:rsidTr="001706B5">
        <w:trPr>
          <w:trHeight w:val="252"/>
        </w:trPr>
        <w:tc>
          <w:tcPr>
            <w:tcW w:w="1832" w:type="dxa"/>
            <w:tcBorders>
              <w:top w:val="single" w:sz="4" w:space="0" w:color="auto"/>
              <w:bottom w:val="single" w:sz="4" w:space="0" w:color="auto"/>
            </w:tcBorders>
          </w:tcPr>
          <w:p w14:paraId="55AB0FDD" w14:textId="77777777" w:rsidR="005B20B1" w:rsidRPr="00DC016F" w:rsidRDefault="005B20B1" w:rsidP="00A9422C">
            <w:pPr>
              <w:spacing w:after="0" w:line="240" w:lineRule="auto"/>
              <w:rPr>
                <w:rFonts w:ascii="Arial" w:hAnsi="Arial" w:cs="Arial"/>
                <w:b/>
              </w:rPr>
            </w:pPr>
            <w:r w:rsidRPr="00DC016F">
              <w:rPr>
                <w:rFonts w:ascii="Arial" w:hAnsi="Arial" w:cs="Arial"/>
                <w:b/>
              </w:rPr>
              <w:t>Variables</w:t>
            </w:r>
          </w:p>
        </w:tc>
        <w:tc>
          <w:tcPr>
            <w:tcW w:w="1832" w:type="dxa"/>
            <w:tcBorders>
              <w:top w:val="single" w:sz="4" w:space="0" w:color="auto"/>
              <w:bottom w:val="single" w:sz="4" w:space="0" w:color="auto"/>
            </w:tcBorders>
          </w:tcPr>
          <w:p w14:paraId="1E8C7E88" w14:textId="77777777" w:rsidR="005B20B1" w:rsidRPr="00DC016F" w:rsidRDefault="005B20B1" w:rsidP="00A9422C">
            <w:pPr>
              <w:spacing w:after="0" w:line="240" w:lineRule="auto"/>
              <w:jc w:val="center"/>
              <w:rPr>
                <w:rFonts w:ascii="Arial" w:hAnsi="Arial" w:cs="Arial"/>
                <w:b/>
              </w:rPr>
            </w:pPr>
            <w:r w:rsidRPr="00DC016F">
              <w:rPr>
                <w:rFonts w:ascii="Arial" w:hAnsi="Arial" w:cs="Arial"/>
                <w:b/>
              </w:rPr>
              <w:t>Vitamin A (µg/L)</w:t>
            </w:r>
          </w:p>
        </w:tc>
        <w:tc>
          <w:tcPr>
            <w:tcW w:w="1832" w:type="dxa"/>
            <w:tcBorders>
              <w:top w:val="single" w:sz="4" w:space="0" w:color="auto"/>
              <w:bottom w:val="single" w:sz="4" w:space="0" w:color="auto"/>
            </w:tcBorders>
          </w:tcPr>
          <w:p w14:paraId="0EDEFACE" w14:textId="77777777" w:rsidR="005B20B1" w:rsidRPr="00DC016F" w:rsidRDefault="005B20B1" w:rsidP="00A9422C">
            <w:pPr>
              <w:spacing w:after="0" w:line="240" w:lineRule="auto"/>
              <w:jc w:val="center"/>
              <w:rPr>
                <w:rFonts w:ascii="Arial" w:hAnsi="Arial" w:cs="Arial"/>
                <w:b/>
              </w:rPr>
            </w:pPr>
            <w:r w:rsidRPr="00DC016F">
              <w:rPr>
                <w:rFonts w:ascii="Arial" w:hAnsi="Arial" w:cs="Arial"/>
                <w:b/>
              </w:rPr>
              <w:t>Vitamin C (µg/L)</w:t>
            </w:r>
          </w:p>
        </w:tc>
        <w:tc>
          <w:tcPr>
            <w:tcW w:w="1832" w:type="dxa"/>
            <w:tcBorders>
              <w:top w:val="single" w:sz="4" w:space="0" w:color="auto"/>
              <w:bottom w:val="single" w:sz="4" w:space="0" w:color="auto"/>
            </w:tcBorders>
          </w:tcPr>
          <w:p w14:paraId="1B486AAF" w14:textId="77777777" w:rsidR="005B20B1" w:rsidRPr="00DC016F" w:rsidRDefault="005B20B1" w:rsidP="00A9422C">
            <w:pPr>
              <w:spacing w:after="0" w:line="240" w:lineRule="auto"/>
              <w:jc w:val="center"/>
              <w:rPr>
                <w:rFonts w:ascii="Arial" w:hAnsi="Arial" w:cs="Arial"/>
                <w:b/>
              </w:rPr>
            </w:pPr>
            <w:r w:rsidRPr="00DC016F">
              <w:rPr>
                <w:rFonts w:ascii="Arial" w:hAnsi="Arial" w:cs="Arial"/>
                <w:b/>
              </w:rPr>
              <w:t>Vitamin D (µg/L)</w:t>
            </w:r>
          </w:p>
        </w:tc>
        <w:tc>
          <w:tcPr>
            <w:tcW w:w="1832" w:type="dxa"/>
            <w:tcBorders>
              <w:top w:val="single" w:sz="4" w:space="0" w:color="auto"/>
              <w:bottom w:val="single" w:sz="4" w:space="0" w:color="auto"/>
            </w:tcBorders>
          </w:tcPr>
          <w:p w14:paraId="443177BE" w14:textId="77777777" w:rsidR="005B20B1" w:rsidRPr="00DC016F" w:rsidRDefault="005B20B1" w:rsidP="00A9422C">
            <w:pPr>
              <w:spacing w:after="0" w:line="240" w:lineRule="auto"/>
              <w:jc w:val="center"/>
              <w:rPr>
                <w:rFonts w:ascii="Arial" w:hAnsi="Arial" w:cs="Arial"/>
                <w:b/>
              </w:rPr>
            </w:pPr>
            <w:r w:rsidRPr="00DC016F">
              <w:rPr>
                <w:rFonts w:ascii="Arial" w:hAnsi="Arial" w:cs="Arial"/>
                <w:b/>
              </w:rPr>
              <w:t>Vitamin E (µg/L)</w:t>
            </w:r>
          </w:p>
        </w:tc>
      </w:tr>
      <w:tr w:rsidR="008071B7" w:rsidRPr="00DC016F" w14:paraId="40241171" w14:textId="77777777" w:rsidTr="001706B5">
        <w:trPr>
          <w:trHeight w:val="231"/>
        </w:trPr>
        <w:tc>
          <w:tcPr>
            <w:tcW w:w="1832" w:type="dxa"/>
            <w:tcBorders>
              <w:top w:val="single" w:sz="4" w:space="0" w:color="auto"/>
            </w:tcBorders>
          </w:tcPr>
          <w:p w14:paraId="733C5265" w14:textId="77777777" w:rsidR="005B20B1" w:rsidRPr="00DC016F" w:rsidRDefault="005B20B1" w:rsidP="00A9422C">
            <w:pPr>
              <w:spacing w:after="0" w:line="240" w:lineRule="auto"/>
              <w:rPr>
                <w:rFonts w:ascii="Arial" w:hAnsi="Arial" w:cs="Arial"/>
              </w:rPr>
            </w:pPr>
            <w:r w:rsidRPr="00DC016F">
              <w:rPr>
                <w:rFonts w:ascii="Arial" w:hAnsi="Arial" w:cs="Arial"/>
              </w:rPr>
              <w:t>BE</w:t>
            </w:r>
          </w:p>
        </w:tc>
        <w:tc>
          <w:tcPr>
            <w:tcW w:w="1832" w:type="dxa"/>
            <w:tcBorders>
              <w:top w:val="single" w:sz="4" w:space="0" w:color="auto"/>
            </w:tcBorders>
          </w:tcPr>
          <w:p w14:paraId="6C31E65F"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1263.72 ± 383.1</w:t>
            </w:r>
          </w:p>
        </w:tc>
        <w:tc>
          <w:tcPr>
            <w:tcW w:w="1832" w:type="dxa"/>
            <w:tcBorders>
              <w:top w:val="single" w:sz="4" w:space="0" w:color="auto"/>
            </w:tcBorders>
          </w:tcPr>
          <w:p w14:paraId="515FCA1D"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288.6 ±36.4</w:t>
            </w:r>
          </w:p>
        </w:tc>
        <w:tc>
          <w:tcPr>
            <w:tcW w:w="1832" w:type="dxa"/>
            <w:tcBorders>
              <w:top w:val="single" w:sz="4" w:space="0" w:color="auto"/>
            </w:tcBorders>
          </w:tcPr>
          <w:p w14:paraId="62D9A143"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25.4 ± 4.9</w:t>
            </w:r>
          </w:p>
        </w:tc>
        <w:tc>
          <w:tcPr>
            <w:tcW w:w="1832" w:type="dxa"/>
            <w:tcBorders>
              <w:top w:val="single" w:sz="4" w:space="0" w:color="auto"/>
            </w:tcBorders>
          </w:tcPr>
          <w:p w14:paraId="520C624D"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11.2 ± 1.6</w:t>
            </w:r>
          </w:p>
        </w:tc>
      </w:tr>
      <w:tr w:rsidR="008071B7" w:rsidRPr="00DC016F" w14:paraId="41DC7A07" w14:textId="77777777" w:rsidTr="001706B5">
        <w:trPr>
          <w:trHeight w:val="252"/>
        </w:trPr>
        <w:tc>
          <w:tcPr>
            <w:tcW w:w="1832" w:type="dxa"/>
          </w:tcPr>
          <w:p w14:paraId="42BE045A" w14:textId="77777777" w:rsidR="005B20B1" w:rsidRPr="00DC016F" w:rsidRDefault="005B20B1" w:rsidP="00A9422C">
            <w:pPr>
              <w:spacing w:after="0" w:line="240" w:lineRule="auto"/>
              <w:rPr>
                <w:rFonts w:ascii="Arial" w:hAnsi="Arial" w:cs="Arial"/>
              </w:rPr>
            </w:pPr>
            <w:r w:rsidRPr="00DC016F">
              <w:rPr>
                <w:rFonts w:ascii="Arial" w:hAnsi="Arial" w:cs="Arial"/>
              </w:rPr>
              <w:t>BW</w:t>
            </w:r>
          </w:p>
        </w:tc>
        <w:tc>
          <w:tcPr>
            <w:tcW w:w="1832" w:type="dxa"/>
          </w:tcPr>
          <w:p w14:paraId="0EB9C48B"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1404.1 ±545.0</w:t>
            </w:r>
          </w:p>
        </w:tc>
        <w:tc>
          <w:tcPr>
            <w:tcW w:w="1832" w:type="dxa"/>
          </w:tcPr>
          <w:p w14:paraId="07B5C5CB"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258.4±61.2</w:t>
            </w:r>
          </w:p>
        </w:tc>
        <w:tc>
          <w:tcPr>
            <w:tcW w:w="1832" w:type="dxa"/>
          </w:tcPr>
          <w:p w14:paraId="6371A02F"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21.1 ±3.7</w:t>
            </w:r>
          </w:p>
        </w:tc>
        <w:tc>
          <w:tcPr>
            <w:tcW w:w="1832" w:type="dxa"/>
          </w:tcPr>
          <w:p w14:paraId="191B280F"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9.6 ±1.2</w:t>
            </w:r>
          </w:p>
        </w:tc>
      </w:tr>
      <w:tr w:rsidR="008071B7" w:rsidRPr="00DC016F" w14:paraId="3263978A" w14:textId="77777777" w:rsidTr="001706B5">
        <w:trPr>
          <w:trHeight w:val="231"/>
        </w:trPr>
        <w:tc>
          <w:tcPr>
            <w:tcW w:w="1832" w:type="dxa"/>
          </w:tcPr>
          <w:p w14:paraId="42422952" w14:textId="77777777" w:rsidR="005B20B1" w:rsidRPr="00DC016F" w:rsidRDefault="005B20B1" w:rsidP="00A9422C">
            <w:pPr>
              <w:spacing w:after="0" w:line="240" w:lineRule="auto"/>
              <w:rPr>
                <w:rFonts w:ascii="Arial" w:hAnsi="Arial" w:cs="Arial"/>
              </w:rPr>
            </w:pPr>
            <w:r w:rsidRPr="00DC016F">
              <w:rPr>
                <w:rFonts w:ascii="Arial" w:hAnsi="Arial" w:cs="Arial"/>
              </w:rPr>
              <w:t>WW</w:t>
            </w:r>
          </w:p>
        </w:tc>
        <w:tc>
          <w:tcPr>
            <w:tcW w:w="1832" w:type="dxa"/>
          </w:tcPr>
          <w:p w14:paraId="7F381344"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1322.3 ±521.5</w:t>
            </w:r>
          </w:p>
        </w:tc>
        <w:tc>
          <w:tcPr>
            <w:tcW w:w="1832" w:type="dxa"/>
          </w:tcPr>
          <w:p w14:paraId="254807CC"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281.6 ±63.8</w:t>
            </w:r>
          </w:p>
        </w:tc>
        <w:tc>
          <w:tcPr>
            <w:tcW w:w="1832" w:type="dxa"/>
          </w:tcPr>
          <w:p w14:paraId="575FECC2"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24.5 ±3.6</w:t>
            </w:r>
          </w:p>
        </w:tc>
        <w:tc>
          <w:tcPr>
            <w:tcW w:w="1832" w:type="dxa"/>
          </w:tcPr>
          <w:p w14:paraId="160AAB8A"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10.0 ±1.9</w:t>
            </w:r>
          </w:p>
        </w:tc>
      </w:tr>
      <w:tr w:rsidR="008071B7" w:rsidRPr="00DC016F" w14:paraId="2FE306BF" w14:textId="77777777" w:rsidTr="001706B5">
        <w:trPr>
          <w:trHeight w:val="252"/>
        </w:trPr>
        <w:tc>
          <w:tcPr>
            <w:tcW w:w="1832" w:type="dxa"/>
          </w:tcPr>
          <w:p w14:paraId="31B94AC5" w14:textId="77777777" w:rsidR="005B20B1" w:rsidRPr="00DC016F" w:rsidRDefault="005B20B1" w:rsidP="00A9422C">
            <w:pPr>
              <w:spacing w:after="0" w:line="240" w:lineRule="auto"/>
              <w:rPr>
                <w:rFonts w:ascii="Arial" w:hAnsi="Arial" w:cs="Arial"/>
              </w:rPr>
            </w:pPr>
            <w:r w:rsidRPr="00DC016F">
              <w:rPr>
                <w:rFonts w:ascii="Arial" w:hAnsi="Arial" w:cs="Arial"/>
              </w:rPr>
              <w:t>KT</w:t>
            </w:r>
          </w:p>
        </w:tc>
        <w:tc>
          <w:tcPr>
            <w:tcW w:w="1832" w:type="dxa"/>
          </w:tcPr>
          <w:p w14:paraId="2C7645E7"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1075.5 ±583.5</w:t>
            </w:r>
          </w:p>
        </w:tc>
        <w:tc>
          <w:tcPr>
            <w:tcW w:w="1832" w:type="dxa"/>
          </w:tcPr>
          <w:p w14:paraId="50647CB1"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286.9 ±54.4</w:t>
            </w:r>
          </w:p>
        </w:tc>
        <w:tc>
          <w:tcPr>
            <w:tcW w:w="1832" w:type="dxa"/>
          </w:tcPr>
          <w:p w14:paraId="3A1080F8"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23.0 ±3.9</w:t>
            </w:r>
          </w:p>
        </w:tc>
        <w:tc>
          <w:tcPr>
            <w:tcW w:w="1832" w:type="dxa"/>
          </w:tcPr>
          <w:p w14:paraId="26308ECD"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10.9 ±1.6</w:t>
            </w:r>
          </w:p>
        </w:tc>
      </w:tr>
      <w:tr w:rsidR="008071B7" w:rsidRPr="00DC016F" w14:paraId="370592BC" w14:textId="77777777" w:rsidTr="001706B5">
        <w:trPr>
          <w:trHeight w:val="231"/>
        </w:trPr>
        <w:tc>
          <w:tcPr>
            <w:tcW w:w="1832" w:type="dxa"/>
          </w:tcPr>
          <w:p w14:paraId="338690AC" w14:textId="77777777" w:rsidR="005B20B1" w:rsidRPr="00DC016F" w:rsidRDefault="005B20B1" w:rsidP="00A9422C">
            <w:pPr>
              <w:spacing w:after="0" w:line="240" w:lineRule="auto"/>
              <w:rPr>
                <w:rFonts w:ascii="Arial" w:hAnsi="Arial" w:cs="Arial"/>
              </w:rPr>
            </w:pPr>
            <w:r w:rsidRPr="00DC016F">
              <w:rPr>
                <w:rFonts w:ascii="Arial" w:hAnsi="Arial" w:cs="Arial"/>
              </w:rPr>
              <w:t>TW</w:t>
            </w:r>
          </w:p>
        </w:tc>
        <w:tc>
          <w:tcPr>
            <w:tcW w:w="1832" w:type="dxa"/>
          </w:tcPr>
          <w:p w14:paraId="4C68F4AB"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1136.2 ± 583.1</w:t>
            </w:r>
          </w:p>
        </w:tc>
        <w:tc>
          <w:tcPr>
            <w:tcW w:w="1832" w:type="dxa"/>
          </w:tcPr>
          <w:p w14:paraId="717F2A52"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268.7 ±25.2</w:t>
            </w:r>
          </w:p>
        </w:tc>
        <w:tc>
          <w:tcPr>
            <w:tcW w:w="1832" w:type="dxa"/>
          </w:tcPr>
          <w:p w14:paraId="368782B3"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23.3 ±4.4</w:t>
            </w:r>
          </w:p>
        </w:tc>
        <w:tc>
          <w:tcPr>
            <w:tcW w:w="1832" w:type="dxa"/>
          </w:tcPr>
          <w:p w14:paraId="07ADF10F"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9.6 ±1.1</w:t>
            </w:r>
          </w:p>
        </w:tc>
      </w:tr>
      <w:tr w:rsidR="008071B7" w:rsidRPr="00DC016F" w14:paraId="02CC3CFB" w14:textId="77777777" w:rsidTr="001706B5">
        <w:trPr>
          <w:trHeight w:val="252"/>
        </w:trPr>
        <w:tc>
          <w:tcPr>
            <w:tcW w:w="1832" w:type="dxa"/>
          </w:tcPr>
          <w:p w14:paraId="6BDAF84E" w14:textId="77777777" w:rsidR="005B20B1" w:rsidRPr="00DC016F" w:rsidRDefault="005B20B1" w:rsidP="00A9422C">
            <w:pPr>
              <w:spacing w:after="0" w:line="240" w:lineRule="auto"/>
              <w:rPr>
                <w:rFonts w:ascii="Arial" w:hAnsi="Arial" w:cs="Arial"/>
              </w:rPr>
            </w:pPr>
            <w:r w:rsidRPr="00DC016F">
              <w:rPr>
                <w:rFonts w:ascii="Arial" w:hAnsi="Arial" w:cs="Arial"/>
              </w:rPr>
              <w:t>JH</w:t>
            </w:r>
          </w:p>
        </w:tc>
        <w:tc>
          <w:tcPr>
            <w:tcW w:w="1832" w:type="dxa"/>
          </w:tcPr>
          <w:p w14:paraId="4A74C983"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1339.8 ±321.2</w:t>
            </w:r>
          </w:p>
        </w:tc>
        <w:tc>
          <w:tcPr>
            <w:tcW w:w="1832" w:type="dxa"/>
          </w:tcPr>
          <w:p w14:paraId="7D63861F"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322.4±99.3</w:t>
            </w:r>
          </w:p>
        </w:tc>
        <w:tc>
          <w:tcPr>
            <w:tcW w:w="1832" w:type="dxa"/>
          </w:tcPr>
          <w:p w14:paraId="6E1D43CD"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27.7 ±2.9</w:t>
            </w:r>
          </w:p>
        </w:tc>
        <w:tc>
          <w:tcPr>
            <w:tcW w:w="1832" w:type="dxa"/>
          </w:tcPr>
          <w:p w14:paraId="73BF0914"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10.8 ±2.3</w:t>
            </w:r>
          </w:p>
        </w:tc>
      </w:tr>
      <w:tr w:rsidR="008071B7" w:rsidRPr="00DC016F" w14:paraId="47DAE9E0" w14:textId="77777777" w:rsidTr="001706B5">
        <w:trPr>
          <w:trHeight w:val="252"/>
        </w:trPr>
        <w:tc>
          <w:tcPr>
            <w:tcW w:w="1832" w:type="dxa"/>
          </w:tcPr>
          <w:p w14:paraId="704C0E45" w14:textId="77777777" w:rsidR="005B20B1" w:rsidRPr="00DC016F" w:rsidRDefault="005B20B1" w:rsidP="00A9422C">
            <w:pPr>
              <w:spacing w:after="0" w:line="240" w:lineRule="auto"/>
              <w:rPr>
                <w:rFonts w:ascii="Arial" w:hAnsi="Arial" w:cs="Arial"/>
              </w:rPr>
            </w:pPr>
            <w:r w:rsidRPr="00DC016F">
              <w:rPr>
                <w:rFonts w:ascii="Arial" w:hAnsi="Arial" w:cs="Arial"/>
              </w:rPr>
              <w:t>AM</w:t>
            </w:r>
          </w:p>
        </w:tc>
        <w:tc>
          <w:tcPr>
            <w:tcW w:w="1832" w:type="dxa"/>
          </w:tcPr>
          <w:p w14:paraId="30CC69E7"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1061.4 ± 576.2</w:t>
            </w:r>
          </w:p>
        </w:tc>
        <w:tc>
          <w:tcPr>
            <w:tcW w:w="1832" w:type="dxa"/>
          </w:tcPr>
          <w:p w14:paraId="2D077EA3"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207.6 ±35.5</w:t>
            </w:r>
          </w:p>
        </w:tc>
        <w:tc>
          <w:tcPr>
            <w:tcW w:w="1832" w:type="dxa"/>
          </w:tcPr>
          <w:p w14:paraId="13920424"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27. 0 ±3.1</w:t>
            </w:r>
          </w:p>
        </w:tc>
        <w:tc>
          <w:tcPr>
            <w:tcW w:w="1832" w:type="dxa"/>
          </w:tcPr>
          <w:p w14:paraId="63B59325"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13.3 ±1.7</w:t>
            </w:r>
          </w:p>
        </w:tc>
      </w:tr>
      <w:tr w:rsidR="008071B7" w:rsidRPr="00DC016F" w14:paraId="60980F4A" w14:textId="77777777" w:rsidTr="001706B5">
        <w:trPr>
          <w:trHeight w:val="231"/>
        </w:trPr>
        <w:tc>
          <w:tcPr>
            <w:tcW w:w="1832" w:type="dxa"/>
          </w:tcPr>
          <w:p w14:paraId="344B24BF" w14:textId="77777777" w:rsidR="005B20B1" w:rsidRPr="00DC016F" w:rsidRDefault="005B20B1" w:rsidP="00A9422C">
            <w:pPr>
              <w:spacing w:after="0" w:line="240" w:lineRule="auto"/>
              <w:rPr>
                <w:rFonts w:ascii="Arial" w:hAnsi="Arial" w:cs="Arial"/>
              </w:rPr>
            </w:pPr>
            <w:r w:rsidRPr="00DC016F">
              <w:rPr>
                <w:rFonts w:ascii="Arial" w:hAnsi="Arial" w:cs="Arial"/>
              </w:rPr>
              <w:t>TB</w:t>
            </w:r>
          </w:p>
        </w:tc>
        <w:tc>
          <w:tcPr>
            <w:tcW w:w="1832" w:type="dxa"/>
          </w:tcPr>
          <w:p w14:paraId="41CD7C38"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933.4 ±219.0</w:t>
            </w:r>
          </w:p>
        </w:tc>
        <w:tc>
          <w:tcPr>
            <w:tcW w:w="1832" w:type="dxa"/>
          </w:tcPr>
          <w:p w14:paraId="0323391A"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270.3 ±20.8</w:t>
            </w:r>
          </w:p>
        </w:tc>
        <w:tc>
          <w:tcPr>
            <w:tcW w:w="1832" w:type="dxa"/>
          </w:tcPr>
          <w:p w14:paraId="79525C3B"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27.0 ±3.1</w:t>
            </w:r>
          </w:p>
        </w:tc>
        <w:tc>
          <w:tcPr>
            <w:tcW w:w="1832" w:type="dxa"/>
          </w:tcPr>
          <w:p w14:paraId="67A92FB5"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11.8 ±2.7</w:t>
            </w:r>
          </w:p>
        </w:tc>
      </w:tr>
      <w:tr w:rsidR="008071B7" w:rsidRPr="00DC016F" w14:paraId="1ECDA886" w14:textId="77777777" w:rsidTr="001706B5">
        <w:trPr>
          <w:trHeight w:val="252"/>
        </w:trPr>
        <w:tc>
          <w:tcPr>
            <w:tcW w:w="1832" w:type="dxa"/>
          </w:tcPr>
          <w:p w14:paraId="448F703C" w14:textId="77777777" w:rsidR="005B20B1" w:rsidRPr="00DC016F" w:rsidRDefault="005B20B1" w:rsidP="00A9422C">
            <w:pPr>
              <w:spacing w:after="0" w:line="240" w:lineRule="auto"/>
              <w:rPr>
                <w:rFonts w:ascii="Arial" w:hAnsi="Arial" w:cs="Arial"/>
              </w:rPr>
            </w:pPr>
            <w:r w:rsidRPr="00DC016F">
              <w:rPr>
                <w:rFonts w:ascii="Arial" w:hAnsi="Arial" w:cs="Arial"/>
              </w:rPr>
              <w:t>BG</w:t>
            </w:r>
          </w:p>
        </w:tc>
        <w:tc>
          <w:tcPr>
            <w:tcW w:w="1832" w:type="dxa"/>
          </w:tcPr>
          <w:p w14:paraId="4DD18C48"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1135.9 ±673.0</w:t>
            </w:r>
          </w:p>
        </w:tc>
        <w:tc>
          <w:tcPr>
            <w:tcW w:w="1832" w:type="dxa"/>
          </w:tcPr>
          <w:p w14:paraId="7AFF81DD"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200.9 ±52.1</w:t>
            </w:r>
          </w:p>
        </w:tc>
        <w:tc>
          <w:tcPr>
            <w:tcW w:w="1832" w:type="dxa"/>
          </w:tcPr>
          <w:p w14:paraId="37260814"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27.3 ±2.9</w:t>
            </w:r>
          </w:p>
        </w:tc>
        <w:tc>
          <w:tcPr>
            <w:tcW w:w="1832" w:type="dxa"/>
          </w:tcPr>
          <w:p w14:paraId="4910A66E"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9.6 ±1.2</w:t>
            </w:r>
          </w:p>
        </w:tc>
      </w:tr>
      <w:tr w:rsidR="008071B7" w:rsidRPr="00DC016F" w14:paraId="029AE100" w14:textId="77777777" w:rsidTr="001706B5">
        <w:trPr>
          <w:trHeight w:val="252"/>
        </w:trPr>
        <w:tc>
          <w:tcPr>
            <w:tcW w:w="1832" w:type="dxa"/>
            <w:tcBorders>
              <w:bottom w:val="single" w:sz="4" w:space="0" w:color="auto"/>
            </w:tcBorders>
          </w:tcPr>
          <w:p w14:paraId="52C6D8FF" w14:textId="77777777" w:rsidR="005B20B1" w:rsidRPr="00DC016F" w:rsidRDefault="005B20B1" w:rsidP="00A9422C">
            <w:pPr>
              <w:spacing w:after="0" w:line="240" w:lineRule="auto"/>
              <w:rPr>
                <w:rFonts w:ascii="Arial" w:hAnsi="Arial" w:cs="Arial"/>
              </w:rPr>
            </w:pPr>
            <w:r w:rsidRPr="00DC016F">
              <w:rPr>
                <w:rFonts w:ascii="Arial" w:hAnsi="Arial" w:cs="Arial"/>
              </w:rPr>
              <w:t>RB</w:t>
            </w:r>
          </w:p>
        </w:tc>
        <w:tc>
          <w:tcPr>
            <w:tcW w:w="1832" w:type="dxa"/>
            <w:tcBorders>
              <w:bottom w:val="single" w:sz="4" w:space="0" w:color="auto"/>
            </w:tcBorders>
          </w:tcPr>
          <w:p w14:paraId="317F90F2"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1618.7 ±665.4</w:t>
            </w:r>
          </w:p>
        </w:tc>
        <w:tc>
          <w:tcPr>
            <w:tcW w:w="1832" w:type="dxa"/>
            <w:tcBorders>
              <w:bottom w:val="single" w:sz="4" w:space="0" w:color="auto"/>
            </w:tcBorders>
          </w:tcPr>
          <w:p w14:paraId="05E85362"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191.5 ±28.9</w:t>
            </w:r>
          </w:p>
        </w:tc>
        <w:tc>
          <w:tcPr>
            <w:tcW w:w="1832" w:type="dxa"/>
            <w:tcBorders>
              <w:bottom w:val="single" w:sz="4" w:space="0" w:color="auto"/>
            </w:tcBorders>
          </w:tcPr>
          <w:p w14:paraId="3CD3844F"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27.9 ±3.2</w:t>
            </w:r>
          </w:p>
        </w:tc>
        <w:tc>
          <w:tcPr>
            <w:tcW w:w="1832" w:type="dxa"/>
            <w:tcBorders>
              <w:bottom w:val="single" w:sz="4" w:space="0" w:color="auto"/>
            </w:tcBorders>
          </w:tcPr>
          <w:p w14:paraId="19879CE6"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11.3 ±2.6</w:t>
            </w:r>
          </w:p>
        </w:tc>
      </w:tr>
    </w:tbl>
    <w:p w14:paraId="0AB66E62" w14:textId="77777777" w:rsidR="005B20B1" w:rsidRPr="00DC016F" w:rsidRDefault="005B20B1" w:rsidP="00FD59DA">
      <w:pPr>
        <w:spacing w:line="240" w:lineRule="auto"/>
        <w:ind w:left="540" w:hanging="540"/>
        <w:jc w:val="both"/>
        <w:rPr>
          <w:rFonts w:ascii="Arial" w:eastAsia="Times New Roman" w:hAnsi="Arial" w:cs="Arial"/>
        </w:rPr>
      </w:pPr>
      <w:r w:rsidRPr="00DC016F">
        <w:rPr>
          <w:rFonts w:ascii="Arial" w:hAnsi="Arial" w:cs="Arial"/>
          <w:b/>
        </w:rPr>
        <w:t>Keys:</w:t>
      </w:r>
      <w:r w:rsidRPr="00DC016F">
        <w:rPr>
          <w:rFonts w:ascii="Arial" w:hAnsi="Arial" w:cs="Arial"/>
        </w:rPr>
        <w:t xml:space="preserve"> Columns represent mean ± SD of 10 observations from each sampling locations. Values followed by different letters across the rows are significantly different at </w:t>
      </w:r>
      <w:r w:rsidRPr="00DC016F">
        <w:rPr>
          <w:rFonts w:ascii="Arial" w:hAnsi="Arial" w:cs="Arial"/>
          <w:i/>
        </w:rPr>
        <w:t>P</w:t>
      </w:r>
      <w:r w:rsidRPr="00DC016F">
        <w:rPr>
          <w:rFonts w:ascii="Arial" w:hAnsi="Arial" w:cs="Arial"/>
        </w:rPr>
        <w:t xml:space="preserve">&lt; 0.05 (Post Hoc Tukey). BE – </w:t>
      </w:r>
      <w:proofErr w:type="spellStart"/>
      <w:r w:rsidRPr="00DC016F">
        <w:rPr>
          <w:rFonts w:ascii="Arial" w:hAnsi="Arial" w:cs="Arial"/>
        </w:rPr>
        <w:t>Bajoga</w:t>
      </w:r>
      <w:proofErr w:type="spellEnd"/>
      <w:r w:rsidRPr="00DC016F">
        <w:rPr>
          <w:rFonts w:ascii="Arial" w:hAnsi="Arial" w:cs="Arial"/>
        </w:rPr>
        <w:t xml:space="preserve"> East; BW – </w:t>
      </w:r>
      <w:proofErr w:type="spellStart"/>
      <w:r w:rsidRPr="00DC016F">
        <w:rPr>
          <w:rFonts w:ascii="Arial" w:hAnsi="Arial" w:cs="Arial"/>
        </w:rPr>
        <w:t>Bajoga</w:t>
      </w:r>
      <w:proofErr w:type="spellEnd"/>
      <w:r w:rsidRPr="00DC016F">
        <w:rPr>
          <w:rFonts w:ascii="Arial" w:hAnsi="Arial" w:cs="Arial"/>
        </w:rPr>
        <w:t xml:space="preserve"> West; WW – Wawa/</w:t>
      </w:r>
      <w:proofErr w:type="spellStart"/>
      <w:r w:rsidRPr="00DC016F">
        <w:rPr>
          <w:rFonts w:ascii="Arial" w:hAnsi="Arial" w:cs="Arial"/>
        </w:rPr>
        <w:t>Wakkaltu</w:t>
      </w:r>
      <w:proofErr w:type="spellEnd"/>
      <w:r w:rsidRPr="00DC016F">
        <w:rPr>
          <w:rFonts w:ascii="Arial" w:hAnsi="Arial" w:cs="Arial"/>
        </w:rPr>
        <w:t xml:space="preserve">; KT – </w:t>
      </w:r>
      <w:proofErr w:type="spellStart"/>
      <w:r w:rsidRPr="00DC016F">
        <w:rPr>
          <w:rFonts w:ascii="Arial" w:hAnsi="Arial" w:cs="Arial"/>
        </w:rPr>
        <w:t>Kupto</w:t>
      </w:r>
      <w:proofErr w:type="spellEnd"/>
      <w:r w:rsidRPr="00DC016F">
        <w:rPr>
          <w:rFonts w:ascii="Arial" w:hAnsi="Arial" w:cs="Arial"/>
        </w:rPr>
        <w:t xml:space="preserve">; TW – Tongo Ward; JH – </w:t>
      </w:r>
      <w:proofErr w:type="spellStart"/>
      <w:r w:rsidRPr="00DC016F">
        <w:rPr>
          <w:rFonts w:ascii="Arial" w:hAnsi="Arial" w:cs="Arial"/>
        </w:rPr>
        <w:t>Jillahi</w:t>
      </w:r>
      <w:proofErr w:type="spellEnd"/>
      <w:r w:rsidRPr="00DC016F">
        <w:rPr>
          <w:rFonts w:ascii="Arial" w:hAnsi="Arial" w:cs="Arial"/>
        </w:rPr>
        <w:t xml:space="preserve">; AM – </w:t>
      </w:r>
      <w:proofErr w:type="spellStart"/>
      <w:r w:rsidRPr="00DC016F">
        <w:rPr>
          <w:rFonts w:ascii="Arial" w:hAnsi="Arial" w:cs="Arial"/>
        </w:rPr>
        <w:t>Ashaka</w:t>
      </w:r>
      <w:proofErr w:type="spellEnd"/>
      <w:r w:rsidRPr="00DC016F">
        <w:rPr>
          <w:rFonts w:ascii="Arial" w:hAnsi="Arial" w:cs="Arial"/>
        </w:rPr>
        <w:t>/</w:t>
      </w:r>
      <w:proofErr w:type="spellStart"/>
      <w:r w:rsidRPr="00DC016F">
        <w:rPr>
          <w:rFonts w:ascii="Arial" w:hAnsi="Arial" w:cs="Arial"/>
        </w:rPr>
        <w:t>Magaba</w:t>
      </w:r>
      <w:proofErr w:type="spellEnd"/>
      <w:r w:rsidRPr="00DC016F">
        <w:rPr>
          <w:rFonts w:ascii="Arial" w:hAnsi="Arial" w:cs="Arial"/>
        </w:rPr>
        <w:t>; TB – Tilde/Bodor; BG – Bage; RB – Ribadu.</w:t>
      </w:r>
    </w:p>
    <w:p w14:paraId="6322B385" w14:textId="77777777" w:rsidR="00CE6344" w:rsidRDefault="00CE6344" w:rsidP="00A43BAB">
      <w:pPr>
        <w:spacing w:after="0" w:line="360" w:lineRule="auto"/>
        <w:jc w:val="both"/>
        <w:rPr>
          <w:rFonts w:ascii="Arial" w:eastAsia="Times New Roman" w:hAnsi="Arial" w:cs="Arial"/>
        </w:rPr>
      </w:pPr>
    </w:p>
    <w:p w14:paraId="646F4DFA" w14:textId="15D56F17" w:rsidR="00A43BAB" w:rsidRPr="00DC016F" w:rsidRDefault="005B20B1" w:rsidP="00A43BAB">
      <w:pPr>
        <w:spacing w:after="0" w:line="360" w:lineRule="auto"/>
        <w:jc w:val="both"/>
        <w:rPr>
          <w:rFonts w:ascii="Arial" w:eastAsia="Times New Roman" w:hAnsi="Arial" w:cs="Arial"/>
        </w:rPr>
      </w:pPr>
      <w:r w:rsidRPr="00DC016F">
        <w:rPr>
          <w:rFonts w:ascii="Arial" w:eastAsia="Times New Roman" w:hAnsi="Arial" w:cs="Arial"/>
        </w:rPr>
        <w:t xml:space="preserve">The result of the minerals status </w:t>
      </w:r>
      <w:r w:rsidR="00CE6344">
        <w:rPr>
          <w:rFonts w:ascii="Arial" w:eastAsia="Times New Roman" w:hAnsi="Arial" w:cs="Arial"/>
        </w:rPr>
        <w:t xml:space="preserve">(Table 4) </w:t>
      </w:r>
      <w:r w:rsidRPr="00DC016F">
        <w:rPr>
          <w:rFonts w:ascii="Arial" w:eastAsia="Times New Roman" w:hAnsi="Arial" w:cs="Arial"/>
        </w:rPr>
        <w:t>of the study group showed that there is a significant difference at P&lt;0.05 in copper level of which Tilde/</w:t>
      </w:r>
      <w:proofErr w:type="spellStart"/>
      <w:r w:rsidRPr="00DC016F">
        <w:rPr>
          <w:rFonts w:ascii="Arial" w:eastAsia="Times New Roman" w:hAnsi="Arial" w:cs="Arial"/>
        </w:rPr>
        <w:t>bodor</w:t>
      </w:r>
      <w:proofErr w:type="spellEnd"/>
      <w:r w:rsidRPr="00DC016F">
        <w:rPr>
          <w:rFonts w:ascii="Arial" w:eastAsia="Times New Roman" w:hAnsi="Arial" w:cs="Arial"/>
        </w:rPr>
        <w:t xml:space="preserve"> (TB), </w:t>
      </w:r>
      <w:proofErr w:type="spellStart"/>
      <w:r w:rsidRPr="00DC016F">
        <w:rPr>
          <w:rFonts w:ascii="Arial" w:eastAsia="Times New Roman" w:hAnsi="Arial" w:cs="Arial"/>
        </w:rPr>
        <w:t>Jillahi</w:t>
      </w:r>
      <w:proofErr w:type="spellEnd"/>
      <w:r w:rsidRPr="00DC016F">
        <w:rPr>
          <w:rFonts w:ascii="Arial" w:eastAsia="Times New Roman" w:hAnsi="Arial" w:cs="Arial"/>
        </w:rPr>
        <w:t xml:space="preserve"> (JH) and </w:t>
      </w:r>
      <w:proofErr w:type="spellStart"/>
      <w:r w:rsidRPr="00DC016F">
        <w:rPr>
          <w:rFonts w:ascii="Arial" w:eastAsia="Times New Roman" w:hAnsi="Arial" w:cs="Arial"/>
        </w:rPr>
        <w:t>Bajoga</w:t>
      </w:r>
      <w:proofErr w:type="spellEnd"/>
      <w:r w:rsidRPr="00DC016F">
        <w:rPr>
          <w:rFonts w:ascii="Arial" w:eastAsia="Times New Roman" w:hAnsi="Arial" w:cs="Arial"/>
        </w:rPr>
        <w:t xml:space="preserve"> east (BE) has the highest level of copper while Tongo (TW) and Wawa/</w:t>
      </w:r>
      <w:proofErr w:type="spellStart"/>
      <w:r w:rsidRPr="00DC016F">
        <w:rPr>
          <w:rFonts w:ascii="Arial" w:eastAsia="Times New Roman" w:hAnsi="Arial" w:cs="Arial"/>
        </w:rPr>
        <w:t>wakkaltu</w:t>
      </w:r>
      <w:proofErr w:type="spellEnd"/>
      <w:r w:rsidRPr="00DC016F">
        <w:rPr>
          <w:rFonts w:ascii="Arial" w:eastAsia="Times New Roman" w:hAnsi="Arial" w:cs="Arial"/>
        </w:rPr>
        <w:t xml:space="preserve"> (WW)</w:t>
      </w:r>
      <w:r w:rsidR="00A43BAB" w:rsidRPr="00DC016F">
        <w:rPr>
          <w:rFonts w:ascii="Arial" w:eastAsia="Times New Roman" w:hAnsi="Arial" w:cs="Arial"/>
        </w:rPr>
        <w:t xml:space="preserve"> </w:t>
      </w:r>
      <w:r w:rsidRPr="00DC016F">
        <w:rPr>
          <w:rFonts w:ascii="Arial" w:eastAsia="Times New Roman" w:hAnsi="Arial" w:cs="Arial"/>
        </w:rPr>
        <w:t xml:space="preserve">has the lowest at P&lt;0.05. the result also showed that, there is a significant level of selenium level in </w:t>
      </w:r>
      <w:proofErr w:type="spellStart"/>
      <w:r w:rsidRPr="00DC016F">
        <w:rPr>
          <w:rFonts w:ascii="Arial" w:eastAsia="Times New Roman" w:hAnsi="Arial" w:cs="Arial"/>
        </w:rPr>
        <w:t>Ashaka</w:t>
      </w:r>
      <w:proofErr w:type="spellEnd"/>
      <w:r w:rsidRPr="00DC016F">
        <w:rPr>
          <w:rFonts w:ascii="Arial" w:eastAsia="Times New Roman" w:hAnsi="Arial" w:cs="Arial"/>
        </w:rPr>
        <w:t>/</w:t>
      </w:r>
      <w:proofErr w:type="spellStart"/>
      <w:r w:rsidRPr="00DC016F">
        <w:rPr>
          <w:rFonts w:ascii="Arial" w:eastAsia="Times New Roman" w:hAnsi="Arial" w:cs="Arial"/>
        </w:rPr>
        <w:t>magaba</w:t>
      </w:r>
      <w:proofErr w:type="spellEnd"/>
      <w:r w:rsidRPr="00DC016F">
        <w:rPr>
          <w:rFonts w:ascii="Arial" w:eastAsia="Times New Roman" w:hAnsi="Arial" w:cs="Arial"/>
        </w:rPr>
        <w:t xml:space="preserve"> (AM) and Tilde/</w:t>
      </w:r>
      <w:proofErr w:type="spellStart"/>
      <w:r w:rsidRPr="00DC016F">
        <w:rPr>
          <w:rFonts w:ascii="Arial" w:eastAsia="Times New Roman" w:hAnsi="Arial" w:cs="Arial"/>
        </w:rPr>
        <w:t>bodor</w:t>
      </w:r>
      <w:proofErr w:type="spellEnd"/>
      <w:r w:rsidRPr="00DC016F">
        <w:rPr>
          <w:rFonts w:ascii="Arial" w:eastAsia="Times New Roman" w:hAnsi="Arial" w:cs="Arial"/>
        </w:rPr>
        <w:t xml:space="preserve"> ward. while the level of selenium was found to be lower in </w:t>
      </w:r>
      <w:proofErr w:type="spellStart"/>
      <w:r w:rsidRPr="00DC016F">
        <w:rPr>
          <w:rFonts w:ascii="Arial" w:eastAsia="Times New Roman" w:hAnsi="Arial" w:cs="Arial"/>
        </w:rPr>
        <w:t>Jillahi</w:t>
      </w:r>
      <w:proofErr w:type="spellEnd"/>
      <w:r w:rsidRPr="00DC016F">
        <w:rPr>
          <w:rFonts w:ascii="Arial" w:eastAsia="Times New Roman" w:hAnsi="Arial" w:cs="Arial"/>
        </w:rPr>
        <w:t xml:space="preserve"> (JH), Bage (BG) and </w:t>
      </w:r>
      <w:proofErr w:type="spellStart"/>
      <w:r w:rsidRPr="00DC016F">
        <w:rPr>
          <w:rFonts w:ascii="Arial" w:eastAsia="Times New Roman" w:hAnsi="Arial" w:cs="Arial"/>
        </w:rPr>
        <w:t>Bajoga</w:t>
      </w:r>
      <w:proofErr w:type="spellEnd"/>
      <w:r w:rsidRPr="00DC016F">
        <w:rPr>
          <w:rFonts w:ascii="Arial" w:eastAsia="Times New Roman" w:hAnsi="Arial" w:cs="Arial"/>
        </w:rPr>
        <w:t xml:space="preserve"> west (BW) at P&lt;0.05.</w:t>
      </w:r>
      <w:r w:rsidR="00A43BAB" w:rsidRPr="00DC016F">
        <w:rPr>
          <w:rFonts w:ascii="Arial" w:eastAsia="Times New Roman" w:hAnsi="Arial" w:cs="Arial"/>
        </w:rPr>
        <w:t xml:space="preserve"> </w:t>
      </w:r>
    </w:p>
    <w:p w14:paraId="767BCE07" w14:textId="686777E4" w:rsidR="005B20B1" w:rsidRPr="00DC016F" w:rsidRDefault="005B20B1" w:rsidP="00A43BAB">
      <w:pPr>
        <w:spacing w:after="0" w:line="360" w:lineRule="auto"/>
        <w:jc w:val="both"/>
        <w:rPr>
          <w:rFonts w:ascii="Arial" w:eastAsia="Times New Roman" w:hAnsi="Arial" w:cs="Arial"/>
        </w:rPr>
      </w:pPr>
      <w:r w:rsidRPr="00DC016F">
        <w:rPr>
          <w:rFonts w:ascii="Arial" w:eastAsia="Times New Roman" w:hAnsi="Arial" w:cs="Arial"/>
        </w:rPr>
        <w:t>The result also showed that there is a significant difference at P&lt;0.05 on calcium level at AM, RB while Tilde/</w:t>
      </w:r>
      <w:proofErr w:type="spellStart"/>
      <w:r w:rsidRPr="00DC016F">
        <w:rPr>
          <w:rFonts w:ascii="Arial" w:eastAsia="Times New Roman" w:hAnsi="Arial" w:cs="Arial"/>
        </w:rPr>
        <w:t>bodor</w:t>
      </w:r>
      <w:proofErr w:type="spellEnd"/>
      <w:r w:rsidRPr="00DC016F">
        <w:rPr>
          <w:rFonts w:ascii="Arial" w:eastAsia="Times New Roman" w:hAnsi="Arial" w:cs="Arial"/>
        </w:rPr>
        <w:t>, Bage (BG) and Ribadu (RB) wards were found to be lower.</w:t>
      </w:r>
    </w:p>
    <w:p w14:paraId="069BD543" w14:textId="77777777" w:rsidR="005B20B1" w:rsidRPr="00DC016F" w:rsidRDefault="005B20B1" w:rsidP="00A43BAB">
      <w:pPr>
        <w:spacing w:after="0" w:line="360" w:lineRule="auto"/>
        <w:jc w:val="both"/>
        <w:rPr>
          <w:rFonts w:ascii="Arial" w:eastAsia="Times New Roman" w:hAnsi="Arial" w:cs="Arial"/>
        </w:rPr>
      </w:pPr>
      <w:r w:rsidRPr="00DC016F">
        <w:rPr>
          <w:rFonts w:ascii="Arial" w:eastAsia="Times New Roman" w:hAnsi="Arial" w:cs="Arial"/>
        </w:rPr>
        <w:t xml:space="preserve">The result also showed a significant difference at P&lt;0.05 on zinc level, where by </w:t>
      </w:r>
      <w:proofErr w:type="spellStart"/>
      <w:r w:rsidRPr="00DC016F">
        <w:rPr>
          <w:rFonts w:ascii="Arial" w:eastAsia="Times New Roman" w:hAnsi="Arial" w:cs="Arial"/>
        </w:rPr>
        <w:t>Jillahi</w:t>
      </w:r>
      <w:proofErr w:type="spellEnd"/>
      <w:r w:rsidRPr="00DC016F">
        <w:rPr>
          <w:rFonts w:ascii="Arial" w:eastAsia="Times New Roman" w:hAnsi="Arial" w:cs="Arial"/>
        </w:rPr>
        <w:t xml:space="preserve"> (JH), AM, and Tilde/</w:t>
      </w:r>
      <w:proofErr w:type="spellStart"/>
      <w:r w:rsidRPr="00DC016F">
        <w:rPr>
          <w:rFonts w:ascii="Arial" w:eastAsia="Times New Roman" w:hAnsi="Arial" w:cs="Arial"/>
        </w:rPr>
        <w:t>bodor</w:t>
      </w:r>
      <w:proofErr w:type="spellEnd"/>
      <w:r w:rsidRPr="00DC016F">
        <w:rPr>
          <w:rFonts w:ascii="Arial" w:eastAsia="Times New Roman" w:hAnsi="Arial" w:cs="Arial"/>
        </w:rPr>
        <w:t xml:space="preserve"> (TB) while is lower in Wawa/</w:t>
      </w:r>
      <w:proofErr w:type="spellStart"/>
      <w:r w:rsidRPr="00DC016F">
        <w:rPr>
          <w:rFonts w:ascii="Arial" w:eastAsia="Times New Roman" w:hAnsi="Arial" w:cs="Arial"/>
        </w:rPr>
        <w:t>wakkaltu</w:t>
      </w:r>
      <w:proofErr w:type="spellEnd"/>
      <w:r w:rsidRPr="00DC016F">
        <w:rPr>
          <w:rFonts w:ascii="Arial" w:eastAsia="Times New Roman" w:hAnsi="Arial" w:cs="Arial"/>
        </w:rPr>
        <w:t xml:space="preserve"> (WW) ward.</w:t>
      </w:r>
    </w:p>
    <w:p w14:paraId="2351226A" w14:textId="4E3F0BE2" w:rsidR="005B20B1" w:rsidRPr="00DC016F" w:rsidRDefault="005B20B1" w:rsidP="00A43BAB">
      <w:pPr>
        <w:spacing w:after="0" w:line="360" w:lineRule="auto"/>
        <w:jc w:val="both"/>
        <w:rPr>
          <w:rFonts w:ascii="Arial" w:eastAsia="Times New Roman" w:hAnsi="Arial" w:cs="Arial"/>
        </w:rPr>
      </w:pPr>
      <w:r w:rsidRPr="00DC016F">
        <w:rPr>
          <w:rFonts w:ascii="Arial" w:eastAsia="Times New Roman" w:hAnsi="Arial" w:cs="Arial"/>
        </w:rPr>
        <w:t xml:space="preserve">The iron level were found to be statistically lower at Bage ward (BG) while higher at Tongo ward (TW) at P&lt;0.05. the result also showed that, the level of manganese in </w:t>
      </w:r>
      <w:proofErr w:type="spellStart"/>
      <w:r w:rsidRPr="00DC016F">
        <w:rPr>
          <w:rFonts w:ascii="Arial" w:eastAsia="Times New Roman" w:hAnsi="Arial" w:cs="Arial"/>
        </w:rPr>
        <w:t>Bajoga</w:t>
      </w:r>
      <w:proofErr w:type="spellEnd"/>
      <w:r w:rsidRPr="00DC016F">
        <w:rPr>
          <w:rFonts w:ascii="Arial" w:eastAsia="Times New Roman" w:hAnsi="Arial" w:cs="Arial"/>
        </w:rPr>
        <w:t xml:space="preserve"> east (BE) was statistically lower 18.7 while that of Tongo ward (TW) was significantly higher 25.5 at P&lt;0.05</w:t>
      </w:r>
      <w:r w:rsidR="00A43BAB" w:rsidRPr="00DC016F">
        <w:rPr>
          <w:rFonts w:ascii="Arial" w:eastAsia="Times New Roman" w:hAnsi="Arial" w:cs="Arial"/>
        </w:rPr>
        <w:t>.</w:t>
      </w:r>
    </w:p>
    <w:p w14:paraId="63B7B0A5" w14:textId="4F48C546" w:rsidR="00A43BAB" w:rsidRPr="00DC016F" w:rsidRDefault="00A43BAB" w:rsidP="00A43BAB">
      <w:pPr>
        <w:spacing w:after="0" w:line="360" w:lineRule="auto"/>
        <w:jc w:val="both"/>
        <w:rPr>
          <w:rFonts w:ascii="Arial" w:eastAsia="Times New Roman" w:hAnsi="Arial" w:cs="Arial"/>
        </w:rPr>
      </w:pPr>
    </w:p>
    <w:p w14:paraId="35C4F575" w14:textId="600959FA" w:rsidR="00A43BAB" w:rsidRPr="00DC016F" w:rsidRDefault="00A43BAB" w:rsidP="00A43BAB">
      <w:pPr>
        <w:spacing w:after="0" w:line="360" w:lineRule="auto"/>
        <w:jc w:val="both"/>
        <w:rPr>
          <w:rFonts w:ascii="Arial" w:eastAsia="Times New Roman" w:hAnsi="Arial" w:cs="Arial"/>
        </w:rPr>
      </w:pPr>
    </w:p>
    <w:p w14:paraId="61CDA8CE" w14:textId="29D1D0A3" w:rsidR="00A43BAB" w:rsidRPr="00DC016F" w:rsidRDefault="00A43BAB" w:rsidP="00A43BAB">
      <w:pPr>
        <w:spacing w:after="0" w:line="360" w:lineRule="auto"/>
        <w:jc w:val="both"/>
        <w:rPr>
          <w:rFonts w:ascii="Arial" w:eastAsia="Times New Roman" w:hAnsi="Arial" w:cs="Arial"/>
        </w:rPr>
      </w:pPr>
    </w:p>
    <w:p w14:paraId="713DC2F8" w14:textId="696DA86A" w:rsidR="00A43BAB" w:rsidRPr="00DC016F" w:rsidRDefault="00A43BAB" w:rsidP="00A43BAB">
      <w:pPr>
        <w:spacing w:after="0" w:line="360" w:lineRule="auto"/>
        <w:jc w:val="both"/>
        <w:rPr>
          <w:rFonts w:ascii="Arial" w:eastAsia="Times New Roman" w:hAnsi="Arial" w:cs="Arial"/>
        </w:rPr>
      </w:pPr>
    </w:p>
    <w:p w14:paraId="2EE2E252" w14:textId="51112846" w:rsidR="00A43BAB" w:rsidRPr="00DC016F" w:rsidRDefault="00A43BAB" w:rsidP="00A43BAB">
      <w:pPr>
        <w:spacing w:after="0" w:line="360" w:lineRule="auto"/>
        <w:jc w:val="both"/>
        <w:rPr>
          <w:rFonts w:ascii="Arial" w:eastAsia="Times New Roman" w:hAnsi="Arial" w:cs="Arial"/>
        </w:rPr>
      </w:pPr>
    </w:p>
    <w:p w14:paraId="1A42E005" w14:textId="1298EA73" w:rsidR="00A43BAB" w:rsidRPr="00DC016F" w:rsidRDefault="00A43BAB" w:rsidP="00A43BAB">
      <w:pPr>
        <w:spacing w:after="0" w:line="360" w:lineRule="auto"/>
        <w:jc w:val="both"/>
        <w:rPr>
          <w:rFonts w:ascii="Arial" w:eastAsia="Times New Roman" w:hAnsi="Arial" w:cs="Arial"/>
        </w:rPr>
      </w:pPr>
    </w:p>
    <w:p w14:paraId="0F66EDF6" w14:textId="77777777" w:rsidR="00A43BAB" w:rsidRDefault="00A43BAB" w:rsidP="00A43BAB">
      <w:pPr>
        <w:spacing w:after="0" w:line="360" w:lineRule="auto"/>
        <w:jc w:val="both"/>
        <w:rPr>
          <w:rFonts w:ascii="Arial" w:eastAsia="Times New Roman" w:hAnsi="Arial" w:cs="Arial"/>
        </w:rPr>
      </w:pPr>
    </w:p>
    <w:p w14:paraId="300973A0" w14:textId="77777777" w:rsidR="00F468FE" w:rsidRPr="00DC016F" w:rsidRDefault="00F468FE" w:rsidP="00A43BAB">
      <w:pPr>
        <w:spacing w:after="0" w:line="360" w:lineRule="auto"/>
        <w:jc w:val="both"/>
        <w:rPr>
          <w:rFonts w:ascii="Arial" w:eastAsia="Times New Roman" w:hAnsi="Arial" w:cs="Arial"/>
        </w:rPr>
      </w:pPr>
    </w:p>
    <w:p w14:paraId="3468E6B9" w14:textId="7519B57E" w:rsidR="005B20B1" w:rsidRPr="00DC016F" w:rsidRDefault="005B20B1" w:rsidP="00FD59DA">
      <w:pPr>
        <w:pStyle w:val="Caption"/>
        <w:spacing w:line="240" w:lineRule="auto"/>
        <w:rPr>
          <w:rFonts w:ascii="Arial" w:hAnsi="Arial" w:cs="Arial"/>
          <w:b/>
          <w:sz w:val="22"/>
          <w:szCs w:val="22"/>
        </w:rPr>
      </w:pPr>
      <w:r w:rsidRPr="00DC016F">
        <w:rPr>
          <w:rFonts w:ascii="Arial" w:hAnsi="Arial" w:cs="Arial"/>
          <w:b/>
          <w:sz w:val="22"/>
          <w:szCs w:val="22"/>
        </w:rPr>
        <w:lastRenderedPageBreak/>
        <w:t xml:space="preserve">Table </w:t>
      </w:r>
      <w:r w:rsidRPr="00DC016F">
        <w:rPr>
          <w:rFonts w:ascii="Arial" w:hAnsi="Arial" w:cs="Arial"/>
          <w:b/>
          <w:sz w:val="22"/>
          <w:szCs w:val="22"/>
        </w:rPr>
        <w:fldChar w:fldCharType="begin"/>
      </w:r>
      <w:r w:rsidRPr="00DC016F">
        <w:rPr>
          <w:rFonts w:ascii="Arial" w:hAnsi="Arial" w:cs="Arial"/>
          <w:b/>
          <w:sz w:val="22"/>
          <w:szCs w:val="22"/>
        </w:rPr>
        <w:instrText xml:space="preserve"> SEQ Table_4. \* ARABIC </w:instrText>
      </w:r>
      <w:r w:rsidRPr="00DC016F">
        <w:rPr>
          <w:rFonts w:ascii="Arial" w:hAnsi="Arial" w:cs="Arial"/>
          <w:b/>
          <w:sz w:val="22"/>
          <w:szCs w:val="22"/>
        </w:rPr>
        <w:fldChar w:fldCharType="separate"/>
      </w:r>
      <w:r w:rsidRPr="00DC016F">
        <w:rPr>
          <w:rFonts w:ascii="Arial" w:hAnsi="Arial" w:cs="Arial"/>
          <w:b/>
          <w:noProof/>
          <w:sz w:val="22"/>
          <w:szCs w:val="22"/>
        </w:rPr>
        <w:t>4</w:t>
      </w:r>
      <w:r w:rsidRPr="00DC016F">
        <w:rPr>
          <w:rFonts w:ascii="Arial" w:hAnsi="Arial" w:cs="Arial"/>
          <w:b/>
          <w:sz w:val="22"/>
          <w:szCs w:val="22"/>
        </w:rPr>
        <w:fldChar w:fldCharType="end"/>
      </w:r>
      <w:r w:rsidR="00F468FE">
        <w:rPr>
          <w:rStyle w:val="fontstyle01"/>
          <w:rFonts w:ascii="Arial" w:hAnsi="Arial" w:cs="Arial"/>
          <w:b/>
          <w:color w:val="auto"/>
          <w:sz w:val="22"/>
          <w:szCs w:val="22"/>
        </w:rPr>
        <w:t>: Mineral S</w:t>
      </w:r>
      <w:r w:rsidRPr="00DC016F">
        <w:rPr>
          <w:rStyle w:val="fontstyle01"/>
          <w:rFonts w:ascii="Arial" w:hAnsi="Arial" w:cs="Arial"/>
          <w:b/>
          <w:color w:val="auto"/>
          <w:sz w:val="22"/>
          <w:szCs w:val="22"/>
        </w:rPr>
        <w:t xml:space="preserve">tatus </w:t>
      </w:r>
      <w:r w:rsidR="00F468FE">
        <w:rPr>
          <w:rFonts w:ascii="Arial" w:hAnsi="Arial" w:cs="Arial"/>
          <w:b/>
          <w:sz w:val="22"/>
          <w:szCs w:val="22"/>
        </w:rPr>
        <w:t>for the Under-Five C</w:t>
      </w:r>
      <w:r w:rsidRPr="00DC016F">
        <w:rPr>
          <w:rFonts w:ascii="Arial" w:hAnsi="Arial" w:cs="Arial"/>
          <w:b/>
          <w:sz w:val="22"/>
          <w:szCs w:val="22"/>
        </w:rPr>
        <w:t>hildren</w:t>
      </w:r>
    </w:p>
    <w:tbl>
      <w:tblPr>
        <w:tblStyle w:val="TableGrid"/>
        <w:tblW w:w="9147"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1529"/>
        <w:gridCol w:w="1201"/>
        <w:gridCol w:w="1188"/>
        <w:gridCol w:w="1173"/>
        <w:gridCol w:w="1263"/>
        <w:gridCol w:w="1585"/>
      </w:tblGrid>
      <w:tr w:rsidR="008071B7" w:rsidRPr="00DC016F" w14:paraId="30F1AEDA" w14:textId="77777777" w:rsidTr="001706B5">
        <w:trPr>
          <w:trHeight w:val="168"/>
        </w:trPr>
        <w:tc>
          <w:tcPr>
            <w:tcW w:w="1208" w:type="dxa"/>
            <w:tcBorders>
              <w:top w:val="single" w:sz="4" w:space="0" w:color="auto"/>
              <w:bottom w:val="single" w:sz="4" w:space="0" w:color="auto"/>
            </w:tcBorders>
          </w:tcPr>
          <w:p w14:paraId="3768277E" w14:textId="77777777" w:rsidR="005B20B1" w:rsidRPr="00DC016F" w:rsidRDefault="005B20B1" w:rsidP="00A9422C">
            <w:pPr>
              <w:spacing w:after="0" w:line="240" w:lineRule="auto"/>
              <w:ind w:left="-108" w:right="-11"/>
              <w:rPr>
                <w:rFonts w:ascii="Arial" w:hAnsi="Arial" w:cs="Arial"/>
                <w:b/>
              </w:rPr>
            </w:pPr>
            <w:r w:rsidRPr="00DC016F">
              <w:rPr>
                <w:rFonts w:ascii="Arial" w:hAnsi="Arial" w:cs="Arial"/>
                <w:b/>
              </w:rPr>
              <w:t>Variables</w:t>
            </w:r>
          </w:p>
        </w:tc>
        <w:tc>
          <w:tcPr>
            <w:tcW w:w="1529" w:type="dxa"/>
            <w:tcBorders>
              <w:top w:val="single" w:sz="4" w:space="0" w:color="auto"/>
              <w:bottom w:val="single" w:sz="4" w:space="0" w:color="auto"/>
            </w:tcBorders>
          </w:tcPr>
          <w:p w14:paraId="31BFCFE9" w14:textId="77777777" w:rsidR="005B20B1" w:rsidRPr="00DC016F" w:rsidRDefault="005B20B1" w:rsidP="00A9422C">
            <w:pPr>
              <w:spacing w:after="0" w:line="240" w:lineRule="auto"/>
              <w:ind w:left="-108" w:right="-11"/>
              <w:jc w:val="center"/>
              <w:rPr>
                <w:rFonts w:ascii="Arial" w:hAnsi="Arial" w:cs="Arial"/>
                <w:b/>
              </w:rPr>
            </w:pPr>
            <w:r w:rsidRPr="00DC016F">
              <w:rPr>
                <w:rFonts w:ascii="Arial" w:hAnsi="Arial" w:cs="Arial"/>
                <w:b/>
              </w:rPr>
              <w:t>Copper (µg/dL)</w:t>
            </w:r>
          </w:p>
        </w:tc>
        <w:tc>
          <w:tcPr>
            <w:tcW w:w="1201" w:type="dxa"/>
            <w:tcBorders>
              <w:top w:val="single" w:sz="4" w:space="0" w:color="auto"/>
              <w:bottom w:val="single" w:sz="4" w:space="0" w:color="auto"/>
            </w:tcBorders>
          </w:tcPr>
          <w:p w14:paraId="2697EDE5" w14:textId="77777777" w:rsidR="005B20B1" w:rsidRPr="00DC016F" w:rsidRDefault="005B20B1" w:rsidP="00A9422C">
            <w:pPr>
              <w:spacing w:after="0" w:line="240" w:lineRule="auto"/>
              <w:ind w:left="-108" w:right="-11"/>
              <w:jc w:val="center"/>
              <w:rPr>
                <w:rFonts w:ascii="Arial" w:hAnsi="Arial" w:cs="Arial"/>
                <w:b/>
              </w:rPr>
            </w:pPr>
            <w:r w:rsidRPr="00DC016F">
              <w:rPr>
                <w:rFonts w:ascii="Arial" w:hAnsi="Arial" w:cs="Arial"/>
                <w:b/>
              </w:rPr>
              <w:t>Selenium  (µg/dL)</w:t>
            </w:r>
          </w:p>
        </w:tc>
        <w:tc>
          <w:tcPr>
            <w:tcW w:w="1188" w:type="dxa"/>
            <w:tcBorders>
              <w:top w:val="single" w:sz="4" w:space="0" w:color="auto"/>
              <w:bottom w:val="single" w:sz="4" w:space="0" w:color="auto"/>
            </w:tcBorders>
          </w:tcPr>
          <w:p w14:paraId="2D8E3246" w14:textId="77777777" w:rsidR="005B20B1" w:rsidRPr="00DC016F" w:rsidRDefault="005B20B1" w:rsidP="00A9422C">
            <w:pPr>
              <w:spacing w:after="0" w:line="240" w:lineRule="auto"/>
              <w:ind w:left="-108" w:right="-11"/>
              <w:jc w:val="center"/>
              <w:rPr>
                <w:rFonts w:ascii="Arial" w:hAnsi="Arial" w:cs="Arial"/>
                <w:b/>
              </w:rPr>
            </w:pPr>
            <w:r w:rsidRPr="00DC016F">
              <w:rPr>
                <w:rFonts w:ascii="Arial" w:hAnsi="Arial" w:cs="Arial"/>
                <w:b/>
              </w:rPr>
              <w:t>Calcium (µg/dL)</w:t>
            </w:r>
          </w:p>
        </w:tc>
        <w:tc>
          <w:tcPr>
            <w:tcW w:w="1173" w:type="dxa"/>
            <w:tcBorders>
              <w:top w:val="single" w:sz="4" w:space="0" w:color="auto"/>
              <w:bottom w:val="single" w:sz="4" w:space="0" w:color="auto"/>
            </w:tcBorders>
          </w:tcPr>
          <w:p w14:paraId="432B773A" w14:textId="77777777" w:rsidR="005B20B1" w:rsidRPr="00DC016F" w:rsidRDefault="005B20B1" w:rsidP="00A9422C">
            <w:pPr>
              <w:spacing w:after="0" w:line="240" w:lineRule="auto"/>
              <w:ind w:left="-108" w:right="-11"/>
              <w:jc w:val="center"/>
              <w:rPr>
                <w:rFonts w:ascii="Arial" w:hAnsi="Arial" w:cs="Arial"/>
                <w:b/>
              </w:rPr>
            </w:pPr>
            <w:r w:rsidRPr="00DC016F">
              <w:rPr>
                <w:rFonts w:ascii="Arial" w:hAnsi="Arial" w:cs="Arial"/>
                <w:b/>
              </w:rPr>
              <w:t>Zinc (µg/dL)</w:t>
            </w:r>
          </w:p>
        </w:tc>
        <w:tc>
          <w:tcPr>
            <w:tcW w:w="1263" w:type="dxa"/>
            <w:tcBorders>
              <w:top w:val="single" w:sz="4" w:space="0" w:color="auto"/>
              <w:bottom w:val="single" w:sz="4" w:space="0" w:color="auto"/>
            </w:tcBorders>
          </w:tcPr>
          <w:p w14:paraId="7589D711" w14:textId="77777777" w:rsidR="005B20B1" w:rsidRPr="00DC016F" w:rsidRDefault="005B20B1" w:rsidP="00A9422C">
            <w:pPr>
              <w:spacing w:after="0" w:line="240" w:lineRule="auto"/>
              <w:ind w:left="-108" w:right="-11"/>
              <w:jc w:val="center"/>
              <w:rPr>
                <w:rFonts w:ascii="Arial" w:hAnsi="Arial" w:cs="Arial"/>
                <w:b/>
              </w:rPr>
            </w:pPr>
            <w:r w:rsidRPr="00DC016F">
              <w:rPr>
                <w:rFonts w:ascii="Arial" w:hAnsi="Arial" w:cs="Arial"/>
                <w:b/>
              </w:rPr>
              <w:t>Iron (µg/dL)</w:t>
            </w:r>
          </w:p>
        </w:tc>
        <w:tc>
          <w:tcPr>
            <w:tcW w:w="1585" w:type="dxa"/>
            <w:tcBorders>
              <w:top w:val="single" w:sz="4" w:space="0" w:color="auto"/>
              <w:bottom w:val="single" w:sz="4" w:space="0" w:color="auto"/>
            </w:tcBorders>
          </w:tcPr>
          <w:p w14:paraId="440C8FB3" w14:textId="77777777" w:rsidR="005B20B1" w:rsidRPr="00DC016F" w:rsidRDefault="005B20B1" w:rsidP="00A9422C">
            <w:pPr>
              <w:spacing w:after="0" w:line="240" w:lineRule="auto"/>
              <w:ind w:left="-108" w:right="-11"/>
              <w:jc w:val="center"/>
              <w:rPr>
                <w:rFonts w:ascii="Arial" w:hAnsi="Arial" w:cs="Arial"/>
                <w:b/>
              </w:rPr>
            </w:pPr>
            <w:r w:rsidRPr="00DC016F">
              <w:rPr>
                <w:rFonts w:ascii="Arial" w:hAnsi="Arial" w:cs="Arial"/>
                <w:b/>
              </w:rPr>
              <w:t>Manganese (µg/dL)</w:t>
            </w:r>
          </w:p>
        </w:tc>
      </w:tr>
      <w:tr w:rsidR="008071B7" w:rsidRPr="00DC016F" w14:paraId="13A5269C" w14:textId="77777777" w:rsidTr="001706B5">
        <w:trPr>
          <w:trHeight w:val="154"/>
        </w:trPr>
        <w:tc>
          <w:tcPr>
            <w:tcW w:w="1208" w:type="dxa"/>
            <w:tcBorders>
              <w:top w:val="single" w:sz="4" w:space="0" w:color="auto"/>
            </w:tcBorders>
          </w:tcPr>
          <w:p w14:paraId="42CDBF75"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BE</w:t>
            </w:r>
          </w:p>
        </w:tc>
        <w:tc>
          <w:tcPr>
            <w:tcW w:w="1529" w:type="dxa"/>
            <w:tcBorders>
              <w:top w:val="single" w:sz="4" w:space="0" w:color="auto"/>
            </w:tcBorders>
          </w:tcPr>
          <w:p w14:paraId="6A36B24F"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0.9 ±0.4</w:t>
            </w:r>
          </w:p>
        </w:tc>
        <w:tc>
          <w:tcPr>
            <w:tcW w:w="1201" w:type="dxa"/>
            <w:tcBorders>
              <w:top w:val="single" w:sz="4" w:space="0" w:color="auto"/>
            </w:tcBorders>
          </w:tcPr>
          <w:p w14:paraId="4F63737D"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1.5 ±1.3</w:t>
            </w:r>
          </w:p>
        </w:tc>
        <w:tc>
          <w:tcPr>
            <w:tcW w:w="1188" w:type="dxa"/>
            <w:tcBorders>
              <w:top w:val="single" w:sz="4" w:space="0" w:color="auto"/>
            </w:tcBorders>
          </w:tcPr>
          <w:p w14:paraId="355266BD"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2.8 ±2.1</w:t>
            </w:r>
          </w:p>
        </w:tc>
        <w:tc>
          <w:tcPr>
            <w:tcW w:w="1173" w:type="dxa"/>
            <w:tcBorders>
              <w:top w:val="single" w:sz="4" w:space="0" w:color="auto"/>
            </w:tcBorders>
          </w:tcPr>
          <w:p w14:paraId="353C42D1"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2.1 ±1.2</w:t>
            </w:r>
          </w:p>
        </w:tc>
        <w:tc>
          <w:tcPr>
            <w:tcW w:w="1263" w:type="dxa"/>
            <w:tcBorders>
              <w:top w:val="single" w:sz="4" w:space="0" w:color="auto"/>
            </w:tcBorders>
          </w:tcPr>
          <w:p w14:paraId="63DC23D1"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16.8 ±1.9</w:t>
            </w:r>
          </w:p>
        </w:tc>
        <w:tc>
          <w:tcPr>
            <w:tcW w:w="1585" w:type="dxa"/>
            <w:tcBorders>
              <w:top w:val="single" w:sz="4" w:space="0" w:color="auto"/>
            </w:tcBorders>
          </w:tcPr>
          <w:p w14:paraId="0F56E53E"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18.7 ±2.9</w:t>
            </w:r>
          </w:p>
        </w:tc>
      </w:tr>
      <w:tr w:rsidR="008071B7" w:rsidRPr="00DC016F" w14:paraId="56F0CA11" w14:textId="77777777" w:rsidTr="001706B5">
        <w:trPr>
          <w:trHeight w:val="168"/>
        </w:trPr>
        <w:tc>
          <w:tcPr>
            <w:tcW w:w="1208" w:type="dxa"/>
          </w:tcPr>
          <w:p w14:paraId="41C6F328"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BW</w:t>
            </w:r>
          </w:p>
        </w:tc>
        <w:tc>
          <w:tcPr>
            <w:tcW w:w="1529" w:type="dxa"/>
          </w:tcPr>
          <w:p w14:paraId="086B2020"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0.8 ±0.4</w:t>
            </w:r>
          </w:p>
        </w:tc>
        <w:tc>
          <w:tcPr>
            <w:tcW w:w="1201" w:type="dxa"/>
          </w:tcPr>
          <w:p w14:paraId="10BC0FE5"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0.6 ±0.4</w:t>
            </w:r>
          </w:p>
        </w:tc>
        <w:tc>
          <w:tcPr>
            <w:tcW w:w="1188" w:type="dxa"/>
          </w:tcPr>
          <w:p w14:paraId="19BA745F"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3.5 ±1.1</w:t>
            </w:r>
          </w:p>
        </w:tc>
        <w:tc>
          <w:tcPr>
            <w:tcW w:w="1173" w:type="dxa"/>
          </w:tcPr>
          <w:p w14:paraId="210F327C"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2.0 ±1.3</w:t>
            </w:r>
          </w:p>
        </w:tc>
        <w:tc>
          <w:tcPr>
            <w:tcW w:w="1263" w:type="dxa"/>
          </w:tcPr>
          <w:p w14:paraId="5F108DF2"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17.4 ±1.4</w:t>
            </w:r>
          </w:p>
        </w:tc>
        <w:tc>
          <w:tcPr>
            <w:tcW w:w="1585" w:type="dxa"/>
          </w:tcPr>
          <w:p w14:paraId="19226105"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20.5 ±2.5</w:t>
            </w:r>
          </w:p>
        </w:tc>
      </w:tr>
      <w:tr w:rsidR="008071B7" w:rsidRPr="00DC016F" w14:paraId="1B17D053" w14:textId="77777777" w:rsidTr="001706B5">
        <w:trPr>
          <w:trHeight w:val="154"/>
        </w:trPr>
        <w:tc>
          <w:tcPr>
            <w:tcW w:w="1208" w:type="dxa"/>
          </w:tcPr>
          <w:p w14:paraId="6E84D26D"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WW</w:t>
            </w:r>
          </w:p>
        </w:tc>
        <w:tc>
          <w:tcPr>
            <w:tcW w:w="1529" w:type="dxa"/>
          </w:tcPr>
          <w:p w14:paraId="7889A125"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0.6 ±0.2</w:t>
            </w:r>
          </w:p>
        </w:tc>
        <w:tc>
          <w:tcPr>
            <w:tcW w:w="1201" w:type="dxa"/>
          </w:tcPr>
          <w:p w14:paraId="52F80AE4"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2.8 ±1.9</w:t>
            </w:r>
          </w:p>
        </w:tc>
        <w:tc>
          <w:tcPr>
            <w:tcW w:w="1188" w:type="dxa"/>
          </w:tcPr>
          <w:p w14:paraId="10C6AFD0"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3.0 ±1.9</w:t>
            </w:r>
          </w:p>
        </w:tc>
        <w:tc>
          <w:tcPr>
            <w:tcW w:w="1173" w:type="dxa"/>
          </w:tcPr>
          <w:p w14:paraId="31537004"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1.9 ±1.1</w:t>
            </w:r>
          </w:p>
        </w:tc>
        <w:tc>
          <w:tcPr>
            <w:tcW w:w="1263" w:type="dxa"/>
          </w:tcPr>
          <w:p w14:paraId="68FD1ECB"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17.0 ±2.7</w:t>
            </w:r>
          </w:p>
        </w:tc>
        <w:tc>
          <w:tcPr>
            <w:tcW w:w="1585" w:type="dxa"/>
          </w:tcPr>
          <w:p w14:paraId="51934DAD"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23.0 ±3.3</w:t>
            </w:r>
          </w:p>
        </w:tc>
      </w:tr>
      <w:tr w:rsidR="008071B7" w:rsidRPr="00DC016F" w14:paraId="5EDC5C22" w14:textId="77777777" w:rsidTr="001706B5">
        <w:trPr>
          <w:trHeight w:val="168"/>
        </w:trPr>
        <w:tc>
          <w:tcPr>
            <w:tcW w:w="1208" w:type="dxa"/>
          </w:tcPr>
          <w:p w14:paraId="7B9FB7E5"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KT</w:t>
            </w:r>
          </w:p>
        </w:tc>
        <w:tc>
          <w:tcPr>
            <w:tcW w:w="1529" w:type="dxa"/>
          </w:tcPr>
          <w:p w14:paraId="395ED1CA"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0.7 ±0.3</w:t>
            </w:r>
          </w:p>
        </w:tc>
        <w:tc>
          <w:tcPr>
            <w:tcW w:w="1201" w:type="dxa"/>
          </w:tcPr>
          <w:p w14:paraId="05A30721"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0.7 ±0.3</w:t>
            </w:r>
          </w:p>
        </w:tc>
        <w:tc>
          <w:tcPr>
            <w:tcW w:w="1188" w:type="dxa"/>
          </w:tcPr>
          <w:p w14:paraId="5A55412C"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2.6 ±0.7</w:t>
            </w:r>
          </w:p>
        </w:tc>
        <w:tc>
          <w:tcPr>
            <w:tcW w:w="1173" w:type="dxa"/>
          </w:tcPr>
          <w:p w14:paraId="13B21A11"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3.7 ±1.6</w:t>
            </w:r>
          </w:p>
        </w:tc>
        <w:tc>
          <w:tcPr>
            <w:tcW w:w="1263" w:type="dxa"/>
          </w:tcPr>
          <w:p w14:paraId="329EB2ED"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17.4 ±1.9</w:t>
            </w:r>
          </w:p>
        </w:tc>
        <w:tc>
          <w:tcPr>
            <w:tcW w:w="1585" w:type="dxa"/>
          </w:tcPr>
          <w:p w14:paraId="0D430325"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24.7 ±2.7</w:t>
            </w:r>
          </w:p>
        </w:tc>
      </w:tr>
      <w:tr w:rsidR="008071B7" w:rsidRPr="00DC016F" w14:paraId="3F8D6DCE" w14:textId="77777777" w:rsidTr="001706B5">
        <w:trPr>
          <w:trHeight w:val="154"/>
        </w:trPr>
        <w:tc>
          <w:tcPr>
            <w:tcW w:w="1208" w:type="dxa"/>
          </w:tcPr>
          <w:p w14:paraId="46C77F4F"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TW</w:t>
            </w:r>
          </w:p>
        </w:tc>
        <w:tc>
          <w:tcPr>
            <w:tcW w:w="1529" w:type="dxa"/>
          </w:tcPr>
          <w:p w14:paraId="6E6BD64F"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0.6 ±0.4</w:t>
            </w:r>
          </w:p>
        </w:tc>
        <w:tc>
          <w:tcPr>
            <w:tcW w:w="1201" w:type="dxa"/>
          </w:tcPr>
          <w:p w14:paraId="3A098205"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0.7 ±0.4</w:t>
            </w:r>
          </w:p>
        </w:tc>
        <w:tc>
          <w:tcPr>
            <w:tcW w:w="1188" w:type="dxa"/>
          </w:tcPr>
          <w:p w14:paraId="19CDD442"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2.2 ±1.0</w:t>
            </w:r>
          </w:p>
        </w:tc>
        <w:tc>
          <w:tcPr>
            <w:tcW w:w="1173" w:type="dxa"/>
          </w:tcPr>
          <w:p w14:paraId="0854A4AC"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3.1 ±0.6</w:t>
            </w:r>
          </w:p>
        </w:tc>
        <w:tc>
          <w:tcPr>
            <w:tcW w:w="1263" w:type="dxa"/>
          </w:tcPr>
          <w:p w14:paraId="323E12E8"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18.0 ±2.3</w:t>
            </w:r>
          </w:p>
        </w:tc>
        <w:tc>
          <w:tcPr>
            <w:tcW w:w="1585" w:type="dxa"/>
          </w:tcPr>
          <w:p w14:paraId="12681F82"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25.5 ±2.8</w:t>
            </w:r>
          </w:p>
        </w:tc>
      </w:tr>
      <w:tr w:rsidR="008071B7" w:rsidRPr="00DC016F" w14:paraId="1EA47925" w14:textId="77777777" w:rsidTr="001706B5">
        <w:trPr>
          <w:trHeight w:val="168"/>
        </w:trPr>
        <w:tc>
          <w:tcPr>
            <w:tcW w:w="1208" w:type="dxa"/>
          </w:tcPr>
          <w:p w14:paraId="2FBA5ECA"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JH</w:t>
            </w:r>
          </w:p>
        </w:tc>
        <w:tc>
          <w:tcPr>
            <w:tcW w:w="1529" w:type="dxa"/>
          </w:tcPr>
          <w:p w14:paraId="1BD334E4"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0.9 ±0.4</w:t>
            </w:r>
          </w:p>
        </w:tc>
        <w:tc>
          <w:tcPr>
            <w:tcW w:w="1201" w:type="dxa"/>
          </w:tcPr>
          <w:p w14:paraId="10A0C993"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0.5 ±0.2</w:t>
            </w:r>
          </w:p>
        </w:tc>
        <w:tc>
          <w:tcPr>
            <w:tcW w:w="1188" w:type="dxa"/>
          </w:tcPr>
          <w:p w14:paraId="0361CF78"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2.9 ±1.3</w:t>
            </w:r>
          </w:p>
        </w:tc>
        <w:tc>
          <w:tcPr>
            <w:tcW w:w="1173" w:type="dxa"/>
          </w:tcPr>
          <w:p w14:paraId="5A60D182"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4.0 ±0.6</w:t>
            </w:r>
          </w:p>
        </w:tc>
        <w:tc>
          <w:tcPr>
            <w:tcW w:w="1263" w:type="dxa"/>
          </w:tcPr>
          <w:p w14:paraId="4F525ACB"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17.2 ±2.2</w:t>
            </w:r>
          </w:p>
        </w:tc>
        <w:tc>
          <w:tcPr>
            <w:tcW w:w="1585" w:type="dxa"/>
          </w:tcPr>
          <w:p w14:paraId="2571ED2C"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19.5 ±2.1</w:t>
            </w:r>
          </w:p>
        </w:tc>
      </w:tr>
      <w:tr w:rsidR="008071B7" w:rsidRPr="00DC016F" w14:paraId="635F42D6" w14:textId="77777777" w:rsidTr="001706B5">
        <w:trPr>
          <w:trHeight w:val="168"/>
        </w:trPr>
        <w:tc>
          <w:tcPr>
            <w:tcW w:w="1208" w:type="dxa"/>
          </w:tcPr>
          <w:p w14:paraId="26C830D9"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AM</w:t>
            </w:r>
          </w:p>
        </w:tc>
        <w:tc>
          <w:tcPr>
            <w:tcW w:w="1529" w:type="dxa"/>
          </w:tcPr>
          <w:p w14:paraId="6906B558"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0.7 ±0.4</w:t>
            </w:r>
          </w:p>
        </w:tc>
        <w:tc>
          <w:tcPr>
            <w:tcW w:w="1201" w:type="dxa"/>
          </w:tcPr>
          <w:p w14:paraId="4167D9DE"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4.0 ±1.5</w:t>
            </w:r>
          </w:p>
        </w:tc>
        <w:tc>
          <w:tcPr>
            <w:tcW w:w="1188" w:type="dxa"/>
          </w:tcPr>
          <w:p w14:paraId="481DFEE0"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4.0 ±2.1</w:t>
            </w:r>
          </w:p>
        </w:tc>
        <w:tc>
          <w:tcPr>
            <w:tcW w:w="1173" w:type="dxa"/>
          </w:tcPr>
          <w:p w14:paraId="41C7C06D"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4.3 ±1.8</w:t>
            </w:r>
          </w:p>
        </w:tc>
        <w:tc>
          <w:tcPr>
            <w:tcW w:w="1263" w:type="dxa"/>
          </w:tcPr>
          <w:p w14:paraId="272DE267"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16.3 ±2.21</w:t>
            </w:r>
          </w:p>
        </w:tc>
        <w:tc>
          <w:tcPr>
            <w:tcW w:w="1585" w:type="dxa"/>
          </w:tcPr>
          <w:p w14:paraId="265343DD"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22.7 ±2.9</w:t>
            </w:r>
          </w:p>
        </w:tc>
      </w:tr>
      <w:tr w:rsidR="008071B7" w:rsidRPr="00DC016F" w14:paraId="1E5B50B5" w14:textId="77777777" w:rsidTr="001706B5">
        <w:trPr>
          <w:trHeight w:val="154"/>
        </w:trPr>
        <w:tc>
          <w:tcPr>
            <w:tcW w:w="1208" w:type="dxa"/>
          </w:tcPr>
          <w:p w14:paraId="5893E581"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TB</w:t>
            </w:r>
          </w:p>
        </w:tc>
        <w:tc>
          <w:tcPr>
            <w:tcW w:w="1529" w:type="dxa"/>
          </w:tcPr>
          <w:p w14:paraId="3CD876EE"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1.3 ± 0.7</w:t>
            </w:r>
          </w:p>
        </w:tc>
        <w:tc>
          <w:tcPr>
            <w:tcW w:w="1201" w:type="dxa"/>
          </w:tcPr>
          <w:p w14:paraId="575765F8"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3.6 ±1.4</w:t>
            </w:r>
          </w:p>
        </w:tc>
        <w:tc>
          <w:tcPr>
            <w:tcW w:w="1188" w:type="dxa"/>
          </w:tcPr>
          <w:p w14:paraId="4EEFCF4F"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1.7 ±0.5</w:t>
            </w:r>
          </w:p>
        </w:tc>
        <w:tc>
          <w:tcPr>
            <w:tcW w:w="1173" w:type="dxa"/>
          </w:tcPr>
          <w:p w14:paraId="60F0D8F9"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4.2 ±1.4</w:t>
            </w:r>
          </w:p>
        </w:tc>
        <w:tc>
          <w:tcPr>
            <w:tcW w:w="1263" w:type="dxa"/>
          </w:tcPr>
          <w:p w14:paraId="12C0A90B"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17.3 ±2.2</w:t>
            </w:r>
          </w:p>
        </w:tc>
        <w:tc>
          <w:tcPr>
            <w:tcW w:w="1585" w:type="dxa"/>
          </w:tcPr>
          <w:p w14:paraId="0421C3A5"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20.0 ±2.4</w:t>
            </w:r>
          </w:p>
        </w:tc>
      </w:tr>
      <w:tr w:rsidR="008071B7" w:rsidRPr="00DC016F" w14:paraId="60E14A8F" w14:textId="77777777" w:rsidTr="001706B5">
        <w:trPr>
          <w:trHeight w:val="168"/>
        </w:trPr>
        <w:tc>
          <w:tcPr>
            <w:tcW w:w="1208" w:type="dxa"/>
          </w:tcPr>
          <w:p w14:paraId="3033F956"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BG</w:t>
            </w:r>
          </w:p>
        </w:tc>
        <w:tc>
          <w:tcPr>
            <w:tcW w:w="1529" w:type="dxa"/>
          </w:tcPr>
          <w:p w14:paraId="54F119F4"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0.7 ±0.3</w:t>
            </w:r>
          </w:p>
        </w:tc>
        <w:tc>
          <w:tcPr>
            <w:tcW w:w="1201" w:type="dxa"/>
          </w:tcPr>
          <w:p w14:paraId="407D8AF2"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0.5 ±0.4</w:t>
            </w:r>
          </w:p>
        </w:tc>
        <w:tc>
          <w:tcPr>
            <w:tcW w:w="1188" w:type="dxa"/>
          </w:tcPr>
          <w:p w14:paraId="2B482F92"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1.8 ±1.2</w:t>
            </w:r>
          </w:p>
        </w:tc>
        <w:tc>
          <w:tcPr>
            <w:tcW w:w="1173" w:type="dxa"/>
          </w:tcPr>
          <w:p w14:paraId="0B55BCB9"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3.4 ±0.7</w:t>
            </w:r>
          </w:p>
        </w:tc>
        <w:tc>
          <w:tcPr>
            <w:tcW w:w="1263" w:type="dxa"/>
          </w:tcPr>
          <w:p w14:paraId="7335C006"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16.3 ±2.2</w:t>
            </w:r>
          </w:p>
        </w:tc>
        <w:tc>
          <w:tcPr>
            <w:tcW w:w="1585" w:type="dxa"/>
          </w:tcPr>
          <w:p w14:paraId="70149692"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20.0 ±2.5</w:t>
            </w:r>
          </w:p>
        </w:tc>
      </w:tr>
      <w:tr w:rsidR="008071B7" w:rsidRPr="00DC016F" w14:paraId="2999FE25" w14:textId="77777777" w:rsidTr="001706B5">
        <w:trPr>
          <w:trHeight w:val="168"/>
        </w:trPr>
        <w:tc>
          <w:tcPr>
            <w:tcW w:w="1208" w:type="dxa"/>
            <w:tcBorders>
              <w:bottom w:val="single" w:sz="4" w:space="0" w:color="auto"/>
            </w:tcBorders>
          </w:tcPr>
          <w:p w14:paraId="3DF642F7"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RB</w:t>
            </w:r>
          </w:p>
        </w:tc>
        <w:tc>
          <w:tcPr>
            <w:tcW w:w="1529" w:type="dxa"/>
            <w:tcBorders>
              <w:bottom w:val="single" w:sz="4" w:space="0" w:color="auto"/>
            </w:tcBorders>
          </w:tcPr>
          <w:p w14:paraId="2B73D09A"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0.6 ±0.3</w:t>
            </w:r>
          </w:p>
        </w:tc>
        <w:tc>
          <w:tcPr>
            <w:tcW w:w="1201" w:type="dxa"/>
            <w:tcBorders>
              <w:bottom w:val="single" w:sz="4" w:space="0" w:color="auto"/>
            </w:tcBorders>
          </w:tcPr>
          <w:p w14:paraId="151679BE"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1.7 ±0.5</w:t>
            </w:r>
          </w:p>
        </w:tc>
        <w:tc>
          <w:tcPr>
            <w:tcW w:w="1188" w:type="dxa"/>
            <w:tcBorders>
              <w:bottom w:val="single" w:sz="4" w:space="0" w:color="auto"/>
            </w:tcBorders>
          </w:tcPr>
          <w:p w14:paraId="1A4920AD"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1.5 ±0.8</w:t>
            </w:r>
          </w:p>
        </w:tc>
        <w:tc>
          <w:tcPr>
            <w:tcW w:w="1173" w:type="dxa"/>
            <w:tcBorders>
              <w:bottom w:val="single" w:sz="4" w:space="0" w:color="auto"/>
            </w:tcBorders>
          </w:tcPr>
          <w:p w14:paraId="02775E99"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2.8 ±1.6</w:t>
            </w:r>
          </w:p>
        </w:tc>
        <w:tc>
          <w:tcPr>
            <w:tcW w:w="1263" w:type="dxa"/>
            <w:tcBorders>
              <w:bottom w:val="single" w:sz="4" w:space="0" w:color="auto"/>
            </w:tcBorders>
          </w:tcPr>
          <w:p w14:paraId="3874CD94"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16.8 ±2.7</w:t>
            </w:r>
          </w:p>
        </w:tc>
        <w:tc>
          <w:tcPr>
            <w:tcW w:w="1585" w:type="dxa"/>
            <w:tcBorders>
              <w:bottom w:val="single" w:sz="4" w:space="0" w:color="auto"/>
            </w:tcBorders>
          </w:tcPr>
          <w:p w14:paraId="73FF70DF"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22.7 ±2.7</w:t>
            </w:r>
          </w:p>
        </w:tc>
      </w:tr>
    </w:tbl>
    <w:p w14:paraId="13B790E9" w14:textId="77777777" w:rsidR="005B20B1" w:rsidRPr="00DC016F" w:rsidRDefault="005B20B1" w:rsidP="00FD59DA">
      <w:pPr>
        <w:spacing w:line="240" w:lineRule="auto"/>
        <w:ind w:left="540" w:hanging="540"/>
        <w:jc w:val="both"/>
        <w:rPr>
          <w:rFonts w:ascii="Arial" w:eastAsia="Times New Roman" w:hAnsi="Arial" w:cs="Arial"/>
        </w:rPr>
      </w:pPr>
      <w:r w:rsidRPr="00DC016F">
        <w:rPr>
          <w:rFonts w:ascii="Arial" w:hAnsi="Arial" w:cs="Arial"/>
          <w:b/>
        </w:rPr>
        <w:t>Keys:</w:t>
      </w:r>
      <w:r w:rsidRPr="00DC016F">
        <w:rPr>
          <w:rFonts w:ascii="Arial" w:hAnsi="Arial" w:cs="Arial"/>
        </w:rPr>
        <w:t xml:space="preserve"> Columns represent mean ± SD of 10 observations from each sampling locations. Values followed by different letters across the rows are significantly different at </w:t>
      </w:r>
      <w:r w:rsidRPr="00DC016F">
        <w:rPr>
          <w:rFonts w:ascii="Arial" w:hAnsi="Arial" w:cs="Arial"/>
          <w:i/>
        </w:rPr>
        <w:t>P</w:t>
      </w:r>
      <w:r w:rsidRPr="00DC016F">
        <w:rPr>
          <w:rFonts w:ascii="Arial" w:hAnsi="Arial" w:cs="Arial"/>
        </w:rPr>
        <w:t xml:space="preserve">&lt; 0.05 (Post Hoc Tukey). BE – </w:t>
      </w:r>
      <w:proofErr w:type="spellStart"/>
      <w:r w:rsidRPr="00DC016F">
        <w:rPr>
          <w:rFonts w:ascii="Arial" w:hAnsi="Arial" w:cs="Arial"/>
        </w:rPr>
        <w:t>Bajoga</w:t>
      </w:r>
      <w:proofErr w:type="spellEnd"/>
      <w:r w:rsidRPr="00DC016F">
        <w:rPr>
          <w:rFonts w:ascii="Arial" w:hAnsi="Arial" w:cs="Arial"/>
        </w:rPr>
        <w:t xml:space="preserve"> East; BW – </w:t>
      </w:r>
      <w:proofErr w:type="spellStart"/>
      <w:r w:rsidRPr="00DC016F">
        <w:rPr>
          <w:rFonts w:ascii="Arial" w:hAnsi="Arial" w:cs="Arial"/>
        </w:rPr>
        <w:t>Bajoga</w:t>
      </w:r>
      <w:proofErr w:type="spellEnd"/>
      <w:r w:rsidRPr="00DC016F">
        <w:rPr>
          <w:rFonts w:ascii="Arial" w:hAnsi="Arial" w:cs="Arial"/>
        </w:rPr>
        <w:t xml:space="preserve"> West; WW – Wawa/</w:t>
      </w:r>
      <w:proofErr w:type="spellStart"/>
      <w:r w:rsidRPr="00DC016F">
        <w:rPr>
          <w:rFonts w:ascii="Arial" w:hAnsi="Arial" w:cs="Arial"/>
        </w:rPr>
        <w:t>Wakkaltu</w:t>
      </w:r>
      <w:proofErr w:type="spellEnd"/>
      <w:r w:rsidRPr="00DC016F">
        <w:rPr>
          <w:rFonts w:ascii="Arial" w:hAnsi="Arial" w:cs="Arial"/>
        </w:rPr>
        <w:t xml:space="preserve">; KT – </w:t>
      </w:r>
      <w:proofErr w:type="spellStart"/>
      <w:r w:rsidRPr="00DC016F">
        <w:rPr>
          <w:rFonts w:ascii="Arial" w:hAnsi="Arial" w:cs="Arial"/>
        </w:rPr>
        <w:t>Kupto</w:t>
      </w:r>
      <w:proofErr w:type="spellEnd"/>
      <w:r w:rsidRPr="00DC016F">
        <w:rPr>
          <w:rFonts w:ascii="Arial" w:hAnsi="Arial" w:cs="Arial"/>
        </w:rPr>
        <w:t xml:space="preserve">; TW – Tongo Ward; JH – </w:t>
      </w:r>
      <w:proofErr w:type="spellStart"/>
      <w:r w:rsidRPr="00DC016F">
        <w:rPr>
          <w:rFonts w:ascii="Arial" w:hAnsi="Arial" w:cs="Arial"/>
        </w:rPr>
        <w:t>Jillahi</w:t>
      </w:r>
      <w:proofErr w:type="spellEnd"/>
      <w:r w:rsidRPr="00DC016F">
        <w:rPr>
          <w:rFonts w:ascii="Arial" w:hAnsi="Arial" w:cs="Arial"/>
        </w:rPr>
        <w:t xml:space="preserve">; AM – </w:t>
      </w:r>
      <w:proofErr w:type="spellStart"/>
      <w:r w:rsidRPr="00DC016F">
        <w:rPr>
          <w:rFonts w:ascii="Arial" w:hAnsi="Arial" w:cs="Arial"/>
        </w:rPr>
        <w:t>Ashaka</w:t>
      </w:r>
      <w:proofErr w:type="spellEnd"/>
      <w:r w:rsidRPr="00DC016F">
        <w:rPr>
          <w:rFonts w:ascii="Arial" w:hAnsi="Arial" w:cs="Arial"/>
        </w:rPr>
        <w:t>/</w:t>
      </w:r>
      <w:proofErr w:type="spellStart"/>
      <w:r w:rsidRPr="00DC016F">
        <w:rPr>
          <w:rFonts w:ascii="Arial" w:hAnsi="Arial" w:cs="Arial"/>
        </w:rPr>
        <w:t>Magaba</w:t>
      </w:r>
      <w:proofErr w:type="spellEnd"/>
      <w:r w:rsidRPr="00DC016F">
        <w:rPr>
          <w:rFonts w:ascii="Arial" w:hAnsi="Arial" w:cs="Arial"/>
        </w:rPr>
        <w:t>; TB – Tilde/Bodor; BG – Bage; RB – Ribadu.</w:t>
      </w:r>
    </w:p>
    <w:p w14:paraId="25638F41" w14:textId="77777777" w:rsidR="00EE6287" w:rsidRDefault="00EE6287" w:rsidP="00A43BAB">
      <w:pPr>
        <w:pStyle w:val="Heading2"/>
        <w:spacing w:line="360" w:lineRule="auto"/>
        <w:rPr>
          <w:rFonts w:ascii="Arial" w:hAnsi="Arial" w:cs="Arial"/>
          <w:b/>
          <w:bCs/>
          <w:color w:val="auto"/>
          <w:sz w:val="22"/>
          <w:szCs w:val="22"/>
        </w:rPr>
      </w:pPr>
      <w:bookmarkStart w:id="39" w:name="_Toc70173378"/>
      <w:bookmarkStart w:id="40" w:name="_Toc70173491"/>
      <w:bookmarkStart w:id="41" w:name="_Toc536761086"/>
    </w:p>
    <w:p w14:paraId="7C6496E3" w14:textId="7438D67D" w:rsidR="005B20B1" w:rsidRPr="00DC016F" w:rsidRDefault="005B20B1" w:rsidP="00A43BAB">
      <w:pPr>
        <w:pStyle w:val="Heading2"/>
        <w:spacing w:line="360" w:lineRule="auto"/>
        <w:rPr>
          <w:rFonts w:ascii="Arial" w:hAnsi="Arial" w:cs="Arial"/>
          <w:b/>
          <w:bCs/>
          <w:color w:val="auto"/>
          <w:sz w:val="22"/>
          <w:szCs w:val="22"/>
        </w:rPr>
      </w:pPr>
      <w:r w:rsidRPr="00DC016F">
        <w:rPr>
          <w:rFonts w:ascii="Arial" w:hAnsi="Arial" w:cs="Arial"/>
          <w:b/>
          <w:bCs/>
          <w:color w:val="auto"/>
          <w:sz w:val="22"/>
          <w:szCs w:val="22"/>
        </w:rPr>
        <w:t>Antioxidant status of the study respondents</w:t>
      </w:r>
      <w:bookmarkEnd w:id="39"/>
      <w:bookmarkEnd w:id="40"/>
      <w:bookmarkEnd w:id="41"/>
    </w:p>
    <w:p w14:paraId="39FD8CA2" w14:textId="763A53E2" w:rsidR="005B20B1" w:rsidRPr="00DC016F" w:rsidRDefault="005B20B1" w:rsidP="00A43BAB">
      <w:pPr>
        <w:spacing w:line="360" w:lineRule="auto"/>
        <w:jc w:val="both"/>
        <w:rPr>
          <w:rFonts w:ascii="Arial" w:eastAsia="Times New Roman" w:hAnsi="Arial" w:cs="Arial"/>
        </w:rPr>
      </w:pPr>
      <w:r w:rsidRPr="00DC016F">
        <w:rPr>
          <w:rStyle w:val="fontstyle01"/>
          <w:rFonts w:ascii="Arial" w:hAnsi="Arial" w:cs="Arial"/>
          <w:color w:val="auto"/>
          <w:sz w:val="22"/>
          <w:szCs w:val="22"/>
        </w:rPr>
        <w:t xml:space="preserve">This study showed the antioxidant status of </w:t>
      </w:r>
      <w:r w:rsidR="00EE6287">
        <w:rPr>
          <w:rFonts w:ascii="Arial" w:hAnsi="Arial" w:cs="Arial"/>
        </w:rPr>
        <w:t xml:space="preserve">the study group (Figure </w:t>
      </w:r>
      <w:r w:rsidRPr="00DC016F">
        <w:rPr>
          <w:rFonts w:ascii="Arial" w:hAnsi="Arial" w:cs="Arial"/>
        </w:rPr>
        <w:t>8). Catalase activity in the study population was found to lowest (6218.26±3175.28 U/ml) in samples from Ribadu (RB) while the highest Catalase activity was observed in samples from Tilde/Bodor (TB) (11166.3±4039.50 U/ml). The glutathione peroxidase (</w:t>
      </w:r>
      <w:proofErr w:type="spellStart"/>
      <w:r w:rsidRPr="00DC016F">
        <w:rPr>
          <w:rFonts w:ascii="Arial" w:hAnsi="Arial" w:cs="Arial"/>
        </w:rPr>
        <w:t>GPx</w:t>
      </w:r>
      <w:proofErr w:type="spellEnd"/>
      <w:r w:rsidRPr="00DC016F">
        <w:rPr>
          <w:rFonts w:ascii="Arial" w:hAnsi="Arial" w:cs="Arial"/>
        </w:rPr>
        <w:t xml:space="preserve">) levels in the study population were lower in </w:t>
      </w:r>
      <w:proofErr w:type="spellStart"/>
      <w:r w:rsidRPr="00DC016F">
        <w:rPr>
          <w:rFonts w:ascii="Arial" w:hAnsi="Arial" w:cs="Arial"/>
        </w:rPr>
        <w:t>Bajoga</w:t>
      </w:r>
      <w:proofErr w:type="spellEnd"/>
      <w:r w:rsidRPr="00DC016F">
        <w:rPr>
          <w:rFonts w:ascii="Arial" w:hAnsi="Arial" w:cs="Arial"/>
        </w:rPr>
        <w:t xml:space="preserve"> east BE (3283.8±1078.67 U/ml),</w:t>
      </w:r>
      <w:r w:rsidR="000849F7" w:rsidRPr="00DC016F">
        <w:rPr>
          <w:rFonts w:ascii="Arial" w:hAnsi="Arial" w:cs="Arial"/>
        </w:rPr>
        <w:t xml:space="preserve"> </w:t>
      </w:r>
      <w:r w:rsidRPr="00DC016F">
        <w:rPr>
          <w:rFonts w:ascii="Arial" w:hAnsi="Arial" w:cs="Arial"/>
        </w:rPr>
        <w:t xml:space="preserve">and higher in </w:t>
      </w:r>
      <w:proofErr w:type="spellStart"/>
      <w:r w:rsidRPr="00DC016F">
        <w:rPr>
          <w:rFonts w:ascii="Arial" w:hAnsi="Arial" w:cs="Arial"/>
        </w:rPr>
        <w:t>kupto</w:t>
      </w:r>
      <w:proofErr w:type="spellEnd"/>
      <w:r w:rsidRPr="00DC016F">
        <w:rPr>
          <w:rFonts w:ascii="Arial" w:hAnsi="Arial" w:cs="Arial"/>
        </w:rPr>
        <w:t xml:space="preserve"> and tilde </w:t>
      </w:r>
      <w:proofErr w:type="spellStart"/>
      <w:r w:rsidRPr="00DC016F">
        <w:rPr>
          <w:rFonts w:ascii="Arial" w:hAnsi="Arial" w:cs="Arial"/>
        </w:rPr>
        <w:t>bodor</w:t>
      </w:r>
      <w:proofErr w:type="spellEnd"/>
      <w:r w:rsidRPr="00DC016F">
        <w:rPr>
          <w:rFonts w:ascii="Arial" w:hAnsi="Arial" w:cs="Arial"/>
        </w:rPr>
        <w:t xml:space="preserve"> wards KT (5027.22±814.14 U/ml), TB (6932.28±904.37 U/ml), </w:t>
      </w:r>
      <w:r w:rsidRPr="00DC016F">
        <w:rPr>
          <w:rFonts w:ascii="Arial" w:eastAsia="Times New Roman" w:hAnsi="Arial" w:cs="Arial"/>
        </w:rPr>
        <w:t xml:space="preserve">Furthermore, the result showed that there is a significant difference in the SOD activity, </w:t>
      </w:r>
      <w:proofErr w:type="spellStart"/>
      <w:r w:rsidRPr="00DC016F">
        <w:rPr>
          <w:rFonts w:ascii="Arial" w:eastAsia="Times New Roman" w:hAnsi="Arial" w:cs="Arial"/>
        </w:rPr>
        <w:t>jillahi</w:t>
      </w:r>
      <w:proofErr w:type="spellEnd"/>
      <w:r w:rsidRPr="00DC016F">
        <w:rPr>
          <w:rFonts w:ascii="Arial" w:eastAsia="Times New Roman" w:hAnsi="Arial" w:cs="Arial"/>
        </w:rPr>
        <w:t xml:space="preserve"> and </w:t>
      </w:r>
      <w:proofErr w:type="spellStart"/>
      <w:r w:rsidRPr="00DC016F">
        <w:rPr>
          <w:rFonts w:ascii="Arial" w:eastAsia="Times New Roman" w:hAnsi="Arial" w:cs="Arial"/>
        </w:rPr>
        <w:t>kupto</w:t>
      </w:r>
      <w:proofErr w:type="spellEnd"/>
      <w:r w:rsidRPr="00DC016F">
        <w:rPr>
          <w:rFonts w:ascii="Arial" w:eastAsia="Times New Roman" w:hAnsi="Arial" w:cs="Arial"/>
        </w:rPr>
        <w:t xml:space="preserve"> wards having statistically </w:t>
      </w:r>
      <w:proofErr w:type="spellStart"/>
      <w:r w:rsidRPr="00DC016F">
        <w:rPr>
          <w:rFonts w:ascii="Arial" w:eastAsia="Times New Roman" w:hAnsi="Arial" w:cs="Arial"/>
        </w:rPr>
        <w:t>higherwhile</w:t>
      </w:r>
      <w:proofErr w:type="spellEnd"/>
      <w:r w:rsidRPr="00DC016F">
        <w:rPr>
          <w:rFonts w:ascii="Arial" w:eastAsia="Times New Roman" w:hAnsi="Arial" w:cs="Arial"/>
        </w:rPr>
        <w:t xml:space="preserve"> </w:t>
      </w:r>
      <w:proofErr w:type="spellStart"/>
      <w:r w:rsidRPr="00DC016F">
        <w:rPr>
          <w:rFonts w:ascii="Arial" w:eastAsia="Times New Roman" w:hAnsi="Arial" w:cs="Arial"/>
        </w:rPr>
        <w:t>ribadu</w:t>
      </w:r>
      <w:proofErr w:type="spellEnd"/>
      <w:r w:rsidRPr="00DC016F">
        <w:rPr>
          <w:rFonts w:ascii="Arial" w:eastAsia="Times New Roman" w:hAnsi="Arial" w:cs="Arial"/>
        </w:rPr>
        <w:t xml:space="preserve"> ward has lower at P&lt;0.05.</w:t>
      </w:r>
    </w:p>
    <w:p w14:paraId="6556CC2E" w14:textId="77777777" w:rsidR="000849F7" w:rsidRPr="00DC016F" w:rsidRDefault="000849F7" w:rsidP="00A43BAB">
      <w:pPr>
        <w:spacing w:line="360" w:lineRule="auto"/>
        <w:jc w:val="both"/>
        <w:rPr>
          <w:rFonts w:ascii="Arial" w:hAnsi="Arial" w:cs="Arial"/>
        </w:rPr>
      </w:pPr>
    </w:p>
    <w:p w14:paraId="26826798" w14:textId="77777777" w:rsidR="005B20B1" w:rsidRPr="00DC016F" w:rsidRDefault="005B20B1" w:rsidP="00FD59DA">
      <w:pPr>
        <w:spacing w:after="0" w:line="240" w:lineRule="auto"/>
        <w:jc w:val="both"/>
        <w:rPr>
          <w:rFonts w:ascii="Arial" w:hAnsi="Arial" w:cs="Arial"/>
          <w:b/>
        </w:rPr>
      </w:pPr>
      <w:r w:rsidRPr="00DC016F">
        <w:rPr>
          <w:rFonts w:ascii="Arial" w:hAnsi="Arial" w:cs="Arial"/>
          <w:noProof/>
        </w:rPr>
        <w:lastRenderedPageBreak/>
        <w:drawing>
          <wp:inline distT="0" distB="0" distL="0" distR="0" wp14:anchorId="2C299C64" wp14:editId="40174BB7">
            <wp:extent cx="5662323" cy="2870421"/>
            <wp:effectExtent l="0" t="0" r="0" b="63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B0EA7B" w14:textId="77777777" w:rsidR="00EE6287" w:rsidRDefault="00EE6287" w:rsidP="00FD59DA">
      <w:pPr>
        <w:pStyle w:val="Caption"/>
        <w:spacing w:line="240" w:lineRule="auto"/>
        <w:rPr>
          <w:rFonts w:ascii="Arial" w:hAnsi="Arial" w:cs="Arial"/>
          <w:sz w:val="22"/>
          <w:szCs w:val="22"/>
        </w:rPr>
      </w:pPr>
      <w:bookmarkStart w:id="42" w:name="_Toc85539482"/>
      <w:bookmarkStart w:id="43" w:name="_Toc70168367"/>
    </w:p>
    <w:p w14:paraId="73CD0BE8" w14:textId="6EEC73C2" w:rsidR="005B20B1" w:rsidRPr="00DC016F" w:rsidRDefault="005B20B1" w:rsidP="00FD59DA">
      <w:pPr>
        <w:pStyle w:val="Caption"/>
        <w:spacing w:line="240" w:lineRule="auto"/>
        <w:rPr>
          <w:rFonts w:ascii="Arial" w:hAnsi="Arial" w:cs="Arial"/>
          <w:sz w:val="22"/>
          <w:szCs w:val="22"/>
        </w:rPr>
      </w:pPr>
      <w:r w:rsidRPr="00DC016F">
        <w:rPr>
          <w:rFonts w:ascii="Arial" w:hAnsi="Arial" w:cs="Arial"/>
          <w:sz w:val="22"/>
          <w:szCs w:val="22"/>
        </w:rPr>
        <w:t xml:space="preserve">Figure </w:t>
      </w:r>
      <w:r w:rsidR="001706B5" w:rsidRPr="00DC016F">
        <w:rPr>
          <w:rFonts w:ascii="Arial" w:hAnsi="Arial" w:cs="Arial"/>
          <w:sz w:val="22"/>
          <w:szCs w:val="22"/>
        </w:rPr>
        <w:fldChar w:fldCharType="begin"/>
      </w:r>
      <w:r w:rsidR="001706B5" w:rsidRPr="00DC016F">
        <w:rPr>
          <w:rFonts w:ascii="Arial" w:hAnsi="Arial" w:cs="Arial"/>
          <w:sz w:val="22"/>
          <w:szCs w:val="22"/>
        </w:rPr>
        <w:instrText xml:space="preserve"> SEQ Figure_4. \* ARABIC </w:instrText>
      </w:r>
      <w:r w:rsidR="001706B5" w:rsidRPr="00DC016F">
        <w:rPr>
          <w:rFonts w:ascii="Arial" w:hAnsi="Arial" w:cs="Arial"/>
          <w:sz w:val="22"/>
          <w:szCs w:val="22"/>
        </w:rPr>
        <w:fldChar w:fldCharType="separate"/>
      </w:r>
      <w:r w:rsidRPr="00DC016F">
        <w:rPr>
          <w:rFonts w:ascii="Arial" w:hAnsi="Arial" w:cs="Arial"/>
          <w:noProof/>
          <w:sz w:val="22"/>
          <w:szCs w:val="22"/>
        </w:rPr>
        <w:t>8</w:t>
      </w:r>
      <w:r w:rsidR="001706B5" w:rsidRPr="00DC016F">
        <w:rPr>
          <w:rFonts w:ascii="Arial" w:hAnsi="Arial" w:cs="Arial"/>
          <w:noProof/>
          <w:sz w:val="22"/>
          <w:szCs w:val="22"/>
        </w:rPr>
        <w:fldChar w:fldCharType="end"/>
      </w:r>
      <w:r w:rsidRPr="00DC016F">
        <w:rPr>
          <w:rFonts w:ascii="Arial" w:hAnsi="Arial" w:cs="Arial"/>
          <w:sz w:val="22"/>
          <w:szCs w:val="22"/>
        </w:rPr>
        <w:t>: Antioxidants status of study respondents (</w:t>
      </w:r>
      <w:r w:rsidRPr="00DC016F">
        <w:rPr>
          <w:rFonts w:ascii="Arial" w:hAnsi="Arial" w:cs="Arial"/>
          <w:i/>
          <w:sz w:val="22"/>
          <w:szCs w:val="22"/>
        </w:rPr>
        <w:t xml:space="preserve">n </w:t>
      </w:r>
      <w:r w:rsidRPr="00DC016F">
        <w:rPr>
          <w:rFonts w:ascii="Arial" w:hAnsi="Arial" w:cs="Arial"/>
          <w:sz w:val="22"/>
          <w:szCs w:val="22"/>
        </w:rPr>
        <w:t>= 100).</w:t>
      </w:r>
      <w:bookmarkEnd w:id="42"/>
    </w:p>
    <w:p w14:paraId="1C4EAD62" w14:textId="77777777" w:rsidR="005B20B1" w:rsidRPr="00DC016F" w:rsidRDefault="005B20B1" w:rsidP="00FD59DA">
      <w:pPr>
        <w:pStyle w:val="Caption"/>
        <w:spacing w:line="240" w:lineRule="auto"/>
        <w:rPr>
          <w:rFonts w:ascii="Arial" w:hAnsi="Arial" w:cs="Arial"/>
          <w:sz w:val="22"/>
          <w:szCs w:val="22"/>
        </w:rPr>
      </w:pPr>
      <w:r w:rsidRPr="00DC016F">
        <w:rPr>
          <w:rFonts w:ascii="Arial" w:hAnsi="Arial" w:cs="Arial"/>
          <w:b/>
          <w:sz w:val="22"/>
          <w:szCs w:val="22"/>
        </w:rPr>
        <w:t>Keys:</w:t>
      </w:r>
      <w:r w:rsidRPr="00DC016F">
        <w:rPr>
          <w:rFonts w:ascii="Arial" w:hAnsi="Arial" w:cs="Arial"/>
          <w:sz w:val="22"/>
          <w:szCs w:val="22"/>
        </w:rPr>
        <w:t xml:space="preserve"> Columns represent mean ± SD of 10 observations from each sampling locations. BE – </w:t>
      </w:r>
      <w:proofErr w:type="spellStart"/>
      <w:r w:rsidRPr="00DC016F">
        <w:rPr>
          <w:rFonts w:ascii="Arial" w:hAnsi="Arial" w:cs="Arial"/>
          <w:sz w:val="22"/>
          <w:szCs w:val="22"/>
        </w:rPr>
        <w:t>Bajoga</w:t>
      </w:r>
      <w:proofErr w:type="spellEnd"/>
      <w:r w:rsidRPr="00DC016F">
        <w:rPr>
          <w:rFonts w:ascii="Arial" w:hAnsi="Arial" w:cs="Arial"/>
          <w:sz w:val="22"/>
          <w:szCs w:val="22"/>
        </w:rPr>
        <w:t xml:space="preserve"> East; BW – </w:t>
      </w:r>
      <w:proofErr w:type="spellStart"/>
      <w:r w:rsidRPr="00DC016F">
        <w:rPr>
          <w:rFonts w:ascii="Arial" w:hAnsi="Arial" w:cs="Arial"/>
          <w:sz w:val="22"/>
          <w:szCs w:val="22"/>
        </w:rPr>
        <w:t>Bajoga</w:t>
      </w:r>
      <w:proofErr w:type="spellEnd"/>
      <w:r w:rsidRPr="00DC016F">
        <w:rPr>
          <w:rFonts w:ascii="Arial" w:hAnsi="Arial" w:cs="Arial"/>
          <w:sz w:val="22"/>
          <w:szCs w:val="22"/>
        </w:rPr>
        <w:t xml:space="preserve"> West; JH – </w:t>
      </w:r>
      <w:proofErr w:type="spellStart"/>
      <w:r w:rsidRPr="00DC016F">
        <w:rPr>
          <w:rFonts w:ascii="Arial" w:hAnsi="Arial" w:cs="Arial"/>
          <w:sz w:val="22"/>
          <w:szCs w:val="22"/>
        </w:rPr>
        <w:t>Jillahi</w:t>
      </w:r>
      <w:proofErr w:type="spellEnd"/>
      <w:r w:rsidRPr="00DC016F">
        <w:rPr>
          <w:rFonts w:ascii="Arial" w:hAnsi="Arial" w:cs="Arial"/>
          <w:sz w:val="22"/>
          <w:szCs w:val="22"/>
        </w:rPr>
        <w:t xml:space="preserve">; KT – </w:t>
      </w:r>
      <w:proofErr w:type="spellStart"/>
      <w:r w:rsidRPr="00DC016F">
        <w:rPr>
          <w:rFonts w:ascii="Arial" w:hAnsi="Arial" w:cs="Arial"/>
          <w:sz w:val="22"/>
          <w:szCs w:val="22"/>
        </w:rPr>
        <w:t>Kupto</w:t>
      </w:r>
      <w:proofErr w:type="spellEnd"/>
      <w:r w:rsidRPr="00DC016F">
        <w:rPr>
          <w:rFonts w:ascii="Arial" w:hAnsi="Arial" w:cs="Arial"/>
          <w:sz w:val="22"/>
          <w:szCs w:val="22"/>
        </w:rPr>
        <w:t>; TW – Tongo Ward; WW – Wawa/</w:t>
      </w:r>
      <w:proofErr w:type="spellStart"/>
      <w:r w:rsidRPr="00DC016F">
        <w:rPr>
          <w:rFonts w:ascii="Arial" w:hAnsi="Arial" w:cs="Arial"/>
          <w:sz w:val="22"/>
          <w:szCs w:val="22"/>
        </w:rPr>
        <w:t>Wakkaltu</w:t>
      </w:r>
      <w:proofErr w:type="spellEnd"/>
      <w:r w:rsidRPr="00DC016F">
        <w:rPr>
          <w:rFonts w:ascii="Arial" w:hAnsi="Arial" w:cs="Arial"/>
          <w:sz w:val="22"/>
          <w:szCs w:val="22"/>
        </w:rPr>
        <w:t xml:space="preserve">; AM – </w:t>
      </w:r>
      <w:proofErr w:type="spellStart"/>
      <w:r w:rsidRPr="00DC016F">
        <w:rPr>
          <w:rFonts w:ascii="Arial" w:hAnsi="Arial" w:cs="Arial"/>
          <w:sz w:val="22"/>
          <w:szCs w:val="22"/>
        </w:rPr>
        <w:t>Ashaka</w:t>
      </w:r>
      <w:proofErr w:type="spellEnd"/>
      <w:r w:rsidRPr="00DC016F">
        <w:rPr>
          <w:rFonts w:ascii="Arial" w:hAnsi="Arial" w:cs="Arial"/>
          <w:sz w:val="22"/>
          <w:szCs w:val="22"/>
        </w:rPr>
        <w:t>/</w:t>
      </w:r>
      <w:proofErr w:type="spellStart"/>
      <w:r w:rsidRPr="00DC016F">
        <w:rPr>
          <w:rFonts w:ascii="Arial" w:hAnsi="Arial" w:cs="Arial"/>
          <w:sz w:val="22"/>
          <w:szCs w:val="22"/>
        </w:rPr>
        <w:t>Magaba</w:t>
      </w:r>
      <w:proofErr w:type="spellEnd"/>
      <w:r w:rsidRPr="00DC016F">
        <w:rPr>
          <w:rFonts w:ascii="Arial" w:hAnsi="Arial" w:cs="Arial"/>
          <w:sz w:val="22"/>
          <w:szCs w:val="22"/>
        </w:rPr>
        <w:t>; TB – Tilde/Bodor; BG – Bage; RB – Ribadu.</w:t>
      </w:r>
      <w:bookmarkStart w:id="44" w:name="_Toc70173381"/>
      <w:bookmarkStart w:id="45" w:name="_Toc70173494"/>
      <w:bookmarkEnd w:id="43"/>
    </w:p>
    <w:p w14:paraId="68EE6CA3" w14:textId="77777777" w:rsidR="00404637" w:rsidRDefault="00404637" w:rsidP="000849F7">
      <w:pPr>
        <w:pStyle w:val="Heading2"/>
        <w:spacing w:line="360" w:lineRule="auto"/>
        <w:jc w:val="both"/>
        <w:rPr>
          <w:rFonts w:ascii="Arial" w:hAnsi="Arial" w:cs="Arial"/>
          <w:b/>
          <w:bCs/>
          <w:color w:val="auto"/>
          <w:sz w:val="22"/>
          <w:szCs w:val="22"/>
        </w:rPr>
      </w:pPr>
      <w:bookmarkStart w:id="46" w:name="_Toc536761087"/>
    </w:p>
    <w:p w14:paraId="5646E567" w14:textId="0021C561" w:rsidR="005B20B1" w:rsidRPr="00404637" w:rsidRDefault="005B20B1" w:rsidP="000849F7">
      <w:pPr>
        <w:pStyle w:val="Heading2"/>
        <w:spacing w:line="360" w:lineRule="auto"/>
        <w:jc w:val="both"/>
        <w:rPr>
          <w:rFonts w:ascii="Arial" w:hAnsi="Arial" w:cs="Arial"/>
          <w:b/>
          <w:bCs/>
          <w:i/>
          <w:color w:val="auto"/>
          <w:sz w:val="22"/>
          <w:szCs w:val="22"/>
        </w:rPr>
      </w:pPr>
      <w:r w:rsidRPr="00404637">
        <w:rPr>
          <w:rFonts w:ascii="Arial" w:hAnsi="Arial" w:cs="Arial"/>
          <w:b/>
          <w:bCs/>
          <w:i/>
          <w:color w:val="auto"/>
          <w:sz w:val="22"/>
          <w:szCs w:val="22"/>
        </w:rPr>
        <w:t>Correlation between vitamins, minerals, antioxidant and anthropometric status of under-five Study Participants</w:t>
      </w:r>
      <w:bookmarkEnd w:id="44"/>
      <w:bookmarkEnd w:id="45"/>
      <w:bookmarkEnd w:id="46"/>
    </w:p>
    <w:p w14:paraId="78DB71C9" w14:textId="474AE1E1" w:rsidR="005B20B1" w:rsidRPr="00DC016F" w:rsidRDefault="005B20B1" w:rsidP="000849F7">
      <w:pPr>
        <w:spacing w:line="360" w:lineRule="auto"/>
        <w:jc w:val="both"/>
        <w:rPr>
          <w:rFonts w:ascii="Arial" w:hAnsi="Arial" w:cs="Arial"/>
          <w:kern w:val="144"/>
        </w:rPr>
      </w:pPr>
      <w:r w:rsidRPr="00DC016F">
        <w:rPr>
          <w:rFonts w:ascii="Arial" w:hAnsi="Arial" w:cs="Arial"/>
        </w:rPr>
        <w:t>The present result showed the correlation between vitamins, mineral levels and anthropometric status</w:t>
      </w:r>
      <w:r w:rsidR="00404637">
        <w:rPr>
          <w:rFonts w:ascii="Arial" w:hAnsi="Arial" w:cs="Arial"/>
        </w:rPr>
        <w:t xml:space="preserve"> of study participants (Table </w:t>
      </w:r>
      <w:r w:rsidRPr="00DC016F">
        <w:rPr>
          <w:rFonts w:ascii="Arial" w:hAnsi="Arial" w:cs="Arial"/>
        </w:rPr>
        <w:t xml:space="preserve">5). </w:t>
      </w:r>
      <w:r w:rsidRPr="00DC016F">
        <w:rPr>
          <w:rFonts w:ascii="Arial" w:hAnsi="Arial" w:cs="Arial"/>
          <w:kern w:val="144"/>
        </w:rPr>
        <w:t>The result showed weak significant negative relationship between weight and vitamin E (</w:t>
      </w:r>
      <w:r w:rsidRPr="00DC016F">
        <w:rPr>
          <w:rFonts w:ascii="Arial" w:hAnsi="Arial" w:cs="Arial"/>
          <w:i/>
          <w:kern w:val="144"/>
        </w:rPr>
        <w:t>P</w:t>
      </w:r>
      <w:r w:rsidRPr="00DC016F">
        <w:rPr>
          <w:rFonts w:ascii="Arial" w:hAnsi="Arial" w:cs="Arial"/>
          <w:kern w:val="144"/>
        </w:rPr>
        <w:t>&lt; 0.01,</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-0.269)</w:t>
      </w:r>
      <w:r w:rsidRPr="00DC016F">
        <w:rPr>
          <w:rFonts w:ascii="Arial" w:hAnsi="Arial" w:cs="Arial"/>
          <w:kern w:val="144"/>
        </w:rPr>
        <w:t xml:space="preserve"> and selenium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-0.217</w:t>
      </w:r>
      <w:r w:rsidRPr="00DC016F">
        <w:rPr>
          <w:rFonts w:ascii="Arial" w:hAnsi="Arial" w:cs="Arial"/>
          <w:kern w:val="144"/>
        </w:rPr>
        <w:t>) levels. Weak positive relationship was also found between height and vitamin C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0.249</w:t>
      </w:r>
      <w:r w:rsidRPr="00DC016F">
        <w:rPr>
          <w:rFonts w:ascii="Arial" w:hAnsi="Arial" w:cs="Arial"/>
          <w:kern w:val="144"/>
        </w:rPr>
        <w:t>) and weak negative correlation between serum height and Zinc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-0.220</w:t>
      </w:r>
      <w:r w:rsidRPr="00DC016F">
        <w:rPr>
          <w:rFonts w:ascii="Arial" w:hAnsi="Arial" w:cs="Arial"/>
          <w:kern w:val="144"/>
        </w:rPr>
        <w:t>) levels. BMI showed weak negative correlation between vitamin A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-0.104</w:t>
      </w:r>
      <w:r w:rsidRPr="00DC016F">
        <w:rPr>
          <w:rFonts w:ascii="Arial" w:hAnsi="Arial" w:cs="Arial"/>
          <w:kern w:val="144"/>
        </w:rPr>
        <w:t>), vitamin D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-0.195</w:t>
      </w:r>
      <w:r w:rsidRPr="00DC016F">
        <w:rPr>
          <w:rFonts w:ascii="Arial" w:hAnsi="Arial" w:cs="Arial"/>
          <w:kern w:val="144"/>
        </w:rPr>
        <w:t>), vitamin E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-0.170</w:t>
      </w:r>
      <w:r w:rsidRPr="00DC016F">
        <w:rPr>
          <w:rFonts w:ascii="Arial" w:hAnsi="Arial" w:cs="Arial"/>
          <w:kern w:val="144"/>
        </w:rPr>
        <w:t>) and weak positive correlation in vitamin C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0.150</w:t>
      </w:r>
      <w:r w:rsidRPr="00DC016F">
        <w:rPr>
          <w:rFonts w:ascii="Arial" w:hAnsi="Arial" w:cs="Arial"/>
          <w:kern w:val="144"/>
        </w:rPr>
        <w:t>) levels. MUAC had weak association with vitamin E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0.112</w:t>
      </w:r>
      <w:r w:rsidRPr="00DC016F">
        <w:rPr>
          <w:rFonts w:ascii="Arial" w:hAnsi="Arial" w:cs="Arial"/>
          <w:kern w:val="144"/>
        </w:rPr>
        <w:t>), vitamin C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0.103</w:t>
      </w:r>
      <w:r w:rsidRPr="00DC016F">
        <w:rPr>
          <w:rFonts w:ascii="Arial" w:hAnsi="Arial" w:cs="Arial"/>
          <w:kern w:val="144"/>
        </w:rPr>
        <w:t>) and calcium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0.160</w:t>
      </w:r>
      <w:r w:rsidRPr="00DC016F">
        <w:rPr>
          <w:rFonts w:ascii="Arial" w:hAnsi="Arial" w:cs="Arial"/>
          <w:kern w:val="144"/>
        </w:rPr>
        <w:t>).</w:t>
      </w:r>
    </w:p>
    <w:p w14:paraId="211BE3B8" w14:textId="77777777" w:rsidR="00276303" w:rsidRPr="00DC016F" w:rsidRDefault="00276303" w:rsidP="00FD59DA">
      <w:pPr>
        <w:pStyle w:val="Caption"/>
        <w:spacing w:line="240" w:lineRule="auto"/>
        <w:rPr>
          <w:rFonts w:ascii="Arial" w:hAnsi="Arial" w:cs="Arial"/>
          <w:sz w:val="22"/>
          <w:szCs w:val="22"/>
        </w:rPr>
      </w:pPr>
      <w:bookmarkStart w:id="47" w:name="_Toc85539273"/>
    </w:p>
    <w:p w14:paraId="684F854B" w14:textId="77777777" w:rsidR="00276303" w:rsidRPr="00DC016F" w:rsidRDefault="00276303" w:rsidP="00FD59DA">
      <w:pPr>
        <w:pStyle w:val="Caption"/>
        <w:spacing w:line="240" w:lineRule="auto"/>
        <w:rPr>
          <w:rFonts w:ascii="Arial" w:hAnsi="Arial" w:cs="Arial"/>
          <w:sz w:val="22"/>
          <w:szCs w:val="22"/>
        </w:rPr>
      </w:pPr>
    </w:p>
    <w:p w14:paraId="5D6D7F11" w14:textId="13D9028A" w:rsidR="00276303" w:rsidRPr="00DC016F" w:rsidRDefault="00276303" w:rsidP="00FD59DA">
      <w:pPr>
        <w:pStyle w:val="Caption"/>
        <w:spacing w:line="240" w:lineRule="auto"/>
        <w:rPr>
          <w:rFonts w:ascii="Arial" w:hAnsi="Arial" w:cs="Arial"/>
          <w:sz w:val="22"/>
          <w:szCs w:val="22"/>
        </w:rPr>
      </w:pPr>
    </w:p>
    <w:p w14:paraId="0743316B" w14:textId="37CB7BB6" w:rsidR="000849F7" w:rsidRPr="00DC016F" w:rsidRDefault="000849F7" w:rsidP="000849F7">
      <w:pPr>
        <w:rPr>
          <w:rFonts w:ascii="Arial" w:hAnsi="Arial" w:cs="Arial"/>
        </w:rPr>
      </w:pPr>
    </w:p>
    <w:p w14:paraId="1455C48B" w14:textId="77777777" w:rsidR="000849F7" w:rsidRPr="00DC016F" w:rsidRDefault="000849F7" w:rsidP="000849F7">
      <w:pPr>
        <w:rPr>
          <w:rFonts w:ascii="Arial" w:hAnsi="Arial" w:cs="Arial"/>
        </w:rPr>
      </w:pPr>
    </w:p>
    <w:p w14:paraId="11B3A7DA" w14:textId="24726EA3" w:rsidR="005B20B1" w:rsidRPr="00DC016F" w:rsidRDefault="005B20B1" w:rsidP="00FD59DA">
      <w:pPr>
        <w:pStyle w:val="Caption"/>
        <w:spacing w:line="240" w:lineRule="auto"/>
        <w:rPr>
          <w:rFonts w:ascii="Arial" w:hAnsi="Arial" w:cs="Arial"/>
          <w:sz w:val="22"/>
          <w:szCs w:val="22"/>
        </w:rPr>
      </w:pPr>
      <w:r w:rsidRPr="00DC016F">
        <w:rPr>
          <w:rFonts w:ascii="Arial" w:hAnsi="Arial" w:cs="Arial"/>
          <w:sz w:val="22"/>
          <w:szCs w:val="22"/>
        </w:rPr>
        <w:lastRenderedPageBreak/>
        <w:t xml:space="preserve">Table </w:t>
      </w:r>
      <w:r w:rsidR="001706B5" w:rsidRPr="00DC016F">
        <w:rPr>
          <w:rFonts w:ascii="Arial" w:hAnsi="Arial" w:cs="Arial"/>
          <w:sz w:val="22"/>
          <w:szCs w:val="22"/>
        </w:rPr>
        <w:fldChar w:fldCharType="begin"/>
      </w:r>
      <w:r w:rsidR="001706B5" w:rsidRPr="00DC016F">
        <w:rPr>
          <w:rFonts w:ascii="Arial" w:hAnsi="Arial" w:cs="Arial"/>
          <w:sz w:val="22"/>
          <w:szCs w:val="22"/>
        </w:rPr>
        <w:instrText xml:space="preserve"> SEQ Table_4. \* ARABIC </w:instrText>
      </w:r>
      <w:r w:rsidR="001706B5" w:rsidRPr="00DC016F">
        <w:rPr>
          <w:rFonts w:ascii="Arial" w:hAnsi="Arial" w:cs="Arial"/>
          <w:sz w:val="22"/>
          <w:szCs w:val="22"/>
        </w:rPr>
        <w:fldChar w:fldCharType="separate"/>
      </w:r>
      <w:r w:rsidRPr="00DC016F">
        <w:rPr>
          <w:rFonts w:ascii="Arial" w:hAnsi="Arial" w:cs="Arial"/>
          <w:noProof/>
          <w:sz w:val="22"/>
          <w:szCs w:val="22"/>
        </w:rPr>
        <w:t>5</w:t>
      </w:r>
      <w:r w:rsidR="001706B5" w:rsidRPr="00DC016F">
        <w:rPr>
          <w:rFonts w:ascii="Arial" w:hAnsi="Arial" w:cs="Arial"/>
          <w:noProof/>
          <w:sz w:val="22"/>
          <w:szCs w:val="22"/>
        </w:rPr>
        <w:fldChar w:fldCharType="end"/>
      </w:r>
      <w:r w:rsidR="00D80C20">
        <w:rPr>
          <w:rFonts w:ascii="Arial" w:hAnsi="Arial" w:cs="Arial"/>
          <w:sz w:val="22"/>
          <w:szCs w:val="22"/>
        </w:rPr>
        <w:t>: Correlation B</w:t>
      </w:r>
      <w:r w:rsidRPr="00DC016F">
        <w:rPr>
          <w:rFonts w:ascii="Arial" w:hAnsi="Arial" w:cs="Arial"/>
          <w:sz w:val="22"/>
          <w:szCs w:val="22"/>
        </w:rPr>
        <w:t xml:space="preserve">etween </w:t>
      </w:r>
      <w:r w:rsidR="00D80C20">
        <w:rPr>
          <w:rFonts w:ascii="Arial" w:hAnsi="Arial" w:cs="Arial"/>
          <w:sz w:val="22"/>
          <w:szCs w:val="22"/>
        </w:rPr>
        <w:t>V</w:t>
      </w:r>
      <w:r w:rsidRPr="00DC016F">
        <w:rPr>
          <w:rFonts w:ascii="Arial" w:hAnsi="Arial" w:cs="Arial"/>
          <w:sz w:val="22"/>
          <w:szCs w:val="22"/>
        </w:rPr>
        <w:t xml:space="preserve">itamins, </w:t>
      </w:r>
      <w:r w:rsidR="00D80C20">
        <w:rPr>
          <w:rFonts w:ascii="Arial" w:hAnsi="Arial" w:cs="Arial"/>
          <w:sz w:val="22"/>
          <w:szCs w:val="22"/>
        </w:rPr>
        <w:t>M</w:t>
      </w:r>
      <w:r w:rsidRPr="00DC016F">
        <w:rPr>
          <w:rFonts w:ascii="Arial" w:hAnsi="Arial" w:cs="Arial"/>
          <w:sz w:val="22"/>
          <w:szCs w:val="22"/>
        </w:rPr>
        <w:t xml:space="preserve">ineral </w:t>
      </w:r>
      <w:r w:rsidR="00D80C20">
        <w:rPr>
          <w:rFonts w:ascii="Arial" w:hAnsi="Arial" w:cs="Arial"/>
          <w:sz w:val="22"/>
          <w:szCs w:val="22"/>
        </w:rPr>
        <w:t>L</w:t>
      </w:r>
      <w:r w:rsidRPr="00DC016F">
        <w:rPr>
          <w:rFonts w:ascii="Arial" w:hAnsi="Arial" w:cs="Arial"/>
          <w:sz w:val="22"/>
          <w:szCs w:val="22"/>
        </w:rPr>
        <w:t xml:space="preserve">evels and </w:t>
      </w:r>
      <w:r w:rsidR="00D80C20">
        <w:rPr>
          <w:rFonts w:ascii="Arial" w:hAnsi="Arial" w:cs="Arial"/>
          <w:sz w:val="22"/>
          <w:szCs w:val="22"/>
        </w:rPr>
        <w:t>A</w:t>
      </w:r>
      <w:r w:rsidRPr="00DC016F">
        <w:rPr>
          <w:rFonts w:ascii="Arial" w:hAnsi="Arial" w:cs="Arial"/>
          <w:sz w:val="22"/>
          <w:szCs w:val="22"/>
        </w:rPr>
        <w:t xml:space="preserve">nthropometric </w:t>
      </w:r>
      <w:r w:rsidR="00D80C20">
        <w:rPr>
          <w:rFonts w:ascii="Arial" w:hAnsi="Arial" w:cs="Arial"/>
          <w:sz w:val="22"/>
          <w:szCs w:val="22"/>
        </w:rPr>
        <w:t>M</w:t>
      </w:r>
      <w:r w:rsidRPr="00DC016F">
        <w:rPr>
          <w:rFonts w:ascii="Arial" w:hAnsi="Arial" w:cs="Arial"/>
          <w:sz w:val="22"/>
          <w:szCs w:val="22"/>
        </w:rPr>
        <w:t>easures of Study Participants</w:t>
      </w:r>
      <w:bookmarkEnd w:id="47"/>
    </w:p>
    <w:tbl>
      <w:tblPr>
        <w:tblStyle w:val="LightShading1"/>
        <w:tblW w:w="10165" w:type="dxa"/>
        <w:tblInd w:w="-270" w:type="dxa"/>
        <w:tblBorders>
          <w:top w:val="single" w:sz="4" w:space="0" w:color="auto"/>
          <w:bottom w:val="single" w:sz="4" w:space="0" w:color="auto"/>
        </w:tblBorders>
        <w:tblLayout w:type="fixed"/>
        <w:tblLook w:val="0000" w:firstRow="0" w:lastRow="0" w:firstColumn="0" w:lastColumn="0" w:noHBand="0" w:noVBand="0"/>
      </w:tblPr>
      <w:tblGrid>
        <w:gridCol w:w="1165"/>
        <w:gridCol w:w="900"/>
        <w:gridCol w:w="900"/>
        <w:gridCol w:w="923"/>
        <w:gridCol w:w="871"/>
        <w:gridCol w:w="871"/>
        <w:gridCol w:w="874"/>
        <w:gridCol w:w="871"/>
        <w:gridCol w:w="990"/>
        <w:gridCol w:w="900"/>
        <w:gridCol w:w="900"/>
      </w:tblGrid>
      <w:tr w:rsidR="000849F7" w:rsidRPr="00DC016F" w14:paraId="0FFD22C2" w14:textId="77777777" w:rsidTr="000849F7">
        <w:trPr>
          <w:cnfStyle w:val="000000100000" w:firstRow="0" w:lastRow="0" w:firstColumn="0" w:lastColumn="0" w:oddVBand="0" w:evenVBand="0" w:oddHBand="1" w:evenHBand="0"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1165" w:type="dxa"/>
            <w:tcBorders>
              <w:top w:val="single" w:sz="4" w:space="0" w:color="auto"/>
              <w:bottom w:val="single" w:sz="4" w:space="0" w:color="auto"/>
            </w:tcBorders>
            <w:shd w:val="clear" w:color="auto" w:fill="auto"/>
          </w:tcPr>
          <w:p w14:paraId="343B05C7" w14:textId="77777777" w:rsidR="005B20B1" w:rsidRPr="00DC016F" w:rsidRDefault="005B20B1" w:rsidP="00276303">
            <w:pPr>
              <w:autoSpaceDE w:val="0"/>
              <w:autoSpaceDN w:val="0"/>
              <w:adjustRightInd w:val="0"/>
              <w:spacing w:after="0" w:line="240" w:lineRule="auto"/>
              <w:rPr>
                <w:rFonts w:ascii="Arial" w:hAnsi="Arial" w:cs="Arial"/>
                <w:b/>
                <w:color w:val="auto"/>
              </w:rPr>
            </w:pPr>
            <w:r w:rsidRPr="00DC016F">
              <w:rPr>
                <w:rFonts w:ascii="Arial" w:hAnsi="Arial" w:cs="Arial"/>
                <w:b/>
                <w:color w:val="auto"/>
              </w:rPr>
              <w:t>Variable</w:t>
            </w:r>
          </w:p>
        </w:tc>
        <w:tc>
          <w:tcPr>
            <w:tcW w:w="900" w:type="dxa"/>
            <w:tcBorders>
              <w:top w:val="single" w:sz="4" w:space="0" w:color="auto"/>
              <w:bottom w:val="single" w:sz="4" w:space="0" w:color="auto"/>
            </w:tcBorders>
            <w:shd w:val="clear" w:color="auto" w:fill="auto"/>
          </w:tcPr>
          <w:p w14:paraId="44148A98" w14:textId="77777777" w:rsidR="000849F7"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Vit</w:t>
            </w:r>
          </w:p>
          <w:p w14:paraId="575963E1" w14:textId="50255AAD"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_A</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bottom w:val="single" w:sz="4" w:space="0" w:color="auto"/>
            </w:tcBorders>
            <w:shd w:val="clear" w:color="auto" w:fill="auto"/>
          </w:tcPr>
          <w:p w14:paraId="68C6F9F9" w14:textId="77777777" w:rsidR="000849F7"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Vit_</w:t>
            </w:r>
          </w:p>
          <w:p w14:paraId="1B599E9C" w14:textId="137ACAE9" w:rsidR="005B20B1"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C</w:t>
            </w:r>
          </w:p>
        </w:tc>
        <w:tc>
          <w:tcPr>
            <w:tcW w:w="923" w:type="dxa"/>
            <w:tcBorders>
              <w:top w:val="single" w:sz="4" w:space="0" w:color="auto"/>
              <w:bottom w:val="single" w:sz="4" w:space="0" w:color="auto"/>
            </w:tcBorders>
            <w:shd w:val="clear" w:color="auto" w:fill="auto"/>
          </w:tcPr>
          <w:p w14:paraId="62C58FAA" w14:textId="77777777" w:rsidR="000849F7"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Vit_</w:t>
            </w:r>
          </w:p>
          <w:p w14:paraId="5826816A" w14:textId="18F3F9DF"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D</w:t>
            </w:r>
          </w:p>
        </w:tc>
        <w:tc>
          <w:tcPr>
            <w:cnfStyle w:val="000010000000" w:firstRow="0" w:lastRow="0" w:firstColumn="0" w:lastColumn="0" w:oddVBand="1" w:evenVBand="0" w:oddHBand="0" w:evenHBand="0" w:firstRowFirstColumn="0" w:firstRowLastColumn="0" w:lastRowFirstColumn="0" w:lastRowLastColumn="0"/>
            <w:tcW w:w="871" w:type="dxa"/>
            <w:tcBorders>
              <w:top w:val="single" w:sz="4" w:space="0" w:color="auto"/>
              <w:bottom w:val="single" w:sz="4" w:space="0" w:color="auto"/>
            </w:tcBorders>
            <w:shd w:val="clear" w:color="auto" w:fill="auto"/>
          </w:tcPr>
          <w:p w14:paraId="64BD9D2D" w14:textId="77777777" w:rsidR="000849F7"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Vit_</w:t>
            </w:r>
          </w:p>
          <w:p w14:paraId="583FA8EE" w14:textId="3470C18A" w:rsidR="005B20B1"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E</w:t>
            </w:r>
          </w:p>
        </w:tc>
        <w:tc>
          <w:tcPr>
            <w:tcW w:w="871" w:type="dxa"/>
            <w:tcBorders>
              <w:top w:val="single" w:sz="4" w:space="0" w:color="auto"/>
              <w:bottom w:val="single" w:sz="4" w:space="0" w:color="auto"/>
            </w:tcBorders>
            <w:shd w:val="clear" w:color="auto" w:fill="auto"/>
          </w:tcPr>
          <w:p w14:paraId="1D40A21B"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Cu</w:t>
            </w:r>
          </w:p>
        </w:tc>
        <w:tc>
          <w:tcPr>
            <w:cnfStyle w:val="000010000000" w:firstRow="0" w:lastRow="0" w:firstColumn="0" w:lastColumn="0" w:oddVBand="1" w:evenVBand="0" w:oddHBand="0" w:evenHBand="0" w:firstRowFirstColumn="0" w:firstRowLastColumn="0" w:lastRowFirstColumn="0" w:lastRowLastColumn="0"/>
            <w:tcW w:w="874" w:type="dxa"/>
            <w:tcBorders>
              <w:top w:val="single" w:sz="4" w:space="0" w:color="auto"/>
              <w:bottom w:val="single" w:sz="4" w:space="0" w:color="auto"/>
            </w:tcBorders>
            <w:shd w:val="clear" w:color="auto" w:fill="auto"/>
          </w:tcPr>
          <w:p w14:paraId="5397B203" w14:textId="77777777" w:rsidR="005B20B1"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Se</w:t>
            </w:r>
          </w:p>
        </w:tc>
        <w:tc>
          <w:tcPr>
            <w:tcW w:w="871" w:type="dxa"/>
            <w:tcBorders>
              <w:top w:val="single" w:sz="4" w:space="0" w:color="auto"/>
              <w:bottom w:val="single" w:sz="4" w:space="0" w:color="auto"/>
            </w:tcBorders>
            <w:shd w:val="clear" w:color="auto" w:fill="auto"/>
          </w:tcPr>
          <w:p w14:paraId="7D94EC83"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Ca</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bottom w:val="single" w:sz="4" w:space="0" w:color="auto"/>
            </w:tcBorders>
            <w:shd w:val="clear" w:color="auto" w:fill="auto"/>
          </w:tcPr>
          <w:p w14:paraId="55424C1C" w14:textId="77777777" w:rsidR="005B20B1"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Zn</w:t>
            </w:r>
          </w:p>
        </w:tc>
        <w:tc>
          <w:tcPr>
            <w:tcW w:w="900" w:type="dxa"/>
            <w:tcBorders>
              <w:top w:val="single" w:sz="4" w:space="0" w:color="auto"/>
              <w:bottom w:val="single" w:sz="4" w:space="0" w:color="auto"/>
            </w:tcBorders>
            <w:shd w:val="clear" w:color="auto" w:fill="auto"/>
          </w:tcPr>
          <w:p w14:paraId="6B6EA503"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Fe</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bottom w:val="single" w:sz="4" w:space="0" w:color="auto"/>
            </w:tcBorders>
            <w:shd w:val="clear" w:color="auto" w:fill="auto"/>
          </w:tcPr>
          <w:p w14:paraId="0EBD51F0" w14:textId="77777777" w:rsidR="005B20B1"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Mn</w:t>
            </w:r>
          </w:p>
        </w:tc>
      </w:tr>
      <w:tr w:rsidR="000849F7" w:rsidRPr="00DC016F" w14:paraId="75B21145" w14:textId="77777777" w:rsidTr="000849F7">
        <w:trPr>
          <w:trHeight w:val="195"/>
        </w:trPr>
        <w:tc>
          <w:tcPr>
            <w:cnfStyle w:val="000010000000" w:firstRow="0" w:lastRow="0" w:firstColumn="0" w:lastColumn="0" w:oddVBand="1" w:evenVBand="0" w:oddHBand="0" w:evenHBand="0" w:firstRowFirstColumn="0" w:firstRowLastColumn="0" w:lastRowFirstColumn="0" w:lastRowLastColumn="0"/>
            <w:tcW w:w="1165" w:type="dxa"/>
            <w:tcBorders>
              <w:top w:val="single" w:sz="4" w:space="0" w:color="auto"/>
            </w:tcBorders>
            <w:shd w:val="clear" w:color="auto" w:fill="auto"/>
          </w:tcPr>
          <w:p w14:paraId="7D2B1349" w14:textId="77777777" w:rsidR="005B20B1" w:rsidRPr="00DC016F" w:rsidRDefault="005B20B1" w:rsidP="00276303">
            <w:pPr>
              <w:autoSpaceDE w:val="0"/>
              <w:autoSpaceDN w:val="0"/>
              <w:adjustRightInd w:val="0"/>
              <w:spacing w:after="0" w:line="240" w:lineRule="auto"/>
              <w:rPr>
                <w:rFonts w:ascii="Arial" w:hAnsi="Arial" w:cs="Arial"/>
                <w:color w:val="auto"/>
              </w:rPr>
            </w:pPr>
            <w:r w:rsidRPr="00DC016F">
              <w:rPr>
                <w:rFonts w:ascii="Arial" w:hAnsi="Arial" w:cs="Arial"/>
                <w:color w:val="auto"/>
              </w:rPr>
              <w:t>MUAC</w:t>
            </w:r>
          </w:p>
        </w:tc>
        <w:tc>
          <w:tcPr>
            <w:tcW w:w="900" w:type="dxa"/>
            <w:tcBorders>
              <w:top w:val="single" w:sz="4" w:space="0" w:color="auto"/>
            </w:tcBorders>
            <w:shd w:val="clear" w:color="auto" w:fill="auto"/>
          </w:tcPr>
          <w:p w14:paraId="788FDB2A"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0.066</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tcBorders>
            <w:shd w:val="clear" w:color="auto" w:fill="auto"/>
          </w:tcPr>
          <w:p w14:paraId="41D7E001"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0.103</w:t>
            </w:r>
          </w:p>
        </w:tc>
        <w:tc>
          <w:tcPr>
            <w:tcW w:w="923" w:type="dxa"/>
            <w:tcBorders>
              <w:top w:val="single" w:sz="4" w:space="0" w:color="auto"/>
            </w:tcBorders>
            <w:shd w:val="clear" w:color="auto" w:fill="auto"/>
          </w:tcPr>
          <w:p w14:paraId="11B9690C"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-0.195</w:t>
            </w:r>
          </w:p>
        </w:tc>
        <w:tc>
          <w:tcPr>
            <w:cnfStyle w:val="000010000000" w:firstRow="0" w:lastRow="0" w:firstColumn="0" w:lastColumn="0" w:oddVBand="1" w:evenVBand="0" w:oddHBand="0" w:evenHBand="0" w:firstRowFirstColumn="0" w:firstRowLastColumn="0" w:lastRowFirstColumn="0" w:lastRowLastColumn="0"/>
            <w:tcW w:w="871" w:type="dxa"/>
            <w:tcBorders>
              <w:top w:val="single" w:sz="4" w:space="0" w:color="auto"/>
            </w:tcBorders>
            <w:shd w:val="clear" w:color="auto" w:fill="auto"/>
          </w:tcPr>
          <w:p w14:paraId="10FFAD4E"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-0.112</w:t>
            </w:r>
          </w:p>
        </w:tc>
        <w:tc>
          <w:tcPr>
            <w:tcW w:w="871" w:type="dxa"/>
            <w:tcBorders>
              <w:top w:val="single" w:sz="4" w:space="0" w:color="auto"/>
            </w:tcBorders>
            <w:shd w:val="clear" w:color="auto" w:fill="auto"/>
          </w:tcPr>
          <w:p w14:paraId="3BA848CD"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-0.004</w:t>
            </w:r>
          </w:p>
        </w:tc>
        <w:tc>
          <w:tcPr>
            <w:cnfStyle w:val="000010000000" w:firstRow="0" w:lastRow="0" w:firstColumn="0" w:lastColumn="0" w:oddVBand="1" w:evenVBand="0" w:oddHBand="0" w:evenHBand="0" w:firstRowFirstColumn="0" w:firstRowLastColumn="0" w:lastRowFirstColumn="0" w:lastRowLastColumn="0"/>
            <w:tcW w:w="874" w:type="dxa"/>
            <w:tcBorders>
              <w:top w:val="single" w:sz="4" w:space="0" w:color="auto"/>
            </w:tcBorders>
            <w:shd w:val="clear" w:color="auto" w:fill="auto"/>
          </w:tcPr>
          <w:p w14:paraId="41FDB48B"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-0.084</w:t>
            </w:r>
          </w:p>
        </w:tc>
        <w:tc>
          <w:tcPr>
            <w:tcW w:w="871" w:type="dxa"/>
            <w:tcBorders>
              <w:top w:val="single" w:sz="4" w:space="0" w:color="auto"/>
            </w:tcBorders>
            <w:shd w:val="clear" w:color="auto" w:fill="auto"/>
          </w:tcPr>
          <w:p w14:paraId="3D040AB1"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0.160</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tcBorders>
            <w:shd w:val="clear" w:color="auto" w:fill="auto"/>
          </w:tcPr>
          <w:p w14:paraId="5F1B0C1B"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-0.089</w:t>
            </w:r>
          </w:p>
        </w:tc>
        <w:tc>
          <w:tcPr>
            <w:tcW w:w="900" w:type="dxa"/>
            <w:tcBorders>
              <w:top w:val="single" w:sz="4" w:space="0" w:color="auto"/>
            </w:tcBorders>
            <w:shd w:val="clear" w:color="auto" w:fill="auto"/>
          </w:tcPr>
          <w:p w14:paraId="2BAC3F8D"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0.039</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tcBorders>
            <w:shd w:val="clear" w:color="auto" w:fill="auto"/>
          </w:tcPr>
          <w:p w14:paraId="0A0ED29A"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-0.064</w:t>
            </w:r>
          </w:p>
        </w:tc>
      </w:tr>
      <w:tr w:rsidR="008071B7" w:rsidRPr="00DC016F" w14:paraId="6D9D1753" w14:textId="77777777" w:rsidTr="000849F7">
        <w:trPr>
          <w:cnfStyle w:val="000000100000" w:firstRow="0" w:lastRow="0" w:firstColumn="0" w:lastColumn="0" w:oddVBand="0" w:evenVBand="0" w:oddHBand="1" w:evenHBand="0"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1165" w:type="dxa"/>
            <w:tcBorders>
              <w:left w:val="none" w:sz="0" w:space="0" w:color="auto"/>
              <w:bottom w:val="none" w:sz="0" w:space="0" w:color="auto"/>
              <w:right w:val="none" w:sz="0" w:space="0" w:color="auto"/>
            </w:tcBorders>
            <w:shd w:val="clear" w:color="auto" w:fill="auto"/>
          </w:tcPr>
          <w:p w14:paraId="4B4D6E2A" w14:textId="77777777" w:rsidR="005B20B1" w:rsidRPr="00DC016F" w:rsidRDefault="005B20B1" w:rsidP="00276303">
            <w:pPr>
              <w:autoSpaceDE w:val="0"/>
              <w:autoSpaceDN w:val="0"/>
              <w:adjustRightInd w:val="0"/>
              <w:spacing w:after="0" w:line="240" w:lineRule="auto"/>
              <w:rPr>
                <w:rFonts w:ascii="Arial" w:hAnsi="Arial" w:cs="Arial"/>
                <w:color w:val="auto"/>
              </w:rPr>
            </w:pPr>
            <w:r w:rsidRPr="00DC016F">
              <w:rPr>
                <w:rFonts w:ascii="Arial" w:hAnsi="Arial" w:cs="Arial"/>
                <w:color w:val="auto"/>
              </w:rPr>
              <w:t>Weight</w:t>
            </w:r>
          </w:p>
        </w:tc>
        <w:tc>
          <w:tcPr>
            <w:tcW w:w="900" w:type="dxa"/>
            <w:tcBorders>
              <w:left w:val="none" w:sz="0" w:space="0" w:color="auto"/>
              <w:right w:val="none" w:sz="0" w:space="0" w:color="auto"/>
            </w:tcBorders>
            <w:shd w:val="clear" w:color="auto" w:fill="auto"/>
          </w:tcPr>
          <w:p w14:paraId="748822E3"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-0.023</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shd w:val="clear" w:color="auto" w:fill="auto"/>
          </w:tcPr>
          <w:p w14:paraId="25AF524E"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-0.135</w:t>
            </w:r>
          </w:p>
        </w:tc>
        <w:tc>
          <w:tcPr>
            <w:tcW w:w="923" w:type="dxa"/>
            <w:tcBorders>
              <w:left w:val="none" w:sz="0" w:space="0" w:color="auto"/>
              <w:right w:val="none" w:sz="0" w:space="0" w:color="auto"/>
            </w:tcBorders>
            <w:shd w:val="clear" w:color="auto" w:fill="auto"/>
          </w:tcPr>
          <w:p w14:paraId="51F54D48"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-0.114</w:t>
            </w:r>
          </w:p>
        </w:tc>
        <w:tc>
          <w:tcPr>
            <w:cnfStyle w:val="000010000000" w:firstRow="0" w:lastRow="0" w:firstColumn="0" w:lastColumn="0" w:oddVBand="1" w:evenVBand="0" w:oddHBand="0" w:evenHBand="0" w:firstRowFirstColumn="0" w:firstRowLastColumn="0" w:lastRowFirstColumn="0" w:lastRowLastColumn="0"/>
            <w:tcW w:w="871" w:type="dxa"/>
            <w:tcBorders>
              <w:left w:val="none" w:sz="0" w:space="0" w:color="auto"/>
              <w:bottom w:val="none" w:sz="0" w:space="0" w:color="auto"/>
              <w:right w:val="none" w:sz="0" w:space="0" w:color="auto"/>
            </w:tcBorders>
            <w:shd w:val="clear" w:color="auto" w:fill="auto"/>
          </w:tcPr>
          <w:p w14:paraId="4AA29FEB" w14:textId="77777777" w:rsidR="005B20B1" w:rsidRPr="00DC016F" w:rsidRDefault="005B20B1" w:rsidP="00276303">
            <w:pPr>
              <w:autoSpaceDE w:val="0"/>
              <w:autoSpaceDN w:val="0"/>
              <w:adjustRightInd w:val="0"/>
              <w:spacing w:after="0" w:line="240" w:lineRule="auto"/>
              <w:jc w:val="center"/>
              <w:rPr>
                <w:rFonts w:ascii="Arial" w:hAnsi="Arial" w:cs="Arial"/>
                <w:b/>
                <w:bCs/>
                <w:color w:val="auto"/>
              </w:rPr>
            </w:pPr>
            <w:r w:rsidRPr="00DC016F">
              <w:rPr>
                <w:rFonts w:ascii="Arial" w:hAnsi="Arial" w:cs="Arial"/>
                <w:b/>
                <w:bCs/>
                <w:color w:val="auto"/>
              </w:rPr>
              <w:t>-0.269</w:t>
            </w:r>
            <w:r w:rsidRPr="00DC016F">
              <w:rPr>
                <w:rFonts w:ascii="Arial" w:hAnsi="Arial" w:cs="Arial"/>
                <w:b/>
                <w:bCs/>
                <w:color w:val="auto"/>
                <w:vertAlign w:val="superscript"/>
              </w:rPr>
              <w:t>**</w:t>
            </w:r>
          </w:p>
        </w:tc>
        <w:tc>
          <w:tcPr>
            <w:tcW w:w="871" w:type="dxa"/>
            <w:tcBorders>
              <w:left w:val="none" w:sz="0" w:space="0" w:color="auto"/>
              <w:right w:val="none" w:sz="0" w:space="0" w:color="auto"/>
            </w:tcBorders>
            <w:shd w:val="clear" w:color="auto" w:fill="auto"/>
          </w:tcPr>
          <w:p w14:paraId="5BDDCF43"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0.078</w:t>
            </w:r>
          </w:p>
        </w:tc>
        <w:tc>
          <w:tcPr>
            <w:cnfStyle w:val="000010000000" w:firstRow="0" w:lastRow="0" w:firstColumn="0" w:lastColumn="0" w:oddVBand="1" w:evenVBand="0" w:oddHBand="0" w:evenHBand="0" w:firstRowFirstColumn="0" w:firstRowLastColumn="0" w:lastRowFirstColumn="0" w:lastRowLastColumn="0"/>
            <w:tcW w:w="874" w:type="dxa"/>
            <w:tcBorders>
              <w:left w:val="none" w:sz="0" w:space="0" w:color="auto"/>
              <w:bottom w:val="none" w:sz="0" w:space="0" w:color="auto"/>
              <w:right w:val="none" w:sz="0" w:space="0" w:color="auto"/>
            </w:tcBorders>
            <w:shd w:val="clear" w:color="auto" w:fill="auto"/>
          </w:tcPr>
          <w:p w14:paraId="676535D3" w14:textId="77777777" w:rsidR="005B20B1"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-0.217</w:t>
            </w:r>
            <w:r w:rsidRPr="00DC016F">
              <w:rPr>
                <w:rFonts w:ascii="Arial" w:hAnsi="Arial" w:cs="Arial"/>
                <w:b/>
                <w:color w:val="auto"/>
                <w:vertAlign w:val="superscript"/>
              </w:rPr>
              <w:t>*</w:t>
            </w:r>
          </w:p>
        </w:tc>
        <w:tc>
          <w:tcPr>
            <w:tcW w:w="871" w:type="dxa"/>
            <w:tcBorders>
              <w:left w:val="none" w:sz="0" w:space="0" w:color="auto"/>
              <w:right w:val="none" w:sz="0" w:space="0" w:color="auto"/>
            </w:tcBorders>
            <w:shd w:val="clear" w:color="auto" w:fill="auto"/>
          </w:tcPr>
          <w:p w14:paraId="30CEBC7D"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-0.12</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bottom w:val="none" w:sz="0" w:space="0" w:color="auto"/>
              <w:right w:val="none" w:sz="0" w:space="0" w:color="auto"/>
            </w:tcBorders>
            <w:shd w:val="clear" w:color="auto" w:fill="auto"/>
          </w:tcPr>
          <w:p w14:paraId="0621E347"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-0.193</w:t>
            </w:r>
          </w:p>
        </w:tc>
        <w:tc>
          <w:tcPr>
            <w:tcW w:w="900" w:type="dxa"/>
            <w:tcBorders>
              <w:left w:val="none" w:sz="0" w:space="0" w:color="auto"/>
              <w:right w:val="none" w:sz="0" w:space="0" w:color="auto"/>
            </w:tcBorders>
            <w:shd w:val="clear" w:color="auto" w:fill="auto"/>
          </w:tcPr>
          <w:p w14:paraId="5D18C26E"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-0.011</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shd w:val="clear" w:color="auto" w:fill="auto"/>
          </w:tcPr>
          <w:p w14:paraId="19E7D32D"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-0.007</w:t>
            </w:r>
          </w:p>
        </w:tc>
      </w:tr>
      <w:tr w:rsidR="008071B7" w:rsidRPr="00DC016F" w14:paraId="398CBEC0" w14:textId="77777777" w:rsidTr="000849F7">
        <w:trPr>
          <w:trHeight w:val="195"/>
        </w:trPr>
        <w:tc>
          <w:tcPr>
            <w:cnfStyle w:val="000010000000" w:firstRow="0" w:lastRow="0" w:firstColumn="0" w:lastColumn="0" w:oddVBand="1" w:evenVBand="0" w:oddHBand="0" w:evenHBand="0" w:firstRowFirstColumn="0" w:firstRowLastColumn="0" w:lastRowFirstColumn="0" w:lastRowLastColumn="0"/>
            <w:tcW w:w="1165" w:type="dxa"/>
            <w:tcBorders>
              <w:left w:val="none" w:sz="0" w:space="0" w:color="auto"/>
              <w:bottom w:val="none" w:sz="0" w:space="0" w:color="auto"/>
              <w:right w:val="none" w:sz="0" w:space="0" w:color="auto"/>
            </w:tcBorders>
            <w:shd w:val="clear" w:color="auto" w:fill="auto"/>
          </w:tcPr>
          <w:p w14:paraId="3E94AAE9" w14:textId="77777777" w:rsidR="005B20B1" w:rsidRPr="00DC016F" w:rsidRDefault="005B20B1" w:rsidP="00276303">
            <w:pPr>
              <w:autoSpaceDE w:val="0"/>
              <w:autoSpaceDN w:val="0"/>
              <w:adjustRightInd w:val="0"/>
              <w:spacing w:after="0" w:line="240" w:lineRule="auto"/>
              <w:rPr>
                <w:rFonts w:ascii="Arial" w:hAnsi="Arial" w:cs="Arial"/>
                <w:color w:val="auto"/>
              </w:rPr>
            </w:pPr>
            <w:r w:rsidRPr="00DC016F">
              <w:rPr>
                <w:rFonts w:ascii="Arial" w:hAnsi="Arial" w:cs="Arial"/>
                <w:color w:val="auto"/>
              </w:rPr>
              <w:t>Height</w:t>
            </w:r>
          </w:p>
        </w:tc>
        <w:tc>
          <w:tcPr>
            <w:tcW w:w="900" w:type="dxa"/>
            <w:shd w:val="clear" w:color="auto" w:fill="auto"/>
          </w:tcPr>
          <w:p w14:paraId="686D8BE0"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0.085</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shd w:val="clear" w:color="auto" w:fill="auto"/>
          </w:tcPr>
          <w:p w14:paraId="4D9C0B68"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0.149</w:t>
            </w:r>
          </w:p>
        </w:tc>
        <w:tc>
          <w:tcPr>
            <w:tcW w:w="923" w:type="dxa"/>
            <w:shd w:val="clear" w:color="auto" w:fill="auto"/>
          </w:tcPr>
          <w:p w14:paraId="766E785C"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-0.039</w:t>
            </w:r>
          </w:p>
        </w:tc>
        <w:tc>
          <w:tcPr>
            <w:cnfStyle w:val="000010000000" w:firstRow="0" w:lastRow="0" w:firstColumn="0" w:lastColumn="0" w:oddVBand="1" w:evenVBand="0" w:oddHBand="0" w:evenHBand="0" w:firstRowFirstColumn="0" w:firstRowLastColumn="0" w:lastRowFirstColumn="0" w:lastRowLastColumn="0"/>
            <w:tcW w:w="871" w:type="dxa"/>
            <w:tcBorders>
              <w:left w:val="none" w:sz="0" w:space="0" w:color="auto"/>
              <w:bottom w:val="none" w:sz="0" w:space="0" w:color="auto"/>
              <w:right w:val="none" w:sz="0" w:space="0" w:color="auto"/>
            </w:tcBorders>
            <w:shd w:val="clear" w:color="auto" w:fill="auto"/>
          </w:tcPr>
          <w:p w14:paraId="070C4AA0"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-0.053</w:t>
            </w:r>
          </w:p>
        </w:tc>
        <w:tc>
          <w:tcPr>
            <w:tcW w:w="871" w:type="dxa"/>
            <w:shd w:val="clear" w:color="auto" w:fill="auto"/>
          </w:tcPr>
          <w:p w14:paraId="7D97907F"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-0.051</w:t>
            </w:r>
          </w:p>
        </w:tc>
        <w:tc>
          <w:tcPr>
            <w:cnfStyle w:val="000010000000" w:firstRow="0" w:lastRow="0" w:firstColumn="0" w:lastColumn="0" w:oddVBand="1" w:evenVBand="0" w:oddHBand="0" w:evenHBand="0" w:firstRowFirstColumn="0" w:firstRowLastColumn="0" w:lastRowFirstColumn="0" w:lastRowLastColumn="0"/>
            <w:tcW w:w="874" w:type="dxa"/>
            <w:tcBorders>
              <w:left w:val="none" w:sz="0" w:space="0" w:color="auto"/>
              <w:bottom w:val="none" w:sz="0" w:space="0" w:color="auto"/>
              <w:right w:val="none" w:sz="0" w:space="0" w:color="auto"/>
            </w:tcBorders>
            <w:shd w:val="clear" w:color="auto" w:fill="auto"/>
          </w:tcPr>
          <w:p w14:paraId="3A8F5711"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-0.070</w:t>
            </w:r>
          </w:p>
        </w:tc>
        <w:tc>
          <w:tcPr>
            <w:tcW w:w="871" w:type="dxa"/>
            <w:shd w:val="clear" w:color="auto" w:fill="auto"/>
          </w:tcPr>
          <w:p w14:paraId="280BF5A1"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-0.088</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bottom w:val="none" w:sz="0" w:space="0" w:color="auto"/>
              <w:right w:val="none" w:sz="0" w:space="0" w:color="auto"/>
            </w:tcBorders>
            <w:shd w:val="clear" w:color="auto" w:fill="auto"/>
          </w:tcPr>
          <w:p w14:paraId="6DDADBC8" w14:textId="77777777" w:rsidR="005B20B1"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-0.220</w:t>
            </w:r>
            <w:r w:rsidRPr="00DC016F">
              <w:rPr>
                <w:rFonts w:ascii="Arial" w:hAnsi="Arial" w:cs="Arial"/>
                <w:b/>
                <w:color w:val="auto"/>
                <w:vertAlign w:val="superscript"/>
              </w:rPr>
              <w:t>*</w:t>
            </w:r>
          </w:p>
        </w:tc>
        <w:tc>
          <w:tcPr>
            <w:tcW w:w="900" w:type="dxa"/>
            <w:shd w:val="clear" w:color="auto" w:fill="auto"/>
          </w:tcPr>
          <w:p w14:paraId="002E6DA3"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0.026</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shd w:val="clear" w:color="auto" w:fill="auto"/>
          </w:tcPr>
          <w:p w14:paraId="1030C1F0"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-0.058</w:t>
            </w:r>
          </w:p>
        </w:tc>
      </w:tr>
      <w:tr w:rsidR="008071B7" w:rsidRPr="00DC016F" w14:paraId="583B1316" w14:textId="77777777" w:rsidTr="000849F7">
        <w:trPr>
          <w:cnfStyle w:val="000000100000" w:firstRow="0" w:lastRow="0" w:firstColumn="0" w:lastColumn="0" w:oddVBand="0" w:evenVBand="0" w:oddHBand="1" w:evenHBand="0"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1165" w:type="dxa"/>
            <w:tcBorders>
              <w:left w:val="none" w:sz="0" w:space="0" w:color="auto"/>
              <w:right w:val="none" w:sz="0" w:space="0" w:color="auto"/>
            </w:tcBorders>
            <w:shd w:val="clear" w:color="auto" w:fill="auto"/>
          </w:tcPr>
          <w:p w14:paraId="677E942F" w14:textId="77777777" w:rsidR="005B20B1" w:rsidRPr="00DC016F" w:rsidRDefault="005B20B1" w:rsidP="00276303">
            <w:pPr>
              <w:autoSpaceDE w:val="0"/>
              <w:autoSpaceDN w:val="0"/>
              <w:adjustRightInd w:val="0"/>
              <w:spacing w:after="0" w:line="240" w:lineRule="auto"/>
              <w:rPr>
                <w:rFonts w:ascii="Arial" w:hAnsi="Arial" w:cs="Arial"/>
                <w:color w:val="auto"/>
              </w:rPr>
            </w:pPr>
            <w:r w:rsidRPr="00DC016F">
              <w:rPr>
                <w:rFonts w:ascii="Arial" w:hAnsi="Arial" w:cs="Arial"/>
                <w:color w:val="auto"/>
              </w:rPr>
              <w:t>BMI</w:t>
            </w:r>
          </w:p>
        </w:tc>
        <w:tc>
          <w:tcPr>
            <w:tcW w:w="900" w:type="dxa"/>
            <w:tcBorders>
              <w:left w:val="none" w:sz="0" w:space="0" w:color="auto"/>
              <w:right w:val="none" w:sz="0" w:space="0" w:color="auto"/>
            </w:tcBorders>
            <w:shd w:val="clear" w:color="auto" w:fill="auto"/>
          </w:tcPr>
          <w:p w14:paraId="7E07C994"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-0.104</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right w:val="none" w:sz="0" w:space="0" w:color="auto"/>
            </w:tcBorders>
            <w:shd w:val="clear" w:color="auto" w:fill="auto"/>
          </w:tcPr>
          <w:p w14:paraId="0BCD324C"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0.150</w:t>
            </w:r>
          </w:p>
        </w:tc>
        <w:tc>
          <w:tcPr>
            <w:tcW w:w="923" w:type="dxa"/>
            <w:tcBorders>
              <w:left w:val="none" w:sz="0" w:space="0" w:color="auto"/>
              <w:right w:val="none" w:sz="0" w:space="0" w:color="auto"/>
            </w:tcBorders>
            <w:shd w:val="clear" w:color="auto" w:fill="auto"/>
          </w:tcPr>
          <w:p w14:paraId="5A0F4714"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-0.042</w:t>
            </w:r>
          </w:p>
        </w:tc>
        <w:tc>
          <w:tcPr>
            <w:cnfStyle w:val="000010000000" w:firstRow="0" w:lastRow="0" w:firstColumn="0" w:lastColumn="0" w:oddVBand="1" w:evenVBand="0" w:oddHBand="0" w:evenHBand="0" w:firstRowFirstColumn="0" w:firstRowLastColumn="0" w:lastRowFirstColumn="0" w:lastRowLastColumn="0"/>
            <w:tcW w:w="871" w:type="dxa"/>
            <w:tcBorders>
              <w:left w:val="none" w:sz="0" w:space="0" w:color="auto"/>
              <w:right w:val="none" w:sz="0" w:space="0" w:color="auto"/>
            </w:tcBorders>
            <w:shd w:val="clear" w:color="auto" w:fill="auto"/>
          </w:tcPr>
          <w:p w14:paraId="1726B052"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-0.170</w:t>
            </w:r>
          </w:p>
        </w:tc>
        <w:tc>
          <w:tcPr>
            <w:tcW w:w="871" w:type="dxa"/>
            <w:tcBorders>
              <w:left w:val="none" w:sz="0" w:space="0" w:color="auto"/>
              <w:right w:val="none" w:sz="0" w:space="0" w:color="auto"/>
            </w:tcBorders>
            <w:shd w:val="clear" w:color="auto" w:fill="auto"/>
          </w:tcPr>
          <w:p w14:paraId="4246FC67"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0.129</w:t>
            </w:r>
          </w:p>
        </w:tc>
        <w:tc>
          <w:tcPr>
            <w:cnfStyle w:val="000010000000" w:firstRow="0" w:lastRow="0" w:firstColumn="0" w:lastColumn="0" w:oddVBand="1" w:evenVBand="0" w:oddHBand="0" w:evenHBand="0" w:firstRowFirstColumn="0" w:firstRowLastColumn="0" w:lastRowFirstColumn="0" w:lastRowLastColumn="0"/>
            <w:tcW w:w="874" w:type="dxa"/>
            <w:tcBorders>
              <w:left w:val="none" w:sz="0" w:space="0" w:color="auto"/>
              <w:right w:val="none" w:sz="0" w:space="0" w:color="auto"/>
            </w:tcBorders>
            <w:shd w:val="clear" w:color="auto" w:fill="auto"/>
          </w:tcPr>
          <w:p w14:paraId="384DC140"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-0.103</w:t>
            </w:r>
          </w:p>
        </w:tc>
        <w:tc>
          <w:tcPr>
            <w:tcW w:w="871" w:type="dxa"/>
            <w:tcBorders>
              <w:left w:val="none" w:sz="0" w:space="0" w:color="auto"/>
              <w:right w:val="none" w:sz="0" w:space="0" w:color="auto"/>
            </w:tcBorders>
            <w:shd w:val="clear" w:color="auto" w:fill="auto"/>
          </w:tcPr>
          <w:p w14:paraId="19FB992E"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-0.010</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right w:val="none" w:sz="0" w:space="0" w:color="auto"/>
            </w:tcBorders>
            <w:shd w:val="clear" w:color="auto" w:fill="auto"/>
          </w:tcPr>
          <w:p w14:paraId="643046E3"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0.075</w:t>
            </w:r>
          </w:p>
        </w:tc>
        <w:tc>
          <w:tcPr>
            <w:tcW w:w="900" w:type="dxa"/>
            <w:tcBorders>
              <w:left w:val="none" w:sz="0" w:space="0" w:color="auto"/>
              <w:right w:val="none" w:sz="0" w:space="0" w:color="auto"/>
            </w:tcBorders>
            <w:shd w:val="clear" w:color="auto" w:fill="auto"/>
          </w:tcPr>
          <w:p w14:paraId="2B1C4FC1"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-0.039</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right w:val="none" w:sz="0" w:space="0" w:color="auto"/>
            </w:tcBorders>
            <w:shd w:val="clear" w:color="auto" w:fill="auto"/>
          </w:tcPr>
          <w:p w14:paraId="782C580E"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0.050</w:t>
            </w:r>
          </w:p>
        </w:tc>
      </w:tr>
    </w:tbl>
    <w:p w14:paraId="1FA39A7A" w14:textId="77777777" w:rsidR="000849F7" w:rsidRPr="00DC016F" w:rsidRDefault="000849F7" w:rsidP="000849F7">
      <w:pPr>
        <w:spacing w:after="0" w:line="240" w:lineRule="auto"/>
        <w:jc w:val="both"/>
        <w:rPr>
          <w:rFonts w:ascii="Arial" w:hAnsi="Arial" w:cs="Arial"/>
          <w:b/>
          <w:bCs/>
        </w:rPr>
      </w:pPr>
    </w:p>
    <w:p w14:paraId="6D581286" w14:textId="732F55DC" w:rsidR="005B20B1" w:rsidRPr="00DC016F" w:rsidRDefault="005B20B1" w:rsidP="000849F7">
      <w:pPr>
        <w:spacing w:after="0" w:line="240" w:lineRule="auto"/>
        <w:jc w:val="both"/>
        <w:rPr>
          <w:rFonts w:ascii="Arial" w:hAnsi="Arial" w:cs="Arial"/>
        </w:rPr>
      </w:pPr>
      <w:r w:rsidRPr="00DC016F">
        <w:rPr>
          <w:rFonts w:ascii="Arial" w:hAnsi="Arial" w:cs="Arial"/>
          <w:b/>
          <w:bCs/>
        </w:rPr>
        <w:t>**</w:t>
      </w:r>
      <w:r w:rsidRPr="00DC016F">
        <w:rPr>
          <w:rFonts w:ascii="Arial" w:hAnsi="Arial" w:cs="Arial"/>
        </w:rPr>
        <w:t xml:space="preserve">.Correlation is significant at the 0.05 level (2-tailed). </w:t>
      </w:r>
      <w:r w:rsidRPr="00DC016F">
        <w:rPr>
          <w:rFonts w:ascii="Arial" w:hAnsi="Arial" w:cs="Arial"/>
          <w:b/>
          <w:bCs/>
        </w:rPr>
        <w:t>*</w:t>
      </w:r>
      <w:r w:rsidRPr="00DC016F">
        <w:rPr>
          <w:rFonts w:ascii="Arial" w:hAnsi="Arial" w:cs="Arial"/>
        </w:rPr>
        <w:t>.Correlation is significant at the 0.05level (2-tailed). MUAC – mid-upper-arm circumference, Zn- zinc, Cu- copper, Ca – calcium, Se- selenium, Fe – iron, Mn- manganese.</w:t>
      </w:r>
    </w:p>
    <w:p w14:paraId="79FDE08A" w14:textId="77777777" w:rsidR="000849F7" w:rsidRPr="00DC016F" w:rsidRDefault="000849F7" w:rsidP="000849F7">
      <w:pPr>
        <w:spacing w:after="0" w:line="240" w:lineRule="auto"/>
        <w:jc w:val="both"/>
        <w:rPr>
          <w:rFonts w:ascii="Arial" w:hAnsi="Arial" w:cs="Arial"/>
        </w:rPr>
      </w:pPr>
    </w:p>
    <w:p w14:paraId="406C7EDE" w14:textId="35891D3E" w:rsidR="005B20B1" w:rsidRPr="00DC016F" w:rsidRDefault="005B20B1" w:rsidP="00AA541A">
      <w:pPr>
        <w:spacing w:after="0" w:line="360" w:lineRule="auto"/>
        <w:jc w:val="both"/>
        <w:rPr>
          <w:rFonts w:ascii="Arial" w:hAnsi="Arial" w:cs="Arial"/>
          <w:kern w:val="144"/>
        </w:rPr>
      </w:pPr>
      <w:r w:rsidRPr="00DC016F">
        <w:rPr>
          <w:rFonts w:ascii="Arial" w:hAnsi="Arial" w:cs="Arial"/>
        </w:rPr>
        <w:t>Table 6 revealed the association between antioxidant status and anthropometric measures of Study Participants. From the result, there was weak positive correlation between MUAC and CAT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0.236) and SOD (</w:t>
      </w:r>
      <w:r w:rsidRPr="00DC016F">
        <w:rPr>
          <w:rFonts w:ascii="Arial" w:hAnsi="Arial" w:cs="Arial"/>
          <w:i/>
          <w:kern w:val="144"/>
        </w:rPr>
        <w:t xml:space="preserve">P </w:t>
      </w:r>
      <w:r w:rsidRPr="00DC016F">
        <w:rPr>
          <w:rFonts w:ascii="Arial" w:hAnsi="Arial" w:cs="Arial"/>
          <w:kern w:val="144"/>
        </w:rPr>
        <w:t>&lt; 0.01,</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 xml:space="preserve">0.369). </w:t>
      </w:r>
      <w:r w:rsidRPr="00DC016F">
        <w:rPr>
          <w:rFonts w:ascii="Arial" w:hAnsi="Arial" w:cs="Arial"/>
          <w:kern w:val="144"/>
        </w:rPr>
        <w:t xml:space="preserve">The result showed weak significant negative correlation between weight and </w:t>
      </w:r>
      <w:proofErr w:type="spellStart"/>
      <w:r w:rsidRPr="00DC016F">
        <w:rPr>
          <w:rFonts w:ascii="Arial" w:hAnsi="Arial" w:cs="Arial"/>
          <w:kern w:val="144"/>
        </w:rPr>
        <w:t>GPx</w:t>
      </w:r>
      <w:proofErr w:type="spellEnd"/>
      <w:r w:rsidRPr="00DC016F">
        <w:rPr>
          <w:rFonts w:ascii="Arial" w:hAnsi="Arial" w:cs="Arial"/>
          <w:kern w:val="144"/>
        </w:rPr>
        <w:t xml:space="preserve">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-0.187)</w:t>
      </w:r>
      <w:r w:rsidRPr="00DC016F">
        <w:rPr>
          <w:rFonts w:ascii="Arial" w:hAnsi="Arial" w:cs="Arial"/>
          <w:kern w:val="144"/>
        </w:rPr>
        <w:t xml:space="preserve">. Weak negative correlation were also found between </w:t>
      </w:r>
      <w:proofErr w:type="spellStart"/>
      <w:r w:rsidRPr="00DC016F">
        <w:rPr>
          <w:rFonts w:ascii="Arial" w:hAnsi="Arial" w:cs="Arial"/>
          <w:kern w:val="144"/>
        </w:rPr>
        <w:t>GPx</w:t>
      </w:r>
      <w:proofErr w:type="spellEnd"/>
      <w:r w:rsidRPr="00DC016F">
        <w:rPr>
          <w:rFonts w:ascii="Arial" w:hAnsi="Arial" w:cs="Arial"/>
          <w:kern w:val="144"/>
        </w:rPr>
        <w:t xml:space="preserve"> and MUAC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-0.179</w:t>
      </w:r>
      <w:r w:rsidRPr="00DC016F">
        <w:rPr>
          <w:rFonts w:ascii="Arial" w:hAnsi="Arial" w:cs="Arial"/>
          <w:kern w:val="144"/>
        </w:rPr>
        <w:t>) and height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-0.144</w:t>
      </w:r>
      <w:r w:rsidRPr="00DC016F">
        <w:rPr>
          <w:rFonts w:ascii="Arial" w:hAnsi="Arial" w:cs="Arial"/>
          <w:kern w:val="144"/>
        </w:rPr>
        <w:t>). Furthermore, SOD showed weak correlation against height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-0.111</w:t>
      </w:r>
      <w:r w:rsidRPr="00DC016F">
        <w:rPr>
          <w:rFonts w:ascii="Arial" w:hAnsi="Arial" w:cs="Arial"/>
          <w:kern w:val="144"/>
        </w:rPr>
        <w:t>) and BMI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-0.106</w:t>
      </w:r>
      <w:r w:rsidRPr="00DC016F">
        <w:rPr>
          <w:rFonts w:ascii="Arial" w:hAnsi="Arial" w:cs="Arial"/>
          <w:kern w:val="144"/>
        </w:rPr>
        <w:t>).</w:t>
      </w:r>
      <w:bookmarkStart w:id="48" w:name="_Toc85539274"/>
      <w:r w:rsidRPr="00DC016F">
        <w:rPr>
          <w:rFonts w:ascii="Arial" w:hAnsi="Arial" w:cs="Arial"/>
          <w:kern w:val="144"/>
        </w:rPr>
        <w:t xml:space="preserve"> MUAC has a strong positive correlation with SOD, but mildly strong correlation with CAT. </w:t>
      </w:r>
    </w:p>
    <w:p w14:paraId="6833AAE3" w14:textId="34A97F73" w:rsidR="00AA541A" w:rsidRPr="00DC016F" w:rsidRDefault="00AA541A" w:rsidP="00AA541A">
      <w:pPr>
        <w:spacing w:after="0" w:line="360" w:lineRule="auto"/>
        <w:jc w:val="both"/>
        <w:rPr>
          <w:rFonts w:ascii="Arial" w:hAnsi="Arial" w:cs="Arial"/>
          <w:kern w:val="144"/>
        </w:rPr>
      </w:pPr>
    </w:p>
    <w:p w14:paraId="658B2030" w14:textId="77777777" w:rsidR="00AA541A" w:rsidRPr="00DC016F" w:rsidRDefault="00AA541A" w:rsidP="00AA541A">
      <w:pPr>
        <w:spacing w:after="0" w:line="360" w:lineRule="auto"/>
        <w:jc w:val="both"/>
        <w:rPr>
          <w:rFonts w:ascii="Arial" w:hAnsi="Arial" w:cs="Arial"/>
          <w:kern w:val="144"/>
        </w:rPr>
      </w:pPr>
    </w:p>
    <w:p w14:paraId="47AFB16F" w14:textId="59958A74" w:rsidR="005B20B1" w:rsidRPr="00DC016F" w:rsidRDefault="005B20B1" w:rsidP="00FD59DA">
      <w:pPr>
        <w:spacing w:line="240" w:lineRule="auto"/>
        <w:jc w:val="both"/>
        <w:rPr>
          <w:rFonts w:ascii="Arial" w:hAnsi="Arial" w:cs="Arial"/>
          <w:b/>
          <w:bCs/>
          <w:kern w:val="144"/>
        </w:rPr>
      </w:pPr>
      <w:r w:rsidRPr="00DC016F">
        <w:rPr>
          <w:rFonts w:ascii="Arial" w:hAnsi="Arial" w:cs="Arial"/>
          <w:b/>
          <w:bCs/>
        </w:rPr>
        <w:t xml:space="preserve">Table </w:t>
      </w:r>
      <w:r w:rsidRPr="00DC016F">
        <w:rPr>
          <w:rFonts w:ascii="Arial" w:hAnsi="Arial" w:cs="Arial"/>
          <w:b/>
          <w:bCs/>
        </w:rPr>
        <w:fldChar w:fldCharType="begin"/>
      </w:r>
      <w:r w:rsidRPr="00DC016F">
        <w:rPr>
          <w:rFonts w:ascii="Arial" w:hAnsi="Arial" w:cs="Arial"/>
          <w:b/>
          <w:bCs/>
        </w:rPr>
        <w:instrText xml:space="preserve"> SEQ Table_4. \* ARABIC </w:instrText>
      </w:r>
      <w:r w:rsidRPr="00DC016F">
        <w:rPr>
          <w:rFonts w:ascii="Arial" w:hAnsi="Arial" w:cs="Arial"/>
          <w:b/>
          <w:bCs/>
        </w:rPr>
        <w:fldChar w:fldCharType="separate"/>
      </w:r>
      <w:r w:rsidRPr="00DC016F">
        <w:rPr>
          <w:rFonts w:ascii="Arial" w:hAnsi="Arial" w:cs="Arial"/>
          <w:b/>
          <w:bCs/>
          <w:noProof/>
        </w:rPr>
        <w:t>6</w:t>
      </w:r>
      <w:r w:rsidRPr="00DC016F">
        <w:rPr>
          <w:rFonts w:ascii="Arial" w:hAnsi="Arial" w:cs="Arial"/>
          <w:b/>
          <w:bCs/>
          <w:noProof/>
        </w:rPr>
        <w:fldChar w:fldCharType="end"/>
      </w:r>
      <w:r w:rsidRPr="00DC016F">
        <w:rPr>
          <w:rFonts w:ascii="Arial" w:hAnsi="Arial" w:cs="Arial"/>
          <w:b/>
          <w:bCs/>
        </w:rPr>
        <w:t>: Correlation between antioxidant status and anthropometric measures of Study Participants</w:t>
      </w:r>
      <w:bookmarkEnd w:id="48"/>
    </w:p>
    <w:tbl>
      <w:tblPr>
        <w:tblStyle w:val="LightShading1"/>
        <w:tblW w:w="9209" w:type="dxa"/>
        <w:tblLayout w:type="fixed"/>
        <w:tblLook w:val="0000" w:firstRow="0" w:lastRow="0" w:firstColumn="0" w:lastColumn="0" w:noHBand="0" w:noVBand="0"/>
      </w:tblPr>
      <w:tblGrid>
        <w:gridCol w:w="2042"/>
        <w:gridCol w:w="2389"/>
        <w:gridCol w:w="2389"/>
        <w:gridCol w:w="2389"/>
      </w:tblGrid>
      <w:tr w:rsidR="008071B7" w:rsidRPr="00DC016F" w14:paraId="0531E964" w14:textId="77777777" w:rsidTr="001706B5">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2042" w:type="dxa"/>
            <w:tcBorders>
              <w:bottom w:val="single" w:sz="4" w:space="0" w:color="auto"/>
            </w:tcBorders>
            <w:shd w:val="clear" w:color="auto" w:fill="auto"/>
            <w:vAlign w:val="center"/>
          </w:tcPr>
          <w:p w14:paraId="3A36BF80" w14:textId="77777777" w:rsidR="005B20B1" w:rsidRPr="00DC016F" w:rsidRDefault="005B20B1" w:rsidP="00BC681C">
            <w:pPr>
              <w:autoSpaceDE w:val="0"/>
              <w:autoSpaceDN w:val="0"/>
              <w:adjustRightInd w:val="0"/>
              <w:spacing w:after="0" w:line="240" w:lineRule="auto"/>
              <w:rPr>
                <w:rFonts w:ascii="Arial" w:hAnsi="Arial" w:cs="Arial"/>
                <w:b/>
                <w:color w:val="auto"/>
              </w:rPr>
            </w:pPr>
            <w:r w:rsidRPr="00DC016F">
              <w:rPr>
                <w:rFonts w:ascii="Arial" w:hAnsi="Arial" w:cs="Arial"/>
                <w:b/>
                <w:color w:val="auto"/>
              </w:rPr>
              <w:t>Parameter</w:t>
            </w:r>
          </w:p>
        </w:tc>
        <w:tc>
          <w:tcPr>
            <w:tcW w:w="2389" w:type="dxa"/>
            <w:tcBorders>
              <w:bottom w:val="single" w:sz="4" w:space="0" w:color="auto"/>
            </w:tcBorders>
            <w:shd w:val="clear" w:color="auto" w:fill="auto"/>
            <w:vAlign w:val="center"/>
          </w:tcPr>
          <w:p w14:paraId="615D529C" w14:textId="77777777" w:rsidR="005B20B1" w:rsidRPr="00DC016F" w:rsidRDefault="005B20B1" w:rsidP="00BC681C">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CAT</w:t>
            </w:r>
          </w:p>
        </w:tc>
        <w:tc>
          <w:tcPr>
            <w:cnfStyle w:val="000010000000" w:firstRow="0" w:lastRow="0" w:firstColumn="0" w:lastColumn="0" w:oddVBand="1" w:evenVBand="0" w:oddHBand="0" w:evenHBand="0" w:firstRowFirstColumn="0" w:firstRowLastColumn="0" w:lastRowFirstColumn="0" w:lastRowLastColumn="0"/>
            <w:tcW w:w="2389" w:type="dxa"/>
            <w:tcBorders>
              <w:bottom w:val="single" w:sz="4" w:space="0" w:color="auto"/>
            </w:tcBorders>
            <w:shd w:val="clear" w:color="auto" w:fill="auto"/>
            <w:vAlign w:val="center"/>
          </w:tcPr>
          <w:p w14:paraId="543724F4" w14:textId="77777777" w:rsidR="005B20B1" w:rsidRPr="00DC016F" w:rsidRDefault="005B20B1" w:rsidP="00BC681C">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GSH</w:t>
            </w:r>
          </w:p>
        </w:tc>
        <w:tc>
          <w:tcPr>
            <w:tcW w:w="2389" w:type="dxa"/>
            <w:tcBorders>
              <w:bottom w:val="single" w:sz="4" w:space="0" w:color="auto"/>
            </w:tcBorders>
            <w:shd w:val="clear" w:color="auto" w:fill="auto"/>
            <w:vAlign w:val="center"/>
          </w:tcPr>
          <w:p w14:paraId="62918F43" w14:textId="77777777" w:rsidR="005B20B1" w:rsidRPr="00DC016F" w:rsidRDefault="005B20B1" w:rsidP="00BC681C">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SOD</w:t>
            </w:r>
          </w:p>
        </w:tc>
      </w:tr>
      <w:tr w:rsidR="008071B7" w:rsidRPr="00DC016F" w14:paraId="6EDB74DA" w14:textId="77777777" w:rsidTr="001706B5">
        <w:trPr>
          <w:trHeight w:val="270"/>
        </w:trPr>
        <w:tc>
          <w:tcPr>
            <w:cnfStyle w:val="000010000000" w:firstRow="0" w:lastRow="0" w:firstColumn="0" w:lastColumn="0" w:oddVBand="1" w:evenVBand="0" w:oddHBand="0" w:evenHBand="0" w:firstRowFirstColumn="0" w:firstRowLastColumn="0" w:lastRowFirstColumn="0" w:lastRowLastColumn="0"/>
            <w:tcW w:w="2042" w:type="dxa"/>
            <w:tcBorders>
              <w:top w:val="single" w:sz="4" w:space="0" w:color="auto"/>
            </w:tcBorders>
            <w:shd w:val="clear" w:color="auto" w:fill="auto"/>
            <w:vAlign w:val="center"/>
          </w:tcPr>
          <w:p w14:paraId="66D351F4" w14:textId="77777777" w:rsidR="005B20B1" w:rsidRPr="00DC016F" w:rsidRDefault="005B20B1" w:rsidP="00BC681C">
            <w:pPr>
              <w:autoSpaceDE w:val="0"/>
              <w:autoSpaceDN w:val="0"/>
              <w:adjustRightInd w:val="0"/>
              <w:spacing w:after="0" w:line="240" w:lineRule="auto"/>
              <w:rPr>
                <w:rFonts w:ascii="Arial" w:hAnsi="Arial" w:cs="Arial"/>
                <w:color w:val="auto"/>
              </w:rPr>
            </w:pPr>
            <w:r w:rsidRPr="00DC016F">
              <w:rPr>
                <w:rFonts w:ascii="Arial" w:hAnsi="Arial" w:cs="Arial"/>
                <w:color w:val="auto"/>
              </w:rPr>
              <w:t>MUAC</w:t>
            </w:r>
          </w:p>
        </w:tc>
        <w:tc>
          <w:tcPr>
            <w:tcW w:w="2389" w:type="dxa"/>
            <w:tcBorders>
              <w:top w:val="single" w:sz="4" w:space="0" w:color="auto"/>
            </w:tcBorders>
            <w:shd w:val="clear" w:color="auto" w:fill="auto"/>
            <w:vAlign w:val="center"/>
          </w:tcPr>
          <w:p w14:paraId="53FBF96C" w14:textId="77777777" w:rsidR="005B20B1" w:rsidRPr="00DC016F" w:rsidRDefault="005B20B1" w:rsidP="00BC681C">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DC016F">
              <w:rPr>
                <w:rFonts w:ascii="Arial" w:hAnsi="Arial" w:cs="Arial"/>
                <w:b/>
                <w:color w:val="auto"/>
              </w:rPr>
              <w:t>0.236</w:t>
            </w:r>
            <w:r w:rsidRPr="00DC016F">
              <w:rPr>
                <w:rFonts w:ascii="Arial" w:hAnsi="Arial" w:cs="Arial"/>
                <w:b/>
                <w:color w:val="auto"/>
                <w:vertAlign w:val="superscript"/>
              </w:rPr>
              <w:t>*</w:t>
            </w:r>
          </w:p>
        </w:tc>
        <w:tc>
          <w:tcPr>
            <w:cnfStyle w:val="000010000000" w:firstRow="0" w:lastRow="0" w:firstColumn="0" w:lastColumn="0" w:oddVBand="1" w:evenVBand="0" w:oddHBand="0" w:evenHBand="0" w:firstRowFirstColumn="0" w:firstRowLastColumn="0" w:lastRowFirstColumn="0" w:lastRowLastColumn="0"/>
            <w:tcW w:w="2389" w:type="dxa"/>
            <w:tcBorders>
              <w:top w:val="single" w:sz="4" w:space="0" w:color="auto"/>
            </w:tcBorders>
            <w:shd w:val="clear" w:color="auto" w:fill="auto"/>
            <w:vAlign w:val="center"/>
          </w:tcPr>
          <w:p w14:paraId="049C80C6" w14:textId="77777777" w:rsidR="005B20B1" w:rsidRPr="00DC016F" w:rsidRDefault="005B20B1" w:rsidP="00BC681C">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-0.179</w:t>
            </w:r>
          </w:p>
        </w:tc>
        <w:tc>
          <w:tcPr>
            <w:tcW w:w="2389" w:type="dxa"/>
            <w:tcBorders>
              <w:top w:val="single" w:sz="4" w:space="0" w:color="auto"/>
            </w:tcBorders>
            <w:shd w:val="clear" w:color="auto" w:fill="auto"/>
            <w:vAlign w:val="center"/>
          </w:tcPr>
          <w:p w14:paraId="0304EBEC" w14:textId="77777777" w:rsidR="005B20B1" w:rsidRPr="00DC016F" w:rsidRDefault="005B20B1" w:rsidP="00BC681C">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DC016F">
              <w:rPr>
                <w:rFonts w:ascii="Arial" w:hAnsi="Arial" w:cs="Arial"/>
                <w:b/>
                <w:color w:val="auto"/>
              </w:rPr>
              <w:t>0.369</w:t>
            </w:r>
            <w:r w:rsidRPr="00DC016F">
              <w:rPr>
                <w:rFonts w:ascii="Arial" w:hAnsi="Arial" w:cs="Arial"/>
                <w:b/>
                <w:color w:val="auto"/>
                <w:vertAlign w:val="superscript"/>
              </w:rPr>
              <w:t>**</w:t>
            </w:r>
          </w:p>
        </w:tc>
      </w:tr>
      <w:tr w:rsidR="008071B7" w:rsidRPr="00DC016F" w14:paraId="0E799B8B" w14:textId="77777777" w:rsidTr="001706B5">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2042" w:type="dxa"/>
            <w:shd w:val="clear" w:color="auto" w:fill="auto"/>
            <w:vAlign w:val="center"/>
          </w:tcPr>
          <w:p w14:paraId="741ED145" w14:textId="77777777" w:rsidR="005B20B1" w:rsidRPr="00DC016F" w:rsidRDefault="005B20B1" w:rsidP="00BC681C">
            <w:pPr>
              <w:autoSpaceDE w:val="0"/>
              <w:autoSpaceDN w:val="0"/>
              <w:adjustRightInd w:val="0"/>
              <w:spacing w:after="0" w:line="240" w:lineRule="auto"/>
              <w:rPr>
                <w:rFonts w:ascii="Arial" w:hAnsi="Arial" w:cs="Arial"/>
                <w:color w:val="auto"/>
              </w:rPr>
            </w:pPr>
            <w:r w:rsidRPr="00DC016F">
              <w:rPr>
                <w:rFonts w:ascii="Arial" w:hAnsi="Arial" w:cs="Arial"/>
                <w:color w:val="auto"/>
              </w:rPr>
              <w:t>Weight</w:t>
            </w:r>
          </w:p>
        </w:tc>
        <w:tc>
          <w:tcPr>
            <w:tcW w:w="2389" w:type="dxa"/>
            <w:shd w:val="clear" w:color="auto" w:fill="auto"/>
            <w:vAlign w:val="center"/>
          </w:tcPr>
          <w:p w14:paraId="5D4F4192" w14:textId="77777777" w:rsidR="005B20B1" w:rsidRPr="00DC016F" w:rsidRDefault="005B20B1" w:rsidP="00BC681C">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-0.049</w:t>
            </w:r>
          </w:p>
        </w:tc>
        <w:tc>
          <w:tcPr>
            <w:cnfStyle w:val="000010000000" w:firstRow="0" w:lastRow="0" w:firstColumn="0" w:lastColumn="0" w:oddVBand="1" w:evenVBand="0" w:oddHBand="0" w:evenHBand="0" w:firstRowFirstColumn="0" w:firstRowLastColumn="0" w:lastRowFirstColumn="0" w:lastRowLastColumn="0"/>
            <w:tcW w:w="2389" w:type="dxa"/>
            <w:shd w:val="clear" w:color="auto" w:fill="auto"/>
            <w:vAlign w:val="center"/>
          </w:tcPr>
          <w:p w14:paraId="44936178" w14:textId="77777777" w:rsidR="005B20B1" w:rsidRPr="00DC016F" w:rsidRDefault="005B20B1" w:rsidP="00BC681C">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-0.187</w:t>
            </w:r>
            <w:r w:rsidRPr="00DC016F">
              <w:rPr>
                <w:rFonts w:ascii="Arial" w:hAnsi="Arial" w:cs="Arial"/>
                <w:b/>
                <w:color w:val="auto"/>
                <w:vertAlign w:val="superscript"/>
              </w:rPr>
              <w:t>*</w:t>
            </w:r>
          </w:p>
        </w:tc>
        <w:tc>
          <w:tcPr>
            <w:tcW w:w="2389" w:type="dxa"/>
            <w:shd w:val="clear" w:color="auto" w:fill="auto"/>
            <w:vAlign w:val="center"/>
          </w:tcPr>
          <w:p w14:paraId="650F13DB" w14:textId="77777777" w:rsidR="005B20B1" w:rsidRPr="00DC016F" w:rsidRDefault="005B20B1" w:rsidP="00BC681C">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-0.012</w:t>
            </w:r>
          </w:p>
        </w:tc>
      </w:tr>
      <w:tr w:rsidR="008071B7" w:rsidRPr="00DC016F" w14:paraId="737B4804" w14:textId="77777777" w:rsidTr="001706B5">
        <w:trPr>
          <w:trHeight w:val="270"/>
        </w:trPr>
        <w:tc>
          <w:tcPr>
            <w:cnfStyle w:val="000010000000" w:firstRow="0" w:lastRow="0" w:firstColumn="0" w:lastColumn="0" w:oddVBand="1" w:evenVBand="0" w:oddHBand="0" w:evenHBand="0" w:firstRowFirstColumn="0" w:firstRowLastColumn="0" w:lastRowFirstColumn="0" w:lastRowLastColumn="0"/>
            <w:tcW w:w="2042" w:type="dxa"/>
            <w:shd w:val="clear" w:color="auto" w:fill="auto"/>
            <w:vAlign w:val="center"/>
          </w:tcPr>
          <w:p w14:paraId="6A50D4F2" w14:textId="77777777" w:rsidR="005B20B1" w:rsidRPr="00DC016F" w:rsidRDefault="005B20B1" w:rsidP="00BC681C">
            <w:pPr>
              <w:autoSpaceDE w:val="0"/>
              <w:autoSpaceDN w:val="0"/>
              <w:adjustRightInd w:val="0"/>
              <w:spacing w:after="0" w:line="240" w:lineRule="auto"/>
              <w:rPr>
                <w:rFonts w:ascii="Arial" w:hAnsi="Arial" w:cs="Arial"/>
                <w:color w:val="auto"/>
              </w:rPr>
            </w:pPr>
            <w:r w:rsidRPr="00DC016F">
              <w:rPr>
                <w:rFonts w:ascii="Arial" w:hAnsi="Arial" w:cs="Arial"/>
                <w:color w:val="auto"/>
              </w:rPr>
              <w:t>Height</w:t>
            </w:r>
          </w:p>
        </w:tc>
        <w:tc>
          <w:tcPr>
            <w:tcW w:w="2389" w:type="dxa"/>
            <w:shd w:val="clear" w:color="auto" w:fill="auto"/>
            <w:vAlign w:val="center"/>
          </w:tcPr>
          <w:p w14:paraId="3A06439F" w14:textId="77777777" w:rsidR="005B20B1" w:rsidRPr="00DC016F" w:rsidRDefault="005B20B1" w:rsidP="00BC681C">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-0.039</w:t>
            </w:r>
          </w:p>
        </w:tc>
        <w:tc>
          <w:tcPr>
            <w:cnfStyle w:val="000010000000" w:firstRow="0" w:lastRow="0" w:firstColumn="0" w:lastColumn="0" w:oddVBand="1" w:evenVBand="0" w:oddHBand="0" w:evenHBand="0" w:firstRowFirstColumn="0" w:firstRowLastColumn="0" w:lastRowFirstColumn="0" w:lastRowLastColumn="0"/>
            <w:tcW w:w="2389" w:type="dxa"/>
            <w:shd w:val="clear" w:color="auto" w:fill="auto"/>
            <w:vAlign w:val="center"/>
          </w:tcPr>
          <w:p w14:paraId="1D5D0055" w14:textId="77777777" w:rsidR="005B20B1" w:rsidRPr="00DC016F" w:rsidRDefault="005B20B1" w:rsidP="00BC681C">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-0.144</w:t>
            </w:r>
          </w:p>
        </w:tc>
        <w:tc>
          <w:tcPr>
            <w:tcW w:w="2389" w:type="dxa"/>
            <w:shd w:val="clear" w:color="auto" w:fill="auto"/>
            <w:vAlign w:val="center"/>
          </w:tcPr>
          <w:p w14:paraId="13E280FE" w14:textId="77777777" w:rsidR="005B20B1" w:rsidRPr="00DC016F" w:rsidRDefault="005B20B1" w:rsidP="00BC681C">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-0.111</w:t>
            </w:r>
          </w:p>
        </w:tc>
      </w:tr>
      <w:tr w:rsidR="008071B7" w:rsidRPr="00DC016F" w14:paraId="3ACBE3B3" w14:textId="77777777" w:rsidTr="001706B5">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2042" w:type="dxa"/>
            <w:shd w:val="clear" w:color="auto" w:fill="auto"/>
            <w:vAlign w:val="center"/>
          </w:tcPr>
          <w:p w14:paraId="5B86C70D" w14:textId="77777777" w:rsidR="005B20B1" w:rsidRPr="00DC016F" w:rsidRDefault="005B20B1" w:rsidP="00BC681C">
            <w:pPr>
              <w:autoSpaceDE w:val="0"/>
              <w:autoSpaceDN w:val="0"/>
              <w:adjustRightInd w:val="0"/>
              <w:spacing w:after="0" w:line="240" w:lineRule="auto"/>
              <w:rPr>
                <w:rFonts w:ascii="Arial" w:hAnsi="Arial" w:cs="Arial"/>
                <w:color w:val="auto"/>
              </w:rPr>
            </w:pPr>
            <w:r w:rsidRPr="00DC016F">
              <w:rPr>
                <w:rFonts w:ascii="Arial" w:hAnsi="Arial" w:cs="Arial"/>
                <w:color w:val="auto"/>
              </w:rPr>
              <w:t>BMI</w:t>
            </w:r>
          </w:p>
        </w:tc>
        <w:tc>
          <w:tcPr>
            <w:tcW w:w="2389" w:type="dxa"/>
            <w:shd w:val="clear" w:color="auto" w:fill="auto"/>
            <w:vAlign w:val="center"/>
          </w:tcPr>
          <w:p w14:paraId="5C8F1277" w14:textId="77777777" w:rsidR="005B20B1" w:rsidRPr="00DC016F" w:rsidRDefault="005B20B1" w:rsidP="00BC681C">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-0.024</w:t>
            </w:r>
          </w:p>
        </w:tc>
        <w:tc>
          <w:tcPr>
            <w:cnfStyle w:val="000010000000" w:firstRow="0" w:lastRow="0" w:firstColumn="0" w:lastColumn="0" w:oddVBand="1" w:evenVBand="0" w:oddHBand="0" w:evenHBand="0" w:firstRowFirstColumn="0" w:firstRowLastColumn="0" w:lastRowFirstColumn="0" w:lastRowLastColumn="0"/>
            <w:tcW w:w="2389" w:type="dxa"/>
            <w:shd w:val="clear" w:color="auto" w:fill="auto"/>
            <w:vAlign w:val="center"/>
          </w:tcPr>
          <w:p w14:paraId="77C449C7" w14:textId="77777777" w:rsidR="005B20B1" w:rsidRPr="00DC016F" w:rsidRDefault="005B20B1" w:rsidP="00BC681C">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0.001</w:t>
            </w:r>
          </w:p>
        </w:tc>
        <w:tc>
          <w:tcPr>
            <w:tcW w:w="2389" w:type="dxa"/>
            <w:shd w:val="clear" w:color="auto" w:fill="auto"/>
            <w:vAlign w:val="center"/>
          </w:tcPr>
          <w:p w14:paraId="404F3C5F" w14:textId="77777777" w:rsidR="005B20B1" w:rsidRPr="00DC016F" w:rsidRDefault="005B20B1" w:rsidP="00BC681C">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0.103</w:t>
            </w:r>
          </w:p>
        </w:tc>
      </w:tr>
    </w:tbl>
    <w:p w14:paraId="3AEB260A" w14:textId="77777777" w:rsidR="005B20B1" w:rsidRPr="00DC016F" w:rsidRDefault="005B20B1" w:rsidP="00FD59DA">
      <w:pPr>
        <w:spacing w:line="240" w:lineRule="auto"/>
        <w:jc w:val="both"/>
        <w:rPr>
          <w:rFonts w:ascii="Arial" w:hAnsi="Arial" w:cs="Arial"/>
        </w:rPr>
      </w:pPr>
      <w:r w:rsidRPr="00DC016F">
        <w:rPr>
          <w:rFonts w:ascii="Arial" w:hAnsi="Arial" w:cs="Arial"/>
          <w:b/>
          <w:bCs/>
        </w:rPr>
        <w:t>**</w:t>
      </w:r>
      <w:r w:rsidRPr="00DC016F">
        <w:rPr>
          <w:rFonts w:ascii="Arial" w:hAnsi="Arial" w:cs="Arial"/>
        </w:rPr>
        <w:t xml:space="preserve">.Correlation is significant at the 0.05 level (2-tailed). </w:t>
      </w:r>
      <w:r w:rsidRPr="00DC016F">
        <w:rPr>
          <w:rFonts w:ascii="Arial" w:hAnsi="Arial" w:cs="Arial"/>
          <w:b/>
          <w:bCs/>
        </w:rPr>
        <w:t>*</w:t>
      </w:r>
      <w:r w:rsidRPr="00DC016F">
        <w:rPr>
          <w:rFonts w:ascii="Arial" w:hAnsi="Arial" w:cs="Arial"/>
        </w:rPr>
        <w:t>.Correlation is significant at the 0.05</w:t>
      </w:r>
      <w:r w:rsidRPr="00DC016F">
        <w:rPr>
          <w:rFonts w:ascii="Arial" w:hAnsi="Arial" w:cs="Arial"/>
        </w:rPr>
        <w:br/>
        <w:t xml:space="preserve">level (2-tailed). MUAC – mid-upper-arm circumference, BMI – body mass index, CAT- catalase, </w:t>
      </w:r>
      <w:proofErr w:type="spellStart"/>
      <w:r w:rsidRPr="00DC016F">
        <w:rPr>
          <w:rFonts w:ascii="Arial" w:hAnsi="Arial" w:cs="Arial"/>
        </w:rPr>
        <w:t>GPx</w:t>
      </w:r>
      <w:proofErr w:type="spellEnd"/>
      <w:r w:rsidRPr="00DC016F">
        <w:rPr>
          <w:rFonts w:ascii="Arial" w:hAnsi="Arial" w:cs="Arial"/>
        </w:rPr>
        <w:t>- glutathione peroxidase, SOD- superoxide dismutase.</w:t>
      </w:r>
    </w:p>
    <w:p w14:paraId="628C7DDC" w14:textId="77777777" w:rsidR="00AA541A" w:rsidRPr="00DC016F" w:rsidRDefault="00AA541A" w:rsidP="00FD59DA">
      <w:pPr>
        <w:spacing w:line="240" w:lineRule="auto"/>
        <w:jc w:val="both"/>
        <w:rPr>
          <w:rFonts w:ascii="Arial" w:hAnsi="Arial" w:cs="Arial"/>
        </w:rPr>
      </w:pPr>
    </w:p>
    <w:p w14:paraId="277CADB3" w14:textId="77777777" w:rsidR="00AA541A" w:rsidRPr="00DC016F" w:rsidRDefault="00AA541A" w:rsidP="00FD59DA">
      <w:pPr>
        <w:spacing w:line="240" w:lineRule="auto"/>
        <w:jc w:val="both"/>
        <w:rPr>
          <w:rFonts w:ascii="Arial" w:hAnsi="Arial" w:cs="Arial"/>
        </w:rPr>
      </w:pPr>
    </w:p>
    <w:p w14:paraId="769222CF" w14:textId="77777777" w:rsidR="00AA541A" w:rsidRPr="00DC016F" w:rsidRDefault="00AA541A" w:rsidP="00FD59DA">
      <w:pPr>
        <w:spacing w:line="240" w:lineRule="auto"/>
        <w:jc w:val="both"/>
        <w:rPr>
          <w:rFonts w:ascii="Arial" w:hAnsi="Arial" w:cs="Arial"/>
        </w:rPr>
      </w:pPr>
    </w:p>
    <w:p w14:paraId="5944EB7B" w14:textId="77777777" w:rsidR="00AA541A" w:rsidRPr="00DC016F" w:rsidRDefault="00AA541A" w:rsidP="00FD59DA">
      <w:pPr>
        <w:spacing w:line="240" w:lineRule="auto"/>
        <w:jc w:val="both"/>
        <w:rPr>
          <w:rFonts w:ascii="Arial" w:hAnsi="Arial" w:cs="Arial"/>
        </w:rPr>
      </w:pPr>
    </w:p>
    <w:p w14:paraId="66C9BCDC" w14:textId="77777777" w:rsidR="00AA541A" w:rsidRPr="00DC016F" w:rsidRDefault="00AA541A" w:rsidP="00FD59DA">
      <w:pPr>
        <w:spacing w:line="240" w:lineRule="auto"/>
        <w:jc w:val="both"/>
        <w:rPr>
          <w:rFonts w:ascii="Arial" w:hAnsi="Arial" w:cs="Arial"/>
        </w:rPr>
      </w:pPr>
    </w:p>
    <w:p w14:paraId="332D4F2C" w14:textId="77777777" w:rsidR="00AA541A" w:rsidRPr="00DC016F" w:rsidRDefault="00AA541A" w:rsidP="00FD59DA">
      <w:pPr>
        <w:spacing w:line="240" w:lineRule="auto"/>
        <w:jc w:val="both"/>
        <w:rPr>
          <w:rFonts w:ascii="Arial" w:hAnsi="Arial" w:cs="Arial"/>
        </w:rPr>
      </w:pPr>
    </w:p>
    <w:p w14:paraId="0A738EF7" w14:textId="68602422" w:rsidR="005B20B1" w:rsidRPr="00DC016F" w:rsidRDefault="005B20B1" w:rsidP="00AA541A">
      <w:pPr>
        <w:spacing w:after="0" w:line="360" w:lineRule="auto"/>
        <w:jc w:val="both"/>
        <w:rPr>
          <w:rFonts w:ascii="Arial" w:hAnsi="Arial" w:cs="Arial"/>
        </w:rPr>
      </w:pPr>
      <w:r w:rsidRPr="00DC016F">
        <w:rPr>
          <w:rFonts w:ascii="Arial" w:hAnsi="Arial" w:cs="Arial"/>
        </w:rPr>
        <w:lastRenderedPageBreak/>
        <w:t xml:space="preserve">Table 7 shows the </w:t>
      </w:r>
      <w:r w:rsidRPr="00DC016F">
        <w:rPr>
          <w:rStyle w:val="fontstyle01"/>
          <w:rFonts w:ascii="Arial" w:hAnsi="Arial" w:cs="Arial"/>
          <w:color w:val="auto"/>
          <w:sz w:val="22"/>
          <w:szCs w:val="22"/>
        </w:rPr>
        <w:t>relationship between nutritional status and educational background of under-five maternal parents</w:t>
      </w:r>
      <w:r w:rsidRPr="00DC016F">
        <w:rPr>
          <w:rFonts w:ascii="Arial" w:hAnsi="Arial" w:cs="Arial"/>
        </w:rPr>
        <w:t xml:space="preserve">. There are no statistically significant relationships between </w:t>
      </w:r>
      <w:r w:rsidRPr="00DC016F">
        <w:rPr>
          <w:rStyle w:val="fontstyle01"/>
          <w:rFonts w:ascii="Arial" w:hAnsi="Arial" w:cs="Arial"/>
          <w:color w:val="auto"/>
          <w:sz w:val="22"/>
          <w:szCs w:val="22"/>
        </w:rPr>
        <w:t>educational background of under-five maternal parents</w:t>
      </w:r>
      <w:r w:rsidRPr="00DC016F">
        <w:rPr>
          <w:rFonts w:ascii="Arial" w:hAnsi="Arial" w:cs="Arial"/>
        </w:rPr>
        <w:t xml:space="preserve"> and occurrence of stunting (χ</w:t>
      </w:r>
      <w:r w:rsidRPr="00DC016F">
        <w:rPr>
          <w:rFonts w:ascii="Arial" w:hAnsi="Arial" w:cs="Arial"/>
          <w:vertAlign w:val="superscript"/>
        </w:rPr>
        <w:t xml:space="preserve">2 </w:t>
      </w:r>
      <w:r w:rsidRPr="00DC016F">
        <w:rPr>
          <w:rFonts w:ascii="Arial" w:hAnsi="Arial" w:cs="Arial"/>
        </w:rPr>
        <w:t xml:space="preserve">= </w:t>
      </w:r>
      <w:r w:rsidRPr="00DC016F">
        <w:rPr>
          <w:rFonts w:ascii="Arial" w:eastAsia="Times New Roman" w:hAnsi="Arial" w:cs="Arial"/>
        </w:rPr>
        <w:t>12.169</w:t>
      </w:r>
      <w:r w:rsidRPr="00DC016F">
        <w:rPr>
          <w:rFonts w:ascii="Arial" w:hAnsi="Arial" w:cs="Arial"/>
        </w:rPr>
        <w:t xml:space="preserve">, </w:t>
      </w:r>
      <w:r w:rsidRPr="00DC016F">
        <w:rPr>
          <w:rFonts w:ascii="Arial" w:hAnsi="Arial" w:cs="Arial"/>
          <w:i/>
        </w:rPr>
        <w:t xml:space="preserve">P </w:t>
      </w:r>
      <w:r w:rsidRPr="00DC016F">
        <w:rPr>
          <w:rFonts w:ascii="Arial" w:hAnsi="Arial" w:cs="Arial"/>
        </w:rPr>
        <w:t>= 0.274), underweight (χ</w:t>
      </w:r>
      <w:r w:rsidRPr="00DC016F">
        <w:rPr>
          <w:rFonts w:ascii="Arial" w:hAnsi="Arial" w:cs="Arial"/>
          <w:vertAlign w:val="superscript"/>
        </w:rPr>
        <w:t xml:space="preserve">2 </w:t>
      </w:r>
      <w:r w:rsidRPr="00DC016F">
        <w:rPr>
          <w:rFonts w:ascii="Arial" w:hAnsi="Arial" w:cs="Arial"/>
        </w:rPr>
        <w:t xml:space="preserve">= </w:t>
      </w:r>
      <w:r w:rsidRPr="00DC016F">
        <w:rPr>
          <w:rFonts w:ascii="Arial" w:eastAsia="Times New Roman" w:hAnsi="Arial" w:cs="Arial"/>
        </w:rPr>
        <w:t>13.625</w:t>
      </w:r>
      <w:r w:rsidRPr="00DC016F">
        <w:rPr>
          <w:rFonts w:ascii="Arial" w:hAnsi="Arial" w:cs="Arial"/>
        </w:rPr>
        <w:t xml:space="preserve">, </w:t>
      </w:r>
      <w:r w:rsidRPr="00DC016F">
        <w:rPr>
          <w:rFonts w:ascii="Arial" w:hAnsi="Arial" w:cs="Arial"/>
          <w:i/>
        </w:rPr>
        <w:t xml:space="preserve">P </w:t>
      </w:r>
      <w:r w:rsidRPr="00DC016F">
        <w:rPr>
          <w:rFonts w:ascii="Arial" w:hAnsi="Arial" w:cs="Arial"/>
        </w:rPr>
        <w:t>= 0.191) and overweight (χ</w:t>
      </w:r>
      <w:r w:rsidRPr="00DC016F">
        <w:rPr>
          <w:rFonts w:ascii="Arial" w:hAnsi="Arial" w:cs="Arial"/>
          <w:vertAlign w:val="superscript"/>
        </w:rPr>
        <w:t xml:space="preserve">2 </w:t>
      </w:r>
      <w:r w:rsidRPr="00DC016F">
        <w:rPr>
          <w:rFonts w:ascii="Arial" w:hAnsi="Arial" w:cs="Arial"/>
        </w:rPr>
        <w:t xml:space="preserve">= 20.549, </w:t>
      </w:r>
      <w:r w:rsidRPr="00DC016F">
        <w:rPr>
          <w:rFonts w:ascii="Arial" w:hAnsi="Arial" w:cs="Arial"/>
          <w:i/>
        </w:rPr>
        <w:t>P</w:t>
      </w:r>
      <w:r w:rsidRPr="00DC016F">
        <w:rPr>
          <w:rFonts w:ascii="Arial" w:hAnsi="Arial" w:cs="Arial"/>
        </w:rPr>
        <w:t xml:space="preserve"> = 0.152) in under-five children study population. </w:t>
      </w:r>
      <w:r w:rsidRPr="00DC016F">
        <w:rPr>
          <w:rStyle w:val="fontstyle01"/>
          <w:rFonts w:ascii="Arial" w:hAnsi="Arial" w:cs="Arial"/>
          <w:color w:val="auto"/>
          <w:sz w:val="22"/>
          <w:szCs w:val="22"/>
        </w:rPr>
        <w:t>The result shows the relationship between nutritional status and estimated household income of under-five maternal parents (Tabl</w:t>
      </w:r>
      <w:r w:rsidR="005E38DB">
        <w:rPr>
          <w:rStyle w:val="fontstyle01"/>
          <w:rFonts w:ascii="Arial" w:hAnsi="Arial" w:cs="Arial"/>
          <w:color w:val="auto"/>
          <w:sz w:val="22"/>
          <w:szCs w:val="22"/>
        </w:rPr>
        <w:t xml:space="preserve">e </w:t>
      </w:r>
      <w:r w:rsidRPr="00DC016F">
        <w:rPr>
          <w:rStyle w:val="fontstyle01"/>
          <w:rFonts w:ascii="Arial" w:hAnsi="Arial" w:cs="Arial"/>
          <w:color w:val="auto"/>
          <w:sz w:val="22"/>
          <w:szCs w:val="22"/>
        </w:rPr>
        <w:t xml:space="preserve">8). There are no statistically significant relationships between estimated household income and </w:t>
      </w:r>
      <w:r w:rsidRPr="00DC016F">
        <w:rPr>
          <w:rFonts w:ascii="Arial" w:hAnsi="Arial" w:cs="Arial"/>
        </w:rPr>
        <w:t>occurrence of underweight (χ</w:t>
      </w:r>
      <w:r w:rsidRPr="00DC016F">
        <w:rPr>
          <w:rFonts w:ascii="Arial" w:hAnsi="Arial" w:cs="Arial"/>
          <w:vertAlign w:val="superscript"/>
        </w:rPr>
        <w:t xml:space="preserve">2 </w:t>
      </w:r>
      <w:r w:rsidRPr="00DC016F">
        <w:rPr>
          <w:rFonts w:ascii="Arial" w:hAnsi="Arial" w:cs="Arial"/>
        </w:rPr>
        <w:t xml:space="preserve">= </w:t>
      </w:r>
      <w:r w:rsidRPr="00DC016F">
        <w:rPr>
          <w:rFonts w:ascii="Arial" w:eastAsia="Times New Roman" w:hAnsi="Arial" w:cs="Arial"/>
        </w:rPr>
        <w:t>14.399</w:t>
      </w:r>
      <w:r w:rsidRPr="00DC016F">
        <w:rPr>
          <w:rFonts w:ascii="Arial" w:hAnsi="Arial" w:cs="Arial"/>
        </w:rPr>
        <w:t xml:space="preserve">, </w:t>
      </w:r>
      <w:r w:rsidRPr="00DC016F">
        <w:rPr>
          <w:rFonts w:ascii="Arial" w:hAnsi="Arial" w:cs="Arial"/>
          <w:i/>
        </w:rPr>
        <w:t xml:space="preserve">P </w:t>
      </w:r>
      <w:r w:rsidRPr="00DC016F">
        <w:rPr>
          <w:rFonts w:ascii="Arial" w:hAnsi="Arial" w:cs="Arial"/>
        </w:rPr>
        <w:t>= 0.155) and overweight (χ</w:t>
      </w:r>
      <w:r w:rsidRPr="00DC016F">
        <w:rPr>
          <w:rFonts w:ascii="Arial" w:hAnsi="Arial" w:cs="Arial"/>
          <w:vertAlign w:val="superscript"/>
        </w:rPr>
        <w:t xml:space="preserve">2 </w:t>
      </w:r>
      <w:r w:rsidRPr="00DC016F">
        <w:rPr>
          <w:rFonts w:ascii="Arial" w:hAnsi="Arial" w:cs="Arial"/>
        </w:rPr>
        <w:t xml:space="preserve">= 23.977, </w:t>
      </w:r>
      <w:r w:rsidRPr="00DC016F">
        <w:rPr>
          <w:rFonts w:ascii="Arial" w:hAnsi="Arial" w:cs="Arial"/>
          <w:i/>
        </w:rPr>
        <w:t>P</w:t>
      </w:r>
      <w:r w:rsidRPr="00DC016F">
        <w:rPr>
          <w:rFonts w:ascii="Arial" w:hAnsi="Arial" w:cs="Arial"/>
        </w:rPr>
        <w:t xml:space="preserve"> = 0.065) in under-five children study population. There are statistically significant relationships between </w:t>
      </w:r>
      <w:r w:rsidRPr="00DC016F">
        <w:rPr>
          <w:rStyle w:val="fontstyle01"/>
          <w:rFonts w:ascii="Arial" w:hAnsi="Arial" w:cs="Arial"/>
          <w:color w:val="auto"/>
          <w:sz w:val="22"/>
          <w:szCs w:val="22"/>
        </w:rPr>
        <w:t xml:space="preserve">estimated household income </w:t>
      </w:r>
      <w:r w:rsidRPr="00DC016F">
        <w:rPr>
          <w:rFonts w:ascii="Arial" w:hAnsi="Arial" w:cs="Arial"/>
        </w:rPr>
        <w:t>and occurrence of stunting (χ</w:t>
      </w:r>
      <w:r w:rsidRPr="00DC016F">
        <w:rPr>
          <w:rFonts w:ascii="Arial" w:hAnsi="Arial" w:cs="Arial"/>
          <w:vertAlign w:val="superscript"/>
        </w:rPr>
        <w:t xml:space="preserve">2 </w:t>
      </w:r>
      <w:r w:rsidRPr="00DC016F">
        <w:rPr>
          <w:rFonts w:ascii="Arial" w:hAnsi="Arial" w:cs="Arial"/>
        </w:rPr>
        <w:t xml:space="preserve">= 19.743, </w:t>
      </w:r>
      <w:r w:rsidRPr="00DC016F">
        <w:rPr>
          <w:rFonts w:ascii="Arial" w:hAnsi="Arial" w:cs="Arial"/>
          <w:i/>
        </w:rPr>
        <w:t>P</w:t>
      </w:r>
      <w:r w:rsidRPr="00DC016F">
        <w:rPr>
          <w:rFonts w:ascii="Arial" w:hAnsi="Arial" w:cs="Arial"/>
        </w:rPr>
        <w:t xml:space="preserve"> = 0.0318). The result further showed that parents whose </w:t>
      </w:r>
      <w:r w:rsidRPr="00DC016F">
        <w:rPr>
          <w:rStyle w:val="fontstyle01"/>
          <w:rFonts w:ascii="Arial" w:hAnsi="Arial" w:cs="Arial"/>
          <w:color w:val="auto"/>
          <w:sz w:val="22"/>
          <w:szCs w:val="22"/>
        </w:rPr>
        <w:t>estimated household income</w:t>
      </w:r>
      <w:r w:rsidRPr="00DC016F">
        <w:rPr>
          <w:rFonts w:ascii="Arial" w:hAnsi="Arial" w:cs="Arial"/>
        </w:rPr>
        <w:t xml:space="preserve"> is low are more likely to have stunted children and more likely to have underweight children compared to those who earn high income</w:t>
      </w:r>
      <w:bookmarkStart w:id="49" w:name="_Toc85539275"/>
      <w:r w:rsidRPr="00DC016F">
        <w:rPr>
          <w:rFonts w:ascii="Arial" w:hAnsi="Arial" w:cs="Arial"/>
        </w:rPr>
        <w:t>.</w:t>
      </w:r>
    </w:p>
    <w:p w14:paraId="24607B44" w14:textId="4C25D201" w:rsidR="00AA541A" w:rsidRPr="00DC016F" w:rsidRDefault="00AA541A" w:rsidP="00AA541A">
      <w:pPr>
        <w:spacing w:after="0" w:line="360" w:lineRule="auto"/>
        <w:jc w:val="both"/>
        <w:rPr>
          <w:rFonts w:ascii="Arial" w:hAnsi="Arial" w:cs="Arial"/>
        </w:rPr>
      </w:pPr>
    </w:p>
    <w:p w14:paraId="61F65B49" w14:textId="32C8BCD9" w:rsidR="00AA541A" w:rsidRPr="00DC016F" w:rsidRDefault="00AA541A" w:rsidP="00AA541A">
      <w:pPr>
        <w:spacing w:after="0" w:line="360" w:lineRule="auto"/>
        <w:jc w:val="both"/>
        <w:rPr>
          <w:rFonts w:ascii="Arial" w:hAnsi="Arial" w:cs="Arial"/>
        </w:rPr>
      </w:pPr>
    </w:p>
    <w:p w14:paraId="5A019F48" w14:textId="0B486DD1" w:rsidR="00AA541A" w:rsidRPr="00DC016F" w:rsidRDefault="00AA541A" w:rsidP="00AA541A">
      <w:pPr>
        <w:spacing w:after="0" w:line="360" w:lineRule="auto"/>
        <w:jc w:val="both"/>
        <w:rPr>
          <w:rFonts w:ascii="Arial" w:hAnsi="Arial" w:cs="Arial"/>
        </w:rPr>
      </w:pPr>
    </w:p>
    <w:p w14:paraId="74A9AA89" w14:textId="2C005224" w:rsidR="00AA541A" w:rsidRPr="00DC016F" w:rsidRDefault="00AA541A" w:rsidP="00AA541A">
      <w:pPr>
        <w:spacing w:after="0" w:line="360" w:lineRule="auto"/>
        <w:jc w:val="both"/>
        <w:rPr>
          <w:rFonts w:ascii="Arial" w:hAnsi="Arial" w:cs="Arial"/>
        </w:rPr>
      </w:pPr>
    </w:p>
    <w:p w14:paraId="235BF909" w14:textId="1A6D8C76" w:rsidR="00AA541A" w:rsidRPr="00DC016F" w:rsidRDefault="00AA541A" w:rsidP="00AA541A">
      <w:pPr>
        <w:spacing w:after="0" w:line="360" w:lineRule="auto"/>
        <w:jc w:val="both"/>
        <w:rPr>
          <w:rFonts w:ascii="Arial" w:hAnsi="Arial" w:cs="Arial"/>
        </w:rPr>
      </w:pPr>
    </w:p>
    <w:p w14:paraId="77B25B90" w14:textId="106F9535" w:rsidR="00AA541A" w:rsidRPr="00DC016F" w:rsidRDefault="00AA541A" w:rsidP="00AA541A">
      <w:pPr>
        <w:spacing w:after="0" w:line="360" w:lineRule="auto"/>
        <w:jc w:val="both"/>
        <w:rPr>
          <w:rFonts w:ascii="Arial" w:hAnsi="Arial" w:cs="Arial"/>
        </w:rPr>
      </w:pPr>
    </w:p>
    <w:p w14:paraId="23BBC954" w14:textId="76276265" w:rsidR="00AA541A" w:rsidRPr="00DC016F" w:rsidRDefault="00AA541A" w:rsidP="00AA541A">
      <w:pPr>
        <w:spacing w:after="0" w:line="360" w:lineRule="auto"/>
        <w:jc w:val="both"/>
        <w:rPr>
          <w:rFonts w:ascii="Arial" w:hAnsi="Arial" w:cs="Arial"/>
        </w:rPr>
      </w:pPr>
    </w:p>
    <w:p w14:paraId="5FF6B673" w14:textId="16C23A10" w:rsidR="00AA541A" w:rsidRPr="00DC016F" w:rsidRDefault="00AA541A" w:rsidP="00AA541A">
      <w:pPr>
        <w:spacing w:after="0" w:line="360" w:lineRule="auto"/>
        <w:jc w:val="both"/>
        <w:rPr>
          <w:rFonts w:ascii="Arial" w:hAnsi="Arial" w:cs="Arial"/>
        </w:rPr>
      </w:pPr>
    </w:p>
    <w:p w14:paraId="343A3AF3" w14:textId="38F44C87" w:rsidR="00AA541A" w:rsidRPr="00DC016F" w:rsidRDefault="00AA541A" w:rsidP="00AA541A">
      <w:pPr>
        <w:spacing w:after="0" w:line="360" w:lineRule="auto"/>
        <w:jc w:val="both"/>
        <w:rPr>
          <w:rFonts w:ascii="Arial" w:hAnsi="Arial" w:cs="Arial"/>
        </w:rPr>
      </w:pPr>
    </w:p>
    <w:p w14:paraId="0F289F21" w14:textId="246D5E6D" w:rsidR="00AA541A" w:rsidRPr="00DC016F" w:rsidRDefault="00AA541A" w:rsidP="00AA541A">
      <w:pPr>
        <w:spacing w:after="0" w:line="360" w:lineRule="auto"/>
        <w:jc w:val="both"/>
        <w:rPr>
          <w:rFonts w:ascii="Arial" w:hAnsi="Arial" w:cs="Arial"/>
        </w:rPr>
      </w:pPr>
    </w:p>
    <w:p w14:paraId="12CC403C" w14:textId="40C8FFF5" w:rsidR="00AA541A" w:rsidRPr="00DC016F" w:rsidRDefault="00AA541A" w:rsidP="00AA541A">
      <w:pPr>
        <w:spacing w:after="0" w:line="360" w:lineRule="auto"/>
        <w:jc w:val="both"/>
        <w:rPr>
          <w:rFonts w:ascii="Arial" w:hAnsi="Arial" w:cs="Arial"/>
        </w:rPr>
      </w:pPr>
    </w:p>
    <w:p w14:paraId="7A1042C0" w14:textId="5CDDBD67" w:rsidR="00AA541A" w:rsidRPr="00DC016F" w:rsidRDefault="00AA541A" w:rsidP="00AA541A">
      <w:pPr>
        <w:spacing w:after="0" w:line="360" w:lineRule="auto"/>
        <w:jc w:val="both"/>
        <w:rPr>
          <w:rFonts w:ascii="Arial" w:hAnsi="Arial" w:cs="Arial"/>
        </w:rPr>
      </w:pPr>
    </w:p>
    <w:p w14:paraId="41B809C9" w14:textId="4C5C370A" w:rsidR="00AA541A" w:rsidRPr="00DC016F" w:rsidRDefault="00AA541A" w:rsidP="00AA541A">
      <w:pPr>
        <w:spacing w:after="0" w:line="360" w:lineRule="auto"/>
        <w:jc w:val="both"/>
        <w:rPr>
          <w:rFonts w:ascii="Arial" w:hAnsi="Arial" w:cs="Arial"/>
        </w:rPr>
      </w:pPr>
    </w:p>
    <w:p w14:paraId="08B85E5E" w14:textId="2408E68F" w:rsidR="00AA541A" w:rsidRPr="00DC016F" w:rsidRDefault="00AA541A" w:rsidP="00AA541A">
      <w:pPr>
        <w:spacing w:after="0" w:line="360" w:lineRule="auto"/>
        <w:jc w:val="both"/>
        <w:rPr>
          <w:rFonts w:ascii="Arial" w:hAnsi="Arial" w:cs="Arial"/>
        </w:rPr>
      </w:pPr>
    </w:p>
    <w:p w14:paraId="0481CE73" w14:textId="02D9C4BC" w:rsidR="00AA541A" w:rsidRPr="00DC016F" w:rsidRDefault="00AA541A" w:rsidP="00AA541A">
      <w:pPr>
        <w:spacing w:after="0" w:line="360" w:lineRule="auto"/>
        <w:jc w:val="both"/>
        <w:rPr>
          <w:rFonts w:ascii="Arial" w:hAnsi="Arial" w:cs="Arial"/>
        </w:rPr>
      </w:pPr>
    </w:p>
    <w:p w14:paraId="775D0130" w14:textId="460384AD" w:rsidR="00AA541A" w:rsidRPr="00DC016F" w:rsidRDefault="00AA541A" w:rsidP="00AA541A">
      <w:pPr>
        <w:spacing w:after="0" w:line="360" w:lineRule="auto"/>
        <w:jc w:val="both"/>
        <w:rPr>
          <w:rFonts w:ascii="Arial" w:hAnsi="Arial" w:cs="Arial"/>
        </w:rPr>
      </w:pPr>
    </w:p>
    <w:p w14:paraId="1005C388" w14:textId="482AF459" w:rsidR="00AA541A" w:rsidRDefault="00AA541A" w:rsidP="00AA541A">
      <w:pPr>
        <w:spacing w:after="0" w:line="360" w:lineRule="auto"/>
        <w:jc w:val="both"/>
        <w:rPr>
          <w:rFonts w:ascii="Arial" w:hAnsi="Arial" w:cs="Arial"/>
        </w:rPr>
      </w:pPr>
    </w:p>
    <w:p w14:paraId="3C158081" w14:textId="77777777" w:rsidR="007A5D08" w:rsidRDefault="007A5D08" w:rsidP="00AA541A">
      <w:pPr>
        <w:spacing w:after="0" w:line="360" w:lineRule="auto"/>
        <w:jc w:val="both"/>
        <w:rPr>
          <w:rFonts w:ascii="Arial" w:hAnsi="Arial" w:cs="Arial"/>
        </w:rPr>
      </w:pPr>
    </w:p>
    <w:p w14:paraId="1FEFA317" w14:textId="77777777" w:rsidR="007A5D08" w:rsidRPr="00DC016F" w:rsidRDefault="007A5D08" w:rsidP="00AA541A">
      <w:pPr>
        <w:spacing w:after="0" w:line="360" w:lineRule="auto"/>
        <w:jc w:val="both"/>
        <w:rPr>
          <w:rFonts w:ascii="Arial" w:hAnsi="Arial" w:cs="Arial"/>
        </w:rPr>
      </w:pPr>
    </w:p>
    <w:p w14:paraId="32ECE029" w14:textId="446058F7" w:rsidR="00AA541A" w:rsidRPr="00DC016F" w:rsidRDefault="00AA541A" w:rsidP="00AA541A">
      <w:pPr>
        <w:spacing w:after="0" w:line="360" w:lineRule="auto"/>
        <w:jc w:val="both"/>
        <w:rPr>
          <w:rFonts w:ascii="Arial" w:hAnsi="Arial" w:cs="Arial"/>
        </w:rPr>
      </w:pPr>
    </w:p>
    <w:p w14:paraId="3F41CDED" w14:textId="5A85E0E7" w:rsidR="00AA541A" w:rsidRPr="00DC016F" w:rsidRDefault="00AA541A" w:rsidP="00AA541A">
      <w:pPr>
        <w:spacing w:after="0" w:line="360" w:lineRule="auto"/>
        <w:jc w:val="both"/>
        <w:rPr>
          <w:rFonts w:ascii="Arial" w:hAnsi="Arial" w:cs="Arial"/>
        </w:rPr>
      </w:pPr>
    </w:p>
    <w:p w14:paraId="5D11D5A8" w14:textId="103E82C6" w:rsidR="00AA541A" w:rsidRPr="00DC016F" w:rsidRDefault="00AA541A" w:rsidP="00AA541A">
      <w:pPr>
        <w:spacing w:after="0" w:line="360" w:lineRule="auto"/>
        <w:jc w:val="both"/>
        <w:rPr>
          <w:rFonts w:ascii="Arial" w:hAnsi="Arial" w:cs="Arial"/>
        </w:rPr>
      </w:pPr>
    </w:p>
    <w:p w14:paraId="492B9941" w14:textId="77777777" w:rsidR="00AA541A" w:rsidRPr="00DC016F" w:rsidRDefault="00AA541A" w:rsidP="00AA541A">
      <w:pPr>
        <w:spacing w:after="0" w:line="360" w:lineRule="auto"/>
        <w:jc w:val="both"/>
        <w:rPr>
          <w:rFonts w:ascii="Arial" w:hAnsi="Arial" w:cs="Arial"/>
        </w:rPr>
      </w:pPr>
    </w:p>
    <w:p w14:paraId="49F143B0" w14:textId="1FB816F3" w:rsidR="005B20B1" w:rsidRPr="00DC016F" w:rsidRDefault="005B20B1" w:rsidP="00FD59DA">
      <w:pPr>
        <w:spacing w:line="240" w:lineRule="auto"/>
        <w:jc w:val="both"/>
        <w:rPr>
          <w:rFonts w:ascii="Arial" w:hAnsi="Arial" w:cs="Arial"/>
          <w:b/>
          <w:bCs/>
        </w:rPr>
      </w:pPr>
      <w:r w:rsidRPr="00DC016F">
        <w:rPr>
          <w:rFonts w:ascii="Arial" w:hAnsi="Arial" w:cs="Arial"/>
          <w:b/>
          <w:bCs/>
        </w:rPr>
        <w:lastRenderedPageBreak/>
        <w:t xml:space="preserve">Table </w:t>
      </w:r>
      <w:r w:rsidRPr="00DC016F">
        <w:rPr>
          <w:rFonts w:ascii="Arial" w:hAnsi="Arial" w:cs="Arial"/>
          <w:b/>
          <w:bCs/>
        </w:rPr>
        <w:fldChar w:fldCharType="begin"/>
      </w:r>
      <w:r w:rsidRPr="00DC016F">
        <w:rPr>
          <w:rFonts w:ascii="Arial" w:hAnsi="Arial" w:cs="Arial"/>
          <w:b/>
          <w:bCs/>
        </w:rPr>
        <w:instrText xml:space="preserve"> SEQ Table_4. \* ARABIC </w:instrText>
      </w:r>
      <w:r w:rsidRPr="00DC016F">
        <w:rPr>
          <w:rFonts w:ascii="Arial" w:hAnsi="Arial" w:cs="Arial"/>
          <w:b/>
          <w:bCs/>
        </w:rPr>
        <w:fldChar w:fldCharType="separate"/>
      </w:r>
      <w:r w:rsidRPr="00DC016F">
        <w:rPr>
          <w:rFonts w:ascii="Arial" w:hAnsi="Arial" w:cs="Arial"/>
          <w:b/>
          <w:bCs/>
          <w:noProof/>
        </w:rPr>
        <w:t>7</w:t>
      </w:r>
      <w:r w:rsidRPr="00DC016F">
        <w:rPr>
          <w:rFonts w:ascii="Arial" w:hAnsi="Arial" w:cs="Arial"/>
          <w:b/>
          <w:bCs/>
        </w:rPr>
        <w:fldChar w:fldCharType="end"/>
      </w:r>
      <w:r w:rsidR="007A5D08">
        <w:rPr>
          <w:rStyle w:val="fontstyle01"/>
          <w:rFonts w:ascii="Arial" w:hAnsi="Arial" w:cs="Arial"/>
          <w:b/>
          <w:bCs/>
          <w:color w:val="auto"/>
          <w:sz w:val="22"/>
          <w:szCs w:val="22"/>
        </w:rPr>
        <w:t>: Relationship Between Nutritional Status and Educational Background of Under-Five Maternal P</w:t>
      </w:r>
      <w:r w:rsidRPr="00DC016F">
        <w:rPr>
          <w:rStyle w:val="fontstyle01"/>
          <w:rFonts w:ascii="Arial" w:hAnsi="Arial" w:cs="Arial"/>
          <w:b/>
          <w:bCs/>
          <w:color w:val="auto"/>
          <w:sz w:val="22"/>
          <w:szCs w:val="22"/>
        </w:rPr>
        <w:t>arents(</w:t>
      </w:r>
      <w:r w:rsidRPr="00DC016F">
        <w:rPr>
          <w:rStyle w:val="fontstyle01"/>
          <w:rFonts w:ascii="Arial" w:hAnsi="Arial" w:cs="Arial"/>
          <w:b/>
          <w:bCs/>
          <w:i/>
          <w:color w:val="auto"/>
          <w:sz w:val="22"/>
          <w:szCs w:val="22"/>
        </w:rPr>
        <w:t>n</w:t>
      </w:r>
      <w:r w:rsidRPr="00DC016F">
        <w:rPr>
          <w:rStyle w:val="fontstyle21"/>
          <w:rFonts w:ascii="Arial" w:hAnsi="Arial" w:cs="Arial"/>
          <w:b w:val="0"/>
          <w:bCs w:val="0"/>
          <w:color w:val="auto"/>
          <w:sz w:val="22"/>
          <w:szCs w:val="22"/>
        </w:rPr>
        <w:t>=</w:t>
      </w:r>
      <w:r w:rsidRPr="00DC016F">
        <w:rPr>
          <w:rStyle w:val="fontstyle01"/>
          <w:rFonts w:ascii="Arial" w:hAnsi="Arial" w:cs="Arial"/>
          <w:b/>
          <w:bCs/>
          <w:color w:val="auto"/>
          <w:sz w:val="22"/>
          <w:szCs w:val="22"/>
        </w:rPr>
        <w:t>100)</w:t>
      </w:r>
      <w:bookmarkEnd w:id="49"/>
    </w:p>
    <w:tbl>
      <w:tblPr>
        <w:tblStyle w:val="LightShading1"/>
        <w:tblW w:w="10194" w:type="dxa"/>
        <w:tblInd w:w="-252" w:type="dxa"/>
        <w:tblLook w:val="04A0" w:firstRow="1" w:lastRow="0" w:firstColumn="1" w:lastColumn="0" w:noHBand="0" w:noVBand="1"/>
      </w:tblPr>
      <w:tblGrid>
        <w:gridCol w:w="2465"/>
        <w:gridCol w:w="1007"/>
        <w:gridCol w:w="1090"/>
        <w:gridCol w:w="1524"/>
        <w:gridCol w:w="1128"/>
        <w:gridCol w:w="852"/>
        <w:gridCol w:w="1135"/>
        <w:gridCol w:w="1000"/>
      </w:tblGrid>
      <w:tr w:rsidR="008071B7" w:rsidRPr="00DC016F" w14:paraId="055DFCBE" w14:textId="77777777" w:rsidTr="001706B5">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65" w:type="dxa"/>
            <w:vMerge w:val="restart"/>
            <w:shd w:val="clear" w:color="auto" w:fill="auto"/>
            <w:noWrap/>
            <w:vAlign w:val="center"/>
            <w:hideMark/>
          </w:tcPr>
          <w:p w14:paraId="47BE91FA" w14:textId="77777777" w:rsidR="005B20B1" w:rsidRPr="00DC016F" w:rsidRDefault="005B20B1" w:rsidP="003069DB">
            <w:pPr>
              <w:spacing w:after="0" w:line="240" w:lineRule="auto"/>
              <w:rPr>
                <w:rFonts w:ascii="Arial" w:eastAsia="Times New Roman" w:hAnsi="Arial" w:cs="Arial"/>
                <w:bCs w:val="0"/>
                <w:color w:val="auto"/>
              </w:rPr>
            </w:pPr>
            <w:r w:rsidRPr="00DC016F">
              <w:rPr>
                <w:rFonts w:ascii="Arial" w:eastAsia="Times New Roman" w:hAnsi="Arial" w:cs="Arial"/>
                <w:bCs w:val="0"/>
                <w:color w:val="auto"/>
              </w:rPr>
              <w:t>Educational</w:t>
            </w:r>
          </w:p>
          <w:p w14:paraId="74F2F1E5" w14:textId="77777777" w:rsidR="005B20B1" w:rsidRPr="00DC016F" w:rsidRDefault="005B20B1" w:rsidP="003069DB">
            <w:pPr>
              <w:spacing w:after="0" w:line="240" w:lineRule="auto"/>
              <w:rPr>
                <w:rFonts w:ascii="Arial" w:eastAsia="Times New Roman" w:hAnsi="Arial" w:cs="Arial"/>
                <w:color w:val="auto"/>
              </w:rPr>
            </w:pPr>
            <w:r w:rsidRPr="00DC016F">
              <w:rPr>
                <w:rFonts w:ascii="Arial" w:eastAsia="Times New Roman" w:hAnsi="Arial" w:cs="Arial"/>
                <w:bCs w:val="0"/>
                <w:color w:val="auto"/>
              </w:rPr>
              <w:t xml:space="preserve">Status </w:t>
            </w:r>
          </w:p>
        </w:tc>
        <w:tc>
          <w:tcPr>
            <w:tcW w:w="3614" w:type="dxa"/>
            <w:gridSpan w:val="3"/>
            <w:tcBorders>
              <w:bottom w:val="single" w:sz="4" w:space="0" w:color="auto"/>
            </w:tcBorders>
            <w:shd w:val="clear" w:color="auto" w:fill="auto"/>
            <w:noWrap/>
            <w:vAlign w:val="center"/>
            <w:hideMark/>
          </w:tcPr>
          <w:p w14:paraId="2736C25F" w14:textId="77777777" w:rsidR="005B20B1" w:rsidRPr="00DC016F" w:rsidRDefault="005B20B1" w:rsidP="003069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Weight-for-age (WAZ)</w:t>
            </w:r>
          </w:p>
        </w:tc>
        <w:tc>
          <w:tcPr>
            <w:tcW w:w="1128" w:type="dxa"/>
            <w:vMerge w:val="restart"/>
            <w:shd w:val="clear" w:color="auto" w:fill="auto"/>
            <w:noWrap/>
            <w:vAlign w:val="center"/>
            <w:hideMark/>
          </w:tcPr>
          <w:p w14:paraId="7ACB8ACE" w14:textId="77777777" w:rsidR="005B20B1" w:rsidRPr="00DC016F" w:rsidRDefault="005B20B1" w:rsidP="003069D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Total</w:t>
            </w:r>
          </w:p>
        </w:tc>
        <w:tc>
          <w:tcPr>
            <w:tcW w:w="852" w:type="dxa"/>
            <w:vMerge w:val="restart"/>
            <w:tcBorders>
              <w:right w:val="single" w:sz="4" w:space="0" w:color="FFFFFF" w:themeColor="background1"/>
            </w:tcBorders>
            <w:shd w:val="clear" w:color="auto" w:fill="auto"/>
            <w:noWrap/>
            <w:vAlign w:val="center"/>
            <w:hideMark/>
          </w:tcPr>
          <w:p w14:paraId="6D98E7EF" w14:textId="77777777" w:rsidR="005B20B1" w:rsidRPr="00DC016F" w:rsidRDefault="005B20B1" w:rsidP="003069DB">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vMerge w:val="restart"/>
            <w:tcBorders>
              <w:left w:val="single" w:sz="4" w:space="0" w:color="FFFFFF" w:themeColor="background1"/>
            </w:tcBorders>
            <w:shd w:val="clear" w:color="auto" w:fill="auto"/>
            <w:vAlign w:val="center"/>
          </w:tcPr>
          <w:p w14:paraId="1E06B9A2" w14:textId="77777777" w:rsidR="005B20B1" w:rsidRPr="00DC016F" w:rsidRDefault="005B20B1" w:rsidP="003069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rPr>
            </w:pPr>
            <w:r w:rsidRPr="00DC016F">
              <w:rPr>
                <w:rFonts w:ascii="Arial" w:hAnsi="Arial" w:cs="Arial"/>
                <w:color w:val="auto"/>
              </w:rPr>
              <w:t>χ</w:t>
            </w:r>
            <w:r w:rsidRPr="00DC016F">
              <w:rPr>
                <w:rFonts w:ascii="Arial" w:hAnsi="Arial" w:cs="Arial"/>
                <w:color w:val="auto"/>
                <w:vertAlign w:val="superscript"/>
              </w:rPr>
              <w:t>2</w:t>
            </w:r>
          </w:p>
        </w:tc>
        <w:tc>
          <w:tcPr>
            <w:tcW w:w="1000" w:type="dxa"/>
            <w:vMerge w:val="restart"/>
            <w:shd w:val="clear" w:color="auto" w:fill="auto"/>
            <w:noWrap/>
            <w:vAlign w:val="center"/>
            <w:hideMark/>
          </w:tcPr>
          <w:p w14:paraId="030C2E6F" w14:textId="77777777" w:rsidR="005B20B1" w:rsidRPr="00DC016F" w:rsidRDefault="005B20B1" w:rsidP="003069D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color w:val="auto"/>
              </w:rPr>
            </w:pPr>
            <w:r w:rsidRPr="00DC016F">
              <w:rPr>
                <w:rFonts w:ascii="Arial" w:eastAsia="Times New Roman" w:hAnsi="Arial" w:cs="Arial"/>
                <w:i/>
                <w:color w:val="auto"/>
              </w:rPr>
              <w:t>P-value</w:t>
            </w:r>
          </w:p>
        </w:tc>
      </w:tr>
      <w:tr w:rsidR="008071B7" w:rsidRPr="00DC016F" w14:paraId="09B9530B"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vMerge/>
            <w:shd w:val="clear" w:color="auto" w:fill="auto"/>
            <w:noWrap/>
            <w:hideMark/>
          </w:tcPr>
          <w:p w14:paraId="01B5C325" w14:textId="77777777" w:rsidR="005B20B1" w:rsidRPr="00DC016F" w:rsidRDefault="005B20B1" w:rsidP="003069DB">
            <w:pPr>
              <w:spacing w:after="0" w:line="240" w:lineRule="auto"/>
              <w:rPr>
                <w:rFonts w:ascii="Arial" w:eastAsia="Times New Roman" w:hAnsi="Arial" w:cs="Arial"/>
                <w:color w:val="auto"/>
              </w:rPr>
            </w:pPr>
          </w:p>
        </w:tc>
        <w:tc>
          <w:tcPr>
            <w:tcW w:w="1007" w:type="dxa"/>
            <w:tcBorders>
              <w:top w:val="single" w:sz="4" w:space="0" w:color="auto"/>
            </w:tcBorders>
            <w:shd w:val="clear" w:color="auto" w:fill="auto"/>
            <w:vAlign w:val="center"/>
            <w:hideMark/>
          </w:tcPr>
          <w:p w14:paraId="350C1CCD"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Normal</w:t>
            </w:r>
          </w:p>
        </w:tc>
        <w:tc>
          <w:tcPr>
            <w:tcW w:w="1090" w:type="dxa"/>
            <w:tcBorders>
              <w:top w:val="single" w:sz="4" w:space="0" w:color="auto"/>
            </w:tcBorders>
            <w:shd w:val="clear" w:color="auto" w:fill="auto"/>
            <w:vAlign w:val="center"/>
            <w:hideMark/>
          </w:tcPr>
          <w:p w14:paraId="2CB9C22A"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Under-weight</w:t>
            </w:r>
          </w:p>
        </w:tc>
        <w:tc>
          <w:tcPr>
            <w:tcW w:w="1516" w:type="dxa"/>
            <w:tcBorders>
              <w:top w:val="single" w:sz="4" w:space="0" w:color="auto"/>
            </w:tcBorders>
            <w:shd w:val="clear" w:color="auto" w:fill="auto"/>
            <w:noWrap/>
            <w:vAlign w:val="center"/>
            <w:hideMark/>
          </w:tcPr>
          <w:p w14:paraId="6D5A991A"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Severally underweight</w:t>
            </w:r>
          </w:p>
        </w:tc>
        <w:tc>
          <w:tcPr>
            <w:tcW w:w="1128" w:type="dxa"/>
            <w:vMerge/>
            <w:shd w:val="clear" w:color="auto" w:fill="auto"/>
            <w:noWrap/>
            <w:vAlign w:val="center"/>
            <w:hideMark/>
          </w:tcPr>
          <w:p w14:paraId="47B05E1A"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c>
          <w:tcPr>
            <w:tcW w:w="852" w:type="dxa"/>
            <w:vMerge/>
            <w:tcBorders>
              <w:right w:val="single" w:sz="4" w:space="0" w:color="FFFFFF" w:themeColor="background1"/>
            </w:tcBorders>
            <w:shd w:val="clear" w:color="auto" w:fill="auto"/>
            <w:noWrap/>
            <w:vAlign w:val="center"/>
          </w:tcPr>
          <w:p w14:paraId="5416D566"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c>
          <w:tcPr>
            <w:tcW w:w="1135" w:type="dxa"/>
            <w:vMerge/>
            <w:tcBorders>
              <w:left w:val="single" w:sz="4" w:space="0" w:color="FFFFFF" w:themeColor="background1"/>
            </w:tcBorders>
            <w:shd w:val="clear" w:color="auto" w:fill="auto"/>
            <w:vAlign w:val="center"/>
          </w:tcPr>
          <w:p w14:paraId="0B058E9D"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c>
          <w:tcPr>
            <w:tcW w:w="1000" w:type="dxa"/>
            <w:vMerge/>
            <w:shd w:val="clear" w:color="auto" w:fill="auto"/>
            <w:noWrap/>
            <w:vAlign w:val="center"/>
            <w:hideMark/>
          </w:tcPr>
          <w:p w14:paraId="6F3CC75E"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r>
      <w:tr w:rsidR="008071B7" w:rsidRPr="00DC016F" w14:paraId="46A97A05"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tcBorders>
            <w:shd w:val="clear" w:color="auto" w:fill="auto"/>
            <w:noWrap/>
            <w:vAlign w:val="center"/>
            <w:hideMark/>
          </w:tcPr>
          <w:p w14:paraId="25B38412"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No formal education </w:t>
            </w:r>
          </w:p>
        </w:tc>
        <w:tc>
          <w:tcPr>
            <w:tcW w:w="1007" w:type="dxa"/>
            <w:tcBorders>
              <w:top w:val="single" w:sz="4" w:space="0" w:color="auto"/>
            </w:tcBorders>
            <w:shd w:val="clear" w:color="auto" w:fill="auto"/>
            <w:noWrap/>
            <w:vAlign w:val="center"/>
            <w:hideMark/>
          </w:tcPr>
          <w:p w14:paraId="72DE6D6B"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11</w:t>
            </w:r>
          </w:p>
        </w:tc>
        <w:tc>
          <w:tcPr>
            <w:tcW w:w="1090" w:type="dxa"/>
            <w:tcBorders>
              <w:top w:val="single" w:sz="4" w:space="0" w:color="auto"/>
            </w:tcBorders>
            <w:shd w:val="clear" w:color="auto" w:fill="auto"/>
            <w:noWrap/>
            <w:vAlign w:val="center"/>
            <w:hideMark/>
          </w:tcPr>
          <w:p w14:paraId="5A189BA1"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w:t>
            </w:r>
          </w:p>
        </w:tc>
        <w:tc>
          <w:tcPr>
            <w:tcW w:w="1516" w:type="dxa"/>
            <w:tcBorders>
              <w:top w:val="single" w:sz="4" w:space="0" w:color="auto"/>
            </w:tcBorders>
            <w:shd w:val="clear" w:color="auto" w:fill="auto"/>
            <w:noWrap/>
            <w:vAlign w:val="center"/>
            <w:hideMark/>
          </w:tcPr>
          <w:p w14:paraId="7D174FC5"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128" w:type="dxa"/>
            <w:tcBorders>
              <w:top w:val="single" w:sz="4" w:space="0" w:color="auto"/>
            </w:tcBorders>
            <w:shd w:val="clear" w:color="auto" w:fill="auto"/>
            <w:noWrap/>
            <w:vAlign w:val="center"/>
            <w:hideMark/>
          </w:tcPr>
          <w:p w14:paraId="025C2212"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14</w:t>
            </w:r>
          </w:p>
        </w:tc>
        <w:tc>
          <w:tcPr>
            <w:tcW w:w="852" w:type="dxa"/>
            <w:tcBorders>
              <w:top w:val="single" w:sz="4" w:space="0" w:color="auto"/>
              <w:right w:val="single" w:sz="4" w:space="0" w:color="FFFFFF" w:themeColor="background1"/>
            </w:tcBorders>
            <w:shd w:val="clear" w:color="auto" w:fill="auto"/>
            <w:noWrap/>
            <w:vAlign w:val="center"/>
          </w:tcPr>
          <w:p w14:paraId="2393B66D"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tcBorders>
              <w:top w:val="single" w:sz="4" w:space="0" w:color="auto"/>
              <w:left w:val="single" w:sz="4" w:space="0" w:color="FFFFFF" w:themeColor="background1"/>
            </w:tcBorders>
            <w:shd w:val="clear" w:color="auto" w:fill="auto"/>
            <w:noWrap/>
            <w:vAlign w:val="center"/>
          </w:tcPr>
          <w:p w14:paraId="74CA3BAE"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13.625</w:t>
            </w:r>
          </w:p>
        </w:tc>
        <w:tc>
          <w:tcPr>
            <w:tcW w:w="1000" w:type="dxa"/>
            <w:tcBorders>
              <w:top w:val="single" w:sz="4" w:space="0" w:color="auto"/>
            </w:tcBorders>
            <w:shd w:val="clear" w:color="auto" w:fill="auto"/>
            <w:noWrap/>
            <w:vAlign w:val="center"/>
            <w:hideMark/>
          </w:tcPr>
          <w:p w14:paraId="0D606904"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0.191</w:t>
            </w:r>
          </w:p>
        </w:tc>
      </w:tr>
      <w:tr w:rsidR="008071B7" w:rsidRPr="00DC016F" w14:paraId="3C094963"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6EBAFB2A"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Primary School </w:t>
            </w:r>
          </w:p>
        </w:tc>
        <w:tc>
          <w:tcPr>
            <w:tcW w:w="1007" w:type="dxa"/>
            <w:shd w:val="clear" w:color="auto" w:fill="auto"/>
            <w:noWrap/>
            <w:vAlign w:val="center"/>
            <w:hideMark/>
          </w:tcPr>
          <w:p w14:paraId="164262EF"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10</w:t>
            </w:r>
          </w:p>
        </w:tc>
        <w:tc>
          <w:tcPr>
            <w:tcW w:w="1090" w:type="dxa"/>
            <w:shd w:val="clear" w:color="auto" w:fill="auto"/>
            <w:noWrap/>
            <w:vAlign w:val="center"/>
            <w:hideMark/>
          </w:tcPr>
          <w:p w14:paraId="0BDA3B3A"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516" w:type="dxa"/>
            <w:shd w:val="clear" w:color="auto" w:fill="auto"/>
            <w:noWrap/>
            <w:vAlign w:val="center"/>
            <w:hideMark/>
          </w:tcPr>
          <w:p w14:paraId="4E1ECFB9"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128" w:type="dxa"/>
            <w:shd w:val="clear" w:color="auto" w:fill="auto"/>
            <w:noWrap/>
            <w:vAlign w:val="center"/>
            <w:hideMark/>
          </w:tcPr>
          <w:p w14:paraId="0F13DA21"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w:t>
            </w:r>
          </w:p>
        </w:tc>
        <w:tc>
          <w:tcPr>
            <w:tcW w:w="852" w:type="dxa"/>
            <w:tcBorders>
              <w:right w:val="single" w:sz="4" w:space="0" w:color="FFFFFF" w:themeColor="background1"/>
            </w:tcBorders>
            <w:shd w:val="clear" w:color="auto" w:fill="auto"/>
            <w:noWrap/>
            <w:vAlign w:val="center"/>
          </w:tcPr>
          <w:p w14:paraId="07A3E960"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tcBorders>
              <w:left w:val="single" w:sz="4" w:space="0" w:color="FFFFFF" w:themeColor="background1"/>
            </w:tcBorders>
            <w:shd w:val="clear" w:color="auto" w:fill="auto"/>
            <w:noWrap/>
            <w:vAlign w:val="center"/>
          </w:tcPr>
          <w:p w14:paraId="363CC2FF"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shd w:val="clear" w:color="auto" w:fill="auto"/>
            <w:noWrap/>
            <w:vAlign w:val="center"/>
            <w:hideMark/>
          </w:tcPr>
          <w:p w14:paraId="5411702D"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2D4FDBB9"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4B51290A"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Junior Secondary School </w:t>
            </w:r>
          </w:p>
        </w:tc>
        <w:tc>
          <w:tcPr>
            <w:tcW w:w="1007" w:type="dxa"/>
            <w:shd w:val="clear" w:color="auto" w:fill="auto"/>
            <w:noWrap/>
            <w:vAlign w:val="center"/>
            <w:hideMark/>
          </w:tcPr>
          <w:p w14:paraId="03A048D1"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w:t>
            </w:r>
          </w:p>
        </w:tc>
        <w:tc>
          <w:tcPr>
            <w:tcW w:w="1090" w:type="dxa"/>
            <w:shd w:val="clear" w:color="auto" w:fill="auto"/>
            <w:noWrap/>
            <w:vAlign w:val="center"/>
            <w:hideMark/>
          </w:tcPr>
          <w:p w14:paraId="371627C8"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516" w:type="dxa"/>
            <w:shd w:val="clear" w:color="auto" w:fill="auto"/>
            <w:noWrap/>
            <w:vAlign w:val="center"/>
            <w:hideMark/>
          </w:tcPr>
          <w:p w14:paraId="680103CA"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shd w:val="clear" w:color="auto" w:fill="auto"/>
            <w:noWrap/>
            <w:vAlign w:val="center"/>
            <w:hideMark/>
          </w:tcPr>
          <w:p w14:paraId="09FB37F3"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852" w:type="dxa"/>
            <w:tcBorders>
              <w:right w:val="single" w:sz="4" w:space="0" w:color="FFFFFF" w:themeColor="background1"/>
            </w:tcBorders>
            <w:shd w:val="clear" w:color="auto" w:fill="auto"/>
            <w:noWrap/>
            <w:vAlign w:val="center"/>
          </w:tcPr>
          <w:p w14:paraId="059E1769"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tcBorders>
              <w:left w:val="single" w:sz="4" w:space="0" w:color="FFFFFF" w:themeColor="background1"/>
            </w:tcBorders>
            <w:shd w:val="clear" w:color="auto" w:fill="auto"/>
            <w:noWrap/>
            <w:vAlign w:val="center"/>
          </w:tcPr>
          <w:p w14:paraId="1CF4B81E"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000" w:type="dxa"/>
            <w:shd w:val="clear" w:color="auto" w:fill="auto"/>
            <w:noWrap/>
            <w:vAlign w:val="center"/>
            <w:hideMark/>
          </w:tcPr>
          <w:p w14:paraId="73480760"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r>
      <w:tr w:rsidR="008071B7" w:rsidRPr="00DC016F" w14:paraId="56E8EFBD"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6BAD06C5"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Senior Secondary </w:t>
            </w:r>
          </w:p>
        </w:tc>
        <w:tc>
          <w:tcPr>
            <w:tcW w:w="1007" w:type="dxa"/>
            <w:shd w:val="clear" w:color="auto" w:fill="auto"/>
            <w:noWrap/>
            <w:vAlign w:val="center"/>
            <w:hideMark/>
          </w:tcPr>
          <w:p w14:paraId="67E9A71B"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29</w:t>
            </w:r>
          </w:p>
        </w:tc>
        <w:tc>
          <w:tcPr>
            <w:tcW w:w="1090" w:type="dxa"/>
            <w:shd w:val="clear" w:color="auto" w:fill="auto"/>
            <w:vAlign w:val="center"/>
            <w:hideMark/>
          </w:tcPr>
          <w:p w14:paraId="09BC943F"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shd w:val="clear" w:color="auto" w:fill="auto"/>
            <w:vAlign w:val="center"/>
            <w:hideMark/>
          </w:tcPr>
          <w:p w14:paraId="228FFBC5"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shd w:val="clear" w:color="auto" w:fill="auto"/>
            <w:noWrap/>
            <w:vAlign w:val="center"/>
            <w:hideMark/>
          </w:tcPr>
          <w:p w14:paraId="08BA87F7"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29</w:t>
            </w:r>
          </w:p>
        </w:tc>
        <w:tc>
          <w:tcPr>
            <w:tcW w:w="852" w:type="dxa"/>
            <w:tcBorders>
              <w:right w:val="single" w:sz="4" w:space="0" w:color="FFFFFF" w:themeColor="background1"/>
            </w:tcBorders>
            <w:shd w:val="clear" w:color="auto" w:fill="auto"/>
            <w:noWrap/>
            <w:vAlign w:val="center"/>
          </w:tcPr>
          <w:p w14:paraId="76FEC892"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tcBorders>
              <w:left w:val="single" w:sz="4" w:space="0" w:color="FFFFFF" w:themeColor="background1"/>
            </w:tcBorders>
            <w:shd w:val="clear" w:color="auto" w:fill="auto"/>
            <w:noWrap/>
            <w:vAlign w:val="center"/>
          </w:tcPr>
          <w:p w14:paraId="276191EF"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shd w:val="clear" w:color="auto" w:fill="auto"/>
            <w:noWrap/>
            <w:vAlign w:val="center"/>
            <w:hideMark/>
          </w:tcPr>
          <w:p w14:paraId="65285244"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31E4951F"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41421B39"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Post-Secondary School </w:t>
            </w:r>
          </w:p>
        </w:tc>
        <w:tc>
          <w:tcPr>
            <w:tcW w:w="1007" w:type="dxa"/>
            <w:shd w:val="clear" w:color="auto" w:fill="auto"/>
            <w:noWrap/>
            <w:vAlign w:val="center"/>
            <w:hideMark/>
          </w:tcPr>
          <w:p w14:paraId="201B3353"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19</w:t>
            </w:r>
          </w:p>
        </w:tc>
        <w:tc>
          <w:tcPr>
            <w:tcW w:w="1090" w:type="dxa"/>
            <w:shd w:val="clear" w:color="auto" w:fill="auto"/>
            <w:vAlign w:val="center"/>
            <w:hideMark/>
          </w:tcPr>
          <w:p w14:paraId="4E8CB3EB"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shd w:val="clear" w:color="auto" w:fill="auto"/>
            <w:vAlign w:val="center"/>
            <w:hideMark/>
          </w:tcPr>
          <w:p w14:paraId="06DF2421"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shd w:val="clear" w:color="auto" w:fill="auto"/>
            <w:noWrap/>
            <w:vAlign w:val="center"/>
            <w:hideMark/>
          </w:tcPr>
          <w:p w14:paraId="3979ACBA"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19</w:t>
            </w:r>
          </w:p>
        </w:tc>
        <w:tc>
          <w:tcPr>
            <w:tcW w:w="852" w:type="dxa"/>
            <w:tcBorders>
              <w:right w:val="single" w:sz="4" w:space="0" w:color="FFFFFF" w:themeColor="background1"/>
            </w:tcBorders>
            <w:shd w:val="clear" w:color="auto" w:fill="auto"/>
            <w:noWrap/>
            <w:vAlign w:val="center"/>
          </w:tcPr>
          <w:p w14:paraId="0BE431E4"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tcBorders>
              <w:left w:val="single" w:sz="4" w:space="0" w:color="FFFFFF" w:themeColor="background1"/>
            </w:tcBorders>
            <w:shd w:val="clear" w:color="auto" w:fill="auto"/>
            <w:noWrap/>
            <w:vAlign w:val="center"/>
          </w:tcPr>
          <w:p w14:paraId="4C5AB4E5"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000" w:type="dxa"/>
            <w:shd w:val="clear" w:color="auto" w:fill="auto"/>
            <w:noWrap/>
            <w:vAlign w:val="center"/>
            <w:hideMark/>
          </w:tcPr>
          <w:p w14:paraId="4EDA9074"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r>
      <w:tr w:rsidR="008071B7" w:rsidRPr="00DC016F" w14:paraId="379C284F"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tcBorders>
              <w:bottom w:val="single" w:sz="4" w:space="0" w:color="auto"/>
            </w:tcBorders>
            <w:shd w:val="clear" w:color="auto" w:fill="auto"/>
            <w:noWrap/>
            <w:vAlign w:val="center"/>
            <w:hideMark/>
          </w:tcPr>
          <w:p w14:paraId="29399E14"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Graduate</w:t>
            </w:r>
          </w:p>
        </w:tc>
        <w:tc>
          <w:tcPr>
            <w:tcW w:w="1007" w:type="dxa"/>
            <w:tcBorders>
              <w:bottom w:val="single" w:sz="4" w:space="0" w:color="auto"/>
            </w:tcBorders>
            <w:shd w:val="clear" w:color="auto" w:fill="auto"/>
            <w:noWrap/>
            <w:vAlign w:val="center"/>
            <w:hideMark/>
          </w:tcPr>
          <w:p w14:paraId="22723A9C"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1090" w:type="dxa"/>
            <w:tcBorders>
              <w:bottom w:val="single" w:sz="4" w:space="0" w:color="auto"/>
            </w:tcBorders>
            <w:shd w:val="clear" w:color="auto" w:fill="auto"/>
            <w:noWrap/>
            <w:vAlign w:val="center"/>
            <w:hideMark/>
          </w:tcPr>
          <w:p w14:paraId="133F483E"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tcBorders>
              <w:bottom w:val="single" w:sz="4" w:space="0" w:color="auto"/>
            </w:tcBorders>
            <w:shd w:val="clear" w:color="auto" w:fill="auto"/>
            <w:noWrap/>
            <w:vAlign w:val="center"/>
            <w:hideMark/>
          </w:tcPr>
          <w:p w14:paraId="7DC336A1"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tcBorders>
              <w:bottom w:val="single" w:sz="4" w:space="0" w:color="auto"/>
            </w:tcBorders>
            <w:shd w:val="clear" w:color="auto" w:fill="auto"/>
            <w:noWrap/>
            <w:vAlign w:val="center"/>
            <w:hideMark/>
          </w:tcPr>
          <w:p w14:paraId="4513C2F6"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852" w:type="dxa"/>
            <w:tcBorders>
              <w:bottom w:val="single" w:sz="4" w:space="0" w:color="auto"/>
              <w:right w:val="single" w:sz="4" w:space="0" w:color="FFFFFF" w:themeColor="background1"/>
            </w:tcBorders>
            <w:shd w:val="clear" w:color="auto" w:fill="auto"/>
            <w:noWrap/>
            <w:vAlign w:val="center"/>
          </w:tcPr>
          <w:p w14:paraId="222B369A"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tcBorders>
              <w:left w:val="single" w:sz="4" w:space="0" w:color="FFFFFF" w:themeColor="background1"/>
              <w:bottom w:val="single" w:sz="4" w:space="0" w:color="auto"/>
            </w:tcBorders>
            <w:shd w:val="clear" w:color="auto" w:fill="auto"/>
            <w:noWrap/>
            <w:vAlign w:val="center"/>
          </w:tcPr>
          <w:p w14:paraId="6EDA869D"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tcBorders>
              <w:bottom w:val="single" w:sz="4" w:space="0" w:color="auto"/>
            </w:tcBorders>
            <w:shd w:val="clear" w:color="auto" w:fill="auto"/>
            <w:noWrap/>
            <w:vAlign w:val="center"/>
            <w:hideMark/>
          </w:tcPr>
          <w:p w14:paraId="506B189D"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52A9554F"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tcBorders>
            <w:shd w:val="clear" w:color="auto" w:fill="auto"/>
            <w:noWrap/>
            <w:hideMark/>
          </w:tcPr>
          <w:p w14:paraId="7CC34067" w14:textId="77777777" w:rsidR="005B20B1" w:rsidRPr="00DC016F" w:rsidRDefault="005B20B1" w:rsidP="003069DB">
            <w:pPr>
              <w:spacing w:after="0" w:line="240" w:lineRule="auto"/>
              <w:rPr>
                <w:rFonts w:ascii="Arial" w:eastAsia="Times New Roman" w:hAnsi="Arial" w:cs="Arial"/>
                <w:b w:val="0"/>
                <w:color w:val="auto"/>
              </w:rPr>
            </w:pPr>
          </w:p>
        </w:tc>
        <w:tc>
          <w:tcPr>
            <w:tcW w:w="3614" w:type="dxa"/>
            <w:gridSpan w:val="3"/>
            <w:tcBorders>
              <w:top w:val="single" w:sz="4" w:space="0" w:color="auto"/>
              <w:bottom w:val="single" w:sz="4" w:space="0" w:color="auto"/>
            </w:tcBorders>
            <w:shd w:val="clear" w:color="auto" w:fill="auto"/>
            <w:vAlign w:val="center"/>
            <w:hideMark/>
          </w:tcPr>
          <w:p w14:paraId="698AAA39"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rPr>
            </w:pPr>
            <w:r w:rsidRPr="00DC016F">
              <w:rPr>
                <w:rFonts w:ascii="Arial" w:eastAsia="Times New Roman" w:hAnsi="Arial" w:cs="Arial"/>
                <w:b/>
                <w:bCs/>
                <w:color w:val="auto"/>
              </w:rPr>
              <w:t>Height-for-age (HAZ)</w:t>
            </w:r>
          </w:p>
        </w:tc>
        <w:tc>
          <w:tcPr>
            <w:tcW w:w="1128" w:type="dxa"/>
            <w:vMerge w:val="restart"/>
            <w:tcBorders>
              <w:top w:val="single" w:sz="4" w:space="0" w:color="auto"/>
            </w:tcBorders>
            <w:shd w:val="clear" w:color="auto" w:fill="auto"/>
            <w:noWrap/>
            <w:vAlign w:val="center"/>
            <w:hideMark/>
          </w:tcPr>
          <w:p w14:paraId="07B141D3"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color w:val="auto"/>
              </w:rPr>
              <w:t>Total</w:t>
            </w:r>
          </w:p>
        </w:tc>
        <w:tc>
          <w:tcPr>
            <w:tcW w:w="852" w:type="dxa"/>
            <w:tcBorders>
              <w:top w:val="single" w:sz="4" w:space="0" w:color="auto"/>
            </w:tcBorders>
            <w:shd w:val="clear" w:color="auto" w:fill="auto"/>
            <w:noWrap/>
          </w:tcPr>
          <w:p w14:paraId="3636EB75"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vMerge w:val="restart"/>
            <w:tcBorders>
              <w:top w:val="single" w:sz="4" w:space="0" w:color="auto"/>
            </w:tcBorders>
            <w:shd w:val="clear" w:color="auto" w:fill="auto"/>
            <w:noWrap/>
            <w:vAlign w:val="center"/>
          </w:tcPr>
          <w:p w14:paraId="73F3BCFF"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hAnsi="Arial" w:cs="Arial"/>
                <w:b/>
                <w:color w:val="auto"/>
              </w:rPr>
              <w:t>χ</w:t>
            </w:r>
            <w:r w:rsidRPr="00DC016F">
              <w:rPr>
                <w:rFonts w:ascii="Arial" w:hAnsi="Arial" w:cs="Arial"/>
                <w:b/>
                <w:color w:val="auto"/>
                <w:vertAlign w:val="superscript"/>
              </w:rPr>
              <w:t>2</w:t>
            </w:r>
          </w:p>
        </w:tc>
        <w:tc>
          <w:tcPr>
            <w:tcW w:w="1000" w:type="dxa"/>
            <w:vMerge w:val="restart"/>
            <w:tcBorders>
              <w:top w:val="single" w:sz="4" w:space="0" w:color="auto"/>
            </w:tcBorders>
            <w:shd w:val="clear" w:color="auto" w:fill="auto"/>
            <w:noWrap/>
            <w:vAlign w:val="center"/>
            <w:hideMark/>
          </w:tcPr>
          <w:p w14:paraId="68A66624"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i/>
                <w:color w:val="auto"/>
              </w:rPr>
              <w:t>P-value</w:t>
            </w:r>
          </w:p>
        </w:tc>
      </w:tr>
      <w:tr w:rsidR="008071B7" w:rsidRPr="00DC016F" w14:paraId="2C2F45DA"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tcBorders>
              <w:bottom w:val="single" w:sz="4" w:space="0" w:color="auto"/>
            </w:tcBorders>
            <w:shd w:val="clear" w:color="auto" w:fill="auto"/>
            <w:noWrap/>
            <w:hideMark/>
          </w:tcPr>
          <w:p w14:paraId="453A968F" w14:textId="77777777" w:rsidR="005B20B1" w:rsidRPr="00DC016F" w:rsidRDefault="005B20B1" w:rsidP="003069DB">
            <w:pPr>
              <w:spacing w:after="0" w:line="240" w:lineRule="auto"/>
              <w:rPr>
                <w:rFonts w:ascii="Arial" w:eastAsia="Times New Roman" w:hAnsi="Arial" w:cs="Arial"/>
                <w:color w:val="auto"/>
              </w:rPr>
            </w:pPr>
            <w:r w:rsidRPr="00DC016F">
              <w:rPr>
                <w:rFonts w:ascii="Arial" w:eastAsia="Times New Roman" w:hAnsi="Arial" w:cs="Arial"/>
                <w:color w:val="auto"/>
              </w:rPr>
              <w:t xml:space="preserve">Educational </w:t>
            </w:r>
          </w:p>
          <w:p w14:paraId="73AEC423"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color w:val="auto"/>
              </w:rPr>
              <w:t xml:space="preserve">Status </w:t>
            </w:r>
          </w:p>
        </w:tc>
        <w:tc>
          <w:tcPr>
            <w:tcW w:w="1007" w:type="dxa"/>
            <w:tcBorders>
              <w:top w:val="single" w:sz="4" w:space="0" w:color="auto"/>
              <w:bottom w:val="single" w:sz="4" w:space="0" w:color="auto"/>
            </w:tcBorders>
            <w:shd w:val="clear" w:color="auto" w:fill="auto"/>
            <w:vAlign w:val="center"/>
            <w:hideMark/>
          </w:tcPr>
          <w:p w14:paraId="12A76AE7"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color w:val="auto"/>
              </w:rPr>
              <w:t>Normal</w:t>
            </w:r>
          </w:p>
        </w:tc>
        <w:tc>
          <w:tcPr>
            <w:tcW w:w="1090" w:type="dxa"/>
            <w:tcBorders>
              <w:top w:val="single" w:sz="4" w:space="0" w:color="auto"/>
              <w:bottom w:val="single" w:sz="4" w:space="0" w:color="auto"/>
            </w:tcBorders>
            <w:shd w:val="clear" w:color="auto" w:fill="auto"/>
            <w:vAlign w:val="center"/>
            <w:hideMark/>
          </w:tcPr>
          <w:p w14:paraId="3BBCE0E2"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Stunted</w:t>
            </w:r>
          </w:p>
        </w:tc>
        <w:tc>
          <w:tcPr>
            <w:tcW w:w="1516" w:type="dxa"/>
            <w:tcBorders>
              <w:top w:val="single" w:sz="4" w:space="0" w:color="auto"/>
              <w:bottom w:val="single" w:sz="4" w:space="0" w:color="auto"/>
            </w:tcBorders>
            <w:shd w:val="clear" w:color="auto" w:fill="auto"/>
            <w:noWrap/>
            <w:vAlign w:val="center"/>
            <w:hideMark/>
          </w:tcPr>
          <w:p w14:paraId="580C0415"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Severally</w:t>
            </w:r>
          </w:p>
          <w:p w14:paraId="60058C7E"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stunted</w:t>
            </w:r>
          </w:p>
        </w:tc>
        <w:tc>
          <w:tcPr>
            <w:tcW w:w="1128" w:type="dxa"/>
            <w:vMerge/>
            <w:tcBorders>
              <w:bottom w:val="single" w:sz="4" w:space="0" w:color="auto"/>
            </w:tcBorders>
            <w:shd w:val="clear" w:color="auto" w:fill="auto"/>
            <w:noWrap/>
            <w:vAlign w:val="center"/>
            <w:hideMark/>
          </w:tcPr>
          <w:p w14:paraId="4FEBA912"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852" w:type="dxa"/>
            <w:tcBorders>
              <w:bottom w:val="single" w:sz="4" w:space="0" w:color="auto"/>
            </w:tcBorders>
            <w:shd w:val="clear" w:color="auto" w:fill="auto"/>
            <w:noWrap/>
          </w:tcPr>
          <w:p w14:paraId="1EC1F594"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vMerge/>
            <w:tcBorders>
              <w:bottom w:val="single" w:sz="4" w:space="0" w:color="auto"/>
            </w:tcBorders>
            <w:shd w:val="clear" w:color="auto" w:fill="auto"/>
            <w:vAlign w:val="center"/>
          </w:tcPr>
          <w:p w14:paraId="11F6E0AC"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rPr>
            </w:pPr>
          </w:p>
        </w:tc>
        <w:tc>
          <w:tcPr>
            <w:tcW w:w="1000" w:type="dxa"/>
            <w:vMerge/>
            <w:tcBorders>
              <w:bottom w:val="single" w:sz="4" w:space="0" w:color="auto"/>
            </w:tcBorders>
            <w:shd w:val="clear" w:color="auto" w:fill="auto"/>
            <w:noWrap/>
            <w:vAlign w:val="center"/>
            <w:hideMark/>
          </w:tcPr>
          <w:p w14:paraId="4715D8E9"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color w:val="auto"/>
              </w:rPr>
            </w:pPr>
          </w:p>
        </w:tc>
      </w:tr>
      <w:tr w:rsidR="008071B7" w:rsidRPr="00DC016F" w14:paraId="61BF54A6"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tcBorders>
            <w:shd w:val="clear" w:color="auto" w:fill="auto"/>
            <w:noWrap/>
            <w:hideMark/>
          </w:tcPr>
          <w:p w14:paraId="2C97828E"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No formal education </w:t>
            </w:r>
          </w:p>
        </w:tc>
        <w:tc>
          <w:tcPr>
            <w:tcW w:w="1007" w:type="dxa"/>
            <w:tcBorders>
              <w:top w:val="single" w:sz="4" w:space="0" w:color="auto"/>
            </w:tcBorders>
            <w:shd w:val="clear" w:color="auto" w:fill="auto"/>
            <w:noWrap/>
            <w:vAlign w:val="center"/>
            <w:hideMark/>
          </w:tcPr>
          <w:p w14:paraId="4B784A91"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w:t>
            </w:r>
          </w:p>
        </w:tc>
        <w:tc>
          <w:tcPr>
            <w:tcW w:w="1090" w:type="dxa"/>
            <w:tcBorders>
              <w:top w:val="single" w:sz="4" w:space="0" w:color="auto"/>
            </w:tcBorders>
            <w:shd w:val="clear" w:color="auto" w:fill="auto"/>
            <w:noWrap/>
            <w:vAlign w:val="center"/>
            <w:hideMark/>
          </w:tcPr>
          <w:p w14:paraId="60D1735E"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516" w:type="dxa"/>
            <w:tcBorders>
              <w:top w:val="single" w:sz="4" w:space="0" w:color="auto"/>
            </w:tcBorders>
            <w:shd w:val="clear" w:color="auto" w:fill="auto"/>
            <w:noWrap/>
            <w:vAlign w:val="center"/>
            <w:hideMark/>
          </w:tcPr>
          <w:p w14:paraId="5E43BD0E"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128" w:type="dxa"/>
            <w:tcBorders>
              <w:top w:val="single" w:sz="4" w:space="0" w:color="auto"/>
            </w:tcBorders>
            <w:shd w:val="clear" w:color="auto" w:fill="auto"/>
            <w:noWrap/>
            <w:vAlign w:val="center"/>
            <w:hideMark/>
          </w:tcPr>
          <w:p w14:paraId="67B8AF1B"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14</w:t>
            </w:r>
          </w:p>
        </w:tc>
        <w:tc>
          <w:tcPr>
            <w:tcW w:w="852" w:type="dxa"/>
            <w:tcBorders>
              <w:top w:val="single" w:sz="4" w:space="0" w:color="auto"/>
            </w:tcBorders>
            <w:shd w:val="clear" w:color="auto" w:fill="auto"/>
            <w:noWrap/>
          </w:tcPr>
          <w:p w14:paraId="332283AA"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tcBorders>
              <w:top w:val="single" w:sz="4" w:space="0" w:color="auto"/>
            </w:tcBorders>
            <w:shd w:val="clear" w:color="auto" w:fill="auto"/>
            <w:noWrap/>
          </w:tcPr>
          <w:p w14:paraId="4E21D6F7"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12.169</w:t>
            </w:r>
          </w:p>
        </w:tc>
        <w:tc>
          <w:tcPr>
            <w:tcW w:w="1000" w:type="dxa"/>
            <w:tcBorders>
              <w:top w:val="single" w:sz="4" w:space="0" w:color="auto"/>
            </w:tcBorders>
            <w:shd w:val="clear" w:color="auto" w:fill="auto"/>
            <w:noWrap/>
            <w:hideMark/>
          </w:tcPr>
          <w:p w14:paraId="0340A324"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0.274</w:t>
            </w:r>
          </w:p>
        </w:tc>
      </w:tr>
      <w:tr w:rsidR="008071B7" w:rsidRPr="00DC016F" w14:paraId="40D97CEF"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hideMark/>
          </w:tcPr>
          <w:p w14:paraId="041F4378"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Primary School </w:t>
            </w:r>
          </w:p>
        </w:tc>
        <w:tc>
          <w:tcPr>
            <w:tcW w:w="1007" w:type="dxa"/>
            <w:shd w:val="clear" w:color="auto" w:fill="auto"/>
            <w:noWrap/>
            <w:vAlign w:val="center"/>
            <w:hideMark/>
          </w:tcPr>
          <w:p w14:paraId="3E6C10EF"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11</w:t>
            </w:r>
          </w:p>
        </w:tc>
        <w:tc>
          <w:tcPr>
            <w:tcW w:w="1090" w:type="dxa"/>
            <w:shd w:val="clear" w:color="auto" w:fill="auto"/>
            <w:noWrap/>
            <w:vAlign w:val="center"/>
            <w:hideMark/>
          </w:tcPr>
          <w:p w14:paraId="52D27F75"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516" w:type="dxa"/>
            <w:shd w:val="clear" w:color="auto" w:fill="auto"/>
            <w:noWrap/>
            <w:vAlign w:val="center"/>
            <w:hideMark/>
          </w:tcPr>
          <w:p w14:paraId="70709526"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shd w:val="clear" w:color="auto" w:fill="auto"/>
            <w:noWrap/>
            <w:vAlign w:val="center"/>
            <w:hideMark/>
          </w:tcPr>
          <w:p w14:paraId="2A16D75B"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w:t>
            </w:r>
          </w:p>
        </w:tc>
        <w:tc>
          <w:tcPr>
            <w:tcW w:w="852" w:type="dxa"/>
            <w:shd w:val="clear" w:color="auto" w:fill="auto"/>
            <w:noWrap/>
            <w:hideMark/>
          </w:tcPr>
          <w:p w14:paraId="49507DF9"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shd w:val="clear" w:color="auto" w:fill="auto"/>
            <w:noWrap/>
          </w:tcPr>
          <w:p w14:paraId="2FFD90F9"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shd w:val="clear" w:color="auto" w:fill="auto"/>
            <w:noWrap/>
          </w:tcPr>
          <w:p w14:paraId="2DAF804B"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5BDE6880"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hideMark/>
          </w:tcPr>
          <w:p w14:paraId="729AC5CC"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Junior Secondary School </w:t>
            </w:r>
          </w:p>
        </w:tc>
        <w:tc>
          <w:tcPr>
            <w:tcW w:w="1007" w:type="dxa"/>
            <w:shd w:val="clear" w:color="auto" w:fill="auto"/>
            <w:noWrap/>
            <w:vAlign w:val="center"/>
            <w:hideMark/>
          </w:tcPr>
          <w:p w14:paraId="36A30F4F"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1090" w:type="dxa"/>
            <w:shd w:val="clear" w:color="auto" w:fill="auto"/>
            <w:noWrap/>
            <w:vAlign w:val="center"/>
            <w:hideMark/>
          </w:tcPr>
          <w:p w14:paraId="288F0844"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shd w:val="clear" w:color="auto" w:fill="auto"/>
            <w:noWrap/>
            <w:vAlign w:val="center"/>
            <w:hideMark/>
          </w:tcPr>
          <w:p w14:paraId="123CE5E2"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shd w:val="clear" w:color="auto" w:fill="auto"/>
            <w:noWrap/>
            <w:vAlign w:val="center"/>
            <w:hideMark/>
          </w:tcPr>
          <w:p w14:paraId="454BC606"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852" w:type="dxa"/>
            <w:shd w:val="clear" w:color="auto" w:fill="auto"/>
            <w:noWrap/>
            <w:hideMark/>
          </w:tcPr>
          <w:p w14:paraId="06F8B37E"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shd w:val="clear" w:color="auto" w:fill="auto"/>
            <w:noWrap/>
          </w:tcPr>
          <w:p w14:paraId="0E0A9E0D"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000" w:type="dxa"/>
            <w:shd w:val="clear" w:color="auto" w:fill="auto"/>
            <w:noWrap/>
          </w:tcPr>
          <w:p w14:paraId="485E11D1"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r>
      <w:tr w:rsidR="008071B7" w:rsidRPr="00DC016F" w14:paraId="7B32885E"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hideMark/>
          </w:tcPr>
          <w:p w14:paraId="7E5BCDB7"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Senior Secondary </w:t>
            </w:r>
          </w:p>
        </w:tc>
        <w:tc>
          <w:tcPr>
            <w:tcW w:w="1007" w:type="dxa"/>
            <w:shd w:val="clear" w:color="auto" w:fill="auto"/>
            <w:noWrap/>
            <w:vAlign w:val="center"/>
            <w:hideMark/>
          </w:tcPr>
          <w:p w14:paraId="22EFCFCE"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29</w:t>
            </w:r>
          </w:p>
        </w:tc>
        <w:tc>
          <w:tcPr>
            <w:tcW w:w="1090" w:type="dxa"/>
            <w:shd w:val="clear" w:color="auto" w:fill="auto"/>
            <w:noWrap/>
            <w:vAlign w:val="center"/>
            <w:hideMark/>
          </w:tcPr>
          <w:p w14:paraId="6503E215"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shd w:val="clear" w:color="auto" w:fill="auto"/>
            <w:noWrap/>
            <w:vAlign w:val="center"/>
            <w:hideMark/>
          </w:tcPr>
          <w:p w14:paraId="61052E12"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shd w:val="clear" w:color="auto" w:fill="auto"/>
            <w:noWrap/>
            <w:vAlign w:val="center"/>
            <w:hideMark/>
          </w:tcPr>
          <w:p w14:paraId="1EC55EB4"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29</w:t>
            </w:r>
          </w:p>
        </w:tc>
        <w:tc>
          <w:tcPr>
            <w:tcW w:w="852" w:type="dxa"/>
            <w:shd w:val="clear" w:color="auto" w:fill="auto"/>
            <w:noWrap/>
            <w:hideMark/>
          </w:tcPr>
          <w:p w14:paraId="14CEE407"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shd w:val="clear" w:color="auto" w:fill="auto"/>
            <w:noWrap/>
            <w:hideMark/>
          </w:tcPr>
          <w:p w14:paraId="600EA2B4"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shd w:val="clear" w:color="auto" w:fill="auto"/>
            <w:noWrap/>
            <w:hideMark/>
          </w:tcPr>
          <w:p w14:paraId="2C84BC24"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24AE875F"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hideMark/>
          </w:tcPr>
          <w:p w14:paraId="5CA66F70"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Post-Secondary School </w:t>
            </w:r>
          </w:p>
        </w:tc>
        <w:tc>
          <w:tcPr>
            <w:tcW w:w="1007" w:type="dxa"/>
            <w:shd w:val="clear" w:color="auto" w:fill="auto"/>
            <w:noWrap/>
            <w:vAlign w:val="center"/>
            <w:hideMark/>
          </w:tcPr>
          <w:p w14:paraId="780E0E1A"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19</w:t>
            </w:r>
          </w:p>
        </w:tc>
        <w:tc>
          <w:tcPr>
            <w:tcW w:w="1090" w:type="dxa"/>
            <w:shd w:val="clear" w:color="auto" w:fill="auto"/>
            <w:noWrap/>
            <w:vAlign w:val="center"/>
            <w:hideMark/>
          </w:tcPr>
          <w:p w14:paraId="4E3FE34C"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shd w:val="clear" w:color="auto" w:fill="auto"/>
            <w:noWrap/>
            <w:vAlign w:val="center"/>
            <w:hideMark/>
          </w:tcPr>
          <w:p w14:paraId="03FFAB29"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shd w:val="clear" w:color="auto" w:fill="auto"/>
            <w:noWrap/>
            <w:vAlign w:val="center"/>
            <w:hideMark/>
          </w:tcPr>
          <w:p w14:paraId="0256017D"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19</w:t>
            </w:r>
          </w:p>
        </w:tc>
        <w:tc>
          <w:tcPr>
            <w:tcW w:w="852" w:type="dxa"/>
            <w:shd w:val="clear" w:color="auto" w:fill="auto"/>
            <w:noWrap/>
            <w:hideMark/>
          </w:tcPr>
          <w:p w14:paraId="3883D7BA"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shd w:val="clear" w:color="auto" w:fill="auto"/>
            <w:noWrap/>
            <w:hideMark/>
          </w:tcPr>
          <w:p w14:paraId="34F7C0B5"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000" w:type="dxa"/>
            <w:shd w:val="clear" w:color="auto" w:fill="auto"/>
            <w:noWrap/>
            <w:hideMark/>
          </w:tcPr>
          <w:p w14:paraId="1FA8AAD6"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r>
      <w:tr w:rsidR="008071B7" w:rsidRPr="00DC016F" w14:paraId="6AFFDB28"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tcBorders>
              <w:bottom w:val="single" w:sz="4" w:space="0" w:color="auto"/>
            </w:tcBorders>
            <w:shd w:val="clear" w:color="auto" w:fill="auto"/>
            <w:noWrap/>
            <w:hideMark/>
          </w:tcPr>
          <w:p w14:paraId="568C00C2"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Graduate</w:t>
            </w:r>
          </w:p>
        </w:tc>
        <w:tc>
          <w:tcPr>
            <w:tcW w:w="1007" w:type="dxa"/>
            <w:tcBorders>
              <w:bottom w:val="single" w:sz="4" w:space="0" w:color="auto"/>
            </w:tcBorders>
            <w:shd w:val="clear" w:color="auto" w:fill="auto"/>
            <w:noWrap/>
            <w:vAlign w:val="center"/>
            <w:hideMark/>
          </w:tcPr>
          <w:p w14:paraId="5405E39F"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1090" w:type="dxa"/>
            <w:tcBorders>
              <w:bottom w:val="single" w:sz="4" w:space="0" w:color="auto"/>
            </w:tcBorders>
            <w:shd w:val="clear" w:color="auto" w:fill="auto"/>
            <w:noWrap/>
            <w:vAlign w:val="center"/>
            <w:hideMark/>
          </w:tcPr>
          <w:p w14:paraId="00FA401B"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tcBorders>
              <w:bottom w:val="single" w:sz="4" w:space="0" w:color="auto"/>
            </w:tcBorders>
            <w:shd w:val="clear" w:color="auto" w:fill="auto"/>
            <w:noWrap/>
            <w:vAlign w:val="center"/>
            <w:hideMark/>
          </w:tcPr>
          <w:p w14:paraId="1B79EA28"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tcBorders>
              <w:bottom w:val="single" w:sz="4" w:space="0" w:color="auto"/>
            </w:tcBorders>
            <w:shd w:val="clear" w:color="auto" w:fill="auto"/>
            <w:noWrap/>
            <w:vAlign w:val="center"/>
            <w:hideMark/>
          </w:tcPr>
          <w:p w14:paraId="2F18C9AA"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852" w:type="dxa"/>
            <w:tcBorders>
              <w:bottom w:val="single" w:sz="4" w:space="0" w:color="auto"/>
            </w:tcBorders>
            <w:shd w:val="clear" w:color="auto" w:fill="auto"/>
            <w:noWrap/>
            <w:hideMark/>
          </w:tcPr>
          <w:p w14:paraId="64FD4886"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tcBorders>
              <w:bottom w:val="single" w:sz="4" w:space="0" w:color="auto"/>
            </w:tcBorders>
            <w:shd w:val="clear" w:color="auto" w:fill="auto"/>
            <w:noWrap/>
            <w:hideMark/>
          </w:tcPr>
          <w:p w14:paraId="63D422FE"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tcBorders>
              <w:bottom w:val="single" w:sz="4" w:space="0" w:color="auto"/>
            </w:tcBorders>
            <w:shd w:val="clear" w:color="auto" w:fill="auto"/>
            <w:noWrap/>
            <w:hideMark/>
          </w:tcPr>
          <w:p w14:paraId="5C4F586B"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0EDA1527"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tcBorders>
            <w:shd w:val="clear" w:color="auto" w:fill="auto"/>
            <w:noWrap/>
            <w:hideMark/>
          </w:tcPr>
          <w:p w14:paraId="74878903" w14:textId="77777777" w:rsidR="005B20B1" w:rsidRPr="00DC016F" w:rsidRDefault="005B20B1" w:rsidP="003069DB">
            <w:pPr>
              <w:spacing w:after="0" w:line="240" w:lineRule="auto"/>
              <w:rPr>
                <w:rFonts w:ascii="Arial" w:eastAsia="Times New Roman" w:hAnsi="Arial" w:cs="Arial"/>
                <w:b w:val="0"/>
                <w:color w:val="auto"/>
              </w:rPr>
            </w:pPr>
          </w:p>
        </w:tc>
        <w:tc>
          <w:tcPr>
            <w:tcW w:w="4742" w:type="dxa"/>
            <w:gridSpan w:val="4"/>
            <w:tcBorders>
              <w:top w:val="single" w:sz="4" w:space="0" w:color="auto"/>
              <w:bottom w:val="single" w:sz="4" w:space="0" w:color="auto"/>
            </w:tcBorders>
            <w:shd w:val="clear" w:color="auto" w:fill="auto"/>
            <w:vAlign w:val="center"/>
            <w:hideMark/>
          </w:tcPr>
          <w:p w14:paraId="0EA01F1F"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bCs/>
                <w:color w:val="auto"/>
              </w:rPr>
              <w:t>BMI-for-age (BAZ)</w:t>
            </w:r>
          </w:p>
        </w:tc>
        <w:tc>
          <w:tcPr>
            <w:tcW w:w="852" w:type="dxa"/>
            <w:vMerge w:val="restart"/>
            <w:tcBorders>
              <w:top w:val="single" w:sz="4" w:space="0" w:color="auto"/>
            </w:tcBorders>
            <w:shd w:val="clear" w:color="auto" w:fill="auto"/>
            <w:noWrap/>
            <w:vAlign w:val="center"/>
            <w:hideMark/>
          </w:tcPr>
          <w:p w14:paraId="2FD69273"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color w:val="auto"/>
              </w:rPr>
              <w:t>Total</w:t>
            </w:r>
          </w:p>
        </w:tc>
        <w:tc>
          <w:tcPr>
            <w:tcW w:w="1135" w:type="dxa"/>
            <w:vMerge w:val="restart"/>
            <w:tcBorders>
              <w:top w:val="single" w:sz="4" w:space="0" w:color="auto"/>
            </w:tcBorders>
            <w:shd w:val="clear" w:color="auto" w:fill="auto"/>
            <w:noWrap/>
            <w:vAlign w:val="center"/>
            <w:hideMark/>
          </w:tcPr>
          <w:p w14:paraId="55BD035E"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hAnsi="Arial" w:cs="Arial"/>
                <w:b/>
                <w:color w:val="auto"/>
              </w:rPr>
              <w:t>χ</w:t>
            </w:r>
            <w:r w:rsidRPr="00DC016F">
              <w:rPr>
                <w:rFonts w:ascii="Arial" w:hAnsi="Arial" w:cs="Arial"/>
                <w:b/>
                <w:color w:val="auto"/>
                <w:vertAlign w:val="superscript"/>
              </w:rPr>
              <w:t>2</w:t>
            </w:r>
          </w:p>
        </w:tc>
        <w:tc>
          <w:tcPr>
            <w:tcW w:w="1000" w:type="dxa"/>
            <w:vMerge w:val="restart"/>
            <w:tcBorders>
              <w:top w:val="single" w:sz="4" w:space="0" w:color="auto"/>
            </w:tcBorders>
            <w:shd w:val="clear" w:color="auto" w:fill="auto"/>
            <w:noWrap/>
            <w:vAlign w:val="center"/>
            <w:hideMark/>
          </w:tcPr>
          <w:p w14:paraId="4F3712D3"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i/>
                <w:color w:val="auto"/>
              </w:rPr>
              <w:t>P-value</w:t>
            </w:r>
          </w:p>
        </w:tc>
      </w:tr>
      <w:tr w:rsidR="008071B7" w:rsidRPr="00DC016F" w14:paraId="122D7D0C"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tcBorders>
              <w:bottom w:val="single" w:sz="4" w:space="0" w:color="auto"/>
            </w:tcBorders>
            <w:shd w:val="clear" w:color="auto" w:fill="auto"/>
            <w:noWrap/>
            <w:hideMark/>
          </w:tcPr>
          <w:p w14:paraId="5F6A2D3E" w14:textId="77777777" w:rsidR="005B20B1" w:rsidRPr="00DC016F" w:rsidRDefault="005B20B1" w:rsidP="003069DB">
            <w:pPr>
              <w:spacing w:after="0" w:line="240" w:lineRule="auto"/>
              <w:rPr>
                <w:rFonts w:ascii="Arial" w:eastAsia="Times New Roman" w:hAnsi="Arial" w:cs="Arial"/>
                <w:color w:val="auto"/>
              </w:rPr>
            </w:pPr>
            <w:r w:rsidRPr="00DC016F">
              <w:rPr>
                <w:rFonts w:ascii="Arial" w:eastAsia="Times New Roman" w:hAnsi="Arial" w:cs="Arial"/>
                <w:color w:val="auto"/>
              </w:rPr>
              <w:t xml:space="preserve">Educational </w:t>
            </w:r>
          </w:p>
          <w:p w14:paraId="07568695"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color w:val="auto"/>
              </w:rPr>
              <w:t xml:space="preserve">Status </w:t>
            </w:r>
          </w:p>
        </w:tc>
        <w:tc>
          <w:tcPr>
            <w:tcW w:w="1007" w:type="dxa"/>
            <w:tcBorders>
              <w:top w:val="single" w:sz="4" w:space="0" w:color="auto"/>
              <w:bottom w:val="single" w:sz="4" w:space="0" w:color="auto"/>
            </w:tcBorders>
            <w:shd w:val="clear" w:color="auto" w:fill="auto"/>
            <w:vAlign w:val="center"/>
            <w:hideMark/>
          </w:tcPr>
          <w:p w14:paraId="1D75BA8D"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Obese</w:t>
            </w:r>
          </w:p>
        </w:tc>
        <w:tc>
          <w:tcPr>
            <w:tcW w:w="1090" w:type="dxa"/>
            <w:tcBorders>
              <w:top w:val="single" w:sz="4" w:space="0" w:color="auto"/>
              <w:bottom w:val="single" w:sz="4" w:space="0" w:color="auto"/>
            </w:tcBorders>
            <w:shd w:val="clear" w:color="auto" w:fill="auto"/>
            <w:vAlign w:val="center"/>
            <w:hideMark/>
          </w:tcPr>
          <w:p w14:paraId="48828472"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Over-weight</w:t>
            </w:r>
          </w:p>
        </w:tc>
        <w:tc>
          <w:tcPr>
            <w:tcW w:w="1516" w:type="dxa"/>
            <w:tcBorders>
              <w:top w:val="single" w:sz="4" w:space="0" w:color="auto"/>
              <w:bottom w:val="single" w:sz="4" w:space="0" w:color="auto"/>
            </w:tcBorders>
            <w:shd w:val="clear" w:color="auto" w:fill="auto"/>
            <w:vAlign w:val="center"/>
            <w:hideMark/>
          </w:tcPr>
          <w:p w14:paraId="521FDF5B"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Normal</w:t>
            </w:r>
          </w:p>
        </w:tc>
        <w:tc>
          <w:tcPr>
            <w:tcW w:w="1128" w:type="dxa"/>
            <w:tcBorders>
              <w:top w:val="single" w:sz="4" w:space="0" w:color="auto"/>
              <w:bottom w:val="single" w:sz="4" w:space="0" w:color="auto"/>
            </w:tcBorders>
            <w:shd w:val="clear" w:color="auto" w:fill="auto"/>
            <w:noWrap/>
            <w:vAlign w:val="center"/>
            <w:hideMark/>
          </w:tcPr>
          <w:p w14:paraId="2BC88D03"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Under- weight</w:t>
            </w:r>
          </w:p>
        </w:tc>
        <w:tc>
          <w:tcPr>
            <w:tcW w:w="852" w:type="dxa"/>
            <w:vMerge/>
            <w:tcBorders>
              <w:bottom w:val="single" w:sz="4" w:space="0" w:color="auto"/>
            </w:tcBorders>
            <w:shd w:val="clear" w:color="auto" w:fill="auto"/>
            <w:noWrap/>
            <w:vAlign w:val="center"/>
            <w:hideMark/>
          </w:tcPr>
          <w:p w14:paraId="47D67598"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vMerge/>
            <w:tcBorders>
              <w:bottom w:val="single" w:sz="4" w:space="0" w:color="auto"/>
            </w:tcBorders>
            <w:shd w:val="clear" w:color="auto" w:fill="auto"/>
            <w:noWrap/>
            <w:vAlign w:val="center"/>
            <w:hideMark/>
          </w:tcPr>
          <w:p w14:paraId="096A2954"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vMerge/>
            <w:tcBorders>
              <w:bottom w:val="single" w:sz="4" w:space="0" w:color="auto"/>
            </w:tcBorders>
            <w:shd w:val="clear" w:color="auto" w:fill="auto"/>
            <w:vAlign w:val="center"/>
            <w:hideMark/>
          </w:tcPr>
          <w:p w14:paraId="48C03E94"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7299FC4A" w14:textId="77777777" w:rsidTr="001706B5">
        <w:trPr>
          <w:trHeight w:val="310"/>
        </w:trPr>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tcBorders>
            <w:shd w:val="clear" w:color="auto" w:fill="auto"/>
            <w:noWrap/>
            <w:vAlign w:val="center"/>
            <w:hideMark/>
          </w:tcPr>
          <w:p w14:paraId="7623018F"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No formal education </w:t>
            </w:r>
          </w:p>
        </w:tc>
        <w:tc>
          <w:tcPr>
            <w:tcW w:w="1007" w:type="dxa"/>
            <w:tcBorders>
              <w:top w:val="single" w:sz="4" w:space="0" w:color="auto"/>
            </w:tcBorders>
            <w:shd w:val="clear" w:color="auto" w:fill="auto"/>
            <w:noWrap/>
            <w:vAlign w:val="center"/>
            <w:hideMark/>
          </w:tcPr>
          <w:p w14:paraId="37FFC0BD"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w:t>
            </w:r>
          </w:p>
        </w:tc>
        <w:tc>
          <w:tcPr>
            <w:tcW w:w="1090" w:type="dxa"/>
            <w:tcBorders>
              <w:top w:val="single" w:sz="4" w:space="0" w:color="auto"/>
            </w:tcBorders>
            <w:shd w:val="clear" w:color="auto" w:fill="auto"/>
            <w:noWrap/>
            <w:vAlign w:val="center"/>
            <w:hideMark/>
          </w:tcPr>
          <w:p w14:paraId="6991DAD0"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w:t>
            </w:r>
          </w:p>
        </w:tc>
        <w:tc>
          <w:tcPr>
            <w:tcW w:w="1516" w:type="dxa"/>
            <w:tcBorders>
              <w:top w:val="single" w:sz="4" w:space="0" w:color="auto"/>
            </w:tcBorders>
            <w:shd w:val="clear" w:color="auto" w:fill="auto"/>
            <w:noWrap/>
            <w:vAlign w:val="center"/>
            <w:hideMark/>
          </w:tcPr>
          <w:p w14:paraId="1B845AB2"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8</w:t>
            </w:r>
          </w:p>
        </w:tc>
        <w:tc>
          <w:tcPr>
            <w:tcW w:w="1128" w:type="dxa"/>
            <w:tcBorders>
              <w:top w:val="single" w:sz="4" w:space="0" w:color="auto"/>
            </w:tcBorders>
            <w:shd w:val="clear" w:color="auto" w:fill="auto"/>
            <w:noWrap/>
            <w:vAlign w:val="center"/>
            <w:hideMark/>
          </w:tcPr>
          <w:p w14:paraId="3F981F2D"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w:t>
            </w:r>
          </w:p>
        </w:tc>
        <w:tc>
          <w:tcPr>
            <w:tcW w:w="852" w:type="dxa"/>
            <w:tcBorders>
              <w:top w:val="single" w:sz="4" w:space="0" w:color="auto"/>
            </w:tcBorders>
            <w:shd w:val="clear" w:color="auto" w:fill="auto"/>
            <w:noWrap/>
            <w:vAlign w:val="center"/>
            <w:hideMark/>
          </w:tcPr>
          <w:p w14:paraId="49F0EA3F"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14.00</w:t>
            </w:r>
          </w:p>
        </w:tc>
        <w:tc>
          <w:tcPr>
            <w:tcW w:w="1135" w:type="dxa"/>
            <w:tcBorders>
              <w:top w:val="single" w:sz="4" w:space="0" w:color="auto"/>
            </w:tcBorders>
            <w:shd w:val="clear" w:color="auto" w:fill="auto"/>
            <w:noWrap/>
            <w:hideMark/>
          </w:tcPr>
          <w:p w14:paraId="3A57581E"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20.549</w:t>
            </w:r>
          </w:p>
        </w:tc>
        <w:tc>
          <w:tcPr>
            <w:tcW w:w="1000" w:type="dxa"/>
            <w:tcBorders>
              <w:top w:val="single" w:sz="4" w:space="0" w:color="auto"/>
            </w:tcBorders>
            <w:shd w:val="clear" w:color="auto" w:fill="auto"/>
            <w:noWrap/>
            <w:hideMark/>
          </w:tcPr>
          <w:p w14:paraId="43DC3996"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0.152</w:t>
            </w:r>
          </w:p>
        </w:tc>
      </w:tr>
      <w:tr w:rsidR="008071B7" w:rsidRPr="00DC016F" w14:paraId="0CE72034" w14:textId="77777777" w:rsidTr="001706B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1870AA0E"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Primary School </w:t>
            </w:r>
          </w:p>
        </w:tc>
        <w:tc>
          <w:tcPr>
            <w:tcW w:w="1007" w:type="dxa"/>
            <w:shd w:val="clear" w:color="auto" w:fill="auto"/>
            <w:noWrap/>
            <w:vAlign w:val="center"/>
            <w:hideMark/>
          </w:tcPr>
          <w:p w14:paraId="3538A8A3"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090" w:type="dxa"/>
            <w:shd w:val="clear" w:color="auto" w:fill="auto"/>
            <w:noWrap/>
            <w:vAlign w:val="center"/>
            <w:hideMark/>
          </w:tcPr>
          <w:p w14:paraId="59AA4EFA"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516" w:type="dxa"/>
            <w:shd w:val="clear" w:color="auto" w:fill="auto"/>
            <w:noWrap/>
            <w:vAlign w:val="center"/>
            <w:hideMark/>
          </w:tcPr>
          <w:p w14:paraId="75A4BDE2"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9</w:t>
            </w:r>
          </w:p>
        </w:tc>
        <w:tc>
          <w:tcPr>
            <w:tcW w:w="1128" w:type="dxa"/>
            <w:shd w:val="clear" w:color="auto" w:fill="auto"/>
            <w:noWrap/>
            <w:vAlign w:val="center"/>
            <w:hideMark/>
          </w:tcPr>
          <w:p w14:paraId="4C158AFA"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852" w:type="dxa"/>
            <w:shd w:val="clear" w:color="auto" w:fill="auto"/>
            <w:noWrap/>
            <w:vAlign w:val="center"/>
            <w:hideMark/>
          </w:tcPr>
          <w:p w14:paraId="718166AB"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12.00</w:t>
            </w:r>
          </w:p>
        </w:tc>
        <w:tc>
          <w:tcPr>
            <w:tcW w:w="1135" w:type="dxa"/>
            <w:shd w:val="clear" w:color="auto" w:fill="auto"/>
            <w:noWrap/>
            <w:hideMark/>
          </w:tcPr>
          <w:p w14:paraId="0C4CA3C3"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shd w:val="clear" w:color="auto" w:fill="auto"/>
            <w:noWrap/>
            <w:hideMark/>
          </w:tcPr>
          <w:p w14:paraId="73332A35"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4D687238" w14:textId="77777777" w:rsidTr="001706B5">
        <w:trPr>
          <w:trHeight w:val="310"/>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19CB2291"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Junior Secondary School </w:t>
            </w:r>
          </w:p>
        </w:tc>
        <w:tc>
          <w:tcPr>
            <w:tcW w:w="1007" w:type="dxa"/>
            <w:shd w:val="clear" w:color="auto" w:fill="auto"/>
            <w:noWrap/>
            <w:vAlign w:val="center"/>
            <w:hideMark/>
          </w:tcPr>
          <w:p w14:paraId="20F9C695"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090" w:type="dxa"/>
            <w:shd w:val="clear" w:color="auto" w:fill="auto"/>
            <w:noWrap/>
            <w:vAlign w:val="center"/>
            <w:hideMark/>
          </w:tcPr>
          <w:p w14:paraId="2943F48F"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w:t>
            </w:r>
          </w:p>
        </w:tc>
        <w:tc>
          <w:tcPr>
            <w:tcW w:w="1516" w:type="dxa"/>
            <w:shd w:val="clear" w:color="auto" w:fill="auto"/>
            <w:noWrap/>
            <w:vAlign w:val="center"/>
            <w:hideMark/>
          </w:tcPr>
          <w:p w14:paraId="2F09CECB"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10</w:t>
            </w:r>
          </w:p>
        </w:tc>
        <w:tc>
          <w:tcPr>
            <w:tcW w:w="1128" w:type="dxa"/>
            <w:shd w:val="clear" w:color="auto" w:fill="auto"/>
            <w:noWrap/>
            <w:vAlign w:val="center"/>
            <w:hideMark/>
          </w:tcPr>
          <w:p w14:paraId="264F081B"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852" w:type="dxa"/>
            <w:shd w:val="clear" w:color="auto" w:fill="auto"/>
            <w:noWrap/>
            <w:vAlign w:val="center"/>
            <w:hideMark/>
          </w:tcPr>
          <w:p w14:paraId="40F6BCCA"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13.00</w:t>
            </w:r>
          </w:p>
        </w:tc>
        <w:tc>
          <w:tcPr>
            <w:tcW w:w="1135" w:type="dxa"/>
            <w:shd w:val="clear" w:color="auto" w:fill="auto"/>
            <w:noWrap/>
            <w:hideMark/>
          </w:tcPr>
          <w:p w14:paraId="54B56813"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000" w:type="dxa"/>
            <w:shd w:val="clear" w:color="auto" w:fill="auto"/>
            <w:noWrap/>
            <w:hideMark/>
          </w:tcPr>
          <w:p w14:paraId="4E6680CF"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r>
      <w:tr w:rsidR="008071B7" w:rsidRPr="00DC016F" w14:paraId="6BE0DD80" w14:textId="77777777" w:rsidTr="001706B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3AF2B333"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Senior Secondary </w:t>
            </w:r>
          </w:p>
        </w:tc>
        <w:tc>
          <w:tcPr>
            <w:tcW w:w="1007" w:type="dxa"/>
            <w:shd w:val="clear" w:color="auto" w:fill="auto"/>
            <w:noWrap/>
            <w:vAlign w:val="center"/>
            <w:hideMark/>
          </w:tcPr>
          <w:p w14:paraId="0BD171BD"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090" w:type="dxa"/>
            <w:shd w:val="clear" w:color="auto" w:fill="auto"/>
            <w:noWrap/>
            <w:vAlign w:val="center"/>
            <w:hideMark/>
          </w:tcPr>
          <w:p w14:paraId="7D051AB3"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516" w:type="dxa"/>
            <w:shd w:val="clear" w:color="auto" w:fill="auto"/>
            <w:noWrap/>
            <w:vAlign w:val="center"/>
            <w:hideMark/>
          </w:tcPr>
          <w:p w14:paraId="47DE4A53"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28</w:t>
            </w:r>
          </w:p>
        </w:tc>
        <w:tc>
          <w:tcPr>
            <w:tcW w:w="1128" w:type="dxa"/>
            <w:shd w:val="clear" w:color="auto" w:fill="auto"/>
            <w:noWrap/>
            <w:vAlign w:val="center"/>
            <w:hideMark/>
          </w:tcPr>
          <w:p w14:paraId="35D63163"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852" w:type="dxa"/>
            <w:shd w:val="clear" w:color="auto" w:fill="auto"/>
            <w:noWrap/>
            <w:vAlign w:val="center"/>
            <w:hideMark/>
          </w:tcPr>
          <w:p w14:paraId="753177A2"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29.00</w:t>
            </w:r>
          </w:p>
        </w:tc>
        <w:tc>
          <w:tcPr>
            <w:tcW w:w="1135" w:type="dxa"/>
            <w:shd w:val="clear" w:color="auto" w:fill="auto"/>
            <w:noWrap/>
            <w:hideMark/>
          </w:tcPr>
          <w:p w14:paraId="05C7656F"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shd w:val="clear" w:color="auto" w:fill="auto"/>
            <w:noWrap/>
            <w:hideMark/>
          </w:tcPr>
          <w:p w14:paraId="4D8B163C"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0D36F81C" w14:textId="77777777" w:rsidTr="001706B5">
        <w:trPr>
          <w:trHeight w:val="310"/>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2C9E724F"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Post-Secondary School </w:t>
            </w:r>
          </w:p>
        </w:tc>
        <w:tc>
          <w:tcPr>
            <w:tcW w:w="1007" w:type="dxa"/>
            <w:shd w:val="clear" w:color="auto" w:fill="auto"/>
            <w:noWrap/>
            <w:vAlign w:val="center"/>
            <w:hideMark/>
          </w:tcPr>
          <w:p w14:paraId="55940F73"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090" w:type="dxa"/>
            <w:shd w:val="clear" w:color="auto" w:fill="auto"/>
            <w:noWrap/>
            <w:vAlign w:val="center"/>
            <w:hideMark/>
          </w:tcPr>
          <w:p w14:paraId="2C2184F2"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516" w:type="dxa"/>
            <w:shd w:val="clear" w:color="auto" w:fill="auto"/>
            <w:noWrap/>
            <w:vAlign w:val="center"/>
            <w:hideMark/>
          </w:tcPr>
          <w:p w14:paraId="1CF60D69"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17</w:t>
            </w:r>
          </w:p>
        </w:tc>
        <w:tc>
          <w:tcPr>
            <w:tcW w:w="1128" w:type="dxa"/>
            <w:shd w:val="clear" w:color="auto" w:fill="auto"/>
            <w:noWrap/>
            <w:vAlign w:val="center"/>
            <w:hideMark/>
          </w:tcPr>
          <w:p w14:paraId="266D324A"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852" w:type="dxa"/>
            <w:shd w:val="clear" w:color="auto" w:fill="auto"/>
            <w:noWrap/>
            <w:vAlign w:val="center"/>
            <w:hideMark/>
          </w:tcPr>
          <w:p w14:paraId="462EFCC0"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19.00</w:t>
            </w:r>
          </w:p>
        </w:tc>
        <w:tc>
          <w:tcPr>
            <w:tcW w:w="1135" w:type="dxa"/>
            <w:shd w:val="clear" w:color="auto" w:fill="auto"/>
            <w:noWrap/>
            <w:hideMark/>
          </w:tcPr>
          <w:p w14:paraId="13A3309D"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000" w:type="dxa"/>
            <w:shd w:val="clear" w:color="auto" w:fill="auto"/>
            <w:noWrap/>
            <w:hideMark/>
          </w:tcPr>
          <w:p w14:paraId="768CA8DC"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r>
      <w:tr w:rsidR="008071B7" w:rsidRPr="00DC016F" w14:paraId="3D3A9A3B" w14:textId="77777777" w:rsidTr="001706B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10D90B23"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Graduate</w:t>
            </w:r>
          </w:p>
        </w:tc>
        <w:tc>
          <w:tcPr>
            <w:tcW w:w="1007" w:type="dxa"/>
            <w:shd w:val="clear" w:color="auto" w:fill="auto"/>
            <w:noWrap/>
            <w:vAlign w:val="center"/>
            <w:hideMark/>
          </w:tcPr>
          <w:p w14:paraId="718D03B2"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090" w:type="dxa"/>
            <w:shd w:val="clear" w:color="auto" w:fill="auto"/>
            <w:noWrap/>
            <w:vAlign w:val="center"/>
            <w:hideMark/>
          </w:tcPr>
          <w:p w14:paraId="49D3B687"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shd w:val="clear" w:color="auto" w:fill="auto"/>
            <w:noWrap/>
            <w:vAlign w:val="center"/>
            <w:hideMark/>
          </w:tcPr>
          <w:p w14:paraId="5A0E446A"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1128" w:type="dxa"/>
            <w:shd w:val="clear" w:color="auto" w:fill="auto"/>
            <w:noWrap/>
            <w:vAlign w:val="center"/>
            <w:hideMark/>
          </w:tcPr>
          <w:p w14:paraId="70637B82"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852" w:type="dxa"/>
            <w:shd w:val="clear" w:color="auto" w:fill="auto"/>
            <w:noWrap/>
            <w:vAlign w:val="center"/>
            <w:hideMark/>
          </w:tcPr>
          <w:p w14:paraId="338624BC"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13.00</w:t>
            </w:r>
          </w:p>
        </w:tc>
        <w:tc>
          <w:tcPr>
            <w:tcW w:w="1135" w:type="dxa"/>
            <w:shd w:val="clear" w:color="auto" w:fill="auto"/>
            <w:noWrap/>
            <w:hideMark/>
          </w:tcPr>
          <w:p w14:paraId="3C3C1989"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shd w:val="clear" w:color="auto" w:fill="auto"/>
            <w:noWrap/>
            <w:hideMark/>
          </w:tcPr>
          <w:p w14:paraId="68AC836B"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bl>
    <w:p w14:paraId="0277046F" w14:textId="77777777" w:rsidR="005B20B1" w:rsidRPr="00DC016F" w:rsidRDefault="005B20B1" w:rsidP="00FD59DA">
      <w:pPr>
        <w:spacing w:line="240" w:lineRule="auto"/>
        <w:jc w:val="both"/>
        <w:rPr>
          <w:rFonts w:ascii="Arial" w:hAnsi="Arial" w:cs="Arial"/>
          <w:b/>
        </w:rPr>
      </w:pPr>
    </w:p>
    <w:p w14:paraId="195CF3C0" w14:textId="77777777" w:rsidR="00AA541A" w:rsidRPr="00DC016F" w:rsidRDefault="00AA541A" w:rsidP="00FD59DA">
      <w:pPr>
        <w:pStyle w:val="Caption"/>
        <w:spacing w:line="240" w:lineRule="auto"/>
        <w:rPr>
          <w:rFonts w:ascii="Arial" w:hAnsi="Arial" w:cs="Arial"/>
          <w:b/>
          <w:sz w:val="22"/>
          <w:szCs w:val="22"/>
        </w:rPr>
      </w:pPr>
      <w:bookmarkStart w:id="50" w:name="_Toc85539276"/>
    </w:p>
    <w:p w14:paraId="7B63B5DD" w14:textId="77777777" w:rsidR="00AA541A" w:rsidRPr="00DC016F" w:rsidRDefault="00AA541A" w:rsidP="00FD59DA">
      <w:pPr>
        <w:pStyle w:val="Caption"/>
        <w:spacing w:line="240" w:lineRule="auto"/>
        <w:rPr>
          <w:rFonts w:ascii="Arial" w:hAnsi="Arial" w:cs="Arial"/>
          <w:b/>
          <w:sz w:val="22"/>
          <w:szCs w:val="22"/>
        </w:rPr>
      </w:pPr>
    </w:p>
    <w:p w14:paraId="5A980317" w14:textId="77777777" w:rsidR="00AA541A" w:rsidRPr="00DC016F" w:rsidRDefault="00AA541A" w:rsidP="00FD59DA">
      <w:pPr>
        <w:pStyle w:val="Caption"/>
        <w:spacing w:line="240" w:lineRule="auto"/>
        <w:rPr>
          <w:rFonts w:ascii="Arial" w:hAnsi="Arial" w:cs="Arial"/>
          <w:b/>
          <w:sz w:val="22"/>
          <w:szCs w:val="22"/>
        </w:rPr>
      </w:pPr>
    </w:p>
    <w:p w14:paraId="7854333B" w14:textId="77777777" w:rsidR="00AA541A" w:rsidRPr="00DC016F" w:rsidRDefault="00AA541A" w:rsidP="00FD59DA">
      <w:pPr>
        <w:pStyle w:val="Caption"/>
        <w:spacing w:line="240" w:lineRule="auto"/>
        <w:rPr>
          <w:rFonts w:ascii="Arial" w:hAnsi="Arial" w:cs="Arial"/>
          <w:b/>
          <w:sz w:val="22"/>
          <w:szCs w:val="22"/>
        </w:rPr>
      </w:pPr>
    </w:p>
    <w:p w14:paraId="617C3C7B" w14:textId="77777777" w:rsidR="00AA541A" w:rsidRPr="00DC016F" w:rsidRDefault="00AA541A" w:rsidP="00FD59DA">
      <w:pPr>
        <w:pStyle w:val="Caption"/>
        <w:spacing w:line="240" w:lineRule="auto"/>
        <w:rPr>
          <w:rFonts w:ascii="Arial" w:hAnsi="Arial" w:cs="Arial"/>
          <w:b/>
          <w:sz w:val="22"/>
          <w:szCs w:val="22"/>
        </w:rPr>
      </w:pPr>
    </w:p>
    <w:p w14:paraId="210DC9F7" w14:textId="77777777" w:rsidR="00AA541A" w:rsidRPr="00DC016F" w:rsidRDefault="00AA541A" w:rsidP="00FD59DA">
      <w:pPr>
        <w:pStyle w:val="Caption"/>
        <w:spacing w:line="240" w:lineRule="auto"/>
        <w:rPr>
          <w:rFonts w:ascii="Arial" w:hAnsi="Arial" w:cs="Arial"/>
          <w:b/>
          <w:sz w:val="22"/>
          <w:szCs w:val="22"/>
        </w:rPr>
      </w:pPr>
    </w:p>
    <w:p w14:paraId="795D22B1" w14:textId="77777777" w:rsidR="00AA541A" w:rsidRPr="00DC016F" w:rsidRDefault="00AA541A" w:rsidP="00FD59DA">
      <w:pPr>
        <w:pStyle w:val="Caption"/>
        <w:spacing w:line="240" w:lineRule="auto"/>
        <w:rPr>
          <w:rFonts w:ascii="Arial" w:hAnsi="Arial" w:cs="Arial"/>
          <w:b/>
          <w:sz w:val="22"/>
          <w:szCs w:val="22"/>
        </w:rPr>
      </w:pPr>
    </w:p>
    <w:p w14:paraId="2AF1B7E5" w14:textId="015411A3" w:rsidR="005B20B1" w:rsidRPr="00DC016F" w:rsidRDefault="005B20B1" w:rsidP="00FD59DA">
      <w:pPr>
        <w:pStyle w:val="Caption"/>
        <w:spacing w:line="240" w:lineRule="auto"/>
        <w:rPr>
          <w:rFonts w:ascii="Arial" w:hAnsi="Arial" w:cs="Arial"/>
          <w:b/>
          <w:sz w:val="22"/>
          <w:szCs w:val="22"/>
        </w:rPr>
      </w:pPr>
      <w:r w:rsidRPr="00DC016F">
        <w:rPr>
          <w:rFonts w:ascii="Arial" w:hAnsi="Arial" w:cs="Arial"/>
          <w:b/>
          <w:sz w:val="22"/>
          <w:szCs w:val="22"/>
        </w:rPr>
        <w:lastRenderedPageBreak/>
        <w:t xml:space="preserve">Table </w:t>
      </w:r>
      <w:r w:rsidRPr="00DC016F">
        <w:rPr>
          <w:rFonts w:ascii="Arial" w:hAnsi="Arial" w:cs="Arial"/>
          <w:b/>
          <w:sz w:val="22"/>
          <w:szCs w:val="22"/>
        </w:rPr>
        <w:fldChar w:fldCharType="begin"/>
      </w:r>
      <w:r w:rsidRPr="00DC016F">
        <w:rPr>
          <w:rFonts w:ascii="Arial" w:hAnsi="Arial" w:cs="Arial"/>
          <w:b/>
          <w:sz w:val="22"/>
          <w:szCs w:val="22"/>
        </w:rPr>
        <w:instrText xml:space="preserve"> SEQ Table_4. \* ARABIC </w:instrText>
      </w:r>
      <w:r w:rsidRPr="00DC016F">
        <w:rPr>
          <w:rFonts w:ascii="Arial" w:hAnsi="Arial" w:cs="Arial"/>
          <w:b/>
          <w:sz w:val="22"/>
          <w:szCs w:val="22"/>
        </w:rPr>
        <w:fldChar w:fldCharType="separate"/>
      </w:r>
      <w:r w:rsidRPr="00DC016F">
        <w:rPr>
          <w:rFonts w:ascii="Arial" w:hAnsi="Arial" w:cs="Arial"/>
          <w:b/>
          <w:noProof/>
          <w:sz w:val="22"/>
          <w:szCs w:val="22"/>
        </w:rPr>
        <w:t>8</w:t>
      </w:r>
      <w:r w:rsidRPr="00DC016F">
        <w:rPr>
          <w:rFonts w:ascii="Arial" w:hAnsi="Arial" w:cs="Arial"/>
          <w:b/>
          <w:sz w:val="22"/>
          <w:szCs w:val="22"/>
        </w:rPr>
        <w:fldChar w:fldCharType="end"/>
      </w:r>
      <w:r w:rsidR="007A5D08">
        <w:rPr>
          <w:rStyle w:val="fontstyle01"/>
          <w:rFonts w:ascii="Arial" w:hAnsi="Arial" w:cs="Arial"/>
          <w:b/>
          <w:color w:val="auto"/>
          <w:sz w:val="22"/>
          <w:szCs w:val="22"/>
        </w:rPr>
        <w:t>: Relationship Between Nutritional Status and Estimated Household I</w:t>
      </w:r>
      <w:r w:rsidRPr="00DC016F">
        <w:rPr>
          <w:rStyle w:val="fontstyle01"/>
          <w:rFonts w:ascii="Arial" w:hAnsi="Arial" w:cs="Arial"/>
          <w:b/>
          <w:color w:val="auto"/>
          <w:sz w:val="22"/>
          <w:szCs w:val="22"/>
        </w:rPr>
        <w:t xml:space="preserve">ncome of </w:t>
      </w:r>
      <w:r w:rsidR="007A5D08" w:rsidRPr="00DC016F">
        <w:rPr>
          <w:rStyle w:val="fontstyle01"/>
          <w:rFonts w:ascii="Arial" w:hAnsi="Arial" w:cs="Arial"/>
          <w:b/>
          <w:color w:val="auto"/>
          <w:sz w:val="22"/>
          <w:szCs w:val="22"/>
        </w:rPr>
        <w:t>Under-Five Maternal Parents</w:t>
      </w:r>
      <w:r w:rsidRPr="00DC016F">
        <w:rPr>
          <w:rStyle w:val="fontstyle01"/>
          <w:rFonts w:ascii="Arial" w:hAnsi="Arial" w:cs="Arial"/>
          <w:b/>
          <w:color w:val="auto"/>
          <w:sz w:val="22"/>
          <w:szCs w:val="22"/>
        </w:rPr>
        <w:t xml:space="preserve"> (</w:t>
      </w:r>
      <w:r w:rsidRPr="00DC016F">
        <w:rPr>
          <w:rStyle w:val="fontstyle01"/>
          <w:rFonts w:ascii="Arial" w:hAnsi="Arial" w:cs="Arial"/>
          <w:b/>
          <w:i/>
          <w:color w:val="auto"/>
          <w:sz w:val="22"/>
          <w:szCs w:val="22"/>
        </w:rPr>
        <w:t>n</w:t>
      </w:r>
      <w:r w:rsidRPr="00DC016F">
        <w:rPr>
          <w:rStyle w:val="fontstyle21"/>
          <w:rFonts w:ascii="Arial" w:hAnsi="Arial" w:cs="Arial"/>
          <w:color w:val="auto"/>
          <w:sz w:val="22"/>
          <w:szCs w:val="22"/>
        </w:rPr>
        <w:t>=</w:t>
      </w:r>
      <w:r w:rsidRPr="00DC016F">
        <w:rPr>
          <w:rStyle w:val="fontstyle01"/>
          <w:rFonts w:ascii="Arial" w:hAnsi="Arial" w:cs="Arial"/>
          <w:b/>
          <w:color w:val="auto"/>
          <w:sz w:val="22"/>
          <w:szCs w:val="22"/>
        </w:rPr>
        <w:t>100)</w:t>
      </w:r>
      <w:bookmarkEnd w:id="50"/>
    </w:p>
    <w:tbl>
      <w:tblPr>
        <w:tblStyle w:val="LightShading1"/>
        <w:tblW w:w="10233" w:type="dxa"/>
        <w:tblInd w:w="-252" w:type="dxa"/>
        <w:tblLook w:val="04A0" w:firstRow="1" w:lastRow="0" w:firstColumn="1" w:lastColumn="0" w:noHBand="0" w:noVBand="1"/>
      </w:tblPr>
      <w:tblGrid>
        <w:gridCol w:w="2475"/>
        <w:gridCol w:w="1011"/>
        <w:gridCol w:w="1094"/>
        <w:gridCol w:w="1524"/>
        <w:gridCol w:w="1132"/>
        <w:gridCol w:w="856"/>
        <w:gridCol w:w="1139"/>
        <w:gridCol w:w="1003"/>
      </w:tblGrid>
      <w:tr w:rsidR="008071B7" w:rsidRPr="00DC016F" w14:paraId="4C18DC4A" w14:textId="77777777" w:rsidTr="001706B5">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475" w:type="dxa"/>
            <w:vMerge w:val="restart"/>
            <w:shd w:val="clear" w:color="auto" w:fill="auto"/>
            <w:noWrap/>
            <w:vAlign w:val="center"/>
            <w:hideMark/>
          </w:tcPr>
          <w:p w14:paraId="16288E0F" w14:textId="77777777" w:rsidR="005B20B1" w:rsidRPr="00DC016F" w:rsidRDefault="005B20B1" w:rsidP="00144ADC">
            <w:pPr>
              <w:spacing w:after="0" w:line="240" w:lineRule="auto"/>
              <w:rPr>
                <w:rFonts w:ascii="Arial" w:eastAsia="Times New Roman" w:hAnsi="Arial" w:cs="Arial"/>
                <w:bCs w:val="0"/>
                <w:color w:val="auto"/>
              </w:rPr>
            </w:pPr>
            <w:r w:rsidRPr="00DC016F">
              <w:rPr>
                <w:rFonts w:ascii="Arial" w:eastAsia="Times New Roman" w:hAnsi="Arial" w:cs="Arial"/>
                <w:bCs w:val="0"/>
                <w:color w:val="auto"/>
              </w:rPr>
              <w:t>Household</w:t>
            </w:r>
          </w:p>
          <w:p w14:paraId="2CDE92F8" w14:textId="77777777" w:rsidR="005B20B1" w:rsidRPr="00DC016F" w:rsidRDefault="005B20B1" w:rsidP="00144ADC">
            <w:pPr>
              <w:spacing w:after="0" w:line="240" w:lineRule="auto"/>
              <w:rPr>
                <w:rFonts w:ascii="Arial" w:eastAsia="Times New Roman" w:hAnsi="Arial" w:cs="Arial"/>
                <w:color w:val="auto"/>
              </w:rPr>
            </w:pPr>
            <w:r w:rsidRPr="00DC016F">
              <w:rPr>
                <w:rFonts w:ascii="Arial" w:eastAsia="Times New Roman" w:hAnsi="Arial" w:cs="Arial"/>
                <w:bCs w:val="0"/>
                <w:color w:val="auto"/>
              </w:rPr>
              <w:t>Income</w:t>
            </w:r>
          </w:p>
        </w:tc>
        <w:tc>
          <w:tcPr>
            <w:tcW w:w="3628" w:type="dxa"/>
            <w:gridSpan w:val="3"/>
            <w:tcBorders>
              <w:bottom w:val="single" w:sz="4" w:space="0" w:color="auto"/>
            </w:tcBorders>
            <w:shd w:val="clear" w:color="auto" w:fill="auto"/>
            <w:noWrap/>
            <w:vAlign w:val="center"/>
            <w:hideMark/>
          </w:tcPr>
          <w:p w14:paraId="71B8EC70" w14:textId="77777777" w:rsidR="005B20B1" w:rsidRPr="00DC016F" w:rsidRDefault="005B20B1" w:rsidP="00144A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Weight-for-age (WAZ)</w:t>
            </w:r>
          </w:p>
        </w:tc>
        <w:tc>
          <w:tcPr>
            <w:tcW w:w="1132" w:type="dxa"/>
            <w:vMerge w:val="restart"/>
            <w:shd w:val="clear" w:color="auto" w:fill="auto"/>
            <w:noWrap/>
            <w:vAlign w:val="center"/>
            <w:hideMark/>
          </w:tcPr>
          <w:p w14:paraId="5E53754E" w14:textId="77777777" w:rsidR="005B20B1" w:rsidRPr="00DC016F" w:rsidRDefault="005B20B1" w:rsidP="00144AD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Total</w:t>
            </w:r>
          </w:p>
        </w:tc>
        <w:tc>
          <w:tcPr>
            <w:tcW w:w="856" w:type="dxa"/>
            <w:vMerge w:val="restart"/>
            <w:tcBorders>
              <w:right w:val="single" w:sz="4" w:space="0" w:color="FFFFFF" w:themeColor="background1"/>
            </w:tcBorders>
            <w:shd w:val="clear" w:color="auto" w:fill="auto"/>
            <w:noWrap/>
            <w:vAlign w:val="center"/>
            <w:hideMark/>
          </w:tcPr>
          <w:p w14:paraId="42C80B7A" w14:textId="77777777" w:rsidR="005B20B1" w:rsidRPr="00DC016F" w:rsidRDefault="005B20B1" w:rsidP="00144ADC">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9" w:type="dxa"/>
            <w:vMerge w:val="restart"/>
            <w:tcBorders>
              <w:left w:val="single" w:sz="4" w:space="0" w:color="FFFFFF" w:themeColor="background1"/>
            </w:tcBorders>
            <w:shd w:val="clear" w:color="auto" w:fill="auto"/>
            <w:vAlign w:val="center"/>
          </w:tcPr>
          <w:p w14:paraId="0F6D0E81" w14:textId="77777777" w:rsidR="005B20B1" w:rsidRPr="00DC016F" w:rsidRDefault="005B20B1" w:rsidP="00144A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rPr>
            </w:pPr>
            <w:r w:rsidRPr="00DC016F">
              <w:rPr>
                <w:rFonts w:ascii="Arial" w:hAnsi="Arial" w:cs="Arial"/>
                <w:color w:val="auto"/>
              </w:rPr>
              <w:t>χ</w:t>
            </w:r>
            <w:r w:rsidRPr="00DC016F">
              <w:rPr>
                <w:rFonts w:ascii="Arial" w:hAnsi="Arial" w:cs="Arial"/>
                <w:color w:val="auto"/>
                <w:vertAlign w:val="superscript"/>
              </w:rPr>
              <w:t>2</w:t>
            </w:r>
          </w:p>
        </w:tc>
        <w:tc>
          <w:tcPr>
            <w:tcW w:w="1003" w:type="dxa"/>
            <w:vMerge w:val="restart"/>
            <w:shd w:val="clear" w:color="auto" w:fill="auto"/>
            <w:noWrap/>
            <w:vAlign w:val="center"/>
            <w:hideMark/>
          </w:tcPr>
          <w:p w14:paraId="65D233C4" w14:textId="77777777" w:rsidR="005B20B1" w:rsidRPr="00DC016F" w:rsidRDefault="005B20B1" w:rsidP="00144AD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color w:val="auto"/>
              </w:rPr>
            </w:pPr>
            <w:r w:rsidRPr="00DC016F">
              <w:rPr>
                <w:rFonts w:ascii="Arial" w:eastAsia="Times New Roman" w:hAnsi="Arial" w:cs="Arial"/>
                <w:i/>
                <w:color w:val="auto"/>
              </w:rPr>
              <w:t>P-value</w:t>
            </w:r>
          </w:p>
        </w:tc>
      </w:tr>
      <w:tr w:rsidR="008071B7" w:rsidRPr="00DC016F" w14:paraId="08CD4197"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vMerge/>
            <w:shd w:val="clear" w:color="auto" w:fill="auto"/>
            <w:noWrap/>
            <w:hideMark/>
          </w:tcPr>
          <w:p w14:paraId="70C7E6E9" w14:textId="77777777" w:rsidR="005B20B1" w:rsidRPr="00DC016F" w:rsidRDefault="005B20B1" w:rsidP="00144ADC">
            <w:pPr>
              <w:spacing w:after="0" w:line="240" w:lineRule="auto"/>
              <w:rPr>
                <w:rFonts w:ascii="Arial" w:eastAsia="Times New Roman" w:hAnsi="Arial" w:cs="Arial"/>
                <w:color w:val="auto"/>
              </w:rPr>
            </w:pPr>
          </w:p>
        </w:tc>
        <w:tc>
          <w:tcPr>
            <w:tcW w:w="1011" w:type="dxa"/>
            <w:tcBorders>
              <w:top w:val="single" w:sz="4" w:space="0" w:color="auto"/>
            </w:tcBorders>
            <w:shd w:val="clear" w:color="auto" w:fill="auto"/>
            <w:vAlign w:val="center"/>
            <w:hideMark/>
          </w:tcPr>
          <w:p w14:paraId="3FF2654A"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Normal</w:t>
            </w:r>
          </w:p>
        </w:tc>
        <w:tc>
          <w:tcPr>
            <w:tcW w:w="1094" w:type="dxa"/>
            <w:tcBorders>
              <w:top w:val="single" w:sz="4" w:space="0" w:color="auto"/>
            </w:tcBorders>
            <w:shd w:val="clear" w:color="auto" w:fill="auto"/>
            <w:vAlign w:val="center"/>
            <w:hideMark/>
          </w:tcPr>
          <w:p w14:paraId="5124B068"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Under-weight</w:t>
            </w:r>
          </w:p>
        </w:tc>
        <w:tc>
          <w:tcPr>
            <w:tcW w:w="1522" w:type="dxa"/>
            <w:tcBorders>
              <w:top w:val="single" w:sz="4" w:space="0" w:color="auto"/>
            </w:tcBorders>
            <w:shd w:val="clear" w:color="auto" w:fill="auto"/>
            <w:noWrap/>
            <w:vAlign w:val="center"/>
            <w:hideMark/>
          </w:tcPr>
          <w:p w14:paraId="07906E89"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Severally underweight</w:t>
            </w:r>
          </w:p>
        </w:tc>
        <w:tc>
          <w:tcPr>
            <w:tcW w:w="1132" w:type="dxa"/>
            <w:vMerge/>
            <w:shd w:val="clear" w:color="auto" w:fill="auto"/>
            <w:noWrap/>
            <w:vAlign w:val="center"/>
            <w:hideMark/>
          </w:tcPr>
          <w:p w14:paraId="4AED2EB3"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c>
          <w:tcPr>
            <w:tcW w:w="856" w:type="dxa"/>
            <w:vMerge/>
            <w:tcBorders>
              <w:right w:val="single" w:sz="4" w:space="0" w:color="FFFFFF" w:themeColor="background1"/>
            </w:tcBorders>
            <w:shd w:val="clear" w:color="auto" w:fill="auto"/>
            <w:noWrap/>
            <w:vAlign w:val="center"/>
          </w:tcPr>
          <w:p w14:paraId="082553F6"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c>
          <w:tcPr>
            <w:tcW w:w="1139" w:type="dxa"/>
            <w:vMerge/>
            <w:tcBorders>
              <w:left w:val="single" w:sz="4" w:space="0" w:color="FFFFFF" w:themeColor="background1"/>
            </w:tcBorders>
            <w:shd w:val="clear" w:color="auto" w:fill="auto"/>
            <w:vAlign w:val="center"/>
          </w:tcPr>
          <w:p w14:paraId="1B12AA0F"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c>
          <w:tcPr>
            <w:tcW w:w="1003" w:type="dxa"/>
            <w:vMerge/>
            <w:shd w:val="clear" w:color="auto" w:fill="auto"/>
            <w:noWrap/>
            <w:vAlign w:val="center"/>
            <w:hideMark/>
          </w:tcPr>
          <w:p w14:paraId="3612C2F0"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r>
      <w:tr w:rsidR="008071B7" w:rsidRPr="00DC016F" w14:paraId="4CE75290"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tcBorders>
              <w:top w:val="single" w:sz="4" w:space="0" w:color="auto"/>
            </w:tcBorders>
            <w:shd w:val="clear" w:color="auto" w:fill="auto"/>
            <w:noWrap/>
            <w:vAlign w:val="bottom"/>
            <w:hideMark/>
          </w:tcPr>
          <w:p w14:paraId="4559ED83"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&lt;N 5,000 </w:t>
            </w:r>
          </w:p>
        </w:tc>
        <w:tc>
          <w:tcPr>
            <w:tcW w:w="1011" w:type="dxa"/>
            <w:tcBorders>
              <w:top w:val="single" w:sz="4" w:space="0" w:color="auto"/>
            </w:tcBorders>
            <w:shd w:val="clear" w:color="auto" w:fill="auto"/>
            <w:noWrap/>
            <w:vAlign w:val="center"/>
            <w:hideMark/>
          </w:tcPr>
          <w:p w14:paraId="25F98226"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6</w:t>
            </w:r>
          </w:p>
        </w:tc>
        <w:tc>
          <w:tcPr>
            <w:tcW w:w="1094" w:type="dxa"/>
            <w:tcBorders>
              <w:top w:val="single" w:sz="4" w:space="0" w:color="auto"/>
            </w:tcBorders>
            <w:shd w:val="clear" w:color="auto" w:fill="auto"/>
            <w:noWrap/>
            <w:vAlign w:val="bottom"/>
            <w:hideMark/>
          </w:tcPr>
          <w:p w14:paraId="7002B130"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522" w:type="dxa"/>
            <w:tcBorders>
              <w:top w:val="single" w:sz="4" w:space="0" w:color="auto"/>
            </w:tcBorders>
            <w:shd w:val="clear" w:color="auto" w:fill="auto"/>
            <w:noWrap/>
            <w:vAlign w:val="bottom"/>
            <w:hideMark/>
          </w:tcPr>
          <w:p w14:paraId="32545FEC"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tcBorders>
              <w:top w:val="single" w:sz="4" w:space="0" w:color="auto"/>
            </w:tcBorders>
            <w:shd w:val="clear" w:color="auto" w:fill="auto"/>
            <w:noWrap/>
            <w:vAlign w:val="bottom"/>
            <w:hideMark/>
          </w:tcPr>
          <w:p w14:paraId="69F0A059"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7.00</w:t>
            </w:r>
          </w:p>
        </w:tc>
        <w:tc>
          <w:tcPr>
            <w:tcW w:w="856" w:type="dxa"/>
            <w:tcBorders>
              <w:top w:val="single" w:sz="4" w:space="0" w:color="auto"/>
              <w:right w:val="single" w:sz="4" w:space="0" w:color="FFFFFF" w:themeColor="background1"/>
            </w:tcBorders>
            <w:shd w:val="clear" w:color="auto" w:fill="auto"/>
            <w:noWrap/>
            <w:vAlign w:val="bottom"/>
          </w:tcPr>
          <w:p w14:paraId="4F445856"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139" w:type="dxa"/>
            <w:tcBorders>
              <w:top w:val="single" w:sz="4" w:space="0" w:color="auto"/>
              <w:left w:val="single" w:sz="4" w:space="0" w:color="FFFFFF" w:themeColor="background1"/>
            </w:tcBorders>
            <w:shd w:val="clear" w:color="auto" w:fill="auto"/>
            <w:noWrap/>
            <w:vAlign w:val="bottom"/>
          </w:tcPr>
          <w:p w14:paraId="0BFDCB90"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14.3997</w:t>
            </w:r>
          </w:p>
        </w:tc>
        <w:tc>
          <w:tcPr>
            <w:tcW w:w="1003" w:type="dxa"/>
            <w:tcBorders>
              <w:top w:val="single" w:sz="4" w:space="0" w:color="auto"/>
            </w:tcBorders>
            <w:shd w:val="clear" w:color="auto" w:fill="auto"/>
            <w:noWrap/>
            <w:vAlign w:val="bottom"/>
          </w:tcPr>
          <w:p w14:paraId="22771181"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0.1555</w:t>
            </w:r>
          </w:p>
        </w:tc>
      </w:tr>
      <w:tr w:rsidR="008071B7" w:rsidRPr="00DC016F" w14:paraId="3CCBF39B"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615729D7"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5,000- N14,999 </w:t>
            </w:r>
          </w:p>
        </w:tc>
        <w:tc>
          <w:tcPr>
            <w:tcW w:w="1011" w:type="dxa"/>
            <w:shd w:val="clear" w:color="auto" w:fill="auto"/>
            <w:noWrap/>
            <w:vAlign w:val="center"/>
            <w:hideMark/>
          </w:tcPr>
          <w:p w14:paraId="67ECFA8A"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11</w:t>
            </w:r>
          </w:p>
        </w:tc>
        <w:tc>
          <w:tcPr>
            <w:tcW w:w="1094" w:type="dxa"/>
            <w:shd w:val="clear" w:color="auto" w:fill="auto"/>
            <w:noWrap/>
            <w:vAlign w:val="bottom"/>
            <w:hideMark/>
          </w:tcPr>
          <w:p w14:paraId="09546D62"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w:t>
            </w:r>
          </w:p>
        </w:tc>
        <w:tc>
          <w:tcPr>
            <w:tcW w:w="1522" w:type="dxa"/>
            <w:shd w:val="clear" w:color="auto" w:fill="auto"/>
            <w:noWrap/>
            <w:vAlign w:val="bottom"/>
            <w:hideMark/>
          </w:tcPr>
          <w:p w14:paraId="06F4F5A3"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132" w:type="dxa"/>
            <w:shd w:val="clear" w:color="auto" w:fill="auto"/>
            <w:noWrap/>
            <w:vAlign w:val="bottom"/>
            <w:hideMark/>
          </w:tcPr>
          <w:p w14:paraId="7E80280E"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14.00</w:t>
            </w:r>
          </w:p>
        </w:tc>
        <w:tc>
          <w:tcPr>
            <w:tcW w:w="856" w:type="dxa"/>
            <w:tcBorders>
              <w:right w:val="single" w:sz="4" w:space="0" w:color="FFFFFF" w:themeColor="background1"/>
            </w:tcBorders>
            <w:shd w:val="clear" w:color="auto" w:fill="auto"/>
            <w:noWrap/>
            <w:vAlign w:val="bottom"/>
          </w:tcPr>
          <w:p w14:paraId="158DA9FC"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tcBorders>
              <w:left w:val="single" w:sz="4" w:space="0" w:color="FFFFFF" w:themeColor="background1"/>
            </w:tcBorders>
            <w:shd w:val="clear" w:color="auto" w:fill="auto"/>
            <w:noWrap/>
            <w:vAlign w:val="bottom"/>
          </w:tcPr>
          <w:p w14:paraId="76BED6A0"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center"/>
          </w:tcPr>
          <w:p w14:paraId="123CAD2B"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8071B7" w:rsidRPr="00DC016F" w14:paraId="32B82F21"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774D68DB"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15,000- N 24,999 </w:t>
            </w:r>
          </w:p>
        </w:tc>
        <w:tc>
          <w:tcPr>
            <w:tcW w:w="1011" w:type="dxa"/>
            <w:shd w:val="clear" w:color="auto" w:fill="auto"/>
            <w:noWrap/>
            <w:vAlign w:val="center"/>
            <w:hideMark/>
          </w:tcPr>
          <w:p w14:paraId="6FBC9ACF"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12</w:t>
            </w:r>
          </w:p>
        </w:tc>
        <w:tc>
          <w:tcPr>
            <w:tcW w:w="1094" w:type="dxa"/>
            <w:shd w:val="clear" w:color="auto" w:fill="auto"/>
            <w:noWrap/>
            <w:vAlign w:val="bottom"/>
            <w:hideMark/>
          </w:tcPr>
          <w:p w14:paraId="318BDDC7"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522" w:type="dxa"/>
            <w:shd w:val="clear" w:color="auto" w:fill="auto"/>
            <w:noWrap/>
            <w:vAlign w:val="bottom"/>
            <w:hideMark/>
          </w:tcPr>
          <w:p w14:paraId="5DC7E865"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132" w:type="dxa"/>
            <w:shd w:val="clear" w:color="auto" w:fill="auto"/>
            <w:noWrap/>
            <w:vAlign w:val="bottom"/>
            <w:hideMark/>
          </w:tcPr>
          <w:p w14:paraId="592B4102"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14.00</w:t>
            </w:r>
          </w:p>
        </w:tc>
        <w:tc>
          <w:tcPr>
            <w:tcW w:w="856" w:type="dxa"/>
            <w:tcBorders>
              <w:right w:val="single" w:sz="4" w:space="0" w:color="FFFFFF" w:themeColor="background1"/>
            </w:tcBorders>
            <w:shd w:val="clear" w:color="auto" w:fill="auto"/>
            <w:noWrap/>
            <w:vAlign w:val="bottom"/>
          </w:tcPr>
          <w:p w14:paraId="6B69CD27"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tcBorders>
              <w:left w:val="single" w:sz="4" w:space="0" w:color="FFFFFF" w:themeColor="background1"/>
            </w:tcBorders>
            <w:shd w:val="clear" w:color="auto" w:fill="auto"/>
            <w:noWrap/>
            <w:vAlign w:val="bottom"/>
          </w:tcPr>
          <w:p w14:paraId="54F052CB"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center"/>
          </w:tcPr>
          <w:p w14:paraId="22A518E1"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8071B7" w:rsidRPr="00DC016F" w14:paraId="00777108"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5EF4D217"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25,000- N 34,999 </w:t>
            </w:r>
          </w:p>
        </w:tc>
        <w:tc>
          <w:tcPr>
            <w:tcW w:w="1011" w:type="dxa"/>
            <w:shd w:val="clear" w:color="auto" w:fill="auto"/>
            <w:noWrap/>
            <w:vAlign w:val="center"/>
            <w:hideMark/>
          </w:tcPr>
          <w:p w14:paraId="712C92AC"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16</w:t>
            </w:r>
          </w:p>
        </w:tc>
        <w:tc>
          <w:tcPr>
            <w:tcW w:w="1094" w:type="dxa"/>
            <w:shd w:val="clear" w:color="auto" w:fill="auto"/>
            <w:vAlign w:val="bottom"/>
            <w:hideMark/>
          </w:tcPr>
          <w:p w14:paraId="5603B3EA"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shd w:val="clear" w:color="auto" w:fill="auto"/>
            <w:vAlign w:val="bottom"/>
            <w:hideMark/>
          </w:tcPr>
          <w:p w14:paraId="6719F358"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shd w:val="clear" w:color="auto" w:fill="auto"/>
            <w:noWrap/>
            <w:vAlign w:val="bottom"/>
            <w:hideMark/>
          </w:tcPr>
          <w:p w14:paraId="699960EA"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16.00</w:t>
            </w:r>
          </w:p>
        </w:tc>
        <w:tc>
          <w:tcPr>
            <w:tcW w:w="856" w:type="dxa"/>
            <w:tcBorders>
              <w:right w:val="single" w:sz="4" w:space="0" w:color="FFFFFF" w:themeColor="background1"/>
            </w:tcBorders>
            <w:shd w:val="clear" w:color="auto" w:fill="auto"/>
            <w:noWrap/>
            <w:vAlign w:val="bottom"/>
          </w:tcPr>
          <w:p w14:paraId="3C27EB11"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tcBorders>
              <w:left w:val="single" w:sz="4" w:space="0" w:color="FFFFFF" w:themeColor="background1"/>
            </w:tcBorders>
            <w:shd w:val="clear" w:color="auto" w:fill="auto"/>
            <w:noWrap/>
            <w:vAlign w:val="bottom"/>
          </w:tcPr>
          <w:p w14:paraId="6271C0E4"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center"/>
          </w:tcPr>
          <w:p w14:paraId="4101E33D"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8071B7" w:rsidRPr="00DC016F" w14:paraId="558C14BB"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0137F988"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35,000- N 44,999 </w:t>
            </w:r>
          </w:p>
        </w:tc>
        <w:tc>
          <w:tcPr>
            <w:tcW w:w="1011" w:type="dxa"/>
            <w:shd w:val="clear" w:color="auto" w:fill="auto"/>
            <w:noWrap/>
            <w:vAlign w:val="bottom"/>
            <w:hideMark/>
          </w:tcPr>
          <w:p w14:paraId="5B6C7DAB"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23</w:t>
            </w:r>
          </w:p>
        </w:tc>
        <w:tc>
          <w:tcPr>
            <w:tcW w:w="1094" w:type="dxa"/>
            <w:shd w:val="clear" w:color="auto" w:fill="auto"/>
            <w:vAlign w:val="bottom"/>
            <w:hideMark/>
          </w:tcPr>
          <w:p w14:paraId="6C1DF55A"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shd w:val="clear" w:color="auto" w:fill="auto"/>
            <w:vAlign w:val="bottom"/>
            <w:hideMark/>
          </w:tcPr>
          <w:p w14:paraId="545A6253"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shd w:val="clear" w:color="auto" w:fill="auto"/>
            <w:noWrap/>
            <w:vAlign w:val="bottom"/>
            <w:hideMark/>
          </w:tcPr>
          <w:p w14:paraId="2A7AE1E5"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23.00</w:t>
            </w:r>
          </w:p>
        </w:tc>
        <w:tc>
          <w:tcPr>
            <w:tcW w:w="856" w:type="dxa"/>
            <w:tcBorders>
              <w:right w:val="single" w:sz="4" w:space="0" w:color="FFFFFF" w:themeColor="background1"/>
            </w:tcBorders>
            <w:shd w:val="clear" w:color="auto" w:fill="auto"/>
            <w:noWrap/>
            <w:vAlign w:val="bottom"/>
          </w:tcPr>
          <w:p w14:paraId="4738DC91"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tcBorders>
              <w:left w:val="single" w:sz="4" w:space="0" w:color="FFFFFF" w:themeColor="background1"/>
            </w:tcBorders>
            <w:shd w:val="clear" w:color="auto" w:fill="auto"/>
            <w:noWrap/>
            <w:vAlign w:val="bottom"/>
          </w:tcPr>
          <w:p w14:paraId="6B72805D"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bottom"/>
          </w:tcPr>
          <w:p w14:paraId="22B359E3"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8071B7" w:rsidRPr="00DC016F" w14:paraId="13AA8FF4"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tcBorders>
              <w:bottom w:val="single" w:sz="4" w:space="0" w:color="auto"/>
            </w:tcBorders>
            <w:shd w:val="clear" w:color="auto" w:fill="auto"/>
            <w:noWrap/>
            <w:vAlign w:val="bottom"/>
            <w:hideMark/>
          </w:tcPr>
          <w:p w14:paraId="7A043DC5"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N 45,000</w:t>
            </w:r>
          </w:p>
        </w:tc>
        <w:tc>
          <w:tcPr>
            <w:tcW w:w="1011" w:type="dxa"/>
            <w:tcBorders>
              <w:bottom w:val="single" w:sz="4" w:space="0" w:color="auto"/>
            </w:tcBorders>
            <w:shd w:val="clear" w:color="auto" w:fill="auto"/>
            <w:noWrap/>
            <w:vAlign w:val="bottom"/>
            <w:hideMark/>
          </w:tcPr>
          <w:p w14:paraId="0FC2A7BB"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26</w:t>
            </w:r>
          </w:p>
        </w:tc>
        <w:tc>
          <w:tcPr>
            <w:tcW w:w="1094" w:type="dxa"/>
            <w:tcBorders>
              <w:bottom w:val="single" w:sz="4" w:space="0" w:color="auto"/>
            </w:tcBorders>
            <w:shd w:val="clear" w:color="auto" w:fill="auto"/>
            <w:noWrap/>
            <w:vAlign w:val="bottom"/>
            <w:hideMark/>
          </w:tcPr>
          <w:p w14:paraId="39A95978"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tcBorders>
              <w:bottom w:val="single" w:sz="4" w:space="0" w:color="auto"/>
            </w:tcBorders>
            <w:shd w:val="clear" w:color="auto" w:fill="auto"/>
            <w:noWrap/>
            <w:vAlign w:val="bottom"/>
            <w:hideMark/>
          </w:tcPr>
          <w:p w14:paraId="30DA34B3"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tcBorders>
              <w:bottom w:val="single" w:sz="4" w:space="0" w:color="auto"/>
            </w:tcBorders>
            <w:shd w:val="clear" w:color="auto" w:fill="auto"/>
            <w:noWrap/>
            <w:vAlign w:val="bottom"/>
            <w:hideMark/>
          </w:tcPr>
          <w:p w14:paraId="3E248447"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26.00</w:t>
            </w:r>
          </w:p>
        </w:tc>
        <w:tc>
          <w:tcPr>
            <w:tcW w:w="856" w:type="dxa"/>
            <w:tcBorders>
              <w:bottom w:val="single" w:sz="4" w:space="0" w:color="auto"/>
              <w:right w:val="single" w:sz="4" w:space="0" w:color="FFFFFF" w:themeColor="background1"/>
            </w:tcBorders>
            <w:shd w:val="clear" w:color="auto" w:fill="auto"/>
            <w:noWrap/>
            <w:vAlign w:val="bottom"/>
          </w:tcPr>
          <w:p w14:paraId="19F37C0D"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tcBorders>
              <w:left w:val="single" w:sz="4" w:space="0" w:color="FFFFFF" w:themeColor="background1"/>
              <w:bottom w:val="single" w:sz="4" w:space="0" w:color="auto"/>
            </w:tcBorders>
            <w:shd w:val="clear" w:color="auto" w:fill="auto"/>
            <w:noWrap/>
            <w:vAlign w:val="bottom"/>
          </w:tcPr>
          <w:p w14:paraId="2CEAB38C"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tcBorders>
              <w:bottom w:val="single" w:sz="4" w:space="0" w:color="auto"/>
            </w:tcBorders>
            <w:shd w:val="clear" w:color="auto" w:fill="auto"/>
            <w:noWrap/>
            <w:vAlign w:val="bottom"/>
          </w:tcPr>
          <w:p w14:paraId="42F6DDDF"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8071B7" w:rsidRPr="00DC016F" w14:paraId="13B16A08"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tcBorders>
              <w:top w:val="single" w:sz="4" w:space="0" w:color="auto"/>
            </w:tcBorders>
            <w:shd w:val="clear" w:color="auto" w:fill="auto"/>
            <w:noWrap/>
            <w:hideMark/>
          </w:tcPr>
          <w:p w14:paraId="11613240" w14:textId="77777777" w:rsidR="005B20B1" w:rsidRPr="00DC016F" w:rsidRDefault="005B20B1" w:rsidP="00144ADC">
            <w:pPr>
              <w:spacing w:after="0" w:line="240" w:lineRule="auto"/>
              <w:rPr>
                <w:rFonts w:ascii="Arial" w:eastAsia="Times New Roman" w:hAnsi="Arial" w:cs="Arial"/>
                <w:b w:val="0"/>
                <w:color w:val="auto"/>
              </w:rPr>
            </w:pPr>
          </w:p>
        </w:tc>
        <w:tc>
          <w:tcPr>
            <w:tcW w:w="3628" w:type="dxa"/>
            <w:gridSpan w:val="3"/>
            <w:tcBorders>
              <w:top w:val="single" w:sz="4" w:space="0" w:color="auto"/>
              <w:bottom w:val="single" w:sz="4" w:space="0" w:color="auto"/>
            </w:tcBorders>
            <w:shd w:val="clear" w:color="auto" w:fill="auto"/>
            <w:vAlign w:val="center"/>
            <w:hideMark/>
          </w:tcPr>
          <w:p w14:paraId="58D173FA"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rPr>
            </w:pPr>
            <w:r w:rsidRPr="00DC016F">
              <w:rPr>
                <w:rFonts w:ascii="Arial" w:eastAsia="Times New Roman" w:hAnsi="Arial" w:cs="Arial"/>
                <w:b/>
                <w:bCs/>
                <w:color w:val="auto"/>
              </w:rPr>
              <w:t>Height-for-age (HAZ)</w:t>
            </w:r>
          </w:p>
        </w:tc>
        <w:tc>
          <w:tcPr>
            <w:tcW w:w="1132" w:type="dxa"/>
            <w:vMerge w:val="restart"/>
            <w:tcBorders>
              <w:top w:val="single" w:sz="4" w:space="0" w:color="auto"/>
            </w:tcBorders>
            <w:shd w:val="clear" w:color="auto" w:fill="auto"/>
            <w:noWrap/>
            <w:vAlign w:val="center"/>
            <w:hideMark/>
          </w:tcPr>
          <w:p w14:paraId="765B1688"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color w:val="auto"/>
              </w:rPr>
              <w:t>Total</w:t>
            </w:r>
          </w:p>
        </w:tc>
        <w:tc>
          <w:tcPr>
            <w:tcW w:w="856" w:type="dxa"/>
            <w:tcBorders>
              <w:top w:val="single" w:sz="4" w:space="0" w:color="auto"/>
            </w:tcBorders>
            <w:shd w:val="clear" w:color="auto" w:fill="auto"/>
            <w:noWrap/>
          </w:tcPr>
          <w:p w14:paraId="1F7C6202"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9" w:type="dxa"/>
            <w:vMerge w:val="restart"/>
            <w:tcBorders>
              <w:top w:val="single" w:sz="4" w:space="0" w:color="auto"/>
            </w:tcBorders>
            <w:shd w:val="clear" w:color="auto" w:fill="auto"/>
            <w:noWrap/>
            <w:vAlign w:val="center"/>
          </w:tcPr>
          <w:p w14:paraId="01C8B149"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hAnsi="Arial" w:cs="Arial"/>
                <w:b/>
                <w:color w:val="auto"/>
              </w:rPr>
              <w:t>χ</w:t>
            </w:r>
            <w:r w:rsidRPr="00DC016F">
              <w:rPr>
                <w:rFonts w:ascii="Arial" w:hAnsi="Arial" w:cs="Arial"/>
                <w:b/>
                <w:color w:val="auto"/>
                <w:vertAlign w:val="superscript"/>
              </w:rPr>
              <w:t>2</w:t>
            </w:r>
          </w:p>
        </w:tc>
        <w:tc>
          <w:tcPr>
            <w:tcW w:w="1003" w:type="dxa"/>
            <w:vMerge w:val="restart"/>
            <w:tcBorders>
              <w:top w:val="single" w:sz="4" w:space="0" w:color="auto"/>
            </w:tcBorders>
            <w:shd w:val="clear" w:color="auto" w:fill="auto"/>
            <w:noWrap/>
            <w:vAlign w:val="center"/>
            <w:hideMark/>
          </w:tcPr>
          <w:p w14:paraId="0B45E6BC"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i/>
                <w:color w:val="auto"/>
              </w:rPr>
              <w:t>P-value</w:t>
            </w:r>
          </w:p>
        </w:tc>
      </w:tr>
      <w:tr w:rsidR="008071B7" w:rsidRPr="00DC016F" w14:paraId="52F5FC7D"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tcBorders>
              <w:bottom w:val="single" w:sz="4" w:space="0" w:color="auto"/>
            </w:tcBorders>
            <w:shd w:val="clear" w:color="auto" w:fill="auto"/>
            <w:noWrap/>
            <w:hideMark/>
          </w:tcPr>
          <w:p w14:paraId="183D7410" w14:textId="77777777" w:rsidR="005B20B1" w:rsidRPr="00DC016F" w:rsidRDefault="005B20B1" w:rsidP="00144ADC">
            <w:pPr>
              <w:spacing w:after="0" w:line="240" w:lineRule="auto"/>
              <w:rPr>
                <w:rFonts w:ascii="Arial" w:eastAsia="Times New Roman" w:hAnsi="Arial" w:cs="Arial"/>
                <w:color w:val="auto"/>
              </w:rPr>
            </w:pPr>
            <w:r w:rsidRPr="00DC016F">
              <w:rPr>
                <w:rFonts w:ascii="Arial" w:eastAsia="Times New Roman" w:hAnsi="Arial" w:cs="Arial"/>
                <w:color w:val="auto"/>
              </w:rPr>
              <w:t xml:space="preserve">Household </w:t>
            </w:r>
          </w:p>
          <w:p w14:paraId="089A5921" w14:textId="77777777" w:rsidR="005B20B1" w:rsidRPr="00DC016F" w:rsidRDefault="005B20B1" w:rsidP="00144ADC">
            <w:pPr>
              <w:spacing w:after="0" w:line="240" w:lineRule="auto"/>
              <w:rPr>
                <w:rFonts w:ascii="Arial" w:eastAsia="Times New Roman" w:hAnsi="Arial" w:cs="Arial"/>
                <w:b w:val="0"/>
                <w:color w:val="auto"/>
              </w:rPr>
            </w:pPr>
            <w:r w:rsidRPr="00DC016F">
              <w:rPr>
                <w:rFonts w:ascii="Arial" w:eastAsia="Times New Roman" w:hAnsi="Arial" w:cs="Arial"/>
                <w:color w:val="auto"/>
              </w:rPr>
              <w:t>Income</w:t>
            </w:r>
          </w:p>
        </w:tc>
        <w:tc>
          <w:tcPr>
            <w:tcW w:w="1011" w:type="dxa"/>
            <w:tcBorders>
              <w:top w:val="single" w:sz="4" w:space="0" w:color="auto"/>
              <w:bottom w:val="single" w:sz="4" w:space="0" w:color="auto"/>
            </w:tcBorders>
            <w:shd w:val="clear" w:color="auto" w:fill="auto"/>
            <w:vAlign w:val="center"/>
            <w:hideMark/>
          </w:tcPr>
          <w:p w14:paraId="2459F183"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color w:val="auto"/>
              </w:rPr>
              <w:t>Normal</w:t>
            </w:r>
          </w:p>
        </w:tc>
        <w:tc>
          <w:tcPr>
            <w:tcW w:w="1094" w:type="dxa"/>
            <w:tcBorders>
              <w:top w:val="single" w:sz="4" w:space="0" w:color="auto"/>
              <w:bottom w:val="single" w:sz="4" w:space="0" w:color="auto"/>
            </w:tcBorders>
            <w:shd w:val="clear" w:color="auto" w:fill="auto"/>
            <w:vAlign w:val="center"/>
            <w:hideMark/>
          </w:tcPr>
          <w:p w14:paraId="2992F85C"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Stunted</w:t>
            </w:r>
          </w:p>
        </w:tc>
        <w:tc>
          <w:tcPr>
            <w:tcW w:w="1522" w:type="dxa"/>
            <w:tcBorders>
              <w:top w:val="single" w:sz="4" w:space="0" w:color="auto"/>
              <w:bottom w:val="single" w:sz="4" w:space="0" w:color="auto"/>
            </w:tcBorders>
            <w:shd w:val="clear" w:color="auto" w:fill="auto"/>
            <w:noWrap/>
            <w:vAlign w:val="center"/>
            <w:hideMark/>
          </w:tcPr>
          <w:p w14:paraId="064EA161"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Severally</w:t>
            </w:r>
          </w:p>
          <w:p w14:paraId="1191A7B2"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stunted</w:t>
            </w:r>
          </w:p>
        </w:tc>
        <w:tc>
          <w:tcPr>
            <w:tcW w:w="1132" w:type="dxa"/>
            <w:vMerge/>
            <w:tcBorders>
              <w:bottom w:val="single" w:sz="4" w:space="0" w:color="auto"/>
            </w:tcBorders>
            <w:shd w:val="clear" w:color="auto" w:fill="auto"/>
            <w:noWrap/>
            <w:vAlign w:val="center"/>
            <w:hideMark/>
          </w:tcPr>
          <w:p w14:paraId="1BDB2242"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856" w:type="dxa"/>
            <w:tcBorders>
              <w:bottom w:val="single" w:sz="4" w:space="0" w:color="auto"/>
            </w:tcBorders>
            <w:shd w:val="clear" w:color="auto" w:fill="auto"/>
            <w:noWrap/>
          </w:tcPr>
          <w:p w14:paraId="40BDFDDA"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9" w:type="dxa"/>
            <w:vMerge/>
            <w:tcBorders>
              <w:bottom w:val="single" w:sz="4" w:space="0" w:color="auto"/>
            </w:tcBorders>
            <w:shd w:val="clear" w:color="auto" w:fill="auto"/>
            <w:vAlign w:val="center"/>
          </w:tcPr>
          <w:p w14:paraId="53C07B68"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rPr>
            </w:pPr>
          </w:p>
        </w:tc>
        <w:tc>
          <w:tcPr>
            <w:tcW w:w="1003" w:type="dxa"/>
            <w:vMerge/>
            <w:tcBorders>
              <w:bottom w:val="single" w:sz="4" w:space="0" w:color="auto"/>
            </w:tcBorders>
            <w:shd w:val="clear" w:color="auto" w:fill="auto"/>
            <w:noWrap/>
            <w:vAlign w:val="center"/>
            <w:hideMark/>
          </w:tcPr>
          <w:p w14:paraId="1A4B39D2"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color w:val="auto"/>
              </w:rPr>
            </w:pPr>
          </w:p>
        </w:tc>
      </w:tr>
      <w:tr w:rsidR="008071B7" w:rsidRPr="00DC016F" w14:paraId="60BAFC47"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tcBorders>
              <w:top w:val="single" w:sz="4" w:space="0" w:color="auto"/>
            </w:tcBorders>
            <w:shd w:val="clear" w:color="auto" w:fill="auto"/>
            <w:noWrap/>
            <w:vAlign w:val="bottom"/>
            <w:hideMark/>
          </w:tcPr>
          <w:p w14:paraId="41E42106"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&lt;N 5,000 </w:t>
            </w:r>
          </w:p>
        </w:tc>
        <w:tc>
          <w:tcPr>
            <w:tcW w:w="1011" w:type="dxa"/>
            <w:tcBorders>
              <w:top w:val="single" w:sz="4" w:space="0" w:color="auto"/>
            </w:tcBorders>
            <w:shd w:val="clear" w:color="auto" w:fill="auto"/>
            <w:noWrap/>
            <w:vAlign w:val="center"/>
            <w:hideMark/>
          </w:tcPr>
          <w:p w14:paraId="67D3C64F"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6</w:t>
            </w:r>
          </w:p>
        </w:tc>
        <w:tc>
          <w:tcPr>
            <w:tcW w:w="1094" w:type="dxa"/>
            <w:tcBorders>
              <w:top w:val="single" w:sz="4" w:space="0" w:color="auto"/>
            </w:tcBorders>
            <w:shd w:val="clear" w:color="auto" w:fill="auto"/>
            <w:noWrap/>
            <w:vAlign w:val="center"/>
            <w:hideMark/>
          </w:tcPr>
          <w:p w14:paraId="426BAA74"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tcBorders>
              <w:top w:val="single" w:sz="4" w:space="0" w:color="auto"/>
            </w:tcBorders>
            <w:shd w:val="clear" w:color="auto" w:fill="auto"/>
            <w:noWrap/>
            <w:vAlign w:val="center"/>
            <w:hideMark/>
          </w:tcPr>
          <w:p w14:paraId="3776F13E"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132" w:type="dxa"/>
            <w:tcBorders>
              <w:top w:val="single" w:sz="4" w:space="0" w:color="auto"/>
            </w:tcBorders>
            <w:shd w:val="clear" w:color="auto" w:fill="auto"/>
            <w:noWrap/>
            <w:vAlign w:val="center"/>
            <w:hideMark/>
          </w:tcPr>
          <w:p w14:paraId="6911ADD7"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7.00</w:t>
            </w:r>
          </w:p>
        </w:tc>
        <w:tc>
          <w:tcPr>
            <w:tcW w:w="856" w:type="dxa"/>
            <w:tcBorders>
              <w:top w:val="single" w:sz="4" w:space="0" w:color="auto"/>
            </w:tcBorders>
            <w:shd w:val="clear" w:color="auto" w:fill="auto"/>
            <w:noWrap/>
            <w:vAlign w:val="bottom"/>
          </w:tcPr>
          <w:p w14:paraId="6646F489"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139" w:type="dxa"/>
            <w:tcBorders>
              <w:top w:val="single" w:sz="4" w:space="0" w:color="auto"/>
            </w:tcBorders>
            <w:shd w:val="clear" w:color="auto" w:fill="auto"/>
            <w:noWrap/>
            <w:vAlign w:val="bottom"/>
          </w:tcPr>
          <w:p w14:paraId="4B200708"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19.7429</w:t>
            </w:r>
          </w:p>
        </w:tc>
        <w:tc>
          <w:tcPr>
            <w:tcW w:w="1003" w:type="dxa"/>
            <w:tcBorders>
              <w:top w:val="single" w:sz="4" w:space="0" w:color="auto"/>
            </w:tcBorders>
            <w:shd w:val="clear" w:color="auto" w:fill="auto"/>
            <w:noWrap/>
            <w:vAlign w:val="bottom"/>
          </w:tcPr>
          <w:p w14:paraId="26BAA0E3"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DC016F">
              <w:rPr>
                <w:rFonts w:ascii="Arial" w:hAnsi="Arial" w:cs="Arial"/>
                <w:b/>
                <w:color w:val="auto"/>
              </w:rPr>
              <w:t>0.0318*</w:t>
            </w:r>
          </w:p>
        </w:tc>
      </w:tr>
      <w:tr w:rsidR="008071B7" w:rsidRPr="00DC016F" w14:paraId="0400C26E"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006D2B81"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5,000- N14,999 </w:t>
            </w:r>
          </w:p>
        </w:tc>
        <w:tc>
          <w:tcPr>
            <w:tcW w:w="1011" w:type="dxa"/>
            <w:shd w:val="clear" w:color="auto" w:fill="auto"/>
            <w:noWrap/>
            <w:vAlign w:val="center"/>
            <w:hideMark/>
          </w:tcPr>
          <w:p w14:paraId="772AA311"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16</w:t>
            </w:r>
          </w:p>
        </w:tc>
        <w:tc>
          <w:tcPr>
            <w:tcW w:w="1094" w:type="dxa"/>
            <w:shd w:val="clear" w:color="auto" w:fill="auto"/>
            <w:noWrap/>
            <w:vAlign w:val="center"/>
            <w:hideMark/>
          </w:tcPr>
          <w:p w14:paraId="39BEADA7"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522" w:type="dxa"/>
            <w:shd w:val="clear" w:color="auto" w:fill="auto"/>
            <w:noWrap/>
            <w:vAlign w:val="center"/>
            <w:hideMark/>
          </w:tcPr>
          <w:p w14:paraId="6318A307"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shd w:val="clear" w:color="auto" w:fill="auto"/>
            <w:noWrap/>
            <w:vAlign w:val="center"/>
            <w:hideMark/>
          </w:tcPr>
          <w:p w14:paraId="433328B2"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17.00</w:t>
            </w:r>
          </w:p>
        </w:tc>
        <w:tc>
          <w:tcPr>
            <w:tcW w:w="856" w:type="dxa"/>
            <w:shd w:val="clear" w:color="auto" w:fill="auto"/>
            <w:noWrap/>
            <w:vAlign w:val="bottom"/>
            <w:hideMark/>
          </w:tcPr>
          <w:p w14:paraId="1CAD16BF"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shd w:val="clear" w:color="auto" w:fill="auto"/>
            <w:noWrap/>
            <w:vAlign w:val="bottom"/>
          </w:tcPr>
          <w:p w14:paraId="374E6E4F"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center"/>
          </w:tcPr>
          <w:p w14:paraId="56EAAD21"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8071B7" w:rsidRPr="00DC016F" w14:paraId="408D2FFB"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2C2F979B"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15,000- N 24,999 </w:t>
            </w:r>
          </w:p>
        </w:tc>
        <w:tc>
          <w:tcPr>
            <w:tcW w:w="1011" w:type="dxa"/>
            <w:shd w:val="clear" w:color="auto" w:fill="auto"/>
            <w:noWrap/>
            <w:vAlign w:val="center"/>
            <w:hideMark/>
          </w:tcPr>
          <w:p w14:paraId="38D7DE24"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11</w:t>
            </w:r>
          </w:p>
        </w:tc>
        <w:tc>
          <w:tcPr>
            <w:tcW w:w="1094" w:type="dxa"/>
            <w:shd w:val="clear" w:color="auto" w:fill="auto"/>
            <w:noWrap/>
            <w:vAlign w:val="center"/>
            <w:hideMark/>
          </w:tcPr>
          <w:p w14:paraId="4C71D3D5"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522" w:type="dxa"/>
            <w:shd w:val="clear" w:color="auto" w:fill="auto"/>
            <w:noWrap/>
            <w:vAlign w:val="center"/>
            <w:hideMark/>
          </w:tcPr>
          <w:p w14:paraId="45D87A87"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shd w:val="clear" w:color="auto" w:fill="auto"/>
            <w:noWrap/>
            <w:vAlign w:val="center"/>
            <w:hideMark/>
          </w:tcPr>
          <w:p w14:paraId="1CE17951"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12.00</w:t>
            </w:r>
          </w:p>
        </w:tc>
        <w:tc>
          <w:tcPr>
            <w:tcW w:w="856" w:type="dxa"/>
            <w:shd w:val="clear" w:color="auto" w:fill="auto"/>
            <w:noWrap/>
            <w:vAlign w:val="bottom"/>
            <w:hideMark/>
          </w:tcPr>
          <w:p w14:paraId="10F7DDF6"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shd w:val="clear" w:color="auto" w:fill="auto"/>
            <w:noWrap/>
            <w:vAlign w:val="bottom"/>
          </w:tcPr>
          <w:p w14:paraId="100AEF6D"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center"/>
          </w:tcPr>
          <w:p w14:paraId="0E8FDFE6"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8071B7" w:rsidRPr="00DC016F" w14:paraId="722042A5"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03767738"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25,000- N 34,999 </w:t>
            </w:r>
          </w:p>
        </w:tc>
        <w:tc>
          <w:tcPr>
            <w:tcW w:w="1011" w:type="dxa"/>
            <w:shd w:val="clear" w:color="auto" w:fill="auto"/>
            <w:noWrap/>
            <w:vAlign w:val="center"/>
            <w:hideMark/>
          </w:tcPr>
          <w:p w14:paraId="72C85A4F"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14</w:t>
            </w:r>
          </w:p>
        </w:tc>
        <w:tc>
          <w:tcPr>
            <w:tcW w:w="1094" w:type="dxa"/>
            <w:shd w:val="clear" w:color="auto" w:fill="auto"/>
            <w:noWrap/>
            <w:vAlign w:val="center"/>
            <w:hideMark/>
          </w:tcPr>
          <w:p w14:paraId="0B3D8708"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shd w:val="clear" w:color="auto" w:fill="auto"/>
            <w:noWrap/>
            <w:vAlign w:val="center"/>
            <w:hideMark/>
          </w:tcPr>
          <w:p w14:paraId="5271FAF9"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shd w:val="clear" w:color="auto" w:fill="auto"/>
            <w:noWrap/>
            <w:vAlign w:val="center"/>
            <w:hideMark/>
          </w:tcPr>
          <w:p w14:paraId="79B5FDB7"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14.00</w:t>
            </w:r>
          </w:p>
        </w:tc>
        <w:tc>
          <w:tcPr>
            <w:tcW w:w="856" w:type="dxa"/>
            <w:shd w:val="clear" w:color="auto" w:fill="auto"/>
            <w:noWrap/>
            <w:vAlign w:val="bottom"/>
            <w:hideMark/>
          </w:tcPr>
          <w:p w14:paraId="55D35ED3"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shd w:val="clear" w:color="auto" w:fill="auto"/>
            <w:noWrap/>
            <w:vAlign w:val="bottom"/>
            <w:hideMark/>
          </w:tcPr>
          <w:p w14:paraId="28E99C8C"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center"/>
          </w:tcPr>
          <w:p w14:paraId="25275CCF"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8071B7" w:rsidRPr="00DC016F" w14:paraId="3554CD29"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5AA99ECA"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35,000- N 44,999 </w:t>
            </w:r>
          </w:p>
        </w:tc>
        <w:tc>
          <w:tcPr>
            <w:tcW w:w="1011" w:type="dxa"/>
            <w:shd w:val="clear" w:color="auto" w:fill="auto"/>
            <w:noWrap/>
            <w:vAlign w:val="center"/>
            <w:hideMark/>
          </w:tcPr>
          <w:p w14:paraId="383D861F"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24</w:t>
            </w:r>
          </w:p>
        </w:tc>
        <w:tc>
          <w:tcPr>
            <w:tcW w:w="1094" w:type="dxa"/>
            <w:shd w:val="clear" w:color="auto" w:fill="auto"/>
            <w:noWrap/>
            <w:vAlign w:val="center"/>
            <w:hideMark/>
          </w:tcPr>
          <w:p w14:paraId="2B4F2BD4"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shd w:val="clear" w:color="auto" w:fill="auto"/>
            <w:noWrap/>
            <w:vAlign w:val="center"/>
            <w:hideMark/>
          </w:tcPr>
          <w:p w14:paraId="17513252"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shd w:val="clear" w:color="auto" w:fill="auto"/>
            <w:noWrap/>
            <w:vAlign w:val="center"/>
            <w:hideMark/>
          </w:tcPr>
          <w:p w14:paraId="21042026"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24.00</w:t>
            </w:r>
          </w:p>
        </w:tc>
        <w:tc>
          <w:tcPr>
            <w:tcW w:w="856" w:type="dxa"/>
            <w:shd w:val="clear" w:color="auto" w:fill="auto"/>
            <w:noWrap/>
            <w:vAlign w:val="bottom"/>
            <w:hideMark/>
          </w:tcPr>
          <w:p w14:paraId="365219A9"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shd w:val="clear" w:color="auto" w:fill="auto"/>
            <w:noWrap/>
            <w:vAlign w:val="bottom"/>
            <w:hideMark/>
          </w:tcPr>
          <w:p w14:paraId="06AF49A8"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bottom"/>
          </w:tcPr>
          <w:p w14:paraId="0DA95CAB"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8071B7" w:rsidRPr="00DC016F" w14:paraId="5EBD88F2"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tcBorders>
              <w:bottom w:val="single" w:sz="4" w:space="0" w:color="auto"/>
            </w:tcBorders>
            <w:shd w:val="clear" w:color="auto" w:fill="auto"/>
            <w:noWrap/>
            <w:vAlign w:val="bottom"/>
            <w:hideMark/>
          </w:tcPr>
          <w:p w14:paraId="114F6AD9"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N 45,000</w:t>
            </w:r>
          </w:p>
        </w:tc>
        <w:tc>
          <w:tcPr>
            <w:tcW w:w="1011" w:type="dxa"/>
            <w:tcBorders>
              <w:bottom w:val="single" w:sz="4" w:space="0" w:color="auto"/>
            </w:tcBorders>
            <w:shd w:val="clear" w:color="auto" w:fill="auto"/>
            <w:noWrap/>
            <w:vAlign w:val="center"/>
            <w:hideMark/>
          </w:tcPr>
          <w:p w14:paraId="2EC2CF37"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26</w:t>
            </w:r>
          </w:p>
        </w:tc>
        <w:tc>
          <w:tcPr>
            <w:tcW w:w="1094" w:type="dxa"/>
            <w:tcBorders>
              <w:bottom w:val="single" w:sz="4" w:space="0" w:color="auto"/>
            </w:tcBorders>
            <w:shd w:val="clear" w:color="auto" w:fill="auto"/>
            <w:noWrap/>
            <w:vAlign w:val="center"/>
            <w:hideMark/>
          </w:tcPr>
          <w:p w14:paraId="0294364B"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tcBorders>
              <w:bottom w:val="single" w:sz="4" w:space="0" w:color="auto"/>
            </w:tcBorders>
            <w:shd w:val="clear" w:color="auto" w:fill="auto"/>
            <w:noWrap/>
            <w:vAlign w:val="center"/>
            <w:hideMark/>
          </w:tcPr>
          <w:p w14:paraId="0AF38F66"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tcBorders>
              <w:bottom w:val="single" w:sz="4" w:space="0" w:color="auto"/>
            </w:tcBorders>
            <w:shd w:val="clear" w:color="auto" w:fill="auto"/>
            <w:noWrap/>
            <w:vAlign w:val="center"/>
            <w:hideMark/>
          </w:tcPr>
          <w:p w14:paraId="3CD0FFB8"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26.00</w:t>
            </w:r>
          </w:p>
        </w:tc>
        <w:tc>
          <w:tcPr>
            <w:tcW w:w="856" w:type="dxa"/>
            <w:tcBorders>
              <w:bottom w:val="single" w:sz="4" w:space="0" w:color="auto"/>
            </w:tcBorders>
            <w:shd w:val="clear" w:color="auto" w:fill="auto"/>
            <w:noWrap/>
            <w:vAlign w:val="bottom"/>
            <w:hideMark/>
          </w:tcPr>
          <w:p w14:paraId="38EF0123"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tcBorders>
              <w:bottom w:val="single" w:sz="4" w:space="0" w:color="auto"/>
            </w:tcBorders>
            <w:shd w:val="clear" w:color="auto" w:fill="auto"/>
            <w:noWrap/>
            <w:vAlign w:val="bottom"/>
            <w:hideMark/>
          </w:tcPr>
          <w:p w14:paraId="440B7B53"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tcBorders>
              <w:bottom w:val="single" w:sz="4" w:space="0" w:color="auto"/>
            </w:tcBorders>
            <w:shd w:val="clear" w:color="auto" w:fill="auto"/>
            <w:noWrap/>
            <w:vAlign w:val="bottom"/>
          </w:tcPr>
          <w:p w14:paraId="0786F04E"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8071B7" w:rsidRPr="00DC016F" w14:paraId="48BEACA0"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tcBorders>
              <w:top w:val="single" w:sz="4" w:space="0" w:color="auto"/>
            </w:tcBorders>
            <w:shd w:val="clear" w:color="auto" w:fill="auto"/>
            <w:noWrap/>
            <w:hideMark/>
          </w:tcPr>
          <w:p w14:paraId="283B96FD" w14:textId="77777777" w:rsidR="005B20B1" w:rsidRPr="00DC016F" w:rsidRDefault="005B20B1" w:rsidP="00144ADC">
            <w:pPr>
              <w:spacing w:after="0" w:line="240" w:lineRule="auto"/>
              <w:rPr>
                <w:rFonts w:ascii="Arial" w:eastAsia="Times New Roman" w:hAnsi="Arial" w:cs="Arial"/>
                <w:b w:val="0"/>
                <w:color w:val="auto"/>
              </w:rPr>
            </w:pPr>
          </w:p>
        </w:tc>
        <w:tc>
          <w:tcPr>
            <w:tcW w:w="4760" w:type="dxa"/>
            <w:gridSpan w:val="4"/>
            <w:tcBorders>
              <w:top w:val="single" w:sz="4" w:space="0" w:color="auto"/>
              <w:bottom w:val="single" w:sz="4" w:space="0" w:color="auto"/>
            </w:tcBorders>
            <w:shd w:val="clear" w:color="auto" w:fill="auto"/>
            <w:vAlign w:val="center"/>
            <w:hideMark/>
          </w:tcPr>
          <w:p w14:paraId="111C310B"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bCs/>
                <w:color w:val="auto"/>
              </w:rPr>
              <w:t>BMI-for-age (BAZ)</w:t>
            </w:r>
          </w:p>
        </w:tc>
        <w:tc>
          <w:tcPr>
            <w:tcW w:w="856" w:type="dxa"/>
            <w:vMerge w:val="restart"/>
            <w:tcBorders>
              <w:top w:val="single" w:sz="4" w:space="0" w:color="auto"/>
            </w:tcBorders>
            <w:shd w:val="clear" w:color="auto" w:fill="auto"/>
            <w:noWrap/>
            <w:vAlign w:val="center"/>
            <w:hideMark/>
          </w:tcPr>
          <w:p w14:paraId="01923144"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color w:val="auto"/>
              </w:rPr>
              <w:t>Total</w:t>
            </w:r>
          </w:p>
        </w:tc>
        <w:tc>
          <w:tcPr>
            <w:tcW w:w="1139" w:type="dxa"/>
            <w:vMerge w:val="restart"/>
            <w:tcBorders>
              <w:top w:val="single" w:sz="4" w:space="0" w:color="auto"/>
            </w:tcBorders>
            <w:shd w:val="clear" w:color="auto" w:fill="auto"/>
            <w:noWrap/>
            <w:vAlign w:val="center"/>
            <w:hideMark/>
          </w:tcPr>
          <w:p w14:paraId="6078AF01"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hAnsi="Arial" w:cs="Arial"/>
                <w:b/>
                <w:color w:val="auto"/>
              </w:rPr>
              <w:t>χ</w:t>
            </w:r>
            <w:r w:rsidRPr="00DC016F">
              <w:rPr>
                <w:rFonts w:ascii="Arial" w:hAnsi="Arial" w:cs="Arial"/>
                <w:b/>
                <w:color w:val="auto"/>
                <w:vertAlign w:val="superscript"/>
              </w:rPr>
              <w:t>2</w:t>
            </w:r>
          </w:p>
        </w:tc>
        <w:tc>
          <w:tcPr>
            <w:tcW w:w="1003" w:type="dxa"/>
            <w:vMerge w:val="restart"/>
            <w:tcBorders>
              <w:top w:val="single" w:sz="4" w:space="0" w:color="auto"/>
            </w:tcBorders>
            <w:shd w:val="clear" w:color="auto" w:fill="auto"/>
            <w:noWrap/>
            <w:vAlign w:val="center"/>
            <w:hideMark/>
          </w:tcPr>
          <w:p w14:paraId="10DEA723"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i/>
                <w:color w:val="auto"/>
              </w:rPr>
              <w:t>P-value</w:t>
            </w:r>
          </w:p>
        </w:tc>
      </w:tr>
      <w:tr w:rsidR="008071B7" w:rsidRPr="00DC016F" w14:paraId="0973C613"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tcBorders>
              <w:bottom w:val="single" w:sz="4" w:space="0" w:color="auto"/>
            </w:tcBorders>
            <w:shd w:val="clear" w:color="auto" w:fill="auto"/>
            <w:noWrap/>
            <w:hideMark/>
          </w:tcPr>
          <w:p w14:paraId="55F157D5" w14:textId="77777777" w:rsidR="005B20B1" w:rsidRPr="00DC016F" w:rsidRDefault="005B20B1" w:rsidP="00144ADC">
            <w:pPr>
              <w:spacing w:after="0" w:line="240" w:lineRule="auto"/>
              <w:rPr>
                <w:rFonts w:ascii="Arial" w:eastAsia="Times New Roman" w:hAnsi="Arial" w:cs="Arial"/>
                <w:color w:val="auto"/>
              </w:rPr>
            </w:pPr>
            <w:r w:rsidRPr="00DC016F">
              <w:rPr>
                <w:rFonts w:ascii="Arial" w:eastAsia="Times New Roman" w:hAnsi="Arial" w:cs="Arial"/>
                <w:color w:val="auto"/>
              </w:rPr>
              <w:t>Household</w:t>
            </w:r>
          </w:p>
          <w:p w14:paraId="26C35AD3" w14:textId="77777777" w:rsidR="005B20B1" w:rsidRPr="00DC016F" w:rsidRDefault="005B20B1" w:rsidP="00144ADC">
            <w:pPr>
              <w:spacing w:after="0" w:line="240" w:lineRule="auto"/>
              <w:rPr>
                <w:rFonts w:ascii="Arial" w:eastAsia="Times New Roman" w:hAnsi="Arial" w:cs="Arial"/>
                <w:b w:val="0"/>
                <w:color w:val="auto"/>
              </w:rPr>
            </w:pPr>
            <w:r w:rsidRPr="00DC016F">
              <w:rPr>
                <w:rFonts w:ascii="Arial" w:eastAsia="Times New Roman" w:hAnsi="Arial" w:cs="Arial"/>
                <w:color w:val="auto"/>
              </w:rPr>
              <w:t xml:space="preserve">Income </w:t>
            </w:r>
          </w:p>
        </w:tc>
        <w:tc>
          <w:tcPr>
            <w:tcW w:w="1011" w:type="dxa"/>
            <w:tcBorders>
              <w:top w:val="single" w:sz="4" w:space="0" w:color="auto"/>
              <w:bottom w:val="single" w:sz="4" w:space="0" w:color="auto"/>
            </w:tcBorders>
            <w:shd w:val="clear" w:color="auto" w:fill="auto"/>
            <w:vAlign w:val="center"/>
            <w:hideMark/>
          </w:tcPr>
          <w:p w14:paraId="2F801F54"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Obese</w:t>
            </w:r>
          </w:p>
        </w:tc>
        <w:tc>
          <w:tcPr>
            <w:tcW w:w="1094" w:type="dxa"/>
            <w:tcBorders>
              <w:top w:val="single" w:sz="4" w:space="0" w:color="auto"/>
              <w:bottom w:val="single" w:sz="4" w:space="0" w:color="auto"/>
            </w:tcBorders>
            <w:shd w:val="clear" w:color="auto" w:fill="auto"/>
            <w:vAlign w:val="center"/>
            <w:hideMark/>
          </w:tcPr>
          <w:p w14:paraId="613EA8B7"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Over-weight</w:t>
            </w:r>
          </w:p>
        </w:tc>
        <w:tc>
          <w:tcPr>
            <w:tcW w:w="1522" w:type="dxa"/>
            <w:tcBorders>
              <w:top w:val="single" w:sz="4" w:space="0" w:color="auto"/>
              <w:bottom w:val="single" w:sz="4" w:space="0" w:color="auto"/>
            </w:tcBorders>
            <w:shd w:val="clear" w:color="auto" w:fill="auto"/>
            <w:vAlign w:val="center"/>
            <w:hideMark/>
          </w:tcPr>
          <w:p w14:paraId="3BDB4E18"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Normal</w:t>
            </w:r>
          </w:p>
        </w:tc>
        <w:tc>
          <w:tcPr>
            <w:tcW w:w="1132" w:type="dxa"/>
            <w:tcBorders>
              <w:top w:val="single" w:sz="4" w:space="0" w:color="auto"/>
              <w:bottom w:val="single" w:sz="4" w:space="0" w:color="auto"/>
            </w:tcBorders>
            <w:shd w:val="clear" w:color="auto" w:fill="auto"/>
            <w:noWrap/>
            <w:vAlign w:val="center"/>
            <w:hideMark/>
          </w:tcPr>
          <w:p w14:paraId="674FD1D9"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Under- weight</w:t>
            </w:r>
          </w:p>
        </w:tc>
        <w:tc>
          <w:tcPr>
            <w:tcW w:w="856" w:type="dxa"/>
            <w:vMerge/>
            <w:tcBorders>
              <w:bottom w:val="single" w:sz="4" w:space="0" w:color="auto"/>
            </w:tcBorders>
            <w:shd w:val="clear" w:color="auto" w:fill="auto"/>
            <w:noWrap/>
            <w:vAlign w:val="center"/>
            <w:hideMark/>
          </w:tcPr>
          <w:p w14:paraId="7C325795"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9" w:type="dxa"/>
            <w:vMerge/>
            <w:tcBorders>
              <w:bottom w:val="single" w:sz="4" w:space="0" w:color="auto"/>
            </w:tcBorders>
            <w:shd w:val="clear" w:color="auto" w:fill="auto"/>
            <w:noWrap/>
            <w:vAlign w:val="center"/>
            <w:hideMark/>
          </w:tcPr>
          <w:p w14:paraId="3256E298"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3" w:type="dxa"/>
            <w:vMerge/>
            <w:tcBorders>
              <w:bottom w:val="single" w:sz="4" w:space="0" w:color="auto"/>
            </w:tcBorders>
            <w:shd w:val="clear" w:color="auto" w:fill="auto"/>
            <w:vAlign w:val="center"/>
            <w:hideMark/>
          </w:tcPr>
          <w:p w14:paraId="4A3FB79C"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028870F6" w14:textId="77777777" w:rsidTr="001706B5">
        <w:trPr>
          <w:trHeight w:val="357"/>
        </w:trPr>
        <w:tc>
          <w:tcPr>
            <w:cnfStyle w:val="001000000000" w:firstRow="0" w:lastRow="0" w:firstColumn="1" w:lastColumn="0" w:oddVBand="0" w:evenVBand="0" w:oddHBand="0" w:evenHBand="0" w:firstRowFirstColumn="0" w:firstRowLastColumn="0" w:lastRowFirstColumn="0" w:lastRowLastColumn="0"/>
            <w:tcW w:w="2475" w:type="dxa"/>
            <w:tcBorders>
              <w:top w:val="single" w:sz="4" w:space="0" w:color="auto"/>
            </w:tcBorders>
            <w:shd w:val="clear" w:color="auto" w:fill="auto"/>
            <w:noWrap/>
            <w:vAlign w:val="bottom"/>
            <w:hideMark/>
          </w:tcPr>
          <w:p w14:paraId="398277AE"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&lt;N 5,000 </w:t>
            </w:r>
          </w:p>
        </w:tc>
        <w:tc>
          <w:tcPr>
            <w:tcW w:w="1011" w:type="dxa"/>
            <w:tcBorders>
              <w:top w:val="single" w:sz="4" w:space="0" w:color="auto"/>
            </w:tcBorders>
            <w:shd w:val="clear" w:color="auto" w:fill="auto"/>
            <w:noWrap/>
            <w:vAlign w:val="center"/>
            <w:hideMark/>
          </w:tcPr>
          <w:p w14:paraId="5D363190"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094" w:type="dxa"/>
            <w:tcBorders>
              <w:top w:val="single" w:sz="4" w:space="0" w:color="auto"/>
            </w:tcBorders>
            <w:shd w:val="clear" w:color="auto" w:fill="auto"/>
            <w:noWrap/>
            <w:vAlign w:val="center"/>
            <w:hideMark/>
          </w:tcPr>
          <w:p w14:paraId="03185BF9"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tcBorders>
              <w:top w:val="single" w:sz="4" w:space="0" w:color="auto"/>
            </w:tcBorders>
            <w:shd w:val="clear" w:color="auto" w:fill="auto"/>
            <w:noWrap/>
            <w:vAlign w:val="center"/>
            <w:hideMark/>
          </w:tcPr>
          <w:p w14:paraId="588D2032"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10</w:t>
            </w:r>
          </w:p>
        </w:tc>
        <w:tc>
          <w:tcPr>
            <w:tcW w:w="1132" w:type="dxa"/>
            <w:tcBorders>
              <w:top w:val="single" w:sz="4" w:space="0" w:color="auto"/>
            </w:tcBorders>
            <w:shd w:val="clear" w:color="auto" w:fill="auto"/>
            <w:noWrap/>
            <w:vAlign w:val="center"/>
            <w:hideMark/>
          </w:tcPr>
          <w:p w14:paraId="3918F59C"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w:t>
            </w:r>
          </w:p>
        </w:tc>
        <w:tc>
          <w:tcPr>
            <w:tcW w:w="856" w:type="dxa"/>
            <w:tcBorders>
              <w:top w:val="single" w:sz="4" w:space="0" w:color="auto"/>
            </w:tcBorders>
            <w:shd w:val="clear" w:color="auto" w:fill="auto"/>
            <w:noWrap/>
            <w:vAlign w:val="center"/>
            <w:hideMark/>
          </w:tcPr>
          <w:p w14:paraId="0D932B2E"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12.00</w:t>
            </w:r>
          </w:p>
        </w:tc>
        <w:tc>
          <w:tcPr>
            <w:tcW w:w="1139" w:type="dxa"/>
            <w:tcBorders>
              <w:top w:val="single" w:sz="4" w:space="0" w:color="auto"/>
            </w:tcBorders>
            <w:shd w:val="clear" w:color="auto" w:fill="auto"/>
            <w:noWrap/>
            <w:vAlign w:val="bottom"/>
            <w:hideMark/>
          </w:tcPr>
          <w:p w14:paraId="61EC3E74"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23.977</w:t>
            </w:r>
          </w:p>
        </w:tc>
        <w:tc>
          <w:tcPr>
            <w:tcW w:w="1003" w:type="dxa"/>
            <w:tcBorders>
              <w:top w:val="single" w:sz="4" w:space="0" w:color="auto"/>
            </w:tcBorders>
            <w:shd w:val="clear" w:color="auto" w:fill="auto"/>
            <w:noWrap/>
            <w:vAlign w:val="bottom"/>
            <w:hideMark/>
          </w:tcPr>
          <w:p w14:paraId="3F24D191"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0.0655</w:t>
            </w:r>
          </w:p>
        </w:tc>
      </w:tr>
      <w:tr w:rsidR="008071B7" w:rsidRPr="00DC016F" w14:paraId="347AE7F2" w14:textId="77777777" w:rsidTr="001706B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47623335"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5,000- N14,999 </w:t>
            </w:r>
          </w:p>
        </w:tc>
        <w:tc>
          <w:tcPr>
            <w:tcW w:w="1011" w:type="dxa"/>
            <w:shd w:val="clear" w:color="auto" w:fill="auto"/>
            <w:noWrap/>
            <w:vAlign w:val="center"/>
            <w:hideMark/>
          </w:tcPr>
          <w:p w14:paraId="1D5347AF"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094" w:type="dxa"/>
            <w:shd w:val="clear" w:color="auto" w:fill="auto"/>
            <w:noWrap/>
            <w:vAlign w:val="center"/>
            <w:hideMark/>
          </w:tcPr>
          <w:p w14:paraId="1EF1BD5F"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522" w:type="dxa"/>
            <w:shd w:val="clear" w:color="auto" w:fill="auto"/>
            <w:noWrap/>
            <w:vAlign w:val="center"/>
            <w:hideMark/>
          </w:tcPr>
          <w:p w14:paraId="3AFAB337"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14</w:t>
            </w:r>
          </w:p>
        </w:tc>
        <w:tc>
          <w:tcPr>
            <w:tcW w:w="1132" w:type="dxa"/>
            <w:shd w:val="clear" w:color="auto" w:fill="auto"/>
            <w:noWrap/>
            <w:vAlign w:val="center"/>
            <w:hideMark/>
          </w:tcPr>
          <w:p w14:paraId="3EBA0651"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856" w:type="dxa"/>
            <w:shd w:val="clear" w:color="auto" w:fill="auto"/>
            <w:noWrap/>
            <w:vAlign w:val="center"/>
            <w:hideMark/>
          </w:tcPr>
          <w:p w14:paraId="01913A41"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16.00</w:t>
            </w:r>
          </w:p>
        </w:tc>
        <w:tc>
          <w:tcPr>
            <w:tcW w:w="1139" w:type="dxa"/>
            <w:shd w:val="clear" w:color="auto" w:fill="auto"/>
            <w:noWrap/>
            <w:vAlign w:val="bottom"/>
            <w:hideMark/>
          </w:tcPr>
          <w:p w14:paraId="3B748783"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bottom"/>
            <w:hideMark/>
          </w:tcPr>
          <w:p w14:paraId="007F7367"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r>
      <w:tr w:rsidR="008071B7" w:rsidRPr="00DC016F" w14:paraId="07FDB6CD" w14:textId="77777777" w:rsidTr="001706B5">
        <w:trPr>
          <w:trHeight w:val="357"/>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6A210B3A"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15,000- N 24,999 </w:t>
            </w:r>
          </w:p>
        </w:tc>
        <w:tc>
          <w:tcPr>
            <w:tcW w:w="1011" w:type="dxa"/>
            <w:shd w:val="clear" w:color="auto" w:fill="auto"/>
            <w:noWrap/>
            <w:vAlign w:val="center"/>
            <w:hideMark/>
          </w:tcPr>
          <w:p w14:paraId="10B88D06"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094" w:type="dxa"/>
            <w:shd w:val="clear" w:color="auto" w:fill="auto"/>
            <w:noWrap/>
            <w:vAlign w:val="center"/>
            <w:hideMark/>
          </w:tcPr>
          <w:p w14:paraId="1306CBFD"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522" w:type="dxa"/>
            <w:shd w:val="clear" w:color="auto" w:fill="auto"/>
            <w:noWrap/>
            <w:vAlign w:val="center"/>
            <w:hideMark/>
          </w:tcPr>
          <w:p w14:paraId="06CC7438"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3</w:t>
            </w:r>
          </w:p>
        </w:tc>
        <w:tc>
          <w:tcPr>
            <w:tcW w:w="1132" w:type="dxa"/>
            <w:shd w:val="clear" w:color="auto" w:fill="auto"/>
            <w:noWrap/>
            <w:vAlign w:val="center"/>
            <w:hideMark/>
          </w:tcPr>
          <w:p w14:paraId="6C932A82"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w:t>
            </w:r>
          </w:p>
        </w:tc>
        <w:tc>
          <w:tcPr>
            <w:tcW w:w="856" w:type="dxa"/>
            <w:shd w:val="clear" w:color="auto" w:fill="auto"/>
            <w:noWrap/>
            <w:vAlign w:val="center"/>
            <w:hideMark/>
          </w:tcPr>
          <w:p w14:paraId="64D2B6D5"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6.00</w:t>
            </w:r>
          </w:p>
        </w:tc>
        <w:tc>
          <w:tcPr>
            <w:tcW w:w="1139" w:type="dxa"/>
            <w:shd w:val="clear" w:color="auto" w:fill="auto"/>
            <w:noWrap/>
            <w:vAlign w:val="bottom"/>
            <w:hideMark/>
          </w:tcPr>
          <w:p w14:paraId="02BD0218"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bottom"/>
            <w:hideMark/>
          </w:tcPr>
          <w:p w14:paraId="2805F7BC"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r>
      <w:tr w:rsidR="008071B7" w:rsidRPr="00DC016F" w14:paraId="145EC518" w14:textId="77777777" w:rsidTr="001706B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2B5A963D"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25,000- N 34,999 </w:t>
            </w:r>
          </w:p>
        </w:tc>
        <w:tc>
          <w:tcPr>
            <w:tcW w:w="1011" w:type="dxa"/>
            <w:shd w:val="clear" w:color="auto" w:fill="auto"/>
            <w:noWrap/>
            <w:vAlign w:val="center"/>
            <w:hideMark/>
          </w:tcPr>
          <w:p w14:paraId="4D426BBD"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094" w:type="dxa"/>
            <w:shd w:val="clear" w:color="auto" w:fill="auto"/>
            <w:noWrap/>
            <w:vAlign w:val="center"/>
            <w:hideMark/>
          </w:tcPr>
          <w:p w14:paraId="082C19BD"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w:t>
            </w:r>
          </w:p>
        </w:tc>
        <w:tc>
          <w:tcPr>
            <w:tcW w:w="1522" w:type="dxa"/>
            <w:shd w:val="clear" w:color="auto" w:fill="auto"/>
            <w:noWrap/>
            <w:vAlign w:val="center"/>
            <w:hideMark/>
          </w:tcPr>
          <w:p w14:paraId="1EE4269A"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8</w:t>
            </w:r>
          </w:p>
        </w:tc>
        <w:tc>
          <w:tcPr>
            <w:tcW w:w="1132" w:type="dxa"/>
            <w:shd w:val="clear" w:color="auto" w:fill="auto"/>
            <w:noWrap/>
            <w:vAlign w:val="center"/>
            <w:hideMark/>
          </w:tcPr>
          <w:p w14:paraId="31A9AB9A"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856" w:type="dxa"/>
            <w:shd w:val="clear" w:color="auto" w:fill="auto"/>
            <w:noWrap/>
            <w:vAlign w:val="center"/>
            <w:hideMark/>
          </w:tcPr>
          <w:p w14:paraId="5528FBA0"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11.00</w:t>
            </w:r>
          </w:p>
        </w:tc>
        <w:tc>
          <w:tcPr>
            <w:tcW w:w="1139" w:type="dxa"/>
            <w:shd w:val="clear" w:color="auto" w:fill="auto"/>
            <w:noWrap/>
            <w:vAlign w:val="bottom"/>
            <w:hideMark/>
          </w:tcPr>
          <w:p w14:paraId="204A0A4F"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bottom"/>
            <w:hideMark/>
          </w:tcPr>
          <w:p w14:paraId="537A42BA"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r>
      <w:tr w:rsidR="008071B7" w:rsidRPr="00DC016F" w14:paraId="1564275E" w14:textId="77777777" w:rsidTr="001706B5">
        <w:trPr>
          <w:trHeight w:val="357"/>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12BBF64C"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35,000- N 44,999 </w:t>
            </w:r>
          </w:p>
        </w:tc>
        <w:tc>
          <w:tcPr>
            <w:tcW w:w="1011" w:type="dxa"/>
            <w:shd w:val="clear" w:color="auto" w:fill="auto"/>
            <w:noWrap/>
            <w:vAlign w:val="center"/>
            <w:hideMark/>
          </w:tcPr>
          <w:p w14:paraId="4FE48D83"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094" w:type="dxa"/>
            <w:shd w:val="clear" w:color="auto" w:fill="auto"/>
            <w:noWrap/>
            <w:vAlign w:val="center"/>
            <w:hideMark/>
          </w:tcPr>
          <w:p w14:paraId="0E15B482"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522" w:type="dxa"/>
            <w:shd w:val="clear" w:color="auto" w:fill="auto"/>
            <w:noWrap/>
            <w:vAlign w:val="center"/>
            <w:hideMark/>
          </w:tcPr>
          <w:p w14:paraId="71BA9180"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23</w:t>
            </w:r>
          </w:p>
        </w:tc>
        <w:tc>
          <w:tcPr>
            <w:tcW w:w="1132" w:type="dxa"/>
            <w:shd w:val="clear" w:color="auto" w:fill="auto"/>
            <w:noWrap/>
            <w:vAlign w:val="center"/>
            <w:hideMark/>
          </w:tcPr>
          <w:p w14:paraId="1D6CD722"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856" w:type="dxa"/>
            <w:shd w:val="clear" w:color="auto" w:fill="auto"/>
            <w:noWrap/>
            <w:vAlign w:val="center"/>
            <w:hideMark/>
          </w:tcPr>
          <w:p w14:paraId="73860219"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25.00</w:t>
            </w:r>
          </w:p>
        </w:tc>
        <w:tc>
          <w:tcPr>
            <w:tcW w:w="1139" w:type="dxa"/>
            <w:shd w:val="clear" w:color="auto" w:fill="auto"/>
            <w:noWrap/>
            <w:vAlign w:val="bottom"/>
            <w:hideMark/>
          </w:tcPr>
          <w:p w14:paraId="770B759C"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bottom"/>
            <w:hideMark/>
          </w:tcPr>
          <w:p w14:paraId="0DABDDAE"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r>
      <w:tr w:rsidR="008071B7" w:rsidRPr="00DC016F" w14:paraId="6D2AE3D7" w14:textId="77777777" w:rsidTr="001706B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3E46FBBE"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N 45,000</w:t>
            </w:r>
          </w:p>
        </w:tc>
        <w:tc>
          <w:tcPr>
            <w:tcW w:w="1011" w:type="dxa"/>
            <w:shd w:val="clear" w:color="auto" w:fill="auto"/>
            <w:noWrap/>
            <w:vAlign w:val="center"/>
            <w:hideMark/>
          </w:tcPr>
          <w:p w14:paraId="44348383"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094" w:type="dxa"/>
            <w:shd w:val="clear" w:color="auto" w:fill="auto"/>
            <w:noWrap/>
            <w:vAlign w:val="center"/>
            <w:hideMark/>
          </w:tcPr>
          <w:p w14:paraId="2DA60A1D"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w:t>
            </w:r>
          </w:p>
        </w:tc>
        <w:tc>
          <w:tcPr>
            <w:tcW w:w="1522" w:type="dxa"/>
            <w:shd w:val="clear" w:color="auto" w:fill="auto"/>
            <w:noWrap/>
            <w:vAlign w:val="center"/>
            <w:hideMark/>
          </w:tcPr>
          <w:p w14:paraId="55DEC5FD"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27</w:t>
            </w:r>
          </w:p>
        </w:tc>
        <w:tc>
          <w:tcPr>
            <w:tcW w:w="1132" w:type="dxa"/>
            <w:shd w:val="clear" w:color="auto" w:fill="auto"/>
            <w:noWrap/>
            <w:vAlign w:val="center"/>
            <w:hideMark/>
          </w:tcPr>
          <w:p w14:paraId="5E5E5160"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856" w:type="dxa"/>
            <w:shd w:val="clear" w:color="auto" w:fill="auto"/>
            <w:noWrap/>
            <w:vAlign w:val="center"/>
            <w:hideMark/>
          </w:tcPr>
          <w:p w14:paraId="6364C13D"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30.00</w:t>
            </w:r>
          </w:p>
        </w:tc>
        <w:tc>
          <w:tcPr>
            <w:tcW w:w="1139" w:type="dxa"/>
            <w:shd w:val="clear" w:color="auto" w:fill="auto"/>
            <w:noWrap/>
            <w:vAlign w:val="bottom"/>
            <w:hideMark/>
          </w:tcPr>
          <w:p w14:paraId="2B563A8C"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bottom"/>
            <w:hideMark/>
          </w:tcPr>
          <w:p w14:paraId="2610CA3A"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r>
    </w:tbl>
    <w:p w14:paraId="2173A7F8" w14:textId="77777777" w:rsidR="005B20B1" w:rsidRPr="00DC016F" w:rsidRDefault="005B20B1" w:rsidP="00FD59DA">
      <w:pPr>
        <w:spacing w:line="240" w:lineRule="auto"/>
        <w:jc w:val="both"/>
        <w:rPr>
          <w:rFonts w:ascii="Arial" w:hAnsi="Arial" w:cs="Arial"/>
          <w:b/>
        </w:rPr>
      </w:pPr>
      <w:r w:rsidRPr="00DC016F">
        <w:rPr>
          <w:rFonts w:ascii="Arial" w:hAnsi="Arial" w:cs="Arial"/>
          <w:b/>
        </w:rPr>
        <w:t>*</w:t>
      </w:r>
      <w:r w:rsidRPr="00DC016F">
        <w:rPr>
          <w:rFonts w:ascii="Arial" w:hAnsi="Arial" w:cs="Arial"/>
          <w:i/>
        </w:rPr>
        <w:t>Significance</w:t>
      </w:r>
    </w:p>
    <w:p w14:paraId="4845339E" w14:textId="2B4C2581" w:rsidR="00AA541A" w:rsidRPr="00DC016F" w:rsidRDefault="00AA541A" w:rsidP="005F4400">
      <w:pPr>
        <w:pStyle w:val="Heading2"/>
        <w:spacing w:line="240" w:lineRule="auto"/>
        <w:jc w:val="both"/>
        <w:rPr>
          <w:rFonts w:ascii="Arial" w:hAnsi="Arial" w:cs="Arial"/>
          <w:b/>
          <w:bCs/>
          <w:color w:val="auto"/>
          <w:sz w:val="22"/>
          <w:szCs w:val="22"/>
        </w:rPr>
      </w:pPr>
      <w:bookmarkStart w:id="51" w:name="_Toc536761088"/>
    </w:p>
    <w:p w14:paraId="23478BB3" w14:textId="77777777" w:rsidR="00AA541A" w:rsidRPr="00DC016F" w:rsidRDefault="00AA541A" w:rsidP="00AA541A">
      <w:pPr>
        <w:rPr>
          <w:rFonts w:ascii="Arial" w:hAnsi="Arial" w:cs="Arial"/>
        </w:rPr>
      </w:pPr>
    </w:p>
    <w:p w14:paraId="6001041D" w14:textId="5DA336A0" w:rsidR="00AA541A" w:rsidRPr="00DC016F" w:rsidRDefault="00AA541A" w:rsidP="005F4400">
      <w:pPr>
        <w:pStyle w:val="Heading2"/>
        <w:spacing w:line="240" w:lineRule="auto"/>
        <w:jc w:val="both"/>
        <w:rPr>
          <w:rFonts w:ascii="Arial" w:hAnsi="Arial" w:cs="Arial"/>
          <w:b/>
          <w:bCs/>
          <w:color w:val="auto"/>
          <w:sz w:val="22"/>
          <w:szCs w:val="22"/>
        </w:rPr>
      </w:pPr>
    </w:p>
    <w:p w14:paraId="59737795" w14:textId="3DBF78B4" w:rsidR="00AA541A" w:rsidRPr="00DC016F" w:rsidRDefault="00AA541A" w:rsidP="00AA541A">
      <w:pPr>
        <w:rPr>
          <w:rFonts w:ascii="Arial" w:hAnsi="Arial" w:cs="Arial"/>
        </w:rPr>
      </w:pPr>
    </w:p>
    <w:p w14:paraId="7586689B" w14:textId="77777777" w:rsidR="00AA541A" w:rsidRDefault="00AA541A" w:rsidP="00AA541A">
      <w:pPr>
        <w:rPr>
          <w:rFonts w:ascii="Arial" w:hAnsi="Arial" w:cs="Arial"/>
        </w:rPr>
      </w:pPr>
    </w:p>
    <w:p w14:paraId="4AC5649A" w14:textId="77777777" w:rsidR="006D76E4" w:rsidRPr="00DC016F" w:rsidRDefault="006D76E4" w:rsidP="00AA541A">
      <w:pPr>
        <w:rPr>
          <w:rFonts w:ascii="Arial" w:hAnsi="Arial" w:cs="Arial"/>
        </w:rPr>
      </w:pPr>
    </w:p>
    <w:p w14:paraId="3B92162A" w14:textId="11B14CE0" w:rsidR="005B20B1" w:rsidRPr="00DC016F" w:rsidRDefault="006D76E4" w:rsidP="00AA541A">
      <w:pPr>
        <w:pStyle w:val="Heading2"/>
        <w:spacing w:before="0" w:line="360" w:lineRule="auto"/>
        <w:jc w:val="both"/>
        <w:rPr>
          <w:rFonts w:ascii="Arial" w:hAnsi="Arial" w:cs="Arial"/>
          <w:color w:val="auto"/>
          <w:sz w:val="22"/>
          <w:szCs w:val="22"/>
        </w:rPr>
      </w:pPr>
      <w:r>
        <w:rPr>
          <w:rFonts w:ascii="Arial" w:hAnsi="Arial" w:cs="Arial"/>
          <w:b/>
          <w:bCs/>
          <w:color w:val="auto"/>
          <w:sz w:val="22"/>
          <w:szCs w:val="22"/>
        </w:rPr>
        <w:lastRenderedPageBreak/>
        <w:t xml:space="preserve">4.0 </w:t>
      </w:r>
      <w:r w:rsidR="005B20B1" w:rsidRPr="00DC016F">
        <w:rPr>
          <w:rFonts w:ascii="Arial" w:hAnsi="Arial" w:cs="Arial"/>
          <w:b/>
          <w:bCs/>
          <w:color w:val="auto"/>
          <w:sz w:val="22"/>
          <w:szCs w:val="22"/>
        </w:rPr>
        <w:t>Discussion</w:t>
      </w:r>
      <w:bookmarkEnd w:id="51"/>
    </w:p>
    <w:p w14:paraId="2B0C0623" w14:textId="23BD039D" w:rsidR="005F4400" w:rsidRPr="00DC016F" w:rsidRDefault="005F4400" w:rsidP="00AA541A">
      <w:pPr>
        <w:spacing w:after="0" w:line="360" w:lineRule="auto"/>
        <w:jc w:val="both"/>
        <w:rPr>
          <w:rFonts w:ascii="Arial" w:eastAsia="Times New Roman" w:hAnsi="Arial" w:cs="Arial"/>
        </w:rPr>
      </w:pPr>
      <w:r w:rsidRPr="00DC016F">
        <w:rPr>
          <w:rFonts w:ascii="Arial" w:eastAsia="Times New Roman" w:hAnsi="Arial" w:cs="Arial"/>
        </w:rPr>
        <w:t xml:space="preserve">The study highlights malnutrition as a pressing concern, characterized by insufficient or imbalanced nutrient intake among children, particularly in Nigeria. Malnutrition, exacerbated by deficiencies in micronutrients and antioxidant activities, compromises children's immunity, heightens susceptibility to infections, and increases mortality rates, especially from diarrhea and respiratory illnesses. Family size significantly impacts children's nutritional status, as observed in this study, corroborating findings by Ajao </w:t>
      </w:r>
      <w:r w:rsidR="00F67EA0" w:rsidRPr="00DC016F">
        <w:rPr>
          <w:rFonts w:ascii="Arial" w:eastAsia="Times New Roman" w:hAnsi="Arial" w:cs="Arial"/>
          <w:i/>
        </w:rPr>
        <w:t>et al</w:t>
      </w:r>
      <w:r w:rsidRPr="00DC016F">
        <w:rPr>
          <w:rFonts w:ascii="Arial" w:eastAsia="Times New Roman" w:hAnsi="Arial" w:cs="Arial"/>
        </w:rPr>
        <w:t xml:space="preserve">. </w:t>
      </w:r>
      <w:r w:rsidR="0034498A">
        <w:rPr>
          <w:rFonts w:ascii="Arial" w:eastAsia="Times New Roman" w:hAnsi="Arial" w:cs="Arial"/>
        </w:rPr>
        <w:t>[17]</w:t>
      </w:r>
      <w:r w:rsidRPr="00DC016F">
        <w:rPr>
          <w:rFonts w:ascii="Arial" w:eastAsia="Times New Roman" w:hAnsi="Arial" w:cs="Arial"/>
        </w:rPr>
        <w:t xml:space="preserve"> and Chaudhury </w:t>
      </w:r>
      <w:r w:rsidR="00F67EA0" w:rsidRPr="00DC016F">
        <w:rPr>
          <w:rFonts w:ascii="Arial" w:eastAsia="Times New Roman" w:hAnsi="Arial" w:cs="Arial"/>
          <w:i/>
        </w:rPr>
        <w:t>et al</w:t>
      </w:r>
      <w:r w:rsidR="00A42598" w:rsidRPr="00DC016F">
        <w:rPr>
          <w:rFonts w:ascii="Arial" w:eastAsia="Times New Roman" w:hAnsi="Arial" w:cs="Arial"/>
        </w:rPr>
        <w:t xml:space="preserve">. </w:t>
      </w:r>
      <w:r w:rsidR="0034498A">
        <w:rPr>
          <w:rFonts w:ascii="Arial" w:eastAsia="Times New Roman" w:hAnsi="Arial" w:cs="Arial"/>
        </w:rPr>
        <w:t>[18]</w:t>
      </w:r>
      <w:r w:rsidRPr="00DC016F">
        <w:rPr>
          <w:rFonts w:ascii="Arial" w:eastAsia="Times New Roman" w:hAnsi="Arial" w:cs="Arial"/>
        </w:rPr>
        <w:t xml:space="preserve">, </w:t>
      </w:r>
      <w:r w:rsidR="00033317" w:rsidRPr="00DC016F">
        <w:rPr>
          <w:rFonts w:ascii="Arial" w:eastAsia="Times New Roman" w:hAnsi="Arial" w:cs="Arial"/>
        </w:rPr>
        <w:t>WHO</w:t>
      </w:r>
      <w:r w:rsidRPr="00DC016F">
        <w:rPr>
          <w:rFonts w:ascii="Arial" w:eastAsia="Times New Roman" w:hAnsi="Arial" w:cs="Arial"/>
        </w:rPr>
        <w:t xml:space="preserve"> noted that large family sizes decrease per capita food allocation and per capita income. Socioeconomic status also plays a critical role, with poorer households struggling to procure nutritious food or access quality healthcare. Research by </w:t>
      </w:r>
      <w:proofErr w:type="spellStart"/>
      <w:r w:rsidRPr="00DC016F">
        <w:rPr>
          <w:rFonts w:ascii="Arial" w:eastAsia="Times New Roman" w:hAnsi="Arial" w:cs="Arial"/>
        </w:rPr>
        <w:t>Ajieroh</w:t>
      </w:r>
      <w:proofErr w:type="spellEnd"/>
      <w:r w:rsidRPr="00DC016F">
        <w:rPr>
          <w:rFonts w:ascii="Arial" w:eastAsia="Times New Roman" w:hAnsi="Arial" w:cs="Arial"/>
        </w:rPr>
        <w:t xml:space="preserve"> </w:t>
      </w:r>
      <w:r w:rsidR="0034498A">
        <w:rPr>
          <w:rFonts w:ascii="Arial" w:eastAsia="Times New Roman" w:hAnsi="Arial" w:cs="Arial"/>
        </w:rPr>
        <w:t>[19]</w:t>
      </w:r>
      <w:r w:rsidRPr="00DC016F">
        <w:rPr>
          <w:rFonts w:ascii="Arial" w:eastAsia="Times New Roman" w:hAnsi="Arial" w:cs="Arial"/>
        </w:rPr>
        <w:t xml:space="preserve">) emphasized the importance of maternal education and household income in determining child nutrition, findings supported by studies from Bloss </w:t>
      </w:r>
      <w:r w:rsidR="00F67EA0" w:rsidRPr="00DC016F">
        <w:rPr>
          <w:rFonts w:ascii="Arial" w:eastAsia="Times New Roman" w:hAnsi="Arial" w:cs="Arial"/>
          <w:i/>
        </w:rPr>
        <w:t>et al</w:t>
      </w:r>
      <w:r w:rsidRPr="00DC016F">
        <w:rPr>
          <w:rFonts w:ascii="Arial" w:eastAsia="Times New Roman" w:hAnsi="Arial" w:cs="Arial"/>
        </w:rPr>
        <w:t xml:space="preserve">. </w:t>
      </w:r>
      <w:r w:rsidR="0034498A">
        <w:rPr>
          <w:rFonts w:ascii="Arial" w:eastAsia="Times New Roman" w:hAnsi="Arial" w:cs="Arial"/>
        </w:rPr>
        <w:t>[20]</w:t>
      </w:r>
      <w:r w:rsidRPr="00DC016F">
        <w:rPr>
          <w:rFonts w:ascii="Arial" w:eastAsia="Times New Roman" w:hAnsi="Arial" w:cs="Arial"/>
        </w:rPr>
        <w:t xml:space="preserve"> and Islam </w:t>
      </w:r>
      <w:r w:rsidR="00F67EA0" w:rsidRPr="00DC016F">
        <w:rPr>
          <w:rFonts w:ascii="Arial" w:eastAsia="Times New Roman" w:hAnsi="Arial" w:cs="Arial"/>
          <w:i/>
        </w:rPr>
        <w:t>et al</w:t>
      </w:r>
      <w:r w:rsidRPr="00DC016F">
        <w:rPr>
          <w:rFonts w:ascii="Arial" w:eastAsia="Times New Roman" w:hAnsi="Arial" w:cs="Arial"/>
        </w:rPr>
        <w:t xml:space="preserve">. </w:t>
      </w:r>
      <w:r w:rsidR="0034498A">
        <w:rPr>
          <w:rFonts w:ascii="Arial" w:eastAsia="Times New Roman" w:hAnsi="Arial" w:cs="Arial"/>
        </w:rPr>
        <w:t>[4]</w:t>
      </w:r>
      <w:r w:rsidRPr="00DC016F">
        <w:rPr>
          <w:rFonts w:ascii="Arial" w:eastAsia="Times New Roman" w:hAnsi="Arial" w:cs="Arial"/>
        </w:rPr>
        <w:t>.</w:t>
      </w:r>
    </w:p>
    <w:p w14:paraId="07544296" w14:textId="135E6865" w:rsidR="005F4400" w:rsidRPr="00DC016F" w:rsidRDefault="005F4400" w:rsidP="00AA541A">
      <w:pPr>
        <w:spacing w:after="0" w:line="360" w:lineRule="auto"/>
        <w:jc w:val="both"/>
        <w:rPr>
          <w:rFonts w:ascii="Arial" w:eastAsia="Times New Roman" w:hAnsi="Arial" w:cs="Arial"/>
        </w:rPr>
      </w:pPr>
      <w:r w:rsidRPr="00DC016F">
        <w:rPr>
          <w:rFonts w:ascii="Arial" w:eastAsia="Times New Roman" w:hAnsi="Arial" w:cs="Arial"/>
        </w:rPr>
        <w:t xml:space="preserve">Dietary assessments in the study revealed that the mean intake of energy, protein, vitamin A, iron, and calcium among under-five children fell below recommended dietary allowances (RDAs), echoing findings by </w:t>
      </w:r>
      <w:proofErr w:type="spellStart"/>
      <w:r w:rsidRPr="00DC016F">
        <w:rPr>
          <w:rFonts w:ascii="Arial" w:eastAsia="Times New Roman" w:hAnsi="Arial" w:cs="Arial"/>
        </w:rPr>
        <w:t>Amosu</w:t>
      </w:r>
      <w:proofErr w:type="spellEnd"/>
      <w:r w:rsidRPr="00DC016F">
        <w:rPr>
          <w:rFonts w:ascii="Arial" w:eastAsia="Times New Roman" w:hAnsi="Arial" w:cs="Arial"/>
        </w:rPr>
        <w:t xml:space="preserve"> </w:t>
      </w:r>
      <w:r w:rsidR="00F67EA0" w:rsidRPr="00DC016F">
        <w:rPr>
          <w:rFonts w:ascii="Arial" w:eastAsia="Times New Roman" w:hAnsi="Arial" w:cs="Arial"/>
          <w:i/>
        </w:rPr>
        <w:t>et al</w:t>
      </w:r>
      <w:r w:rsidRPr="00DC016F">
        <w:rPr>
          <w:rFonts w:ascii="Arial" w:eastAsia="Times New Roman" w:hAnsi="Arial" w:cs="Arial"/>
        </w:rPr>
        <w:t xml:space="preserve">. </w:t>
      </w:r>
      <w:r w:rsidR="00B4524F">
        <w:rPr>
          <w:rFonts w:ascii="Arial" w:eastAsia="Times New Roman" w:hAnsi="Arial" w:cs="Arial"/>
        </w:rPr>
        <w:t>[21]</w:t>
      </w:r>
      <w:r w:rsidRPr="00DC016F">
        <w:rPr>
          <w:rFonts w:ascii="Arial" w:eastAsia="Times New Roman" w:hAnsi="Arial" w:cs="Arial"/>
        </w:rPr>
        <w:t xml:space="preserve"> in South-Western Nigeria. Approximately 27% of Nigerian children under five meet their RDAs, leaving many vulnerable to protein-energy malnutrition and micronutrient deficiencies, which impair immune defenses and prolong illnesses. These deficiencies are a leading cause of morbidity and mortality among children in developing countries, particularly in sub-Saharan Africa, as poor nutrition weakens immune responses and exacerbates disease conditions.</w:t>
      </w:r>
    </w:p>
    <w:p w14:paraId="468B2E1D" w14:textId="7F2FB129" w:rsidR="005F4400" w:rsidRPr="00DC016F" w:rsidRDefault="005F4400" w:rsidP="00AA541A">
      <w:pPr>
        <w:spacing w:after="0" w:line="360" w:lineRule="auto"/>
        <w:jc w:val="both"/>
        <w:rPr>
          <w:rFonts w:ascii="Arial" w:eastAsia="Times New Roman" w:hAnsi="Arial" w:cs="Arial"/>
        </w:rPr>
      </w:pPr>
      <w:r w:rsidRPr="00DC016F">
        <w:rPr>
          <w:rFonts w:ascii="Arial" w:eastAsia="Times New Roman" w:hAnsi="Arial" w:cs="Arial"/>
        </w:rPr>
        <w:t xml:space="preserve">The prevalence of malnutrition in the study area was 19%, including underweight (6%), stunting (3%), overweight (7%), and obesity (3%). These findings align with recent research, such as Jude </w:t>
      </w:r>
      <w:r w:rsidR="00F67EA0" w:rsidRPr="00DC016F">
        <w:rPr>
          <w:rFonts w:ascii="Arial" w:eastAsia="Times New Roman" w:hAnsi="Arial" w:cs="Arial"/>
          <w:i/>
        </w:rPr>
        <w:t>et al</w:t>
      </w:r>
      <w:r w:rsidRPr="00DC016F">
        <w:rPr>
          <w:rFonts w:ascii="Arial" w:eastAsia="Times New Roman" w:hAnsi="Arial" w:cs="Arial"/>
        </w:rPr>
        <w:t xml:space="preserve">. </w:t>
      </w:r>
      <w:r w:rsidR="000A6F64">
        <w:rPr>
          <w:rFonts w:ascii="Arial" w:eastAsia="Times New Roman" w:hAnsi="Arial" w:cs="Arial"/>
        </w:rPr>
        <w:t>[22]</w:t>
      </w:r>
      <w:r w:rsidRPr="00DC016F">
        <w:rPr>
          <w:rFonts w:ascii="Arial" w:eastAsia="Times New Roman" w:hAnsi="Arial" w:cs="Arial"/>
        </w:rPr>
        <w:t>, which recorded an 8.5% malnutrition prevalence among under-five children in South-Eastern Nigeria. Stunting, often indicative of chronic malnutrition, was relatively low (3%) compared to higher rates in Ethiopia and other countries, which may be attributed to differences in food composition and socio-economic conditions. The low prevalence of stunting suggests a less severe issue in the study area, emphasizing the need for quality complementary foods and investment in sustainable, food-based strategies to combat micronutrient deficiencies.</w:t>
      </w:r>
    </w:p>
    <w:p w14:paraId="6474DC29" w14:textId="77777777" w:rsidR="005F4400" w:rsidRPr="00DC016F" w:rsidRDefault="005F4400" w:rsidP="00AA541A">
      <w:pPr>
        <w:spacing w:after="0" w:line="360" w:lineRule="auto"/>
        <w:jc w:val="both"/>
        <w:rPr>
          <w:rFonts w:ascii="Arial" w:eastAsia="Times New Roman" w:hAnsi="Arial" w:cs="Arial"/>
        </w:rPr>
      </w:pPr>
      <w:r w:rsidRPr="00DC016F">
        <w:rPr>
          <w:rFonts w:ascii="Arial" w:eastAsia="Times New Roman" w:hAnsi="Arial" w:cs="Arial"/>
        </w:rPr>
        <w:t>Underweight prevalence was lower (5%) compared to findings in Ethiopia, where studies recorded rates of 21% and higher. Wasting, typically caused by recent illness or food shortages, was also less prevalent than stunting or underweight, indicating a higher occurrence of chronic rather than acute malnutrition in the study area. Overnutrition, reflected in a combined overweight and obesity prevalence of 10%, exceeded Nigeria's national average, indicating a growing nutritional transition in some regions. These findings underscore the dual burden of malnutrition, with both undernutrition and overnutrition posing health risks to children.</w:t>
      </w:r>
    </w:p>
    <w:p w14:paraId="722EF1A0" w14:textId="4C2EC6F5" w:rsidR="005F4400" w:rsidRPr="00DC016F" w:rsidRDefault="005F4400" w:rsidP="00AA541A">
      <w:pPr>
        <w:spacing w:after="0" w:line="360" w:lineRule="auto"/>
        <w:jc w:val="both"/>
        <w:rPr>
          <w:rFonts w:ascii="Arial" w:eastAsia="Times New Roman" w:hAnsi="Arial" w:cs="Arial"/>
        </w:rPr>
      </w:pPr>
      <w:r w:rsidRPr="00DC016F">
        <w:rPr>
          <w:rFonts w:ascii="Arial" w:eastAsia="Times New Roman" w:hAnsi="Arial" w:cs="Arial"/>
        </w:rPr>
        <w:lastRenderedPageBreak/>
        <w:t>The study assessed serum levels of vitamin A, D, and E among children, finding no evidence of vitamin A deficiency, contrary to pre</w:t>
      </w:r>
      <w:r w:rsidR="000A6F64">
        <w:rPr>
          <w:rFonts w:ascii="Arial" w:eastAsia="Times New Roman" w:hAnsi="Arial" w:cs="Arial"/>
        </w:rPr>
        <w:t>vious findings by Akinyele [23]</w:t>
      </w:r>
      <w:r w:rsidRPr="00DC016F">
        <w:rPr>
          <w:rFonts w:ascii="Arial" w:eastAsia="Times New Roman" w:hAnsi="Arial" w:cs="Arial"/>
        </w:rPr>
        <w:t xml:space="preserve"> that identified marginal and clinical deficiencies in Nigeria's Northwest zone. The observed vitamin D levels varied significantly, influenced by dietary differences and sun exposure, aligning with findings from Wei </w:t>
      </w:r>
      <w:r w:rsidR="00F67EA0" w:rsidRPr="00DC016F">
        <w:rPr>
          <w:rFonts w:ascii="Arial" w:eastAsia="Times New Roman" w:hAnsi="Arial" w:cs="Arial"/>
          <w:i/>
        </w:rPr>
        <w:t>et al</w:t>
      </w:r>
      <w:r w:rsidRPr="00DC016F">
        <w:rPr>
          <w:rFonts w:ascii="Arial" w:eastAsia="Times New Roman" w:hAnsi="Arial" w:cs="Arial"/>
        </w:rPr>
        <w:t xml:space="preserve">. </w:t>
      </w:r>
      <w:r w:rsidR="0040762B">
        <w:rPr>
          <w:rFonts w:ascii="Arial" w:eastAsia="Times New Roman" w:hAnsi="Arial" w:cs="Arial"/>
        </w:rPr>
        <w:t>[24]</w:t>
      </w:r>
      <w:r w:rsidRPr="00DC016F">
        <w:rPr>
          <w:rFonts w:ascii="Arial" w:eastAsia="Times New Roman" w:hAnsi="Arial" w:cs="Arial"/>
        </w:rPr>
        <w:t xml:space="preserve"> in China. Vitamin D deficiency, linked to rickets in children, remains a concern in some contexts but is mitigated by adequate sunlight in the study area. Vitamin E levels also varied, likely due to dietary supplementation, hormonal differences, and general health conditions. Excessive vitamin E intake can antagonize other fat-soluble vitamins, emphasizing the need for balanced supplementation.</w:t>
      </w:r>
    </w:p>
    <w:p w14:paraId="41589793" w14:textId="77777777" w:rsidR="00AC43DA" w:rsidRPr="00DC016F" w:rsidRDefault="005F4400" w:rsidP="00AA541A">
      <w:pPr>
        <w:spacing w:after="0" w:line="360" w:lineRule="auto"/>
        <w:jc w:val="both"/>
        <w:rPr>
          <w:rFonts w:ascii="Arial" w:eastAsia="Times New Roman" w:hAnsi="Arial" w:cs="Arial"/>
        </w:rPr>
      </w:pPr>
      <w:r w:rsidRPr="00DC016F">
        <w:rPr>
          <w:rFonts w:ascii="Arial" w:eastAsia="Times New Roman" w:hAnsi="Arial" w:cs="Arial"/>
        </w:rPr>
        <w:t xml:space="preserve">Iron status among children was also evaluated, with serum ferritin levels indicating no deficiency in the study </w:t>
      </w:r>
    </w:p>
    <w:p w14:paraId="16D27532" w14:textId="0872F09A" w:rsidR="005B20B1" w:rsidRPr="00DC016F" w:rsidRDefault="005F4400" w:rsidP="00AA541A">
      <w:pPr>
        <w:spacing w:after="0" w:line="360" w:lineRule="auto"/>
        <w:jc w:val="both"/>
        <w:rPr>
          <w:rFonts w:ascii="Arial" w:eastAsia="Times New Roman" w:hAnsi="Arial" w:cs="Arial"/>
        </w:rPr>
      </w:pPr>
      <w:r w:rsidRPr="00DC016F">
        <w:rPr>
          <w:rFonts w:ascii="Arial" w:eastAsia="Times New Roman" w:hAnsi="Arial" w:cs="Arial"/>
        </w:rPr>
        <w:t xml:space="preserve">population, contrary to prior surveys like Akinyele's </w:t>
      </w:r>
      <w:r w:rsidR="0040762B">
        <w:rPr>
          <w:rFonts w:ascii="Arial" w:eastAsia="Times New Roman" w:hAnsi="Arial" w:cs="Arial"/>
        </w:rPr>
        <w:t>[23]</w:t>
      </w:r>
      <w:r w:rsidRPr="00DC016F">
        <w:rPr>
          <w:rFonts w:ascii="Arial" w:eastAsia="Times New Roman" w:hAnsi="Arial" w:cs="Arial"/>
        </w:rPr>
        <w:t xml:space="preserve">, which found iron deficiency rates of 21.7% among under-fives in the Northwest zone. Adequate dietary iron intake in the study area, supported by iron-rich staple foods such as maize and beans, likely contributed to these findings. This aligns with Adish </w:t>
      </w:r>
      <w:r w:rsidR="00F67EA0" w:rsidRPr="00DC016F">
        <w:rPr>
          <w:rFonts w:ascii="Arial" w:eastAsia="Times New Roman" w:hAnsi="Arial" w:cs="Arial"/>
          <w:i/>
        </w:rPr>
        <w:t>et al</w:t>
      </w:r>
      <w:r w:rsidRPr="00DC016F">
        <w:rPr>
          <w:rFonts w:ascii="Arial" w:eastAsia="Times New Roman" w:hAnsi="Arial" w:cs="Arial"/>
        </w:rPr>
        <w:t xml:space="preserve">. </w:t>
      </w:r>
      <w:r w:rsidR="0040762B">
        <w:rPr>
          <w:rFonts w:ascii="Arial" w:eastAsia="Times New Roman" w:hAnsi="Arial" w:cs="Arial"/>
        </w:rPr>
        <w:t>[25]</w:t>
      </w:r>
      <w:r w:rsidRPr="00DC016F">
        <w:rPr>
          <w:rFonts w:ascii="Arial" w:eastAsia="Times New Roman" w:hAnsi="Arial" w:cs="Arial"/>
        </w:rPr>
        <w:t>, who reported sufficient dietary iron levels in Ethiopian children. These findings highlight the critical role of diet in addressing micronutrient deficiencies and underline the need for targeted nutritional interventions to improve child health.</w:t>
      </w:r>
    </w:p>
    <w:p w14:paraId="59DEFA8D" w14:textId="77777777" w:rsidR="006D76E4" w:rsidRDefault="006D76E4" w:rsidP="00AA541A">
      <w:pPr>
        <w:pStyle w:val="Heading2"/>
        <w:spacing w:before="0" w:line="360" w:lineRule="auto"/>
        <w:jc w:val="both"/>
        <w:rPr>
          <w:rFonts w:ascii="Arial" w:hAnsi="Arial" w:cs="Arial"/>
          <w:b/>
          <w:bCs/>
          <w:color w:val="auto"/>
          <w:sz w:val="22"/>
          <w:szCs w:val="22"/>
        </w:rPr>
      </w:pPr>
      <w:bookmarkStart w:id="52" w:name="_Toc536761092"/>
    </w:p>
    <w:p w14:paraId="279F8110" w14:textId="5A3ED082" w:rsidR="00FD59DA" w:rsidRPr="00DC016F" w:rsidRDefault="006D76E4" w:rsidP="00AA541A">
      <w:pPr>
        <w:pStyle w:val="Heading2"/>
        <w:spacing w:before="0" w:line="360" w:lineRule="auto"/>
        <w:jc w:val="both"/>
        <w:rPr>
          <w:rFonts w:ascii="Arial" w:hAnsi="Arial" w:cs="Arial"/>
          <w:b/>
          <w:bCs/>
          <w:color w:val="auto"/>
          <w:sz w:val="22"/>
          <w:szCs w:val="22"/>
        </w:rPr>
      </w:pPr>
      <w:r>
        <w:rPr>
          <w:rFonts w:ascii="Arial" w:hAnsi="Arial" w:cs="Arial"/>
          <w:b/>
          <w:bCs/>
          <w:color w:val="auto"/>
          <w:sz w:val="22"/>
          <w:szCs w:val="22"/>
        </w:rPr>
        <w:t xml:space="preserve">5.0 </w:t>
      </w:r>
      <w:r w:rsidR="00FD59DA" w:rsidRPr="00DC016F">
        <w:rPr>
          <w:rFonts w:ascii="Arial" w:hAnsi="Arial" w:cs="Arial"/>
          <w:b/>
          <w:bCs/>
          <w:color w:val="auto"/>
          <w:sz w:val="22"/>
          <w:szCs w:val="22"/>
        </w:rPr>
        <w:t>Conclusion</w:t>
      </w:r>
      <w:bookmarkEnd w:id="52"/>
    </w:p>
    <w:p w14:paraId="2D270773" w14:textId="7B56CE18" w:rsidR="00FD59DA" w:rsidRPr="00DC016F" w:rsidRDefault="00FD59DA" w:rsidP="00AA541A">
      <w:pPr>
        <w:spacing w:after="0" w:line="360" w:lineRule="auto"/>
        <w:jc w:val="both"/>
        <w:rPr>
          <w:rFonts w:ascii="Arial" w:hAnsi="Arial" w:cs="Arial"/>
          <w:b/>
        </w:rPr>
      </w:pPr>
      <w:r w:rsidRPr="00DC016F">
        <w:rPr>
          <w:rFonts w:ascii="Arial" w:hAnsi="Arial" w:cs="Arial"/>
        </w:rPr>
        <w:t>To conclude, the study showed</w:t>
      </w:r>
      <w:r w:rsidR="00033317" w:rsidRPr="00DC016F">
        <w:rPr>
          <w:rFonts w:ascii="Arial" w:hAnsi="Arial" w:cs="Arial"/>
        </w:rPr>
        <w:t xml:space="preserve"> </w:t>
      </w:r>
      <w:r w:rsidRPr="00DC016F">
        <w:rPr>
          <w:rFonts w:ascii="Arial" w:hAnsi="Arial" w:cs="Arial"/>
        </w:rPr>
        <w:t>prevalence rates of malnutrition 19% consisting of 11% Undernutrition and 8% over nutrition. Undernutrition in form of chronic malnutrition (stunting), acute malnutrition(wasting), and underweight is widespread across Nigeria. The severity varies</w:t>
      </w:r>
      <w:r w:rsidR="00033317" w:rsidRPr="00DC016F">
        <w:rPr>
          <w:rFonts w:ascii="Arial" w:hAnsi="Arial" w:cs="Arial"/>
        </w:rPr>
        <w:t xml:space="preserve"> </w:t>
      </w:r>
      <w:r w:rsidRPr="00DC016F">
        <w:rPr>
          <w:rFonts w:ascii="Arial" w:hAnsi="Arial" w:cs="Arial"/>
        </w:rPr>
        <w:t>according to geographical zones with the Northern zones contributing the</w:t>
      </w:r>
      <w:r w:rsidR="00033317" w:rsidRPr="00DC016F">
        <w:rPr>
          <w:rFonts w:ascii="Arial" w:hAnsi="Arial" w:cs="Arial"/>
        </w:rPr>
        <w:t xml:space="preserve"> </w:t>
      </w:r>
      <w:r w:rsidRPr="00DC016F">
        <w:rPr>
          <w:rFonts w:ascii="Arial" w:hAnsi="Arial" w:cs="Arial"/>
        </w:rPr>
        <w:t>highest percentage of stunting and underweight. This study established that he determinants of under-nutrition are interrelated and thus requires a</w:t>
      </w:r>
      <w:r w:rsidR="00033317" w:rsidRPr="00DC016F">
        <w:rPr>
          <w:rFonts w:ascii="Arial" w:hAnsi="Arial" w:cs="Arial"/>
        </w:rPr>
        <w:t xml:space="preserve"> </w:t>
      </w:r>
      <w:r w:rsidRPr="00DC016F">
        <w:rPr>
          <w:rFonts w:ascii="Arial" w:hAnsi="Arial" w:cs="Arial"/>
        </w:rPr>
        <w:t>multi-sectoral and multi-disciplinary approach in addressing. Inadequate/inappropriate feeding practices have been identified</w:t>
      </w:r>
      <w:r w:rsidR="00033317" w:rsidRPr="00DC016F">
        <w:rPr>
          <w:rFonts w:ascii="Arial" w:hAnsi="Arial" w:cs="Arial"/>
        </w:rPr>
        <w:t xml:space="preserve"> </w:t>
      </w:r>
      <w:r w:rsidRPr="00DC016F">
        <w:rPr>
          <w:rFonts w:ascii="Arial" w:hAnsi="Arial" w:cs="Arial"/>
        </w:rPr>
        <w:t>as a major cause of chronic and acute malnutrition among under-five</w:t>
      </w:r>
      <w:r w:rsidR="00033317" w:rsidRPr="00DC016F">
        <w:rPr>
          <w:rFonts w:ascii="Arial" w:hAnsi="Arial" w:cs="Arial"/>
        </w:rPr>
        <w:t xml:space="preserve"> </w:t>
      </w:r>
      <w:r w:rsidRPr="00DC016F">
        <w:rPr>
          <w:rFonts w:ascii="Arial" w:hAnsi="Arial" w:cs="Arial"/>
        </w:rPr>
        <w:t>children in Nigeria. The</w:t>
      </w:r>
      <w:r w:rsidR="00033317" w:rsidRPr="00DC016F">
        <w:rPr>
          <w:rFonts w:ascii="Arial" w:hAnsi="Arial" w:cs="Arial"/>
        </w:rPr>
        <w:t xml:space="preserve"> </w:t>
      </w:r>
      <w:r w:rsidRPr="00DC016F">
        <w:rPr>
          <w:rFonts w:ascii="Arial" w:hAnsi="Arial" w:cs="Arial"/>
        </w:rPr>
        <w:t>low rate of protein-energy malnutrition and micronutrient deficiencies among the under-five children in the area of study although not significantly related with their nutritional status should encourage sustained efforts to prevent further rise and possibly eliminate the scourge of malnutrition.</w:t>
      </w:r>
    </w:p>
    <w:p w14:paraId="36D1EA89" w14:textId="77777777" w:rsidR="006D76E4" w:rsidRDefault="006D76E4" w:rsidP="00AA541A">
      <w:pPr>
        <w:pStyle w:val="Heading2"/>
        <w:spacing w:before="0" w:line="360" w:lineRule="auto"/>
        <w:jc w:val="both"/>
        <w:rPr>
          <w:rFonts w:ascii="Arial" w:hAnsi="Arial" w:cs="Arial"/>
          <w:b/>
          <w:bCs/>
          <w:color w:val="auto"/>
          <w:sz w:val="22"/>
          <w:szCs w:val="22"/>
        </w:rPr>
      </w:pPr>
      <w:bookmarkStart w:id="53" w:name="_Toc536761093"/>
    </w:p>
    <w:p w14:paraId="4D5588F0" w14:textId="2E1F6569" w:rsidR="00FD59DA" w:rsidRPr="00DC016F" w:rsidRDefault="006D76E4" w:rsidP="00AA541A">
      <w:pPr>
        <w:pStyle w:val="Heading2"/>
        <w:spacing w:before="0" w:line="360" w:lineRule="auto"/>
        <w:jc w:val="both"/>
        <w:rPr>
          <w:rFonts w:ascii="Arial" w:hAnsi="Arial" w:cs="Arial"/>
          <w:b/>
          <w:bCs/>
          <w:color w:val="auto"/>
          <w:sz w:val="22"/>
          <w:szCs w:val="22"/>
        </w:rPr>
      </w:pPr>
      <w:r>
        <w:rPr>
          <w:rFonts w:ascii="Arial" w:hAnsi="Arial" w:cs="Arial"/>
          <w:b/>
          <w:bCs/>
          <w:color w:val="auto"/>
          <w:sz w:val="22"/>
          <w:szCs w:val="22"/>
        </w:rPr>
        <w:t xml:space="preserve">6.0 </w:t>
      </w:r>
      <w:r w:rsidR="00FD59DA" w:rsidRPr="00DC016F">
        <w:rPr>
          <w:rFonts w:ascii="Arial" w:hAnsi="Arial" w:cs="Arial"/>
          <w:b/>
          <w:bCs/>
          <w:color w:val="auto"/>
          <w:sz w:val="22"/>
          <w:szCs w:val="22"/>
        </w:rPr>
        <w:t>Recommendations</w:t>
      </w:r>
      <w:bookmarkEnd w:id="53"/>
    </w:p>
    <w:p w14:paraId="648A5CCE" w14:textId="77777777" w:rsidR="00E13AFF" w:rsidRPr="00DC016F" w:rsidRDefault="00E13AFF" w:rsidP="00AA541A">
      <w:pPr>
        <w:pStyle w:val="NormalWeb"/>
        <w:spacing w:before="0" w:beforeAutospacing="0" w:after="0" w:afterAutospacing="0" w:line="360" w:lineRule="auto"/>
        <w:jc w:val="both"/>
        <w:rPr>
          <w:rFonts w:ascii="Arial" w:hAnsi="Arial" w:cs="Arial"/>
          <w:sz w:val="22"/>
          <w:szCs w:val="22"/>
        </w:rPr>
      </w:pPr>
      <w:r w:rsidRPr="00DC016F">
        <w:rPr>
          <w:rFonts w:ascii="Arial" w:hAnsi="Arial" w:cs="Arial"/>
          <w:sz w:val="22"/>
          <w:szCs w:val="22"/>
        </w:rPr>
        <w:t>The following recommendations aim to address under-nutrition among under-five children in Nigeria:</w:t>
      </w:r>
    </w:p>
    <w:p w14:paraId="2B17262D" w14:textId="77777777" w:rsidR="00E13AFF" w:rsidRPr="00DC016F" w:rsidRDefault="00E13AFF" w:rsidP="00033317">
      <w:pPr>
        <w:pStyle w:val="ListParagraph"/>
        <w:numPr>
          <w:ilvl w:val="0"/>
          <w:numId w:val="40"/>
        </w:numPr>
        <w:spacing w:after="0" w:line="360" w:lineRule="auto"/>
        <w:jc w:val="both"/>
        <w:rPr>
          <w:rFonts w:ascii="Arial" w:hAnsi="Arial" w:cs="Arial"/>
        </w:rPr>
      </w:pPr>
      <w:r w:rsidRPr="00DC016F">
        <w:rPr>
          <w:rFonts w:ascii="Arial" w:hAnsi="Arial" w:cs="Arial"/>
        </w:rPr>
        <w:lastRenderedPageBreak/>
        <w:t>Revisit National Policy on Food and Nutrition: There should be collaboration between the agriculture and nutrition sectors. Policies should include strategies to promote household access to nutritious food, such as food fortification and home gardening, particularly for women.</w:t>
      </w:r>
    </w:p>
    <w:p w14:paraId="32204FEF" w14:textId="77777777" w:rsidR="00E13AFF" w:rsidRPr="00DC016F" w:rsidRDefault="00E13AFF" w:rsidP="00033317">
      <w:pPr>
        <w:pStyle w:val="ListParagraph"/>
        <w:numPr>
          <w:ilvl w:val="0"/>
          <w:numId w:val="40"/>
        </w:numPr>
        <w:spacing w:after="0" w:line="360" w:lineRule="auto"/>
        <w:jc w:val="both"/>
        <w:rPr>
          <w:rFonts w:ascii="Arial" w:hAnsi="Arial" w:cs="Arial"/>
        </w:rPr>
      </w:pPr>
      <w:r w:rsidRPr="00DC016F">
        <w:rPr>
          <w:rFonts w:ascii="Arial" w:hAnsi="Arial" w:cs="Arial"/>
        </w:rPr>
        <w:t>Encourage Female Enrollment in Schools: Female education, particularly in northern Nigeria, should be prioritized by collaborating with relevant ministries to advocate for the education of girls and women.</w:t>
      </w:r>
    </w:p>
    <w:p w14:paraId="1CA75786" w14:textId="77777777" w:rsidR="00E13AFF" w:rsidRPr="00DC016F" w:rsidRDefault="00E13AFF" w:rsidP="00033317">
      <w:pPr>
        <w:pStyle w:val="ListParagraph"/>
        <w:numPr>
          <w:ilvl w:val="0"/>
          <w:numId w:val="40"/>
        </w:numPr>
        <w:spacing w:after="0" w:line="360" w:lineRule="auto"/>
        <w:jc w:val="both"/>
        <w:rPr>
          <w:rFonts w:ascii="Arial" w:hAnsi="Arial" w:cs="Arial"/>
        </w:rPr>
      </w:pPr>
      <w:r w:rsidRPr="00DC016F">
        <w:rPr>
          <w:rFonts w:ascii="Arial" w:hAnsi="Arial" w:cs="Arial"/>
        </w:rPr>
        <w:t>Track Malnutrition Trends: Regular surveys should be conducted by relevant bodies (e.g., FMOH, NPC, NCFN) to monitor progress in addressing malnutrition and health indicators.</w:t>
      </w:r>
    </w:p>
    <w:p w14:paraId="5AD55F08" w14:textId="77777777" w:rsidR="00E13AFF" w:rsidRPr="00DC016F" w:rsidRDefault="00E13AFF" w:rsidP="00033317">
      <w:pPr>
        <w:pStyle w:val="ListParagraph"/>
        <w:numPr>
          <w:ilvl w:val="0"/>
          <w:numId w:val="40"/>
        </w:numPr>
        <w:spacing w:after="0" w:line="360" w:lineRule="auto"/>
        <w:jc w:val="both"/>
        <w:rPr>
          <w:rFonts w:ascii="Arial" w:hAnsi="Arial" w:cs="Arial"/>
        </w:rPr>
      </w:pPr>
      <w:r w:rsidRPr="00DC016F">
        <w:rPr>
          <w:rFonts w:ascii="Arial" w:hAnsi="Arial" w:cs="Arial"/>
        </w:rPr>
        <w:t>Support Research on Household Food Security: Research on food security at the national level should be encouraged and financed by government bodies and academic institutions.</w:t>
      </w:r>
    </w:p>
    <w:p w14:paraId="46ABAE51" w14:textId="77777777" w:rsidR="00E13AFF" w:rsidRPr="00DC016F" w:rsidRDefault="00E13AFF" w:rsidP="00033317">
      <w:pPr>
        <w:pStyle w:val="ListParagraph"/>
        <w:numPr>
          <w:ilvl w:val="0"/>
          <w:numId w:val="40"/>
        </w:numPr>
        <w:spacing w:after="0" w:line="360" w:lineRule="auto"/>
        <w:jc w:val="both"/>
        <w:rPr>
          <w:rFonts w:ascii="Arial" w:hAnsi="Arial" w:cs="Arial"/>
        </w:rPr>
      </w:pPr>
      <w:r w:rsidRPr="00DC016F">
        <w:rPr>
          <w:rFonts w:ascii="Arial" w:hAnsi="Arial" w:cs="Arial"/>
        </w:rPr>
        <w:t>Train Health Workers: Health workers, especially at Primary Health Care (PHC) centers, should receive regular training in nutrition counseling, growth monitoring, child care, breastfeeding, and complementary feeding.</w:t>
      </w:r>
    </w:p>
    <w:p w14:paraId="434B2F4B" w14:textId="77777777" w:rsidR="00E13AFF" w:rsidRPr="00DC016F" w:rsidRDefault="00E13AFF" w:rsidP="00033317">
      <w:pPr>
        <w:pStyle w:val="ListParagraph"/>
        <w:numPr>
          <w:ilvl w:val="0"/>
          <w:numId w:val="40"/>
        </w:numPr>
        <w:spacing w:after="0" w:line="360" w:lineRule="auto"/>
        <w:jc w:val="both"/>
        <w:rPr>
          <w:rFonts w:ascii="Arial" w:hAnsi="Arial" w:cs="Arial"/>
        </w:rPr>
      </w:pPr>
      <w:r w:rsidRPr="00DC016F">
        <w:rPr>
          <w:rFonts w:ascii="Arial" w:hAnsi="Arial" w:cs="Arial"/>
        </w:rPr>
        <w:t>Promote Community-based Health and Nutrition Interventions: Local Government Areas (LGAs) should collaborate with the FMOH, SMOH, community, religious leaders, and NGOs to promote good nutrition practices at the community level.</w:t>
      </w:r>
    </w:p>
    <w:p w14:paraId="0582263E" w14:textId="77777777" w:rsidR="006D76E4" w:rsidRDefault="006D76E4" w:rsidP="004B2578">
      <w:pPr>
        <w:spacing w:after="0" w:line="240" w:lineRule="auto"/>
        <w:jc w:val="both"/>
        <w:rPr>
          <w:rFonts w:ascii="Arial" w:hAnsi="Arial" w:cs="Arial"/>
          <w:b/>
          <w:bCs/>
        </w:rPr>
      </w:pPr>
    </w:p>
    <w:p w14:paraId="6D01DBBB" w14:textId="77777777" w:rsidR="006D76E4" w:rsidRDefault="006D76E4" w:rsidP="004B2578">
      <w:pPr>
        <w:spacing w:after="0" w:line="240" w:lineRule="auto"/>
        <w:jc w:val="both"/>
        <w:rPr>
          <w:rFonts w:ascii="Arial" w:hAnsi="Arial" w:cs="Arial"/>
          <w:b/>
          <w:bCs/>
        </w:rPr>
      </w:pPr>
    </w:p>
    <w:p w14:paraId="23A0DA99" w14:textId="5B524F46" w:rsidR="004B2578" w:rsidRDefault="008071B7" w:rsidP="004B2578">
      <w:pPr>
        <w:spacing w:after="0" w:line="240" w:lineRule="auto"/>
        <w:jc w:val="both"/>
        <w:rPr>
          <w:rFonts w:ascii="Arial" w:hAnsi="Arial" w:cs="Arial"/>
          <w:b/>
          <w:bCs/>
        </w:rPr>
      </w:pPr>
      <w:r w:rsidRPr="00DC016F">
        <w:rPr>
          <w:rFonts w:ascii="Arial" w:hAnsi="Arial" w:cs="Arial"/>
          <w:b/>
          <w:bCs/>
        </w:rPr>
        <w:t xml:space="preserve">REFERENCES </w:t>
      </w:r>
    </w:p>
    <w:p w14:paraId="38BF1A0A" w14:textId="77777777" w:rsidR="00BC4939" w:rsidRDefault="00BC4939" w:rsidP="00BC4939">
      <w:pPr>
        <w:pStyle w:val="ListParagraph"/>
        <w:numPr>
          <w:ilvl w:val="0"/>
          <w:numId w:val="43"/>
        </w:numPr>
        <w:jc w:val="both"/>
        <w:rPr>
          <w:rFonts w:ascii="Arial" w:hAnsi="Arial" w:cs="Arial"/>
        </w:rPr>
      </w:pPr>
      <w:r w:rsidRPr="00DC016F">
        <w:rPr>
          <w:rFonts w:ascii="Arial" w:hAnsi="Arial" w:cs="Arial"/>
        </w:rPr>
        <w:t xml:space="preserve">Black R. (2003). Micronutrient deficiency - An underlying cause of morbidity and mortality. Bull World Health Organ </w:t>
      </w:r>
      <w:proofErr w:type="gramStart"/>
      <w:r w:rsidRPr="00DC016F">
        <w:rPr>
          <w:rFonts w:ascii="Arial" w:hAnsi="Arial" w:cs="Arial"/>
        </w:rPr>
        <w:t>2003;81:79</w:t>
      </w:r>
      <w:proofErr w:type="gramEnd"/>
      <w:r w:rsidRPr="00DC016F">
        <w:rPr>
          <w:rFonts w:ascii="Arial" w:hAnsi="Arial" w:cs="Arial"/>
        </w:rPr>
        <w:t>.</w:t>
      </w:r>
    </w:p>
    <w:p w14:paraId="1656B4EC" w14:textId="77777777" w:rsidR="00BC4939" w:rsidRDefault="00BC4939" w:rsidP="00BC4939">
      <w:pPr>
        <w:pStyle w:val="ListParagraph"/>
        <w:numPr>
          <w:ilvl w:val="0"/>
          <w:numId w:val="43"/>
        </w:numPr>
        <w:jc w:val="both"/>
        <w:rPr>
          <w:rFonts w:ascii="Arial" w:hAnsi="Arial" w:cs="Arial"/>
        </w:rPr>
      </w:pPr>
      <w:r>
        <w:rPr>
          <w:rFonts w:ascii="Arial" w:hAnsi="Arial" w:cs="Arial"/>
        </w:rPr>
        <w:t>FAO (2015)</w:t>
      </w:r>
      <w:r w:rsidRPr="00DC016F">
        <w:rPr>
          <w:rFonts w:ascii="Arial" w:hAnsi="Arial" w:cs="Arial"/>
        </w:rPr>
        <w:t>. The State of Food Insecurity in the World 2015.Meeting the 2015 International Hunger Targets: Taking Stock of Uneven Progress. Rome: FAO; 2015.</w:t>
      </w:r>
    </w:p>
    <w:p w14:paraId="1767798F" w14:textId="77777777" w:rsidR="00BC4939" w:rsidRPr="00FA2F87" w:rsidRDefault="00BC4939" w:rsidP="00BC4939">
      <w:pPr>
        <w:pStyle w:val="ListParagraph"/>
        <w:numPr>
          <w:ilvl w:val="0"/>
          <w:numId w:val="43"/>
        </w:numPr>
        <w:jc w:val="both"/>
        <w:rPr>
          <w:rFonts w:ascii="Arial" w:hAnsi="Arial" w:cs="Arial"/>
        </w:rPr>
      </w:pPr>
      <w:proofErr w:type="spellStart"/>
      <w:r w:rsidRPr="00DC016F">
        <w:rPr>
          <w:rFonts w:ascii="Arial" w:eastAsia="Times New Roman" w:hAnsi="Arial" w:cs="Arial"/>
        </w:rPr>
        <w:t>Ekweagu</w:t>
      </w:r>
      <w:proofErr w:type="spellEnd"/>
      <w:r w:rsidRPr="00DC016F">
        <w:rPr>
          <w:rFonts w:ascii="Arial" w:eastAsia="Times New Roman" w:hAnsi="Arial" w:cs="Arial"/>
        </w:rPr>
        <w:t xml:space="preserve">, I. (2010). Public Health Nutrition. </w:t>
      </w:r>
      <w:r w:rsidRPr="00DC016F">
        <w:rPr>
          <w:rFonts w:ascii="Arial" w:eastAsia="Times New Roman" w:hAnsi="Arial" w:cs="Arial"/>
          <w:i/>
          <w:iCs/>
        </w:rPr>
        <w:t>Public Health Nutrition</w:t>
      </w:r>
      <w:r w:rsidRPr="00DC016F">
        <w:rPr>
          <w:rFonts w:ascii="Arial" w:eastAsia="Times New Roman" w:hAnsi="Arial" w:cs="Arial"/>
        </w:rPr>
        <w:t>, 13(6), 785-792.</w:t>
      </w:r>
    </w:p>
    <w:p w14:paraId="77AF22C9" w14:textId="77777777" w:rsidR="00BC4939" w:rsidRDefault="00BC4939" w:rsidP="00BC4939">
      <w:pPr>
        <w:pStyle w:val="ListParagraph"/>
        <w:numPr>
          <w:ilvl w:val="0"/>
          <w:numId w:val="43"/>
        </w:numPr>
        <w:jc w:val="both"/>
        <w:rPr>
          <w:rFonts w:ascii="Arial" w:hAnsi="Arial" w:cs="Arial"/>
        </w:rPr>
      </w:pPr>
      <w:r w:rsidRPr="00DC016F">
        <w:rPr>
          <w:rFonts w:ascii="Arial" w:hAnsi="Arial" w:cs="Arial"/>
        </w:rPr>
        <w:t xml:space="preserve">Islam S, Mahanta TG, Sarma R, Hiranya S. (2014). Nutritional status of under 5 children belonging to tribal population living in riverine (Char) areas of Dibrugarh District, Assam. </w:t>
      </w:r>
      <w:r w:rsidRPr="00DC016F">
        <w:rPr>
          <w:rFonts w:ascii="Arial" w:hAnsi="Arial" w:cs="Arial"/>
          <w:i/>
          <w:iCs/>
        </w:rPr>
        <w:t>Indian J Community Med</w:t>
      </w:r>
      <w:r w:rsidRPr="00DC016F">
        <w:rPr>
          <w:rFonts w:ascii="Arial" w:hAnsi="Arial" w:cs="Arial"/>
        </w:rPr>
        <w:t xml:space="preserve"> 39: 169–74.</w:t>
      </w:r>
    </w:p>
    <w:p w14:paraId="14D66FEF" w14:textId="77777777" w:rsidR="00BC4939" w:rsidRDefault="00BC4939" w:rsidP="00BC4939">
      <w:pPr>
        <w:pStyle w:val="ListParagraph"/>
        <w:numPr>
          <w:ilvl w:val="0"/>
          <w:numId w:val="43"/>
        </w:numPr>
        <w:jc w:val="both"/>
        <w:rPr>
          <w:rFonts w:ascii="Arial" w:hAnsi="Arial" w:cs="Arial"/>
        </w:rPr>
      </w:pPr>
      <w:proofErr w:type="spellStart"/>
      <w:r w:rsidRPr="00DC016F">
        <w:rPr>
          <w:rFonts w:ascii="Arial" w:hAnsi="Arial" w:cs="Arial"/>
        </w:rPr>
        <w:t>Ekweagwu</w:t>
      </w:r>
      <w:proofErr w:type="spellEnd"/>
      <w:r w:rsidRPr="00DC016F">
        <w:rPr>
          <w:rFonts w:ascii="Arial" w:hAnsi="Arial" w:cs="Arial"/>
        </w:rPr>
        <w:t xml:space="preserve"> E, Agwu AE, </w:t>
      </w:r>
      <w:proofErr w:type="spellStart"/>
      <w:r w:rsidRPr="00DC016F">
        <w:rPr>
          <w:rFonts w:ascii="Arial" w:hAnsi="Arial" w:cs="Arial"/>
        </w:rPr>
        <w:t>Madukwe</w:t>
      </w:r>
      <w:proofErr w:type="spellEnd"/>
      <w:r w:rsidRPr="00DC016F">
        <w:rPr>
          <w:rFonts w:ascii="Arial" w:hAnsi="Arial" w:cs="Arial"/>
        </w:rPr>
        <w:t xml:space="preserve"> E. (2008). The role of micronutrients in child health: A review of the literature. </w:t>
      </w:r>
      <w:proofErr w:type="spellStart"/>
      <w:r w:rsidRPr="00DC016F">
        <w:rPr>
          <w:rFonts w:ascii="Arial" w:hAnsi="Arial" w:cs="Arial"/>
          <w:i/>
        </w:rPr>
        <w:t>Afr</w:t>
      </w:r>
      <w:proofErr w:type="spellEnd"/>
      <w:r w:rsidRPr="00DC016F">
        <w:rPr>
          <w:rFonts w:ascii="Arial" w:hAnsi="Arial" w:cs="Arial"/>
          <w:i/>
        </w:rPr>
        <w:t xml:space="preserve"> J </w:t>
      </w:r>
      <w:proofErr w:type="spellStart"/>
      <w:r w:rsidRPr="00DC016F">
        <w:rPr>
          <w:rFonts w:ascii="Arial" w:hAnsi="Arial" w:cs="Arial"/>
          <w:i/>
        </w:rPr>
        <w:t>Biotechnol</w:t>
      </w:r>
      <w:proofErr w:type="spellEnd"/>
      <w:r w:rsidRPr="00DC016F">
        <w:rPr>
          <w:rFonts w:ascii="Arial" w:hAnsi="Arial" w:cs="Arial"/>
        </w:rPr>
        <w:t xml:space="preserve"> 7:3804-10.</w:t>
      </w:r>
    </w:p>
    <w:p w14:paraId="0190E17F" w14:textId="77777777" w:rsidR="00BC4939" w:rsidRPr="00FA2F87" w:rsidRDefault="00BC4939" w:rsidP="00BC4939">
      <w:pPr>
        <w:pStyle w:val="ListParagraph"/>
        <w:numPr>
          <w:ilvl w:val="0"/>
          <w:numId w:val="43"/>
        </w:numPr>
        <w:jc w:val="both"/>
        <w:rPr>
          <w:rFonts w:ascii="Arial" w:hAnsi="Arial" w:cs="Arial"/>
        </w:rPr>
      </w:pPr>
      <w:r w:rsidRPr="00FA2F87">
        <w:rPr>
          <w:rFonts w:ascii="Arial" w:hAnsi="Arial" w:cs="Arial"/>
        </w:rPr>
        <w:t>IITA. (2004). Nigerian Food Consumption and Nutritional Survey. Ibadan, Nigeria; p. 40-45.</w:t>
      </w:r>
    </w:p>
    <w:p w14:paraId="2E27650F" w14:textId="77777777" w:rsidR="00BC4939" w:rsidRDefault="00BC4939" w:rsidP="00BC4939">
      <w:pPr>
        <w:pStyle w:val="ListParagraph"/>
        <w:numPr>
          <w:ilvl w:val="0"/>
          <w:numId w:val="43"/>
        </w:numPr>
        <w:jc w:val="both"/>
        <w:rPr>
          <w:rFonts w:ascii="Arial" w:hAnsi="Arial" w:cs="Arial"/>
        </w:rPr>
      </w:pPr>
      <w:r w:rsidRPr="00DC016F">
        <w:rPr>
          <w:rFonts w:ascii="Arial" w:hAnsi="Arial" w:cs="Arial"/>
        </w:rPr>
        <w:t>Nigeria Demographic and Health Survey (NDHS) (2018). National Population Commission (NPC) [Nigeria] and ICF International. Nigeria Demographic and Health Survey 2018. Abuja and Rockville: NPC and ICF International; 2019.</w:t>
      </w:r>
    </w:p>
    <w:p w14:paraId="385CB277" w14:textId="77777777" w:rsidR="00BC4939" w:rsidRDefault="00BC4939" w:rsidP="00BC4939">
      <w:pPr>
        <w:pStyle w:val="ListParagraph"/>
        <w:numPr>
          <w:ilvl w:val="0"/>
          <w:numId w:val="43"/>
        </w:numPr>
        <w:jc w:val="both"/>
        <w:rPr>
          <w:rFonts w:ascii="Arial" w:hAnsi="Arial" w:cs="Arial"/>
        </w:rPr>
      </w:pPr>
      <w:proofErr w:type="spellStart"/>
      <w:r w:rsidRPr="00DC016F">
        <w:rPr>
          <w:rFonts w:ascii="Arial" w:hAnsi="Arial" w:cs="Arial"/>
        </w:rPr>
        <w:t>Manyike</w:t>
      </w:r>
      <w:proofErr w:type="spellEnd"/>
      <w:r w:rsidRPr="00DC016F">
        <w:rPr>
          <w:rFonts w:ascii="Arial" w:hAnsi="Arial" w:cs="Arial"/>
        </w:rPr>
        <w:t xml:space="preserve"> PC, </w:t>
      </w:r>
      <w:proofErr w:type="spellStart"/>
      <w:r w:rsidRPr="00DC016F">
        <w:rPr>
          <w:rFonts w:ascii="Arial" w:hAnsi="Arial" w:cs="Arial"/>
        </w:rPr>
        <w:t>Chinawa</w:t>
      </w:r>
      <w:proofErr w:type="spellEnd"/>
      <w:r w:rsidRPr="00DC016F">
        <w:rPr>
          <w:rFonts w:ascii="Arial" w:hAnsi="Arial" w:cs="Arial"/>
        </w:rPr>
        <w:t xml:space="preserve"> JM, </w:t>
      </w:r>
      <w:proofErr w:type="spellStart"/>
      <w:r w:rsidRPr="00DC016F">
        <w:rPr>
          <w:rFonts w:ascii="Arial" w:hAnsi="Arial" w:cs="Arial"/>
        </w:rPr>
        <w:t>Ubesie</w:t>
      </w:r>
      <w:proofErr w:type="spellEnd"/>
      <w:r w:rsidRPr="00DC016F">
        <w:rPr>
          <w:rFonts w:ascii="Arial" w:hAnsi="Arial" w:cs="Arial"/>
        </w:rPr>
        <w:t xml:space="preserve"> A C, </w:t>
      </w:r>
      <w:proofErr w:type="spellStart"/>
      <w:r w:rsidRPr="00DC016F">
        <w:rPr>
          <w:rFonts w:ascii="Arial" w:hAnsi="Arial" w:cs="Arial"/>
        </w:rPr>
        <w:t>Obu</w:t>
      </w:r>
      <w:proofErr w:type="spellEnd"/>
      <w:r w:rsidRPr="00DC016F">
        <w:rPr>
          <w:rFonts w:ascii="Arial" w:hAnsi="Arial" w:cs="Arial"/>
        </w:rPr>
        <w:t xml:space="preserve"> HA, </w:t>
      </w:r>
      <w:proofErr w:type="spellStart"/>
      <w:r w:rsidRPr="00DC016F">
        <w:rPr>
          <w:rFonts w:ascii="Arial" w:hAnsi="Arial" w:cs="Arial"/>
        </w:rPr>
        <w:t>Odetunde</w:t>
      </w:r>
      <w:proofErr w:type="spellEnd"/>
      <w:r w:rsidRPr="00DC016F">
        <w:rPr>
          <w:rFonts w:ascii="Arial" w:hAnsi="Arial" w:cs="Arial"/>
        </w:rPr>
        <w:t xml:space="preserve"> OI, </w:t>
      </w:r>
      <w:proofErr w:type="spellStart"/>
      <w:r w:rsidRPr="00DC016F">
        <w:rPr>
          <w:rFonts w:ascii="Arial" w:hAnsi="Arial" w:cs="Arial"/>
        </w:rPr>
        <w:t>Chinawa</w:t>
      </w:r>
      <w:proofErr w:type="spellEnd"/>
      <w:r w:rsidRPr="00DC016F">
        <w:rPr>
          <w:rFonts w:ascii="Arial" w:hAnsi="Arial" w:cs="Arial"/>
        </w:rPr>
        <w:t xml:space="preserve"> </w:t>
      </w:r>
      <w:proofErr w:type="gramStart"/>
      <w:r w:rsidRPr="00DC016F">
        <w:rPr>
          <w:rFonts w:ascii="Arial" w:hAnsi="Arial" w:cs="Arial"/>
        </w:rPr>
        <w:t>AT.(</w:t>
      </w:r>
      <w:proofErr w:type="gramEnd"/>
      <w:r w:rsidRPr="00DC016F">
        <w:rPr>
          <w:rFonts w:ascii="Arial" w:hAnsi="Arial" w:cs="Arial"/>
        </w:rPr>
        <w:t xml:space="preserve">2014). Prevalence of malnutrition among pre-school children in, South-east </w:t>
      </w:r>
      <w:proofErr w:type="spellStart"/>
      <w:r w:rsidRPr="00DC016F">
        <w:rPr>
          <w:rFonts w:ascii="Arial" w:hAnsi="Arial" w:cs="Arial"/>
        </w:rPr>
        <w:t>Nigeria.</w:t>
      </w:r>
      <w:r w:rsidRPr="00DC016F">
        <w:rPr>
          <w:rFonts w:ascii="Arial" w:hAnsi="Arial" w:cs="Arial"/>
          <w:i/>
          <w:iCs/>
        </w:rPr>
        <w:t>Ital</w:t>
      </w:r>
      <w:proofErr w:type="spellEnd"/>
      <w:r w:rsidRPr="00DC016F">
        <w:rPr>
          <w:rFonts w:ascii="Arial" w:hAnsi="Arial" w:cs="Arial"/>
          <w:i/>
          <w:iCs/>
        </w:rPr>
        <w:t xml:space="preserve"> J Paediatr</w:t>
      </w:r>
      <w:r w:rsidRPr="00DC016F">
        <w:rPr>
          <w:rFonts w:ascii="Arial" w:hAnsi="Arial" w:cs="Arial"/>
        </w:rPr>
        <w:t>40 :75.</w:t>
      </w:r>
    </w:p>
    <w:p w14:paraId="57373F2E" w14:textId="77777777" w:rsidR="00BC4939" w:rsidRDefault="00BC4939" w:rsidP="00BC4939">
      <w:pPr>
        <w:pStyle w:val="ListParagraph"/>
        <w:numPr>
          <w:ilvl w:val="0"/>
          <w:numId w:val="43"/>
        </w:numPr>
        <w:jc w:val="both"/>
        <w:rPr>
          <w:rFonts w:ascii="Arial" w:hAnsi="Arial" w:cs="Arial"/>
        </w:rPr>
      </w:pPr>
      <w:r w:rsidRPr="00DC016F">
        <w:rPr>
          <w:rFonts w:ascii="Arial" w:hAnsi="Arial" w:cs="Arial"/>
        </w:rPr>
        <w:t>National P</w:t>
      </w:r>
      <w:r>
        <w:rPr>
          <w:rFonts w:ascii="Arial" w:hAnsi="Arial" w:cs="Arial"/>
        </w:rPr>
        <w:t>opulation Commission (NPC) (2018)</w:t>
      </w:r>
      <w:r w:rsidRPr="00DC016F">
        <w:rPr>
          <w:rFonts w:ascii="Arial" w:hAnsi="Arial" w:cs="Arial"/>
        </w:rPr>
        <w:t>. Nigerian Demographic and Health Survey, Abuja, Nigeria and Rockville, Maryland, USA.</w:t>
      </w:r>
    </w:p>
    <w:p w14:paraId="7D7FB5ED" w14:textId="77777777" w:rsidR="00BC4939" w:rsidRPr="00FA2F87" w:rsidRDefault="00BC4939" w:rsidP="00BC4939">
      <w:pPr>
        <w:pStyle w:val="ListParagraph"/>
        <w:numPr>
          <w:ilvl w:val="0"/>
          <w:numId w:val="43"/>
        </w:numPr>
        <w:jc w:val="both"/>
        <w:rPr>
          <w:rFonts w:ascii="Arial" w:hAnsi="Arial" w:cs="Arial"/>
        </w:rPr>
      </w:pPr>
      <w:r>
        <w:rPr>
          <w:rFonts w:ascii="Arial" w:eastAsia="Times New Roman" w:hAnsi="Arial" w:cs="Arial"/>
        </w:rPr>
        <w:lastRenderedPageBreak/>
        <w:t xml:space="preserve">(Mustafa </w:t>
      </w:r>
      <w:proofErr w:type="gramStart"/>
      <w:r>
        <w:rPr>
          <w:rFonts w:ascii="Arial" w:eastAsia="Times New Roman" w:hAnsi="Arial" w:cs="Arial"/>
        </w:rPr>
        <w:t xml:space="preserve">and </w:t>
      </w:r>
      <w:r w:rsidRPr="00DC016F">
        <w:rPr>
          <w:rFonts w:ascii="Arial" w:eastAsia="Times New Roman" w:hAnsi="Arial" w:cs="Arial"/>
        </w:rPr>
        <w:t xml:space="preserve"> Saleh</w:t>
      </w:r>
      <w:proofErr w:type="gramEnd"/>
      <w:r w:rsidRPr="00DC016F">
        <w:rPr>
          <w:rFonts w:ascii="Arial" w:eastAsia="Times New Roman" w:hAnsi="Arial" w:cs="Arial"/>
        </w:rPr>
        <w:t xml:space="preserve">, </w:t>
      </w:r>
      <w:r>
        <w:rPr>
          <w:rFonts w:ascii="Arial" w:eastAsia="Times New Roman" w:hAnsi="Arial" w:cs="Arial"/>
        </w:rPr>
        <w:t>(</w:t>
      </w:r>
      <w:r w:rsidRPr="00DC016F">
        <w:rPr>
          <w:rFonts w:ascii="Arial" w:eastAsia="Times New Roman" w:hAnsi="Arial" w:cs="Arial"/>
        </w:rPr>
        <w:t>2018</w:t>
      </w:r>
      <w:r>
        <w:rPr>
          <w:rFonts w:ascii="Arial" w:eastAsia="Times New Roman" w:hAnsi="Arial" w:cs="Arial"/>
        </w:rPr>
        <w:t xml:space="preserve">). </w:t>
      </w:r>
    </w:p>
    <w:p w14:paraId="27734CB8" w14:textId="77777777" w:rsidR="00BC4939" w:rsidRDefault="00BC4939" w:rsidP="00BC4939">
      <w:pPr>
        <w:pStyle w:val="ListParagraph"/>
        <w:numPr>
          <w:ilvl w:val="0"/>
          <w:numId w:val="43"/>
        </w:numPr>
        <w:jc w:val="both"/>
        <w:rPr>
          <w:rFonts w:ascii="Arial" w:hAnsi="Arial" w:cs="Arial"/>
        </w:rPr>
      </w:pPr>
      <w:r w:rsidRPr="00DC016F">
        <w:rPr>
          <w:rFonts w:ascii="Arial" w:hAnsi="Arial" w:cs="Arial"/>
        </w:rPr>
        <w:t>Shuttle, A. M., Sutcliffe, W. P., &amp; Perry, C. A. (2010). Spectrophotometric determination of glutathione peroxidase activity. Biochemical Methods, 23(5), 279-289.</w:t>
      </w:r>
    </w:p>
    <w:p w14:paraId="0D52FFD8" w14:textId="77777777" w:rsidR="00BC4939" w:rsidRDefault="00BC4939" w:rsidP="00BC4939">
      <w:pPr>
        <w:pStyle w:val="ListParagraph"/>
        <w:numPr>
          <w:ilvl w:val="0"/>
          <w:numId w:val="43"/>
        </w:numPr>
        <w:jc w:val="both"/>
        <w:rPr>
          <w:rFonts w:ascii="Arial" w:hAnsi="Arial" w:cs="Arial"/>
        </w:rPr>
      </w:pPr>
      <w:r w:rsidRPr="00DC016F">
        <w:rPr>
          <w:rFonts w:ascii="Arial" w:hAnsi="Arial" w:cs="Arial"/>
        </w:rPr>
        <w:t xml:space="preserve">Sinha, A. K. (1972). Colorimetric assay of catalase. Analytical Biochemistry, 47(2), 389-394. </w:t>
      </w:r>
      <w:hyperlink r:id="rId15" w:history="1">
        <w:r w:rsidRPr="00DC016F">
          <w:rPr>
            <w:rStyle w:val="Hyperlink"/>
            <w:rFonts w:ascii="Arial" w:hAnsi="Arial" w:cs="Arial"/>
          </w:rPr>
          <w:t>https://doi.org/10.1016/0003-2697(72)90073-3</w:t>
        </w:r>
      </w:hyperlink>
    </w:p>
    <w:p w14:paraId="442DC282" w14:textId="77777777" w:rsidR="00BC4939" w:rsidRDefault="00BC4939" w:rsidP="00BC4939">
      <w:pPr>
        <w:pStyle w:val="ListParagraph"/>
        <w:numPr>
          <w:ilvl w:val="0"/>
          <w:numId w:val="43"/>
        </w:numPr>
        <w:jc w:val="both"/>
        <w:rPr>
          <w:rFonts w:ascii="Arial" w:hAnsi="Arial" w:cs="Arial"/>
        </w:rPr>
      </w:pPr>
      <w:r w:rsidRPr="00DC016F">
        <w:rPr>
          <w:rFonts w:ascii="Arial" w:hAnsi="Arial" w:cs="Arial"/>
        </w:rPr>
        <w:t>Oser</w:t>
      </w:r>
      <w:r>
        <w:rPr>
          <w:rFonts w:ascii="Arial" w:hAnsi="Arial" w:cs="Arial"/>
        </w:rPr>
        <w:t>, B.L.</w:t>
      </w:r>
      <w:r w:rsidRPr="00DC016F">
        <w:rPr>
          <w:rFonts w:ascii="Arial" w:hAnsi="Arial" w:cs="Arial"/>
        </w:rPr>
        <w:t xml:space="preserve"> (1979)</w:t>
      </w:r>
      <w:r>
        <w:rPr>
          <w:rFonts w:ascii="Arial" w:hAnsi="Arial" w:cs="Arial"/>
        </w:rPr>
        <w:t xml:space="preserve">. </w:t>
      </w:r>
      <w:proofErr w:type="spellStart"/>
      <w:r>
        <w:rPr>
          <w:rFonts w:ascii="Arial" w:hAnsi="Arial" w:cs="Arial"/>
        </w:rPr>
        <w:t>Micromethod</w:t>
      </w:r>
      <w:proofErr w:type="spellEnd"/>
      <w:r>
        <w:rPr>
          <w:rFonts w:ascii="Arial" w:hAnsi="Arial" w:cs="Arial"/>
        </w:rPr>
        <w:t xml:space="preserve"> For </w:t>
      </w:r>
      <w:proofErr w:type="gramStart"/>
      <w:r>
        <w:rPr>
          <w:rFonts w:ascii="Arial" w:hAnsi="Arial" w:cs="Arial"/>
        </w:rPr>
        <w:t>The</w:t>
      </w:r>
      <w:proofErr w:type="gramEnd"/>
      <w:r>
        <w:rPr>
          <w:rFonts w:ascii="Arial" w:hAnsi="Arial" w:cs="Arial"/>
        </w:rPr>
        <w:t xml:space="preserve"> Determination </w:t>
      </w:r>
      <w:proofErr w:type="gramStart"/>
      <w:r>
        <w:rPr>
          <w:rFonts w:ascii="Arial" w:hAnsi="Arial" w:cs="Arial"/>
        </w:rPr>
        <w:t>Of</w:t>
      </w:r>
      <w:proofErr w:type="gramEnd"/>
      <w:r>
        <w:rPr>
          <w:rFonts w:ascii="Arial" w:hAnsi="Arial" w:cs="Arial"/>
        </w:rPr>
        <w:t xml:space="preserve"> Serum Carotenoids. Methods In Enzymology, 62, 447-448</w:t>
      </w:r>
    </w:p>
    <w:p w14:paraId="2A8BC22E" w14:textId="77777777" w:rsidR="00BC4939" w:rsidRDefault="00BC4939" w:rsidP="00BC4939">
      <w:pPr>
        <w:pStyle w:val="ListParagraph"/>
        <w:numPr>
          <w:ilvl w:val="0"/>
          <w:numId w:val="43"/>
        </w:numPr>
        <w:jc w:val="both"/>
        <w:rPr>
          <w:rFonts w:ascii="Arial" w:hAnsi="Arial" w:cs="Arial"/>
        </w:rPr>
      </w:pPr>
      <w:r w:rsidRPr="00DC016F">
        <w:rPr>
          <w:rFonts w:ascii="Arial" w:hAnsi="Arial" w:cs="Arial"/>
        </w:rPr>
        <w:t xml:space="preserve">Backer, J. D., Smiley, L. M., &amp; Calloway, M. (1980). Spectrophotometric determination of vitamin E activity. </w:t>
      </w:r>
      <w:r w:rsidRPr="00581756">
        <w:rPr>
          <w:rFonts w:ascii="Arial" w:hAnsi="Arial" w:cs="Arial"/>
          <w:i/>
        </w:rPr>
        <w:t>American Journal of Clinical Nutrition</w:t>
      </w:r>
      <w:r w:rsidRPr="00DC016F">
        <w:rPr>
          <w:rFonts w:ascii="Arial" w:hAnsi="Arial" w:cs="Arial"/>
        </w:rPr>
        <w:t>, 33(6), 1812-1820.</w:t>
      </w:r>
    </w:p>
    <w:p w14:paraId="4EA52717" w14:textId="77777777" w:rsidR="00BC4939" w:rsidRDefault="00BC4939" w:rsidP="00BC4939">
      <w:pPr>
        <w:pStyle w:val="ListParagraph"/>
        <w:numPr>
          <w:ilvl w:val="0"/>
          <w:numId w:val="43"/>
        </w:numPr>
        <w:jc w:val="both"/>
        <w:rPr>
          <w:rFonts w:ascii="Arial" w:hAnsi="Arial" w:cs="Arial"/>
        </w:rPr>
      </w:pPr>
      <w:r>
        <w:rPr>
          <w:rFonts w:ascii="Arial" w:hAnsi="Arial" w:cs="Arial"/>
        </w:rPr>
        <w:t xml:space="preserve">Rad (2015). Determination of </w:t>
      </w:r>
      <w:r w:rsidRPr="00DC016F">
        <w:rPr>
          <w:rFonts w:ascii="Arial" w:hAnsi="Arial" w:cs="Arial"/>
          <w:bCs/>
        </w:rPr>
        <w:t>vitamin D</w:t>
      </w:r>
    </w:p>
    <w:p w14:paraId="30D98907" w14:textId="77777777" w:rsidR="00BC4939" w:rsidRDefault="00BC4939" w:rsidP="00BC4939">
      <w:pPr>
        <w:pStyle w:val="ListParagraph"/>
        <w:numPr>
          <w:ilvl w:val="0"/>
          <w:numId w:val="43"/>
        </w:numPr>
        <w:jc w:val="both"/>
        <w:rPr>
          <w:rFonts w:ascii="Arial" w:hAnsi="Arial" w:cs="Arial"/>
        </w:rPr>
      </w:pPr>
      <w:r w:rsidRPr="00DC016F">
        <w:rPr>
          <w:rFonts w:ascii="Arial" w:hAnsi="Arial" w:cs="Arial"/>
        </w:rPr>
        <w:t xml:space="preserve">FAO (2008). Guide to laboratory establishment for plant nutrient analysis. FOOD AND Agriculture Organization Of The United Nations </w:t>
      </w:r>
      <w:proofErr w:type="spellStart"/>
      <w:r w:rsidRPr="00DC016F">
        <w:rPr>
          <w:rFonts w:ascii="Arial" w:hAnsi="Arial" w:cs="Arial"/>
        </w:rPr>
        <w:t>Fao</w:t>
      </w:r>
      <w:proofErr w:type="spellEnd"/>
      <w:r w:rsidRPr="00DC016F">
        <w:rPr>
          <w:rFonts w:ascii="Arial" w:hAnsi="Arial" w:cs="Arial"/>
        </w:rPr>
        <w:t xml:space="preserve"> Fertilizer And Plant Nutrition Bulletin 19 Rome, 2008.</w:t>
      </w:r>
    </w:p>
    <w:p w14:paraId="246AAC0F" w14:textId="77777777" w:rsidR="00BC4939" w:rsidRDefault="00BC4939" w:rsidP="00BC4939">
      <w:pPr>
        <w:pStyle w:val="ListParagraph"/>
        <w:numPr>
          <w:ilvl w:val="0"/>
          <w:numId w:val="43"/>
        </w:numPr>
        <w:jc w:val="both"/>
        <w:rPr>
          <w:rFonts w:ascii="Arial" w:hAnsi="Arial" w:cs="Arial"/>
        </w:rPr>
      </w:pPr>
      <w:r w:rsidRPr="00DC016F">
        <w:rPr>
          <w:rFonts w:ascii="Arial" w:hAnsi="Arial" w:cs="Arial"/>
        </w:rPr>
        <w:t xml:space="preserve">Ajao KO, </w:t>
      </w:r>
      <w:proofErr w:type="spellStart"/>
      <w:r w:rsidRPr="00DC016F">
        <w:rPr>
          <w:rFonts w:ascii="Arial" w:hAnsi="Arial" w:cs="Arial"/>
        </w:rPr>
        <w:t>Ojofeitimi</w:t>
      </w:r>
      <w:proofErr w:type="spellEnd"/>
      <w:r w:rsidRPr="00DC016F">
        <w:rPr>
          <w:rFonts w:ascii="Arial" w:hAnsi="Arial" w:cs="Arial"/>
        </w:rPr>
        <w:t xml:space="preserve"> EO, Adebayo AA, </w:t>
      </w:r>
      <w:proofErr w:type="spellStart"/>
      <w:r w:rsidRPr="00DC016F">
        <w:rPr>
          <w:rFonts w:ascii="Arial" w:hAnsi="Arial" w:cs="Arial"/>
        </w:rPr>
        <w:t>Fatusi</w:t>
      </w:r>
      <w:proofErr w:type="spellEnd"/>
      <w:r w:rsidRPr="00DC016F">
        <w:rPr>
          <w:rFonts w:ascii="Arial" w:hAnsi="Arial" w:cs="Arial"/>
        </w:rPr>
        <w:t xml:space="preserve"> AO, &amp;Afolabi OT (2010). Influence of family size, household food security status and child care practices on the Nutritional status of under-five children in Ile- Ife, Nigeria. </w:t>
      </w:r>
      <w:r w:rsidRPr="00DC016F">
        <w:rPr>
          <w:rFonts w:ascii="Arial" w:hAnsi="Arial" w:cs="Arial"/>
          <w:i/>
          <w:iCs/>
        </w:rPr>
        <w:t>African Journal of Reproductive Health</w:t>
      </w:r>
      <w:r w:rsidRPr="00DC016F">
        <w:rPr>
          <w:rFonts w:ascii="Arial" w:hAnsi="Arial" w:cs="Arial"/>
        </w:rPr>
        <w:t>, vol.14, no.4, pp 123-132</w:t>
      </w:r>
      <w:r>
        <w:rPr>
          <w:rFonts w:ascii="Arial" w:hAnsi="Arial" w:cs="Arial"/>
        </w:rPr>
        <w:t>.</w:t>
      </w:r>
    </w:p>
    <w:p w14:paraId="2B577F1C" w14:textId="77777777" w:rsidR="00BC4939" w:rsidRPr="005743A4" w:rsidRDefault="00BC4939" w:rsidP="00BC4939">
      <w:pPr>
        <w:pStyle w:val="ListParagraph"/>
        <w:numPr>
          <w:ilvl w:val="0"/>
          <w:numId w:val="43"/>
        </w:numPr>
        <w:jc w:val="both"/>
        <w:rPr>
          <w:rFonts w:ascii="Arial" w:hAnsi="Arial" w:cs="Arial"/>
        </w:rPr>
      </w:pPr>
      <w:r w:rsidRPr="005743A4">
        <w:rPr>
          <w:rFonts w:ascii="Arial" w:hAnsi="Arial" w:cs="Arial"/>
        </w:rPr>
        <w:t xml:space="preserve">Chaudhury, R.H. (2009). Effects of mothers’ work on child care, dietary intake, and dietary adequacy of pre-school children. </w:t>
      </w:r>
      <w:r w:rsidRPr="005743A4">
        <w:rPr>
          <w:rFonts w:ascii="Arial" w:hAnsi="Arial" w:cs="Arial"/>
          <w:i/>
        </w:rPr>
        <w:t>International Food and Nutrition Program, Massachusetts Institute of Technology</w:t>
      </w:r>
      <w:r w:rsidRPr="005743A4">
        <w:rPr>
          <w:rFonts w:ascii="Arial" w:hAnsi="Arial" w:cs="Arial"/>
        </w:rPr>
        <w:t>, Cambridge.</w:t>
      </w:r>
    </w:p>
    <w:p w14:paraId="56B42FD6" w14:textId="77777777" w:rsidR="00BC4939" w:rsidRDefault="00BC4939" w:rsidP="00BC4939">
      <w:pPr>
        <w:pStyle w:val="ListParagraph"/>
        <w:numPr>
          <w:ilvl w:val="0"/>
          <w:numId w:val="43"/>
        </w:numPr>
        <w:jc w:val="both"/>
        <w:rPr>
          <w:rFonts w:ascii="Arial" w:hAnsi="Arial" w:cs="Arial"/>
        </w:rPr>
      </w:pPr>
      <w:proofErr w:type="spellStart"/>
      <w:r w:rsidRPr="00DC016F">
        <w:rPr>
          <w:rFonts w:ascii="Arial" w:hAnsi="Arial" w:cs="Arial"/>
        </w:rPr>
        <w:t>Ajieroh</w:t>
      </w:r>
      <w:proofErr w:type="spellEnd"/>
      <w:r w:rsidRPr="00DC016F">
        <w:rPr>
          <w:rFonts w:ascii="Arial" w:hAnsi="Arial" w:cs="Arial"/>
        </w:rPr>
        <w:t xml:space="preserve">, V. (2009).A Quantitative Analysis of Determinants of Child and Maternal Malnutrition in </w:t>
      </w:r>
      <w:proofErr w:type="spellStart"/>
      <w:r w:rsidRPr="00DC016F">
        <w:rPr>
          <w:rFonts w:ascii="Arial" w:hAnsi="Arial" w:cs="Arial"/>
        </w:rPr>
        <w:t>Nigeria.Nigeria</w:t>
      </w:r>
      <w:proofErr w:type="spellEnd"/>
      <w:r w:rsidRPr="00DC016F">
        <w:rPr>
          <w:rFonts w:ascii="Arial" w:hAnsi="Arial" w:cs="Arial"/>
        </w:rPr>
        <w:t xml:space="preserve"> Strategy Support Program (NSSP) Background Paper No. NSSP10.</w:t>
      </w:r>
    </w:p>
    <w:p w14:paraId="599BF656" w14:textId="77777777" w:rsidR="00BC4939" w:rsidRDefault="00BC4939" w:rsidP="00BC4939">
      <w:pPr>
        <w:pStyle w:val="ListParagraph"/>
        <w:numPr>
          <w:ilvl w:val="0"/>
          <w:numId w:val="43"/>
        </w:numPr>
        <w:jc w:val="both"/>
        <w:rPr>
          <w:rFonts w:ascii="Arial" w:hAnsi="Arial" w:cs="Arial"/>
        </w:rPr>
      </w:pPr>
      <w:r w:rsidRPr="00DC016F">
        <w:rPr>
          <w:rFonts w:ascii="Arial" w:hAnsi="Arial" w:cs="Arial"/>
        </w:rPr>
        <w:t xml:space="preserve">Bloss E, </w:t>
      </w:r>
      <w:proofErr w:type="spellStart"/>
      <w:r w:rsidRPr="00DC016F">
        <w:rPr>
          <w:rFonts w:ascii="Arial" w:hAnsi="Arial" w:cs="Arial"/>
        </w:rPr>
        <w:t>Wainana</w:t>
      </w:r>
      <w:proofErr w:type="spellEnd"/>
      <w:r w:rsidRPr="00DC016F">
        <w:rPr>
          <w:rFonts w:ascii="Arial" w:hAnsi="Arial" w:cs="Arial"/>
        </w:rPr>
        <w:t xml:space="preserve"> F, Bailey RC. (2004). Prevalence and predictors of underweight, stunting, and wasting among children aged 5 and under in western </w:t>
      </w:r>
      <w:proofErr w:type="spellStart"/>
      <w:r w:rsidRPr="00DC016F">
        <w:rPr>
          <w:rFonts w:ascii="Arial" w:hAnsi="Arial" w:cs="Arial"/>
        </w:rPr>
        <w:t>Kenya.</w:t>
      </w:r>
      <w:r w:rsidRPr="00DC016F">
        <w:rPr>
          <w:rFonts w:ascii="Arial" w:hAnsi="Arial" w:cs="Arial"/>
          <w:i/>
          <w:iCs/>
        </w:rPr>
        <w:t>J</w:t>
      </w:r>
      <w:proofErr w:type="spellEnd"/>
      <w:r w:rsidRPr="00DC016F">
        <w:rPr>
          <w:rFonts w:ascii="Arial" w:hAnsi="Arial" w:cs="Arial"/>
          <w:i/>
          <w:iCs/>
        </w:rPr>
        <w:t xml:space="preserve"> Trop </w:t>
      </w:r>
      <w:proofErr w:type="spellStart"/>
      <w:r w:rsidRPr="00DC016F">
        <w:rPr>
          <w:rFonts w:ascii="Arial" w:hAnsi="Arial" w:cs="Arial"/>
          <w:i/>
          <w:iCs/>
        </w:rPr>
        <w:t>Pediatr</w:t>
      </w:r>
      <w:proofErr w:type="spellEnd"/>
      <w:r w:rsidRPr="00DC016F">
        <w:rPr>
          <w:rFonts w:ascii="Arial" w:hAnsi="Arial" w:cs="Arial"/>
        </w:rPr>
        <w:t xml:space="preserve"> 50: 260-70.</w:t>
      </w:r>
    </w:p>
    <w:p w14:paraId="4F463A07" w14:textId="77777777" w:rsidR="00BC4939" w:rsidRPr="005743A4" w:rsidRDefault="00BC4939" w:rsidP="00BC4939">
      <w:pPr>
        <w:pStyle w:val="ListParagraph"/>
        <w:numPr>
          <w:ilvl w:val="0"/>
          <w:numId w:val="43"/>
        </w:numPr>
        <w:jc w:val="both"/>
        <w:rPr>
          <w:rStyle w:val="fontstyle01"/>
          <w:rFonts w:ascii="Arial" w:hAnsi="Arial" w:cs="Arial"/>
          <w:color w:val="auto"/>
          <w:sz w:val="22"/>
          <w:szCs w:val="22"/>
        </w:rPr>
      </w:pPr>
      <w:proofErr w:type="spellStart"/>
      <w:r w:rsidRPr="00DC016F">
        <w:rPr>
          <w:rStyle w:val="fontstyle01"/>
          <w:rFonts w:ascii="Arial" w:hAnsi="Arial" w:cs="Arial"/>
          <w:sz w:val="22"/>
          <w:szCs w:val="22"/>
        </w:rPr>
        <w:t>Amosu</w:t>
      </w:r>
      <w:proofErr w:type="spellEnd"/>
      <w:r w:rsidRPr="00DC016F">
        <w:rPr>
          <w:rStyle w:val="fontstyle01"/>
          <w:rFonts w:ascii="Arial" w:hAnsi="Arial" w:cs="Arial"/>
          <w:sz w:val="22"/>
          <w:szCs w:val="22"/>
        </w:rPr>
        <w:t xml:space="preserve"> AM, </w:t>
      </w:r>
      <w:proofErr w:type="spellStart"/>
      <w:r w:rsidRPr="00DC016F">
        <w:rPr>
          <w:rStyle w:val="fontstyle01"/>
          <w:rFonts w:ascii="Arial" w:hAnsi="Arial" w:cs="Arial"/>
          <w:sz w:val="22"/>
          <w:szCs w:val="22"/>
        </w:rPr>
        <w:t>Degun</w:t>
      </w:r>
      <w:proofErr w:type="spellEnd"/>
      <w:r w:rsidRPr="00DC016F">
        <w:rPr>
          <w:rStyle w:val="fontstyle01"/>
          <w:rFonts w:ascii="Arial" w:hAnsi="Arial" w:cs="Arial"/>
          <w:sz w:val="22"/>
          <w:szCs w:val="22"/>
        </w:rPr>
        <w:t xml:space="preserve">, </w:t>
      </w:r>
      <w:proofErr w:type="gramStart"/>
      <w:r w:rsidRPr="00DC016F">
        <w:rPr>
          <w:rStyle w:val="fontstyle01"/>
          <w:rFonts w:ascii="Arial" w:hAnsi="Arial" w:cs="Arial"/>
          <w:sz w:val="22"/>
          <w:szCs w:val="22"/>
        </w:rPr>
        <w:t>AM .</w:t>
      </w:r>
      <w:proofErr w:type="gramEnd"/>
      <w:r w:rsidRPr="00DC016F">
        <w:rPr>
          <w:rStyle w:val="fontstyle01"/>
          <w:rFonts w:ascii="Arial" w:hAnsi="Arial" w:cs="Arial"/>
          <w:sz w:val="22"/>
          <w:szCs w:val="22"/>
        </w:rPr>
        <w:t xml:space="preserve">, </w:t>
      </w:r>
      <w:proofErr w:type="spellStart"/>
      <w:r w:rsidRPr="00DC016F">
        <w:rPr>
          <w:rStyle w:val="fontstyle01"/>
          <w:rFonts w:ascii="Arial" w:hAnsi="Arial" w:cs="Arial"/>
          <w:sz w:val="22"/>
          <w:szCs w:val="22"/>
        </w:rPr>
        <w:t>Atulomah</w:t>
      </w:r>
      <w:proofErr w:type="spellEnd"/>
      <w:r w:rsidRPr="00DC016F">
        <w:rPr>
          <w:rStyle w:val="fontstyle01"/>
          <w:rFonts w:ascii="Arial" w:hAnsi="Arial" w:cs="Arial"/>
          <w:sz w:val="22"/>
          <w:szCs w:val="22"/>
        </w:rPr>
        <w:t xml:space="preserve">, NOD. </w:t>
      </w:r>
      <w:proofErr w:type="spellStart"/>
      <w:r w:rsidRPr="00DC016F">
        <w:rPr>
          <w:rStyle w:val="fontstyle01"/>
          <w:rFonts w:ascii="Arial" w:hAnsi="Arial" w:cs="Arial"/>
          <w:sz w:val="22"/>
          <w:szCs w:val="22"/>
        </w:rPr>
        <w:t>andOlarenwaju</w:t>
      </w:r>
      <w:proofErr w:type="spellEnd"/>
      <w:r w:rsidRPr="00DC016F">
        <w:rPr>
          <w:rStyle w:val="fontstyle01"/>
          <w:rFonts w:ascii="Arial" w:hAnsi="Arial" w:cs="Arial"/>
          <w:sz w:val="22"/>
          <w:szCs w:val="22"/>
        </w:rPr>
        <w:t xml:space="preserve">, MF. (2011). Nutritional Status of Under-5 Children in Western Nigerian </w:t>
      </w:r>
      <w:proofErr w:type="spellStart"/>
      <w:r w:rsidRPr="00DC016F">
        <w:rPr>
          <w:rStyle w:val="fontstyle01"/>
          <w:rFonts w:ascii="Arial" w:hAnsi="Arial" w:cs="Arial"/>
          <w:sz w:val="22"/>
          <w:szCs w:val="22"/>
        </w:rPr>
        <w:t>Community.</w:t>
      </w:r>
      <w:r w:rsidRPr="00DC016F">
        <w:rPr>
          <w:rStyle w:val="fontstyle01"/>
          <w:rFonts w:ascii="Arial" w:hAnsi="Arial" w:cs="Arial"/>
          <w:i/>
          <w:sz w:val="22"/>
          <w:szCs w:val="22"/>
        </w:rPr>
        <w:t>Current</w:t>
      </w:r>
      <w:proofErr w:type="spellEnd"/>
      <w:r w:rsidRPr="00DC016F">
        <w:rPr>
          <w:rStyle w:val="fontstyle01"/>
          <w:rFonts w:ascii="Arial" w:hAnsi="Arial" w:cs="Arial"/>
          <w:i/>
          <w:sz w:val="22"/>
          <w:szCs w:val="22"/>
        </w:rPr>
        <w:t xml:space="preserve"> Research Journal of Biological Sciences</w:t>
      </w:r>
      <w:r w:rsidRPr="00DC016F">
        <w:rPr>
          <w:rStyle w:val="fontstyle01"/>
          <w:rFonts w:ascii="Arial" w:hAnsi="Arial" w:cs="Arial"/>
          <w:sz w:val="22"/>
          <w:szCs w:val="22"/>
        </w:rPr>
        <w:t>, vol.3, no.6, pp.578-587.</w:t>
      </w:r>
    </w:p>
    <w:p w14:paraId="542CF0E3" w14:textId="77777777" w:rsidR="00BC4939" w:rsidRPr="005743A4" w:rsidRDefault="00BC4939" w:rsidP="00BC4939">
      <w:pPr>
        <w:pStyle w:val="ListParagraph"/>
        <w:numPr>
          <w:ilvl w:val="0"/>
          <w:numId w:val="43"/>
        </w:numPr>
        <w:jc w:val="both"/>
        <w:rPr>
          <w:rStyle w:val="fontstyle01"/>
          <w:rFonts w:ascii="Arial" w:hAnsi="Arial" w:cs="Arial"/>
          <w:color w:val="auto"/>
          <w:sz w:val="22"/>
          <w:szCs w:val="22"/>
        </w:rPr>
      </w:pPr>
      <w:r w:rsidRPr="00DC016F">
        <w:rPr>
          <w:rStyle w:val="fontstyle01"/>
          <w:rFonts w:ascii="Arial" w:hAnsi="Arial" w:cs="Arial"/>
          <w:sz w:val="22"/>
          <w:szCs w:val="22"/>
        </w:rPr>
        <w:t xml:space="preserve">Jude, CK., </w:t>
      </w:r>
      <w:proofErr w:type="spellStart"/>
      <w:r w:rsidRPr="00DC016F">
        <w:rPr>
          <w:rStyle w:val="fontstyle01"/>
          <w:rFonts w:ascii="Arial" w:hAnsi="Arial" w:cs="Arial"/>
          <w:sz w:val="22"/>
          <w:szCs w:val="22"/>
        </w:rPr>
        <w:t>Chukwunedum</w:t>
      </w:r>
      <w:proofErr w:type="spellEnd"/>
      <w:r w:rsidRPr="00DC016F">
        <w:rPr>
          <w:rStyle w:val="fontstyle01"/>
          <w:rFonts w:ascii="Arial" w:hAnsi="Arial" w:cs="Arial"/>
          <w:sz w:val="22"/>
          <w:szCs w:val="22"/>
        </w:rPr>
        <w:t xml:space="preserve">, AU. </w:t>
      </w:r>
      <w:proofErr w:type="spellStart"/>
      <w:r w:rsidRPr="00DC016F">
        <w:rPr>
          <w:rStyle w:val="fontstyle01"/>
          <w:rFonts w:ascii="Arial" w:hAnsi="Arial" w:cs="Arial"/>
          <w:sz w:val="22"/>
          <w:szCs w:val="22"/>
        </w:rPr>
        <w:t>andEgbuna</w:t>
      </w:r>
      <w:proofErr w:type="spellEnd"/>
      <w:r w:rsidRPr="00DC016F">
        <w:rPr>
          <w:rStyle w:val="fontstyle01"/>
          <w:rFonts w:ascii="Arial" w:hAnsi="Arial" w:cs="Arial"/>
          <w:sz w:val="22"/>
          <w:szCs w:val="22"/>
        </w:rPr>
        <w:t>, KO. (2019</w:t>
      </w:r>
      <w:proofErr w:type="gramStart"/>
      <w:r w:rsidRPr="00DC016F">
        <w:rPr>
          <w:rStyle w:val="fontstyle01"/>
          <w:rFonts w:ascii="Arial" w:hAnsi="Arial" w:cs="Arial"/>
          <w:sz w:val="22"/>
          <w:szCs w:val="22"/>
        </w:rPr>
        <w:t>).Under</w:t>
      </w:r>
      <w:proofErr w:type="gramEnd"/>
      <w:r w:rsidRPr="00DC016F">
        <w:rPr>
          <w:rStyle w:val="fontstyle01"/>
          <w:rFonts w:ascii="Arial" w:hAnsi="Arial" w:cs="Arial"/>
          <w:sz w:val="22"/>
          <w:szCs w:val="22"/>
        </w:rPr>
        <w:t xml:space="preserve">-five malnutrition in a South-Eastern Nigeria metropolitan </w:t>
      </w:r>
      <w:proofErr w:type="gramStart"/>
      <w:r w:rsidRPr="00DC016F">
        <w:rPr>
          <w:rStyle w:val="fontstyle01"/>
          <w:rFonts w:ascii="Arial" w:hAnsi="Arial" w:cs="Arial"/>
          <w:sz w:val="22"/>
          <w:szCs w:val="22"/>
        </w:rPr>
        <w:t>city</w:t>
      </w:r>
      <w:r w:rsidRPr="00DC016F">
        <w:rPr>
          <w:rStyle w:val="fontstyle01"/>
          <w:rFonts w:ascii="Arial" w:hAnsi="Arial" w:cs="Arial"/>
          <w:i/>
          <w:sz w:val="22"/>
          <w:szCs w:val="22"/>
        </w:rPr>
        <w:t>.AfriHealthSci</w:t>
      </w:r>
      <w:proofErr w:type="gramEnd"/>
      <w:r w:rsidRPr="00DC016F">
        <w:rPr>
          <w:rStyle w:val="fontstyle01"/>
          <w:rFonts w:ascii="Arial" w:hAnsi="Arial" w:cs="Arial"/>
          <w:sz w:val="22"/>
          <w:szCs w:val="22"/>
        </w:rPr>
        <w:t>.</w:t>
      </w:r>
      <w:r w:rsidRPr="00DC016F">
        <w:rPr>
          <w:rStyle w:val="fontstyle01"/>
          <w:rFonts w:ascii="Arial" w:hAnsi="Arial" w:cs="Arial"/>
          <w:i/>
          <w:sz w:val="22"/>
          <w:szCs w:val="22"/>
        </w:rPr>
        <w:t>19(4):3078-3084</w:t>
      </w:r>
      <w:r w:rsidRPr="00DC016F">
        <w:rPr>
          <w:rStyle w:val="fontstyle01"/>
          <w:rFonts w:ascii="Arial" w:hAnsi="Arial" w:cs="Arial"/>
          <w:sz w:val="22"/>
          <w:szCs w:val="22"/>
        </w:rPr>
        <w:t>.</w:t>
      </w:r>
    </w:p>
    <w:p w14:paraId="5B222634" w14:textId="77777777" w:rsidR="00BC4939" w:rsidRDefault="00BC4939" w:rsidP="00BC4939">
      <w:pPr>
        <w:pStyle w:val="ListParagraph"/>
        <w:numPr>
          <w:ilvl w:val="0"/>
          <w:numId w:val="43"/>
        </w:numPr>
        <w:jc w:val="both"/>
        <w:rPr>
          <w:rFonts w:ascii="Arial" w:hAnsi="Arial" w:cs="Arial"/>
        </w:rPr>
      </w:pPr>
      <w:r w:rsidRPr="00DC016F">
        <w:rPr>
          <w:rFonts w:ascii="Arial" w:hAnsi="Arial" w:cs="Arial"/>
        </w:rPr>
        <w:t xml:space="preserve">Akinyele, O. (2009). Ensuring Food and Nutrition Security in Rural Nigeria: An Assessment of the Challenges, Information Needs, and Analytical Capacity. Nigeria Strategy Support Program (NSSP) Background Paper </w:t>
      </w:r>
      <w:proofErr w:type="spellStart"/>
      <w:r w:rsidRPr="00DC016F">
        <w:rPr>
          <w:rFonts w:ascii="Arial" w:hAnsi="Arial" w:cs="Arial"/>
        </w:rPr>
        <w:t>No.NSSP</w:t>
      </w:r>
      <w:proofErr w:type="spellEnd"/>
      <w:r w:rsidRPr="00DC016F">
        <w:rPr>
          <w:rFonts w:ascii="Arial" w:hAnsi="Arial" w:cs="Arial"/>
        </w:rPr>
        <w:t xml:space="preserve"> 007 November.</w:t>
      </w:r>
    </w:p>
    <w:p w14:paraId="48208EC1" w14:textId="77777777" w:rsidR="00BC4939" w:rsidRPr="005743A4" w:rsidRDefault="00BC4939" w:rsidP="00BC4939">
      <w:pPr>
        <w:pStyle w:val="ListParagraph"/>
        <w:numPr>
          <w:ilvl w:val="0"/>
          <w:numId w:val="43"/>
        </w:numPr>
        <w:jc w:val="both"/>
        <w:rPr>
          <w:rFonts w:ascii="Arial" w:hAnsi="Arial" w:cs="Arial"/>
        </w:rPr>
      </w:pPr>
      <w:hyperlink r:id="rId16" w:history="1">
        <w:r w:rsidRPr="00DC016F">
          <w:rPr>
            <w:rStyle w:val="Hyperlink"/>
            <w:rFonts w:ascii="Arial" w:hAnsi="Arial" w:cs="Arial"/>
            <w:color w:val="auto"/>
            <w:u w:val="none"/>
          </w:rPr>
          <w:t>Wei Guang Bi</w:t>
        </w:r>
      </w:hyperlink>
      <w:r w:rsidRPr="00DC016F">
        <w:rPr>
          <w:rStyle w:val="comma"/>
          <w:rFonts w:ascii="Arial" w:hAnsi="Arial" w:cs="Arial"/>
        </w:rPr>
        <w:t>, </w:t>
      </w:r>
      <w:hyperlink r:id="rId17" w:history="1">
        <w:r w:rsidRPr="00DC016F">
          <w:rPr>
            <w:rStyle w:val="Hyperlink"/>
            <w:rFonts w:ascii="Arial" w:hAnsi="Arial" w:cs="Arial"/>
            <w:color w:val="auto"/>
            <w:u w:val="none"/>
          </w:rPr>
          <w:t xml:space="preserve">Anne Monique </w:t>
        </w:r>
        <w:proofErr w:type="spellStart"/>
        <w:r w:rsidRPr="00DC016F">
          <w:rPr>
            <w:rStyle w:val="Hyperlink"/>
            <w:rFonts w:ascii="Arial" w:hAnsi="Arial" w:cs="Arial"/>
            <w:color w:val="auto"/>
            <w:u w:val="none"/>
          </w:rPr>
          <w:t>Nuyt</w:t>
        </w:r>
        <w:proofErr w:type="spellEnd"/>
      </w:hyperlink>
      <w:r w:rsidRPr="00DC016F">
        <w:rPr>
          <w:rStyle w:val="comma"/>
          <w:rFonts w:ascii="Arial" w:hAnsi="Arial" w:cs="Arial"/>
        </w:rPr>
        <w:t>, </w:t>
      </w:r>
      <w:hyperlink r:id="rId18" w:history="1">
        <w:r w:rsidRPr="00DC016F">
          <w:rPr>
            <w:rStyle w:val="Hyperlink"/>
            <w:rFonts w:ascii="Arial" w:hAnsi="Arial" w:cs="Arial"/>
            <w:color w:val="auto"/>
            <w:u w:val="none"/>
          </w:rPr>
          <w:t>Hope Weiler</w:t>
        </w:r>
      </w:hyperlink>
      <w:r w:rsidRPr="00DC016F">
        <w:rPr>
          <w:rStyle w:val="author-sup-separator"/>
          <w:rFonts w:ascii="Arial" w:hAnsi="Arial" w:cs="Arial"/>
        </w:rPr>
        <w:t>,</w:t>
      </w:r>
      <w:r w:rsidRPr="00DC016F">
        <w:rPr>
          <w:rStyle w:val="comma"/>
          <w:rFonts w:ascii="Arial" w:hAnsi="Arial" w:cs="Arial"/>
        </w:rPr>
        <w:t> </w:t>
      </w:r>
      <w:hyperlink r:id="rId19" w:history="1">
        <w:r w:rsidRPr="00DC016F">
          <w:rPr>
            <w:rStyle w:val="Hyperlink"/>
            <w:rFonts w:ascii="Arial" w:hAnsi="Arial" w:cs="Arial"/>
            <w:color w:val="auto"/>
            <w:u w:val="none"/>
          </w:rPr>
          <w:t>Line Leduc</w:t>
        </w:r>
      </w:hyperlink>
      <w:r w:rsidRPr="00DC016F">
        <w:rPr>
          <w:rStyle w:val="comma"/>
          <w:rFonts w:ascii="Arial" w:hAnsi="Arial" w:cs="Arial"/>
        </w:rPr>
        <w:t>, </w:t>
      </w:r>
      <w:hyperlink r:id="rId20" w:history="1">
        <w:r w:rsidRPr="00DC016F">
          <w:rPr>
            <w:rStyle w:val="Hyperlink"/>
            <w:rFonts w:ascii="Arial" w:hAnsi="Arial" w:cs="Arial"/>
            <w:color w:val="auto"/>
            <w:u w:val="none"/>
          </w:rPr>
          <w:t>Christina Santamaria</w:t>
        </w:r>
      </w:hyperlink>
      <w:r w:rsidRPr="00DC016F">
        <w:rPr>
          <w:rStyle w:val="comma"/>
          <w:rFonts w:ascii="Arial" w:hAnsi="Arial" w:cs="Arial"/>
        </w:rPr>
        <w:t>, </w:t>
      </w:r>
      <w:hyperlink r:id="rId21" w:history="1">
        <w:r w:rsidRPr="00DC016F">
          <w:rPr>
            <w:rStyle w:val="Hyperlink"/>
            <w:rFonts w:ascii="Arial" w:hAnsi="Arial" w:cs="Arial"/>
            <w:color w:val="auto"/>
            <w:u w:val="none"/>
          </w:rPr>
          <w:t>Shu Qin Wei</w:t>
        </w:r>
      </w:hyperlink>
      <w:r w:rsidRPr="00DC016F">
        <w:rPr>
          <w:rStyle w:val="authors-list-item"/>
          <w:rFonts w:ascii="Arial" w:hAnsi="Arial" w:cs="Arial"/>
          <w:vertAlign w:val="superscript"/>
        </w:rPr>
        <w:t xml:space="preserve">  </w:t>
      </w:r>
      <w:r w:rsidRPr="00DC016F">
        <w:rPr>
          <w:rFonts w:ascii="Arial" w:hAnsi="Arial" w:cs="Arial"/>
          <w:caps/>
        </w:rPr>
        <w:t xml:space="preserve">(2018). </w:t>
      </w:r>
      <w:r w:rsidRPr="00DC016F">
        <w:rPr>
          <w:rFonts w:ascii="Arial" w:hAnsi="Arial" w:cs="Arial"/>
        </w:rPr>
        <w:t xml:space="preserve">Association Between Vitamin D Supplementation During Pregnancy </w:t>
      </w:r>
      <w:proofErr w:type="gramStart"/>
      <w:r w:rsidRPr="00DC016F">
        <w:rPr>
          <w:rFonts w:ascii="Arial" w:hAnsi="Arial" w:cs="Arial"/>
        </w:rPr>
        <w:t>And</w:t>
      </w:r>
      <w:proofErr w:type="gramEnd"/>
      <w:r w:rsidRPr="00DC016F">
        <w:rPr>
          <w:rFonts w:ascii="Arial" w:hAnsi="Arial" w:cs="Arial"/>
        </w:rPr>
        <w:t xml:space="preserve"> Offspring Growth, Morbidity, And Mortality: A Systematic Review </w:t>
      </w:r>
      <w:proofErr w:type="gramStart"/>
      <w:r w:rsidRPr="00DC016F">
        <w:rPr>
          <w:rFonts w:ascii="Arial" w:hAnsi="Arial" w:cs="Arial"/>
        </w:rPr>
        <w:t>And</w:t>
      </w:r>
      <w:proofErr w:type="gramEnd"/>
      <w:r w:rsidRPr="00DC016F">
        <w:rPr>
          <w:rFonts w:ascii="Arial" w:hAnsi="Arial" w:cs="Arial"/>
        </w:rPr>
        <w:t xml:space="preserve"> Meta-Analysis. </w:t>
      </w:r>
      <w:r w:rsidRPr="00A67D1C">
        <w:rPr>
          <w:rFonts w:ascii="Arial" w:eastAsia="Times New Roman" w:hAnsi="Arial" w:cs="Arial"/>
        </w:rPr>
        <w:t>JAMA Pediatr</w:t>
      </w:r>
      <w:r w:rsidRPr="00DC016F">
        <w:rPr>
          <w:rFonts w:ascii="Arial" w:eastAsia="Times New Roman" w:hAnsi="Arial" w:cs="Arial"/>
        </w:rPr>
        <w:t>.1;172(7):635-645.</w:t>
      </w:r>
      <w:r w:rsidRPr="00DC016F">
        <w:rPr>
          <w:rFonts w:ascii="Arial" w:hAnsi="Arial" w:cs="Arial"/>
        </w:rPr>
        <w:t xml:space="preserve"> </w:t>
      </w:r>
      <w:proofErr w:type="spellStart"/>
      <w:r w:rsidRPr="00DC016F">
        <w:rPr>
          <w:rFonts w:ascii="Arial" w:eastAsia="Times New Roman" w:hAnsi="Arial" w:cs="Arial"/>
          <w:shd w:val="clear" w:color="auto" w:fill="FFFFFF"/>
        </w:rPr>
        <w:t>doi</w:t>
      </w:r>
      <w:proofErr w:type="spellEnd"/>
      <w:r w:rsidRPr="00DC016F">
        <w:rPr>
          <w:rFonts w:ascii="Arial" w:eastAsia="Times New Roman" w:hAnsi="Arial" w:cs="Arial"/>
          <w:shd w:val="clear" w:color="auto" w:fill="FFFFFF"/>
        </w:rPr>
        <w:t>: 10.1001/jamapediatrics.2018.0302</w:t>
      </w:r>
      <w:r>
        <w:rPr>
          <w:rFonts w:ascii="Arial" w:eastAsia="Times New Roman" w:hAnsi="Arial" w:cs="Arial"/>
          <w:shd w:val="clear" w:color="auto" w:fill="FFFFFF"/>
        </w:rPr>
        <w:t>.</w:t>
      </w:r>
    </w:p>
    <w:p w14:paraId="2411513D" w14:textId="77777777" w:rsidR="00BC4939" w:rsidRDefault="00BC4939" w:rsidP="00BC4939">
      <w:pPr>
        <w:pStyle w:val="ListParagraph"/>
        <w:numPr>
          <w:ilvl w:val="0"/>
          <w:numId w:val="43"/>
        </w:numPr>
        <w:jc w:val="both"/>
        <w:rPr>
          <w:rFonts w:ascii="Arial" w:hAnsi="Arial" w:cs="Arial"/>
        </w:rPr>
      </w:pPr>
      <w:r w:rsidRPr="00DC016F">
        <w:rPr>
          <w:rFonts w:ascii="Arial" w:hAnsi="Arial" w:cs="Arial"/>
        </w:rPr>
        <w:t xml:space="preserve">Adish AA, </w:t>
      </w:r>
      <w:proofErr w:type="spellStart"/>
      <w:r w:rsidRPr="00DC016F">
        <w:rPr>
          <w:rFonts w:ascii="Arial" w:hAnsi="Arial" w:cs="Arial"/>
        </w:rPr>
        <w:t>Esrey</w:t>
      </w:r>
      <w:proofErr w:type="spellEnd"/>
      <w:r w:rsidRPr="00DC016F">
        <w:rPr>
          <w:rFonts w:ascii="Arial" w:hAnsi="Arial" w:cs="Arial"/>
        </w:rPr>
        <w:t xml:space="preserve"> SA, Gyorkos TW </w:t>
      </w:r>
      <w:r w:rsidRPr="00DC016F">
        <w:rPr>
          <w:rFonts w:ascii="Arial" w:hAnsi="Arial" w:cs="Arial"/>
          <w:i/>
        </w:rPr>
        <w:t>et al</w:t>
      </w:r>
      <w:r w:rsidRPr="00DC016F">
        <w:rPr>
          <w:rFonts w:ascii="Arial" w:hAnsi="Arial" w:cs="Arial"/>
        </w:rPr>
        <w:t xml:space="preserve">. (2009) Risk factors for iron deficiency anaemia in preschool children in northern Ethiopia. Public Health </w:t>
      </w:r>
      <w:proofErr w:type="spellStart"/>
      <w:r w:rsidRPr="00DC016F">
        <w:rPr>
          <w:rFonts w:ascii="Arial" w:hAnsi="Arial" w:cs="Arial"/>
        </w:rPr>
        <w:t>Nutr</w:t>
      </w:r>
      <w:proofErr w:type="spellEnd"/>
      <w:r w:rsidRPr="00DC016F">
        <w:rPr>
          <w:rFonts w:ascii="Arial" w:hAnsi="Arial" w:cs="Arial"/>
        </w:rPr>
        <w:t xml:space="preserve"> 2, 243–252. 7.</w:t>
      </w:r>
    </w:p>
    <w:p w14:paraId="6361C493" w14:textId="77777777" w:rsidR="00BC4939" w:rsidRPr="00DC016F" w:rsidRDefault="00BC4939" w:rsidP="004B2578">
      <w:pPr>
        <w:spacing w:after="0" w:line="240" w:lineRule="auto"/>
        <w:jc w:val="both"/>
        <w:rPr>
          <w:rFonts w:ascii="Arial" w:hAnsi="Arial" w:cs="Arial"/>
          <w:b/>
          <w:bCs/>
        </w:rPr>
      </w:pPr>
    </w:p>
    <w:sectPr w:rsidR="00BC4939" w:rsidRPr="00DC016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B7B00" w14:textId="77777777" w:rsidR="00282EDC" w:rsidRDefault="00282EDC" w:rsidP="0053207E">
      <w:pPr>
        <w:spacing w:after="0" w:line="240" w:lineRule="auto"/>
      </w:pPr>
      <w:r>
        <w:separator/>
      </w:r>
    </w:p>
  </w:endnote>
  <w:endnote w:type="continuationSeparator" w:id="0">
    <w:p w14:paraId="280EE7D6" w14:textId="77777777" w:rsidR="00282EDC" w:rsidRDefault="00282EDC" w:rsidP="0053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keley-Boo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vTimes-b">
    <w:altName w:val="Times New Roman"/>
    <w:panose1 w:val="00000000000000000000"/>
    <w:charset w:val="00"/>
    <w:family w:val="roman"/>
    <w:notTrueType/>
    <w:pitch w:val="default"/>
  </w:font>
  <w:font w:name="AdvPSA88A">
    <w:altName w:val="Times New Roman"/>
    <w:panose1 w:val="00000000000000000000"/>
    <w:charset w:val="00"/>
    <w:family w:val="roman"/>
    <w:notTrueType/>
    <w:pitch w:val="default"/>
  </w:font>
  <w:font w:name="AdvPi1">
    <w:altName w:val="Times New Roman"/>
    <w:panose1 w:val="00000000000000000000"/>
    <w:charset w:val="00"/>
    <w:family w:val="roman"/>
    <w:notTrueType/>
    <w:pitch w:val="default"/>
  </w:font>
  <w:font w:name="AdvTT6bca5eef">
    <w:altName w:val="Times New Roman"/>
    <w:panose1 w:val="00000000000000000000"/>
    <w:charset w:val="00"/>
    <w:family w:val="roman"/>
    <w:notTrueType/>
    <w:pitch w:val="default"/>
  </w:font>
  <w:font w:name="AdvTT97cacd14">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6AD0A" w14:textId="77777777" w:rsidR="001706B5" w:rsidRDefault="001706B5" w:rsidP="001706B5">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E4EA9D9" w14:textId="77777777" w:rsidR="001706B5" w:rsidRDefault="001706B5" w:rsidP="00532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413719"/>
      <w:docPartObj>
        <w:docPartGallery w:val="Page Numbers (Bottom of Page)"/>
        <w:docPartUnique/>
      </w:docPartObj>
    </w:sdtPr>
    <w:sdtEndPr>
      <w:rPr>
        <w:noProof/>
      </w:rPr>
    </w:sdtEndPr>
    <w:sdtContent>
      <w:p w14:paraId="38FF8EF0" w14:textId="18F60D19" w:rsidR="00D30475" w:rsidRDefault="00D30475">
        <w:pPr>
          <w:pStyle w:val="Footer"/>
          <w:jc w:val="center"/>
        </w:pPr>
        <w:r>
          <w:fldChar w:fldCharType="begin"/>
        </w:r>
        <w:r>
          <w:instrText xml:space="preserve"> PAGE   \* MERGEFORMAT </w:instrText>
        </w:r>
        <w:r>
          <w:fldChar w:fldCharType="separate"/>
        </w:r>
        <w:r w:rsidR="005D0CB8">
          <w:rPr>
            <w:noProof/>
          </w:rPr>
          <w:t>1</w:t>
        </w:r>
        <w:r>
          <w:rPr>
            <w:noProof/>
          </w:rPr>
          <w:fldChar w:fldCharType="end"/>
        </w:r>
      </w:p>
    </w:sdtContent>
  </w:sdt>
  <w:p w14:paraId="192D3FF1" w14:textId="77777777" w:rsidR="001706B5" w:rsidRDefault="001706B5" w:rsidP="005320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6219" w14:textId="77777777" w:rsidR="00813ADA" w:rsidRDefault="0081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DBA5D" w14:textId="77777777" w:rsidR="00282EDC" w:rsidRDefault="00282EDC" w:rsidP="0053207E">
      <w:pPr>
        <w:spacing w:after="0" w:line="240" w:lineRule="auto"/>
      </w:pPr>
      <w:r>
        <w:separator/>
      </w:r>
    </w:p>
  </w:footnote>
  <w:footnote w:type="continuationSeparator" w:id="0">
    <w:p w14:paraId="2055B8A8" w14:textId="77777777" w:rsidR="00282EDC" w:rsidRDefault="00282EDC" w:rsidP="00532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0ED9" w14:textId="3AACD4EE" w:rsidR="00813ADA" w:rsidRDefault="00813ADA">
    <w:pPr>
      <w:pStyle w:val="Header"/>
    </w:pPr>
    <w:r>
      <w:rPr>
        <w:noProof/>
      </w:rPr>
      <w:pict w14:anchorId="1246A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35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5894B" w14:textId="09A38E00" w:rsidR="00813ADA" w:rsidRDefault="00813ADA">
    <w:pPr>
      <w:pStyle w:val="Header"/>
    </w:pPr>
    <w:r>
      <w:rPr>
        <w:noProof/>
      </w:rPr>
      <w:pict w14:anchorId="3C32F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35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B6C11" w14:textId="7D683662" w:rsidR="00813ADA" w:rsidRDefault="00813ADA">
    <w:pPr>
      <w:pStyle w:val="Header"/>
    </w:pPr>
    <w:r>
      <w:rPr>
        <w:noProof/>
      </w:rPr>
      <w:pict w14:anchorId="6B322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35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84A7B4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CCE03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EB8866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000000A"/>
    <w:multiLevelType w:val="multilevel"/>
    <w:tmpl w:val="2F16B824"/>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0B8495E"/>
    <w:multiLevelType w:val="hybridMultilevel"/>
    <w:tmpl w:val="7602CF44"/>
    <w:lvl w:ilvl="0" w:tplc="632AE1BC">
      <w:start w:val="1"/>
      <w:numFmt w:val="lowerRoman"/>
      <w:lvlText w:val="%1."/>
      <w:lvlJc w:val="left"/>
      <w:pPr>
        <w:ind w:left="1080" w:hanging="720"/>
      </w:pPr>
      <w:rPr>
        <w:rFonts w:ascii="Berkeley-Book" w:hAnsi="Berkeley-Book"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329D0"/>
    <w:multiLevelType w:val="hybridMultilevel"/>
    <w:tmpl w:val="473E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B62BF"/>
    <w:multiLevelType w:val="hybridMultilevel"/>
    <w:tmpl w:val="06CAC46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C2A64DA"/>
    <w:multiLevelType w:val="hybridMultilevel"/>
    <w:tmpl w:val="8730CA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2A18A6"/>
    <w:multiLevelType w:val="hybridMultilevel"/>
    <w:tmpl w:val="8334EE5A"/>
    <w:lvl w:ilvl="0" w:tplc="04090013">
      <w:start w:val="1"/>
      <w:numFmt w:val="upperRoman"/>
      <w:lvlText w:val="%1."/>
      <w:lvlJc w:val="right"/>
      <w:pPr>
        <w:ind w:left="36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2725D8C"/>
    <w:multiLevelType w:val="multilevel"/>
    <w:tmpl w:val="076E5D2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E67871"/>
    <w:multiLevelType w:val="hybridMultilevel"/>
    <w:tmpl w:val="A73669D6"/>
    <w:lvl w:ilvl="0" w:tplc="766ED18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020A2"/>
    <w:multiLevelType w:val="multilevel"/>
    <w:tmpl w:val="3BE88E1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134503"/>
    <w:multiLevelType w:val="multilevel"/>
    <w:tmpl w:val="7D7A4302"/>
    <w:lvl w:ilvl="0">
      <w:start w:val="2"/>
      <w:numFmt w:val="decimal"/>
      <w:lvlText w:val="%1"/>
      <w:lvlJc w:val="left"/>
      <w:pPr>
        <w:ind w:left="480" w:hanging="480"/>
      </w:pPr>
      <w:rPr>
        <w:rFonts w:hint="default"/>
      </w:rPr>
    </w:lvl>
    <w:lvl w:ilvl="1">
      <w:start w:val="3"/>
      <w:numFmt w:val="decimal"/>
      <w:lvlText w:val="%1.%2"/>
      <w:lvlJc w:val="left"/>
      <w:pPr>
        <w:ind w:left="720" w:hanging="48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273A0D50"/>
    <w:multiLevelType w:val="hybridMultilevel"/>
    <w:tmpl w:val="A996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D7B4C"/>
    <w:multiLevelType w:val="hybridMultilevel"/>
    <w:tmpl w:val="449ECAE0"/>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B824B2"/>
    <w:multiLevelType w:val="multilevel"/>
    <w:tmpl w:val="D5A8153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34F43763"/>
    <w:multiLevelType w:val="multilevel"/>
    <w:tmpl w:val="FF527C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9FD51C3"/>
    <w:multiLevelType w:val="hybridMultilevel"/>
    <w:tmpl w:val="E8D83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45C15"/>
    <w:multiLevelType w:val="multilevel"/>
    <w:tmpl w:val="7D3E1162"/>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E031B8"/>
    <w:multiLevelType w:val="multilevel"/>
    <w:tmpl w:val="40FC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750A6"/>
    <w:multiLevelType w:val="multilevel"/>
    <w:tmpl w:val="835243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21757B"/>
    <w:multiLevelType w:val="hybridMultilevel"/>
    <w:tmpl w:val="8E2C94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C4DCB"/>
    <w:multiLevelType w:val="hybridMultilevel"/>
    <w:tmpl w:val="3EDE333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87F5484"/>
    <w:multiLevelType w:val="multilevel"/>
    <w:tmpl w:val="20FA9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027217"/>
    <w:multiLevelType w:val="multilevel"/>
    <w:tmpl w:val="6264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D7F2E"/>
    <w:multiLevelType w:val="multilevel"/>
    <w:tmpl w:val="D902DB0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5D41E3"/>
    <w:multiLevelType w:val="multilevel"/>
    <w:tmpl w:val="B7F49D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A15AD"/>
    <w:multiLevelType w:val="hybridMultilevel"/>
    <w:tmpl w:val="848A36F6"/>
    <w:lvl w:ilvl="0" w:tplc="04090003">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E535755"/>
    <w:multiLevelType w:val="multilevel"/>
    <w:tmpl w:val="1A3828CE"/>
    <w:lvl w:ilvl="0">
      <w:start w:val="2"/>
      <w:numFmt w:val="decimal"/>
      <w:lvlText w:val="%1"/>
      <w:lvlJc w:val="left"/>
      <w:pPr>
        <w:ind w:left="360" w:hanging="360"/>
      </w:pPr>
      <w:rPr>
        <w:rFonts w:hint="default"/>
        <w:b/>
        <w:color w:val="auto"/>
      </w:rPr>
    </w:lvl>
    <w:lvl w:ilvl="1">
      <w:start w:val="5"/>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9" w15:restartNumberingAfterBreak="0">
    <w:nsid w:val="5F020A1D"/>
    <w:multiLevelType w:val="hybridMultilevel"/>
    <w:tmpl w:val="FE7C6698"/>
    <w:lvl w:ilvl="0" w:tplc="392EE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0F70C1"/>
    <w:multiLevelType w:val="multilevel"/>
    <w:tmpl w:val="D68C789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047556A"/>
    <w:multiLevelType w:val="hybridMultilevel"/>
    <w:tmpl w:val="5B1C9324"/>
    <w:lvl w:ilvl="0" w:tplc="4FE2E3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D042D"/>
    <w:multiLevelType w:val="multilevel"/>
    <w:tmpl w:val="CAD8446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03738F"/>
    <w:multiLevelType w:val="multilevel"/>
    <w:tmpl w:val="FBE635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1D5A88"/>
    <w:multiLevelType w:val="hybridMultilevel"/>
    <w:tmpl w:val="2DF20A94"/>
    <w:lvl w:ilvl="0" w:tplc="B016E1F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5843E2"/>
    <w:multiLevelType w:val="multilevel"/>
    <w:tmpl w:val="D09A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9136B"/>
    <w:multiLevelType w:val="multilevel"/>
    <w:tmpl w:val="339659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3EF57EA"/>
    <w:multiLevelType w:val="hybridMultilevel"/>
    <w:tmpl w:val="F2E017C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743D1253"/>
    <w:multiLevelType w:val="hybridMultilevel"/>
    <w:tmpl w:val="6764D7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8497B"/>
    <w:multiLevelType w:val="multilevel"/>
    <w:tmpl w:val="54C0E1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E844D9"/>
    <w:multiLevelType w:val="hybridMultilevel"/>
    <w:tmpl w:val="2E6A02FE"/>
    <w:lvl w:ilvl="0" w:tplc="06564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21F0D"/>
    <w:multiLevelType w:val="hybridMultilevel"/>
    <w:tmpl w:val="D1F8916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A4A3C88"/>
    <w:multiLevelType w:val="multilevel"/>
    <w:tmpl w:val="EAD45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81233705">
    <w:abstractNumId w:val="18"/>
  </w:num>
  <w:num w:numId="2" w16cid:durableId="1147698225">
    <w:abstractNumId w:val="41"/>
  </w:num>
  <w:num w:numId="3" w16cid:durableId="710229584">
    <w:abstractNumId w:val="13"/>
  </w:num>
  <w:num w:numId="4" w16cid:durableId="887642885">
    <w:abstractNumId w:val="14"/>
  </w:num>
  <w:num w:numId="5" w16cid:durableId="1994286520">
    <w:abstractNumId w:val="37"/>
  </w:num>
  <w:num w:numId="6" w16cid:durableId="1711101685">
    <w:abstractNumId w:val="23"/>
  </w:num>
  <w:num w:numId="7" w16cid:durableId="499741036">
    <w:abstractNumId w:val="15"/>
  </w:num>
  <w:num w:numId="8" w16cid:durableId="1269267687">
    <w:abstractNumId w:val="39"/>
  </w:num>
  <w:num w:numId="9" w16cid:durableId="928272085">
    <w:abstractNumId w:val="32"/>
  </w:num>
  <w:num w:numId="10" w16cid:durableId="2086296343">
    <w:abstractNumId w:val="40"/>
  </w:num>
  <w:num w:numId="11" w16cid:durableId="1763722498">
    <w:abstractNumId w:val="29"/>
  </w:num>
  <w:num w:numId="12" w16cid:durableId="391198868">
    <w:abstractNumId w:val="30"/>
  </w:num>
  <w:num w:numId="13" w16cid:durableId="2041660659">
    <w:abstractNumId w:val="12"/>
  </w:num>
  <w:num w:numId="14" w16cid:durableId="695159469">
    <w:abstractNumId w:val="9"/>
  </w:num>
  <w:num w:numId="15" w16cid:durableId="1819687935">
    <w:abstractNumId w:val="11"/>
  </w:num>
  <w:num w:numId="16" w16cid:durableId="468867458">
    <w:abstractNumId w:val="36"/>
  </w:num>
  <w:num w:numId="17" w16cid:durableId="167869417">
    <w:abstractNumId w:val="20"/>
  </w:num>
  <w:num w:numId="18" w16cid:durableId="855845284">
    <w:abstractNumId w:val="26"/>
  </w:num>
  <w:num w:numId="19" w16cid:durableId="422797311">
    <w:abstractNumId w:val="28"/>
  </w:num>
  <w:num w:numId="20" w16cid:durableId="1901402709">
    <w:abstractNumId w:val="42"/>
  </w:num>
  <w:num w:numId="21" w16cid:durableId="1423408641">
    <w:abstractNumId w:val="34"/>
  </w:num>
  <w:num w:numId="22" w16cid:durableId="1681227663">
    <w:abstractNumId w:val="4"/>
  </w:num>
  <w:num w:numId="23" w16cid:durableId="1547256814">
    <w:abstractNumId w:val="38"/>
  </w:num>
  <w:num w:numId="24" w16cid:durableId="998925792">
    <w:abstractNumId w:val="3"/>
  </w:num>
  <w:num w:numId="25" w16cid:durableId="1430931320">
    <w:abstractNumId w:val="2"/>
  </w:num>
  <w:num w:numId="26" w16cid:durableId="269245595">
    <w:abstractNumId w:val="21"/>
  </w:num>
  <w:num w:numId="27" w16cid:durableId="1375731973">
    <w:abstractNumId w:val="25"/>
  </w:num>
  <w:num w:numId="28" w16cid:durableId="1753352610">
    <w:abstractNumId w:val="33"/>
  </w:num>
  <w:num w:numId="29" w16cid:durableId="427845648">
    <w:abstractNumId w:val="17"/>
  </w:num>
  <w:num w:numId="30" w16cid:durableId="1631550226">
    <w:abstractNumId w:val="10"/>
  </w:num>
  <w:num w:numId="31" w16cid:durableId="1897548027">
    <w:abstractNumId w:val="0"/>
  </w:num>
  <w:num w:numId="32" w16cid:durableId="480658175">
    <w:abstractNumId w:val="31"/>
  </w:num>
  <w:num w:numId="33" w16cid:durableId="1664046465">
    <w:abstractNumId w:val="1"/>
  </w:num>
  <w:num w:numId="34" w16cid:durableId="1943756787">
    <w:abstractNumId w:val="7"/>
  </w:num>
  <w:num w:numId="35" w16cid:durableId="1711297206">
    <w:abstractNumId w:val="27"/>
  </w:num>
  <w:num w:numId="36" w16cid:durableId="1058475788">
    <w:abstractNumId w:val="24"/>
  </w:num>
  <w:num w:numId="37" w16cid:durableId="2010867219">
    <w:abstractNumId w:val="22"/>
  </w:num>
  <w:num w:numId="38" w16cid:durableId="1478916966">
    <w:abstractNumId w:val="19"/>
  </w:num>
  <w:num w:numId="39" w16cid:durableId="1966500805">
    <w:abstractNumId w:val="6"/>
  </w:num>
  <w:num w:numId="40" w16cid:durableId="246572247">
    <w:abstractNumId w:val="8"/>
  </w:num>
  <w:num w:numId="41" w16cid:durableId="1276256614">
    <w:abstractNumId w:val="16"/>
  </w:num>
  <w:num w:numId="42" w16cid:durableId="1186946728">
    <w:abstractNumId w:val="35"/>
  </w:num>
  <w:num w:numId="43" w16cid:durableId="497039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A65"/>
    <w:rsid w:val="00003AE0"/>
    <w:rsid w:val="00017214"/>
    <w:rsid w:val="00033317"/>
    <w:rsid w:val="000652CB"/>
    <w:rsid w:val="000849F7"/>
    <w:rsid w:val="000877DA"/>
    <w:rsid w:val="00090D39"/>
    <w:rsid w:val="000919D4"/>
    <w:rsid w:val="00094A70"/>
    <w:rsid w:val="000A6F64"/>
    <w:rsid w:val="000D1F4D"/>
    <w:rsid w:val="000E323F"/>
    <w:rsid w:val="000F34FE"/>
    <w:rsid w:val="000F72A7"/>
    <w:rsid w:val="00112415"/>
    <w:rsid w:val="001229C0"/>
    <w:rsid w:val="00144ADC"/>
    <w:rsid w:val="0015687C"/>
    <w:rsid w:val="00161286"/>
    <w:rsid w:val="001706B5"/>
    <w:rsid w:val="0018494E"/>
    <w:rsid w:val="001A305B"/>
    <w:rsid w:val="001C6099"/>
    <w:rsid w:val="0020592D"/>
    <w:rsid w:val="00276303"/>
    <w:rsid w:val="00282EDC"/>
    <w:rsid w:val="0028315B"/>
    <w:rsid w:val="002C6AAC"/>
    <w:rsid w:val="002D6930"/>
    <w:rsid w:val="002D78B6"/>
    <w:rsid w:val="002F4704"/>
    <w:rsid w:val="002F492C"/>
    <w:rsid w:val="003069DB"/>
    <w:rsid w:val="00322B5E"/>
    <w:rsid w:val="0034498A"/>
    <w:rsid w:val="00374A65"/>
    <w:rsid w:val="003A5655"/>
    <w:rsid w:val="003F1FD6"/>
    <w:rsid w:val="00404637"/>
    <w:rsid w:val="0040762B"/>
    <w:rsid w:val="00415ABF"/>
    <w:rsid w:val="0043405C"/>
    <w:rsid w:val="00446385"/>
    <w:rsid w:val="00447106"/>
    <w:rsid w:val="00493689"/>
    <w:rsid w:val="004A7E20"/>
    <w:rsid w:val="004B2578"/>
    <w:rsid w:val="004C7E16"/>
    <w:rsid w:val="004F2C59"/>
    <w:rsid w:val="0052150D"/>
    <w:rsid w:val="0052487B"/>
    <w:rsid w:val="0053207E"/>
    <w:rsid w:val="00534AA7"/>
    <w:rsid w:val="00542E34"/>
    <w:rsid w:val="00561E6F"/>
    <w:rsid w:val="00585926"/>
    <w:rsid w:val="005B20B1"/>
    <w:rsid w:val="005D0CB8"/>
    <w:rsid w:val="005E38DB"/>
    <w:rsid w:val="005F4400"/>
    <w:rsid w:val="0061766D"/>
    <w:rsid w:val="006B6809"/>
    <w:rsid w:val="006D76E4"/>
    <w:rsid w:val="006F5C1C"/>
    <w:rsid w:val="00707FB1"/>
    <w:rsid w:val="007A5D08"/>
    <w:rsid w:val="0080389D"/>
    <w:rsid w:val="008071B7"/>
    <w:rsid w:val="00813ADA"/>
    <w:rsid w:val="008627AC"/>
    <w:rsid w:val="00893E0C"/>
    <w:rsid w:val="008A0722"/>
    <w:rsid w:val="008B4352"/>
    <w:rsid w:val="009A5147"/>
    <w:rsid w:val="009B16A3"/>
    <w:rsid w:val="009E2BA3"/>
    <w:rsid w:val="00A22B54"/>
    <w:rsid w:val="00A42598"/>
    <w:rsid w:val="00A43BAB"/>
    <w:rsid w:val="00A633DF"/>
    <w:rsid w:val="00A67D1C"/>
    <w:rsid w:val="00A9422C"/>
    <w:rsid w:val="00AA541A"/>
    <w:rsid w:val="00AC43DA"/>
    <w:rsid w:val="00AF00AB"/>
    <w:rsid w:val="00B11F23"/>
    <w:rsid w:val="00B30516"/>
    <w:rsid w:val="00B4524F"/>
    <w:rsid w:val="00B6350A"/>
    <w:rsid w:val="00B637A7"/>
    <w:rsid w:val="00B649FC"/>
    <w:rsid w:val="00B66C80"/>
    <w:rsid w:val="00B71686"/>
    <w:rsid w:val="00BC4939"/>
    <w:rsid w:val="00BC681C"/>
    <w:rsid w:val="00BE1EF8"/>
    <w:rsid w:val="00CA543D"/>
    <w:rsid w:val="00CB2A12"/>
    <w:rsid w:val="00CE1CFA"/>
    <w:rsid w:val="00CE4209"/>
    <w:rsid w:val="00CE6344"/>
    <w:rsid w:val="00D06044"/>
    <w:rsid w:val="00D178AB"/>
    <w:rsid w:val="00D30475"/>
    <w:rsid w:val="00D47120"/>
    <w:rsid w:val="00D64BD6"/>
    <w:rsid w:val="00D80C20"/>
    <w:rsid w:val="00D97CD7"/>
    <w:rsid w:val="00DC016F"/>
    <w:rsid w:val="00E0105F"/>
    <w:rsid w:val="00E02B77"/>
    <w:rsid w:val="00E13AFF"/>
    <w:rsid w:val="00E46052"/>
    <w:rsid w:val="00E8509B"/>
    <w:rsid w:val="00EC6549"/>
    <w:rsid w:val="00EE6287"/>
    <w:rsid w:val="00F00175"/>
    <w:rsid w:val="00F468FE"/>
    <w:rsid w:val="00F67EA0"/>
    <w:rsid w:val="00FD59DA"/>
    <w:rsid w:val="00FF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2C971"/>
  <w15:docId w15:val="{9AE62CFB-CCFF-43A2-95D4-87A68AD2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65"/>
    <w:pPr>
      <w:spacing w:after="200" w:line="276" w:lineRule="auto"/>
    </w:pPr>
    <w:rPr>
      <w:rFonts w:eastAsiaTheme="minorEastAsia"/>
    </w:rPr>
  </w:style>
  <w:style w:type="paragraph" w:styleId="Heading1">
    <w:name w:val="heading 1"/>
    <w:basedOn w:val="Normal"/>
    <w:next w:val="Normal"/>
    <w:link w:val="Heading1Char"/>
    <w:uiPriority w:val="9"/>
    <w:qFormat/>
    <w:rsid w:val="00374A65"/>
    <w:pPr>
      <w:keepNext/>
      <w:spacing w:after="120" w:line="480" w:lineRule="auto"/>
      <w:jc w:val="center"/>
      <w:outlineLvl w:val="0"/>
    </w:pPr>
    <w:rPr>
      <w:rFonts w:ascii="Times New Roman" w:eastAsia="Times New Roman" w:hAnsi="Times New Roman" w:cs="Times New Roman"/>
      <w:b/>
      <w:bCs/>
      <w:iCs/>
      <w:caps/>
      <w:kern w:val="32"/>
      <w:sz w:val="24"/>
      <w:szCs w:val="24"/>
      <w:lang w:val="en-ZA"/>
    </w:rPr>
  </w:style>
  <w:style w:type="paragraph" w:styleId="Heading2">
    <w:name w:val="heading 2"/>
    <w:basedOn w:val="Normal"/>
    <w:next w:val="Normal"/>
    <w:link w:val="Heading2Char"/>
    <w:uiPriority w:val="9"/>
    <w:unhideWhenUsed/>
    <w:qFormat/>
    <w:rsid w:val="004463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20B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B20B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A65"/>
    <w:rPr>
      <w:rFonts w:ascii="Times New Roman" w:eastAsia="Times New Roman" w:hAnsi="Times New Roman" w:cs="Times New Roman"/>
      <w:b/>
      <w:bCs/>
      <w:iCs/>
      <w:caps/>
      <w:kern w:val="32"/>
      <w:sz w:val="24"/>
      <w:szCs w:val="24"/>
      <w:lang w:val="en-ZA"/>
    </w:rPr>
  </w:style>
  <w:style w:type="character" w:customStyle="1" w:styleId="fontstyle01">
    <w:name w:val="fontstyle01"/>
    <w:basedOn w:val="DefaultParagraphFont"/>
    <w:rsid w:val="00374A65"/>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46385"/>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446385"/>
    <w:pPr>
      <w:ind w:left="720"/>
      <w:contextualSpacing/>
    </w:pPr>
  </w:style>
  <w:style w:type="paragraph" w:styleId="NormalWeb">
    <w:name w:val="Normal (Web)"/>
    <w:basedOn w:val="Normal"/>
    <w:uiPriority w:val="99"/>
    <w:semiHidden/>
    <w:unhideWhenUsed/>
    <w:rsid w:val="00B635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106"/>
    <w:rPr>
      <w:i/>
      <w:iCs/>
    </w:rPr>
  </w:style>
  <w:style w:type="paragraph" w:styleId="BodyText">
    <w:name w:val="Body Text"/>
    <w:basedOn w:val="Normal"/>
    <w:link w:val="BodyTextChar"/>
    <w:uiPriority w:val="1"/>
    <w:qFormat/>
    <w:rsid w:val="00447106"/>
    <w:pPr>
      <w:widowControl w:val="0"/>
      <w:autoSpaceDE w:val="0"/>
      <w:autoSpaceDN w:val="0"/>
      <w:spacing w:after="0" w:line="240" w:lineRule="auto"/>
      <w:jc w:val="both"/>
    </w:pPr>
    <w:rPr>
      <w:rFonts w:ascii="Book Antiqua" w:eastAsia="Book Antiqua" w:hAnsi="Book Antiqua" w:cs="Book Antiqua"/>
      <w:sz w:val="20"/>
      <w:szCs w:val="20"/>
      <w:lang w:bidi="en-US"/>
    </w:rPr>
  </w:style>
  <w:style w:type="character" w:customStyle="1" w:styleId="BodyTextChar">
    <w:name w:val="Body Text Char"/>
    <w:basedOn w:val="DefaultParagraphFont"/>
    <w:link w:val="BodyText"/>
    <w:uiPriority w:val="1"/>
    <w:rsid w:val="00447106"/>
    <w:rPr>
      <w:rFonts w:ascii="Book Antiqua" w:eastAsia="Book Antiqua" w:hAnsi="Book Antiqua" w:cs="Book Antiqua"/>
      <w:sz w:val="20"/>
      <w:szCs w:val="20"/>
      <w:lang w:val="en-US" w:bidi="en-US"/>
    </w:rPr>
  </w:style>
  <w:style w:type="character" w:customStyle="1" w:styleId="Heading3Char">
    <w:name w:val="Heading 3 Char"/>
    <w:basedOn w:val="DefaultParagraphFont"/>
    <w:link w:val="Heading3"/>
    <w:uiPriority w:val="9"/>
    <w:rsid w:val="005B20B1"/>
    <w:rPr>
      <w:rFonts w:asciiTheme="majorHAnsi" w:eastAsiaTheme="majorEastAsia" w:hAnsiTheme="majorHAnsi" w:cstheme="majorBidi"/>
      <w:b/>
      <w:bCs/>
      <w:color w:val="4472C4" w:themeColor="accent1"/>
      <w:lang w:val="en-US"/>
    </w:rPr>
  </w:style>
  <w:style w:type="character" w:customStyle="1" w:styleId="Heading4Char">
    <w:name w:val="Heading 4 Char"/>
    <w:basedOn w:val="DefaultParagraphFont"/>
    <w:link w:val="Heading4"/>
    <w:uiPriority w:val="9"/>
    <w:semiHidden/>
    <w:rsid w:val="005B20B1"/>
    <w:rPr>
      <w:rFonts w:asciiTheme="majorHAnsi" w:eastAsiaTheme="majorEastAsia" w:hAnsiTheme="majorHAnsi" w:cstheme="majorBidi"/>
      <w:b/>
      <w:bCs/>
      <w:i/>
      <w:iCs/>
      <w:color w:val="4472C4" w:themeColor="accent1"/>
      <w:lang w:val="en-US"/>
    </w:rPr>
  </w:style>
  <w:style w:type="character" w:styleId="Hyperlink">
    <w:name w:val="Hyperlink"/>
    <w:basedOn w:val="DefaultParagraphFont"/>
    <w:uiPriority w:val="99"/>
    <w:unhideWhenUsed/>
    <w:rsid w:val="005B20B1"/>
    <w:rPr>
      <w:color w:val="0563C1" w:themeColor="hyperlink"/>
      <w:u w:val="single"/>
    </w:rPr>
  </w:style>
  <w:style w:type="paragraph" w:styleId="Header">
    <w:name w:val="header"/>
    <w:basedOn w:val="Normal"/>
    <w:link w:val="HeaderChar"/>
    <w:uiPriority w:val="99"/>
    <w:unhideWhenUsed/>
    <w:rsid w:val="005B2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0B1"/>
    <w:rPr>
      <w:rFonts w:eastAsiaTheme="minorEastAsia"/>
      <w:lang w:val="en-US"/>
    </w:rPr>
  </w:style>
  <w:style w:type="paragraph" w:styleId="Footer">
    <w:name w:val="footer"/>
    <w:basedOn w:val="Normal"/>
    <w:link w:val="FooterChar"/>
    <w:uiPriority w:val="99"/>
    <w:unhideWhenUsed/>
    <w:rsid w:val="005B2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0B1"/>
    <w:rPr>
      <w:rFonts w:eastAsiaTheme="minorEastAsia"/>
      <w:lang w:val="en-US"/>
    </w:rPr>
  </w:style>
  <w:style w:type="paragraph" w:styleId="BalloonText">
    <w:name w:val="Balloon Text"/>
    <w:basedOn w:val="Normal"/>
    <w:link w:val="BalloonTextChar"/>
    <w:uiPriority w:val="99"/>
    <w:semiHidden/>
    <w:unhideWhenUsed/>
    <w:rsid w:val="005B2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0B1"/>
    <w:rPr>
      <w:rFonts w:ascii="Tahoma" w:eastAsiaTheme="minorEastAsia" w:hAnsi="Tahoma" w:cs="Tahoma"/>
      <w:sz w:val="16"/>
      <w:szCs w:val="16"/>
      <w:lang w:val="en-US"/>
    </w:rPr>
  </w:style>
  <w:style w:type="table" w:styleId="TableGrid">
    <w:name w:val="Table Grid"/>
    <w:basedOn w:val="TableNormal"/>
    <w:uiPriority w:val="39"/>
    <w:rsid w:val="005B20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B20B1"/>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5B20B1"/>
    <w:pPr>
      <w:ind w:left="1170" w:hanging="1170"/>
      <w:jc w:val="both"/>
    </w:pPr>
    <w:rPr>
      <w:rFonts w:ascii="Times New Roman" w:hAnsi="Times New Roman" w:cs="Times New Roman"/>
      <w:bCs/>
      <w:sz w:val="24"/>
      <w:szCs w:val="24"/>
    </w:rPr>
  </w:style>
  <w:style w:type="character" w:customStyle="1" w:styleId="fontstyle21">
    <w:name w:val="fontstyle21"/>
    <w:basedOn w:val="DefaultParagraphFont"/>
    <w:rsid w:val="005B20B1"/>
    <w:rPr>
      <w:rFonts w:ascii="Verdana" w:hAnsi="Verdana" w:hint="default"/>
      <w:b/>
      <w:bCs/>
      <w:i w:val="0"/>
      <w:iCs w:val="0"/>
      <w:color w:val="000000"/>
      <w:sz w:val="24"/>
      <w:szCs w:val="24"/>
    </w:rPr>
  </w:style>
  <w:style w:type="character" w:customStyle="1" w:styleId="fontstyle31">
    <w:name w:val="fontstyle31"/>
    <w:basedOn w:val="DefaultParagraphFont"/>
    <w:rsid w:val="005B20B1"/>
    <w:rPr>
      <w:rFonts w:ascii="AdvTimes-b" w:hAnsi="AdvTimes-b" w:hint="default"/>
      <w:b w:val="0"/>
      <w:bCs w:val="0"/>
      <w:i w:val="0"/>
      <w:iCs w:val="0"/>
      <w:color w:val="231F20"/>
      <w:sz w:val="20"/>
      <w:szCs w:val="20"/>
    </w:rPr>
  </w:style>
  <w:style w:type="character" w:customStyle="1" w:styleId="fontstyle11">
    <w:name w:val="fontstyle11"/>
    <w:basedOn w:val="DefaultParagraphFont"/>
    <w:rsid w:val="005B20B1"/>
    <w:rPr>
      <w:rFonts w:ascii="AdvPSA88A" w:hAnsi="AdvPSA88A" w:hint="default"/>
      <w:b w:val="0"/>
      <w:bCs w:val="0"/>
      <w:i w:val="0"/>
      <w:iCs w:val="0"/>
      <w:color w:val="000000"/>
      <w:sz w:val="20"/>
      <w:szCs w:val="20"/>
    </w:rPr>
  </w:style>
  <w:style w:type="character" w:customStyle="1" w:styleId="fontstyle41">
    <w:name w:val="fontstyle41"/>
    <w:basedOn w:val="DefaultParagraphFont"/>
    <w:rsid w:val="005B20B1"/>
    <w:rPr>
      <w:rFonts w:ascii="AdvPi1" w:hAnsi="AdvPi1" w:hint="default"/>
      <w:b w:val="0"/>
      <w:bCs w:val="0"/>
      <w:i w:val="0"/>
      <w:iCs w:val="0"/>
      <w:color w:val="231F20"/>
      <w:sz w:val="20"/>
      <w:szCs w:val="20"/>
    </w:rPr>
  </w:style>
  <w:style w:type="character" w:customStyle="1" w:styleId="fontstyle51">
    <w:name w:val="fontstyle51"/>
    <w:basedOn w:val="DefaultParagraphFont"/>
    <w:rsid w:val="005B20B1"/>
    <w:rPr>
      <w:rFonts w:ascii="AdvTT6bca5eef" w:hAnsi="AdvTT6bca5eef" w:hint="default"/>
      <w:b w:val="0"/>
      <w:bCs w:val="0"/>
      <w:i w:val="0"/>
      <w:iCs w:val="0"/>
      <w:color w:val="231F20"/>
      <w:sz w:val="20"/>
      <w:szCs w:val="20"/>
    </w:rPr>
  </w:style>
  <w:style w:type="character" w:customStyle="1" w:styleId="fontstyle61">
    <w:name w:val="fontstyle61"/>
    <w:basedOn w:val="DefaultParagraphFont"/>
    <w:rsid w:val="005B20B1"/>
    <w:rPr>
      <w:rFonts w:ascii="AdvTT97cacd14" w:hAnsi="AdvTT97cacd14" w:hint="default"/>
      <w:b w:val="0"/>
      <w:bCs w:val="0"/>
      <w:i w:val="0"/>
      <w:iCs w:val="0"/>
      <w:color w:val="231F20"/>
      <w:sz w:val="20"/>
      <w:szCs w:val="20"/>
    </w:rPr>
  </w:style>
  <w:style w:type="paragraph" w:customStyle="1" w:styleId="p">
    <w:name w:val="p"/>
    <w:basedOn w:val="Normal"/>
    <w:rsid w:val="005B20B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B20B1"/>
    <w:pPr>
      <w:keepLines/>
      <w:spacing w:before="480" w:after="0" w:line="276" w:lineRule="auto"/>
      <w:jc w:val="left"/>
      <w:outlineLvl w:val="9"/>
    </w:pPr>
    <w:rPr>
      <w:rFonts w:asciiTheme="majorHAnsi" w:eastAsiaTheme="majorEastAsia" w:hAnsiTheme="majorHAnsi" w:cstheme="majorBidi"/>
      <w:iCs w:val="0"/>
      <w:caps w:val="0"/>
      <w:color w:val="2F5496" w:themeColor="accent1" w:themeShade="BF"/>
      <w:kern w:val="0"/>
      <w:sz w:val="28"/>
      <w:szCs w:val="28"/>
      <w:lang w:val="en-US" w:eastAsia="ja-JP"/>
    </w:rPr>
  </w:style>
  <w:style w:type="paragraph" w:styleId="TOC1">
    <w:name w:val="toc 1"/>
    <w:basedOn w:val="Normal"/>
    <w:next w:val="Normal"/>
    <w:autoRedefine/>
    <w:uiPriority w:val="39"/>
    <w:unhideWhenUsed/>
    <w:rsid w:val="005B20B1"/>
    <w:pPr>
      <w:spacing w:after="100"/>
    </w:pPr>
  </w:style>
  <w:style w:type="paragraph" w:styleId="TOC2">
    <w:name w:val="toc 2"/>
    <w:basedOn w:val="Normal"/>
    <w:next w:val="Normal"/>
    <w:autoRedefine/>
    <w:uiPriority w:val="39"/>
    <w:unhideWhenUsed/>
    <w:rsid w:val="005B20B1"/>
    <w:pPr>
      <w:tabs>
        <w:tab w:val="left" w:pos="880"/>
        <w:tab w:val="right" w:leader="dot" w:pos="9163"/>
      </w:tabs>
      <w:spacing w:after="100"/>
      <w:ind w:left="900" w:hanging="680"/>
    </w:pPr>
  </w:style>
  <w:style w:type="paragraph" w:styleId="TOC3">
    <w:name w:val="toc 3"/>
    <w:basedOn w:val="Normal"/>
    <w:next w:val="Normal"/>
    <w:autoRedefine/>
    <w:uiPriority w:val="39"/>
    <w:unhideWhenUsed/>
    <w:rsid w:val="005B20B1"/>
    <w:pPr>
      <w:spacing w:after="100"/>
      <w:ind w:left="440"/>
    </w:pPr>
  </w:style>
  <w:style w:type="paragraph" w:styleId="TOC4">
    <w:name w:val="toc 4"/>
    <w:basedOn w:val="Normal"/>
    <w:next w:val="Normal"/>
    <w:autoRedefine/>
    <w:uiPriority w:val="39"/>
    <w:unhideWhenUsed/>
    <w:rsid w:val="005B20B1"/>
    <w:pPr>
      <w:spacing w:after="100"/>
      <w:ind w:left="660"/>
    </w:pPr>
  </w:style>
  <w:style w:type="paragraph" w:styleId="TOC5">
    <w:name w:val="toc 5"/>
    <w:basedOn w:val="Normal"/>
    <w:next w:val="Normal"/>
    <w:autoRedefine/>
    <w:uiPriority w:val="39"/>
    <w:unhideWhenUsed/>
    <w:rsid w:val="005B20B1"/>
    <w:pPr>
      <w:spacing w:after="100"/>
      <w:ind w:left="880"/>
    </w:pPr>
  </w:style>
  <w:style w:type="paragraph" w:styleId="TOC6">
    <w:name w:val="toc 6"/>
    <w:basedOn w:val="Normal"/>
    <w:next w:val="Normal"/>
    <w:autoRedefine/>
    <w:uiPriority w:val="39"/>
    <w:unhideWhenUsed/>
    <w:rsid w:val="005B20B1"/>
    <w:pPr>
      <w:spacing w:after="100"/>
      <w:ind w:left="1100"/>
    </w:pPr>
  </w:style>
  <w:style w:type="paragraph" w:styleId="TOC7">
    <w:name w:val="toc 7"/>
    <w:basedOn w:val="Normal"/>
    <w:next w:val="Normal"/>
    <w:autoRedefine/>
    <w:uiPriority w:val="39"/>
    <w:unhideWhenUsed/>
    <w:rsid w:val="005B20B1"/>
    <w:pPr>
      <w:spacing w:after="100"/>
      <w:ind w:left="1320"/>
    </w:pPr>
  </w:style>
  <w:style w:type="paragraph" w:styleId="TOC8">
    <w:name w:val="toc 8"/>
    <w:basedOn w:val="Normal"/>
    <w:next w:val="Normal"/>
    <w:autoRedefine/>
    <w:uiPriority w:val="39"/>
    <w:unhideWhenUsed/>
    <w:rsid w:val="005B20B1"/>
    <w:pPr>
      <w:spacing w:after="100"/>
      <w:ind w:left="1540"/>
    </w:pPr>
  </w:style>
  <w:style w:type="paragraph" w:styleId="TOC9">
    <w:name w:val="toc 9"/>
    <w:basedOn w:val="Normal"/>
    <w:next w:val="Normal"/>
    <w:autoRedefine/>
    <w:uiPriority w:val="39"/>
    <w:unhideWhenUsed/>
    <w:rsid w:val="005B20B1"/>
    <w:pPr>
      <w:spacing w:after="100"/>
      <w:ind w:left="1760"/>
    </w:pPr>
  </w:style>
  <w:style w:type="paragraph" w:styleId="TableofFigures">
    <w:name w:val="table of figures"/>
    <w:basedOn w:val="Normal"/>
    <w:next w:val="Normal"/>
    <w:uiPriority w:val="99"/>
    <w:unhideWhenUsed/>
    <w:rsid w:val="005B20B1"/>
    <w:pPr>
      <w:spacing w:after="0"/>
    </w:pPr>
  </w:style>
  <w:style w:type="character" w:customStyle="1" w:styleId="ref-journal">
    <w:name w:val="ref-journal"/>
    <w:basedOn w:val="DefaultParagraphFont"/>
    <w:rsid w:val="005B20B1"/>
  </w:style>
  <w:style w:type="character" w:customStyle="1" w:styleId="ref-vol">
    <w:name w:val="ref-vol"/>
    <w:basedOn w:val="DefaultParagraphFont"/>
    <w:rsid w:val="005B20B1"/>
  </w:style>
  <w:style w:type="character" w:customStyle="1" w:styleId="cit">
    <w:name w:val="cit"/>
    <w:basedOn w:val="DefaultParagraphFont"/>
    <w:rsid w:val="005B20B1"/>
  </w:style>
  <w:style w:type="character" w:customStyle="1" w:styleId="reference-accessdate">
    <w:name w:val="reference-accessdate"/>
    <w:basedOn w:val="DefaultParagraphFont"/>
    <w:rsid w:val="005B20B1"/>
  </w:style>
  <w:style w:type="character" w:customStyle="1" w:styleId="nowrap">
    <w:name w:val="nowrap"/>
    <w:basedOn w:val="DefaultParagraphFont"/>
    <w:rsid w:val="005B20B1"/>
  </w:style>
  <w:style w:type="character" w:styleId="FollowedHyperlink">
    <w:name w:val="FollowedHyperlink"/>
    <w:basedOn w:val="DefaultParagraphFont"/>
    <w:uiPriority w:val="99"/>
    <w:semiHidden/>
    <w:unhideWhenUsed/>
    <w:rsid w:val="005B20B1"/>
    <w:rPr>
      <w:color w:val="800080"/>
      <w:u w:val="single"/>
    </w:rPr>
  </w:style>
  <w:style w:type="paragraph" w:customStyle="1" w:styleId="xl65">
    <w:name w:val="xl65"/>
    <w:basedOn w:val="Normal"/>
    <w:rsid w:val="005B20B1"/>
    <w:pP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6">
    <w:name w:val="xl66"/>
    <w:basedOn w:val="Normal"/>
    <w:rsid w:val="005B20B1"/>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5B20B1"/>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5B20B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5B20B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5B20B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5B20B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5B20B1"/>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5B20B1"/>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5B20B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5B20B1"/>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5B20B1"/>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customStyle="1" w:styleId="overflow-hidden">
    <w:name w:val="overflow-hidden"/>
    <w:basedOn w:val="DefaultParagraphFont"/>
    <w:rsid w:val="005F4400"/>
  </w:style>
  <w:style w:type="paragraph" w:styleId="z-TopofForm">
    <w:name w:val="HTML Top of Form"/>
    <w:basedOn w:val="Normal"/>
    <w:next w:val="Normal"/>
    <w:link w:val="z-TopofFormChar"/>
    <w:hidden/>
    <w:uiPriority w:val="99"/>
    <w:semiHidden/>
    <w:unhideWhenUsed/>
    <w:rsid w:val="005F440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4400"/>
    <w:rPr>
      <w:rFonts w:ascii="Arial" w:eastAsia="Times New Roman" w:hAnsi="Arial" w:cs="Arial"/>
      <w:vanish/>
      <w:sz w:val="16"/>
      <w:szCs w:val="16"/>
    </w:rPr>
  </w:style>
  <w:style w:type="paragraph" w:customStyle="1" w:styleId="placeholder">
    <w:name w:val="placeholder"/>
    <w:basedOn w:val="Normal"/>
    <w:rsid w:val="005F4400"/>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5F440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4400"/>
    <w:rPr>
      <w:rFonts w:ascii="Arial" w:eastAsia="Times New Roman" w:hAnsi="Arial" w:cs="Arial"/>
      <w:vanish/>
      <w:sz w:val="16"/>
      <w:szCs w:val="16"/>
    </w:rPr>
  </w:style>
  <w:style w:type="character" w:styleId="Strong">
    <w:name w:val="Strong"/>
    <w:basedOn w:val="DefaultParagraphFont"/>
    <w:uiPriority w:val="22"/>
    <w:qFormat/>
    <w:rsid w:val="00E13AFF"/>
    <w:rPr>
      <w:b/>
      <w:bCs/>
    </w:rPr>
  </w:style>
  <w:style w:type="character" w:styleId="PageNumber">
    <w:name w:val="page number"/>
    <w:basedOn w:val="DefaultParagraphFont"/>
    <w:uiPriority w:val="99"/>
    <w:semiHidden/>
    <w:unhideWhenUsed/>
    <w:rsid w:val="0053207E"/>
  </w:style>
  <w:style w:type="character" w:styleId="CommentReference">
    <w:name w:val="annotation reference"/>
    <w:basedOn w:val="DefaultParagraphFont"/>
    <w:uiPriority w:val="99"/>
    <w:semiHidden/>
    <w:unhideWhenUsed/>
    <w:rsid w:val="00112415"/>
    <w:rPr>
      <w:sz w:val="16"/>
      <w:szCs w:val="16"/>
    </w:rPr>
  </w:style>
  <w:style w:type="paragraph" w:styleId="CommentText">
    <w:name w:val="annotation text"/>
    <w:basedOn w:val="Normal"/>
    <w:link w:val="CommentTextChar"/>
    <w:uiPriority w:val="99"/>
    <w:semiHidden/>
    <w:unhideWhenUsed/>
    <w:rsid w:val="00112415"/>
    <w:pPr>
      <w:spacing w:line="240" w:lineRule="auto"/>
    </w:pPr>
    <w:rPr>
      <w:sz w:val="20"/>
      <w:szCs w:val="20"/>
    </w:rPr>
  </w:style>
  <w:style w:type="character" w:customStyle="1" w:styleId="CommentTextChar">
    <w:name w:val="Comment Text Char"/>
    <w:basedOn w:val="DefaultParagraphFont"/>
    <w:link w:val="CommentText"/>
    <w:uiPriority w:val="99"/>
    <w:semiHidden/>
    <w:rsid w:val="0011241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12415"/>
    <w:rPr>
      <w:b/>
      <w:bCs/>
    </w:rPr>
  </w:style>
  <w:style w:type="character" w:customStyle="1" w:styleId="CommentSubjectChar">
    <w:name w:val="Comment Subject Char"/>
    <w:basedOn w:val="CommentTextChar"/>
    <w:link w:val="CommentSubject"/>
    <w:uiPriority w:val="99"/>
    <w:semiHidden/>
    <w:rsid w:val="00112415"/>
    <w:rPr>
      <w:rFonts w:eastAsiaTheme="minorEastAsia"/>
      <w:b/>
      <w:bCs/>
      <w:sz w:val="20"/>
      <w:szCs w:val="20"/>
    </w:rPr>
  </w:style>
  <w:style w:type="paragraph" w:styleId="Revision">
    <w:name w:val="Revision"/>
    <w:hidden/>
    <w:uiPriority w:val="99"/>
    <w:semiHidden/>
    <w:rsid w:val="00112415"/>
    <w:pPr>
      <w:spacing w:after="0" w:line="240" w:lineRule="auto"/>
    </w:pPr>
    <w:rPr>
      <w:rFonts w:eastAsiaTheme="minorEastAsia"/>
    </w:rPr>
  </w:style>
  <w:style w:type="character" w:customStyle="1" w:styleId="authors-list-item">
    <w:name w:val="authors-list-item"/>
    <w:basedOn w:val="DefaultParagraphFont"/>
    <w:rsid w:val="001706B5"/>
  </w:style>
  <w:style w:type="character" w:customStyle="1" w:styleId="author-sup-separator">
    <w:name w:val="author-sup-separator"/>
    <w:basedOn w:val="DefaultParagraphFont"/>
    <w:rsid w:val="001706B5"/>
  </w:style>
  <w:style w:type="character" w:customStyle="1" w:styleId="comma">
    <w:name w:val="comma"/>
    <w:basedOn w:val="DefaultParagraphFont"/>
    <w:rsid w:val="001706B5"/>
  </w:style>
  <w:style w:type="character" w:customStyle="1" w:styleId="period">
    <w:name w:val="period"/>
    <w:basedOn w:val="DefaultParagraphFont"/>
    <w:rsid w:val="00A67D1C"/>
  </w:style>
  <w:style w:type="character" w:customStyle="1" w:styleId="citation-doi">
    <w:name w:val="citation-doi"/>
    <w:basedOn w:val="DefaultParagraphFont"/>
    <w:rsid w:val="00A67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241">
      <w:bodyDiv w:val="1"/>
      <w:marLeft w:val="0"/>
      <w:marRight w:val="0"/>
      <w:marTop w:val="0"/>
      <w:marBottom w:val="0"/>
      <w:divBdr>
        <w:top w:val="none" w:sz="0" w:space="0" w:color="auto"/>
        <w:left w:val="none" w:sz="0" w:space="0" w:color="auto"/>
        <w:bottom w:val="none" w:sz="0" w:space="0" w:color="auto"/>
        <w:right w:val="none" w:sz="0" w:space="0" w:color="auto"/>
      </w:divBdr>
      <w:divsChild>
        <w:div w:id="1252356728">
          <w:marLeft w:val="0"/>
          <w:marRight w:val="0"/>
          <w:marTop w:val="0"/>
          <w:marBottom w:val="0"/>
          <w:divBdr>
            <w:top w:val="none" w:sz="0" w:space="0" w:color="auto"/>
            <w:left w:val="none" w:sz="0" w:space="0" w:color="auto"/>
            <w:bottom w:val="none" w:sz="0" w:space="0" w:color="auto"/>
            <w:right w:val="none" w:sz="0" w:space="0" w:color="auto"/>
          </w:divBdr>
          <w:divsChild>
            <w:div w:id="897327385">
              <w:marLeft w:val="0"/>
              <w:marRight w:val="0"/>
              <w:marTop w:val="0"/>
              <w:marBottom w:val="0"/>
              <w:divBdr>
                <w:top w:val="none" w:sz="0" w:space="0" w:color="auto"/>
                <w:left w:val="none" w:sz="0" w:space="0" w:color="auto"/>
                <w:bottom w:val="none" w:sz="0" w:space="0" w:color="auto"/>
                <w:right w:val="none" w:sz="0" w:space="0" w:color="auto"/>
              </w:divBdr>
              <w:divsChild>
                <w:div w:id="17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6953">
      <w:bodyDiv w:val="1"/>
      <w:marLeft w:val="0"/>
      <w:marRight w:val="0"/>
      <w:marTop w:val="0"/>
      <w:marBottom w:val="0"/>
      <w:divBdr>
        <w:top w:val="none" w:sz="0" w:space="0" w:color="auto"/>
        <w:left w:val="none" w:sz="0" w:space="0" w:color="auto"/>
        <w:bottom w:val="none" w:sz="0" w:space="0" w:color="auto"/>
        <w:right w:val="none" w:sz="0" w:space="0" w:color="auto"/>
      </w:divBdr>
    </w:div>
    <w:div w:id="948052102">
      <w:bodyDiv w:val="1"/>
      <w:marLeft w:val="0"/>
      <w:marRight w:val="0"/>
      <w:marTop w:val="0"/>
      <w:marBottom w:val="0"/>
      <w:divBdr>
        <w:top w:val="none" w:sz="0" w:space="0" w:color="auto"/>
        <w:left w:val="none" w:sz="0" w:space="0" w:color="auto"/>
        <w:bottom w:val="none" w:sz="0" w:space="0" w:color="auto"/>
        <w:right w:val="none" w:sz="0" w:space="0" w:color="auto"/>
      </w:divBdr>
      <w:divsChild>
        <w:div w:id="390275276">
          <w:marLeft w:val="0"/>
          <w:marRight w:val="0"/>
          <w:marTop w:val="0"/>
          <w:marBottom w:val="0"/>
          <w:divBdr>
            <w:top w:val="none" w:sz="0" w:space="0" w:color="auto"/>
            <w:left w:val="none" w:sz="0" w:space="0" w:color="auto"/>
            <w:bottom w:val="none" w:sz="0" w:space="0" w:color="auto"/>
            <w:right w:val="none" w:sz="0" w:space="0" w:color="auto"/>
          </w:divBdr>
          <w:divsChild>
            <w:div w:id="116876863">
              <w:marLeft w:val="0"/>
              <w:marRight w:val="0"/>
              <w:marTop w:val="0"/>
              <w:marBottom w:val="0"/>
              <w:divBdr>
                <w:top w:val="none" w:sz="0" w:space="0" w:color="auto"/>
                <w:left w:val="none" w:sz="0" w:space="0" w:color="auto"/>
                <w:bottom w:val="none" w:sz="0" w:space="0" w:color="auto"/>
                <w:right w:val="none" w:sz="0" w:space="0" w:color="auto"/>
              </w:divBdr>
              <w:divsChild>
                <w:div w:id="16668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30060">
      <w:bodyDiv w:val="1"/>
      <w:marLeft w:val="0"/>
      <w:marRight w:val="0"/>
      <w:marTop w:val="0"/>
      <w:marBottom w:val="0"/>
      <w:divBdr>
        <w:top w:val="none" w:sz="0" w:space="0" w:color="auto"/>
        <w:left w:val="none" w:sz="0" w:space="0" w:color="auto"/>
        <w:bottom w:val="none" w:sz="0" w:space="0" w:color="auto"/>
        <w:right w:val="none" w:sz="0" w:space="0" w:color="auto"/>
      </w:divBdr>
    </w:div>
    <w:div w:id="2052653080">
      <w:bodyDiv w:val="1"/>
      <w:marLeft w:val="0"/>
      <w:marRight w:val="0"/>
      <w:marTop w:val="0"/>
      <w:marBottom w:val="0"/>
      <w:divBdr>
        <w:top w:val="none" w:sz="0" w:space="0" w:color="auto"/>
        <w:left w:val="none" w:sz="0" w:space="0" w:color="auto"/>
        <w:bottom w:val="none" w:sz="0" w:space="0" w:color="auto"/>
        <w:right w:val="none" w:sz="0" w:space="0" w:color="auto"/>
      </w:divBdr>
      <w:divsChild>
        <w:div w:id="1988708963">
          <w:marLeft w:val="0"/>
          <w:marRight w:val="0"/>
          <w:marTop w:val="0"/>
          <w:marBottom w:val="0"/>
          <w:divBdr>
            <w:top w:val="none" w:sz="0" w:space="0" w:color="auto"/>
            <w:left w:val="none" w:sz="0" w:space="0" w:color="auto"/>
            <w:bottom w:val="none" w:sz="0" w:space="0" w:color="auto"/>
            <w:right w:val="none" w:sz="0" w:space="0" w:color="auto"/>
          </w:divBdr>
          <w:divsChild>
            <w:div w:id="1325165705">
              <w:marLeft w:val="0"/>
              <w:marRight w:val="0"/>
              <w:marTop w:val="0"/>
              <w:marBottom w:val="0"/>
              <w:divBdr>
                <w:top w:val="none" w:sz="0" w:space="0" w:color="auto"/>
                <w:left w:val="none" w:sz="0" w:space="0" w:color="auto"/>
                <w:bottom w:val="none" w:sz="0" w:space="0" w:color="auto"/>
                <w:right w:val="none" w:sz="0" w:space="0" w:color="auto"/>
              </w:divBdr>
              <w:divsChild>
                <w:div w:id="1862469601">
                  <w:marLeft w:val="0"/>
                  <w:marRight w:val="0"/>
                  <w:marTop w:val="0"/>
                  <w:marBottom w:val="0"/>
                  <w:divBdr>
                    <w:top w:val="none" w:sz="0" w:space="0" w:color="auto"/>
                    <w:left w:val="none" w:sz="0" w:space="0" w:color="auto"/>
                    <w:bottom w:val="none" w:sz="0" w:space="0" w:color="auto"/>
                    <w:right w:val="none" w:sz="0" w:space="0" w:color="auto"/>
                  </w:divBdr>
                  <w:divsChild>
                    <w:div w:id="1924873200">
                      <w:marLeft w:val="0"/>
                      <w:marRight w:val="0"/>
                      <w:marTop w:val="0"/>
                      <w:marBottom w:val="0"/>
                      <w:divBdr>
                        <w:top w:val="none" w:sz="0" w:space="0" w:color="auto"/>
                        <w:left w:val="none" w:sz="0" w:space="0" w:color="auto"/>
                        <w:bottom w:val="none" w:sz="0" w:space="0" w:color="auto"/>
                        <w:right w:val="none" w:sz="0" w:space="0" w:color="auto"/>
                      </w:divBdr>
                      <w:divsChild>
                        <w:div w:id="778067894">
                          <w:marLeft w:val="0"/>
                          <w:marRight w:val="0"/>
                          <w:marTop w:val="0"/>
                          <w:marBottom w:val="0"/>
                          <w:divBdr>
                            <w:top w:val="none" w:sz="0" w:space="0" w:color="auto"/>
                            <w:left w:val="none" w:sz="0" w:space="0" w:color="auto"/>
                            <w:bottom w:val="none" w:sz="0" w:space="0" w:color="auto"/>
                            <w:right w:val="none" w:sz="0" w:space="0" w:color="auto"/>
                          </w:divBdr>
                          <w:divsChild>
                            <w:div w:id="512577563">
                              <w:marLeft w:val="0"/>
                              <w:marRight w:val="0"/>
                              <w:marTop w:val="0"/>
                              <w:marBottom w:val="0"/>
                              <w:divBdr>
                                <w:top w:val="none" w:sz="0" w:space="0" w:color="auto"/>
                                <w:left w:val="none" w:sz="0" w:space="0" w:color="auto"/>
                                <w:bottom w:val="none" w:sz="0" w:space="0" w:color="auto"/>
                                <w:right w:val="none" w:sz="0" w:space="0" w:color="auto"/>
                              </w:divBdr>
                              <w:divsChild>
                                <w:div w:id="538129195">
                                  <w:marLeft w:val="0"/>
                                  <w:marRight w:val="0"/>
                                  <w:marTop w:val="0"/>
                                  <w:marBottom w:val="0"/>
                                  <w:divBdr>
                                    <w:top w:val="none" w:sz="0" w:space="0" w:color="auto"/>
                                    <w:left w:val="none" w:sz="0" w:space="0" w:color="auto"/>
                                    <w:bottom w:val="none" w:sz="0" w:space="0" w:color="auto"/>
                                    <w:right w:val="none" w:sz="0" w:space="0" w:color="auto"/>
                                  </w:divBdr>
                                  <w:divsChild>
                                    <w:div w:id="446507125">
                                      <w:marLeft w:val="0"/>
                                      <w:marRight w:val="0"/>
                                      <w:marTop w:val="0"/>
                                      <w:marBottom w:val="0"/>
                                      <w:divBdr>
                                        <w:top w:val="none" w:sz="0" w:space="0" w:color="auto"/>
                                        <w:left w:val="none" w:sz="0" w:space="0" w:color="auto"/>
                                        <w:bottom w:val="none" w:sz="0" w:space="0" w:color="auto"/>
                                        <w:right w:val="none" w:sz="0" w:space="0" w:color="auto"/>
                                      </w:divBdr>
                                      <w:divsChild>
                                        <w:div w:id="1536237771">
                                          <w:marLeft w:val="0"/>
                                          <w:marRight w:val="0"/>
                                          <w:marTop w:val="0"/>
                                          <w:marBottom w:val="0"/>
                                          <w:divBdr>
                                            <w:top w:val="none" w:sz="0" w:space="0" w:color="auto"/>
                                            <w:left w:val="none" w:sz="0" w:space="0" w:color="auto"/>
                                            <w:bottom w:val="none" w:sz="0" w:space="0" w:color="auto"/>
                                            <w:right w:val="none" w:sz="0" w:space="0" w:color="auto"/>
                                          </w:divBdr>
                                          <w:divsChild>
                                            <w:div w:id="1844516326">
                                              <w:marLeft w:val="0"/>
                                              <w:marRight w:val="0"/>
                                              <w:marTop w:val="0"/>
                                              <w:marBottom w:val="0"/>
                                              <w:divBdr>
                                                <w:top w:val="none" w:sz="0" w:space="0" w:color="auto"/>
                                                <w:left w:val="none" w:sz="0" w:space="0" w:color="auto"/>
                                                <w:bottom w:val="none" w:sz="0" w:space="0" w:color="auto"/>
                                                <w:right w:val="none" w:sz="0" w:space="0" w:color="auto"/>
                                              </w:divBdr>
                                              <w:divsChild>
                                                <w:div w:id="70658154">
                                                  <w:marLeft w:val="0"/>
                                                  <w:marRight w:val="0"/>
                                                  <w:marTop w:val="0"/>
                                                  <w:marBottom w:val="0"/>
                                                  <w:divBdr>
                                                    <w:top w:val="none" w:sz="0" w:space="0" w:color="auto"/>
                                                    <w:left w:val="none" w:sz="0" w:space="0" w:color="auto"/>
                                                    <w:bottom w:val="none" w:sz="0" w:space="0" w:color="auto"/>
                                                    <w:right w:val="none" w:sz="0" w:space="0" w:color="auto"/>
                                                  </w:divBdr>
                                                  <w:divsChild>
                                                    <w:div w:id="560407721">
                                                      <w:marLeft w:val="0"/>
                                                      <w:marRight w:val="0"/>
                                                      <w:marTop w:val="0"/>
                                                      <w:marBottom w:val="0"/>
                                                      <w:divBdr>
                                                        <w:top w:val="none" w:sz="0" w:space="0" w:color="auto"/>
                                                        <w:left w:val="none" w:sz="0" w:space="0" w:color="auto"/>
                                                        <w:bottom w:val="none" w:sz="0" w:space="0" w:color="auto"/>
                                                        <w:right w:val="none" w:sz="0" w:space="0" w:color="auto"/>
                                                      </w:divBdr>
                                                      <w:divsChild>
                                                        <w:div w:id="10219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2731">
                                              <w:marLeft w:val="0"/>
                                              <w:marRight w:val="0"/>
                                              <w:marTop w:val="0"/>
                                              <w:marBottom w:val="0"/>
                                              <w:divBdr>
                                                <w:top w:val="none" w:sz="0" w:space="0" w:color="auto"/>
                                                <w:left w:val="none" w:sz="0" w:space="0" w:color="auto"/>
                                                <w:bottom w:val="none" w:sz="0" w:space="0" w:color="auto"/>
                                                <w:right w:val="none" w:sz="0" w:space="0" w:color="auto"/>
                                              </w:divBdr>
                                              <w:divsChild>
                                                <w:div w:id="208030146">
                                                  <w:marLeft w:val="0"/>
                                                  <w:marRight w:val="0"/>
                                                  <w:marTop w:val="0"/>
                                                  <w:marBottom w:val="0"/>
                                                  <w:divBdr>
                                                    <w:top w:val="none" w:sz="0" w:space="0" w:color="auto"/>
                                                    <w:left w:val="none" w:sz="0" w:space="0" w:color="auto"/>
                                                    <w:bottom w:val="none" w:sz="0" w:space="0" w:color="auto"/>
                                                    <w:right w:val="none" w:sz="0" w:space="0" w:color="auto"/>
                                                  </w:divBdr>
                                                  <w:divsChild>
                                                    <w:div w:id="1898736644">
                                                      <w:marLeft w:val="0"/>
                                                      <w:marRight w:val="0"/>
                                                      <w:marTop w:val="0"/>
                                                      <w:marBottom w:val="0"/>
                                                      <w:divBdr>
                                                        <w:top w:val="none" w:sz="0" w:space="0" w:color="auto"/>
                                                        <w:left w:val="none" w:sz="0" w:space="0" w:color="auto"/>
                                                        <w:bottom w:val="none" w:sz="0" w:space="0" w:color="auto"/>
                                                        <w:right w:val="none" w:sz="0" w:space="0" w:color="auto"/>
                                                      </w:divBdr>
                                                      <w:divsChild>
                                                        <w:div w:id="645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6189920">
          <w:marLeft w:val="0"/>
          <w:marRight w:val="0"/>
          <w:marTop w:val="0"/>
          <w:marBottom w:val="0"/>
          <w:divBdr>
            <w:top w:val="none" w:sz="0" w:space="0" w:color="auto"/>
            <w:left w:val="none" w:sz="0" w:space="0" w:color="auto"/>
            <w:bottom w:val="none" w:sz="0" w:space="0" w:color="auto"/>
            <w:right w:val="none" w:sz="0" w:space="0" w:color="auto"/>
          </w:divBdr>
          <w:divsChild>
            <w:div w:id="161630287">
              <w:marLeft w:val="0"/>
              <w:marRight w:val="0"/>
              <w:marTop w:val="0"/>
              <w:marBottom w:val="0"/>
              <w:divBdr>
                <w:top w:val="none" w:sz="0" w:space="0" w:color="auto"/>
                <w:left w:val="none" w:sz="0" w:space="0" w:color="auto"/>
                <w:bottom w:val="none" w:sz="0" w:space="0" w:color="auto"/>
                <w:right w:val="none" w:sz="0" w:space="0" w:color="auto"/>
              </w:divBdr>
              <w:divsChild>
                <w:div w:id="634333212">
                  <w:marLeft w:val="0"/>
                  <w:marRight w:val="0"/>
                  <w:marTop w:val="0"/>
                  <w:marBottom w:val="0"/>
                  <w:divBdr>
                    <w:top w:val="none" w:sz="0" w:space="0" w:color="auto"/>
                    <w:left w:val="none" w:sz="0" w:space="0" w:color="auto"/>
                    <w:bottom w:val="none" w:sz="0" w:space="0" w:color="auto"/>
                    <w:right w:val="none" w:sz="0" w:space="0" w:color="auto"/>
                  </w:divBdr>
                  <w:divsChild>
                    <w:div w:id="1042904694">
                      <w:marLeft w:val="0"/>
                      <w:marRight w:val="0"/>
                      <w:marTop w:val="0"/>
                      <w:marBottom w:val="0"/>
                      <w:divBdr>
                        <w:top w:val="none" w:sz="0" w:space="0" w:color="auto"/>
                        <w:left w:val="none" w:sz="0" w:space="0" w:color="auto"/>
                        <w:bottom w:val="none" w:sz="0" w:space="0" w:color="auto"/>
                        <w:right w:val="none" w:sz="0" w:space="0" w:color="auto"/>
                      </w:divBdr>
                      <w:divsChild>
                        <w:div w:id="1677923601">
                          <w:marLeft w:val="0"/>
                          <w:marRight w:val="0"/>
                          <w:marTop w:val="0"/>
                          <w:marBottom w:val="0"/>
                          <w:divBdr>
                            <w:top w:val="none" w:sz="0" w:space="0" w:color="auto"/>
                            <w:left w:val="none" w:sz="0" w:space="0" w:color="auto"/>
                            <w:bottom w:val="none" w:sz="0" w:space="0" w:color="auto"/>
                            <w:right w:val="none" w:sz="0" w:space="0" w:color="auto"/>
                          </w:divBdr>
                          <w:divsChild>
                            <w:div w:id="471799446">
                              <w:marLeft w:val="0"/>
                              <w:marRight w:val="0"/>
                              <w:marTop w:val="0"/>
                              <w:marBottom w:val="0"/>
                              <w:divBdr>
                                <w:top w:val="none" w:sz="0" w:space="0" w:color="auto"/>
                                <w:left w:val="none" w:sz="0" w:space="0" w:color="auto"/>
                                <w:bottom w:val="none" w:sz="0" w:space="0" w:color="auto"/>
                                <w:right w:val="none" w:sz="0" w:space="0" w:color="auto"/>
                              </w:divBdr>
                              <w:divsChild>
                                <w:div w:id="382406477">
                                  <w:marLeft w:val="0"/>
                                  <w:marRight w:val="0"/>
                                  <w:marTop w:val="0"/>
                                  <w:marBottom w:val="0"/>
                                  <w:divBdr>
                                    <w:top w:val="none" w:sz="0" w:space="0" w:color="auto"/>
                                    <w:left w:val="none" w:sz="0" w:space="0" w:color="auto"/>
                                    <w:bottom w:val="none" w:sz="0" w:space="0" w:color="auto"/>
                                    <w:right w:val="none" w:sz="0" w:space="0" w:color="auto"/>
                                  </w:divBdr>
                                  <w:divsChild>
                                    <w:div w:id="211309898">
                                      <w:marLeft w:val="0"/>
                                      <w:marRight w:val="0"/>
                                      <w:marTop w:val="0"/>
                                      <w:marBottom w:val="0"/>
                                      <w:divBdr>
                                        <w:top w:val="none" w:sz="0" w:space="0" w:color="auto"/>
                                        <w:left w:val="none" w:sz="0" w:space="0" w:color="auto"/>
                                        <w:bottom w:val="none" w:sz="0" w:space="0" w:color="auto"/>
                                        <w:right w:val="none" w:sz="0" w:space="0" w:color="auto"/>
                                      </w:divBdr>
                                      <w:divsChild>
                                        <w:div w:id="1959875240">
                                          <w:marLeft w:val="0"/>
                                          <w:marRight w:val="0"/>
                                          <w:marTop w:val="0"/>
                                          <w:marBottom w:val="0"/>
                                          <w:divBdr>
                                            <w:top w:val="none" w:sz="0" w:space="0" w:color="auto"/>
                                            <w:left w:val="none" w:sz="0" w:space="0" w:color="auto"/>
                                            <w:bottom w:val="none" w:sz="0" w:space="0" w:color="auto"/>
                                            <w:right w:val="none" w:sz="0" w:space="0" w:color="auto"/>
                                          </w:divBdr>
                                          <w:divsChild>
                                            <w:div w:id="284697952">
                                              <w:marLeft w:val="0"/>
                                              <w:marRight w:val="0"/>
                                              <w:marTop w:val="0"/>
                                              <w:marBottom w:val="0"/>
                                              <w:divBdr>
                                                <w:top w:val="none" w:sz="0" w:space="0" w:color="auto"/>
                                                <w:left w:val="none" w:sz="0" w:space="0" w:color="auto"/>
                                                <w:bottom w:val="none" w:sz="0" w:space="0" w:color="auto"/>
                                                <w:right w:val="none" w:sz="0" w:space="0" w:color="auto"/>
                                              </w:divBdr>
                                              <w:divsChild>
                                                <w:div w:id="230696916">
                                                  <w:marLeft w:val="0"/>
                                                  <w:marRight w:val="0"/>
                                                  <w:marTop w:val="0"/>
                                                  <w:marBottom w:val="0"/>
                                                  <w:divBdr>
                                                    <w:top w:val="none" w:sz="0" w:space="0" w:color="auto"/>
                                                    <w:left w:val="none" w:sz="0" w:space="0" w:color="auto"/>
                                                    <w:bottom w:val="none" w:sz="0" w:space="0" w:color="auto"/>
                                                    <w:right w:val="none" w:sz="0" w:space="0" w:color="auto"/>
                                                  </w:divBdr>
                                                  <w:divsChild>
                                                    <w:div w:id="1834758665">
                                                      <w:marLeft w:val="0"/>
                                                      <w:marRight w:val="0"/>
                                                      <w:marTop w:val="0"/>
                                                      <w:marBottom w:val="0"/>
                                                      <w:divBdr>
                                                        <w:top w:val="none" w:sz="0" w:space="0" w:color="auto"/>
                                                        <w:left w:val="none" w:sz="0" w:space="0" w:color="auto"/>
                                                        <w:bottom w:val="none" w:sz="0" w:space="0" w:color="auto"/>
                                                        <w:right w:val="none" w:sz="0" w:space="0" w:color="auto"/>
                                                      </w:divBdr>
                                                      <w:divsChild>
                                                        <w:div w:id="1833139237">
                                                          <w:marLeft w:val="0"/>
                                                          <w:marRight w:val="0"/>
                                                          <w:marTop w:val="0"/>
                                                          <w:marBottom w:val="0"/>
                                                          <w:divBdr>
                                                            <w:top w:val="none" w:sz="0" w:space="0" w:color="auto"/>
                                                            <w:left w:val="none" w:sz="0" w:space="0" w:color="auto"/>
                                                            <w:bottom w:val="none" w:sz="0" w:space="0" w:color="auto"/>
                                                            <w:right w:val="none" w:sz="0" w:space="0" w:color="auto"/>
                                                          </w:divBdr>
                                                          <w:divsChild>
                                                            <w:div w:id="1737509641">
                                                              <w:marLeft w:val="0"/>
                                                              <w:marRight w:val="0"/>
                                                              <w:marTop w:val="0"/>
                                                              <w:marBottom w:val="0"/>
                                                              <w:divBdr>
                                                                <w:top w:val="none" w:sz="0" w:space="0" w:color="auto"/>
                                                                <w:left w:val="none" w:sz="0" w:space="0" w:color="auto"/>
                                                                <w:bottom w:val="none" w:sz="0" w:space="0" w:color="auto"/>
                                                                <w:right w:val="none" w:sz="0" w:space="0" w:color="auto"/>
                                                              </w:divBdr>
                                                            </w:div>
                                                            <w:div w:id="1142623723">
                                                              <w:marLeft w:val="0"/>
                                                              <w:marRight w:val="0"/>
                                                              <w:marTop w:val="0"/>
                                                              <w:marBottom w:val="0"/>
                                                              <w:divBdr>
                                                                <w:top w:val="none" w:sz="0" w:space="0" w:color="auto"/>
                                                                <w:left w:val="none" w:sz="0" w:space="0" w:color="auto"/>
                                                                <w:bottom w:val="none" w:sz="0" w:space="0" w:color="auto"/>
                                                                <w:right w:val="none" w:sz="0" w:space="0" w:color="auto"/>
                                                              </w:divBdr>
                                                            </w:div>
                                                          </w:divsChild>
                                                        </w:div>
                                                        <w:div w:id="662897770">
                                                          <w:marLeft w:val="0"/>
                                                          <w:marRight w:val="0"/>
                                                          <w:marTop w:val="0"/>
                                                          <w:marBottom w:val="0"/>
                                                          <w:divBdr>
                                                            <w:top w:val="none" w:sz="0" w:space="0" w:color="auto"/>
                                                            <w:left w:val="none" w:sz="0" w:space="0" w:color="auto"/>
                                                            <w:bottom w:val="none" w:sz="0" w:space="0" w:color="auto"/>
                                                            <w:right w:val="none" w:sz="0" w:space="0" w:color="auto"/>
                                                          </w:divBdr>
                                                          <w:divsChild>
                                                            <w:div w:id="1165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48707">
                              <w:marLeft w:val="0"/>
                              <w:marRight w:val="0"/>
                              <w:marTop w:val="0"/>
                              <w:marBottom w:val="0"/>
                              <w:divBdr>
                                <w:top w:val="none" w:sz="0" w:space="0" w:color="auto"/>
                                <w:left w:val="none" w:sz="0" w:space="0" w:color="auto"/>
                                <w:bottom w:val="none" w:sz="0" w:space="0" w:color="auto"/>
                                <w:right w:val="none" w:sz="0" w:space="0" w:color="auto"/>
                              </w:divBdr>
                              <w:divsChild>
                                <w:div w:id="173226473">
                                  <w:marLeft w:val="0"/>
                                  <w:marRight w:val="0"/>
                                  <w:marTop w:val="0"/>
                                  <w:marBottom w:val="0"/>
                                  <w:divBdr>
                                    <w:top w:val="none" w:sz="0" w:space="0" w:color="auto"/>
                                    <w:left w:val="none" w:sz="0" w:space="0" w:color="auto"/>
                                    <w:bottom w:val="none" w:sz="0" w:space="0" w:color="auto"/>
                                    <w:right w:val="none" w:sz="0" w:space="0" w:color="auto"/>
                                  </w:divBdr>
                                  <w:divsChild>
                                    <w:div w:id="99378503">
                                      <w:marLeft w:val="0"/>
                                      <w:marRight w:val="0"/>
                                      <w:marTop w:val="0"/>
                                      <w:marBottom w:val="0"/>
                                      <w:divBdr>
                                        <w:top w:val="none" w:sz="0" w:space="0" w:color="auto"/>
                                        <w:left w:val="none" w:sz="0" w:space="0" w:color="auto"/>
                                        <w:bottom w:val="none" w:sz="0" w:space="0" w:color="auto"/>
                                        <w:right w:val="none" w:sz="0" w:space="0" w:color="auto"/>
                                      </w:divBdr>
                                      <w:divsChild>
                                        <w:div w:id="773522039">
                                          <w:marLeft w:val="0"/>
                                          <w:marRight w:val="0"/>
                                          <w:marTop w:val="0"/>
                                          <w:marBottom w:val="0"/>
                                          <w:divBdr>
                                            <w:top w:val="none" w:sz="0" w:space="0" w:color="auto"/>
                                            <w:left w:val="none" w:sz="0" w:space="0" w:color="auto"/>
                                            <w:bottom w:val="none" w:sz="0" w:space="0" w:color="auto"/>
                                            <w:right w:val="none" w:sz="0" w:space="0" w:color="auto"/>
                                          </w:divBdr>
                                          <w:divsChild>
                                            <w:div w:id="1848977846">
                                              <w:marLeft w:val="0"/>
                                              <w:marRight w:val="0"/>
                                              <w:marTop w:val="0"/>
                                              <w:marBottom w:val="0"/>
                                              <w:divBdr>
                                                <w:top w:val="none" w:sz="0" w:space="0" w:color="auto"/>
                                                <w:left w:val="none" w:sz="0" w:space="0" w:color="auto"/>
                                                <w:bottom w:val="none" w:sz="0" w:space="0" w:color="auto"/>
                                                <w:right w:val="none" w:sz="0" w:space="0" w:color="auto"/>
                                              </w:divBdr>
                                              <w:divsChild>
                                                <w:div w:id="4191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514122">
                  <w:marLeft w:val="0"/>
                  <w:marRight w:val="0"/>
                  <w:marTop w:val="0"/>
                  <w:marBottom w:val="0"/>
                  <w:divBdr>
                    <w:top w:val="none" w:sz="0" w:space="0" w:color="auto"/>
                    <w:left w:val="none" w:sz="0" w:space="0" w:color="auto"/>
                    <w:bottom w:val="none" w:sz="0" w:space="0" w:color="auto"/>
                    <w:right w:val="none" w:sz="0" w:space="0" w:color="auto"/>
                  </w:divBdr>
                  <w:divsChild>
                    <w:div w:id="310720287">
                      <w:marLeft w:val="0"/>
                      <w:marRight w:val="0"/>
                      <w:marTop w:val="0"/>
                      <w:marBottom w:val="0"/>
                      <w:divBdr>
                        <w:top w:val="none" w:sz="0" w:space="0" w:color="auto"/>
                        <w:left w:val="none" w:sz="0" w:space="0" w:color="auto"/>
                        <w:bottom w:val="none" w:sz="0" w:space="0" w:color="auto"/>
                        <w:right w:val="none" w:sz="0" w:space="0" w:color="auto"/>
                      </w:divBdr>
                      <w:divsChild>
                        <w:div w:id="14277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pubmed.ncbi.nlm.nih.gov/?term=Weiler+H&amp;cauthor_id=29813153"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pubmed.ncbi.nlm.nih.gov/?term=Wei+SQ&amp;cauthor_id=29813153"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pubmed.ncbi.nlm.nih.gov/?term=Nuyt+AM&amp;cauthor_id=2981315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ubmed.ncbi.nlm.nih.gov/?term=Bi+WG&amp;cauthor_id=29813153" TargetMode="External"/><Relationship Id="rId20" Type="http://schemas.openxmlformats.org/officeDocument/2006/relationships/hyperlink" Target="https://pubmed.ncbi.nlm.nih.gov/?term=Santamaria+C&amp;cauthor_id=2981315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0003-2697(72)90073-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s://pubmed.ncbi.nlm.nih.gov/?term=Leduc+L&amp;cauthor_id=29813153"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H:\Able%20Workspace\Adamu%20Muhd\Adamu%20resul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Adamu%20Muhd\Adamu%20resul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Able%20Workspace\Adamu%20Muhd\Adamu%20resul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Adamu%20Muhd\Adamu%20resul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Able%20Workspace\Adamu%20Muhd\Adamu%20resul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Adamu%20Muhd\Adamu%20resul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Desktop\adamu%20project\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Adamu%20Muhd\Adamu%20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369672247780962E-2"/>
          <c:y val="3.3299021001028793E-2"/>
          <c:w val="0.89380256499849053"/>
          <c:h val="0.84733218539571853"/>
        </c:manualLayout>
      </c:layout>
      <c:barChart>
        <c:barDir val="col"/>
        <c:grouping val="clustered"/>
        <c:varyColors val="0"/>
        <c:ser>
          <c:idx val="0"/>
          <c:order val="0"/>
          <c:spPr>
            <a:solidFill>
              <a:srgbClr val="00B050"/>
            </a:solid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Pt>
            <c:idx val="0"/>
            <c:invertIfNegative val="0"/>
            <c:bubble3D val="0"/>
            <c:spPr>
              <a:pattFill prst="pct5">
                <a:fgClr>
                  <a:sysClr val="windowText" lastClr="000000"/>
                </a:fgClr>
                <a:bgClr>
                  <a:schemeClr val="bg1"/>
                </a:bgClr>
              </a:pattFill>
              <a:ln w="19050">
                <a:solidFill>
                  <a:sysClr val="windowText" lastClr="000000"/>
                </a:solidFill>
              </a:ln>
            </c:spPr>
            <c:extLst>
              <c:ext xmlns:c16="http://schemas.microsoft.com/office/drawing/2014/chart" uri="{C3380CC4-5D6E-409C-BE32-E72D297353CC}">
                <c16:uniqueId val="{00000000-176D-47EA-84D5-2D10DBF3FC2A}"/>
              </c:ext>
            </c:extLst>
          </c:dPt>
          <c:dPt>
            <c:idx val="1"/>
            <c:invertIfNegative val="0"/>
            <c:bubble3D val="0"/>
            <c:spPr>
              <a:pattFill prst="wdDnDiag">
                <a:fgClr>
                  <a:srgbClr val="00B050"/>
                </a:fgClr>
                <a:bgClr>
                  <a:schemeClr val="bg1"/>
                </a:bgClr>
              </a:patt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Lst>
              <c:ext xmlns:c16="http://schemas.microsoft.com/office/drawing/2014/chart" uri="{C3380CC4-5D6E-409C-BE32-E72D297353CC}">
                <c16:uniqueId val="{00000003-176D-47EA-84D5-2D10DBF3FC2A}"/>
              </c:ext>
            </c:extLst>
          </c:dPt>
          <c:dPt>
            <c:idx val="2"/>
            <c:invertIfNegative val="0"/>
            <c:bubble3D val="0"/>
            <c:spPr>
              <a:pattFill prst="lgCheck">
                <a:fgClr>
                  <a:srgbClr val="00B050"/>
                </a:fgClr>
                <a:bgClr>
                  <a:schemeClr val="bg1"/>
                </a:bgClr>
              </a:patt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Lst>
              <c:ext xmlns:c16="http://schemas.microsoft.com/office/drawing/2014/chart" uri="{C3380CC4-5D6E-409C-BE32-E72D297353CC}">
                <c16:uniqueId val="{00000004-176D-47EA-84D5-2D10DBF3FC2A}"/>
              </c:ext>
            </c:extLst>
          </c:dPt>
          <c:dPt>
            <c:idx val="3"/>
            <c:invertIfNegative val="0"/>
            <c:bubble3D val="0"/>
            <c:spPr>
              <a:pattFill prst="solidDmnd">
                <a:fgClr>
                  <a:srgbClr val="00B050"/>
                </a:fgClr>
                <a:bgClr>
                  <a:schemeClr val="bg1"/>
                </a:bgClr>
              </a:patt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Lst>
              <c:ext xmlns:c16="http://schemas.microsoft.com/office/drawing/2014/chart" uri="{C3380CC4-5D6E-409C-BE32-E72D297353CC}">
                <c16:uniqueId val="{00000005-176D-47EA-84D5-2D10DBF3FC2A}"/>
              </c:ext>
            </c:extLst>
          </c:dPt>
          <c:dPt>
            <c:idx val="4"/>
            <c:invertIfNegative val="0"/>
            <c:bubble3D val="0"/>
            <c:spPr>
              <a:pattFill prst="ltHorz">
                <a:fgClr>
                  <a:srgbClr val="00B050"/>
                </a:fgClr>
                <a:bgClr>
                  <a:schemeClr val="bg1"/>
                </a:bgClr>
              </a:patt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Lst>
              <c:ext xmlns:c16="http://schemas.microsoft.com/office/drawing/2014/chart" uri="{C3380CC4-5D6E-409C-BE32-E72D297353CC}">
                <c16:uniqueId val="{00000006-176D-47EA-84D5-2D10DBF3FC2A}"/>
              </c:ext>
            </c:extLst>
          </c:dPt>
          <c:errBars>
            <c:errBarType val="both"/>
            <c:errValType val="cust"/>
            <c:noEndCap val="0"/>
            <c:plus>
              <c:numRef>
                <c:f>Demographic!$Q$12:$Q$16</c:f>
                <c:numCache>
                  <c:formatCode>General</c:formatCode>
                  <c:ptCount val="5"/>
                  <c:pt idx="0">
                    <c:v>5.34</c:v>
                  </c:pt>
                  <c:pt idx="1">
                    <c:v>4.41</c:v>
                  </c:pt>
                  <c:pt idx="2">
                    <c:v>6.33</c:v>
                  </c:pt>
                  <c:pt idx="3">
                    <c:v>4.91</c:v>
                  </c:pt>
                  <c:pt idx="4">
                    <c:v>3.9499999999999997</c:v>
                  </c:pt>
                </c:numCache>
              </c:numRef>
            </c:plus>
            <c:minus>
              <c:numRef>
                <c:f>Demographic!$Q$12:$Q$16</c:f>
                <c:numCache>
                  <c:formatCode>General</c:formatCode>
                  <c:ptCount val="5"/>
                  <c:pt idx="0">
                    <c:v>5.34</c:v>
                  </c:pt>
                  <c:pt idx="1">
                    <c:v>4.41</c:v>
                  </c:pt>
                  <c:pt idx="2">
                    <c:v>6.33</c:v>
                  </c:pt>
                  <c:pt idx="3">
                    <c:v>4.91</c:v>
                  </c:pt>
                  <c:pt idx="4">
                    <c:v>3.9499999999999997</c:v>
                  </c:pt>
                </c:numCache>
              </c:numRef>
            </c:minus>
          </c:errBars>
          <c:cat>
            <c:strRef>
              <c:f>Demographic!$N$12:$N$16</c:f>
              <c:strCache>
                <c:ptCount val="5"/>
                <c:pt idx="0">
                  <c:v>0 - 11 months</c:v>
                </c:pt>
                <c:pt idx="1">
                  <c:v>12 - 23 months</c:v>
                </c:pt>
                <c:pt idx="2">
                  <c:v>24 - 35 months</c:v>
                </c:pt>
                <c:pt idx="3">
                  <c:v>36 - 47 months</c:v>
                </c:pt>
                <c:pt idx="4">
                  <c:v>48 - 59 months</c:v>
                </c:pt>
              </c:strCache>
            </c:strRef>
          </c:cat>
          <c:val>
            <c:numRef>
              <c:f>Demographic!$O$12:$O$16</c:f>
              <c:numCache>
                <c:formatCode>General</c:formatCode>
                <c:ptCount val="5"/>
                <c:pt idx="0">
                  <c:v>14</c:v>
                </c:pt>
                <c:pt idx="1">
                  <c:v>21</c:v>
                </c:pt>
                <c:pt idx="2">
                  <c:v>17</c:v>
                </c:pt>
                <c:pt idx="3">
                  <c:v>26</c:v>
                </c:pt>
                <c:pt idx="4">
                  <c:v>22</c:v>
                </c:pt>
              </c:numCache>
            </c:numRef>
          </c:val>
          <c:extLst>
            <c:ext xmlns:c16="http://schemas.microsoft.com/office/drawing/2014/chart" uri="{C3380CC4-5D6E-409C-BE32-E72D297353CC}">
              <c16:uniqueId val="{00000000-B8A5-4945-8876-916D3B992FD7}"/>
            </c:ext>
          </c:extLst>
        </c:ser>
        <c:dLbls>
          <c:showLegendKey val="0"/>
          <c:showVal val="0"/>
          <c:showCatName val="0"/>
          <c:showSerName val="0"/>
          <c:showPercent val="0"/>
          <c:showBubbleSize val="0"/>
        </c:dLbls>
        <c:gapWidth val="84"/>
        <c:axId val="44443520"/>
        <c:axId val="44449792"/>
      </c:barChart>
      <c:catAx>
        <c:axId val="44443520"/>
        <c:scaling>
          <c:orientation val="minMax"/>
        </c:scaling>
        <c:delete val="0"/>
        <c:axPos val="b"/>
        <c:title>
          <c:tx>
            <c:rich>
              <a:bodyPr/>
              <a:lstStyle/>
              <a:p>
                <a:pPr>
                  <a:defRPr>
                    <a:latin typeface="Cambria" pitchFamily="18" charset="0"/>
                  </a:defRPr>
                </a:pPr>
                <a:r>
                  <a:rPr lang="en-US">
                    <a:latin typeface="Cambria" pitchFamily="18" charset="0"/>
                  </a:rPr>
                  <a:t>Age</a:t>
                </a:r>
                <a:r>
                  <a:rPr lang="en-US" baseline="0">
                    <a:latin typeface="Cambria" pitchFamily="18" charset="0"/>
                  </a:rPr>
                  <a:t> (months)</a:t>
                </a:r>
                <a:endParaRPr lang="en-US">
                  <a:latin typeface="Cambria" pitchFamily="18" charset="0"/>
                </a:endParaRPr>
              </a:p>
            </c:rich>
          </c:tx>
          <c:layout>
            <c:manualLayout>
              <c:xMode val="edge"/>
              <c:yMode val="edge"/>
              <c:x val="0.47738853745678145"/>
              <c:y val="0.94412983858554034"/>
            </c:manualLayout>
          </c:layout>
          <c:overlay val="0"/>
        </c:title>
        <c:numFmt formatCode="General" sourceLinked="0"/>
        <c:majorTickMark val="out"/>
        <c:minorTickMark val="none"/>
        <c:tickLblPos val="nextTo"/>
        <c:txPr>
          <a:bodyPr/>
          <a:lstStyle/>
          <a:p>
            <a:pPr>
              <a:defRPr>
                <a:latin typeface="Cambria" pitchFamily="18" charset="0"/>
              </a:defRPr>
            </a:pPr>
            <a:endParaRPr lang="en-US"/>
          </a:p>
        </c:txPr>
        <c:crossAx val="44449792"/>
        <c:crosses val="autoZero"/>
        <c:auto val="1"/>
        <c:lblAlgn val="ctr"/>
        <c:lblOffset val="100"/>
        <c:noMultiLvlLbl val="0"/>
      </c:catAx>
      <c:valAx>
        <c:axId val="44449792"/>
        <c:scaling>
          <c:orientation val="minMax"/>
        </c:scaling>
        <c:delete val="0"/>
        <c:axPos val="l"/>
        <c:title>
          <c:tx>
            <c:rich>
              <a:bodyPr rot="-5400000" vert="horz"/>
              <a:lstStyle/>
              <a:p>
                <a:pPr>
                  <a:defRPr>
                    <a:latin typeface="Cambria" pitchFamily="18" charset="0"/>
                  </a:defRPr>
                </a:pPr>
                <a:r>
                  <a:rPr lang="en-US">
                    <a:latin typeface="Cambria" pitchFamily="18" charset="0"/>
                  </a:rPr>
                  <a:t>Frequency</a:t>
                </a:r>
              </a:p>
            </c:rich>
          </c:tx>
          <c:layout>
            <c:manualLayout>
              <c:xMode val="edge"/>
              <c:yMode val="edge"/>
              <c:x val="1.8870290062397482E-3"/>
              <c:y val="0.34914531863821124"/>
            </c:manualLayout>
          </c:layout>
          <c:overlay val="0"/>
        </c:title>
        <c:numFmt formatCode="General" sourceLinked="1"/>
        <c:majorTickMark val="out"/>
        <c:minorTickMark val="none"/>
        <c:tickLblPos val="nextTo"/>
        <c:txPr>
          <a:bodyPr/>
          <a:lstStyle/>
          <a:p>
            <a:pPr>
              <a:defRPr>
                <a:latin typeface="Cambria" pitchFamily="18" charset="0"/>
              </a:defRPr>
            </a:pPr>
            <a:endParaRPr lang="en-US"/>
          </a:p>
        </c:txPr>
        <c:crossAx val="44443520"/>
        <c:crosses val="autoZero"/>
        <c:crossBetween val="between"/>
      </c:valAx>
      <c:spPr>
        <a:noFill/>
      </c:spPr>
    </c:plotArea>
    <c:plotVisOnly val="1"/>
    <c:dispBlanksAs val="gap"/>
    <c:showDLblsOverMax val="0"/>
  </c:chart>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2.5462962962962982E-2"/>
          <c:w val="1"/>
          <c:h val="0.97399144870515664"/>
        </c:manualLayout>
      </c:layout>
      <c:pie3DChart>
        <c:varyColors val="1"/>
        <c:ser>
          <c:idx val="0"/>
          <c:order val="0"/>
          <c:spPr>
            <a:ln>
              <a:solidFill>
                <a:schemeClr val="tx1"/>
              </a:solidFill>
            </a:ln>
          </c:spPr>
          <c:dPt>
            <c:idx val="0"/>
            <c:bubble3D val="0"/>
            <c:spPr>
              <a:pattFill prst="pct5">
                <a:fgClr>
                  <a:schemeClr val="tx1"/>
                </a:fgClr>
                <a:bgClr>
                  <a:schemeClr val="bg1"/>
                </a:bgClr>
              </a:pattFill>
              <a:ln w="19050">
                <a:solidFill>
                  <a:schemeClr val="tx1"/>
                </a:solidFill>
              </a:ln>
            </c:spPr>
            <c:extLst>
              <c:ext xmlns:c16="http://schemas.microsoft.com/office/drawing/2014/chart" uri="{C3380CC4-5D6E-409C-BE32-E72D297353CC}">
                <c16:uniqueId val="{00000001-0602-4299-939B-5E946E955F1F}"/>
              </c:ext>
            </c:extLst>
          </c:dPt>
          <c:dPt>
            <c:idx val="1"/>
            <c:bubble3D val="0"/>
            <c:spPr>
              <a:pattFill prst="solidDmnd">
                <a:fgClr>
                  <a:schemeClr val="tx1"/>
                </a:fgClr>
                <a:bgClr>
                  <a:schemeClr val="bg1"/>
                </a:bgClr>
              </a:pattFill>
              <a:ln>
                <a:solidFill>
                  <a:schemeClr val="tx1"/>
                </a:solidFill>
              </a:ln>
            </c:spPr>
            <c:extLst>
              <c:ext xmlns:c16="http://schemas.microsoft.com/office/drawing/2014/chart" uri="{C3380CC4-5D6E-409C-BE32-E72D297353CC}">
                <c16:uniqueId val="{00000003-0602-4299-939B-5E946E955F1F}"/>
              </c:ext>
            </c:extLst>
          </c:dPt>
          <c:dPt>
            <c:idx val="2"/>
            <c:bubble3D val="0"/>
            <c:spPr>
              <a:pattFill prst="ltHorz">
                <a:fgClr>
                  <a:schemeClr val="tx1"/>
                </a:fgClr>
                <a:bgClr>
                  <a:schemeClr val="bg1"/>
                </a:bgClr>
              </a:pattFill>
              <a:ln>
                <a:solidFill>
                  <a:schemeClr val="tx1"/>
                </a:solidFill>
              </a:ln>
            </c:spPr>
            <c:extLst>
              <c:ext xmlns:c16="http://schemas.microsoft.com/office/drawing/2014/chart" uri="{C3380CC4-5D6E-409C-BE32-E72D297353CC}">
                <c16:uniqueId val="{00000005-0602-4299-939B-5E946E955F1F}"/>
              </c:ext>
            </c:extLst>
          </c:dPt>
          <c:dPt>
            <c:idx val="3"/>
            <c:bubble3D val="0"/>
            <c:spPr>
              <a:solidFill>
                <a:srgbClr val="7030A0"/>
              </a:solidFill>
              <a:ln>
                <a:solidFill>
                  <a:schemeClr val="tx1"/>
                </a:solidFill>
              </a:ln>
            </c:spPr>
            <c:extLst>
              <c:ext xmlns:c16="http://schemas.microsoft.com/office/drawing/2014/chart" uri="{C3380CC4-5D6E-409C-BE32-E72D297353CC}">
                <c16:uniqueId val="{00000007-0602-4299-939B-5E946E955F1F}"/>
              </c:ext>
            </c:extLst>
          </c:dPt>
          <c:dPt>
            <c:idx val="4"/>
            <c:bubble3D val="0"/>
            <c:spPr>
              <a:pattFill prst="lgGrid">
                <a:fgClr>
                  <a:schemeClr val="tx1"/>
                </a:fgClr>
                <a:bgClr>
                  <a:schemeClr val="bg1"/>
                </a:bgClr>
              </a:pattFill>
              <a:ln>
                <a:solidFill>
                  <a:schemeClr val="tx1"/>
                </a:solidFill>
              </a:ln>
            </c:spPr>
            <c:extLst>
              <c:ext xmlns:c16="http://schemas.microsoft.com/office/drawing/2014/chart" uri="{C3380CC4-5D6E-409C-BE32-E72D297353CC}">
                <c16:uniqueId val="{00000009-0602-4299-939B-5E946E955F1F}"/>
              </c:ext>
            </c:extLst>
          </c:dPt>
          <c:dLbls>
            <c:dLbl>
              <c:idx val="0"/>
              <c:layout>
                <c:manualLayout>
                  <c:x val="-0.24320067583613841"/>
                  <c:y val="-2.2495273808593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02-4299-939B-5E946E955F1F}"/>
                </c:ext>
              </c:extLst>
            </c:dLbl>
            <c:dLbl>
              <c:idx val="1"/>
              <c:layout>
                <c:manualLayout>
                  <c:x val="0.22706276156179891"/>
                  <c:y val="-0.3354382409355788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602-4299-939B-5E946E955F1F}"/>
                </c:ext>
              </c:extLst>
            </c:dLbl>
            <c:dLbl>
              <c:idx val="2"/>
              <c:layout>
                <c:manualLayout>
                  <c:x val="0.21170024100391971"/>
                  <c:y val="8.777648801930527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602-4299-939B-5E946E955F1F}"/>
                </c:ext>
              </c:extLst>
            </c:dLbl>
            <c:dLbl>
              <c:idx val="3"/>
              <c:delete val="1"/>
              <c:extLst>
                <c:ext xmlns:c15="http://schemas.microsoft.com/office/drawing/2012/chart" uri="{CE6537A1-D6FC-4f65-9D91-7224C49458BB}"/>
                <c:ext xmlns:c16="http://schemas.microsoft.com/office/drawing/2014/chart" uri="{C3380CC4-5D6E-409C-BE32-E72D297353CC}">
                  <c16:uniqueId val="{00000007-0602-4299-939B-5E946E955F1F}"/>
                </c:ext>
              </c:extLst>
            </c:dLbl>
            <c:dLbl>
              <c:idx val="4"/>
              <c:layout>
                <c:manualLayout>
                  <c:x val="8.7487503086449925E-2"/>
                  <c:y val="0.1289837537008679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602-4299-939B-5E946E955F1F}"/>
                </c:ext>
              </c:extLst>
            </c:dLbl>
            <c:spPr>
              <a:noFill/>
              <a:ln>
                <a:noFill/>
              </a:ln>
              <a:effectLst/>
            </c:spPr>
            <c:txPr>
              <a:bodyPr/>
              <a:lstStyle/>
              <a:p>
                <a:pPr>
                  <a:defRPr b="1">
                    <a:latin typeface="+mj-lt"/>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Demographic!$N$19:$N$23</c:f>
              <c:strCache>
                <c:ptCount val="5"/>
                <c:pt idx="0">
                  <c:v>Fulani </c:v>
                </c:pt>
                <c:pt idx="1">
                  <c:v>Kanuri</c:v>
                </c:pt>
                <c:pt idx="2">
                  <c:v>Bolewa</c:v>
                </c:pt>
                <c:pt idx="3">
                  <c:v>Ebira</c:v>
                </c:pt>
                <c:pt idx="4">
                  <c:v>Others</c:v>
                </c:pt>
              </c:strCache>
            </c:strRef>
          </c:cat>
          <c:val>
            <c:numRef>
              <c:f>Demographic!$O$19:$O$23</c:f>
              <c:numCache>
                <c:formatCode>General</c:formatCode>
                <c:ptCount val="5"/>
                <c:pt idx="0">
                  <c:v>49</c:v>
                </c:pt>
                <c:pt idx="1">
                  <c:v>23</c:v>
                </c:pt>
                <c:pt idx="2">
                  <c:v>20</c:v>
                </c:pt>
                <c:pt idx="4">
                  <c:v>8</c:v>
                </c:pt>
              </c:numCache>
            </c:numRef>
          </c:val>
          <c:extLst>
            <c:ext xmlns:c16="http://schemas.microsoft.com/office/drawing/2014/chart" uri="{C3380CC4-5D6E-409C-BE32-E72D297353CC}">
              <c16:uniqueId val="{0000000A-0602-4299-939B-5E946E955F1F}"/>
            </c:ext>
          </c:extLst>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661037266556244E-2"/>
          <c:y val="1.8280616777616863E-2"/>
          <c:w val="0.91533903805830963"/>
          <c:h val="0.89223276447580957"/>
        </c:manualLayout>
      </c:layout>
      <c:barChart>
        <c:barDir val="col"/>
        <c:grouping val="clustered"/>
        <c:varyColors val="0"/>
        <c:ser>
          <c:idx val="0"/>
          <c:order val="0"/>
          <c:tx>
            <c:strRef>
              <c:f>Demographic!$S$24</c:f>
              <c:strCache>
                <c:ptCount val="1"/>
                <c:pt idx="0">
                  <c:v>No. of Household</c:v>
                </c:pt>
              </c:strCache>
            </c:strRef>
          </c:tx>
          <c:spPr>
            <a:pattFill prst="pct5">
              <a:fgClr>
                <a:schemeClr val="tx1"/>
              </a:fgClr>
              <a:bgClr>
                <a:schemeClr val="bg1"/>
              </a:bgClr>
            </a:pattFill>
            <a:ln w="12700">
              <a:solidFill>
                <a:schemeClr val="tx1"/>
              </a:solidFill>
            </a:ln>
          </c:spPr>
          <c:invertIfNegative val="0"/>
          <c:errBars>
            <c:errBarType val="both"/>
            <c:errValType val="cust"/>
            <c:noEndCap val="0"/>
            <c:plus>
              <c:numRef>
                <c:f>Demographic!$S$29:$S$31</c:f>
                <c:numCache>
                  <c:formatCode>General</c:formatCode>
                  <c:ptCount val="3"/>
                  <c:pt idx="0">
                    <c:v>3.94</c:v>
                  </c:pt>
                  <c:pt idx="1">
                    <c:v>4.28</c:v>
                  </c:pt>
                  <c:pt idx="2">
                    <c:v>3.54</c:v>
                  </c:pt>
                </c:numCache>
              </c:numRef>
            </c:plus>
            <c:minus>
              <c:numRef>
                <c:f>Demographic!$S$29:$S$31</c:f>
                <c:numCache>
                  <c:formatCode>General</c:formatCode>
                  <c:ptCount val="3"/>
                  <c:pt idx="0">
                    <c:v>3.94</c:v>
                  </c:pt>
                  <c:pt idx="1">
                    <c:v>4.28</c:v>
                  </c:pt>
                  <c:pt idx="2">
                    <c:v>3.54</c:v>
                  </c:pt>
                </c:numCache>
              </c:numRef>
            </c:minus>
          </c:errBars>
          <c:cat>
            <c:strRef>
              <c:f>Demographic!$R$25:$R$27</c:f>
              <c:strCache>
                <c:ptCount val="3"/>
                <c:pt idx="0">
                  <c:v>2 – 3</c:v>
                </c:pt>
                <c:pt idx="1">
                  <c:v>4 – 5</c:v>
                </c:pt>
                <c:pt idx="2">
                  <c:v>≥6</c:v>
                </c:pt>
              </c:strCache>
            </c:strRef>
          </c:cat>
          <c:val>
            <c:numRef>
              <c:f>Demographic!$S$25:$S$27</c:f>
              <c:numCache>
                <c:formatCode>General</c:formatCode>
                <c:ptCount val="3"/>
                <c:pt idx="0">
                  <c:v>22</c:v>
                </c:pt>
                <c:pt idx="1">
                  <c:v>34</c:v>
                </c:pt>
                <c:pt idx="2">
                  <c:v>44</c:v>
                </c:pt>
              </c:numCache>
            </c:numRef>
          </c:val>
          <c:extLst>
            <c:ext xmlns:c16="http://schemas.microsoft.com/office/drawing/2014/chart" uri="{C3380CC4-5D6E-409C-BE32-E72D297353CC}">
              <c16:uniqueId val="{00000000-B16B-4EE3-B5C6-1907BA671A08}"/>
            </c:ext>
          </c:extLst>
        </c:ser>
        <c:ser>
          <c:idx val="1"/>
          <c:order val="1"/>
          <c:tx>
            <c:strRef>
              <c:f>Demographic!$T$24</c:f>
              <c:strCache>
                <c:ptCount val="1"/>
                <c:pt idx="0">
                  <c:v>No. of Children in the family</c:v>
                </c:pt>
              </c:strCache>
            </c:strRef>
          </c:tx>
          <c:spPr>
            <a:pattFill prst="dkDnDiag">
              <a:fgClr>
                <a:schemeClr val="tx1"/>
              </a:fgClr>
              <a:bgClr>
                <a:schemeClr val="bg1"/>
              </a:bgClr>
            </a:pattFill>
            <a:ln w="12700">
              <a:solidFill>
                <a:schemeClr val="tx1"/>
              </a:solidFill>
            </a:ln>
          </c:spPr>
          <c:invertIfNegative val="0"/>
          <c:errBars>
            <c:errBarType val="both"/>
            <c:errValType val="cust"/>
            <c:noEndCap val="0"/>
            <c:plus>
              <c:numRef>
                <c:f>Demographic!$T$29:$T$31</c:f>
                <c:numCache>
                  <c:formatCode>General</c:formatCode>
                  <c:ptCount val="3"/>
                  <c:pt idx="0">
                    <c:v>2.13</c:v>
                  </c:pt>
                  <c:pt idx="1">
                    <c:v>5.23</c:v>
                  </c:pt>
                  <c:pt idx="2">
                    <c:v>4.1099999999999985</c:v>
                  </c:pt>
                </c:numCache>
              </c:numRef>
            </c:plus>
            <c:minus>
              <c:numRef>
                <c:f>Demographic!$T$29:$T$31</c:f>
                <c:numCache>
                  <c:formatCode>General</c:formatCode>
                  <c:ptCount val="3"/>
                  <c:pt idx="0">
                    <c:v>2.13</c:v>
                  </c:pt>
                  <c:pt idx="1">
                    <c:v>5.23</c:v>
                  </c:pt>
                  <c:pt idx="2">
                    <c:v>4.1099999999999985</c:v>
                  </c:pt>
                </c:numCache>
              </c:numRef>
            </c:minus>
          </c:errBars>
          <c:cat>
            <c:strRef>
              <c:f>Demographic!$R$25:$R$27</c:f>
              <c:strCache>
                <c:ptCount val="3"/>
                <c:pt idx="0">
                  <c:v>2 – 3</c:v>
                </c:pt>
                <c:pt idx="1">
                  <c:v>4 – 5</c:v>
                </c:pt>
                <c:pt idx="2">
                  <c:v>≥6</c:v>
                </c:pt>
              </c:strCache>
            </c:strRef>
          </c:cat>
          <c:val>
            <c:numRef>
              <c:f>Demographic!$T$25:$T$27</c:f>
              <c:numCache>
                <c:formatCode>General</c:formatCode>
                <c:ptCount val="3"/>
                <c:pt idx="0">
                  <c:v>23</c:v>
                </c:pt>
                <c:pt idx="1">
                  <c:v>36</c:v>
                </c:pt>
                <c:pt idx="2">
                  <c:v>41</c:v>
                </c:pt>
              </c:numCache>
            </c:numRef>
          </c:val>
          <c:extLst>
            <c:ext xmlns:c16="http://schemas.microsoft.com/office/drawing/2014/chart" uri="{C3380CC4-5D6E-409C-BE32-E72D297353CC}">
              <c16:uniqueId val="{00000001-B16B-4EE3-B5C6-1907BA671A08}"/>
            </c:ext>
          </c:extLst>
        </c:ser>
        <c:dLbls>
          <c:showLegendKey val="0"/>
          <c:showVal val="0"/>
          <c:showCatName val="0"/>
          <c:showSerName val="0"/>
          <c:showPercent val="0"/>
          <c:showBubbleSize val="0"/>
        </c:dLbls>
        <c:gapWidth val="150"/>
        <c:axId val="44697472"/>
        <c:axId val="44711936"/>
      </c:barChart>
      <c:catAx>
        <c:axId val="44697472"/>
        <c:scaling>
          <c:orientation val="minMax"/>
        </c:scaling>
        <c:delete val="0"/>
        <c:axPos val="b"/>
        <c:title>
          <c:tx>
            <c:rich>
              <a:bodyPr/>
              <a:lstStyle/>
              <a:p>
                <a:pPr>
                  <a:defRPr/>
                </a:pPr>
                <a:r>
                  <a:rPr lang="en-US"/>
                  <a:t>Number of Individuals</a:t>
                </a:r>
              </a:p>
            </c:rich>
          </c:tx>
          <c:layout>
            <c:manualLayout>
              <c:xMode val="edge"/>
              <c:yMode val="edge"/>
              <c:x val="0.57834934273680438"/>
              <c:y val="0.91610033991652684"/>
            </c:manualLayout>
          </c:layout>
          <c:overlay val="0"/>
        </c:title>
        <c:numFmt formatCode="General" sourceLinked="0"/>
        <c:majorTickMark val="out"/>
        <c:minorTickMark val="none"/>
        <c:tickLblPos val="nextTo"/>
        <c:crossAx val="44711936"/>
        <c:crosses val="autoZero"/>
        <c:auto val="1"/>
        <c:lblAlgn val="ctr"/>
        <c:lblOffset val="100"/>
        <c:noMultiLvlLbl val="0"/>
      </c:catAx>
      <c:valAx>
        <c:axId val="44711936"/>
        <c:scaling>
          <c:orientation val="minMax"/>
        </c:scaling>
        <c:delete val="0"/>
        <c:axPos val="l"/>
        <c:title>
          <c:tx>
            <c:rich>
              <a:bodyPr rot="-5400000" vert="horz"/>
              <a:lstStyle/>
              <a:p>
                <a:pPr>
                  <a:defRPr/>
                </a:pPr>
                <a:r>
                  <a:rPr lang="en-US"/>
                  <a:t>Frequency</a:t>
                </a:r>
              </a:p>
            </c:rich>
          </c:tx>
          <c:layout>
            <c:manualLayout>
              <c:xMode val="edge"/>
              <c:yMode val="edge"/>
              <c:x val="1.9782815507702342E-3"/>
              <c:y val="0.38642414674982323"/>
            </c:manualLayout>
          </c:layout>
          <c:overlay val="0"/>
        </c:title>
        <c:numFmt formatCode="General" sourceLinked="1"/>
        <c:majorTickMark val="out"/>
        <c:minorTickMark val="none"/>
        <c:tickLblPos val="nextTo"/>
        <c:crossAx val="44697472"/>
        <c:crosses val="autoZero"/>
        <c:crossBetween val="between"/>
      </c:valAx>
    </c:plotArea>
    <c:legend>
      <c:legendPos val="r"/>
      <c:layout>
        <c:manualLayout>
          <c:xMode val="edge"/>
          <c:yMode val="edge"/>
          <c:x val="0.30330577427821942"/>
          <c:y val="4.2457713619131632E-3"/>
          <c:w val="0.37918660226108675"/>
          <c:h val="0.10269144724982122"/>
        </c:manualLayout>
      </c:layout>
      <c:overlay val="0"/>
    </c:legend>
    <c:plotVisOnly val="1"/>
    <c:dispBlanksAs val="gap"/>
    <c:showDLblsOverMax val="0"/>
  </c:chart>
  <c:spPr>
    <a:ln>
      <a:noFill/>
    </a:ln>
  </c:spPr>
  <c:txPr>
    <a:bodyPr/>
    <a:lstStyle/>
    <a:p>
      <a:pPr>
        <a:defRPr sz="1100">
          <a:latin typeface="Cambria"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497369076882548E-2"/>
          <c:y val="4.0532887055705721E-2"/>
          <c:w val="0.9030378347832001"/>
          <c:h val="0.86010959022932765"/>
        </c:manualLayout>
      </c:layout>
      <c:barChart>
        <c:barDir val="col"/>
        <c:grouping val="clustered"/>
        <c:varyColors val="0"/>
        <c:ser>
          <c:idx val="0"/>
          <c:order val="0"/>
          <c:spPr>
            <a:pattFill prst="pct5">
              <a:fgClr>
                <a:srgbClr val="00B050"/>
              </a:fgClr>
              <a:bgClr>
                <a:schemeClr val="bg1"/>
              </a:bgClr>
            </a:pattFill>
            <a:ln w="28575">
              <a:solidFill>
                <a:schemeClr val="tx1"/>
              </a:solidFill>
            </a:ln>
          </c:spPr>
          <c:invertIfNegative val="0"/>
          <c:dPt>
            <c:idx val="0"/>
            <c:invertIfNegative val="0"/>
            <c:bubble3D val="0"/>
            <c:spPr>
              <a:pattFill prst="solidDmnd">
                <a:fgClr>
                  <a:schemeClr val="tx1"/>
                </a:fgClr>
                <a:bgClr>
                  <a:schemeClr val="bg1"/>
                </a:bgClr>
              </a:pattFill>
              <a:ln w="28575">
                <a:solidFill>
                  <a:schemeClr val="tx1"/>
                </a:solidFill>
              </a:ln>
            </c:spPr>
            <c:extLst>
              <c:ext xmlns:c16="http://schemas.microsoft.com/office/drawing/2014/chart" uri="{C3380CC4-5D6E-409C-BE32-E72D297353CC}">
                <c16:uniqueId val="{00000000-6EC8-4A70-9EC9-9C27BAC206A5}"/>
              </c:ext>
            </c:extLst>
          </c:dPt>
          <c:dPt>
            <c:idx val="1"/>
            <c:invertIfNegative val="0"/>
            <c:bubble3D val="0"/>
            <c:spPr>
              <a:pattFill prst="wdDnDiag">
                <a:fgClr>
                  <a:schemeClr val="tx1"/>
                </a:fgClr>
                <a:bgClr>
                  <a:schemeClr val="bg1"/>
                </a:bgClr>
              </a:pattFill>
              <a:ln w="28575">
                <a:solidFill>
                  <a:schemeClr val="tx1"/>
                </a:solidFill>
              </a:ln>
            </c:spPr>
            <c:extLst>
              <c:ext xmlns:c16="http://schemas.microsoft.com/office/drawing/2014/chart" uri="{C3380CC4-5D6E-409C-BE32-E72D297353CC}">
                <c16:uniqueId val="{00000001-6EC8-4A70-9EC9-9C27BAC206A5}"/>
              </c:ext>
            </c:extLst>
          </c:dPt>
          <c:dPt>
            <c:idx val="2"/>
            <c:invertIfNegative val="0"/>
            <c:bubble3D val="0"/>
            <c:spPr>
              <a:pattFill prst="pct80">
                <a:fgClr>
                  <a:schemeClr val="tx1"/>
                </a:fgClr>
                <a:bgClr>
                  <a:schemeClr val="bg1"/>
                </a:bgClr>
              </a:pattFill>
              <a:ln w="28575">
                <a:solidFill>
                  <a:schemeClr val="tx1"/>
                </a:solidFill>
              </a:ln>
            </c:spPr>
            <c:extLst>
              <c:ext xmlns:c16="http://schemas.microsoft.com/office/drawing/2014/chart" uri="{C3380CC4-5D6E-409C-BE32-E72D297353CC}">
                <c16:uniqueId val="{00000002-6EC8-4A70-9EC9-9C27BAC206A5}"/>
              </c:ext>
            </c:extLst>
          </c:dPt>
          <c:dPt>
            <c:idx val="3"/>
            <c:invertIfNegative val="0"/>
            <c:bubble3D val="0"/>
            <c:spPr>
              <a:pattFill prst="dkHorz">
                <a:fgClr>
                  <a:schemeClr val="tx1"/>
                </a:fgClr>
                <a:bgClr>
                  <a:schemeClr val="bg1"/>
                </a:bgClr>
              </a:pattFill>
              <a:ln w="28575">
                <a:solidFill>
                  <a:schemeClr val="tx1"/>
                </a:solidFill>
              </a:ln>
            </c:spPr>
            <c:extLst>
              <c:ext xmlns:c16="http://schemas.microsoft.com/office/drawing/2014/chart" uri="{C3380CC4-5D6E-409C-BE32-E72D297353CC}">
                <c16:uniqueId val="{00000003-6EC8-4A70-9EC9-9C27BAC206A5}"/>
              </c:ext>
            </c:extLst>
          </c:dPt>
          <c:dPt>
            <c:idx val="4"/>
            <c:invertIfNegative val="0"/>
            <c:bubble3D val="0"/>
            <c:spPr>
              <a:pattFill prst="dashUpDiag">
                <a:fgClr>
                  <a:schemeClr val="tx1"/>
                </a:fgClr>
                <a:bgClr>
                  <a:schemeClr val="bg1"/>
                </a:bgClr>
              </a:pattFill>
              <a:ln w="28575">
                <a:solidFill>
                  <a:schemeClr val="tx1"/>
                </a:solidFill>
              </a:ln>
            </c:spPr>
            <c:extLst>
              <c:ext xmlns:c16="http://schemas.microsoft.com/office/drawing/2014/chart" uri="{C3380CC4-5D6E-409C-BE32-E72D297353CC}">
                <c16:uniqueId val="{00000004-6EC8-4A70-9EC9-9C27BAC206A5}"/>
              </c:ext>
            </c:extLst>
          </c:dPt>
          <c:errBars>
            <c:errBarType val="both"/>
            <c:errValType val="stdErr"/>
            <c:noEndCap val="0"/>
          </c:errBars>
          <c:cat>
            <c:strRef>
              <c:f>Demographic!$N$33:$N$37</c:f>
              <c:strCache>
                <c:ptCount val="5"/>
                <c:pt idx="0">
                  <c:v>Trading</c:v>
                </c:pt>
                <c:pt idx="1">
                  <c:v>Farming</c:v>
                </c:pt>
                <c:pt idx="2">
                  <c:v>House wife</c:v>
                </c:pt>
                <c:pt idx="3">
                  <c:v>Civil servant</c:v>
                </c:pt>
                <c:pt idx="4">
                  <c:v>Others</c:v>
                </c:pt>
              </c:strCache>
            </c:strRef>
          </c:cat>
          <c:val>
            <c:numRef>
              <c:f>Demographic!$O$33:$O$37</c:f>
              <c:numCache>
                <c:formatCode>General</c:formatCode>
                <c:ptCount val="5"/>
                <c:pt idx="0">
                  <c:v>41</c:v>
                </c:pt>
                <c:pt idx="1">
                  <c:v>11</c:v>
                </c:pt>
                <c:pt idx="2">
                  <c:v>10</c:v>
                </c:pt>
                <c:pt idx="3">
                  <c:v>31</c:v>
                </c:pt>
                <c:pt idx="4">
                  <c:v>7</c:v>
                </c:pt>
              </c:numCache>
            </c:numRef>
          </c:val>
          <c:extLst>
            <c:ext xmlns:c16="http://schemas.microsoft.com/office/drawing/2014/chart" uri="{C3380CC4-5D6E-409C-BE32-E72D297353CC}">
              <c16:uniqueId val="{00000000-28E3-4D2F-A075-551731690DB9}"/>
            </c:ext>
          </c:extLst>
        </c:ser>
        <c:dLbls>
          <c:showLegendKey val="0"/>
          <c:showVal val="0"/>
          <c:showCatName val="0"/>
          <c:showSerName val="0"/>
          <c:showPercent val="0"/>
          <c:showBubbleSize val="0"/>
        </c:dLbls>
        <c:gapWidth val="81"/>
        <c:axId val="44737280"/>
        <c:axId val="44739200"/>
      </c:barChart>
      <c:catAx>
        <c:axId val="44737280"/>
        <c:scaling>
          <c:orientation val="minMax"/>
        </c:scaling>
        <c:delete val="0"/>
        <c:axPos val="b"/>
        <c:title>
          <c:tx>
            <c:rich>
              <a:bodyPr rot="180000" anchor="t" anchorCtr="0"/>
              <a:lstStyle/>
              <a:p>
                <a:pPr>
                  <a:defRPr>
                    <a:latin typeface="+mj-lt"/>
                  </a:defRPr>
                </a:pPr>
                <a:r>
                  <a:rPr lang="en-US">
                    <a:latin typeface="+mj-lt"/>
                  </a:rPr>
                  <a:t>Maternal Occupation</a:t>
                </a:r>
              </a:p>
            </c:rich>
          </c:tx>
          <c:overlay val="0"/>
        </c:title>
        <c:numFmt formatCode="General" sourceLinked="0"/>
        <c:majorTickMark val="out"/>
        <c:minorTickMark val="none"/>
        <c:tickLblPos val="nextTo"/>
        <c:txPr>
          <a:bodyPr/>
          <a:lstStyle/>
          <a:p>
            <a:pPr>
              <a:defRPr>
                <a:latin typeface="+mj-lt"/>
              </a:defRPr>
            </a:pPr>
            <a:endParaRPr lang="en-US"/>
          </a:p>
        </c:txPr>
        <c:crossAx val="44739200"/>
        <c:crosses val="autoZero"/>
        <c:auto val="1"/>
        <c:lblAlgn val="ctr"/>
        <c:lblOffset val="100"/>
        <c:noMultiLvlLbl val="0"/>
      </c:catAx>
      <c:valAx>
        <c:axId val="44739200"/>
        <c:scaling>
          <c:orientation val="minMax"/>
        </c:scaling>
        <c:delete val="0"/>
        <c:axPos val="l"/>
        <c:title>
          <c:tx>
            <c:rich>
              <a:bodyPr rot="-5400000" vert="horz"/>
              <a:lstStyle/>
              <a:p>
                <a:pPr>
                  <a:defRPr/>
                </a:pPr>
                <a:r>
                  <a:rPr lang="en-US"/>
                  <a:t>Frequency</a:t>
                </a:r>
              </a:p>
            </c:rich>
          </c:tx>
          <c:layout>
            <c:manualLayout>
              <c:xMode val="edge"/>
              <c:yMode val="edge"/>
              <c:x val="2.1170667922904445E-3"/>
              <c:y val="0.34388860596406384"/>
            </c:manualLayout>
          </c:layout>
          <c:overlay val="0"/>
        </c:title>
        <c:numFmt formatCode="General" sourceLinked="1"/>
        <c:majorTickMark val="out"/>
        <c:minorTickMark val="none"/>
        <c:tickLblPos val="nextTo"/>
        <c:txPr>
          <a:bodyPr/>
          <a:lstStyle/>
          <a:p>
            <a:pPr>
              <a:defRPr>
                <a:latin typeface="+mj-lt"/>
              </a:defRPr>
            </a:pPr>
            <a:endParaRPr lang="en-US"/>
          </a:p>
        </c:txPr>
        <c:crossAx val="44737280"/>
        <c:crosses val="autoZero"/>
        <c:crossBetween val="between"/>
      </c:valAx>
    </c:plotArea>
    <c:plotVisOnly val="1"/>
    <c:dispBlanksAs val="gap"/>
    <c:showDLblsOverMax val="0"/>
  </c:chart>
  <c:spPr>
    <a:ln cap="sq">
      <a:solidFill>
        <a:schemeClr val="tx1">
          <a:alpha val="77000"/>
        </a:schemeClr>
      </a:solidFill>
    </a:ln>
    <a:effectLst>
      <a:outerShdw blurRad="50800" dist="50800" dir="5400000" sx="98000" sy="98000" algn="ctr" rotWithShape="0">
        <a:srgbClr val="000000">
          <a:alpha val="93000"/>
        </a:srgbClr>
      </a:outerShdw>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4.0709394121666524E-3"/>
          <c:y val="2.6969448147459142E-2"/>
          <c:w val="0.98536431593528939"/>
          <c:h val="0.94962700190101035"/>
        </c:manualLayout>
      </c:layout>
      <c:pie3DChart>
        <c:varyColors val="1"/>
        <c:ser>
          <c:idx val="0"/>
          <c:order val="0"/>
          <c:spPr>
            <a:ln w="19050">
              <a:solidFill>
                <a:schemeClr val="tx1"/>
              </a:solidFill>
            </a:ln>
          </c:spPr>
          <c:dLbls>
            <c:dLbl>
              <c:idx val="0"/>
              <c:layout>
                <c:manualLayout>
                  <c:x val="-0.13281070954209598"/>
                  <c:y val="0.1199127815484969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681-4ED4-A209-0AE3C57142AC}"/>
                </c:ext>
              </c:extLst>
            </c:dLbl>
            <c:dLbl>
              <c:idx val="1"/>
              <c:layout>
                <c:manualLayout>
                  <c:x val="-0.1392507989302727"/>
                  <c:y val="6.058571431369045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681-4ED4-A209-0AE3C57142AC}"/>
                </c:ext>
              </c:extLst>
            </c:dLbl>
            <c:dLbl>
              <c:idx val="2"/>
              <c:layout>
                <c:manualLayout>
                  <c:x val="-3.9271075699655544E-2"/>
                  <c:y val="-0.1995004578297284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681-4ED4-A209-0AE3C57142AC}"/>
                </c:ext>
              </c:extLst>
            </c:dLbl>
            <c:dLbl>
              <c:idx val="3"/>
              <c:layout>
                <c:manualLayout>
                  <c:x val="-0.19975395247909211"/>
                  <c:y val="-0.3401634310848091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681-4ED4-A209-0AE3C57142AC}"/>
                </c:ext>
              </c:extLst>
            </c:dLbl>
            <c:dLbl>
              <c:idx val="4"/>
              <c:layout>
                <c:manualLayout>
                  <c:x val="0.23495186823166975"/>
                  <c:y val="-0.3429490165403402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681-4ED4-A209-0AE3C57142AC}"/>
                </c:ext>
              </c:extLst>
            </c:dLbl>
            <c:dLbl>
              <c:idx val="5"/>
              <c:layout>
                <c:manualLayout>
                  <c:x val="0.23873970506672354"/>
                  <c:y val="9.259295006564674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681-4ED4-A209-0AE3C57142AC}"/>
                </c:ext>
              </c:extLst>
            </c:dLbl>
            <c:spPr>
              <a:noFill/>
              <a:ln>
                <a:noFill/>
              </a:ln>
              <a:effectLst/>
            </c:spPr>
            <c:txPr>
              <a:bodyPr/>
              <a:lstStyle/>
              <a:p>
                <a:pPr>
                  <a:defRPr sz="1050" b="1">
                    <a:latin typeface="Cambria"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Demographic!$P$69:$P$74</c:f>
              <c:strCache>
                <c:ptCount val="6"/>
                <c:pt idx="0">
                  <c:v>&lt;N 5,000 </c:v>
                </c:pt>
                <c:pt idx="1">
                  <c:v>N 5,000- N14,999 </c:v>
                </c:pt>
                <c:pt idx="2">
                  <c:v>N 15,000- N 24,999 </c:v>
                </c:pt>
                <c:pt idx="3">
                  <c:v>N 25,000- N 34,999 </c:v>
                </c:pt>
                <c:pt idx="4">
                  <c:v>N 35,000- N 44,999 </c:v>
                </c:pt>
                <c:pt idx="5">
                  <c:v>≥ N 45,000</c:v>
                </c:pt>
              </c:strCache>
            </c:strRef>
          </c:cat>
          <c:val>
            <c:numRef>
              <c:f>Demographic!$Q$69:$Q$74</c:f>
              <c:numCache>
                <c:formatCode>General</c:formatCode>
                <c:ptCount val="6"/>
                <c:pt idx="0">
                  <c:v>12</c:v>
                </c:pt>
                <c:pt idx="1">
                  <c:v>16</c:v>
                </c:pt>
                <c:pt idx="2">
                  <c:v>6</c:v>
                </c:pt>
                <c:pt idx="3">
                  <c:v>11</c:v>
                </c:pt>
                <c:pt idx="4">
                  <c:v>25</c:v>
                </c:pt>
                <c:pt idx="5">
                  <c:v>30</c:v>
                </c:pt>
              </c:numCache>
            </c:numRef>
          </c:val>
          <c:extLst>
            <c:ext xmlns:c16="http://schemas.microsoft.com/office/drawing/2014/chart" uri="{C3380CC4-5D6E-409C-BE32-E72D297353CC}">
              <c16:uniqueId val="{00000006-E681-4ED4-A209-0AE3C57142AC}"/>
            </c:ext>
          </c:extLst>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0"/>
          <c:w val="1"/>
          <c:h val="0.97637467191601068"/>
        </c:manualLayout>
      </c:layout>
      <c:pie3DChart>
        <c:varyColors val="1"/>
        <c:ser>
          <c:idx val="0"/>
          <c:order val="0"/>
          <c:spPr>
            <a:ln w="19050">
              <a:solidFill>
                <a:schemeClr val="tx1"/>
              </a:solidFill>
            </a:ln>
          </c:spPr>
          <c:dLbls>
            <c:dLbl>
              <c:idx val="1"/>
              <c:layout>
                <c:manualLayout>
                  <c:x val="-0.14928883929009248"/>
                  <c:y val="5.618725649730494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EE3-491C-BE4B-FDA6A695952E}"/>
                </c:ext>
              </c:extLst>
            </c:dLbl>
            <c:dLbl>
              <c:idx val="2"/>
              <c:layout>
                <c:manualLayout>
                  <c:x val="-0.12944115124150124"/>
                  <c:y val="-0.2653826172618994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EE3-491C-BE4B-FDA6A695952E}"/>
                </c:ext>
              </c:extLst>
            </c:dLbl>
            <c:dLbl>
              <c:idx val="3"/>
              <c:layout>
                <c:manualLayout>
                  <c:x val="0.18420133169119396"/>
                  <c:y val="-0.3751198816673943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EE3-491C-BE4B-FDA6A695952E}"/>
                </c:ext>
              </c:extLst>
            </c:dLbl>
            <c:dLbl>
              <c:idx val="5"/>
              <c:layout>
                <c:manualLayout>
                  <c:x val="0.14575916150340398"/>
                  <c:y val="7.34952370176821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EE3-491C-BE4B-FDA6A695952E}"/>
                </c:ext>
              </c:extLst>
            </c:dLbl>
            <c:spPr>
              <a:noFill/>
              <a:ln>
                <a:noFill/>
              </a:ln>
              <a:effectLst/>
            </c:spPr>
            <c:txPr>
              <a:bodyPr/>
              <a:lstStyle/>
              <a:p>
                <a:pPr>
                  <a:defRPr b="1">
                    <a:latin typeface="+mj-lt"/>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Demographic!$N$47:$N$52</c:f>
              <c:strCache>
                <c:ptCount val="6"/>
                <c:pt idx="0">
                  <c:v>No formal education </c:v>
                </c:pt>
                <c:pt idx="1">
                  <c:v>Primary School </c:v>
                </c:pt>
                <c:pt idx="2">
                  <c:v>Junior Secondary School </c:v>
                </c:pt>
                <c:pt idx="3">
                  <c:v>Senior Secondary </c:v>
                </c:pt>
                <c:pt idx="4">
                  <c:v>Post-Secondary School </c:v>
                </c:pt>
                <c:pt idx="5">
                  <c:v>Graduate</c:v>
                </c:pt>
              </c:strCache>
            </c:strRef>
          </c:cat>
          <c:val>
            <c:numRef>
              <c:f>Demographic!$O$47:$O$52</c:f>
              <c:numCache>
                <c:formatCode>General</c:formatCode>
                <c:ptCount val="6"/>
                <c:pt idx="0">
                  <c:v>14</c:v>
                </c:pt>
                <c:pt idx="1">
                  <c:v>12</c:v>
                </c:pt>
                <c:pt idx="2">
                  <c:v>13</c:v>
                </c:pt>
                <c:pt idx="3">
                  <c:v>29</c:v>
                </c:pt>
                <c:pt idx="4">
                  <c:v>19</c:v>
                </c:pt>
                <c:pt idx="5">
                  <c:v>13</c:v>
                </c:pt>
              </c:numCache>
            </c:numRef>
          </c:val>
          <c:extLst>
            <c:ext xmlns:c16="http://schemas.microsoft.com/office/drawing/2014/chart" uri="{C3380CC4-5D6E-409C-BE32-E72D297353CC}">
              <c16:uniqueId val="{00000004-5EE3-491C-BE4B-FDA6A695952E}"/>
            </c:ext>
          </c:extLst>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alpha val="86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stdErr"/>
            <c:noEndCap val="0"/>
            <c:spPr>
              <a:noFill/>
              <a:ln w="9525" cap="flat" cmpd="sng" algn="ctr">
                <a:solidFill>
                  <a:schemeClr val="lt1">
                    <a:lumMod val="95000"/>
                  </a:schemeClr>
                </a:solidFill>
                <a:round/>
              </a:ln>
              <a:effectLst/>
            </c:spPr>
          </c:errBars>
          <c:cat>
            <c:multiLvlStrRef>
              <c:f>Sheet5!$H$1:$AU$2</c:f>
              <c:multiLvlStrCache>
                <c:ptCount val="40"/>
                <c:lvl>
                  <c:pt idx="0">
                    <c:v>MUAC</c:v>
                  </c:pt>
                  <c:pt idx="1">
                    <c:v>BW</c:v>
                  </c:pt>
                  <c:pt idx="2">
                    <c:v>Height</c:v>
                  </c:pt>
                  <c:pt idx="3">
                    <c:v>BMI</c:v>
                  </c:pt>
                  <c:pt idx="4">
                    <c:v>MUAC</c:v>
                  </c:pt>
                  <c:pt idx="5">
                    <c:v>BW</c:v>
                  </c:pt>
                  <c:pt idx="6">
                    <c:v>Height</c:v>
                  </c:pt>
                  <c:pt idx="7">
                    <c:v>BMI</c:v>
                  </c:pt>
                  <c:pt idx="8">
                    <c:v>MUAC</c:v>
                  </c:pt>
                  <c:pt idx="9">
                    <c:v>BW</c:v>
                  </c:pt>
                  <c:pt idx="10">
                    <c:v>Height</c:v>
                  </c:pt>
                  <c:pt idx="11">
                    <c:v>BMI</c:v>
                  </c:pt>
                  <c:pt idx="12">
                    <c:v>MUAC</c:v>
                  </c:pt>
                  <c:pt idx="13">
                    <c:v>BW</c:v>
                  </c:pt>
                  <c:pt idx="14">
                    <c:v>Height</c:v>
                  </c:pt>
                  <c:pt idx="15">
                    <c:v>BMI</c:v>
                  </c:pt>
                  <c:pt idx="16">
                    <c:v>MUAC</c:v>
                  </c:pt>
                  <c:pt idx="17">
                    <c:v>BW</c:v>
                  </c:pt>
                  <c:pt idx="18">
                    <c:v>Height</c:v>
                  </c:pt>
                  <c:pt idx="19">
                    <c:v>BMI</c:v>
                  </c:pt>
                  <c:pt idx="20">
                    <c:v>MUAC</c:v>
                  </c:pt>
                  <c:pt idx="21">
                    <c:v>BW</c:v>
                  </c:pt>
                  <c:pt idx="22">
                    <c:v>Height</c:v>
                  </c:pt>
                  <c:pt idx="23">
                    <c:v>BMI</c:v>
                  </c:pt>
                  <c:pt idx="24">
                    <c:v>MUAC</c:v>
                  </c:pt>
                  <c:pt idx="25">
                    <c:v>BW</c:v>
                  </c:pt>
                  <c:pt idx="26">
                    <c:v>Height</c:v>
                  </c:pt>
                  <c:pt idx="27">
                    <c:v>BMI</c:v>
                  </c:pt>
                  <c:pt idx="28">
                    <c:v>MUAC</c:v>
                  </c:pt>
                  <c:pt idx="29">
                    <c:v>BW</c:v>
                  </c:pt>
                  <c:pt idx="30">
                    <c:v>Height</c:v>
                  </c:pt>
                  <c:pt idx="31">
                    <c:v>BMI</c:v>
                  </c:pt>
                  <c:pt idx="32">
                    <c:v>MUAC</c:v>
                  </c:pt>
                  <c:pt idx="33">
                    <c:v>BW</c:v>
                  </c:pt>
                  <c:pt idx="34">
                    <c:v>Height</c:v>
                  </c:pt>
                  <c:pt idx="35">
                    <c:v>BMI</c:v>
                  </c:pt>
                  <c:pt idx="36">
                    <c:v>MUAC</c:v>
                  </c:pt>
                  <c:pt idx="37">
                    <c:v>BW</c:v>
                  </c:pt>
                  <c:pt idx="38">
                    <c:v>Height</c:v>
                  </c:pt>
                  <c:pt idx="39">
                    <c:v>BMI</c:v>
                  </c:pt>
                </c:lvl>
                <c:lvl>
                  <c:pt idx="0">
                    <c:v>BE</c:v>
                  </c:pt>
                  <c:pt idx="4">
                    <c:v>BW</c:v>
                  </c:pt>
                  <c:pt idx="8">
                    <c:v>WW</c:v>
                  </c:pt>
                  <c:pt idx="12">
                    <c:v>KT</c:v>
                  </c:pt>
                  <c:pt idx="16">
                    <c:v>TW</c:v>
                  </c:pt>
                  <c:pt idx="20">
                    <c:v>WA</c:v>
                  </c:pt>
                  <c:pt idx="24">
                    <c:v>AM</c:v>
                  </c:pt>
                  <c:pt idx="28">
                    <c:v>TB</c:v>
                  </c:pt>
                  <c:pt idx="32">
                    <c:v>BJ</c:v>
                  </c:pt>
                  <c:pt idx="36">
                    <c:v>RB</c:v>
                  </c:pt>
                </c:lvl>
              </c:multiLvlStrCache>
            </c:multiLvlStrRef>
          </c:cat>
          <c:val>
            <c:numRef>
              <c:f>Sheet5!$H$3:$AU$3</c:f>
              <c:numCache>
                <c:formatCode>General</c:formatCode>
                <c:ptCount val="40"/>
                <c:pt idx="0">
                  <c:v>136.56</c:v>
                </c:pt>
                <c:pt idx="1">
                  <c:v>159.10000000000002</c:v>
                </c:pt>
                <c:pt idx="2">
                  <c:v>9.25</c:v>
                </c:pt>
                <c:pt idx="3">
                  <c:v>187.29999999999998</c:v>
                </c:pt>
                <c:pt idx="4">
                  <c:v>130.69999999999999</c:v>
                </c:pt>
                <c:pt idx="5">
                  <c:v>160.10000000000002</c:v>
                </c:pt>
                <c:pt idx="6">
                  <c:v>9.4</c:v>
                </c:pt>
                <c:pt idx="7">
                  <c:v>188.49</c:v>
                </c:pt>
                <c:pt idx="8">
                  <c:v>125.19999999999999</c:v>
                </c:pt>
                <c:pt idx="9">
                  <c:v>130.9</c:v>
                </c:pt>
                <c:pt idx="10">
                  <c:v>8.51</c:v>
                </c:pt>
                <c:pt idx="11">
                  <c:v>179.93</c:v>
                </c:pt>
                <c:pt idx="12">
                  <c:v>114.8</c:v>
                </c:pt>
                <c:pt idx="13">
                  <c:v>142.9</c:v>
                </c:pt>
                <c:pt idx="14">
                  <c:v>8.5100000000000016</c:v>
                </c:pt>
                <c:pt idx="15">
                  <c:v>201.85000000000073</c:v>
                </c:pt>
                <c:pt idx="16">
                  <c:v>121.5</c:v>
                </c:pt>
                <c:pt idx="17">
                  <c:v>142.79999999999998</c:v>
                </c:pt>
                <c:pt idx="18">
                  <c:v>8.5300000000000011</c:v>
                </c:pt>
                <c:pt idx="19">
                  <c:v>197.61999999999998</c:v>
                </c:pt>
                <c:pt idx="20">
                  <c:v>115.4</c:v>
                </c:pt>
                <c:pt idx="21">
                  <c:v>114.70000000000002</c:v>
                </c:pt>
                <c:pt idx="22">
                  <c:v>7.1899999999999995</c:v>
                </c:pt>
                <c:pt idx="23">
                  <c:v>226.43</c:v>
                </c:pt>
                <c:pt idx="24">
                  <c:v>119.70000000000002</c:v>
                </c:pt>
                <c:pt idx="25">
                  <c:v>138.79999999999998</c:v>
                </c:pt>
                <c:pt idx="26">
                  <c:v>8.73</c:v>
                </c:pt>
                <c:pt idx="27">
                  <c:v>182.23000000000002</c:v>
                </c:pt>
                <c:pt idx="28">
                  <c:v>92.100000000000009</c:v>
                </c:pt>
                <c:pt idx="29">
                  <c:v>116.19999999999999</c:v>
                </c:pt>
                <c:pt idx="30">
                  <c:v>7.6599999999999975</c:v>
                </c:pt>
                <c:pt idx="31">
                  <c:v>206.43</c:v>
                </c:pt>
                <c:pt idx="32">
                  <c:v>108.3</c:v>
                </c:pt>
                <c:pt idx="33">
                  <c:v>157.19999999999999</c:v>
                </c:pt>
                <c:pt idx="34">
                  <c:v>9.42</c:v>
                </c:pt>
                <c:pt idx="35">
                  <c:v>177.79999999999998</c:v>
                </c:pt>
                <c:pt idx="36">
                  <c:v>80.099999999999994</c:v>
                </c:pt>
                <c:pt idx="37">
                  <c:v>135</c:v>
                </c:pt>
                <c:pt idx="38">
                  <c:v>9.4100000000000037</c:v>
                </c:pt>
                <c:pt idx="39">
                  <c:v>153.75</c:v>
                </c:pt>
              </c:numCache>
            </c:numRef>
          </c:val>
          <c:extLst>
            <c:ext xmlns:c16="http://schemas.microsoft.com/office/drawing/2014/chart" uri="{C3380CC4-5D6E-409C-BE32-E72D297353CC}">
              <c16:uniqueId val="{00000000-7F82-47DC-A005-6BDDF1F26975}"/>
            </c:ext>
          </c:extLst>
        </c:ser>
        <c:dLbls>
          <c:showLegendKey val="0"/>
          <c:showVal val="0"/>
          <c:showCatName val="0"/>
          <c:showSerName val="0"/>
          <c:showPercent val="0"/>
          <c:showBubbleSize val="0"/>
        </c:dLbls>
        <c:gapWidth val="100"/>
        <c:overlap val="-24"/>
        <c:axId val="45051904"/>
        <c:axId val="45053440"/>
      </c:barChart>
      <c:catAx>
        <c:axId val="450519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vert="horz"/>
          <a:lstStyle/>
          <a:p>
            <a:pPr>
              <a:defRPr/>
            </a:pPr>
            <a:endParaRPr lang="en-US"/>
          </a:p>
        </c:txPr>
        <c:crossAx val="45053440"/>
        <c:crosses val="autoZero"/>
        <c:auto val="1"/>
        <c:lblAlgn val="ctr"/>
        <c:lblOffset val="100"/>
        <c:noMultiLvlLbl val="0"/>
      </c:catAx>
      <c:valAx>
        <c:axId val="4505344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4505190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solidFill>
            <a:schemeClr val="bg1"/>
          </a:solidFil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23840769903687"/>
          <c:y val="5.1400554097404488E-2"/>
          <c:w val="0.87923512685914262"/>
          <c:h val="0.8326195683872849"/>
        </c:manualLayout>
      </c:layout>
      <c:barChart>
        <c:barDir val="col"/>
        <c:grouping val="clustered"/>
        <c:varyColors val="0"/>
        <c:ser>
          <c:idx val="0"/>
          <c:order val="0"/>
          <c:tx>
            <c:strRef>
              <c:f>'Anti-oxidants'!$R$115</c:f>
              <c:strCache>
                <c:ptCount val="1"/>
                <c:pt idx="0">
                  <c:v>Cat</c:v>
                </c:pt>
              </c:strCache>
            </c:strRef>
          </c:tx>
          <c:spPr>
            <a:pattFill prst="pct70">
              <a:fgClr>
                <a:schemeClr val="tx1"/>
              </a:fgClr>
              <a:bgClr>
                <a:schemeClr val="bg1"/>
              </a:bgClr>
            </a:pattFill>
            <a:ln w="19050">
              <a:solidFill>
                <a:schemeClr val="tx1"/>
              </a:solidFill>
            </a:ln>
          </c:spPr>
          <c:invertIfNegative val="0"/>
          <c:errBars>
            <c:errBarType val="both"/>
            <c:errValType val="stdErr"/>
            <c:noEndCap val="0"/>
            <c:spPr>
              <a:ln w="0">
                <a:solidFill>
                  <a:schemeClr val="tx1">
                    <a:shade val="95000"/>
                    <a:satMod val="105000"/>
                  </a:schemeClr>
                </a:solidFill>
              </a:ln>
            </c:spPr>
          </c:errBars>
          <c:cat>
            <c:strRef>
              <c:f>'Anti-oxidants'!$Q$116:$Q$125</c:f>
              <c:strCache>
                <c:ptCount val="10"/>
                <c:pt idx="0">
                  <c:v>BE</c:v>
                </c:pt>
                <c:pt idx="1">
                  <c:v>BW</c:v>
                </c:pt>
                <c:pt idx="2">
                  <c:v>JH</c:v>
                </c:pt>
                <c:pt idx="3">
                  <c:v>KT</c:v>
                </c:pt>
                <c:pt idx="4">
                  <c:v>TW</c:v>
                </c:pt>
                <c:pt idx="5">
                  <c:v>WW</c:v>
                </c:pt>
                <c:pt idx="6">
                  <c:v>AM</c:v>
                </c:pt>
                <c:pt idx="7">
                  <c:v>TB</c:v>
                </c:pt>
                <c:pt idx="8">
                  <c:v>BG</c:v>
                </c:pt>
                <c:pt idx="9">
                  <c:v>RB</c:v>
                </c:pt>
              </c:strCache>
            </c:strRef>
          </c:cat>
          <c:val>
            <c:numRef>
              <c:f>'Anti-oxidants'!$R$116:$R$125</c:f>
              <c:numCache>
                <c:formatCode>General</c:formatCode>
                <c:ptCount val="10"/>
                <c:pt idx="0">
                  <c:v>9866.9599999998536</c:v>
                </c:pt>
                <c:pt idx="1">
                  <c:v>10423.91</c:v>
                </c:pt>
                <c:pt idx="2">
                  <c:v>8341.2999999999811</c:v>
                </c:pt>
                <c:pt idx="3">
                  <c:v>10958.7</c:v>
                </c:pt>
                <c:pt idx="4">
                  <c:v>8136.74</c:v>
                </c:pt>
                <c:pt idx="5">
                  <c:v>7134.78</c:v>
                </c:pt>
                <c:pt idx="6">
                  <c:v>9086.9599999998536</c:v>
                </c:pt>
                <c:pt idx="7">
                  <c:v>11166.3</c:v>
                </c:pt>
                <c:pt idx="8">
                  <c:v>8008.7</c:v>
                </c:pt>
                <c:pt idx="9">
                  <c:v>6218.26</c:v>
                </c:pt>
              </c:numCache>
            </c:numRef>
          </c:val>
          <c:extLst>
            <c:ext xmlns:c16="http://schemas.microsoft.com/office/drawing/2014/chart" uri="{C3380CC4-5D6E-409C-BE32-E72D297353CC}">
              <c16:uniqueId val="{00000000-5646-4E3D-A69B-CBDE0069066E}"/>
            </c:ext>
          </c:extLst>
        </c:ser>
        <c:ser>
          <c:idx val="1"/>
          <c:order val="1"/>
          <c:tx>
            <c:strRef>
              <c:f>'Anti-oxidants'!$S$115</c:f>
              <c:strCache>
                <c:ptCount val="1"/>
                <c:pt idx="0">
                  <c:v>GPx</c:v>
                </c:pt>
              </c:strCache>
            </c:strRef>
          </c:tx>
          <c:spPr>
            <a:pattFill prst="smConfetti">
              <a:fgClr>
                <a:schemeClr val="tx1"/>
              </a:fgClr>
              <a:bgClr>
                <a:schemeClr val="bg1"/>
              </a:bgClr>
            </a:pattFill>
            <a:ln w="19050">
              <a:solidFill>
                <a:schemeClr val="tx1"/>
              </a:solidFill>
            </a:ln>
          </c:spPr>
          <c:invertIfNegative val="0"/>
          <c:errBars>
            <c:errBarType val="both"/>
            <c:errValType val="cust"/>
            <c:noEndCap val="0"/>
            <c:plus>
              <c:numRef>
                <c:f>'Anti-oxidants'!$S$129:$S$138</c:f>
                <c:numCache>
                  <c:formatCode>General</c:formatCode>
                  <c:ptCount val="10"/>
                  <c:pt idx="0">
                    <c:v>1078.6699999999998</c:v>
                  </c:pt>
                  <c:pt idx="1">
                    <c:v>1180.98</c:v>
                  </c:pt>
                  <c:pt idx="2">
                    <c:v>997.98</c:v>
                  </c:pt>
                  <c:pt idx="3">
                    <c:v>814.14</c:v>
                  </c:pt>
                  <c:pt idx="4">
                    <c:v>1750.33</c:v>
                  </c:pt>
                  <c:pt idx="5">
                    <c:v>553.80999999999949</c:v>
                  </c:pt>
                  <c:pt idx="6">
                    <c:v>321.67</c:v>
                  </c:pt>
                  <c:pt idx="7">
                    <c:v>904.37</c:v>
                  </c:pt>
                  <c:pt idx="8">
                    <c:v>638.27000000000055</c:v>
                  </c:pt>
                  <c:pt idx="9">
                    <c:v>726.83999999999946</c:v>
                  </c:pt>
                </c:numCache>
              </c:numRef>
            </c:plus>
            <c:minus>
              <c:numRef>
                <c:f>'Anti-oxidants'!$S$129:$S$138</c:f>
                <c:numCache>
                  <c:formatCode>General</c:formatCode>
                  <c:ptCount val="10"/>
                  <c:pt idx="0">
                    <c:v>1078.6699999999998</c:v>
                  </c:pt>
                  <c:pt idx="1">
                    <c:v>1180.98</c:v>
                  </c:pt>
                  <c:pt idx="2">
                    <c:v>997.98</c:v>
                  </c:pt>
                  <c:pt idx="3">
                    <c:v>814.14</c:v>
                  </c:pt>
                  <c:pt idx="4">
                    <c:v>1750.33</c:v>
                  </c:pt>
                  <c:pt idx="5">
                    <c:v>553.80999999999949</c:v>
                  </c:pt>
                  <c:pt idx="6">
                    <c:v>321.67</c:v>
                  </c:pt>
                  <c:pt idx="7">
                    <c:v>904.37</c:v>
                  </c:pt>
                  <c:pt idx="8">
                    <c:v>638.27000000000055</c:v>
                  </c:pt>
                  <c:pt idx="9">
                    <c:v>726.83999999999946</c:v>
                  </c:pt>
                </c:numCache>
              </c:numRef>
            </c:minus>
          </c:errBars>
          <c:cat>
            <c:strRef>
              <c:f>'Anti-oxidants'!$Q$116:$Q$125</c:f>
              <c:strCache>
                <c:ptCount val="10"/>
                <c:pt idx="0">
                  <c:v>BE</c:v>
                </c:pt>
                <c:pt idx="1">
                  <c:v>BW</c:v>
                </c:pt>
                <c:pt idx="2">
                  <c:v>JH</c:v>
                </c:pt>
                <c:pt idx="3">
                  <c:v>KT</c:v>
                </c:pt>
                <c:pt idx="4">
                  <c:v>TW</c:v>
                </c:pt>
                <c:pt idx="5">
                  <c:v>WW</c:v>
                </c:pt>
                <c:pt idx="6">
                  <c:v>AM</c:v>
                </c:pt>
                <c:pt idx="7">
                  <c:v>TB</c:v>
                </c:pt>
                <c:pt idx="8">
                  <c:v>BG</c:v>
                </c:pt>
                <c:pt idx="9">
                  <c:v>RB</c:v>
                </c:pt>
              </c:strCache>
            </c:strRef>
          </c:cat>
          <c:val>
            <c:numRef>
              <c:f>'Anti-oxidants'!$S$116:$S$125</c:f>
              <c:numCache>
                <c:formatCode>General</c:formatCode>
                <c:ptCount val="10"/>
                <c:pt idx="0">
                  <c:v>3283.8</c:v>
                </c:pt>
                <c:pt idx="1">
                  <c:v>4582.28</c:v>
                </c:pt>
                <c:pt idx="2">
                  <c:v>4869.1100000000024</c:v>
                </c:pt>
                <c:pt idx="3">
                  <c:v>5027.22</c:v>
                </c:pt>
                <c:pt idx="4">
                  <c:v>4125.57</c:v>
                </c:pt>
                <c:pt idx="5">
                  <c:v>4390</c:v>
                </c:pt>
                <c:pt idx="6">
                  <c:v>3793.42</c:v>
                </c:pt>
                <c:pt idx="7">
                  <c:v>6932.28</c:v>
                </c:pt>
                <c:pt idx="8">
                  <c:v>4854.8100000000004</c:v>
                </c:pt>
                <c:pt idx="9">
                  <c:v>4169.37</c:v>
                </c:pt>
              </c:numCache>
            </c:numRef>
          </c:val>
          <c:extLst>
            <c:ext xmlns:c16="http://schemas.microsoft.com/office/drawing/2014/chart" uri="{C3380CC4-5D6E-409C-BE32-E72D297353CC}">
              <c16:uniqueId val="{00000001-5646-4E3D-A69B-CBDE0069066E}"/>
            </c:ext>
          </c:extLst>
        </c:ser>
        <c:ser>
          <c:idx val="2"/>
          <c:order val="2"/>
          <c:tx>
            <c:strRef>
              <c:f>'Anti-oxidants'!$T$115</c:f>
              <c:strCache>
                <c:ptCount val="1"/>
                <c:pt idx="0">
                  <c:v>SOD</c:v>
                </c:pt>
              </c:strCache>
            </c:strRef>
          </c:tx>
          <c:spPr>
            <a:pattFill prst="openDmnd">
              <a:fgClr>
                <a:schemeClr val="tx1"/>
              </a:fgClr>
              <a:bgClr>
                <a:schemeClr val="bg1"/>
              </a:bgClr>
            </a:pattFill>
            <a:ln w="19050">
              <a:solidFill>
                <a:schemeClr val="tx1"/>
              </a:solidFill>
            </a:ln>
          </c:spPr>
          <c:invertIfNegative val="0"/>
          <c:errBars>
            <c:errBarType val="both"/>
            <c:errValType val="stdErr"/>
            <c:noEndCap val="0"/>
          </c:errBars>
          <c:cat>
            <c:strRef>
              <c:f>'Anti-oxidants'!$Q$116:$Q$125</c:f>
              <c:strCache>
                <c:ptCount val="10"/>
                <c:pt idx="0">
                  <c:v>BE</c:v>
                </c:pt>
                <c:pt idx="1">
                  <c:v>BW</c:v>
                </c:pt>
                <c:pt idx="2">
                  <c:v>JH</c:v>
                </c:pt>
                <c:pt idx="3">
                  <c:v>KT</c:v>
                </c:pt>
                <c:pt idx="4">
                  <c:v>TW</c:v>
                </c:pt>
                <c:pt idx="5">
                  <c:v>WW</c:v>
                </c:pt>
                <c:pt idx="6">
                  <c:v>AM</c:v>
                </c:pt>
                <c:pt idx="7">
                  <c:v>TB</c:v>
                </c:pt>
                <c:pt idx="8">
                  <c:v>BG</c:v>
                </c:pt>
                <c:pt idx="9">
                  <c:v>RB</c:v>
                </c:pt>
              </c:strCache>
            </c:strRef>
          </c:cat>
          <c:val>
            <c:numRef>
              <c:f>'Anti-oxidants'!$T$116:$T$125</c:f>
              <c:numCache>
                <c:formatCode>General</c:formatCode>
                <c:ptCount val="10"/>
                <c:pt idx="0">
                  <c:v>9248.56</c:v>
                </c:pt>
                <c:pt idx="1">
                  <c:v>7358.35</c:v>
                </c:pt>
                <c:pt idx="2">
                  <c:v>9668.1400000000049</c:v>
                </c:pt>
                <c:pt idx="3">
                  <c:v>9415.98</c:v>
                </c:pt>
                <c:pt idx="4">
                  <c:v>8020</c:v>
                </c:pt>
                <c:pt idx="5">
                  <c:v>8229.3799999998646</c:v>
                </c:pt>
                <c:pt idx="6">
                  <c:v>6585.98</c:v>
                </c:pt>
                <c:pt idx="7">
                  <c:v>7964.74</c:v>
                </c:pt>
                <c:pt idx="8">
                  <c:v>8590.31</c:v>
                </c:pt>
                <c:pt idx="9">
                  <c:v>6281.03</c:v>
                </c:pt>
              </c:numCache>
            </c:numRef>
          </c:val>
          <c:extLst>
            <c:ext xmlns:c16="http://schemas.microsoft.com/office/drawing/2014/chart" uri="{C3380CC4-5D6E-409C-BE32-E72D297353CC}">
              <c16:uniqueId val="{00000002-5646-4E3D-A69B-CBDE0069066E}"/>
            </c:ext>
          </c:extLst>
        </c:ser>
        <c:dLbls>
          <c:showLegendKey val="0"/>
          <c:showVal val="0"/>
          <c:showCatName val="0"/>
          <c:showSerName val="0"/>
          <c:showPercent val="0"/>
          <c:showBubbleSize val="0"/>
        </c:dLbls>
        <c:gapWidth val="67"/>
        <c:axId val="45097728"/>
        <c:axId val="45099648"/>
      </c:barChart>
      <c:catAx>
        <c:axId val="45097728"/>
        <c:scaling>
          <c:orientation val="minMax"/>
        </c:scaling>
        <c:delete val="0"/>
        <c:axPos val="b"/>
        <c:title>
          <c:tx>
            <c:rich>
              <a:bodyPr/>
              <a:lstStyle/>
              <a:p>
                <a:pPr>
                  <a:defRPr/>
                </a:pPr>
                <a:r>
                  <a:rPr lang="en-US"/>
                  <a:t>Sample Locations</a:t>
                </a:r>
              </a:p>
            </c:rich>
          </c:tx>
          <c:overlay val="0"/>
        </c:title>
        <c:numFmt formatCode="General" sourceLinked="0"/>
        <c:majorTickMark val="out"/>
        <c:minorTickMark val="none"/>
        <c:tickLblPos val="nextTo"/>
        <c:crossAx val="45099648"/>
        <c:crosses val="autoZero"/>
        <c:auto val="1"/>
        <c:lblAlgn val="ctr"/>
        <c:lblOffset val="100"/>
        <c:noMultiLvlLbl val="0"/>
      </c:catAx>
      <c:valAx>
        <c:axId val="45099648"/>
        <c:scaling>
          <c:orientation val="minMax"/>
        </c:scaling>
        <c:delete val="0"/>
        <c:axPos val="l"/>
        <c:title>
          <c:tx>
            <c:rich>
              <a:bodyPr rot="-5400000" vert="horz"/>
              <a:lstStyle/>
              <a:p>
                <a:pPr>
                  <a:defRPr/>
                </a:pPr>
                <a:r>
                  <a:rPr lang="en-US"/>
                  <a:t>Concentrations (U/ml)</a:t>
                </a:r>
              </a:p>
            </c:rich>
          </c:tx>
          <c:overlay val="0"/>
        </c:title>
        <c:numFmt formatCode="General" sourceLinked="1"/>
        <c:majorTickMark val="out"/>
        <c:minorTickMark val="none"/>
        <c:tickLblPos val="nextTo"/>
        <c:crossAx val="45097728"/>
        <c:crosses val="autoZero"/>
        <c:crossBetween val="between"/>
      </c:valAx>
    </c:plotArea>
    <c:legend>
      <c:legendPos val="r"/>
      <c:layout>
        <c:manualLayout>
          <c:xMode val="edge"/>
          <c:yMode val="edge"/>
          <c:x val="0.42958464566929566"/>
          <c:y val="4.0536599591717831E-3"/>
          <c:w val="0.32041535433071089"/>
          <c:h val="0.10300342665500146"/>
        </c:manualLayout>
      </c:layout>
      <c:overlay val="0"/>
    </c:legend>
    <c:plotVisOnly val="1"/>
    <c:dispBlanksAs val="gap"/>
    <c:showDLblsOverMax val="0"/>
  </c:chart>
  <c:spPr>
    <a:ln>
      <a:noFill/>
    </a:ln>
  </c:spPr>
  <c:txPr>
    <a:bodyPr/>
    <a:lstStyle/>
    <a:p>
      <a:pPr>
        <a:defRPr>
          <a:solidFill>
            <a:srgbClr val="FF0000"/>
          </a:solidFill>
          <a:latin typeface="Cambria"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1</Pages>
  <Words>5638</Words>
  <Characters>32141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KYAUTA</dc:creator>
  <cp:keywords/>
  <dc:description/>
  <cp:lastModifiedBy>Editor-22</cp:lastModifiedBy>
  <cp:revision>85</cp:revision>
  <dcterms:created xsi:type="dcterms:W3CDTF">2024-12-07T11:00:00Z</dcterms:created>
  <dcterms:modified xsi:type="dcterms:W3CDTF">2025-05-27T10:08:00Z</dcterms:modified>
</cp:coreProperties>
</file>