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EEE14" w14:textId="77777777" w:rsidR="00CE02ED" w:rsidRDefault="00CE02ED" w:rsidP="00E25246">
      <w:pPr>
        <w:spacing w:line="360" w:lineRule="auto"/>
        <w:jc w:val="right"/>
        <w:rPr>
          <w:rFonts w:ascii="Arial" w:hAnsi="Arial" w:cs="Arial"/>
          <w:b/>
          <w:sz w:val="36"/>
          <w:szCs w:val="36"/>
        </w:rPr>
      </w:pPr>
      <w:r w:rsidRPr="002730F6">
        <w:rPr>
          <w:rFonts w:ascii="Arial" w:hAnsi="Arial" w:cs="Arial"/>
          <w:b/>
          <w:bCs/>
          <w:sz w:val="36"/>
          <w:szCs w:val="36"/>
        </w:rPr>
        <w:t>Bacterial Quality a</w:t>
      </w:r>
      <w:r w:rsidRPr="002730F6">
        <w:rPr>
          <w:rFonts w:ascii="Arial" w:hAnsi="Arial" w:cs="Arial"/>
          <w:b/>
          <w:sz w:val="36"/>
          <w:szCs w:val="36"/>
        </w:rPr>
        <w:t>n</w:t>
      </w:r>
      <w:r w:rsidRPr="002730F6">
        <w:rPr>
          <w:rFonts w:ascii="Arial" w:hAnsi="Arial" w:cs="Arial"/>
          <w:b/>
          <w:bCs/>
          <w:sz w:val="36"/>
          <w:szCs w:val="36"/>
        </w:rPr>
        <w:t xml:space="preserve">d </w:t>
      </w:r>
      <w:r w:rsidR="000C76CE" w:rsidRPr="002730F6">
        <w:rPr>
          <w:rFonts w:ascii="Arial" w:hAnsi="Arial" w:cs="Arial"/>
          <w:b/>
          <w:sz w:val="36"/>
          <w:szCs w:val="36"/>
        </w:rPr>
        <w:t>Health Risk</w:t>
      </w:r>
      <w:r w:rsidRPr="002730F6">
        <w:rPr>
          <w:rFonts w:ascii="Arial" w:hAnsi="Arial" w:cs="Arial"/>
          <w:b/>
          <w:sz w:val="36"/>
          <w:szCs w:val="36"/>
        </w:rPr>
        <w:t xml:space="preserve"> Assessment of </w:t>
      </w:r>
      <w:r w:rsidR="000C76CE" w:rsidRPr="002730F6">
        <w:rPr>
          <w:rFonts w:ascii="Arial" w:hAnsi="Arial" w:cs="Arial"/>
          <w:b/>
          <w:sz w:val="36"/>
          <w:szCs w:val="36"/>
        </w:rPr>
        <w:t xml:space="preserve">Some </w:t>
      </w:r>
      <w:r w:rsidRPr="002730F6">
        <w:rPr>
          <w:rFonts w:ascii="Arial" w:hAnsi="Arial" w:cs="Arial"/>
          <w:b/>
          <w:sz w:val="36"/>
          <w:szCs w:val="36"/>
        </w:rPr>
        <w:t>Heavy Metal Contaminated Seafood</w:t>
      </w:r>
      <w:r w:rsidR="000C76CE" w:rsidRPr="002730F6">
        <w:rPr>
          <w:rFonts w:ascii="Arial" w:hAnsi="Arial" w:cs="Arial"/>
          <w:b/>
          <w:sz w:val="36"/>
          <w:szCs w:val="36"/>
        </w:rPr>
        <w:t xml:space="preserve">s </w:t>
      </w:r>
      <w:r w:rsidRPr="002730F6">
        <w:rPr>
          <w:rFonts w:ascii="Arial" w:hAnsi="Arial" w:cs="Arial"/>
          <w:b/>
          <w:sz w:val="36"/>
          <w:szCs w:val="36"/>
        </w:rPr>
        <w:t xml:space="preserve">in </w:t>
      </w:r>
      <w:proofErr w:type="spellStart"/>
      <w:r w:rsidR="000C76CE" w:rsidRPr="002730F6">
        <w:rPr>
          <w:rFonts w:ascii="Arial" w:hAnsi="Arial" w:cs="Arial"/>
          <w:b/>
          <w:sz w:val="36"/>
          <w:szCs w:val="36"/>
        </w:rPr>
        <w:t>Yokri</w:t>
      </w:r>
      <w:proofErr w:type="spellEnd"/>
      <w:r w:rsidR="000C76CE" w:rsidRPr="002730F6">
        <w:rPr>
          <w:rFonts w:ascii="Arial" w:hAnsi="Arial" w:cs="Arial"/>
          <w:b/>
          <w:sz w:val="36"/>
          <w:szCs w:val="36"/>
        </w:rPr>
        <w:t xml:space="preserve"> Community, </w:t>
      </w:r>
      <w:proofErr w:type="spellStart"/>
      <w:r w:rsidR="000C76CE" w:rsidRPr="002730F6">
        <w:rPr>
          <w:rFonts w:ascii="Arial" w:hAnsi="Arial" w:cs="Arial"/>
          <w:b/>
          <w:bCs/>
          <w:sz w:val="36"/>
          <w:szCs w:val="36"/>
        </w:rPr>
        <w:t>B</w:t>
      </w:r>
      <w:r w:rsidR="000C76CE" w:rsidRPr="002730F6">
        <w:rPr>
          <w:rFonts w:ascii="Arial" w:hAnsi="Arial" w:cs="Arial"/>
          <w:b/>
          <w:sz w:val="36"/>
          <w:szCs w:val="36"/>
        </w:rPr>
        <w:t>urutu</w:t>
      </w:r>
      <w:proofErr w:type="spellEnd"/>
      <w:r w:rsidR="000C76CE" w:rsidRPr="002730F6">
        <w:rPr>
          <w:rFonts w:ascii="Arial" w:hAnsi="Arial" w:cs="Arial"/>
          <w:b/>
          <w:sz w:val="36"/>
          <w:szCs w:val="36"/>
        </w:rPr>
        <w:t xml:space="preserve"> Local Government Area, Delta State, Nigeria</w:t>
      </w:r>
      <w:r w:rsidR="002A34E1">
        <w:rPr>
          <w:rFonts w:ascii="Arial" w:hAnsi="Arial" w:cs="Arial"/>
          <w:b/>
          <w:sz w:val="36"/>
          <w:szCs w:val="36"/>
        </w:rPr>
        <w:t>.</w:t>
      </w:r>
    </w:p>
    <w:p w14:paraId="0AF5D643" w14:textId="77777777" w:rsidR="007B79AD" w:rsidRDefault="007B79AD" w:rsidP="002A34E1">
      <w:pPr>
        <w:spacing w:line="360" w:lineRule="auto"/>
        <w:jc w:val="right"/>
        <w:rPr>
          <w:rFonts w:ascii="Arial" w:hAnsi="Arial" w:cs="Arial"/>
          <w:i/>
        </w:rPr>
      </w:pPr>
    </w:p>
    <w:p w14:paraId="49BE65DB" w14:textId="77777777" w:rsidR="00DB41D7" w:rsidRPr="002A34E1" w:rsidRDefault="00DB41D7" w:rsidP="002A34E1">
      <w:pPr>
        <w:spacing w:line="360" w:lineRule="auto"/>
        <w:jc w:val="right"/>
        <w:rPr>
          <w:rFonts w:ascii="Arial" w:hAnsi="Arial" w:cs="Arial"/>
          <w:i/>
        </w:rPr>
      </w:pPr>
    </w:p>
    <w:p w14:paraId="793F5C4F" w14:textId="77777777" w:rsidR="00CE02ED" w:rsidRPr="002A34E1" w:rsidRDefault="00CE02ED" w:rsidP="002A34E1">
      <w:pPr>
        <w:pStyle w:val="Author"/>
        <w:spacing w:line="240" w:lineRule="auto"/>
        <w:jc w:val="left"/>
        <w:rPr>
          <w:rFonts w:ascii="Arial" w:hAnsi="Arial" w:cs="Arial"/>
          <w:i/>
        </w:rPr>
        <w:sectPr w:rsidR="00CE02ED" w:rsidRPr="002A34E1" w:rsidSect="00DB41D7">
          <w:headerReference w:type="even" r:id="rId7"/>
          <w:headerReference w:type="default" r:id="rId8"/>
          <w:footerReference w:type="even" r:id="rId9"/>
          <w:footerReference w:type="default" r:id="rId10"/>
          <w:headerReference w:type="first" r:id="rId11"/>
          <w:footerReference w:type="first" r:id="rId12"/>
          <w:pgSz w:w="12240" w:h="15840" w:code="1"/>
          <w:pgMar w:top="1440" w:right="2016" w:bottom="2016" w:left="2016" w:header="720" w:footer="1296" w:gutter="0"/>
          <w:cols w:space="720"/>
          <w:docGrid w:linePitch="272"/>
        </w:sectPr>
      </w:pPr>
      <w:r w:rsidRPr="002730F6">
        <w:rPr>
          <w:rFonts w:ascii="Arial" w:hAnsi="Arial" w:cs="Arial"/>
          <w:noProof/>
        </w:rPr>
        <mc:AlternateContent>
          <mc:Choice Requires="wps">
            <w:drawing>
              <wp:inline distT="0" distB="0" distL="0" distR="0" wp14:anchorId="21381646" wp14:editId="7FBB4934">
                <wp:extent cx="5303520" cy="0"/>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8F01B15"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Pr="002730F6">
        <w:rPr>
          <w:rFonts w:ascii="Arial" w:hAnsi="Arial" w:cs="Arial"/>
        </w:rPr>
        <w:t>.</w:t>
      </w:r>
    </w:p>
    <w:p w14:paraId="0EC52FB9" w14:textId="77777777" w:rsidR="00CE02ED" w:rsidRPr="002730F6" w:rsidRDefault="00F71C03" w:rsidP="00CE02ED">
      <w:pPr>
        <w:pStyle w:val="AbstHead"/>
        <w:spacing w:after="0"/>
        <w:jc w:val="both"/>
        <w:rPr>
          <w:rFonts w:ascii="Arial" w:hAnsi="Arial" w:cs="Arial"/>
        </w:rPr>
      </w:pPr>
      <w:r w:rsidRPr="002730F6">
        <w:rPr>
          <w:rFonts w:ascii="Arial" w:hAnsi="Arial" w:cs="Arial"/>
        </w:rPr>
        <w:t xml:space="preserve">ABSTRACT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CE02ED" w:rsidRPr="002730F6" w14:paraId="6D1B5C2B" w14:textId="77777777" w:rsidTr="001E566C">
        <w:tc>
          <w:tcPr>
            <w:tcW w:w="9576" w:type="dxa"/>
            <w:shd w:val="clear" w:color="auto" w:fill="F2F2F2"/>
          </w:tcPr>
          <w:p w14:paraId="3DC48AC6" w14:textId="77777777" w:rsidR="001813E5" w:rsidRPr="002730F6" w:rsidRDefault="0050467A" w:rsidP="007E2EE7">
            <w:pPr>
              <w:pStyle w:val="Body"/>
              <w:spacing w:after="0"/>
              <w:rPr>
                <w:rFonts w:ascii="Arial" w:hAnsi="Arial" w:cs="Arial"/>
                <w:sz w:val="22"/>
                <w:szCs w:val="22"/>
              </w:rPr>
            </w:pPr>
            <w:r w:rsidRPr="002730F6">
              <w:rPr>
                <w:rFonts w:ascii="Arial" w:eastAsia="Calibri" w:hAnsi="Arial" w:cs="Arial"/>
                <w:b/>
                <w:sz w:val="22"/>
                <w:szCs w:val="22"/>
              </w:rPr>
              <w:t>Introduction:</w:t>
            </w:r>
            <w:r w:rsidR="00152423" w:rsidRPr="002730F6">
              <w:rPr>
                <w:rFonts w:ascii="Arial" w:hAnsi="Arial" w:cs="Arial"/>
                <w:sz w:val="22"/>
                <w:szCs w:val="22"/>
              </w:rPr>
              <w:t xml:space="preserve"> c</w:t>
            </w:r>
            <w:r w:rsidR="001813E5" w:rsidRPr="002730F6">
              <w:rPr>
                <w:rFonts w:ascii="Arial" w:hAnsi="Arial" w:cs="Arial"/>
                <w:sz w:val="22"/>
                <w:szCs w:val="22"/>
              </w:rPr>
              <w:t xml:space="preserve">ontamination of seafood by heavy metals poses significant health risks to consumers, particularly in regions impacted by industrial activities. </w:t>
            </w:r>
          </w:p>
          <w:p w14:paraId="380C9B1B" w14:textId="77777777" w:rsidR="00CE02ED" w:rsidRPr="002730F6" w:rsidRDefault="00B86411" w:rsidP="007E2EE7">
            <w:pPr>
              <w:pStyle w:val="Body"/>
              <w:spacing w:after="0"/>
              <w:rPr>
                <w:rFonts w:ascii="Arial" w:hAnsi="Arial" w:cs="Arial"/>
                <w:sz w:val="22"/>
                <w:szCs w:val="22"/>
              </w:rPr>
            </w:pPr>
            <w:r w:rsidRPr="002730F6">
              <w:rPr>
                <w:rFonts w:ascii="Arial" w:eastAsia="Calibri" w:hAnsi="Arial" w:cs="Arial"/>
                <w:b/>
                <w:sz w:val="22"/>
                <w:szCs w:val="22"/>
              </w:rPr>
              <w:t>Aim:</w:t>
            </w:r>
            <w:r w:rsidR="00CE02ED" w:rsidRPr="002730F6">
              <w:rPr>
                <w:rFonts w:ascii="Arial" w:eastAsia="Calibri" w:hAnsi="Arial" w:cs="Arial"/>
                <w:b/>
                <w:sz w:val="22"/>
                <w:szCs w:val="22"/>
              </w:rPr>
              <w:t xml:space="preserve"> </w:t>
            </w:r>
            <w:r w:rsidR="001813E5" w:rsidRPr="002730F6">
              <w:rPr>
                <w:rFonts w:ascii="Arial" w:hAnsi="Arial" w:cs="Arial"/>
                <w:sz w:val="22"/>
                <w:szCs w:val="22"/>
              </w:rPr>
              <w:t xml:space="preserve">to evaluate health risks associated with Crabs, Periwinkles and Shrimps in </w:t>
            </w:r>
            <w:proofErr w:type="spellStart"/>
            <w:r w:rsidR="007E2EE7" w:rsidRPr="002730F6">
              <w:rPr>
                <w:rFonts w:ascii="Arial" w:hAnsi="Arial" w:cs="Arial"/>
                <w:sz w:val="22"/>
                <w:szCs w:val="22"/>
              </w:rPr>
              <w:t>Yokri</w:t>
            </w:r>
            <w:proofErr w:type="spellEnd"/>
            <w:r w:rsidR="00CC64E4" w:rsidRPr="002730F6">
              <w:rPr>
                <w:rFonts w:ascii="Arial" w:hAnsi="Arial" w:cs="Arial"/>
                <w:sz w:val="22"/>
                <w:szCs w:val="22"/>
              </w:rPr>
              <w:t xml:space="preserve"> Community</w:t>
            </w:r>
            <w:r w:rsidR="007E2EE7" w:rsidRPr="002730F6">
              <w:rPr>
                <w:rFonts w:ascii="Arial" w:hAnsi="Arial" w:cs="Arial"/>
                <w:sz w:val="22"/>
                <w:szCs w:val="22"/>
              </w:rPr>
              <w:t>, Delta</w:t>
            </w:r>
            <w:r w:rsidR="00CC64E4" w:rsidRPr="002730F6">
              <w:rPr>
                <w:rFonts w:ascii="Arial" w:hAnsi="Arial" w:cs="Arial"/>
                <w:sz w:val="22"/>
                <w:szCs w:val="22"/>
              </w:rPr>
              <w:t xml:space="preserve"> State</w:t>
            </w:r>
            <w:r w:rsidR="00F71C03" w:rsidRPr="002730F6">
              <w:rPr>
                <w:rFonts w:ascii="Arial" w:hAnsi="Arial" w:cs="Arial"/>
                <w:sz w:val="22"/>
                <w:szCs w:val="22"/>
              </w:rPr>
              <w:t>.</w:t>
            </w:r>
            <w:r w:rsidR="00CE02ED" w:rsidRPr="002730F6">
              <w:rPr>
                <w:rFonts w:ascii="Arial" w:eastAsia="Calibri" w:hAnsi="Arial" w:cs="Arial"/>
                <w:sz w:val="22"/>
                <w:szCs w:val="22"/>
              </w:rPr>
              <w:t xml:space="preserve"> </w:t>
            </w:r>
          </w:p>
          <w:p w14:paraId="56A73818" w14:textId="77777777" w:rsidR="007E2EE7" w:rsidRPr="002730F6" w:rsidRDefault="00CE02ED" w:rsidP="007E2EE7">
            <w:pPr>
              <w:pStyle w:val="Body"/>
              <w:spacing w:after="0"/>
              <w:rPr>
                <w:rFonts w:ascii="Arial" w:eastAsia="Calibri" w:hAnsi="Arial" w:cs="Arial"/>
                <w:sz w:val="22"/>
                <w:szCs w:val="22"/>
              </w:rPr>
            </w:pPr>
            <w:r w:rsidRPr="002730F6">
              <w:rPr>
                <w:rFonts w:ascii="Arial" w:eastAsia="Calibri" w:hAnsi="Arial" w:cs="Arial"/>
                <w:b/>
                <w:bCs/>
                <w:sz w:val="22"/>
                <w:szCs w:val="22"/>
              </w:rPr>
              <w:t>Methodology:</w:t>
            </w:r>
            <w:r w:rsidR="001813E5" w:rsidRPr="002730F6">
              <w:rPr>
                <w:rFonts w:ascii="Arial" w:hAnsi="Arial" w:cs="Arial"/>
                <w:sz w:val="22"/>
                <w:szCs w:val="22"/>
              </w:rPr>
              <w:t xml:space="preserve"> heavy metals and microbiological assessment were done following standard method</w:t>
            </w:r>
            <w:r w:rsidR="006332D2" w:rsidRPr="002730F6">
              <w:rPr>
                <w:rFonts w:ascii="Arial" w:hAnsi="Arial" w:cs="Arial"/>
                <w:sz w:val="22"/>
                <w:szCs w:val="22"/>
              </w:rPr>
              <w:t>s</w:t>
            </w:r>
            <w:r w:rsidR="001813E5" w:rsidRPr="002730F6">
              <w:rPr>
                <w:rFonts w:ascii="Arial" w:hAnsi="Arial" w:cs="Arial"/>
                <w:sz w:val="22"/>
                <w:szCs w:val="22"/>
              </w:rPr>
              <w:t>.</w:t>
            </w:r>
            <w:r w:rsidR="007E2EE7" w:rsidRPr="002730F6">
              <w:rPr>
                <w:rFonts w:ascii="Arial" w:hAnsi="Arial" w:cs="Arial"/>
                <w:sz w:val="22"/>
                <w:szCs w:val="22"/>
              </w:rPr>
              <w:t xml:space="preserve"> Health </w:t>
            </w:r>
            <w:r w:rsidR="00152423" w:rsidRPr="002730F6">
              <w:rPr>
                <w:rFonts w:ascii="Arial" w:hAnsi="Arial" w:cs="Arial"/>
                <w:sz w:val="22"/>
                <w:szCs w:val="22"/>
              </w:rPr>
              <w:t>risk assessment was done using the</w:t>
            </w:r>
            <w:r w:rsidR="007E2EE7" w:rsidRPr="002730F6">
              <w:rPr>
                <w:rFonts w:ascii="Arial" w:hAnsi="Arial" w:cs="Arial"/>
                <w:sz w:val="22"/>
                <w:szCs w:val="22"/>
              </w:rPr>
              <w:t xml:space="preserve"> United State Environmental Protection Agency risk assessment framework. </w:t>
            </w:r>
            <w:r w:rsidR="007E2EE7" w:rsidRPr="002730F6">
              <w:rPr>
                <w:rFonts w:ascii="Arial" w:eastAsia="Calibri" w:hAnsi="Arial" w:cs="Arial"/>
                <w:sz w:val="22"/>
                <w:szCs w:val="22"/>
              </w:rPr>
              <w:t xml:space="preserve"> </w:t>
            </w:r>
          </w:p>
          <w:p w14:paraId="681FD007" w14:textId="77777777" w:rsidR="0050467A" w:rsidRPr="002730F6" w:rsidRDefault="00CE02ED" w:rsidP="007E2EE7">
            <w:pPr>
              <w:jc w:val="both"/>
              <w:rPr>
                <w:rFonts w:ascii="Arial" w:hAnsi="Arial" w:cs="Arial"/>
                <w:sz w:val="22"/>
                <w:szCs w:val="22"/>
              </w:rPr>
            </w:pPr>
            <w:r w:rsidRPr="002730F6">
              <w:rPr>
                <w:rFonts w:ascii="Arial" w:eastAsia="Calibri" w:hAnsi="Arial" w:cs="Arial"/>
                <w:b/>
                <w:bCs/>
                <w:sz w:val="22"/>
                <w:szCs w:val="22"/>
              </w:rPr>
              <w:t>Results:</w:t>
            </w:r>
            <w:r w:rsidRPr="002730F6">
              <w:rPr>
                <w:rFonts w:ascii="Arial" w:eastAsia="Calibri" w:hAnsi="Arial" w:cs="Arial"/>
                <w:sz w:val="22"/>
                <w:szCs w:val="22"/>
              </w:rPr>
              <w:t xml:space="preserve"> </w:t>
            </w:r>
            <w:r w:rsidR="00152423" w:rsidRPr="002730F6">
              <w:rPr>
                <w:rFonts w:ascii="Arial" w:hAnsi="Arial" w:cs="Arial"/>
                <w:sz w:val="22"/>
                <w:szCs w:val="22"/>
              </w:rPr>
              <w:t>m</w:t>
            </w:r>
            <w:r w:rsidR="0050467A" w:rsidRPr="002730F6">
              <w:rPr>
                <w:rFonts w:ascii="Arial" w:hAnsi="Arial" w:cs="Arial"/>
                <w:sz w:val="22"/>
                <w:szCs w:val="22"/>
              </w:rPr>
              <w:t>ercury, lead, cadmium and arsenic varied among seafood species with significant implications for human health. Mercury and arsenic levels were below detection level (&lt;0.00</w:t>
            </w:r>
            <w:r w:rsidR="00494135">
              <w:rPr>
                <w:rFonts w:ascii="Arial" w:hAnsi="Arial" w:cs="Arial"/>
                <w:sz w:val="22"/>
                <w:szCs w:val="22"/>
              </w:rPr>
              <w:t>1 mg/kg) in all</w:t>
            </w:r>
            <w:r w:rsidR="00185848" w:rsidRPr="002730F6">
              <w:rPr>
                <w:rFonts w:ascii="Arial" w:hAnsi="Arial" w:cs="Arial"/>
                <w:sz w:val="22"/>
                <w:szCs w:val="22"/>
              </w:rPr>
              <w:t xml:space="preserve"> samples during</w:t>
            </w:r>
            <w:r w:rsidR="0050467A" w:rsidRPr="002730F6">
              <w:rPr>
                <w:rFonts w:ascii="Arial" w:hAnsi="Arial" w:cs="Arial"/>
                <w:sz w:val="22"/>
                <w:szCs w:val="22"/>
              </w:rPr>
              <w:t xml:space="preserve"> both seasons. Cadmium concentrations in Crabs were 0.16 mg/kg (wet) and 0.41 mg/kg (dry), while in Periwinkles values were 0.32 mg/kg (wet) and 0.16 mg/kg (dry). Lead levels were 1.33 mg/kg (wet) and 1.63 mg/kg (dry) in Crabs; 1.04 mg/kg (wet) and 1.24 m</w:t>
            </w:r>
            <w:r w:rsidR="005C3234" w:rsidRPr="002730F6">
              <w:rPr>
                <w:rFonts w:ascii="Arial" w:hAnsi="Arial" w:cs="Arial"/>
                <w:sz w:val="22"/>
                <w:szCs w:val="22"/>
              </w:rPr>
              <w:t xml:space="preserve">g/kg (dry) in Periwinkles. </w:t>
            </w:r>
            <w:r w:rsidR="006332D2" w:rsidRPr="002730F6">
              <w:rPr>
                <w:rFonts w:ascii="Arial" w:hAnsi="Arial" w:cs="Arial"/>
                <w:sz w:val="22"/>
                <w:szCs w:val="22"/>
              </w:rPr>
              <w:t xml:space="preserve">Potential </w:t>
            </w:r>
            <w:r w:rsidR="005C44AE" w:rsidRPr="002730F6">
              <w:rPr>
                <w:rFonts w:ascii="Arial" w:hAnsi="Arial" w:cs="Arial"/>
                <w:i/>
                <w:sz w:val="22"/>
                <w:szCs w:val="22"/>
              </w:rPr>
              <w:t>Vibrio</w:t>
            </w:r>
            <w:r w:rsidR="0050467A" w:rsidRPr="002730F6">
              <w:rPr>
                <w:rFonts w:ascii="Arial" w:hAnsi="Arial" w:cs="Arial"/>
                <w:sz w:val="22"/>
                <w:szCs w:val="22"/>
              </w:rPr>
              <w:t xml:space="preserve"> </w:t>
            </w:r>
            <w:r w:rsidR="006332D2" w:rsidRPr="002730F6">
              <w:rPr>
                <w:rFonts w:ascii="Arial" w:hAnsi="Arial" w:cs="Arial"/>
                <w:sz w:val="22"/>
                <w:szCs w:val="22"/>
              </w:rPr>
              <w:t xml:space="preserve">population </w:t>
            </w:r>
            <w:r w:rsidR="0050467A" w:rsidRPr="002730F6">
              <w:rPr>
                <w:rFonts w:ascii="Arial" w:hAnsi="Arial" w:cs="Arial"/>
                <w:sz w:val="22"/>
                <w:szCs w:val="22"/>
              </w:rPr>
              <w:t xml:space="preserve">in </w:t>
            </w:r>
            <w:r w:rsidR="005C44AE" w:rsidRPr="002730F6">
              <w:rPr>
                <w:rFonts w:ascii="Arial" w:hAnsi="Arial" w:cs="Arial"/>
                <w:sz w:val="22"/>
                <w:szCs w:val="22"/>
              </w:rPr>
              <w:t>Shrimps were 2.0</w:t>
            </w:r>
            <w:r w:rsidR="0050467A" w:rsidRPr="002730F6">
              <w:rPr>
                <w:rFonts w:ascii="Arial" w:hAnsi="Arial" w:cs="Arial"/>
                <w:sz w:val="22"/>
                <w:szCs w:val="22"/>
              </w:rPr>
              <w:t xml:space="preserve"> x 10</w:t>
            </w:r>
            <w:r w:rsidR="005C44AE" w:rsidRPr="002730F6">
              <w:rPr>
                <w:rFonts w:ascii="Arial" w:hAnsi="Arial" w:cs="Arial"/>
                <w:sz w:val="22"/>
                <w:szCs w:val="22"/>
                <w:vertAlign w:val="superscript"/>
              </w:rPr>
              <w:t>4</w:t>
            </w:r>
            <w:r w:rsidR="0050467A" w:rsidRPr="002730F6">
              <w:rPr>
                <w:rFonts w:ascii="Arial" w:hAnsi="Arial" w:cs="Arial"/>
                <w:sz w:val="22"/>
                <w:szCs w:val="22"/>
              </w:rPr>
              <w:t xml:space="preserve"> CFU/g and </w:t>
            </w:r>
            <w:r w:rsidR="005C44AE" w:rsidRPr="002730F6">
              <w:rPr>
                <w:rFonts w:ascii="Arial" w:hAnsi="Arial" w:cs="Arial"/>
                <w:sz w:val="22"/>
                <w:szCs w:val="22"/>
              </w:rPr>
              <w:t xml:space="preserve">potential </w:t>
            </w:r>
            <w:r w:rsidR="0050467A" w:rsidRPr="002730F6">
              <w:rPr>
                <w:rFonts w:ascii="Arial" w:hAnsi="Arial" w:cs="Arial"/>
                <w:i/>
                <w:sz w:val="22"/>
                <w:szCs w:val="22"/>
              </w:rPr>
              <w:t>Salmonella</w:t>
            </w:r>
            <w:r w:rsidR="005C3234" w:rsidRPr="002730F6">
              <w:rPr>
                <w:rFonts w:ascii="Arial" w:hAnsi="Arial" w:cs="Arial"/>
                <w:i/>
                <w:sz w:val="22"/>
                <w:szCs w:val="22"/>
              </w:rPr>
              <w:t>-Shigella</w:t>
            </w:r>
            <w:r w:rsidR="005C44AE" w:rsidRPr="002730F6">
              <w:rPr>
                <w:rFonts w:ascii="Arial" w:hAnsi="Arial" w:cs="Arial"/>
                <w:sz w:val="22"/>
                <w:szCs w:val="22"/>
              </w:rPr>
              <w:t xml:space="preserve"> in Crabs were 1.3</w:t>
            </w:r>
            <w:r w:rsidR="0050467A" w:rsidRPr="002730F6">
              <w:rPr>
                <w:rFonts w:ascii="Arial" w:hAnsi="Arial" w:cs="Arial"/>
                <w:sz w:val="22"/>
                <w:szCs w:val="22"/>
              </w:rPr>
              <w:t xml:space="preserve"> x 10</w:t>
            </w:r>
            <w:r w:rsidR="005C44AE" w:rsidRPr="002730F6">
              <w:rPr>
                <w:rFonts w:ascii="Arial" w:hAnsi="Arial" w:cs="Arial"/>
                <w:sz w:val="22"/>
                <w:szCs w:val="22"/>
                <w:vertAlign w:val="superscript"/>
              </w:rPr>
              <w:t>4</w:t>
            </w:r>
            <w:r w:rsidR="0050467A" w:rsidRPr="002730F6">
              <w:rPr>
                <w:rFonts w:ascii="Arial" w:hAnsi="Arial" w:cs="Arial"/>
                <w:sz w:val="22"/>
                <w:szCs w:val="22"/>
              </w:rPr>
              <w:t>CFU/g</w:t>
            </w:r>
            <w:r w:rsidR="006332D2" w:rsidRPr="002730F6">
              <w:rPr>
                <w:rFonts w:ascii="Arial" w:hAnsi="Arial" w:cs="Arial"/>
                <w:sz w:val="22"/>
                <w:szCs w:val="22"/>
              </w:rPr>
              <w:t xml:space="preserve"> in the wet season</w:t>
            </w:r>
            <w:r w:rsidR="0050467A" w:rsidRPr="002730F6">
              <w:rPr>
                <w:rFonts w:ascii="Arial" w:hAnsi="Arial" w:cs="Arial"/>
                <w:sz w:val="22"/>
                <w:szCs w:val="22"/>
              </w:rPr>
              <w:t xml:space="preserve">, indicating </w:t>
            </w:r>
            <w:proofErr w:type="spellStart"/>
            <w:r w:rsidR="0050467A" w:rsidRPr="002730F6">
              <w:rPr>
                <w:rFonts w:ascii="Arial" w:hAnsi="Arial" w:cs="Arial"/>
                <w:sz w:val="22"/>
                <w:szCs w:val="22"/>
              </w:rPr>
              <w:t>faecal</w:t>
            </w:r>
            <w:proofErr w:type="spellEnd"/>
            <w:r w:rsidR="0050467A" w:rsidRPr="002730F6">
              <w:rPr>
                <w:rFonts w:ascii="Arial" w:hAnsi="Arial" w:cs="Arial"/>
                <w:sz w:val="22"/>
                <w:szCs w:val="22"/>
              </w:rPr>
              <w:t xml:space="preserve"> contamination and associated health risks. Human health risk assessment showed that lead posed the highest risk, with Target Hazard Quotient values exceeding the ref</w:t>
            </w:r>
            <w:r w:rsidR="00494135">
              <w:rPr>
                <w:rFonts w:ascii="Arial" w:hAnsi="Arial" w:cs="Arial"/>
                <w:sz w:val="22"/>
                <w:szCs w:val="22"/>
              </w:rPr>
              <w:t>erence doses in both</w:t>
            </w:r>
            <w:r w:rsidR="0050467A" w:rsidRPr="002730F6">
              <w:rPr>
                <w:rFonts w:ascii="Arial" w:hAnsi="Arial" w:cs="Arial"/>
                <w:sz w:val="22"/>
                <w:szCs w:val="22"/>
              </w:rPr>
              <w:t xml:space="preserve"> seasons for Crabs (wet: 0.224, dry: 0.274) and Periwinkles (wet: 0.121, dry: 0.144). Cadmium posed a risk in Periwinkles (wet: 0.0642, dry: 0.0321) and Crabs (wet: 0.0447, dry: 0.112). However, Estimated Daily I</w:t>
            </w:r>
            <w:r w:rsidR="009669CD" w:rsidRPr="002730F6">
              <w:rPr>
                <w:rFonts w:ascii="Arial" w:hAnsi="Arial" w:cs="Arial"/>
                <w:sz w:val="22"/>
                <w:szCs w:val="22"/>
              </w:rPr>
              <w:t xml:space="preserve">ntake values did not exceed </w:t>
            </w:r>
            <w:r w:rsidR="0050467A" w:rsidRPr="002730F6">
              <w:rPr>
                <w:rFonts w:ascii="Arial" w:hAnsi="Arial" w:cs="Arial"/>
                <w:sz w:val="22"/>
                <w:szCs w:val="22"/>
              </w:rPr>
              <w:t xml:space="preserve">Provisional Tolerable Daily Intake for cadmium or lead, suggesting minimal health risks. </w:t>
            </w:r>
          </w:p>
          <w:p w14:paraId="277C782F" w14:textId="77777777" w:rsidR="00CE02ED" w:rsidRPr="002730F6" w:rsidRDefault="00CE02ED" w:rsidP="007E2EE7">
            <w:pPr>
              <w:jc w:val="both"/>
              <w:rPr>
                <w:rFonts w:ascii="Arial" w:hAnsi="Arial" w:cs="Arial"/>
                <w:sz w:val="22"/>
                <w:szCs w:val="22"/>
              </w:rPr>
            </w:pPr>
            <w:r w:rsidRPr="002730F6">
              <w:rPr>
                <w:rFonts w:ascii="Arial" w:eastAsia="Calibri" w:hAnsi="Arial" w:cs="Arial"/>
                <w:b/>
                <w:bCs/>
                <w:sz w:val="22"/>
                <w:szCs w:val="22"/>
              </w:rPr>
              <w:t>Conclusion:</w:t>
            </w:r>
            <w:r w:rsidR="00E25246" w:rsidRPr="002730F6">
              <w:rPr>
                <w:rFonts w:ascii="Arial" w:eastAsia="Calibri" w:hAnsi="Arial" w:cs="Arial"/>
                <w:sz w:val="22"/>
                <w:szCs w:val="22"/>
              </w:rPr>
              <w:t xml:space="preserve"> </w:t>
            </w:r>
            <w:r w:rsidR="0050467A" w:rsidRPr="002730F6">
              <w:rPr>
                <w:rFonts w:ascii="Arial" w:hAnsi="Arial" w:cs="Arial"/>
                <w:sz w:val="22"/>
                <w:szCs w:val="22"/>
              </w:rPr>
              <w:t>Health Risk Index analysis confirmed negligible health risks associated with cadmium and lead intake from seafood. However, continuous monitoring and mitigation efforts to ensure seafood safety and prot</w:t>
            </w:r>
            <w:r w:rsidR="003D3120" w:rsidRPr="002730F6">
              <w:rPr>
                <w:rFonts w:ascii="Arial" w:hAnsi="Arial" w:cs="Arial"/>
                <w:sz w:val="22"/>
                <w:szCs w:val="22"/>
              </w:rPr>
              <w:t xml:space="preserve">ect public health in </w:t>
            </w:r>
            <w:proofErr w:type="spellStart"/>
            <w:r w:rsidR="003D3120" w:rsidRPr="002730F6">
              <w:rPr>
                <w:rFonts w:ascii="Arial" w:hAnsi="Arial" w:cs="Arial"/>
                <w:sz w:val="22"/>
                <w:szCs w:val="22"/>
              </w:rPr>
              <w:t>Y</w:t>
            </w:r>
            <w:r w:rsidR="000A2AC8" w:rsidRPr="002730F6">
              <w:rPr>
                <w:rFonts w:ascii="Arial" w:hAnsi="Arial" w:cs="Arial"/>
                <w:sz w:val="22"/>
                <w:szCs w:val="22"/>
              </w:rPr>
              <w:t>okri</w:t>
            </w:r>
            <w:proofErr w:type="spellEnd"/>
            <w:r w:rsidR="003D3120" w:rsidRPr="002730F6">
              <w:rPr>
                <w:rFonts w:ascii="Arial" w:hAnsi="Arial" w:cs="Arial"/>
                <w:sz w:val="22"/>
                <w:szCs w:val="22"/>
              </w:rPr>
              <w:t xml:space="preserve"> and its environs,</w:t>
            </w:r>
            <w:r w:rsidR="0050467A" w:rsidRPr="002730F6">
              <w:rPr>
                <w:rFonts w:ascii="Arial" w:hAnsi="Arial" w:cs="Arial"/>
                <w:sz w:val="22"/>
                <w:szCs w:val="22"/>
              </w:rPr>
              <w:t xml:space="preserve"> is vital as findings will serve as warning to local authorities, fishing communities and consumers emphasizing need for sustainable practices in this ecologically vital region.</w:t>
            </w:r>
          </w:p>
        </w:tc>
      </w:tr>
    </w:tbl>
    <w:p w14:paraId="4DABC732" w14:textId="77777777" w:rsidR="00CE02ED" w:rsidRPr="002730F6" w:rsidRDefault="00CE02ED" w:rsidP="00CE02ED">
      <w:pPr>
        <w:pStyle w:val="Body"/>
        <w:spacing w:after="0"/>
        <w:rPr>
          <w:rFonts w:ascii="Arial" w:hAnsi="Arial" w:cs="Arial"/>
          <w:i/>
        </w:rPr>
      </w:pPr>
    </w:p>
    <w:p w14:paraId="5205A074" w14:textId="77777777" w:rsidR="00CE02ED" w:rsidRPr="002730F6" w:rsidRDefault="00937E89" w:rsidP="00CE02ED">
      <w:pPr>
        <w:pStyle w:val="Body"/>
        <w:spacing w:after="0"/>
        <w:rPr>
          <w:rFonts w:ascii="Arial" w:hAnsi="Arial" w:cs="Arial"/>
          <w:i/>
        </w:rPr>
      </w:pPr>
      <w:r w:rsidRPr="002730F6">
        <w:rPr>
          <w:rFonts w:ascii="Arial" w:hAnsi="Arial" w:cs="Arial"/>
          <w:i/>
        </w:rPr>
        <w:t>Keywords:</w:t>
      </w:r>
      <w:r w:rsidR="00B86411" w:rsidRPr="002730F6">
        <w:rPr>
          <w:rFonts w:ascii="Arial" w:hAnsi="Arial" w:cs="Arial"/>
          <w:i/>
        </w:rPr>
        <w:t xml:space="preserve"> Heavy </w:t>
      </w:r>
      <w:r w:rsidRPr="002730F6">
        <w:rPr>
          <w:rFonts w:ascii="Arial" w:hAnsi="Arial" w:cs="Arial"/>
          <w:i/>
        </w:rPr>
        <w:t xml:space="preserve">metals, Marine products, Daily metal intake, </w:t>
      </w:r>
      <w:proofErr w:type="gramStart"/>
      <w:r w:rsidRPr="002730F6">
        <w:rPr>
          <w:rFonts w:ascii="Arial" w:hAnsi="Arial" w:cs="Arial"/>
          <w:i/>
        </w:rPr>
        <w:t>Non- cancer</w:t>
      </w:r>
      <w:proofErr w:type="gramEnd"/>
      <w:r w:rsidRPr="002730F6">
        <w:rPr>
          <w:rFonts w:ascii="Arial" w:hAnsi="Arial" w:cs="Arial"/>
          <w:i/>
        </w:rPr>
        <w:t xml:space="preserve"> risk, Hazard index</w:t>
      </w:r>
    </w:p>
    <w:p w14:paraId="3CE9736F" w14:textId="77777777" w:rsidR="00CE02ED" w:rsidRPr="002730F6" w:rsidRDefault="00CE02ED" w:rsidP="00CE02ED">
      <w:pPr>
        <w:pStyle w:val="Body"/>
        <w:spacing w:after="0"/>
        <w:rPr>
          <w:rFonts w:ascii="Arial" w:hAnsi="Arial" w:cs="Arial"/>
          <w:i/>
        </w:rPr>
      </w:pPr>
    </w:p>
    <w:p w14:paraId="62FE3560" w14:textId="77777777" w:rsidR="00CE02ED" w:rsidRPr="002730F6" w:rsidRDefault="00CE02ED" w:rsidP="00CE02ED">
      <w:pPr>
        <w:pStyle w:val="AbstHead"/>
        <w:spacing w:after="0"/>
        <w:jc w:val="both"/>
        <w:rPr>
          <w:rFonts w:ascii="Arial" w:hAnsi="Arial" w:cs="Arial"/>
        </w:rPr>
      </w:pPr>
      <w:r w:rsidRPr="002730F6">
        <w:rPr>
          <w:rFonts w:ascii="Arial" w:hAnsi="Arial" w:cs="Arial"/>
        </w:rPr>
        <w:t>1. INTRODUCTION</w:t>
      </w:r>
    </w:p>
    <w:p w14:paraId="4D528BBA" w14:textId="77777777" w:rsidR="00CE02ED" w:rsidRPr="002730F6" w:rsidRDefault="00CE02ED" w:rsidP="00CE02ED">
      <w:pPr>
        <w:pStyle w:val="AbstHead"/>
        <w:spacing w:after="0"/>
        <w:jc w:val="both"/>
        <w:rPr>
          <w:rFonts w:ascii="Arial" w:hAnsi="Arial" w:cs="Arial"/>
        </w:rPr>
      </w:pPr>
    </w:p>
    <w:p w14:paraId="72C72EF7" w14:textId="77777777" w:rsidR="00B86411" w:rsidRPr="002730F6" w:rsidRDefault="00B86411" w:rsidP="00B86411">
      <w:pPr>
        <w:spacing w:line="360" w:lineRule="auto"/>
        <w:jc w:val="both"/>
        <w:rPr>
          <w:rFonts w:ascii="Arial" w:hAnsi="Arial" w:cs="Arial"/>
        </w:rPr>
      </w:pPr>
      <w:r w:rsidRPr="002730F6">
        <w:rPr>
          <w:rFonts w:ascii="Arial" w:hAnsi="Arial" w:cs="Arial"/>
        </w:rPr>
        <w:t>The Niger Delta, an expansive wetland region nestled in the southern expanse of Nigeria, stands as a testament to the country's rich biodiversity and flourishin</w:t>
      </w:r>
      <w:r w:rsidR="00487A9B" w:rsidRPr="002730F6">
        <w:rPr>
          <w:rFonts w:ascii="Arial" w:hAnsi="Arial" w:cs="Arial"/>
        </w:rPr>
        <w:t>g fishing industry [1,2]</w:t>
      </w:r>
      <w:r w:rsidRPr="002730F6">
        <w:rPr>
          <w:rFonts w:ascii="Arial" w:hAnsi="Arial" w:cs="Arial"/>
        </w:rPr>
        <w:t xml:space="preserve">. However, beneath this veneer of natural splendor lies a </w:t>
      </w:r>
      <w:r w:rsidRPr="002730F6">
        <w:rPr>
          <w:rFonts w:ascii="Arial" w:hAnsi="Arial" w:cs="Arial"/>
        </w:rPr>
        <w:lastRenderedPageBreak/>
        <w:t>pressing concern fueled by ongoing</w:t>
      </w:r>
      <w:r w:rsidR="00487A9B" w:rsidRPr="002730F6">
        <w:rPr>
          <w:rFonts w:ascii="Arial" w:hAnsi="Arial" w:cs="Arial"/>
        </w:rPr>
        <w:t xml:space="preserve"> oil exploration endeavors [3]</w:t>
      </w:r>
      <w:r w:rsidRPr="002730F6">
        <w:rPr>
          <w:rFonts w:ascii="Arial" w:hAnsi="Arial" w:cs="Arial"/>
        </w:rPr>
        <w:t>. These activities, though crucial for economic growth, pose significant threats to the delicate ecological balance of the Niger Delta. With oil extraction, comes the looming specter of environmental degradation, manifesting in the form of heavy metal contamination and the proliferation of pathogenic microorganisms within aq</w:t>
      </w:r>
      <w:r w:rsidR="00487A9B" w:rsidRPr="002730F6">
        <w:rPr>
          <w:rFonts w:ascii="Arial" w:hAnsi="Arial" w:cs="Arial"/>
        </w:rPr>
        <w:t>uatic ecosystems [4,5]</w:t>
      </w:r>
      <w:r w:rsidRPr="002730F6">
        <w:rPr>
          <w:rFonts w:ascii="Arial" w:hAnsi="Arial" w:cs="Arial"/>
        </w:rPr>
        <w:t>.</w:t>
      </w:r>
    </w:p>
    <w:p w14:paraId="5E61B61C" w14:textId="77777777" w:rsidR="00B86411" w:rsidRPr="002730F6" w:rsidRDefault="00B86411" w:rsidP="00B86411">
      <w:pPr>
        <w:spacing w:line="360" w:lineRule="auto"/>
        <w:jc w:val="both"/>
        <w:rPr>
          <w:rFonts w:ascii="Arial" w:hAnsi="Arial" w:cs="Arial"/>
        </w:rPr>
      </w:pPr>
      <w:r w:rsidRPr="002730F6">
        <w:rPr>
          <w:rFonts w:ascii="Arial" w:hAnsi="Arial" w:cs="Arial"/>
        </w:rPr>
        <w:t>Freshwater and marine ecosystems within the Niger Delta are vulnerable to oil spills, pipeline leaks, and wastewater discharge from oil</w:t>
      </w:r>
      <w:r w:rsidR="00487A9B" w:rsidRPr="002730F6">
        <w:rPr>
          <w:rFonts w:ascii="Arial" w:hAnsi="Arial" w:cs="Arial"/>
        </w:rPr>
        <w:t xml:space="preserve"> exploration activities [6,7]</w:t>
      </w:r>
      <w:r w:rsidRPr="002730F6">
        <w:rPr>
          <w:rFonts w:ascii="Arial" w:hAnsi="Arial" w:cs="Arial"/>
        </w:rPr>
        <w:t>. These events can introduce a range of contaminants, including heavy metals like lead, cadmium, and mercury, into the aquatic env</w:t>
      </w:r>
      <w:r w:rsidR="00487A9B" w:rsidRPr="002730F6">
        <w:rPr>
          <w:rFonts w:ascii="Arial" w:hAnsi="Arial" w:cs="Arial"/>
        </w:rPr>
        <w:t>ironment [8,9]</w:t>
      </w:r>
      <w:r w:rsidRPr="002730F6">
        <w:rPr>
          <w:rFonts w:ascii="Arial" w:hAnsi="Arial" w:cs="Arial"/>
        </w:rPr>
        <w:t>. These metals can bioaccumulate in the bodies of fish and shellfish, ultimately reaching consumers th</w:t>
      </w:r>
      <w:r w:rsidR="00487A9B" w:rsidRPr="002730F6">
        <w:rPr>
          <w:rFonts w:ascii="Arial" w:hAnsi="Arial" w:cs="Arial"/>
        </w:rPr>
        <w:t>rough the food chain [10,11]</w:t>
      </w:r>
      <w:r w:rsidRPr="002730F6">
        <w:rPr>
          <w:rFonts w:ascii="Arial" w:hAnsi="Arial" w:cs="Arial"/>
        </w:rPr>
        <w:t xml:space="preserve">. Similarly, oil exploration practices may increase the presence of harmful bacteria like </w:t>
      </w:r>
      <w:r w:rsidRPr="002730F6">
        <w:rPr>
          <w:rFonts w:ascii="Arial" w:hAnsi="Arial" w:cs="Arial"/>
          <w:i/>
        </w:rPr>
        <w:t>Escherichia coli</w:t>
      </w:r>
      <w:r w:rsidRPr="002730F6">
        <w:rPr>
          <w:rFonts w:ascii="Arial" w:hAnsi="Arial" w:cs="Arial"/>
        </w:rPr>
        <w:t xml:space="preserve"> and </w:t>
      </w:r>
      <w:r w:rsidRPr="002730F6">
        <w:rPr>
          <w:rFonts w:ascii="Arial" w:hAnsi="Arial" w:cs="Arial"/>
          <w:i/>
        </w:rPr>
        <w:t>Salmonella</w:t>
      </w:r>
      <w:r w:rsidRPr="002730F6">
        <w:rPr>
          <w:rFonts w:ascii="Arial" w:hAnsi="Arial" w:cs="Arial"/>
        </w:rPr>
        <w:t xml:space="preserve"> in the water, leading to the contamination of </w:t>
      </w:r>
      <w:r w:rsidR="00487A9B" w:rsidRPr="002730F6">
        <w:rPr>
          <w:rFonts w:ascii="Arial" w:hAnsi="Arial" w:cs="Arial"/>
        </w:rPr>
        <w:t>seafood with these pathogens [12,13,14]</w:t>
      </w:r>
      <w:r w:rsidRPr="002730F6">
        <w:rPr>
          <w:rFonts w:ascii="Arial" w:hAnsi="Arial" w:cs="Arial"/>
        </w:rPr>
        <w:t>.</w:t>
      </w:r>
    </w:p>
    <w:p w14:paraId="65943E17" w14:textId="77777777" w:rsidR="00B86411" w:rsidRPr="002730F6" w:rsidRDefault="00B86411" w:rsidP="00B86411">
      <w:pPr>
        <w:spacing w:line="360" w:lineRule="auto"/>
        <w:jc w:val="both"/>
        <w:rPr>
          <w:rFonts w:ascii="Arial" w:hAnsi="Arial" w:cs="Arial"/>
        </w:rPr>
      </w:pPr>
      <w:r w:rsidRPr="002730F6">
        <w:rPr>
          <w:rFonts w:ascii="Arial" w:hAnsi="Arial" w:cs="Arial"/>
        </w:rPr>
        <w:t>Previous studies have documented the presence of elevated heavy metal concentrations in various environmental components of the Niger Delta, including sediments and aquatic biota, linked to oil ex</w:t>
      </w:r>
      <w:r w:rsidR="00487A9B" w:rsidRPr="002730F6">
        <w:rPr>
          <w:rFonts w:ascii="Arial" w:hAnsi="Arial" w:cs="Arial"/>
        </w:rPr>
        <w:t>ploration activities [15,16]</w:t>
      </w:r>
      <w:r w:rsidR="00F318C0" w:rsidRPr="002730F6">
        <w:rPr>
          <w:rFonts w:ascii="Arial" w:hAnsi="Arial" w:cs="Arial"/>
        </w:rPr>
        <w:t>. I</w:t>
      </w:r>
      <w:r w:rsidR="00D16783" w:rsidRPr="002730F6">
        <w:rPr>
          <w:rFonts w:ascii="Arial" w:hAnsi="Arial" w:cs="Arial"/>
        </w:rPr>
        <w:t xml:space="preserve">t has </w:t>
      </w:r>
      <w:r w:rsidR="00F318C0" w:rsidRPr="002730F6">
        <w:rPr>
          <w:rFonts w:ascii="Arial" w:hAnsi="Arial" w:cs="Arial"/>
        </w:rPr>
        <w:t>been</w:t>
      </w:r>
      <w:r w:rsidR="00D16783" w:rsidRPr="002730F6">
        <w:rPr>
          <w:rFonts w:ascii="Arial" w:hAnsi="Arial" w:cs="Arial"/>
        </w:rPr>
        <w:t xml:space="preserve"> </w:t>
      </w:r>
      <w:r w:rsidR="00F318C0" w:rsidRPr="002730F6">
        <w:rPr>
          <w:rFonts w:ascii="Arial" w:hAnsi="Arial" w:cs="Arial"/>
        </w:rPr>
        <w:t xml:space="preserve">reported </w:t>
      </w:r>
      <w:r w:rsidR="00D16783" w:rsidRPr="002730F6">
        <w:rPr>
          <w:rFonts w:ascii="Arial" w:hAnsi="Arial" w:cs="Arial"/>
        </w:rPr>
        <w:t xml:space="preserve">that </w:t>
      </w:r>
      <w:r w:rsidR="00F318C0" w:rsidRPr="002730F6">
        <w:rPr>
          <w:rFonts w:ascii="Arial" w:hAnsi="Arial" w:cs="Arial"/>
        </w:rPr>
        <w:t>during</w:t>
      </w:r>
      <w:r w:rsidR="00D16783" w:rsidRPr="002730F6">
        <w:rPr>
          <w:rFonts w:ascii="Arial" w:hAnsi="Arial" w:cs="Arial"/>
        </w:rPr>
        <w:t xml:space="preserve"> the dry </w:t>
      </w:r>
      <w:r w:rsidR="00F318C0" w:rsidRPr="002730F6">
        <w:rPr>
          <w:rFonts w:ascii="Arial" w:hAnsi="Arial" w:cs="Arial"/>
        </w:rPr>
        <w:t>season</w:t>
      </w:r>
      <w:r w:rsidR="005827EA" w:rsidRPr="002730F6">
        <w:rPr>
          <w:rFonts w:ascii="Arial" w:hAnsi="Arial" w:cs="Arial"/>
        </w:rPr>
        <w:t>,</w:t>
      </w:r>
      <w:r w:rsidR="00D16783" w:rsidRPr="002730F6">
        <w:rPr>
          <w:rFonts w:ascii="Arial" w:hAnsi="Arial" w:cs="Arial"/>
        </w:rPr>
        <w:t xml:space="preserve"> the</w:t>
      </w:r>
      <w:r w:rsidR="00F318C0" w:rsidRPr="002730F6">
        <w:rPr>
          <w:rFonts w:ascii="Arial" w:hAnsi="Arial" w:cs="Arial"/>
        </w:rPr>
        <w:t>re is increased physiological activity by the aquatic biota as well as higher exploration rates</w:t>
      </w:r>
      <w:r w:rsidR="005827EA" w:rsidRPr="002730F6">
        <w:rPr>
          <w:rFonts w:ascii="Arial" w:hAnsi="Arial" w:cs="Arial"/>
        </w:rPr>
        <w:t>, hence, the increased concentrations of heavy metals in the shellfish</w:t>
      </w:r>
      <w:r w:rsidR="00CF36B6" w:rsidRPr="002730F6">
        <w:rPr>
          <w:rFonts w:ascii="Arial" w:hAnsi="Arial" w:cs="Arial"/>
        </w:rPr>
        <w:t xml:space="preserve"> [</w:t>
      </w:r>
      <w:r w:rsidR="00217EEB" w:rsidRPr="002730F6">
        <w:rPr>
          <w:rFonts w:ascii="Arial" w:hAnsi="Arial" w:cs="Arial"/>
        </w:rPr>
        <w:t>17</w:t>
      </w:r>
      <w:r w:rsidR="00CF36B6" w:rsidRPr="002730F6">
        <w:rPr>
          <w:rFonts w:ascii="Arial" w:hAnsi="Arial" w:cs="Arial"/>
        </w:rPr>
        <w:t>]</w:t>
      </w:r>
      <w:r w:rsidR="00F318C0" w:rsidRPr="002730F6">
        <w:rPr>
          <w:rFonts w:ascii="Arial" w:hAnsi="Arial" w:cs="Arial"/>
        </w:rPr>
        <w:t>.</w:t>
      </w:r>
      <w:r w:rsidR="00D16783" w:rsidRPr="002730F6">
        <w:rPr>
          <w:rFonts w:ascii="Arial" w:hAnsi="Arial" w:cs="Arial"/>
        </w:rPr>
        <w:t xml:space="preserve"> </w:t>
      </w:r>
      <w:r w:rsidRPr="002730F6">
        <w:rPr>
          <w:rFonts w:ascii="Arial" w:hAnsi="Arial" w:cs="Arial"/>
        </w:rPr>
        <w:t xml:space="preserve"> Research suggests these contaminants can bioaccumulate in fish and shellfish, raising concerns about human health risks associated w</w:t>
      </w:r>
      <w:r w:rsidR="00333FD2" w:rsidRPr="002730F6">
        <w:rPr>
          <w:rFonts w:ascii="Arial" w:hAnsi="Arial" w:cs="Arial"/>
        </w:rPr>
        <w:t xml:space="preserve">ith </w:t>
      </w:r>
      <w:r w:rsidR="00217EEB" w:rsidRPr="002730F6">
        <w:rPr>
          <w:rFonts w:ascii="Arial" w:hAnsi="Arial" w:cs="Arial"/>
        </w:rPr>
        <w:t>seafood consumption [18,19</w:t>
      </w:r>
      <w:r w:rsidR="00333FD2" w:rsidRPr="002730F6">
        <w:rPr>
          <w:rFonts w:ascii="Arial" w:hAnsi="Arial" w:cs="Arial"/>
        </w:rPr>
        <w:t>]</w:t>
      </w:r>
      <w:r w:rsidRPr="002730F6">
        <w:rPr>
          <w:rFonts w:ascii="Arial" w:hAnsi="Arial" w:cs="Arial"/>
        </w:rPr>
        <w:t xml:space="preserve">. Additionally, studies have identified increased levels of </w:t>
      </w:r>
      <w:proofErr w:type="spellStart"/>
      <w:r w:rsidRPr="002730F6">
        <w:rPr>
          <w:rFonts w:ascii="Arial" w:hAnsi="Arial" w:cs="Arial"/>
        </w:rPr>
        <w:t>faecal</w:t>
      </w:r>
      <w:proofErr w:type="spellEnd"/>
      <w:r w:rsidRPr="002730F6">
        <w:rPr>
          <w:rFonts w:ascii="Arial" w:hAnsi="Arial" w:cs="Arial"/>
        </w:rPr>
        <w:t xml:space="preserve"> coliform bacteria in waterways near oil exploration sites, potentially leading to the contamination of seafood with pathogenic m</w:t>
      </w:r>
      <w:r w:rsidR="00217EEB" w:rsidRPr="002730F6">
        <w:rPr>
          <w:rFonts w:ascii="Arial" w:hAnsi="Arial" w:cs="Arial"/>
        </w:rPr>
        <w:t>icroorganisms [</w:t>
      </w:r>
      <w:r w:rsidR="00333FD2" w:rsidRPr="002730F6">
        <w:rPr>
          <w:rFonts w:ascii="Arial" w:hAnsi="Arial" w:cs="Arial"/>
        </w:rPr>
        <w:t>20</w:t>
      </w:r>
      <w:r w:rsidR="00217EEB" w:rsidRPr="002730F6">
        <w:rPr>
          <w:rFonts w:ascii="Arial" w:hAnsi="Arial" w:cs="Arial"/>
        </w:rPr>
        <w:t>,21</w:t>
      </w:r>
      <w:r w:rsidR="00333FD2" w:rsidRPr="002730F6">
        <w:rPr>
          <w:rFonts w:ascii="Arial" w:hAnsi="Arial" w:cs="Arial"/>
        </w:rPr>
        <w:t>]</w:t>
      </w:r>
      <w:r w:rsidRPr="002730F6">
        <w:rPr>
          <w:rFonts w:ascii="Arial" w:hAnsi="Arial" w:cs="Arial"/>
        </w:rPr>
        <w:t xml:space="preserve">. However, limited data exists on the combined health risk assessment specifically considering both heavy metal contamination and microbiological hazards in seafood from the Niger Delta. </w:t>
      </w:r>
    </w:p>
    <w:p w14:paraId="031EE41B" w14:textId="77777777" w:rsidR="00B86411" w:rsidRPr="002730F6" w:rsidRDefault="00B86411" w:rsidP="00B86411">
      <w:pPr>
        <w:spacing w:line="360" w:lineRule="auto"/>
        <w:jc w:val="both"/>
        <w:rPr>
          <w:rFonts w:ascii="Arial" w:hAnsi="Arial" w:cs="Arial"/>
        </w:rPr>
      </w:pPr>
      <w:r w:rsidRPr="002730F6">
        <w:rPr>
          <w:rFonts w:ascii="Arial" w:hAnsi="Arial" w:cs="Arial"/>
        </w:rPr>
        <w:t>Understanding the ecological risks associated with consuming contaminated seafood is crucial for safeguarding public health and the integrity of the Niger Delta ecosystem</w:t>
      </w:r>
      <w:r w:rsidR="00217EEB" w:rsidRPr="002730F6">
        <w:rPr>
          <w:rFonts w:ascii="Arial" w:hAnsi="Arial" w:cs="Arial"/>
        </w:rPr>
        <w:t xml:space="preserve"> [22,23</w:t>
      </w:r>
      <w:r w:rsidR="00333FD2" w:rsidRPr="002730F6">
        <w:rPr>
          <w:rFonts w:ascii="Arial" w:hAnsi="Arial" w:cs="Arial"/>
        </w:rPr>
        <w:t>]</w:t>
      </w:r>
      <w:r w:rsidRPr="002730F6">
        <w:rPr>
          <w:rFonts w:ascii="Arial" w:hAnsi="Arial" w:cs="Arial"/>
        </w:rPr>
        <w:t>. This report will contribute valuable information to inform local autho</w:t>
      </w:r>
      <w:r w:rsidR="008576BD" w:rsidRPr="002730F6">
        <w:rPr>
          <w:rFonts w:ascii="Arial" w:hAnsi="Arial" w:cs="Arial"/>
        </w:rPr>
        <w:t>rities, fishing communities and consumers</w:t>
      </w:r>
      <w:r w:rsidRPr="002730F6">
        <w:rPr>
          <w:rFonts w:ascii="Arial" w:hAnsi="Arial" w:cs="Arial"/>
        </w:rPr>
        <w:t xml:space="preserve"> about </w:t>
      </w:r>
      <w:r w:rsidR="00DF2BB2" w:rsidRPr="002730F6">
        <w:rPr>
          <w:rFonts w:ascii="Arial" w:hAnsi="Arial" w:cs="Arial"/>
        </w:rPr>
        <w:t xml:space="preserve">the </w:t>
      </w:r>
      <w:r w:rsidRPr="002730F6">
        <w:rPr>
          <w:rFonts w:ascii="Arial" w:hAnsi="Arial" w:cs="Arial"/>
        </w:rPr>
        <w:t>potential risks and recommend mitigation strategies to ensure a sustainable future for this ecologically vital region.</w:t>
      </w:r>
    </w:p>
    <w:p w14:paraId="53219AED" w14:textId="77777777" w:rsidR="00B86411" w:rsidRPr="002730F6" w:rsidRDefault="00B86411" w:rsidP="00B86411">
      <w:pPr>
        <w:spacing w:line="360" w:lineRule="auto"/>
        <w:jc w:val="both"/>
        <w:rPr>
          <w:rFonts w:ascii="Arial" w:hAnsi="Arial" w:cs="Arial"/>
        </w:rPr>
      </w:pPr>
      <w:r w:rsidRPr="002730F6">
        <w:rPr>
          <w:rFonts w:ascii="Arial" w:hAnsi="Arial" w:cs="Arial"/>
        </w:rPr>
        <w:t xml:space="preserve">This study evaluated the health risks associated with the consumption of seafood harvested near oil exploration sites in the Niger Delta. We will employ the framework established by the United States Environmental Protection Agency (USEPA) for </w:t>
      </w:r>
      <w:r w:rsidR="00937E89" w:rsidRPr="002730F6">
        <w:rPr>
          <w:rFonts w:ascii="Arial" w:hAnsi="Arial" w:cs="Arial"/>
        </w:rPr>
        <w:t>ecological risk assessment. A</w:t>
      </w:r>
      <w:r w:rsidRPr="002730F6">
        <w:rPr>
          <w:rFonts w:ascii="Arial" w:hAnsi="Arial" w:cs="Arial"/>
        </w:rPr>
        <w:t>nalyzing seafood samples for heavy metal concentrations and microbial contamination, we can identify potential ecological hazards posed by the consumption of these resources.</w:t>
      </w:r>
    </w:p>
    <w:p w14:paraId="4B415C01" w14:textId="77777777" w:rsidR="00CE02ED" w:rsidRPr="002730F6" w:rsidRDefault="00CE02ED" w:rsidP="00CE02ED">
      <w:pPr>
        <w:pStyle w:val="Body"/>
        <w:spacing w:after="0"/>
        <w:rPr>
          <w:rFonts w:ascii="Arial" w:hAnsi="Arial" w:cs="Arial"/>
        </w:rPr>
      </w:pPr>
    </w:p>
    <w:p w14:paraId="25735E0B" w14:textId="77777777" w:rsidR="00CE02ED" w:rsidRPr="002730F6" w:rsidRDefault="00CE02ED" w:rsidP="00CE02ED">
      <w:pPr>
        <w:pStyle w:val="AbstHead"/>
        <w:spacing w:after="0"/>
        <w:jc w:val="both"/>
        <w:rPr>
          <w:rFonts w:ascii="Arial" w:hAnsi="Arial" w:cs="Arial"/>
          <w:szCs w:val="22"/>
        </w:rPr>
      </w:pPr>
      <w:r w:rsidRPr="002730F6">
        <w:rPr>
          <w:rFonts w:ascii="Arial" w:hAnsi="Arial" w:cs="Arial"/>
          <w:szCs w:val="22"/>
        </w:rPr>
        <w:t>2. material</w:t>
      </w:r>
      <w:r w:rsidR="00B86411" w:rsidRPr="002730F6">
        <w:rPr>
          <w:rFonts w:ascii="Arial" w:hAnsi="Arial" w:cs="Arial"/>
          <w:szCs w:val="22"/>
        </w:rPr>
        <w:t>S</w:t>
      </w:r>
      <w:r w:rsidRPr="002730F6">
        <w:rPr>
          <w:rFonts w:ascii="Arial" w:hAnsi="Arial" w:cs="Arial"/>
          <w:szCs w:val="22"/>
        </w:rPr>
        <w:t xml:space="preserve"> and method</w:t>
      </w:r>
    </w:p>
    <w:p w14:paraId="55EB9101" w14:textId="77777777" w:rsidR="003928DD" w:rsidRPr="002730F6" w:rsidRDefault="003928DD" w:rsidP="003928DD">
      <w:pPr>
        <w:spacing w:line="360" w:lineRule="auto"/>
        <w:jc w:val="both"/>
        <w:rPr>
          <w:rFonts w:ascii="Arial" w:hAnsi="Arial" w:cs="Arial"/>
          <w:b/>
          <w:bCs/>
          <w:sz w:val="22"/>
          <w:szCs w:val="22"/>
        </w:rPr>
      </w:pPr>
      <w:r w:rsidRPr="002730F6">
        <w:rPr>
          <w:rFonts w:ascii="Arial" w:hAnsi="Arial" w:cs="Arial"/>
          <w:b/>
          <w:bCs/>
          <w:sz w:val="22"/>
          <w:szCs w:val="22"/>
        </w:rPr>
        <w:t>2.1 Sample Collection</w:t>
      </w:r>
    </w:p>
    <w:p w14:paraId="4926B85E" w14:textId="77777777" w:rsidR="003928DD" w:rsidRPr="002730F6" w:rsidRDefault="00E57624" w:rsidP="003928DD">
      <w:pPr>
        <w:spacing w:line="360" w:lineRule="auto"/>
        <w:jc w:val="both"/>
        <w:rPr>
          <w:rFonts w:ascii="Arial" w:hAnsi="Arial" w:cs="Arial"/>
        </w:rPr>
      </w:pPr>
      <w:r w:rsidRPr="002730F6">
        <w:rPr>
          <w:rFonts w:ascii="Arial" w:hAnsi="Arial" w:cs="Arial"/>
        </w:rPr>
        <w:t>Seafood samples (Crabs, Shrimps</w:t>
      </w:r>
      <w:r w:rsidR="003928DD" w:rsidRPr="002730F6">
        <w:rPr>
          <w:rFonts w:ascii="Arial" w:hAnsi="Arial" w:cs="Arial"/>
        </w:rPr>
        <w:t xml:space="preserve"> and Periwinkles) were procured from the Ogbe-</w:t>
      </w:r>
      <w:proofErr w:type="spellStart"/>
      <w:r w:rsidR="003928DD" w:rsidRPr="002730F6">
        <w:rPr>
          <w:rFonts w:ascii="Arial" w:hAnsi="Arial" w:cs="Arial"/>
        </w:rPr>
        <w:t>Ijoh</w:t>
      </w:r>
      <w:proofErr w:type="spellEnd"/>
      <w:r w:rsidR="003928DD" w:rsidRPr="002730F6">
        <w:rPr>
          <w:rFonts w:ascii="Arial" w:hAnsi="Arial" w:cs="Arial"/>
        </w:rPr>
        <w:t xml:space="preserve"> Market in Warri, Delta State, Nigeria, on September 26</w:t>
      </w:r>
      <w:r w:rsidR="003928DD" w:rsidRPr="002730F6">
        <w:rPr>
          <w:rFonts w:ascii="Arial" w:hAnsi="Arial" w:cs="Arial"/>
          <w:vertAlign w:val="superscript"/>
        </w:rPr>
        <w:t>th</w:t>
      </w:r>
      <w:r w:rsidR="003928DD" w:rsidRPr="002730F6">
        <w:rPr>
          <w:rFonts w:ascii="Arial" w:hAnsi="Arial" w:cs="Arial"/>
        </w:rPr>
        <w:t>, 2023, representing the wet season samples, while dry season samples were collected on the 19</w:t>
      </w:r>
      <w:r w:rsidR="003928DD" w:rsidRPr="002730F6">
        <w:rPr>
          <w:rFonts w:ascii="Arial" w:hAnsi="Arial" w:cs="Arial"/>
          <w:vertAlign w:val="superscript"/>
        </w:rPr>
        <w:t>th</w:t>
      </w:r>
      <w:r w:rsidR="003928DD" w:rsidRPr="002730F6">
        <w:rPr>
          <w:rFonts w:ascii="Arial" w:hAnsi="Arial" w:cs="Arial"/>
        </w:rPr>
        <w:t xml:space="preserve"> of March 2024. The origin of these samples was traced through vendor interviews, indicating that they were sourced from fishermen operating in </w:t>
      </w:r>
      <w:proofErr w:type="spellStart"/>
      <w:r w:rsidR="003928DD" w:rsidRPr="002730F6">
        <w:rPr>
          <w:rFonts w:ascii="Arial" w:hAnsi="Arial" w:cs="Arial"/>
        </w:rPr>
        <w:t>Yokri</w:t>
      </w:r>
      <w:proofErr w:type="spellEnd"/>
      <w:r w:rsidR="003928DD" w:rsidRPr="002730F6">
        <w:rPr>
          <w:rFonts w:ascii="Arial" w:hAnsi="Arial" w:cs="Arial"/>
        </w:rPr>
        <w:t>, an area known for its association with ongoing oil exploration activities conducted by Shell Petroleum Development Company (SPDC).</w:t>
      </w:r>
    </w:p>
    <w:p w14:paraId="6D7BC24A" w14:textId="77777777" w:rsidR="003928DD" w:rsidRPr="002730F6" w:rsidRDefault="003928DD" w:rsidP="003928DD">
      <w:pPr>
        <w:spacing w:line="360" w:lineRule="auto"/>
        <w:jc w:val="both"/>
        <w:rPr>
          <w:rFonts w:ascii="Arial" w:hAnsi="Arial" w:cs="Arial"/>
          <w:b/>
          <w:bCs/>
          <w:sz w:val="22"/>
          <w:szCs w:val="22"/>
        </w:rPr>
      </w:pPr>
      <w:r w:rsidRPr="002730F6">
        <w:rPr>
          <w:rFonts w:ascii="Arial" w:hAnsi="Arial" w:cs="Arial"/>
          <w:b/>
          <w:bCs/>
          <w:sz w:val="22"/>
          <w:szCs w:val="22"/>
        </w:rPr>
        <w:t>2.2 Preparation of Samples</w:t>
      </w:r>
    </w:p>
    <w:p w14:paraId="3FD99069" w14:textId="77777777" w:rsidR="003928DD" w:rsidRPr="002730F6" w:rsidRDefault="003928DD" w:rsidP="003928DD">
      <w:pPr>
        <w:spacing w:line="360" w:lineRule="auto"/>
        <w:jc w:val="both"/>
        <w:rPr>
          <w:rFonts w:ascii="Arial" w:hAnsi="Arial" w:cs="Arial"/>
        </w:rPr>
      </w:pPr>
      <w:r w:rsidRPr="002730F6">
        <w:rPr>
          <w:rFonts w:ascii="Arial" w:hAnsi="Arial" w:cs="Arial"/>
        </w:rPr>
        <w:t>The met</w:t>
      </w:r>
      <w:r w:rsidR="00217EEB" w:rsidRPr="002730F6">
        <w:rPr>
          <w:rFonts w:ascii="Arial" w:hAnsi="Arial" w:cs="Arial"/>
        </w:rPr>
        <w:t>hod of Esteves and Anibal [24</w:t>
      </w:r>
      <w:r w:rsidR="008C476B" w:rsidRPr="002730F6">
        <w:rPr>
          <w:rFonts w:ascii="Arial" w:hAnsi="Arial" w:cs="Arial"/>
        </w:rPr>
        <w:t>]</w:t>
      </w:r>
      <w:r w:rsidRPr="002730F6">
        <w:rPr>
          <w:rFonts w:ascii="Arial" w:hAnsi="Arial" w:cs="Arial"/>
        </w:rPr>
        <w:t xml:space="preserve"> was adopted with slight modifications. The preparation of samples involved several steps to ensure the integrity of the analysis. Firstly, each seafood sample, including Crabs, Shrimps, and Periwinkles, underwent a thorough rinsing process with deionized water to eliminate any potential surface contaminants</w:t>
      </w:r>
      <w:r w:rsidR="00DF2BB2" w:rsidRPr="002730F6">
        <w:rPr>
          <w:rFonts w:ascii="Arial" w:hAnsi="Arial" w:cs="Arial"/>
        </w:rPr>
        <w:t xml:space="preserve"> (sand, sediment and dirt)</w:t>
      </w:r>
      <w:r w:rsidR="003931A7" w:rsidRPr="002730F6">
        <w:rPr>
          <w:rFonts w:ascii="Arial" w:hAnsi="Arial" w:cs="Arial"/>
        </w:rPr>
        <w:t xml:space="preserve"> for chemical analysis</w:t>
      </w:r>
      <w:r w:rsidR="000A2AC8" w:rsidRPr="002730F6">
        <w:rPr>
          <w:rFonts w:ascii="Arial" w:hAnsi="Arial" w:cs="Arial"/>
        </w:rPr>
        <w:t xml:space="preserve"> only</w:t>
      </w:r>
      <w:r w:rsidRPr="002730F6">
        <w:rPr>
          <w:rFonts w:ascii="Arial" w:hAnsi="Arial" w:cs="Arial"/>
        </w:rPr>
        <w:t>. Subsequently, the samples were carefully dissected or shelled to obtain representative portions for further analysis.</w:t>
      </w:r>
    </w:p>
    <w:p w14:paraId="1885EBFB" w14:textId="77777777" w:rsidR="000A2AC8" w:rsidRPr="002730F6" w:rsidRDefault="003928DD" w:rsidP="003928DD">
      <w:pPr>
        <w:spacing w:line="360" w:lineRule="auto"/>
        <w:jc w:val="both"/>
        <w:rPr>
          <w:rFonts w:ascii="Arial" w:hAnsi="Arial" w:cs="Arial"/>
        </w:rPr>
      </w:pPr>
      <w:r w:rsidRPr="002730F6">
        <w:rPr>
          <w:rFonts w:ascii="Arial" w:hAnsi="Arial" w:cs="Arial"/>
        </w:rPr>
        <w:lastRenderedPageBreak/>
        <w:t>Following dissection, each portion was precisely weighed and then transferred into clean, labeled containers to maintain traceability and prevent cross-contamination. To ensure the homogeneity of the samples, each seafood type was divided into three representative subsamples. These subsamples were then homogenized using a mortar and pestle to create a uniform sample.</w:t>
      </w:r>
      <w:r w:rsidR="000A2AC8" w:rsidRPr="002730F6">
        <w:rPr>
          <w:rFonts w:ascii="Arial" w:hAnsi="Arial" w:cs="Arial"/>
        </w:rPr>
        <w:t xml:space="preserve"> </w:t>
      </w:r>
      <w:r w:rsidRPr="002730F6">
        <w:rPr>
          <w:rFonts w:ascii="Arial" w:hAnsi="Arial" w:cs="Arial"/>
        </w:rPr>
        <w:t xml:space="preserve">Special care was taken during the transfer process to minimize the risk of contamination. </w:t>
      </w:r>
    </w:p>
    <w:p w14:paraId="64BABBDF" w14:textId="77777777" w:rsidR="003928DD" w:rsidRPr="002730F6" w:rsidRDefault="003928DD" w:rsidP="003928DD">
      <w:pPr>
        <w:spacing w:line="360" w:lineRule="auto"/>
        <w:jc w:val="both"/>
        <w:rPr>
          <w:rFonts w:ascii="Arial" w:hAnsi="Arial" w:cs="Arial"/>
        </w:rPr>
      </w:pPr>
      <w:r w:rsidRPr="002730F6">
        <w:rPr>
          <w:rFonts w:ascii="Arial" w:hAnsi="Arial" w:cs="Arial"/>
        </w:rPr>
        <w:t>Aseptic techniques, including the use of sterilized tools and equipment, were employe</w:t>
      </w:r>
      <w:r w:rsidR="000A2AC8" w:rsidRPr="002730F6">
        <w:rPr>
          <w:rFonts w:ascii="Arial" w:hAnsi="Arial" w:cs="Arial"/>
        </w:rPr>
        <w:t xml:space="preserve">d to handle and transfer the </w:t>
      </w:r>
      <w:r w:rsidRPr="002730F6">
        <w:rPr>
          <w:rFonts w:ascii="Arial" w:hAnsi="Arial" w:cs="Arial"/>
        </w:rPr>
        <w:t>samples</w:t>
      </w:r>
      <w:r w:rsidR="000A2AC8" w:rsidRPr="002730F6">
        <w:rPr>
          <w:rFonts w:ascii="Arial" w:hAnsi="Arial" w:cs="Arial"/>
        </w:rPr>
        <w:t xml:space="preserve"> during microbiological analysis</w:t>
      </w:r>
      <w:r w:rsidRPr="002730F6">
        <w:rPr>
          <w:rFonts w:ascii="Arial" w:hAnsi="Arial" w:cs="Arial"/>
        </w:rPr>
        <w:t>. These measures were implemented to uphold the accuracy and reliability of the subsequent analytical procedures.</w:t>
      </w:r>
    </w:p>
    <w:p w14:paraId="6AC642FC" w14:textId="77777777" w:rsidR="003928DD" w:rsidRPr="002730F6" w:rsidRDefault="003928DD" w:rsidP="003928DD">
      <w:pPr>
        <w:spacing w:line="360" w:lineRule="auto"/>
        <w:jc w:val="both"/>
        <w:rPr>
          <w:rFonts w:ascii="Arial" w:hAnsi="Arial" w:cs="Arial"/>
          <w:b/>
          <w:bCs/>
          <w:sz w:val="22"/>
          <w:szCs w:val="22"/>
        </w:rPr>
      </w:pPr>
      <w:r w:rsidRPr="002730F6">
        <w:rPr>
          <w:rFonts w:ascii="Arial" w:hAnsi="Arial" w:cs="Arial"/>
          <w:b/>
          <w:bCs/>
          <w:sz w:val="22"/>
          <w:szCs w:val="22"/>
        </w:rPr>
        <w:t>2.3 Analysis of Heavy Metals</w:t>
      </w:r>
    </w:p>
    <w:p w14:paraId="5304A9BE" w14:textId="77777777" w:rsidR="00E60DAE" w:rsidRPr="002730F6" w:rsidRDefault="00E60DAE" w:rsidP="00E60DAE">
      <w:pPr>
        <w:spacing w:line="360" w:lineRule="auto"/>
        <w:jc w:val="both"/>
        <w:rPr>
          <w:rFonts w:ascii="Arial" w:hAnsi="Arial" w:cs="Arial"/>
        </w:rPr>
      </w:pPr>
      <w:r w:rsidRPr="002730F6">
        <w:rPr>
          <w:rFonts w:ascii="Arial" w:hAnsi="Arial" w:cs="Arial"/>
        </w:rPr>
        <w:t>The analysis of heavy metals in the samples was conducted with standardized spectrophotometric and atomic absorption spectrophotometry techniques to ensure precision and reproducibility. Quality assurance and control measures were rigorously followed throughout the process.</w:t>
      </w:r>
      <w:r w:rsidRPr="002730F6">
        <w:rPr>
          <w:rFonts w:ascii="Arial" w:hAnsi="Arial" w:cs="Arial"/>
        </w:rPr>
        <w:br/>
      </w:r>
      <w:r w:rsidRPr="002730F6">
        <w:rPr>
          <w:rFonts w:ascii="Arial" w:hAnsi="Arial" w:cs="Arial"/>
        </w:rPr>
        <w:br/>
        <w:t>Initially, the samples underwent acid digestion to break down organic components and release the metals for analysis. Specifically, two grams of dried, homogenized tissue samples were digested using a XT-9912 model microwave system (</w:t>
      </w:r>
      <w:proofErr w:type="spellStart"/>
      <w:r w:rsidRPr="002730F6">
        <w:rPr>
          <w:rFonts w:ascii="Arial" w:hAnsi="Arial" w:cs="Arial"/>
        </w:rPr>
        <w:t>Xintuo</w:t>
      </w:r>
      <w:proofErr w:type="spellEnd"/>
      <w:r w:rsidRPr="002730F6">
        <w:rPr>
          <w:rFonts w:ascii="Arial" w:hAnsi="Arial" w:cs="Arial"/>
        </w:rPr>
        <w:t xml:space="preserve">, China) with a solution comprising </w:t>
      </w:r>
      <w:r w:rsidR="00DF2BB2" w:rsidRPr="002730F6">
        <w:rPr>
          <w:rFonts w:ascii="Arial" w:hAnsi="Arial" w:cs="Arial"/>
        </w:rPr>
        <w:t xml:space="preserve">of </w:t>
      </w:r>
      <w:r w:rsidRPr="002730F6">
        <w:rPr>
          <w:rFonts w:ascii="Arial" w:hAnsi="Arial" w:cs="Arial"/>
        </w:rPr>
        <w:t xml:space="preserve">15 ml hydrochloric acid, 5 ml nitric acid, and 5 ml </w:t>
      </w:r>
      <w:r w:rsidR="00793F6A" w:rsidRPr="002730F6">
        <w:rPr>
          <w:rFonts w:ascii="Arial" w:hAnsi="Arial" w:cs="Arial"/>
        </w:rPr>
        <w:t>per</w:t>
      </w:r>
      <w:r w:rsidR="00937E89" w:rsidRPr="002730F6">
        <w:rPr>
          <w:rFonts w:ascii="Arial" w:hAnsi="Arial" w:cs="Arial"/>
        </w:rPr>
        <w:t>chloric</w:t>
      </w:r>
      <w:r w:rsidRPr="002730F6">
        <w:rPr>
          <w:rFonts w:ascii="Arial" w:hAnsi="Arial" w:cs="Arial"/>
        </w:rPr>
        <w:t xml:space="preserve"> acid (3:1:1 ratio). </w:t>
      </w:r>
      <w:r w:rsidR="007A7395" w:rsidRPr="002730F6">
        <w:rPr>
          <w:rFonts w:ascii="Arial" w:hAnsi="Arial" w:cs="Arial"/>
        </w:rPr>
        <w:t>Hydrochloric aci</w:t>
      </w:r>
      <w:r w:rsidR="00C72446" w:rsidRPr="002730F6">
        <w:rPr>
          <w:rFonts w:ascii="Arial" w:hAnsi="Arial" w:cs="Arial"/>
        </w:rPr>
        <w:t>d</w:t>
      </w:r>
      <w:r w:rsidR="007A7395" w:rsidRPr="002730F6">
        <w:rPr>
          <w:rFonts w:ascii="Arial" w:hAnsi="Arial" w:cs="Arial"/>
        </w:rPr>
        <w:t xml:space="preserve"> was</w:t>
      </w:r>
      <w:r w:rsidR="00CF36B6" w:rsidRPr="002730F6">
        <w:rPr>
          <w:rFonts w:ascii="Arial" w:hAnsi="Arial" w:cs="Arial"/>
        </w:rPr>
        <w:t xml:space="preserve"> used for preliminary digestion.</w:t>
      </w:r>
      <w:r w:rsidR="007A7395" w:rsidRPr="002730F6">
        <w:rPr>
          <w:rFonts w:ascii="Arial" w:hAnsi="Arial" w:cs="Arial"/>
        </w:rPr>
        <w:t xml:space="preserve"> </w:t>
      </w:r>
      <w:r w:rsidR="00CF36B6" w:rsidRPr="002730F6">
        <w:rPr>
          <w:rFonts w:ascii="Arial" w:hAnsi="Arial" w:cs="Arial"/>
        </w:rPr>
        <w:t>Nitric acid,</w:t>
      </w:r>
      <w:r w:rsidR="007A7395" w:rsidRPr="002730F6">
        <w:rPr>
          <w:rFonts w:ascii="Arial" w:hAnsi="Arial" w:cs="Arial"/>
        </w:rPr>
        <w:t xml:space="preserve"> an oxidizing acid was used as the dominant acid of digestio</w:t>
      </w:r>
      <w:r w:rsidR="003D073C" w:rsidRPr="002730F6">
        <w:rPr>
          <w:rFonts w:ascii="Arial" w:hAnsi="Arial" w:cs="Arial"/>
        </w:rPr>
        <w:t>n commonly used for</w:t>
      </w:r>
      <w:r w:rsidR="00CF36B6" w:rsidRPr="002730F6">
        <w:rPr>
          <w:rFonts w:ascii="Arial" w:hAnsi="Arial" w:cs="Arial"/>
        </w:rPr>
        <w:t xml:space="preserve"> oxidation of organic matter.</w:t>
      </w:r>
      <w:r w:rsidR="003D073C" w:rsidRPr="002730F6">
        <w:rPr>
          <w:rFonts w:ascii="Arial" w:hAnsi="Arial" w:cs="Arial"/>
        </w:rPr>
        <w:t xml:space="preserve"> </w:t>
      </w:r>
      <w:r w:rsidR="00CF36B6" w:rsidRPr="002730F6">
        <w:rPr>
          <w:rFonts w:ascii="Arial" w:hAnsi="Arial" w:cs="Arial"/>
        </w:rPr>
        <w:t xml:space="preserve">Perchloric </w:t>
      </w:r>
      <w:r w:rsidR="007A7395" w:rsidRPr="002730F6">
        <w:rPr>
          <w:rFonts w:ascii="Arial" w:hAnsi="Arial" w:cs="Arial"/>
        </w:rPr>
        <w:t>acid</w:t>
      </w:r>
      <w:r w:rsidR="003D073C" w:rsidRPr="002730F6">
        <w:rPr>
          <w:rFonts w:ascii="Arial" w:hAnsi="Arial" w:cs="Arial"/>
        </w:rPr>
        <w:t xml:space="preserve"> (a strong inorganic acid) </w:t>
      </w:r>
      <w:r w:rsidR="00CF36B6" w:rsidRPr="002730F6">
        <w:rPr>
          <w:rFonts w:ascii="Arial" w:hAnsi="Arial" w:cs="Arial"/>
        </w:rPr>
        <w:t xml:space="preserve">was used </w:t>
      </w:r>
      <w:r w:rsidR="003D073C" w:rsidRPr="002730F6">
        <w:rPr>
          <w:rFonts w:ascii="Arial" w:hAnsi="Arial" w:cs="Arial"/>
        </w:rPr>
        <w:t xml:space="preserve">for the </w:t>
      </w:r>
      <w:r w:rsidR="00C72446" w:rsidRPr="002730F6">
        <w:rPr>
          <w:rFonts w:ascii="Arial" w:hAnsi="Arial" w:cs="Arial"/>
        </w:rPr>
        <w:t xml:space="preserve">rapid </w:t>
      </w:r>
      <w:r w:rsidR="003D073C" w:rsidRPr="002730F6">
        <w:rPr>
          <w:rFonts w:ascii="Arial" w:hAnsi="Arial" w:cs="Arial"/>
        </w:rPr>
        <w:t xml:space="preserve">digestion of </w:t>
      </w:r>
      <w:r w:rsidR="00C72446" w:rsidRPr="002730F6">
        <w:rPr>
          <w:rFonts w:ascii="Arial" w:hAnsi="Arial" w:cs="Arial"/>
        </w:rPr>
        <w:t>biological tissues</w:t>
      </w:r>
      <w:r w:rsidR="003D073C" w:rsidRPr="002730F6">
        <w:rPr>
          <w:rFonts w:ascii="Arial" w:hAnsi="Arial" w:cs="Arial"/>
        </w:rPr>
        <w:t>.</w:t>
      </w:r>
      <w:r w:rsidR="007A7395" w:rsidRPr="002730F6">
        <w:rPr>
          <w:rFonts w:ascii="Arial" w:hAnsi="Arial" w:cs="Arial"/>
        </w:rPr>
        <w:t xml:space="preserve"> </w:t>
      </w:r>
      <w:r w:rsidRPr="002730F6">
        <w:rPr>
          <w:rFonts w:ascii="Arial" w:hAnsi="Arial" w:cs="Arial"/>
        </w:rPr>
        <w:t xml:space="preserve">This digestion was performed under controlled conditions, with heating continued until the expulsion of brown fumes indicated complete tissue dissolution and the formation of a </w:t>
      </w:r>
      <w:proofErr w:type="spellStart"/>
      <w:r w:rsidRPr="002730F6">
        <w:rPr>
          <w:rFonts w:ascii="Arial" w:hAnsi="Arial" w:cs="Arial"/>
        </w:rPr>
        <w:t>colo</w:t>
      </w:r>
      <w:r w:rsidR="00DF2BB2" w:rsidRPr="002730F6">
        <w:rPr>
          <w:rFonts w:ascii="Arial" w:hAnsi="Arial" w:cs="Arial"/>
        </w:rPr>
        <w:t>u</w:t>
      </w:r>
      <w:r w:rsidRPr="002730F6">
        <w:rPr>
          <w:rFonts w:ascii="Arial" w:hAnsi="Arial" w:cs="Arial"/>
        </w:rPr>
        <w:t>rless</w:t>
      </w:r>
      <w:proofErr w:type="spellEnd"/>
      <w:r w:rsidRPr="002730F6">
        <w:rPr>
          <w:rFonts w:ascii="Arial" w:hAnsi="Arial" w:cs="Arial"/>
        </w:rPr>
        <w:t xml:space="preserve"> solution. The digested samples were then cooled and diluted to a final volume of 50 ml with distilled water to achieve cons</w:t>
      </w:r>
      <w:r w:rsidR="007F66A8" w:rsidRPr="002730F6">
        <w:rPr>
          <w:rFonts w:ascii="Arial" w:hAnsi="Arial" w:cs="Arial"/>
        </w:rPr>
        <w:t>istent sample concentrations [</w:t>
      </w:r>
      <w:r w:rsidR="008F2661" w:rsidRPr="002730F6">
        <w:rPr>
          <w:rFonts w:ascii="Arial" w:hAnsi="Arial" w:cs="Arial"/>
        </w:rPr>
        <w:t>25</w:t>
      </w:r>
      <w:r w:rsidRPr="002730F6">
        <w:rPr>
          <w:rFonts w:ascii="Arial" w:hAnsi="Arial" w:cs="Arial"/>
        </w:rPr>
        <w:t>].</w:t>
      </w:r>
      <w:r w:rsidRPr="002730F6">
        <w:rPr>
          <w:rFonts w:ascii="Arial" w:hAnsi="Arial" w:cs="Arial"/>
        </w:rPr>
        <w:br/>
      </w:r>
      <w:r w:rsidRPr="002730F6">
        <w:rPr>
          <w:rFonts w:ascii="Arial" w:hAnsi="Arial" w:cs="Arial"/>
        </w:rPr>
        <w:br/>
        <w:t xml:space="preserve">For heavy metal quantification, an Atomic Absorption Spectrophotometer (SOLAAR 969AA UNICAM, </w:t>
      </w:r>
      <w:proofErr w:type="spellStart"/>
      <w:r w:rsidRPr="002730F6">
        <w:rPr>
          <w:rFonts w:ascii="Arial" w:hAnsi="Arial" w:cs="Arial"/>
        </w:rPr>
        <w:t>Spectronic</w:t>
      </w:r>
      <w:proofErr w:type="spellEnd"/>
      <w:r w:rsidRPr="002730F6">
        <w:rPr>
          <w:rFonts w:ascii="Arial" w:hAnsi="Arial" w:cs="Arial"/>
        </w:rPr>
        <w:t xml:space="preserve"> </w:t>
      </w:r>
      <w:proofErr w:type="spellStart"/>
      <w:r w:rsidRPr="002730F6">
        <w:rPr>
          <w:rFonts w:ascii="Arial" w:hAnsi="Arial" w:cs="Arial"/>
        </w:rPr>
        <w:t>Unicam</w:t>
      </w:r>
      <w:proofErr w:type="spellEnd"/>
      <w:r w:rsidRPr="002730F6">
        <w:rPr>
          <w:rFonts w:ascii="Arial" w:hAnsi="Arial" w:cs="Arial"/>
        </w:rPr>
        <w:t>, Cambridge, UK) was used. Calibration curves for mercury, cadmium, lead, and arsenic were generated from standard solutions of known concentrations. The limits of detection (LOD) and limits of quantification (LOQ) for each metal were as follows: mercury (LOD: 0.01 mg/L; LOQ: 0.05 mg/L), cadmium (LOD: 0.005 mg/L; LOQ: 0.02 mg/L), lead (LOD: 0.02 mg/L; LOQ: 0.1 mg/L), and arsenic (LOD: 0.01 mg/L; LOQ: 0.05 mg/L).</w:t>
      </w:r>
      <w:r w:rsidRPr="002730F6">
        <w:rPr>
          <w:rFonts w:ascii="Arial" w:hAnsi="Arial" w:cs="Arial"/>
        </w:rPr>
        <w:br/>
      </w:r>
      <w:r w:rsidRPr="002730F6">
        <w:rPr>
          <w:rFonts w:ascii="Arial" w:hAnsi="Arial" w:cs="Arial"/>
        </w:rPr>
        <w:br/>
        <w:t>To validate the accuracy of the method, recovery experiments were conducted by spiking known concentrations of each metal into the samples before analysis, achieving recovery percentages within 95-105% for all metals. Quality control involved analyzing blanks and replicates for each batch of samples to monitor and minimize potential contamination. Standard reference materials (SRMs) were also analyzed alongside samples to ensure analytical consistency.</w:t>
      </w:r>
    </w:p>
    <w:p w14:paraId="74F0C2F3" w14:textId="77777777" w:rsidR="00E60DAE" w:rsidRPr="002730F6" w:rsidRDefault="00E60DAE" w:rsidP="00E60DAE">
      <w:pPr>
        <w:jc w:val="both"/>
        <w:rPr>
          <w:rFonts w:ascii="Arial" w:hAnsi="Arial" w:cs="Arial"/>
        </w:rPr>
      </w:pPr>
      <w:r w:rsidRPr="002730F6">
        <w:rPr>
          <w:rFonts w:ascii="Arial" w:hAnsi="Arial" w:cs="Arial"/>
          <w:noProof/>
        </w:rPr>
        <w:drawing>
          <wp:inline distT="0" distB="0" distL="0" distR="0" wp14:anchorId="4EF43E8F" wp14:editId="0B10D8BB">
            <wp:extent cx="7620" cy="7620"/>
            <wp:effectExtent l="0" t="0" r="0" b="0"/>
            <wp:docPr id="2" name="Picture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5373D7D1" w14:textId="77777777" w:rsidR="003928DD" w:rsidRPr="002730F6" w:rsidRDefault="00047636" w:rsidP="003928DD">
      <w:pPr>
        <w:spacing w:line="360" w:lineRule="auto"/>
        <w:jc w:val="both"/>
        <w:rPr>
          <w:rFonts w:ascii="Arial" w:hAnsi="Arial" w:cs="Arial"/>
          <w:b/>
          <w:bCs/>
          <w:sz w:val="22"/>
          <w:szCs w:val="22"/>
        </w:rPr>
      </w:pPr>
      <w:r w:rsidRPr="002730F6">
        <w:rPr>
          <w:rFonts w:ascii="Arial" w:hAnsi="Arial" w:cs="Arial"/>
          <w:b/>
          <w:bCs/>
          <w:sz w:val="22"/>
          <w:szCs w:val="22"/>
        </w:rPr>
        <w:t xml:space="preserve">2.4 </w:t>
      </w:r>
      <w:r w:rsidR="00114644" w:rsidRPr="002730F6">
        <w:rPr>
          <w:rFonts w:ascii="Arial" w:hAnsi="Arial" w:cs="Arial"/>
          <w:b/>
        </w:rPr>
        <w:t>B</w:t>
      </w:r>
      <w:r w:rsidR="00114644" w:rsidRPr="002730F6">
        <w:rPr>
          <w:rFonts w:ascii="Arial" w:hAnsi="Arial" w:cs="Arial"/>
          <w:b/>
          <w:bCs/>
          <w:sz w:val="22"/>
          <w:szCs w:val="22"/>
        </w:rPr>
        <w:t>acteriological</w:t>
      </w:r>
      <w:r w:rsidRPr="002730F6">
        <w:rPr>
          <w:rFonts w:ascii="Arial" w:hAnsi="Arial" w:cs="Arial"/>
          <w:b/>
          <w:bCs/>
          <w:sz w:val="22"/>
          <w:szCs w:val="22"/>
        </w:rPr>
        <w:t xml:space="preserve"> A</w:t>
      </w:r>
      <w:r w:rsidRPr="002730F6">
        <w:rPr>
          <w:rFonts w:ascii="Arial" w:hAnsi="Arial" w:cs="Arial"/>
          <w:b/>
        </w:rPr>
        <w:t>n</w:t>
      </w:r>
      <w:r w:rsidRPr="002730F6">
        <w:rPr>
          <w:rFonts w:ascii="Arial" w:hAnsi="Arial" w:cs="Arial"/>
          <w:b/>
          <w:bCs/>
          <w:sz w:val="22"/>
          <w:szCs w:val="22"/>
        </w:rPr>
        <w:t>alysis</w:t>
      </w:r>
    </w:p>
    <w:p w14:paraId="1E2B4A5D" w14:textId="77777777" w:rsidR="003928DD" w:rsidRPr="002730F6" w:rsidRDefault="00047636" w:rsidP="003928DD">
      <w:pPr>
        <w:spacing w:line="360" w:lineRule="auto"/>
        <w:jc w:val="both"/>
        <w:rPr>
          <w:rFonts w:ascii="Arial" w:hAnsi="Arial" w:cs="Arial"/>
        </w:rPr>
      </w:pPr>
      <w:r w:rsidRPr="002730F6">
        <w:rPr>
          <w:rFonts w:ascii="Arial" w:hAnsi="Arial" w:cs="Arial"/>
        </w:rPr>
        <w:t>The bacteriological</w:t>
      </w:r>
      <w:r w:rsidR="003928DD" w:rsidRPr="002730F6">
        <w:rPr>
          <w:rFonts w:ascii="Arial" w:hAnsi="Arial" w:cs="Arial"/>
        </w:rPr>
        <w:t xml:space="preserve"> analysis in this study followed standard spread plate techniques on selective media tailored to target specific microorganisms.</w:t>
      </w:r>
      <w:r w:rsidR="00793F6A" w:rsidRPr="002730F6">
        <w:rPr>
          <w:rFonts w:ascii="Arial" w:hAnsi="Arial" w:cs="Arial"/>
        </w:rPr>
        <w:t xml:space="preserve"> Serial dilution was done with 1g of the various </w:t>
      </w:r>
      <w:r w:rsidR="00FA3FDB" w:rsidRPr="002730F6">
        <w:rPr>
          <w:rFonts w:ascii="Arial" w:hAnsi="Arial" w:cs="Arial"/>
        </w:rPr>
        <w:t>bl</w:t>
      </w:r>
      <w:r w:rsidR="00FA3FDB" w:rsidRPr="002730F6">
        <w:rPr>
          <w:rFonts w:ascii="Arial" w:hAnsi="Arial" w:cs="Arial"/>
          <w:sz w:val="22"/>
          <w:szCs w:val="22"/>
        </w:rPr>
        <w:t>e</w:t>
      </w:r>
      <w:r w:rsidR="00FA3FDB" w:rsidRPr="002730F6">
        <w:rPr>
          <w:rFonts w:ascii="Arial" w:hAnsi="Arial" w:cs="Arial"/>
        </w:rPr>
        <w:t xml:space="preserve">nded/crushed </w:t>
      </w:r>
      <w:r w:rsidR="00793F6A" w:rsidRPr="002730F6">
        <w:rPr>
          <w:rFonts w:ascii="Arial" w:hAnsi="Arial" w:cs="Arial"/>
        </w:rPr>
        <w:t>samples and 0.1mL aliquot of the different dilutions was plated out.</w:t>
      </w:r>
      <w:r w:rsidR="003928DD" w:rsidRPr="002730F6">
        <w:rPr>
          <w:rFonts w:ascii="Arial" w:hAnsi="Arial" w:cs="Arial"/>
        </w:rPr>
        <w:t xml:space="preserve"> Enumeration of </w:t>
      </w:r>
      <w:r w:rsidR="009E422A" w:rsidRPr="002730F6">
        <w:rPr>
          <w:rFonts w:ascii="Arial" w:hAnsi="Arial" w:cs="Arial"/>
        </w:rPr>
        <w:t xml:space="preserve">potential </w:t>
      </w:r>
      <w:r w:rsidR="003928DD" w:rsidRPr="002730F6">
        <w:rPr>
          <w:rFonts w:ascii="Arial" w:hAnsi="Arial" w:cs="Arial"/>
        </w:rPr>
        <w:t xml:space="preserve">pathogens was done using MacConkey agar and </w:t>
      </w:r>
      <w:r w:rsidR="003928DD" w:rsidRPr="002730F6">
        <w:rPr>
          <w:rFonts w:ascii="Arial" w:hAnsi="Arial" w:cs="Arial"/>
          <w:i/>
          <w:iCs/>
        </w:rPr>
        <w:t>Salmonella-Shigella</w:t>
      </w:r>
      <w:r w:rsidR="003928DD" w:rsidRPr="002730F6">
        <w:rPr>
          <w:rFonts w:ascii="Arial" w:hAnsi="Arial" w:cs="Arial"/>
        </w:rPr>
        <w:t xml:space="preserve"> agar for </w:t>
      </w:r>
      <w:r w:rsidR="004E623F" w:rsidRPr="002730F6">
        <w:rPr>
          <w:rFonts w:ascii="Arial" w:hAnsi="Arial" w:cs="Arial"/>
          <w:i/>
          <w:iCs/>
        </w:rPr>
        <w:t>E</w:t>
      </w:r>
      <w:r w:rsidR="004E623F" w:rsidRPr="002730F6">
        <w:rPr>
          <w:rFonts w:ascii="Arial" w:hAnsi="Arial" w:cs="Arial"/>
          <w:i/>
        </w:rPr>
        <w:t>n</w:t>
      </w:r>
      <w:r w:rsidR="004E623F" w:rsidRPr="002730F6">
        <w:rPr>
          <w:rFonts w:ascii="Arial" w:hAnsi="Arial" w:cs="Arial"/>
          <w:i/>
          <w:iCs/>
        </w:rPr>
        <w:t>tero</w:t>
      </w:r>
      <w:r w:rsidR="004E623F" w:rsidRPr="002730F6">
        <w:rPr>
          <w:rFonts w:ascii="Arial" w:hAnsi="Arial" w:cs="Arial"/>
          <w:i/>
        </w:rPr>
        <w:t>b</w:t>
      </w:r>
      <w:r w:rsidR="004E623F" w:rsidRPr="002730F6">
        <w:rPr>
          <w:rFonts w:ascii="Arial" w:hAnsi="Arial" w:cs="Arial"/>
          <w:i/>
          <w:iCs/>
        </w:rPr>
        <w:t>acteriaceae</w:t>
      </w:r>
      <w:r w:rsidR="003928DD" w:rsidRPr="002730F6">
        <w:rPr>
          <w:rFonts w:ascii="Arial" w:hAnsi="Arial" w:cs="Arial"/>
        </w:rPr>
        <w:t xml:space="preserve"> and </w:t>
      </w:r>
      <w:r w:rsidR="003928DD" w:rsidRPr="002730F6">
        <w:rPr>
          <w:rFonts w:ascii="Arial" w:hAnsi="Arial" w:cs="Arial"/>
          <w:i/>
          <w:iCs/>
        </w:rPr>
        <w:t>Salmonella</w:t>
      </w:r>
      <w:r w:rsidR="004E623F" w:rsidRPr="002730F6">
        <w:rPr>
          <w:rFonts w:ascii="Arial" w:hAnsi="Arial" w:cs="Arial"/>
          <w:i/>
          <w:iCs/>
        </w:rPr>
        <w:t xml:space="preserve">-Shigella </w:t>
      </w:r>
      <w:r w:rsidR="004E623F" w:rsidRPr="002730F6">
        <w:rPr>
          <w:rFonts w:ascii="Arial" w:hAnsi="Arial" w:cs="Arial"/>
          <w:iCs/>
        </w:rPr>
        <w:t>cou</w:t>
      </w:r>
      <w:r w:rsidR="004E623F" w:rsidRPr="002730F6">
        <w:rPr>
          <w:rFonts w:ascii="Arial" w:hAnsi="Arial" w:cs="Arial"/>
        </w:rPr>
        <w:t>n</w:t>
      </w:r>
      <w:r w:rsidR="004E623F" w:rsidRPr="002730F6">
        <w:rPr>
          <w:rFonts w:ascii="Arial" w:hAnsi="Arial" w:cs="Arial"/>
          <w:iCs/>
        </w:rPr>
        <w:t>ts</w:t>
      </w:r>
      <w:r w:rsidR="003928DD" w:rsidRPr="002730F6">
        <w:rPr>
          <w:rFonts w:ascii="Arial" w:hAnsi="Arial" w:cs="Arial"/>
        </w:rPr>
        <w:t>, respective</w:t>
      </w:r>
      <w:r w:rsidR="004E623F" w:rsidRPr="002730F6">
        <w:rPr>
          <w:rFonts w:ascii="Arial" w:hAnsi="Arial" w:cs="Arial"/>
        </w:rPr>
        <w:t>ly, with incubation at 37°C.</w:t>
      </w:r>
      <w:r w:rsidR="003928DD" w:rsidRPr="002730F6">
        <w:rPr>
          <w:rFonts w:ascii="Arial" w:hAnsi="Arial" w:cs="Arial"/>
        </w:rPr>
        <w:t xml:space="preserve"> </w:t>
      </w:r>
      <w:r w:rsidR="004E623F" w:rsidRPr="002730F6">
        <w:rPr>
          <w:rFonts w:ascii="Arial" w:hAnsi="Arial" w:cs="Arial"/>
        </w:rPr>
        <w:t xml:space="preserve">Potential </w:t>
      </w:r>
      <w:r w:rsidR="003928DD" w:rsidRPr="002730F6">
        <w:rPr>
          <w:rFonts w:ascii="Arial" w:hAnsi="Arial" w:cs="Arial"/>
          <w:i/>
          <w:iCs/>
        </w:rPr>
        <w:t xml:space="preserve">Vibrio </w:t>
      </w:r>
      <w:r w:rsidR="003928DD" w:rsidRPr="002730F6">
        <w:rPr>
          <w:rFonts w:ascii="Arial" w:hAnsi="Arial" w:cs="Arial"/>
          <w:iCs/>
        </w:rPr>
        <w:t>species</w:t>
      </w:r>
      <w:r w:rsidR="003928DD" w:rsidRPr="002730F6">
        <w:rPr>
          <w:rFonts w:ascii="Arial" w:hAnsi="Arial" w:cs="Arial"/>
        </w:rPr>
        <w:t xml:space="preserve"> were enumerated on thiosulfate citrate bile salts sucrose agar (TCBS) at 35°C for 24-48 hours. Total </w:t>
      </w:r>
      <w:r w:rsidR="005C3234" w:rsidRPr="002730F6">
        <w:rPr>
          <w:rFonts w:ascii="Arial" w:hAnsi="Arial" w:cs="Arial"/>
        </w:rPr>
        <w:t xml:space="preserve">viable </w:t>
      </w:r>
      <w:r w:rsidR="003928DD" w:rsidRPr="002730F6">
        <w:rPr>
          <w:rFonts w:ascii="Arial" w:hAnsi="Arial" w:cs="Arial"/>
        </w:rPr>
        <w:t>bacterial counts were determined by spreading diluted samples onto nutrient agar plates and incubating them at temperature of</w:t>
      </w:r>
      <w:r w:rsidR="00793F6A" w:rsidRPr="002730F6">
        <w:rPr>
          <w:rFonts w:ascii="Arial" w:hAnsi="Arial" w:cs="Arial"/>
        </w:rPr>
        <w:t xml:space="preserve"> 35°C </w:t>
      </w:r>
      <w:r w:rsidR="00793F6A" w:rsidRPr="002730F6">
        <w:rPr>
          <w:rFonts w:ascii="Arial" w:hAnsi="Arial" w:cs="Arial"/>
        </w:rPr>
        <w:lastRenderedPageBreak/>
        <w:t>for 24 hours. R</w:t>
      </w:r>
      <w:r w:rsidR="003928DD" w:rsidRPr="002730F6">
        <w:rPr>
          <w:rFonts w:ascii="Arial" w:hAnsi="Arial" w:cs="Arial"/>
        </w:rPr>
        <w:t xml:space="preserve">esults </w:t>
      </w:r>
      <w:r w:rsidR="003741FF" w:rsidRPr="002730F6">
        <w:rPr>
          <w:rFonts w:ascii="Arial" w:hAnsi="Arial" w:cs="Arial"/>
        </w:rPr>
        <w:t xml:space="preserve">were </w:t>
      </w:r>
      <w:r w:rsidR="003928DD" w:rsidRPr="002730F6">
        <w:rPr>
          <w:rFonts w:ascii="Arial" w:hAnsi="Arial" w:cs="Arial"/>
        </w:rPr>
        <w:t xml:space="preserve">quantified as colony-forming units per </w:t>
      </w:r>
      <w:r w:rsidR="004E623F" w:rsidRPr="002730F6">
        <w:rPr>
          <w:rFonts w:ascii="Arial" w:hAnsi="Arial" w:cs="Arial"/>
        </w:rPr>
        <w:t>gram</w:t>
      </w:r>
      <w:r w:rsidR="003928DD" w:rsidRPr="002730F6">
        <w:rPr>
          <w:rFonts w:ascii="Arial" w:hAnsi="Arial" w:cs="Arial"/>
        </w:rPr>
        <w:t xml:space="preserve"> (CFU/g)</w:t>
      </w:r>
      <w:r w:rsidR="008F2661" w:rsidRPr="002730F6">
        <w:rPr>
          <w:rFonts w:ascii="Arial" w:hAnsi="Arial" w:cs="Arial"/>
        </w:rPr>
        <w:t xml:space="preserve"> [26</w:t>
      </w:r>
      <w:r w:rsidR="008C476B" w:rsidRPr="002730F6">
        <w:rPr>
          <w:rFonts w:ascii="Arial" w:hAnsi="Arial" w:cs="Arial"/>
        </w:rPr>
        <w:t>]</w:t>
      </w:r>
      <w:r w:rsidR="003928DD" w:rsidRPr="002730F6">
        <w:rPr>
          <w:rFonts w:ascii="Arial" w:hAnsi="Arial" w:cs="Arial"/>
        </w:rPr>
        <w:t>. The dilution factor of 10</w:t>
      </w:r>
      <w:r w:rsidR="00C561EA" w:rsidRPr="002730F6">
        <w:rPr>
          <w:rFonts w:ascii="Arial" w:hAnsi="Arial" w:cs="Arial"/>
          <w:vertAlign w:val="superscript"/>
        </w:rPr>
        <w:t>-2</w:t>
      </w:r>
      <w:r w:rsidR="000F3FCB" w:rsidRPr="002730F6">
        <w:rPr>
          <w:rFonts w:ascii="Arial" w:hAnsi="Arial" w:cs="Arial"/>
        </w:rPr>
        <w:t xml:space="preserve"> was inoculated for</w:t>
      </w:r>
      <w:r w:rsidR="003928DD" w:rsidRPr="002730F6">
        <w:rPr>
          <w:rFonts w:ascii="Arial" w:hAnsi="Arial" w:cs="Arial"/>
        </w:rPr>
        <w:t xml:space="preserve"> enumeration and representation of bacterial densities.</w:t>
      </w:r>
      <w:r w:rsidR="003741FF" w:rsidRPr="002730F6">
        <w:rPr>
          <w:rFonts w:ascii="Arial" w:hAnsi="Arial" w:cs="Arial"/>
        </w:rPr>
        <w:t xml:space="preserve"> </w:t>
      </w:r>
    </w:p>
    <w:p w14:paraId="7DD098AA" w14:textId="77777777" w:rsidR="003928DD" w:rsidRPr="002730F6" w:rsidRDefault="003928DD" w:rsidP="003928DD">
      <w:pPr>
        <w:spacing w:line="360" w:lineRule="auto"/>
        <w:jc w:val="both"/>
        <w:rPr>
          <w:rFonts w:ascii="Arial" w:hAnsi="Arial" w:cs="Arial"/>
          <w:b/>
          <w:bCs/>
          <w:sz w:val="22"/>
          <w:szCs w:val="22"/>
        </w:rPr>
      </w:pPr>
      <w:r w:rsidRPr="002730F6">
        <w:rPr>
          <w:rFonts w:ascii="Arial" w:hAnsi="Arial" w:cs="Arial"/>
          <w:b/>
          <w:bCs/>
          <w:sz w:val="22"/>
          <w:szCs w:val="22"/>
        </w:rPr>
        <w:t>2.5 Human Health risk Assessment</w:t>
      </w:r>
    </w:p>
    <w:p w14:paraId="467DAB84" w14:textId="77777777" w:rsidR="006F32E2" w:rsidRPr="002730F6" w:rsidRDefault="003928DD" w:rsidP="006F32E2">
      <w:pPr>
        <w:spacing w:line="360" w:lineRule="auto"/>
        <w:jc w:val="both"/>
        <w:rPr>
          <w:rFonts w:ascii="Arial" w:hAnsi="Arial" w:cs="Arial"/>
        </w:rPr>
      </w:pPr>
      <w:r w:rsidRPr="002730F6">
        <w:rPr>
          <w:rFonts w:ascii="Arial" w:hAnsi="Arial" w:cs="Arial"/>
          <w:b/>
          <w:bCs/>
          <w:sz w:val="22"/>
          <w:szCs w:val="22"/>
        </w:rPr>
        <w:t xml:space="preserve">2.5.1 </w:t>
      </w:r>
      <w:r w:rsidR="006F32E2" w:rsidRPr="002730F6">
        <w:rPr>
          <w:rFonts w:ascii="Arial" w:hAnsi="Arial" w:cs="Arial"/>
          <w:b/>
          <w:sz w:val="22"/>
          <w:szCs w:val="22"/>
        </w:rPr>
        <w:t>Estimated Daily Intake (EDI)</w:t>
      </w:r>
      <w:r w:rsidR="006F32E2" w:rsidRPr="002730F6">
        <w:rPr>
          <w:rFonts w:ascii="Arial" w:hAnsi="Arial" w:cs="Arial"/>
        </w:rPr>
        <w:t xml:space="preserve"> </w:t>
      </w:r>
    </w:p>
    <w:p w14:paraId="5E29C73C" w14:textId="77777777" w:rsidR="006F32E2" w:rsidRPr="002730F6" w:rsidRDefault="006F32E2" w:rsidP="006F32E2">
      <w:pPr>
        <w:spacing w:line="360" w:lineRule="auto"/>
        <w:jc w:val="both"/>
        <w:rPr>
          <w:rFonts w:ascii="Arial" w:hAnsi="Arial" w:cs="Arial"/>
        </w:rPr>
      </w:pPr>
      <w:r w:rsidRPr="002730F6">
        <w:rPr>
          <w:rFonts w:ascii="Arial" w:hAnsi="Arial" w:cs="Arial"/>
        </w:rPr>
        <w:t>The estimated daily intake (ED</w:t>
      </w:r>
      <w:r w:rsidR="008F2661" w:rsidRPr="002730F6">
        <w:rPr>
          <w:rFonts w:ascii="Arial" w:hAnsi="Arial" w:cs="Arial"/>
        </w:rPr>
        <w:t>I) method by Ullah et al. [27] and Saha and Zeman [28</w:t>
      </w:r>
      <w:r w:rsidRPr="002730F6">
        <w:rPr>
          <w:rFonts w:ascii="Arial" w:hAnsi="Arial" w:cs="Arial"/>
        </w:rPr>
        <w:t xml:space="preserve">] for estimating heavy metal </w:t>
      </w:r>
      <w:r w:rsidR="00C24B25" w:rsidRPr="002730F6">
        <w:rPr>
          <w:rFonts w:ascii="Arial" w:hAnsi="Arial" w:cs="Arial"/>
        </w:rPr>
        <w:t>concentration in foodstuffs was</w:t>
      </w:r>
      <w:r w:rsidRPr="002730F6">
        <w:rPr>
          <w:rFonts w:ascii="Arial" w:hAnsi="Arial" w:cs="Arial"/>
        </w:rPr>
        <w:t xml:space="preserve"> employed in this study. The estimated daily intake (EDI) of each heavy metal in this exposure pathway was determined by the equation:</w:t>
      </w:r>
    </w:p>
    <w:p w14:paraId="03CD324D" w14:textId="77777777" w:rsidR="006F32E2" w:rsidRPr="002730F6" w:rsidRDefault="006F32E2" w:rsidP="006F32E2">
      <w:pPr>
        <w:spacing w:line="360" w:lineRule="auto"/>
        <w:jc w:val="both"/>
        <w:rPr>
          <w:rFonts w:ascii="Arial" w:hAnsi="Arial" w:cs="Arial"/>
        </w:rPr>
      </w:pPr>
      <m:oMath>
        <m:r>
          <w:rPr>
            <w:rFonts w:ascii="Cambria Math" w:hAnsi="Cambria Math" w:cs="Arial"/>
          </w:rPr>
          <m:t>EDI</m:t>
        </m:r>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Ef x ED x CF x CM</m:t>
            </m:r>
          </m:num>
          <m:den>
            <m:r>
              <m:rPr>
                <m:sty m:val="p"/>
              </m:rPr>
              <w:rPr>
                <w:rFonts w:ascii="Cambria Math" w:hAnsi="Cambria Math" w:cs="Arial"/>
              </w:rPr>
              <m:t>WAB x TA</m:t>
            </m:r>
          </m:den>
        </m:f>
      </m:oMath>
      <w:r w:rsidRPr="002730F6">
        <w:rPr>
          <w:rFonts w:ascii="Arial" w:eastAsiaTheme="minorEastAsia" w:hAnsi="Arial" w:cs="Arial"/>
        </w:rPr>
        <w:t xml:space="preserve"> </w:t>
      </w:r>
    </w:p>
    <w:p w14:paraId="720F5DDB" w14:textId="77777777" w:rsidR="006F32E2" w:rsidRPr="002730F6" w:rsidRDefault="006F32E2" w:rsidP="006F32E2">
      <w:pPr>
        <w:spacing w:line="360" w:lineRule="auto"/>
        <w:jc w:val="both"/>
        <w:rPr>
          <w:rFonts w:ascii="Arial" w:hAnsi="Arial" w:cs="Arial"/>
        </w:rPr>
      </w:pPr>
      <w:r w:rsidRPr="002730F6">
        <w:rPr>
          <w:rFonts w:ascii="Arial" w:hAnsi="Arial" w:cs="Arial"/>
        </w:rPr>
        <w:t xml:space="preserve">Where EF represents the exposure frequency (365 days/year); ED signifies the exposure duration, equivalent to an average lifetime (52 years for the Nigerian population); FIR denotes the fresh food ingestion rate (kg/person/day), set at 5 for </w:t>
      </w:r>
      <w:r w:rsidR="008F2661" w:rsidRPr="002730F6">
        <w:rPr>
          <w:rFonts w:ascii="Arial" w:hAnsi="Arial" w:cs="Arial"/>
        </w:rPr>
        <w:t>all seafoods [27</w:t>
      </w:r>
      <w:r w:rsidRPr="002730F6">
        <w:rPr>
          <w:rFonts w:ascii="Arial" w:hAnsi="Arial" w:cs="Arial"/>
        </w:rPr>
        <w:t>]; Cf is the conversion factor (0.208) for converting fresh weight (FW) to dry weight (DW); Cm indicates the heavy metal concentration in foodstuffs (mg/kg DW); WAB represents the average body weight (</w:t>
      </w:r>
      <w:proofErr w:type="spellStart"/>
      <w:r w:rsidRPr="002730F6">
        <w:rPr>
          <w:rFonts w:ascii="Arial" w:hAnsi="Arial" w:cs="Arial"/>
        </w:rPr>
        <w:t>bw</w:t>
      </w:r>
      <w:proofErr w:type="spellEnd"/>
      <w:r w:rsidRPr="002730F6">
        <w:rPr>
          <w:rFonts w:ascii="Arial" w:hAnsi="Arial" w:cs="Arial"/>
        </w:rPr>
        <w:t>) (with the average adult body weight set at 70 kg); and TA signifies the average exposure time for non-carcinogens (equal to EF × ED).</w:t>
      </w:r>
    </w:p>
    <w:p w14:paraId="52908901" w14:textId="77777777" w:rsidR="003928DD" w:rsidRPr="002730F6" w:rsidRDefault="006F32E2" w:rsidP="003928DD">
      <w:pPr>
        <w:spacing w:line="360" w:lineRule="auto"/>
        <w:jc w:val="both"/>
        <w:rPr>
          <w:rFonts w:ascii="Arial" w:hAnsi="Arial" w:cs="Arial"/>
          <w:b/>
          <w:bCs/>
        </w:rPr>
      </w:pPr>
      <w:r w:rsidRPr="002730F6">
        <w:rPr>
          <w:rFonts w:ascii="Arial" w:hAnsi="Arial" w:cs="Arial"/>
          <w:b/>
          <w:bCs/>
          <w:sz w:val="22"/>
          <w:szCs w:val="22"/>
        </w:rPr>
        <w:t xml:space="preserve">2.5.2 </w:t>
      </w:r>
      <w:r w:rsidR="003928DD" w:rsidRPr="002730F6">
        <w:rPr>
          <w:rFonts w:ascii="Arial" w:hAnsi="Arial" w:cs="Arial"/>
          <w:b/>
          <w:bCs/>
          <w:sz w:val="22"/>
          <w:szCs w:val="22"/>
        </w:rPr>
        <w:t>Target Hazard Quotient (THQ)</w:t>
      </w:r>
      <w:r w:rsidR="003928DD" w:rsidRPr="002730F6">
        <w:rPr>
          <w:rFonts w:ascii="Times New Roman" w:hAnsi="Times New Roman"/>
          <w:b/>
          <w:bCs/>
          <w:sz w:val="24"/>
          <w:szCs w:val="24"/>
        </w:rPr>
        <w:t xml:space="preserve"> </w:t>
      </w:r>
    </w:p>
    <w:p w14:paraId="0DE4BB51" w14:textId="77777777" w:rsidR="003928DD" w:rsidRPr="002730F6" w:rsidRDefault="003928DD" w:rsidP="003928DD">
      <w:pPr>
        <w:spacing w:line="360" w:lineRule="auto"/>
        <w:jc w:val="both"/>
        <w:rPr>
          <w:rFonts w:ascii="Arial" w:hAnsi="Arial" w:cs="Arial"/>
        </w:rPr>
      </w:pPr>
      <w:r w:rsidRPr="002730F6">
        <w:rPr>
          <w:rFonts w:ascii="Arial" w:hAnsi="Arial" w:cs="Arial"/>
        </w:rPr>
        <w:t>The THQ method, derived from the United States EPA Region I</w:t>
      </w:r>
      <w:r w:rsidR="0049038F" w:rsidRPr="002730F6">
        <w:rPr>
          <w:rFonts w:ascii="Arial" w:hAnsi="Arial" w:cs="Arial"/>
        </w:rPr>
        <w:t>II Risk-based concentration USEPA</w:t>
      </w:r>
      <w:r w:rsidR="008F2661" w:rsidRPr="002730F6">
        <w:rPr>
          <w:rFonts w:ascii="Arial" w:hAnsi="Arial" w:cs="Arial"/>
        </w:rPr>
        <w:t xml:space="preserve"> [29</w:t>
      </w:r>
      <w:r w:rsidR="008C476B" w:rsidRPr="002730F6">
        <w:rPr>
          <w:rFonts w:ascii="Arial" w:hAnsi="Arial" w:cs="Arial"/>
        </w:rPr>
        <w:t>]</w:t>
      </w:r>
      <w:r w:rsidRPr="002730F6">
        <w:rPr>
          <w:rFonts w:ascii="Arial" w:hAnsi="Arial" w:cs="Arial"/>
        </w:rPr>
        <w:t>, was employed. Dosage estimation was determined as follows:</w:t>
      </w:r>
    </w:p>
    <w:p w14:paraId="1AF2BEA3" w14:textId="77777777" w:rsidR="003928DD" w:rsidRPr="002730F6" w:rsidRDefault="003928DD" w:rsidP="003928DD">
      <w:pPr>
        <w:spacing w:line="360" w:lineRule="auto"/>
        <w:jc w:val="both"/>
        <w:rPr>
          <w:rFonts w:ascii="Arial" w:eastAsiaTheme="minorEastAsia" w:hAnsi="Arial" w:cs="Arial"/>
        </w:rPr>
      </w:pPr>
      <m:oMath>
        <m:r>
          <w:rPr>
            <w:rFonts w:ascii="Cambria Math" w:hAnsi="Cambria Math" w:cs="Arial"/>
          </w:rPr>
          <m:t>THQ</m:t>
        </m:r>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 xml:space="preserve">Efr x </m:t>
            </m:r>
            <m:sSub>
              <m:sSubPr>
                <m:ctrlPr>
                  <w:rPr>
                    <w:rFonts w:ascii="Cambria Math" w:hAnsi="Cambria Math" w:cs="Arial"/>
                  </w:rPr>
                </m:ctrlPr>
              </m:sSubPr>
              <m:e>
                <m:r>
                  <w:rPr>
                    <w:rFonts w:ascii="Cambria Math" w:hAnsi="Cambria Math" w:cs="Arial"/>
                  </w:rPr>
                  <m:t>ED</m:t>
                </m:r>
              </m:e>
              <m:sub>
                <m:r>
                  <w:rPr>
                    <w:rFonts w:ascii="Cambria Math" w:hAnsi="Cambria Math" w:cs="Arial"/>
                  </w:rPr>
                  <m:t xml:space="preserve">tot </m:t>
                </m:r>
              </m:sub>
            </m:sSub>
            <m:r>
              <m:rPr>
                <m:sty m:val="p"/>
              </m:rPr>
              <w:rPr>
                <w:rFonts w:ascii="Cambria Math" w:hAnsi="Cambria Math" w:cs="Arial"/>
              </w:rPr>
              <m:t xml:space="preserve">x FIR x C x </m:t>
            </m:r>
            <m:sSup>
              <m:sSupPr>
                <m:ctrlPr>
                  <w:rPr>
                    <w:rFonts w:ascii="Cambria Math" w:hAnsi="Cambria Math" w:cs="Arial"/>
                  </w:rPr>
                </m:ctrlPr>
              </m:sSupPr>
              <m:e>
                <m:r>
                  <w:rPr>
                    <w:rFonts w:ascii="Cambria Math" w:hAnsi="Cambria Math" w:cs="Arial"/>
                  </w:rPr>
                  <m:t>10</m:t>
                </m:r>
              </m:e>
              <m:sup>
                <m:r>
                  <w:rPr>
                    <w:rFonts w:ascii="Cambria Math" w:hAnsi="Cambria Math" w:cs="Arial"/>
                  </w:rPr>
                  <m:t>-3</m:t>
                </m:r>
              </m:sup>
            </m:sSup>
          </m:num>
          <m:den>
            <m:sSub>
              <m:sSubPr>
                <m:ctrlPr>
                  <w:rPr>
                    <w:rFonts w:ascii="Cambria Math" w:hAnsi="Cambria Math" w:cs="Arial"/>
                  </w:rPr>
                </m:ctrlPr>
              </m:sSubPr>
              <m:e>
                <m:r>
                  <w:rPr>
                    <w:rFonts w:ascii="Cambria Math" w:hAnsi="Cambria Math" w:cs="Arial"/>
                  </w:rPr>
                  <m:t>Rfd</m:t>
                </m:r>
              </m:e>
              <m:sub>
                <m:r>
                  <w:rPr>
                    <w:rFonts w:ascii="Cambria Math" w:hAnsi="Cambria Math" w:cs="Arial"/>
                  </w:rPr>
                  <m:t xml:space="preserve">0 </m:t>
                </m:r>
              </m:sub>
            </m:sSub>
            <m:r>
              <w:rPr>
                <w:rFonts w:ascii="Cambria Math" w:hAnsi="Cambria Math" w:cs="Arial"/>
              </w:rPr>
              <m:t xml:space="preserve">x </m:t>
            </m:r>
            <m:sSub>
              <m:sSubPr>
                <m:ctrlPr>
                  <w:rPr>
                    <w:rFonts w:ascii="Cambria Math" w:hAnsi="Cambria Math" w:cs="Arial"/>
                  </w:rPr>
                </m:ctrlPr>
              </m:sSubPr>
              <m:e>
                <m:r>
                  <w:rPr>
                    <w:rFonts w:ascii="Cambria Math" w:hAnsi="Cambria Math" w:cs="Arial"/>
                  </w:rPr>
                  <m:t>BW</m:t>
                </m:r>
              </m:e>
              <m:sub>
                <m:r>
                  <w:rPr>
                    <w:rFonts w:ascii="Cambria Math" w:hAnsi="Cambria Math" w:cs="Arial"/>
                  </w:rPr>
                  <m:t xml:space="preserve">a </m:t>
                </m:r>
              </m:sub>
            </m:sSub>
            <m:r>
              <w:rPr>
                <w:rFonts w:ascii="Cambria Math" w:hAnsi="Cambria Math" w:cs="Arial"/>
              </w:rPr>
              <m:t xml:space="preserve">x </m:t>
            </m:r>
            <m:sSub>
              <m:sSubPr>
                <m:ctrlPr>
                  <w:rPr>
                    <w:rFonts w:ascii="Cambria Math" w:hAnsi="Cambria Math" w:cs="Arial"/>
                  </w:rPr>
                </m:ctrlPr>
              </m:sSubPr>
              <m:e>
                <m:r>
                  <w:rPr>
                    <w:rFonts w:ascii="Cambria Math" w:hAnsi="Cambria Math" w:cs="Arial"/>
                  </w:rPr>
                  <m:t>AT</m:t>
                </m:r>
              </m:e>
              <m:sub>
                <m:r>
                  <w:rPr>
                    <w:rFonts w:ascii="Cambria Math" w:hAnsi="Cambria Math" w:cs="Arial"/>
                  </w:rPr>
                  <m:t xml:space="preserve">n </m:t>
                </m:r>
              </m:sub>
            </m:sSub>
          </m:den>
        </m:f>
      </m:oMath>
      <w:r w:rsidRPr="002730F6">
        <w:rPr>
          <w:rFonts w:ascii="Arial" w:eastAsiaTheme="minorEastAsia" w:hAnsi="Arial" w:cs="Arial"/>
        </w:rPr>
        <w:t xml:space="preserve"> </w:t>
      </w:r>
    </w:p>
    <w:p w14:paraId="6D882D22" w14:textId="77777777" w:rsidR="003928DD" w:rsidRPr="002730F6" w:rsidRDefault="003928DD" w:rsidP="003928DD">
      <w:pPr>
        <w:spacing w:line="360" w:lineRule="auto"/>
        <w:jc w:val="both"/>
        <w:rPr>
          <w:rFonts w:ascii="Arial" w:hAnsi="Arial" w:cs="Arial"/>
        </w:rPr>
      </w:pPr>
      <w:r w:rsidRPr="002730F6">
        <w:rPr>
          <w:rFonts w:ascii="Arial" w:hAnsi="Arial" w:cs="Arial"/>
        </w:rPr>
        <w:t xml:space="preserve">Where </w:t>
      </w:r>
      <w:proofErr w:type="spellStart"/>
      <w:r w:rsidRPr="002730F6">
        <w:rPr>
          <w:rFonts w:ascii="Arial" w:hAnsi="Arial" w:cs="Arial"/>
        </w:rPr>
        <w:t>EFr</w:t>
      </w:r>
      <w:proofErr w:type="spellEnd"/>
      <w:r w:rsidRPr="002730F6">
        <w:rPr>
          <w:rFonts w:ascii="Arial" w:hAnsi="Arial" w:cs="Arial"/>
        </w:rPr>
        <w:t xml:space="preserve"> represents exposure frequency (365 days/year); </w:t>
      </w:r>
      <w:proofErr w:type="spellStart"/>
      <w:r w:rsidRPr="002730F6">
        <w:rPr>
          <w:rFonts w:ascii="Arial" w:hAnsi="Arial" w:cs="Arial"/>
        </w:rPr>
        <w:t>EDtot</w:t>
      </w:r>
      <w:proofErr w:type="spellEnd"/>
      <w:r w:rsidRPr="002730F6">
        <w:rPr>
          <w:rFonts w:ascii="Arial" w:hAnsi="Arial" w:cs="Arial"/>
        </w:rPr>
        <w:t xml:space="preserve"> signifies the total exposure duration (52 years, average lifetime); FIR denotes the food ingestion rate (5g/day), assuming local inhabitants consume at least 5g of seafood daily; C stands for the concentration of heavy metals in Crabs/Shrimps/Periwinkles (mg/kg); </w:t>
      </w:r>
      <w:proofErr w:type="spellStart"/>
      <w:r w:rsidRPr="002730F6">
        <w:rPr>
          <w:rFonts w:ascii="Arial" w:hAnsi="Arial" w:cs="Arial"/>
        </w:rPr>
        <w:t>RFDos</w:t>
      </w:r>
      <w:proofErr w:type="spellEnd"/>
      <w:r w:rsidRPr="002730F6">
        <w:rPr>
          <w:rFonts w:ascii="Arial" w:hAnsi="Arial" w:cs="Arial"/>
        </w:rPr>
        <w:t xml:space="preserve"> indicates the oral reference dose (mg/kg/day), and </w:t>
      </w:r>
      <w:proofErr w:type="spellStart"/>
      <w:r w:rsidRPr="002730F6">
        <w:rPr>
          <w:rFonts w:ascii="Arial" w:hAnsi="Arial" w:cs="Arial"/>
        </w:rPr>
        <w:t>ATn</w:t>
      </w:r>
      <w:proofErr w:type="spellEnd"/>
      <w:r w:rsidRPr="002730F6">
        <w:rPr>
          <w:rFonts w:ascii="Arial" w:hAnsi="Arial" w:cs="Arial"/>
        </w:rPr>
        <w:t xml:space="preserve"> signifies the average exposure time for non-carcinogens in days. The following reference doses were utilized: </w:t>
      </w:r>
      <w:proofErr w:type="spellStart"/>
      <w:r w:rsidRPr="002730F6">
        <w:rPr>
          <w:rFonts w:ascii="Arial" w:hAnsi="Arial" w:cs="Arial"/>
        </w:rPr>
        <w:t>Ar</w:t>
      </w:r>
      <w:proofErr w:type="spellEnd"/>
      <w:r w:rsidRPr="002730F6">
        <w:rPr>
          <w:rFonts w:ascii="Arial" w:hAnsi="Arial" w:cs="Arial"/>
        </w:rPr>
        <w:t>=2.0 x 10</w:t>
      </w:r>
      <w:r w:rsidRPr="002730F6">
        <w:rPr>
          <w:rFonts w:ascii="Arial" w:hAnsi="Arial" w:cs="Arial"/>
          <w:vertAlign w:val="superscript"/>
        </w:rPr>
        <w:t>-2</w:t>
      </w:r>
      <w:r w:rsidRPr="002730F6">
        <w:rPr>
          <w:rFonts w:ascii="Arial" w:hAnsi="Arial" w:cs="Arial"/>
        </w:rPr>
        <w:t xml:space="preserve"> (mg/kg/day), Pb=4.0 x 10</w:t>
      </w:r>
      <w:r w:rsidRPr="002730F6">
        <w:rPr>
          <w:rFonts w:ascii="Arial" w:hAnsi="Arial" w:cs="Arial"/>
          <w:vertAlign w:val="superscript"/>
        </w:rPr>
        <w:t>-3</w:t>
      </w:r>
      <w:r w:rsidRPr="002730F6">
        <w:rPr>
          <w:rFonts w:ascii="Arial" w:hAnsi="Arial" w:cs="Arial"/>
        </w:rPr>
        <w:t xml:space="preserve"> (mg/kg/day), and Cd=1.0 x 10</w:t>
      </w:r>
      <w:r w:rsidRPr="002730F6">
        <w:rPr>
          <w:rFonts w:ascii="Arial" w:hAnsi="Arial" w:cs="Arial"/>
          <w:vertAlign w:val="superscript"/>
        </w:rPr>
        <w:t>-3</w:t>
      </w:r>
      <w:r w:rsidRPr="002730F6">
        <w:rPr>
          <w:rFonts w:ascii="Arial" w:hAnsi="Arial" w:cs="Arial"/>
        </w:rPr>
        <w:t xml:space="preserve"> (mg/kg/day).</w:t>
      </w:r>
      <w:r w:rsidR="004C6953" w:rsidRPr="002730F6">
        <w:rPr>
          <w:rFonts w:ascii="Arial" w:hAnsi="Arial" w:cs="Arial"/>
        </w:rPr>
        <w:t xml:space="preserve"> The</w:t>
      </w:r>
      <w:r w:rsidRPr="002730F6">
        <w:rPr>
          <w:rFonts w:ascii="Arial" w:hAnsi="Arial" w:cs="Arial"/>
        </w:rPr>
        <w:t xml:space="preserve"> </w:t>
      </w:r>
      <w:proofErr w:type="spellStart"/>
      <w:r w:rsidRPr="002730F6">
        <w:rPr>
          <w:rFonts w:ascii="Arial" w:hAnsi="Arial" w:cs="Arial"/>
        </w:rPr>
        <w:t>BWa</w:t>
      </w:r>
      <w:proofErr w:type="spellEnd"/>
      <w:r w:rsidRPr="002730F6">
        <w:rPr>
          <w:rFonts w:ascii="Arial" w:hAnsi="Arial" w:cs="Arial"/>
        </w:rPr>
        <w:t xml:space="preserve"> represents the average adult body weight (70 kg), and </w:t>
      </w:r>
      <w:proofErr w:type="spellStart"/>
      <w:r w:rsidRPr="002730F6">
        <w:rPr>
          <w:rFonts w:ascii="Arial" w:hAnsi="Arial" w:cs="Arial"/>
        </w:rPr>
        <w:t>ATn</w:t>
      </w:r>
      <w:proofErr w:type="spellEnd"/>
      <w:r w:rsidRPr="002730F6">
        <w:rPr>
          <w:rFonts w:ascii="Arial" w:hAnsi="Arial" w:cs="Arial"/>
        </w:rPr>
        <w:t xml:space="preserve"> is the average exposure time for non-carcinogens (365 days/year × number of exposure years, assuming 52 years). Since exposure to two or more pollutants may result in additive and/or interactive effects, the total THQs in this study were treated as the arithmetic sum of the individual metal THQ values, derived by </w:t>
      </w:r>
      <w:r w:rsidR="00B55A68" w:rsidRPr="002730F6">
        <w:rPr>
          <w:rFonts w:ascii="Arial" w:hAnsi="Arial" w:cs="Arial"/>
        </w:rPr>
        <w:t>the method of Ullah et al.</w:t>
      </w:r>
      <w:r w:rsidR="008F2661" w:rsidRPr="002730F6">
        <w:rPr>
          <w:rFonts w:ascii="Arial" w:hAnsi="Arial" w:cs="Arial"/>
        </w:rPr>
        <w:t xml:space="preserve"> [27</w:t>
      </w:r>
      <w:r w:rsidR="008C476B" w:rsidRPr="002730F6">
        <w:rPr>
          <w:rFonts w:ascii="Arial" w:hAnsi="Arial" w:cs="Arial"/>
        </w:rPr>
        <w:t>]</w:t>
      </w:r>
      <w:r w:rsidRPr="002730F6">
        <w:rPr>
          <w:rFonts w:ascii="Arial" w:hAnsi="Arial" w:cs="Arial"/>
        </w:rPr>
        <w:t>.</w:t>
      </w:r>
    </w:p>
    <w:p w14:paraId="1C385ADA" w14:textId="77777777" w:rsidR="006F32E2" w:rsidRPr="002730F6" w:rsidRDefault="006F32E2" w:rsidP="003928DD">
      <w:pPr>
        <w:spacing w:line="360" w:lineRule="auto"/>
        <w:jc w:val="both"/>
        <w:rPr>
          <w:rFonts w:ascii="Arial" w:hAnsi="Arial" w:cs="Arial"/>
        </w:rPr>
      </w:pPr>
      <w:r w:rsidRPr="002730F6">
        <w:rPr>
          <w:rFonts w:ascii="Arial" w:hAnsi="Arial" w:cs="Arial"/>
          <w:b/>
        </w:rPr>
        <w:t>2.5.3 Health Risk Index (HRI)</w:t>
      </w:r>
      <w:r w:rsidR="003928DD" w:rsidRPr="002730F6">
        <w:rPr>
          <w:rFonts w:ascii="Arial" w:hAnsi="Arial" w:cs="Arial"/>
        </w:rPr>
        <w:t xml:space="preserve"> </w:t>
      </w:r>
    </w:p>
    <w:p w14:paraId="39022D72" w14:textId="77777777" w:rsidR="003928DD" w:rsidRPr="002730F6" w:rsidRDefault="003928DD" w:rsidP="003928DD">
      <w:pPr>
        <w:spacing w:line="360" w:lineRule="auto"/>
        <w:jc w:val="both"/>
        <w:rPr>
          <w:rFonts w:ascii="Arial" w:hAnsi="Arial" w:cs="Arial"/>
        </w:rPr>
      </w:pPr>
      <w:r w:rsidRPr="002730F6">
        <w:rPr>
          <w:rFonts w:ascii="Arial" w:hAnsi="Arial" w:cs="Arial"/>
        </w:rPr>
        <w:t>The health risk index (HRI</w:t>
      </w:r>
      <w:r w:rsidR="004C6953" w:rsidRPr="002730F6">
        <w:rPr>
          <w:rFonts w:ascii="Arial" w:hAnsi="Arial" w:cs="Arial"/>
        </w:rPr>
        <w:t>) method</w:t>
      </w:r>
      <w:r w:rsidR="008F2661" w:rsidRPr="002730F6">
        <w:rPr>
          <w:rFonts w:ascii="Arial" w:hAnsi="Arial" w:cs="Arial"/>
        </w:rPr>
        <w:t xml:space="preserve"> by Hu et al. [30</w:t>
      </w:r>
      <w:r w:rsidR="008C476B" w:rsidRPr="002730F6">
        <w:rPr>
          <w:rFonts w:ascii="Arial" w:hAnsi="Arial" w:cs="Arial"/>
        </w:rPr>
        <w:t>]</w:t>
      </w:r>
      <w:r w:rsidRPr="002730F6">
        <w:rPr>
          <w:rFonts w:ascii="Arial" w:hAnsi="Arial" w:cs="Arial"/>
        </w:rPr>
        <w:t xml:space="preserve"> was adopted for this study. Below is the equation:</w:t>
      </w:r>
    </w:p>
    <w:p w14:paraId="2396367F" w14:textId="77777777" w:rsidR="003928DD" w:rsidRPr="002730F6" w:rsidRDefault="003928DD" w:rsidP="003928DD">
      <w:pPr>
        <w:spacing w:line="360" w:lineRule="auto"/>
        <w:jc w:val="both"/>
        <w:rPr>
          <w:rFonts w:ascii="Arial" w:eastAsiaTheme="minorEastAsia" w:hAnsi="Arial" w:cs="Arial"/>
        </w:rPr>
      </w:pPr>
      <m:oMathPara>
        <m:oMath>
          <m:r>
            <w:rPr>
              <w:rFonts w:ascii="Cambria Math" w:hAnsi="Cambria Math" w:cs="Arial"/>
            </w:rPr>
            <m:t>HRI</m:t>
          </m:r>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EDI</m:t>
              </m:r>
            </m:num>
            <m:den>
              <m:r>
                <w:rPr>
                  <w:rFonts w:ascii="Cambria Math" w:hAnsi="Cambria Math" w:cs="Arial"/>
                </w:rPr>
                <m:t>Rfd</m:t>
              </m:r>
            </m:den>
          </m:f>
        </m:oMath>
      </m:oMathPara>
    </w:p>
    <w:p w14:paraId="54B575EF" w14:textId="77777777" w:rsidR="003928DD" w:rsidRPr="002730F6" w:rsidRDefault="003928DD" w:rsidP="003928DD">
      <w:pPr>
        <w:spacing w:line="360" w:lineRule="auto"/>
        <w:jc w:val="both"/>
        <w:rPr>
          <w:rFonts w:ascii="Arial" w:hAnsi="Arial" w:cs="Arial"/>
        </w:rPr>
      </w:pPr>
      <w:r w:rsidRPr="002730F6">
        <w:rPr>
          <w:rFonts w:ascii="Arial" w:hAnsi="Arial" w:cs="Arial"/>
        </w:rPr>
        <w:t>An HRI less than 1 means the exposed population is unlikely to experience obvious adverse effects, whereas at HRI above 1 mean</w:t>
      </w:r>
      <w:r w:rsidR="00C24B25" w:rsidRPr="002730F6">
        <w:rPr>
          <w:rFonts w:ascii="Arial" w:hAnsi="Arial" w:cs="Arial"/>
        </w:rPr>
        <w:t xml:space="preserve">s that there is a chance of </w:t>
      </w:r>
      <w:r w:rsidRPr="002730F6">
        <w:rPr>
          <w:rFonts w:ascii="Arial" w:hAnsi="Arial" w:cs="Arial"/>
        </w:rPr>
        <w:t>carcinogenic effects, with an increasing probability as the value increases. Where reference oral doses (</w:t>
      </w:r>
      <w:proofErr w:type="spellStart"/>
      <w:r w:rsidRPr="002730F6">
        <w:rPr>
          <w:rFonts w:ascii="Arial" w:hAnsi="Arial" w:cs="Arial"/>
        </w:rPr>
        <w:t>RfD</w:t>
      </w:r>
      <w:proofErr w:type="spellEnd"/>
      <w:r w:rsidRPr="002730F6">
        <w:rPr>
          <w:rFonts w:ascii="Arial" w:hAnsi="Arial" w:cs="Arial"/>
        </w:rPr>
        <w:t xml:space="preserve">) for </w:t>
      </w:r>
      <w:proofErr w:type="spellStart"/>
      <w:r w:rsidRPr="002730F6">
        <w:rPr>
          <w:rFonts w:ascii="Arial" w:hAnsi="Arial" w:cs="Arial"/>
        </w:rPr>
        <w:t>Ar</w:t>
      </w:r>
      <w:proofErr w:type="spellEnd"/>
      <w:r w:rsidRPr="002730F6">
        <w:rPr>
          <w:rFonts w:ascii="Arial" w:hAnsi="Arial" w:cs="Arial"/>
        </w:rPr>
        <w:t>, Pb, and Cd are 3.5 x 10</w:t>
      </w:r>
      <w:r w:rsidRPr="002730F6">
        <w:rPr>
          <w:rFonts w:ascii="Arial" w:hAnsi="Arial" w:cs="Arial"/>
          <w:vertAlign w:val="superscript"/>
        </w:rPr>
        <w:t>-3</w:t>
      </w:r>
      <w:r w:rsidRPr="002730F6">
        <w:rPr>
          <w:rFonts w:ascii="Arial" w:hAnsi="Arial" w:cs="Arial"/>
        </w:rPr>
        <w:t>, 1.4 x 10</w:t>
      </w:r>
      <w:r w:rsidRPr="002730F6">
        <w:rPr>
          <w:rFonts w:ascii="Arial" w:hAnsi="Arial" w:cs="Arial"/>
          <w:vertAlign w:val="superscript"/>
        </w:rPr>
        <w:t>-1</w:t>
      </w:r>
      <w:r w:rsidRPr="002730F6">
        <w:rPr>
          <w:rFonts w:ascii="Arial" w:hAnsi="Arial" w:cs="Arial"/>
        </w:rPr>
        <w:t xml:space="preserve"> and 1.0 x 10</w:t>
      </w:r>
      <w:r w:rsidRPr="002730F6">
        <w:rPr>
          <w:rFonts w:ascii="Arial" w:hAnsi="Arial" w:cs="Arial"/>
          <w:vertAlign w:val="superscript"/>
        </w:rPr>
        <w:t>-3</w:t>
      </w:r>
      <w:r w:rsidRPr="002730F6">
        <w:rPr>
          <w:rFonts w:ascii="Arial" w:hAnsi="Arial" w:cs="Arial"/>
        </w:rPr>
        <w:t xml:space="preserve"> mg/kg/ day re</w:t>
      </w:r>
      <w:r w:rsidR="008F2661" w:rsidRPr="002730F6">
        <w:rPr>
          <w:rFonts w:ascii="Arial" w:hAnsi="Arial" w:cs="Arial"/>
        </w:rPr>
        <w:t>spectively [31</w:t>
      </w:r>
      <w:r w:rsidR="008C476B" w:rsidRPr="002730F6">
        <w:rPr>
          <w:rFonts w:ascii="Arial" w:hAnsi="Arial" w:cs="Arial"/>
        </w:rPr>
        <w:t>]</w:t>
      </w:r>
      <w:r w:rsidRPr="002730F6">
        <w:rPr>
          <w:rFonts w:ascii="Arial" w:hAnsi="Arial" w:cs="Arial"/>
        </w:rPr>
        <w:t>.</w:t>
      </w:r>
    </w:p>
    <w:p w14:paraId="507A3CD2" w14:textId="77777777" w:rsidR="003928DD" w:rsidRPr="002730F6" w:rsidRDefault="003928DD" w:rsidP="003928DD">
      <w:pPr>
        <w:spacing w:line="360" w:lineRule="auto"/>
        <w:jc w:val="both"/>
        <w:rPr>
          <w:rFonts w:ascii="Arial" w:hAnsi="Arial" w:cs="Arial"/>
          <w:b/>
          <w:bCs/>
          <w:sz w:val="22"/>
          <w:szCs w:val="22"/>
        </w:rPr>
      </w:pPr>
      <w:r w:rsidRPr="002730F6">
        <w:rPr>
          <w:rFonts w:ascii="Arial" w:hAnsi="Arial" w:cs="Arial"/>
          <w:b/>
          <w:bCs/>
          <w:sz w:val="22"/>
          <w:szCs w:val="22"/>
        </w:rPr>
        <w:t>2.6 Data Analysis</w:t>
      </w:r>
    </w:p>
    <w:p w14:paraId="7C7C2CD0" w14:textId="77777777" w:rsidR="003928DD" w:rsidRPr="002730F6" w:rsidRDefault="003928DD" w:rsidP="003928DD">
      <w:pPr>
        <w:spacing w:line="360" w:lineRule="auto"/>
        <w:jc w:val="both"/>
        <w:rPr>
          <w:rFonts w:ascii="Arial" w:hAnsi="Arial" w:cs="Arial"/>
        </w:rPr>
      </w:pPr>
      <w:r w:rsidRPr="002730F6">
        <w:rPr>
          <w:rFonts w:ascii="Arial" w:hAnsi="Arial" w:cs="Arial"/>
        </w:rPr>
        <w:t>All data and charts were computed using Microsoft Excel version 16.</w:t>
      </w:r>
    </w:p>
    <w:p w14:paraId="42D01050" w14:textId="77777777" w:rsidR="00CE02ED" w:rsidRPr="002730F6" w:rsidRDefault="00CE02ED" w:rsidP="00CE02ED">
      <w:pPr>
        <w:pStyle w:val="AbstHead"/>
        <w:spacing w:after="0"/>
        <w:jc w:val="both"/>
        <w:rPr>
          <w:rFonts w:ascii="Arial" w:hAnsi="Arial" w:cs="Arial"/>
        </w:rPr>
      </w:pPr>
    </w:p>
    <w:p w14:paraId="430EA481" w14:textId="77777777" w:rsidR="00CE02ED" w:rsidRPr="002730F6" w:rsidRDefault="00CE02ED" w:rsidP="00CE02ED">
      <w:pPr>
        <w:pStyle w:val="Head1"/>
        <w:spacing w:after="0"/>
        <w:jc w:val="both"/>
        <w:rPr>
          <w:rFonts w:ascii="Arial" w:hAnsi="Arial" w:cs="Arial"/>
          <w:sz w:val="20"/>
        </w:rPr>
      </w:pPr>
      <w:r w:rsidRPr="002730F6">
        <w:rPr>
          <w:rFonts w:ascii="Arial" w:hAnsi="Arial" w:cs="Arial"/>
        </w:rPr>
        <w:t>3. results and discussion</w:t>
      </w:r>
    </w:p>
    <w:p w14:paraId="23C9C1BB" w14:textId="77777777" w:rsidR="002F71B4" w:rsidRPr="002730F6" w:rsidRDefault="002F71B4" w:rsidP="002F71B4">
      <w:pPr>
        <w:spacing w:line="360" w:lineRule="auto"/>
        <w:jc w:val="both"/>
        <w:rPr>
          <w:rFonts w:ascii="Arial" w:hAnsi="Arial" w:cs="Arial"/>
          <w:b/>
          <w:bCs/>
          <w:sz w:val="22"/>
          <w:szCs w:val="22"/>
        </w:rPr>
      </w:pPr>
      <w:r w:rsidRPr="002730F6">
        <w:rPr>
          <w:rFonts w:ascii="Arial" w:hAnsi="Arial" w:cs="Arial"/>
          <w:b/>
          <w:bCs/>
          <w:sz w:val="22"/>
          <w:szCs w:val="22"/>
        </w:rPr>
        <w:t>3.1 Concentrations of Heavy Metals in Seafood Samples</w:t>
      </w:r>
    </w:p>
    <w:p w14:paraId="0E19E6BF" w14:textId="77777777" w:rsidR="006A01CD" w:rsidRPr="002730F6" w:rsidRDefault="002F71B4" w:rsidP="00BB5DCE">
      <w:pPr>
        <w:shd w:val="clear" w:color="auto" w:fill="FFFFFF"/>
        <w:spacing w:line="375" w:lineRule="atLeast"/>
        <w:jc w:val="both"/>
        <w:rPr>
          <w:rFonts w:ascii="Arial" w:hAnsi="Arial" w:cs="Arial"/>
          <w:bCs/>
        </w:rPr>
      </w:pPr>
      <w:r w:rsidRPr="002730F6">
        <w:rPr>
          <w:rFonts w:ascii="Arial" w:hAnsi="Arial" w:cs="Arial"/>
        </w:rPr>
        <w:lastRenderedPageBreak/>
        <w:t xml:space="preserve">The heavy metal analysis of seafood samples from Ogbe </w:t>
      </w:r>
      <w:proofErr w:type="spellStart"/>
      <w:r w:rsidRPr="002730F6">
        <w:rPr>
          <w:rFonts w:ascii="Arial" w:hAnsi="Arial" w:cs="Arial"/>
        </w:rPr>
        <w:t>Ijoh</w:t>
      </w:r>
      <w:proofErr w:type="spellEnd"/>
      <w:r w:rsidRPr="002730F6">
        <w:rPr>
          <w:rFonts w:ascii="Arial" w:hAnsi="Arial" w:cs="Arial"/>
        </w:rPr>
        <w:t xml:space="preserve"> market revealed varying levels of cadmium, lead, mercury, and arsenic in Crabs, Shrimps, and Periwinkles in both wet and dry season. For Crabs, cadmium levels were 0.16 mg/kg (wet) and 0.41 mg/kg (dry season), and lead levels were notably higher at 1.33 mg/kg (wet season) and 1.63 mg/kg (dry season). Both mercury and arsenic were below detectable levels (&lt;0.001 </w:t>
      </w:r>
      <w:r w:rsidR="0040624B" w:rsidRPr="002730F6">
        <w:rPr>
          <w:rFonts w:ascii="Arial" w:hAnsi="Arial" w:cs="Arial"/>
        </w:rPr>
        <w:t>mg/kg) in Crab samples. Shrimp</w:t>
      </w:r>
      <w:r w:rsidRPr="002730F6">
        <w:rPr>
          <w:rFonts w:ascii="Arial" w:hAnsi="Arial" w:cs="Arial"/>
        </w:rPr>
        <w:t xml:space="preserve"> samples showed no detectable cadmium (&lt;0.001 mg/kg) in both wet and dry seasons, while lead was present at 0.672 mg/kg (wet season) and 0.88 mg/kg (dry season). Mercury and arsenic in Shrimps were below detectable levels as observed in Crabs. </w:t>
      </w:r>
      <w:r w:rsidR="0040624B" w:rsidRPr="002730F6">
        <w:rPr>
          <w:rFonts w:ascii="Arial" w:hAnsi="Arial" w:cs="Arial"/>
        </w:rPr>
        <w:t>Periwinkle</w:t>
      </w:r>
      <w:r w:rsidRPr="002730F6">
        <w:rPr>
          <w:rFonts w:ascii="Arial" w:hAnsi="Arial" w:cs="Arial"/>
        </w:rPr>
        <w:t xml:space="preserve"> samples contained 0.32 mg/kg (wet season) and 0.16 mg/kg (dry season) of cadmium, with lead levels at 1.04 mg/kg (wet season) and 1.24 mg/kg (dry season). Again, mercury and arsenic levels in Periwinkles were below detectable limits. The results indicated that lead was the m</w:t>
      </w:r>
      <w:r w:rsidR="0040624B" w:rsidRPr="002730F6">
        <w:rPr>
          <w:rFonts w:ascii="Arial" w:hAnsi="Arial" w:cs="Arial"/>
        </w:rPr>
        <w:t>ost prevalent heavy metal in</w:t>
      </w:r>
      <w:r w:rsidRPr="002730F6">
        <w:rPr>
          <w:rFonts w:ascii="Arial" w:hAnsi="Arial" w:cs="Arial"/>
        </w:rPr>
        <w:t xml:space="preserve"> all seafood types, particularly in the dry season, while cadmium was present in varying amounts, especially in Crabs and Periwinkles. </w:t>
      </w:r>
      <w:r w:rsidR="003C36B3" w:rsidRPr="002730F6">
        <w:rPr>
          <w:rFonts w:ascii="Arial" w:hAnsi="Arial" w:cs="Arial"/>
        </w:rPr>
        <w:t>Our results were in</w:t>
      </w:r>
      <w:r w:rsidR="00BB5DCE" w:rsidRPr="002730F6">
        <w:rPr>
          <w:rFonts w:ascii="Arial" w:hAnsi="Arial" w:cs="Arial"/>
        </w:rPr>
        <w:t xml:space="preserve"> agreement with those of </w:t>
      </w:r>
      <w:r w:rsidR="00BB5DCE" w:rsidRPr="002730F6">
        <w:rPr>
          <w:rFonts w:ascii="Arial" w:hAnsi="Arial" w:cs="Arial"/>
          <w:bCs/>
        </w:rPr>
        <w:t xml:space="preserve">Akintade </w:t>
      </w:r>
      <w:r w:rsidR="008F2661" w:rsidRPr="002730F6">
        <w:rPr>
          <w:rFonts w:ascii="Arial" w:hAnsi="Arial" w:cs="Arial"/>
        </w:rPr>
        <w:t>et al. [32]</w:t>
      </w:r>
      <w:r w:rsidR="00E750BF" w:rsidRPr="002730F6">
        <w:rPr>
          <w:rFonts w:ascii="Arial" w:hAnsi="Arial" w:cs="Arial"/>
        </w:rPr>
        <w:t>, they reported</w:t>
      </w:r>
      <w:r w:rsidR="004C6953" w:rsidRPr="002730F6">
        <w:rPr>
          <w:rFonts w:ascii="Arial" w:hAnsi="Arial" w:cs="Arial"/>
        </w:rPr>
        <w:t xml:space="preserve"> the</w:t>
      </w:r>
      <w:r w:rsidR="00E750BF" w:rsidRPr="002730F6">
        <w:rPr>
          <w:rFonts w:ascii="Arial" w:hAnsi="Arial" w:cs="Arial"/>
        </w:rPr>
        <w:t xml:space="preserve"> presence</w:t>
      </w:r>
      <w:r w:rsidR="003C36B3" w:rsidRPr="002730F6">
        <w:rPr>
          <w:rFonts w:ascii="Arial" w:hAnsi="Arial" w:cs="Arial"/>
        </w:rPr>
        <w:t xml:space="preserve"> of lead</w:t>
      </w:r>
      <w:r w:rsidR="0021410D" w:rsidRPr="002730F6">
        <w:rPr>
          <w:rFonts w:ascii="Arial" w:hAnsi="Arial" w:cs="Arial"/>
        </w:rPr>
        <w:t xml:space="preserve"> and cadmium</w:t>
      </w:r>
      <w:r w:rsidR="003C36B3" w:rsidRPr="002730F6">
        <w:rPr>
          <w:rFonts w:ascii="Arial" w:hAnsi="Arial" w:cs="Arial"/>
        </w:rPr>
        <w:t xml:space="preserve"> in shrimps from three different markets in Lagos. Also, they stated that arsenic values were</w:t>
      </w:r>
      <w:r w:rsidR="00CF36B6" w:rsidRPr="002730F6">
        <w:rPr>
          <w:rFonts w:ascii="Arial" w:hAnsi="Arial" w:cs="Arial"/>
        </w:rPr>
        <w:t xml:space="preserve"> within </w:t>
      </w:r>
      <w:r w:rsidR="003C36B3" w:rsidRPr="002730F6">
        <w:rPr>
          <w:rFonts w:ascii="Arial" w:hAnsi="Arial" w:cs="Arial"/>
        </w:rPr>
        <w:t xml:space="preserve">WHO </w:t>
      </w:r>
      <w:r w:rsidR="0021410D" w:rsidRPr="002730F6">
        <w:rPr>
          <w:rFonts w:ascii="Arial" w:hAnsi="Arial" w:cs="Arial"/>
        </w:rPr>
        <w:t>standards</w:t>
      </w:r>
      <w:r w:rsidR="00A05EA9" w:rsidRPr="002730F6">
        <w:rPr>
          <w:rFonts w:ascii="Arial" w:hAnsi="Arial" w:cs="Arial"/>
        </w:rPr>
        <w:t>.</w:t>
      </w:r>
      <w:r w:rsidR="003C36B3" w:rsidRPr="002730F6">
        <w:rPr>
          <w:rFonts w:ascii="Arial" w:hAnsi="Arial" w:cs="Arial"/>
        </w:rPr>
        <w:t xml:space="preserve"> </w:t>
      </w:r>
      <w:r w:rsidR="00373E4B" w:rsidRPr="002730F6">
        <w:t xml:space="preserve"> Lastly, t</w:t>
      </w:r>
      <w:r w:rsidR="00E750BF" w:rsidRPr="002730F6">
        <w:t xml:space="preserve">he mean values of Cd and Pb exceeded </w:t>
      </w:r>
      <w:r w:rsidR="00E90E39" w:rsidRPr="002730F6">
        <w:t>the permissible limi</w:t>
      </w:r>
      <w:r w:rsidR="00E750BF" w:rsidRPr="002730F6">
        <w:t>ts set by the World Health Organization,</w:t>
      </w:r>
      <w:r w:rsidR="00E90E39" w:rsidRPr="002730F6">
        <w:t xml:space="preserve"> and Food and Agricultural Organization</w:t>
      </w:r>
      <w:r w:rsidR="005827EA" w:rsidRPr="002730F6">
        <w:t xml:space="preserve"> (0.3mg/)</w:t>
      </w:r>
      <w:r w:rsidR="00E90E39" w:rsidRPr="002730F6">
        <w:t xml:space="preserve"> for shrimp</w:t>
      </w:r>
      <w:r w:rsidR="00E750BF" w:rsidRPr="002730F6">
        <w:t>.</w:t>
      </w:r>
    </w:p>
    <w:p w14:paraId="12B5EFA0" w14:textId="77777777" w:rsidR="002F71B4" w:rsidRPr="002730F6" w:rsidRDefault="002F71B4" w:rsidP="002F71B4">
      <w:pPr>
        <w:spacing w:line="360" w:lineRule="auto"/>
        <w:jc w:val="both"/>
        <w:rPr>
          <w:rFonts w:ascii="Arial" w:hAnsi="Arial" w:cs="Arial"/>
        </w:rPr>
      </w:pPr>
      <w:r w:rsidRPr="002730F6">
        <w:rPr>
          <w:rFonts w:ascii="Arial" w:hAnsi="Arial" w:cs="Arial"/>
        </w:rPr>
        <w:t xml:space="preserve">Slight variations in heavy metal concentrations may be attributed to environmental factors such as water quality and pollution levels in the </w:t>
      </w:r>
      <w:proofErr w:type="spellStart"/>
      <w:r w:rsidRPr="002730F6">
        <w:rPr>
          <w:rFonts w:ascii="Arial" w:hAnsi="Arial" w:cs="Arial"/>
        </w:rPr>
        <w:t>Yokri</w:t>
      </w:r>
      <w:proofErr w:type="spellEnd"/>
      <w:r w:rsidRPr="002730F6">
        <w:rPr>
          <w:rFonts w:ascii="Arial" w:hAnsi="Arial" w:cs="Arial"/>
        </w:rPr>
        <w:t xml:space="preserve"> River, which has a flow station where oil and gas activities take place. These industrial activities likely contribute to the presence of heavy metals in the water, subsequently affecting the seafood collected from this area. Weather conditions, including rainfall and river flow rates, may also influence the distribution and concentration of these contaminants.</w:t>
      </w:r>
      <w:r w:rsidR="00CF3E3C" w:rsidRPr="002730F6">
        <w:rPr>
          <w:rFonts w:ascii="Arial" w:hAnsi="Arial" w:cs="Arial"/>
        </w:rPr>
        <w:t xml:space="preserve"> Furthermore, </w:t>
      </w:r>
      <w:r w:rsidR="006A01CD" w:rsidRPr="002730F6">
        <w:rPr>
          <w:rFonts w:ascii="Arial" w:hAnsi="Arial" w:cs="Arial"/>
        </w:rPr>
        <w:t>amplified</w:t>
      </w:r>
      <w:r w:rsidR="0021410D" w:rsidRPr="002730F6">
        <w:rPr>
          <w:rFonts w:ascii="Arial" w:hAnsi="Arial" w:cs="Arial"/>
        </w:rPr>
        <w:t xml:space="preserve"> heavy metal concentrations are attributed to higher physiological activities, higher exploration </w:t>
      </w:r>
      <w:r w:rsidR="006A01CD" w:rsidRPr="002730F6">
        <w:rPr>
          <w:rFonts w:ascii="Arial" w:hAnsi="Arial" w:cs="Arial"/>
        </w:rPr>
        <w:t xml:space="preserve">of oil/industrial activities </w:t>
      </w:r>
      <w:r w:rsidR="0021410D" w:rsidRPr="002730F6">
        <w:rPr>
          <w:rFonts w:ascii="Arial" w:hAnsi="Arial" w:cs="Arial"/>
        </w:rPr>
        <w:t xml:space="preserve">as well as </w:t>
      </w:r>
      <w:r w:rsidR="006A01CD" w:rsidRPr="002730F6">
        <w:rPr>
          <w:rFonts w:ascii="Arial" w:hAnsi="Arial" w:cs="Arial"/>
        </w:rPr>
        <w:t>increased</w:t>
      </w:r>
      <w:r w:rsidR="0021410D" w:rsidRPr="002730F6">
        <w:rPr>
          <w:rFonts w:ascii="Arial" w:hAnsi="Arial" w:cs="Arial"/>
        </w:rPr>
        <w:t xml:space="preserve"> growth rates of these sea biota</w:t>
      </w:r>
      <w:r w:rsidR="009273D6" w:rsidRPr="002730F6">
        <w:rPr>
          <w:rFonts w:ascii="Arial" w:hAnsi="Arial" w:cs="Arial"/>
        </w:rPr>
        <w:t xml:space="preserve"> during the dry season</w:t>
      </w:r>
      <w:r w:rsidR="008F2661" w:rsidRPr="002730F6">
        <w:rPr>
          <w:rFonts w:ascii="Arial" w:hAnsi="Arial" w:cs="Arial"/>
        </w:rPr>
        <w:t xml:space="preserve"> [17]</w:t>
      </w:r>
      <w:r w:rsidR="0021410D" w:rsidRPr="002730F6">
        <w:rPr>
          <w:rFonts w:ascii="Arial" w:hAnsi="Arial" w:cs="Arial"/>
        </w:rPr>
        <w:t>.</w:t>
      </w:r>
      <w:r w:rsidR="00CF3E3C" w:rsidRPr="002730F6">
        <w:rPr>
          <w:rFonts w:ascii="Arial" w:hAnsi="Arial" w:cs="Arial"/>
        </w:rPr>
        <w:t xml:space="preserve"> </w:t>
      </w:r>
      <w:r w:rsidRPr="002730F6">
        <w:rPr>
          <w:rFonts w:ascii="Arial" w:hAnsi="Arial" w:cs="Arial"/>
        </w:rPr>
        <w:t>These findings suggest</w:t>
      </w:r>
      <w:r w:rsidR="00872BC1" w:rsidRPr="002730F6">
        <w:rPr>
          <w:rFonts w:ascii="Arial" w:hAnsi="Arial" w:cs="Arial"/>
        </w:rPr>
        <w:t>ed</w:t>
      </w:r>
      <w:r w:rsidRPr="002730F6">
        <w:rPr>
          <w:rFonts w:ascii="Arial" w:hAnsi="Arial" w:cs="Arial"/>
        </w:rPr>
        <w:t xml:space="preserve"> variations in heavy metal accumulation among different seafood speci</w:t>
      </w:r>
      <w:r w:rsidR="006A01CD" w:rsidRPr="002730F6">
        <w:rPr>
          <w:rFonts w:ascii="Arial" w:hAnsi="Arial" w:cs="Arial"/>
        </w:rPr>
        <w:t xml:space="preserve">es, with potential implications </w:t>
      </w:r>
      <w:r w:rsidRPr="002730F6">
        <w:rPr>
          <w:rFonts w:ascii="Arial" w:hAnsi="Arial" w:cs="Arial"/>
        </w:rPr>
        <w:t>for human health and environmental quality.</w:t>
      </w:r>
    </w:p>
    <w:p w14:paraId="68B6967A" w14:textId="77777777" w:rsidR="002F71B4" w:rsidRPr="002730F6" w:rsidRDefault="002F71B4" w:rsidP="002F71B4">
      <w:pPr>
        <w:spacing w:line="360" w:lineRule="auto"/>
        <w:jc w:val="both"/>
        <w:rPr>
          <w:rFonts w:ascii="Arial" w:hAnsi="Arial" w:cs="Arial"/>
        </w:rPr>
      </w:pPr>
      <w:r w:rsidRPr="002730F6">
        <w:rPr>
          <w:rFonts w:ascii="Arial" w:hAnsi="Arial" w:cs="Arial"/>
          <w:noProof/>
        </w:rPr>
        <w:drawing>
          <wp:inline distT="0" distB="0" distL="0" distR="0" wp14:anchorId="20573D2D" wp14:editId="4DD2A683">
            <wp:extent cx="6096000" cy="3710940"/>
            <wp:effectExtent l="0" t="0" r="0" b="3810"/>
            <wp:docPr id="1331285117" name="Chart 1">
              <a:extLst xmlns:a="http://schemas.openxmlformats.org/drawingml/2006/main">
                <a:ext uri="{FF2B5EF4-FFF2-40B4-BE49-F238E27FC236}">
                  <a16:creationId xmlns:a16="http://schemas.microsoft.com/office/drawing/2014/main" id="{6AFCC80F-9D47-9AC3-ADA0-49EE634714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FB7BFDB" w14:textId="77777777" w:rsidR="002F71B4" w:rsidRPr="002730F6" w:rsidRDefault="002F71B4" w:rsidP="002F71B4">
      <w:pPr>
        <w:spacing w:line="360" w:lineRule="auto"/>
        <w:jc w:val="both"/>
        <w:rPr>
          <w:rFonts w:ascii="Arial" w:hAnsi="Arial" w:cs="Arial"/>
        </w:rPr>
      </w:pPr>
      <w:r w:rsidRPr="002730F6">
        <w:rPr>
          <w:rFonts w:ascii="Arial" w:hAnsi="Arial" w:cs="Arial"/>
        </w:rPr>
        <w:t xml:space="preserve">Fig.1: </w:t>
      </w:r>
      <w:r w:rsidR="00F64637" w:rsidRPr="002730F6">
        <w:rPr>
          <w:rFonts w:ascii="Arial" w:hAnsi="Arial" w:cs="Arial"/>
        </w:rPr>
        <w:t>Concentrations of heavy metals (mg/kg) in f</w:t>
      </w:r>
      <w:r w:rsidRPr="002730F6">
        <w:rPr>
          <w:rFonts w:ascii="Arial" w:hAnsi="Arial" w:cs="Arial"/>
        </w:rPr>
        <w:t xml:space="preserve">resh Crabs, </w:t>
      </w:r>
      <w:r w:rsidR="00F64637" w:rsidRPr="002730F6">
        <w:rPr>
          <w:rFonts w:ascii="Arial" w:hAnsi="Arial" w:cs="Arial"/>
        </w:rPr>
        <w:t>Shrimps, and Periwinkles</w:t>
      </w:r>
      <w:r w:rsidRPr="002730F6">
        <w:rPr>
          <w:rFonts w:ascii="Arial" w:hAnsi="Arial" w:cs="Arial"/>
        </w:rPr>
        <w:t xml:space="preserve"> </w:t>
      </w:r>
    </w:p>
    <w:p w14:paraId="0747FFDE" w14:textId="77777777" w:rsidR="001E67D9" w:rsidRPr="002730F6" w:rsidRDefault="001E67D9" w:rsidP="001E67D9">
      <w:pPr>
        <w:pStyle w:val="Body"/>
        <w:spacing w:after="0" w:line="480" w:lineRule="auto"/>
        <w:rPr>
          <w:rFonts w:ascii="Arial" w:hAnsi="Arial" w:cs="Arial"/>
        </w:rPr>
      </w:pPr>
      <w:r w:rsidRPr="002730F6">
        <w:rPr>
          <w:rFonts w:ascii="Arial" w:hAnsi="Arial" w:cs="Arial"/>
        </w:rPr>
        <w:lastRenderedPageBreak/>
        <w:t>* Results are in mean ± standard deviation</w:t>
      </w:r>
    </w:p>
    <w:p w14:paraId="702F89D0" w14:textId="77777777" w:rsidR="001E67D9" w:rsidRPr="002730F6" w:rsidRDefault="001E67D9" w:rsidP="002F71B4">
      <w:pPr>
        <w:spacing w:line="360" w:lineRule="auto"/>
        <w:jc w:val="both"/>
        <w:rPr>
          <w:rFonts w:ascii="Arial" w:hAnsi="Arial" w:cs="Arial"/>
        </w:rPr>
      </w:pPr>
    </w:p>
    <w:p w14:paraId="6AC6EA2B" w14:textId="77777777" w:rsidR="002F71B4" w:rsidRPr="002730F6" w:rsidRDefault="002F71B4" w:rsidP="002F71B4">
      <w:pPr>
        <w:spacing w:line="360" w:lineRule="auto"/>
        <w:jc w:val="both"/>
        <w:rPr>
          <w:rFonts w:ascii="Arial" w:hAnsi="Arial" w:cs="Arial"/>
        </w:rPr>
      </w:pPr>
      <w:r w:rsidRPr="002730F6">
        <w:rPr>
          <w:rFonts w:ascii="Arial" w:hAnsi="Arial" w:cs="Arial"/>
        </w:rPr>
        <w:t xml:space="preserve">Possible sources of heavy metals that might have accumulated in the seafood could be attributed to various anthropogenic activities, particularly those related to oil exploration in the community. Oil exploration activities often involve the release of heavy metals into the environment through processes such as drilling, production, transportation, and accidental spills or possible accidental discharge of drilling muds. In the Niger Delta region, where oil exploration is prevalent, the discharge of wastewater containing heavy metals from oil drilling operations, as well as erosion and runoff from contaminated sites or farmlands where pesticides are being used, can contribute to the accumulation of heavy metals in </w:t>
      </w:r>
      <w:r w:rsidR="008F2661" w:rsidRPr="002730F6">
        <w:rPr>
          <w:rFonts w:ascii="Arial" w:hAnsi="Arial" w:cs="Arial"/>
        </w:rPr>
        <w:t>aquatic ecosystems [33,34</w:t>
      </w:r>
      <w:r w:rsidR="00A332BD" w:rsidRPr="002730F6">
        <w:rPr>
          <w:rFonts w:ascii="Arial" w:hAnsi="Arial" w:cs="Arial"/>
        </w:rPr>
        <w:t>]</w:t>
      </w:r>
      <w:r w:rsidRPr="002730F6">
        <w:rPr>
          <w:rFonts w:ascii="Arial" w:hAnsi="Arial" w:cs="Arial"/>
        </w:rPr>
        <w:t>.</w:t>
      </w:r>
    </w:p>
    <w:p w14:paraId="6C126C54" w14:textId="77777777" w:rsidR="002F71B4" w:rsidRPr="002730F6" w:rsidRDefault="002F71B4" w:rsidP="002F71B4">
      <w:pPr>
        <w:spacing w:line="360" w:lineRule="auto"/>
        <w:jc w:val="both"/>
        <w:rPr>
          <w:rFonts w:ascii="Arial" w:hAnsi="Arial" w:cs="Arial"/>
        </w:rPr>
      </w:pPr>
      <w:r w:rsidRPr="002730F6">
        <w:rPr>
          <w:rFonts w:ascii="Arial" w:hAnsi="Arial" w:cs="Arial"/>
        </w:rPr>
        <w:t>The environmental significance of these concen</w:t>
      </w:r>
      <w:r w:rsidR="0039727F" w:rsidRPr="002730F6">
        <w:rPr>
          <w:rFonts w:ascii="Arial" w:hAnsi="Arial" w:cs="Arial"/>
        </w:rPr>
        <w:t>trations to public health raise</w:t>
      </w:r>
      <w:r w:rsidRPr="002730F6">
        <w:rPr>
          <w:rFonts w:ascii="Arial" w:hAnsi="Arial" w:cs="Arial"/>
        </w:rPr>
        <w:t xml:space="preserve"> concerns about potential health risks associated with the consumption of contaminated seafood. Lead and cadmium, even at relatively low concentrations, can pose serious health threats, particularly with chronic exposure. These heavy metals are known to accumulate in the human body over time, potentially leading to adverse health effects such as neurological disorders, kidney damage, and developmental abnormalities, especially in vulnerable populations such </w:t>
      </w:r>
      <w:r w:rsidR="00A332BD" w:rsidRPr="002730F6">
        <w:rPr>
          <w:rFonts w:ascii="Arial" w:hAnsi="Arial" w:cs="Arial"/>
        </w:rPr>
        <w:t>as</w:t>
      </w:r>
      <w:r w:rsidR="008F2661" w:rsidRPr="002730F6">
        <w:rPr>
          <w:rFonts w:ascii="Arial" w:hAnsi="Arial" w:cs="Arial"/>
        </w:rPr>
        <w:t xml:space="preserve"> children and pregnant women [35,36,37,38</w:t>
      </w:r>
      <w:r w:rsidR="00A332BD" w:rsidRPr="002730F6">
        <w:rPr>
          <w:rFonts w:ascii="Arial" w:hAnsi="Arial" w:cs="Arial"/>
        </w:rPr>
        <w:t>]</w:t>
      </w:r>
      <w:r w:rsidRPr="002730F6">
        <w:rPr>
          <w:rFonts w:ascii="Arial" w:hAnsi="Arial" w:cs="Arial"/>
        </w:rPr>
        <w:t>. Therefore, even if som</w:t>
      </w:r>
      <w:r w:rsidR="0039727F" w:rsidRPr="002730F6">
        <w:rPr>
          <w:rFonts w:ascii="Arial" w:hAnsi="Arial" w:cs="Arial"/>
        </w:rPr>
        <w:t>e heavy metal concentrations</w:t>
      </w:r>
      <w:r w:rsidRPr="002730F6">
        <w:rPr>
          <w:rFonts w:ascii="Arial" w:hAnsi="Arial" w:cs="Arial"/>
        </w:rPr>
        <w:t xml:space="preserve"> fall below regulatory limits, continuous monitoring and mitigation efforts are necessary to ensure the safety of seafood consumption and protect public health in communities reliant on these resources.</w:t>
      </w:r>
    </w:p>
    <w:p w14:paraId="19D2C456" w14:textId="77777777" w:rsidR="002F71B4" w:rsidRPr="002730F6" w:rsidRDefault="002F71B4" w:rsidP="002F71B4">
      <w:pPr>
        <w:spacing w:line="360" w:lineRule="auto"/>
        <w:jc w:val="both"/>
        <w:rPr>
          <w:rFonts w:ascii="Arial" w:hAnsi="Arial" w:cs="Arial"/>
        </w:rPr>
      </w:pPr>
      <w:r w:rsidRPr="002730F6">
        <w:rPr>
          <w:rFonts w:ascii="Arial" w:hAnsi="Arial" w:cs="Arial"/>
        </w:rPr>
        <w:t xml:space="preserve">In several studies conducted in coastal areas and estuaries worldwide, similar trends in heavy metal concentrations have been observed, albeit with differences in magnitudes. </w:t>
      </w:r>
      <w:r w:rsidR="008F2661" w:rsidRPr="002730F6">
        <w:rPr>
          <w:rFonts w:ascii="Arial" w:hAnsi="Arial" w:cs="Arial"/>
        </w:rPr>
        <w:t>For instance, Mbeh et al. [39</w:t>
      </w:r>
      <w:r w:rsidR="00A332BD" w:rsidRPr="002730F6">
        <w:rPr>
          <w:rFonts w:ascii="Arial" w:hAnsi="Arial" w:cs="Arial"/>
        </w:rPr>
        <w:t>]</w:t>
      </w:r>
      <w:r w:rsidRPr="002730F6">
        <w:rPr>
          <w:rFonts w:ascii="Arial" w:hAnsi="Arial" w:cs="Arial"/>
        </w:rPr>
        <w:t xml:space="preserve"> conducted a study in Limbe, Cameroon, quantifying heavy metals (Cd, Pb, Fe, Mg, Cu, and Zn) in seafood, including fishes and Crabs, and evaluating health risks to consumers. Their findings indicated that crustaceans were more contaminated with trace elements, with Crabs and fish species from Down Beach exhibiting higher metal contamination. The most abundant metals in the samples were zinc and iron, with zinc posing a potential health risk to children. Ad</w:t>
      </w:r>
      <w:r w:rsidR="008F2661" w:rsidRPr="002730F6">
        <w:rPr>
          <w:rFonts w:ascii="Arial" w:hAnsi="Arial" w:cs="Arial"/>
        </w:rPr>
        <w:t>ditionally, O’Mara et al. [40</w:t>
      </w:r>
      <w:r w:rsidR="00A332BD" w:rsidRPr="002730F6">
        <w:rPr>
          <w:rFonts w:ascii="Arial" w:hAnsi="Arial" w:cs="Arial"/>
        </w:rPr>
        <w:t>]</w:t>
      </w:r>
      <w:r w:rsidRPr="002730F6">
        <w:rPr>
          <w:rFonts w:ascii="Arial" w:hAnsi="Arial" w:cs="Arial"/>
        </w:rPr>
        <w:t xml:space="preserve"> reported standard levels of metals in fish, highlighting the influence of factors such as species characteristics, exposure period, and environmental conditions on heavy metal absorption. S</w:t>
      </w:r>
      <w:r w:rsidR="00A332BD" w:rsidRPr="002730F6">
        <w:rPr>
          <w:rFonts w:ascii="Arial" w:hAnsi="Arial" w:cs="Arial"/>
        </w:rPr>
        <w:t>imilarly, Emenike et al.</w:t>
      </w:r>
      <w:r w:rsidR="008F2661" w:rsidRPr="002730F6">
        <w:rPr>
          <w:rFonts w:ascii="Arial" w:hAnsi="Arial" w:cs="Arial"/>
        </w:rPr>
        <w:t xml:space="preserve"> [41</w:t>
      </w:r>
      <w:r w:rsidR="00A332BD" w:rsidRPr="002730F6">
        <w:rPr>
          <w:rFonts w:ascii="Arial" w:hAnsi="Arial" w:cs="Arial"/>
        </w:rPr>
        <w:t>]</w:t>
      </w:r>
      <w:r w:rsidRPr="002730F6">
        <w:rPr>
          <w:rFonts w:ascii="Arial" w:hAnsi="Arial" w:cs="Arial"/>
        </w:rPr>
        <w:t xml:space="preserve"> emphasized the role of abiotic factors in influencing fish absorption of heavy metals. Despite the fact the concentrations of heavy metals detected in the current study's seafood samples from the Niger Delta appear to align with findings from other studies conducted in regions experiencing similar anthropo</w:t>
      </w:r>
      <w:r w:rsidR="0039727F" w:rsidRPr="002730F6">
        <w:rPr>
          <w:rFonts w:ascii="Arial" w:hAnsi="Arial" w:cs="Arial"/>
        </w:rPr>
        <w:t>genic pressures</w:t>
      </w:r>
      <w:r w:rsidRPr="002730F6">
        <w:rPr>
          <w:rFonts w:ascii="Arial" w:hAnsi="Arial" w:cs="Arial"/>
        </w:rPr>
        <w:t xml:space="preserve"> suc</w:t>
      </w:r>
      <w:r w:rsidR="0039727F" w:rsidRPr="002730F6">
        <w:rPr>
          <w:rFonts w:ascii="Arial" w:hAnsi="Arial" w:cs="Arial"/>
        </w:rPr>
        <w:t>h as oil exploration activities;</w:t>
      </w:r>
      <w:r w:rsidRPr="002730F6">
        <w:rPr>
          <w:rFonts w:ascii="Arial" w:hAnsi="Arial" w:cs="Arial"/>
        </w:rPr>
        <w:t xml:space="preserve"> regional disparities in environmental conditions and pollution sources may lead to divergent results.</w:t>
      </w:r>
    </w:p>
    <w:p w14:paraId="45C2C76C" w14:textId="77777777" w:rsidR="002F71B4" w:rsidRPr="002730F6" w:rsidRDefault="00047636" w:rsidP="002F71B4">
      <w:pPr>
        <w:spacing w:line="360" w:lineRule="auto"/>
        <w:jc w:val="both"/>
        <w:rPr>
          <w:rFonts w:ascii="Arial" w:hAnsi="Arial" w:cs="Arial"/>
          <w:b/>
          <w:bCs/>
          <w:sz w:val="22"/>
          <w:szCs w:val="22"/>
        </w:rPr>
      </w:pPr>
      <w:r w:rsidRPr="002730F6">
        <w:rPr>
          <w:rFonts w:ascii="Arial" w:hAnsi="Arial" w:cs="Arial"/>
          <w:b/>
          <w:bCs/>
          <w:sz w:val="22"/>
          <w:szCs w:val="22"/>
        </w:rPr>
        <w:t xml:space="preserve">3.2 </w:t>
      </w:r>
      <w:r w:rsidR="00384F80" w:rsidRPr="002730F6">
        <w:rPr>
          <w:rFonts w:ascii="Arial" w:hAnsi="Arial" w:cs="Arial"/>
          <w:b/>
        </w:rPr>
        <w:t>B</w:t>
      </w:r>
      <w:r w:rsidRPr="002730F6">
        <w:rPr>
          <w:rFonts w:ascii="Arial" w:hAnsi="Arial" w:cs="Arial"/>
          <w:b/>
          <w:bCs/>
          <w:sz w:val="22"/>
          <w:szCs w:val="22"/>
        </w:rPr>
        <w:t>acteriological</w:t>
      </w:r>
      <w:r w:rsidR="002F71B4" w:rsidRPr="002730F6">
        <w:rPr>
          <w:rFonts w:ascii="Arial" w:hAnsi="Arial" w:cs="Arial"/>
          <w:b/>
          <w:bCs/>
          <w:sz w:val="22"/>
          <w:szCs w:val="22"/>
        </w:rPr>
        <w:t xml:space="preserve"> Analys</w:t>
      </w:r>
      <w:r w:rsidR="00BF753D" w:rsidRPr="002730F6">
        <w:rPr>
          <w:rFonts w:ascii="Arial" w:hAnsi="Arial" w:cs="Arial"/>
          <w:b/>
          <w:bCs/>
          <w:sz w:val="22"/>
          <w:szCs w:val="22"/>
        </w:rPr>
        <w:t>is of Seafood Samples</w:t>
      </w:r>
    </w:p>
    <w:p w14:paraId="5C694C34" w14:textId="77777777" w:rsidR="002F71B4" w:rsidRPr="002730F6" w:rsidRDefault="00384F80" w:rsidP="0060191A">
      <w:pPr>
        <w:spacing w:line="360" w:lineRule="auto"/>
        <w:jc w:val="both"/>
        <w:rPr>
          <w:rFonts w:ascii="Arial" w:hAnsi="Arial" w:cs="Arial"/>
        </w:rPr>
      </w:pPr>
      <w:r w:rsidRPr="002730F6">
        <w:rPr>
          <w:rFonts w:ascii="Arial" w:hAnsi="Arial" w:cs="Arial"/>
        </w:rPr>
        <w:t>The b</w:t>
      </w:r>
      <w:r w:rsidRPr="002730F6">
        <w:rPr>
          <w:rFonts w:ascii="Arial" w:hAnsi="Arial" w:cs="Arial"/>
          <w:bCs/>
          <w:sz w:val="22"/>
          <w:szCs w:val="22"/>
        </w:rPr>
        <w:t>acteriological</w:t>
      </w:r>
      <w:r w:rsidRPr="002730F6">
        <w:rPr>
          <w:rFonts w:ascii="Arial" w:hAnsi="Arial" w:cs="Arial"/>
        </w:rPr>
        <w:t xml:space="preserve"> </w:t>
      </w:r>
      <w:r w:rsidR="002F71B4" w:rsidRPr="002730F6">
        <w:rPr>
          <w:rFonts w:ascii="Arial" w:hAnsi="Arial" w:cs="Arial"/>
        </w:rPr>
        <w:t xml:space="preserve">concentrations in the seafood samples from Ogbe </w:t>
      </w:r>
      <w:proofErr w:type="spellStart"/>
      <w:r w:rsidR="002F71B4" w:rsidRPr="002730F6">
        <w:rPr>
          <w:rFonts w:ascii="Arial" w:hAnsi="Arial" w:cs="Arial"/>
        </w:rPr>
        <w:t>Ijoh</w:t>
      </w:r>
      <w:proofErr w:type="spellEnd"/>
      <w:r w:rsidR="002F71B4" w:rsidRPr="002730F6">
        <w:rPr>
          <w:rFonts w:ascii="Arial" w:hAnsi="Arial" w:cs="Arial"/>
        </w:rPr>
        <w:t xml:space="preserve"> market during the wet and </w:t>
      </w:r>
      <w:r w:rsidR="00BF753D" w:rsidRPr="002730F6">
        <w:rPr>
          <w:rFonts w:ascii="Arial" w:hAnsi="Arial" w:cs="Arial"/>
        </w:rPr>
        <w:t>dry seasons, as shown in Fig.</w:t>
      </w:r>
      <w:r w:rsidR="002F71B4" w:rsidRPr="002730F6">
        <w:rPr>
          <w:rFonts w:ascii="Arial" w:hAnsi="Arial" w:cs="Arial"/>
        </w:rPr>
        <w:t>2, indicate</w:t>
      </w:r>
      <w:r w:rsidR="00BF753D" w:rsidRPr="002730F6">
        <w:rPr>
          <w:rFonts w:ascii="Arial" w:hAnsi="Arial" w:cs="Arial"/>
        </w:rPr>
        <w:t>d</w:t>
      </w:r>
      <w:r w:rsidR="002F71B4" w:rsidRPr="002730F6">
        <w:rPr>
          <w:rFonts w:ascii="Arial" w:hAnsi="Arial" w:cs="Arial"/>
        </w:rPr>
        <w:t xml:space="preserve"> the pr</w:t>
      </w:r>
      <w:r w:rsidRPr="002730F6">
        <w:rPr>
          <w:rFonts w:ascii="Arial" w:hAnsi="Arial" w:cs="Arial"/>
        </w:rPr>
        <w:t xml:space="preserve">esence </w:t>
      </w:r>
      <w:r w:rsidR="00B358FC" w:rsidRPr="002730F6">
        <w:rPr>
          <w:rFonts w:ascii="Arial" w:hAnsi="Arial" w:cs="Arial"/>
        </w:rPr>
        <w:t xml:space="preserve">of </w:t>
      </w:r>
      <w:r w:rsidRPr="002730F6">
        <w:rPr>
          <w:rFonts w:ascii="Arial" w:hAnsi="Arial" w:cs="Arial"/>
        </w:rPr>
        <w:t>bacterial populations</w:t>
      </w:r>
      <w:r w:rsidR="002F71B4" w:rsidRPr="002730F6">
        <w:rPr>
          <w:rFonts w:ascii="Arial" w:hAnsi="Arial" w:cs="Arial"/>
        </w:rPr>
        <w:t xml:space="preserve">. For Crabs, </w:t>
      </w:r>
      <w:r w:rsidRPr="002730F6">
        <w:rPr>
          <w:rFonts w:ascii="Arial" w:hAnsi="Arial" w:cs="Arial"/>
          <w:iCs/>
        </w:rPr>
        <w:t xml:space="preserve">there were </w:t>
      </w:r>
      <w:r w:rsidR="00B358FC" w:rsidRPr="002730F6">
        <w:rPr>
          <w:rFonts w:ascii="Arial" w:hAnsi="Arial" w:cs="Arial"/>
        </w:rPr>
        <w:t>n</w:t>
      </w:r>
      <w:r w:rsidRPr="002730F6">
        <w:rPr>
          <w:rFonts w:ascii="Arial" w:hAnsi="Arial" w:cs="Arial"/>
          <w:iCs/>
        </w:rPr>
        <w:t xml:space="preserve">o </w:t>
      </w:r>
      <w:r w:rsidR="00B358FC" w:rsidRPr="002730F6">
        <w:rPr>
          <w:rFonts w:ascii="Arial" w:hAnsi="Arial" w:cs="Arial"/>
          <w:iCs/>
        </w:rPr>
        <w:t>sig</w:t>
      </w:r>
      <w:r w:rsidR="00B358FC" w:rsidRPr="002730F6">
        <w:rPr>
          <w:rFonts w:ascii="Arial" w:hAnsi="Arial" w:cs="Arial"/>
        </w:rPr>
        <w:t>n</w:t>
      </w:r>
      <w:r w:rsidR="00B358FC" w:rsidRPr="002730F6">
        <w:rPr>
          <w:rFonts w:ascii="Arial" w:hAnsi="Arial" w:cs="Arial"/>
          <w:iCs/>
        </w:rPr>
        <w:t>ifica</w:t>
      </w:r>
      <w:r w:rsidR="00B358FC" w:rsidRPr="002730F6">
        <w:rPr>
          <w:rFonts w:ascii="Arial" w:hAnsi="Arial" w:cs="Arial"/>
        </w:rPr>
        <w:t>n</w:t>
      </w:r>
      <w:r w:rsidR="00B358FC" w:rsidRPr="002730F6">
        <w:rPr>
          <w:rFonts w:ascii="Arial" w:hAnsi="Arial" w:cs="Arial"/>
          <w:iCs/>
        </w:rPr>
        <w:t xml:space="preserve">t </w:t>
      </w:r>
      <w:r w:rsidR="00B358FC" w:rsidRPr="002730F6">
        <w:rPr>
          <w:rFonts w:ascii="Arial" w:hAnsi="Arial" w:cs="Arial"/>
        </w:rPr>
        <w:t>b</w:t>
      </w:r>
      <w:r w:rsidR="00B358FC" w:rsidRPr="002730F6">
        <w:rPr>
          <w:rFonts w:ascii="Arial" w:hAnsi="Arial" w:cs="Arial"/>
          <w:iCs/>
        </w:rPr>
        <w:t>ac</w:t>
      </w:r>
      <w:r w:rsidRPr="002730F6">
        <w:rPr>
          <w:rFonts w:ascii="Arial" w:hAnsi="Arial" w:cs="Arial"/>
          <w:iCs/>
        </w:rPr>
        <w:t>te</w:t>
      </w:r>
      <w:r w:rsidR="00B358FC" w:rsidRPr="002730F6">
        <w:rPr>
          <w:rFonts w:ascii="Arial" w:hAnsi="Arial" w:cs="Arial"/>
          <w:iCs/>
        </w:rPr>
        <w:t>rial cou</w:t>
      </w:r>
      <w:r w:rsidR="00B358FC" w:rsidRPr="002730F6">
        <w:rPr>
          <w:rFonts w:ascii="Arial" w:hAnsi="Arial" w:cs="Arial"/>
        </w:rPr>
        <w:t>n</w:t>
      </w:r>
      <w:r w:rsidR="00B358FC" w:rsidRPr="002730F6">
        <w:rPr>
          <w:rFonts w:ascii="Arial" w:hAnsi="Arial" w:cs="Arial"/>
          <w:iCs/>
        </w:rPr>
        <w:t>ts</w:t>
      </w:r>
      <w:r w:rsidRPr="002730F6">
        <w:rPr>
          <w:rFonts w:ascii="Arial" w:hAnsi="Arial" w:cs="Arial"/>
          <w:iCs/>
        </w:rPr>
        <w:t xml:space="preserve"> </w:t>
      </w:r>
      <w:r w:rsidR="00B358FC" w:rsidRPr="002730F6">
        <w:rPr>
          <w:rFonts w:ascii="Arial" w:hAnsi="Arial" w:cs="Arial"/>
        </w:rPr>
        <w:t xml:space="preserve">enumerated on the selected microbiological media </w:t>
      </w:r>
      <w:r w:rsidR="002F71B4" w:rsidRPr="002730F6">
        <w:rPr>
          <w:rFonts w:ascii="Arial" w:hAnsi="Arial" w:cs="Arial"/>
        </w:rPr>
        <w:t xml:space="preserve">in either wet or dry season samples. </w:t>
      </w:r>
      <w:r w:rsidR="0043650F" w:rsidRPr="002730F6">
        <w:rPr>
          <w:rFonts w:ascii="Arial" w:hAnsi="Arial" w:cs="Arial"/>
        </w:rPr>
        <w:t xml:space="preserve">Potential </w:t>
      </w:r>
      <w:r w:rsidR="002F71B4" w:rsidRPr="002730F6">
        <w:rPr>
          <w:rFonts w:ascii="Arial" w:hAnsi="Arial" w:cs="Arial"/>
          <w:i/>
          <w:iCs/>
        </w:rPr>
        <w:t>Salmonella</w:t>
      </w:r>
      <w:r w:rsidR="0043650F" w:rsidRPr="002730F6">
        <w:rPr>
          <w:rFonts w:ascii="Arial" w:hAnsi="Arial" w:cs="Arial"/>
          <w:i/>
          <w:iCs/>
        </w:rPr>
        <w:t>-Shigella</w:t>
      </w:r>
      <w:r w:rsidR="0043650F" w:rsidRPr="002730F6">
        <w:rPr>
          <w:rFonts w:ascii="Arial" w:hAnsi="Arial" w:cs="Arial"/>
        </w:rPr>
        <w:t xml:space="preserve"> counts were</w:t>
      </w:r>
      <w:r w:rsidR="002F71B4" w:rsidRPr="002730F6">
        <w:rPr>
          <w:rFonts w:ascii="Arial" w:hAnsi="Arial" w:cs="Arial"/>
        </w:rPr>
        <w:t xml:space="preserve"> detected only in Crabs collected during the dry season at a concentration of 1.3 x 10</w:t>
      </w:r>
      <w:r w:rsidR="00C561EA" w:rsidRPr="002730F6">
        <w:rPr>
          <w:rFonts w:ascii="Arial" w:hAnsi="Arial" w:cs="Arial"/>
          <w:vertAlign w:val="superscript"/>
        </w:rPr>
        <w:t>4</w:t>
      </w:r>
      <w:r w:rsidR="002F71B4" w:rsidRPr="002730F6">
        <w:rPr>
          <w:rFonts w:ascii="Arial" w:hAnsi="Arial" w:cs="Arial"/>
          <w:vertAlign w:val="superscript"/>
        </w:rPr>
        <w:t xml:space="preserve"> </w:t>
      </w:r>
      <w:r w:rsidR="00B71E47">
        <w:rPr>
          <w:rFonts w:ascii="Arial" w:hAnsi="Arial" w:cs="Arial"/>
        </w:rPr>
        <w:t>±</w:t>
      </w:r>
      <w:r w:rsidR="00B71E47" w:rsidRPr="002730F6">
        <w:rPr>
          <w:rFonts w:ascii="Arial" w:hAnsi="Arial" w:cs="Arial"/>
        </w:rPr>
        <w:t xml:space="preserve"> </w:t>
      </w:r>
      <w:r w:rsidR="00B71E47">
        <w:rPr>
          <w:rFonts w:ascii="Arial" w:hAnsi="Arial" w:cs="Arial"/>
        </w:rPr>
        <w:t xml:space="preserve">0.05 </w:t>
      </w:r>
      <w:r w:rsidR="002F71B4" w:rsidRPr="002730F6">
        <w:rPr>
          <w:rFonts w:ascii="Arial" w:hAnsi="Arial" w:cs="Arial"/>
        </w:rPr>
        <w:t xml:space="preserve">CFU/g. The total </w:t>
      </w:r>
      <w:r w:rsidR="00181C99" w:rsidRPr="002730F6">
        <w:rPr>
          <w:rFonts w:ascii="Arial" w:hAnsi="Arial" w:cs="Arial"/>
        </w:rPr>
        <w:t xml:space="preserve">viable </w:t>
      </w:r>
      <w:r w:rsidR="002F71B4" w:rsidRPr="002730F6">
        <w:rPr>
          <w:rFonts w:ascii="Arial" w:hAnsi="Arial" w:cs="Arial"/>
        </w:rPr>
        <w:t>bacterial count</w:t>
      </w:r>
      <w:r w:rsidR="00181C99" w:rsidRPr="002730F6">
        <w:rPr>
          <w:rFonts w:ascii="Arial" w:hAnsi="Arial" w:cs="Arial"/>
        </w:rPr>
        <w:t>s were</w:t>
      </w:r>
      <w:r w:rsidR="002F71B4" w:rsidRPr="002730F6">
        <w:rPr>
          <w:rFonts w:ascii="Arial" w:hAnsi="Arial" w:cs="Arial"/>
        </w:rPr>
        <w:t xml:space="preserve"> 2.1 x10</w:t>
      </w:r>
      <w:r w:rsidR="00C561EA" w:rsidRPr="002730F6">
        <w:rPr>
          <w:rFonts w:ascii="Arial" w:hAnsi="Arial" w:cs="Arial"/>
          <w:vertAlign w:val="superscript"/>
        </w:rPr>
        <w:t>4</w:t>
      </w:r>
      <w:r w:rsidR="002F71B4" w:rsidRPr="002730F6">
        <w:rPr>
          <w:rFonts w:ascii="Arial" w:hAnsi="Arial" w:cs="Arial"/>
          <w:vertAlign w:val="superscript"/>
        </w:rPr>
        <w:t xml:space="preserve"> </w:t>
      </w:r>
      <w:r w:rsidR="00B71E47">
        <w:rPr>
          <w:rFonts w:ascii="Arial" w:hAnsi="Arial" w:cs="Arial"/>
        </w:rPr>
        <w:t>±</w:t>
      </w:r>
      <w:r w:rsidR="00B71E47" w:rsidRPr="002730F6">
        <w:rPr>
          <w:rFonts w:ascii="Arial" w:hAnsi="Arial" w:cs="Arial"/>
        </w:rPr>
        <w:t xml:space="preserve"> </w:t>
      </w:r>
      <w:r w:rsidR="00B71E47">
        <w:rPr>
          <w:rFonts w:ascii="Arial" w:hAnsi="Arial" w:cs="Arial"/>
        </w:rPr>
        <w:t xml:space="preserve">0.34 </w:t>
      </w:r>
      <w:r w:rsidR="002F71B4" w:rsidRPr="002730F6">
        <w:rPr>
          <w:rFonts w:ascii="Arial" w:hAnsi="Arial" w:cs="Arial"/>
        </w:rPr>
        <w:t>CFU/g in Crabs from the wet season and 1.5 x 10</w:t>
      </w:r>
      <w:r w:rsidR="00C561EA" w:rsidRPr="002730F6">
        <w:rPr>
          <w:rFonts w:ascii="Arial" w:hAnsi="Arial" w:cs="Arial"/>
          <w:vertAlign w:val="superscript"/>
        </w:rPr>
        <w:t>4</w:t>
      </w:r>
      <w:r w:rsidR="002F71B4" w:rsidRPr="002730F6">
        <w:rPr>
          <w:rFonts w:ascii="Arial" w:hAnsi="Arial" w:cs="Arial"/>
          <w:vertAlign w:val="superscript"/>
        </w:rPr>
        <w:t xml:space="preserve"> </w:t>
      </w:r>
      <w:r w:rsidR="00494135">
        <w:rPr>
          <w:rFonts w:ascii="Arial" w:hAnsi="Arial" w:cs="Arial"/>
        </w:rPr>
        <w:t>±</w:t>
      </w:r>
      <w:r w:rsidR="00494135" w:rsidRPr="002730F6">
        <w:rPr>
          <w:rFonts w:ascii="Arial" w:hAnsi="Arial" w:cs="Arial"/>
        </w:rPr>
        <w:t xml:space="preserve"> </w:t>
      </w:r>
      <w:r w:rsidR="00494135">
        <w:rPr>
          <w:rFonts w:ascii="Arial" w:hAnsi="Arial" w:cs="Arial"/>
        </w:rPr>
        <w:t xml:space="preserve">1.08 </w:t>
      </w:r>
      <w:r w:rsidR="002F71B4" w:rsidRPr="002730F6">
        <w:rPr>
          <w:rFonts w:ascii="Arial" w:hAnsi="Arial" w:cs="Arial"/>
        </w:rPr>
        <w:t>CFU/g in t</w:t>
      </w:r>
      <w:r w:rsidR="00CA183F" w:rsidRPr="002730F6">
        <w:rPr>
          <w:rFonts w:ascii="Arial" w:hAnsi="Arial" w:cs="Arial"/>
        </w:rPr>
        <w:t xml:space="preserve">he dry season. </w:t>
      </w:r>
      <w:r w:rsidR="009E6D6E" w:rsidRPr="002730F6">
        <w:rPr>
          <w:rFonts w:ascii="Arial" w:hAnsi="Arial" w:cs="Arial"/>
        </w:rPr>
        <w:t xml:space="preserve">For </w:t>
      </w:r>
      <w:r w:rsidR="00CA183F" w:rsidRPr="002730F6">
        <w:rPr>
          <w:rFonts w:ascii="Arial" w:hAnsi="Arial" w:cs="Arial"/>
        </w:rPr>
        <w:t>Shrimp</w:t>
      </w:r>
      <w:r w:rsidR="002F71B4" w:rsidRPr="002730F6">
        <w:rPr>
          <w:rFonts w:ascii="Arial" w:hAnsi="Arial" w:cs="Arial"/>
        </w:rPr>
        <w:t xml:space="preserve"> samples</w:t>
      </w:r>
      <w:r w:rsidR="009E6D6E" w:rsidRPr="002730F6">
        <w:rPr>
          <w:rFonts w:ascii="Arial" w:hAnsi="Arial" w:cs="Arial"/>
        </w:rPr>
        <w:t xml:space="preserve"> recovered during the dry seasons, </w:t>
      </w:r>
      <w:r w:rsidR="009E6D6E" w:rsidRPr="002730F6">
        <w:rPr>
          <w:rFonts w:ascii="Arial" w:hAnsi="Arial" w:cs="Arial"/>
          <w:i/>
        </w:rPr>
        <w:t>Enterobacteriaceae</w:t>
      </w:r>
      <w:r w:rsidR="009E6D6E" w:rsidRPr="002730F6">
        <w:rPr>
          <w:rFonts w:ascii="Arial" w:hAnsi="Arial" w:cs="Arial"/>
        </w:rPr>
        <w:t xml:space="preserve"> populations were not detected, however, potential</w:t>
      </w:r>
      <w:r w:rsidR="002F71B4" w:rsidRPr="002730F6">
        <w:rPr>
          <w:rFonts w:ascii="Arial" w:hAnsi="Arial" w:cs="Arial"/>
        </w:rPr>
        <w:t xml:space="preserve"> </w:t>
      </w:r>
      <w:r w:rsidR="002F71B4" w:rsidRPr="002730F6">
        <w:rPr>
          <w:rFonts w:ascii="Arial" w:hAnsi="Arial" w:cs="Arial"/>
          <w:i/>
          <w:iCs/>
        </w:rPr>
        <w:t>Salmonella</w:t>
      </w:r>
      <w:r w:rsidR="0043650F" w:rsidRPr="002730F6">
        <w:rPr>
          <w:rFonts w:ascii="Arial" w:hAnsi="Arial" w:cs="Arial"/>
          <w:i/>
          <w:iCs/>
        </w:rPr>
        <w:t>-Shigella</w:t>
      </w:r>
      <w:r w:rsidR="002F71B4" w:rsidRPr="002730F6">
        <w:rPr>
          <w:rFonts w:ascii="Arial" w:hAnsi="Arial" w:cs="Arial"/>
        </w:rPr>
        <w:t xml:space="preserve"> </w:t>
      </w:r>
      <w:r w:rsidR="009E6D6E" w:rsidRPr="002730F6">
        <w:rPr>
          <w:rFonts w:ascii="Arial" w:hAnsi="Arial" w:cs="Arial"/>
        </w:rPr>
        <w:t>populations were enumerated</w:t>
      </w:r>
      <w:r w:rsidR="002F71B4" w:rsidRPr="002730F6">
        <w:rPr>
          <w:rFonts w:ascii="Arial" w:hAnsi="Arial" w:cs="Arial"/>
        </w:rPr>
        <w:t xml:space="preserve"> in both wet (1.5 x10</w:t>
      </w:r>
      <w:r w:rsidR="00C561EA" w:rsidRPr="002730F6">
        <w:rPr>
          <w:rFonts w:ascii="Arial" w:hAnsi="Arial" w:cs="Arial"/>
          <w:vertAlign w:val="superscript"/>
        </w:rPr>
        <w:t>4</w:t>
      </w:r>
      <w:r w:rsidR="002F71B4" w:rsidRPr="002730F6">
        <w:rPr>
          <w:rFonts w:ascii="Arial" w:hAnsi="Arial" w:cs="Arial"/>
          <w:vertAlign w:val="superscript"/>
        </w:rPr>
        <w:t xml:space="preserve"> </w:t>
      </w:r>
      <w:r w:rsidR="00494135">
        <w:rPr>
          <w:rFonts w:ascii="Arial" w:hAnsi="Arial" w:cs="Arial"/>
        </w:rPr>
        <w:t>±</w:t>
      </w:r>
      <w:r w:rsidR="00494135" w:rsidRPr="002730F6">
        <w:rPr>
          <w:rFonts w:ascii="Arial" w:hAnsi="Arial" w:cs="Arial"/>
        </w:rPr>
        <w:t xml:space="preserve"> </w:t>
      </w:r>
      <w:r w:rsidR="00494135">
        <w:rPr>
          <w:rFonts w:ascii="Arial" w:hAnsi="Arial" w:cs="Arial"/>
        </w:rPr>
        <w:t xml:space="preserve">0.02 </w:t>
      </w:r>
      <w:r w:rsidR="002F71B4" w:rsidRPr="002730F6">
        <w:rPr>
          <w:rFonts w:ascii="Arial" w:hAnsi="Arial" w:cs="Arial"/>
        </w:rPr>
        <w:t>CFU/g) and dry (1.2 x10</w:t>
      </w:r>
      <w:r w:rsidR="00C561EA" w:rsidRPr="002730F6">
        <w:rPr>
          <w:rFonts w:ascii="Arial" w:hAnsi="Arial" w:cs="Arial"/>
          <w:vertAlign w:val="superscript"/>
        </w:rPr>
        <w:t>4</w:t>
      </w:r>
      <w:r w:rsidR="002F71B4" w:rsidRPr="002730F6">
        <w:rPr>
          <w:rFonts w:ascii="Arial" w:hAnsi="Arial" w:cs="Arial"/>
          <w:vertAlign w:val="superscript"/>
        </w:rPr>
        <w:t xml:space="preserve"> </w:t>
      </w:r>
      <w:r w:rsidR="00494135">
        <w:rPr>
          <w:rFonts w:ascii="Arial" w:hAnsi="Arial" w:cs="Arial"/>
        </w:rPr>
        <w:t xml:space="preserve">± 0.03 </w:t>
      </w:r>
      <w:r w:rsidR="002F71B4" w:rsidRPr="002730F6">
        <w:rPr>
          <w:rFonts w:ascii="Arial" w:hAnsi="Arial" w:cs="Arial"/>
        </w:rPr>
        <w:t>CFU/g) seasons</w:t>
      </w:r>
      <w:r w:rsidR="00CB5E25" w:rsidRPr="002730F6">
        <w:rPr>
          <w:rFonts w:ascii="Arial" w:hAnsi="Arial" w:cs="Arial"/>
        </w:rPr>
        <w:t xml:space="preserve">. </w:t>
      </w:r>
      <w:r w:rsidR="009E6D6E" w:rsidRPr="002730F6">
        <w:rPr>
          <w:rFonts w:ascii="Arial" w:hAnsi="Arial" w:cs="Arial"/>
        </w:rPr>
        <w:t xml:space="preserve">Potential </w:t>
      </w:r>
      <w:r w:rsidR="002F71B4" w:rsidRPr="002730F6">
        <w:rPr>
          <w:rFonts w:ascii="Arial" w:hAnsi="Arial" w:cs="Arial"/>
          <w:i/>
          <w:iCs/>
        </w:rPr>
        <w:t xml:space="preserve">Vibrio </w:t>
      </w:r>
      <w:r w:rsidR="009E6D6E" w:rsidRPr="002730F6">
        <w:rPr>
          <w:rFonts w:ascii="Arial" w:hAnsi="Arial" w:cs="Arial"/>
          <w:iCs/>
        </w:rPr>
        <w:t>counts</w:t>
      </w:r>
      <w:r w:rsidR="002F71B4" w:rsidRPr="002730F6">
        <w:rPr>
          <w:rFonts w:ascii="Arial" w:hAnsi="Arial" w:cs="Arial"/>
        </w:rPr>
        <w:t xml:space="preserve"> were detected (2</w:t>
      </w:r>
      <w:r w:rsidR="0039465E" w:rsidRPr="002730F6">
        <w:rPr>
          <w:rFonts w:ascii="Arial" w:hAnsi="Arial" w:cs="Arial"/>
        </w:rPr>
        <w:t>.0</w:t>
      </w:r>
      <w:r w:rsidR="002F71B4" w:rsidRPr="002730F6">
        <w:rPr>
          <w:rFonts w:ascii="Arial" w:hAnsi="Arial" w:cs="Arial"/>
        </w:rPr>
        <w:t xml:space="preserve"> x10</w:t>
      </w:r>
      <w:r w:rsidR="00C561EA" w:rsidRPr="002730F6">
        <w:rPr>
          <w:rFonts w:ascii="Arial" w:hAnsi="Arial" w:cs="Arial"/>
          <w:vertAlign w:val="superscript"/>
        </w:rPr>
        <w:t>4</w:t>
      </w:r>
      <w:r w:rsidR="00CA183F" w:rsidRPr="002730F6">
        <w:rPr>
          <w:rFonts w:ascii="Arial" w:hAnsi="Arial" w:cs="Arial"/>
        </w:rPr>
        <w:t xml:space="preserve"> CFU/g) in Shrimp</w:t>
      </w:r>
      <w:r w:rsidR="002F71B4" w:rsidRPr="002730F6">
        <w:rPr>
          <w:rFonts w:ascii="Arial" w:hAnsi="Arial" w:cs="Arial"/>
        </w:rPr>
        <w:t xml:space="preserve"> </w:t>
      </w:r>
      <w:r w:rsidR="002B139D">
        <w:rPr>
          <w:rFonts w:ascii="Arial" w:hAnsi="Arial" w:cs="Arial"/>
        </w:rPr>
        <w:t>samples in the dry season. T</w:t>
      </w:r>
      <w:r w:rsidR="002F71B4" w:rsidRPr="002730F6">
        <w:rPr>
          <w:rFonts w:ascii="Arial" w:hAnsi="Arial" w:cs="Arial"/>
        </w:rPr>
        <w:t xml:space="preserve">otal </w:t>
      </w:r>
      <w:r w:rsidR="009E6D6E" w:rsidRPr="002730F6">
        <w:rPr>
          <w:rFonts w:ascii="Arial" w:hAnsi="Arial" w:cs="Arial"/>
        </w:rPr>
        <w:t>viable</w:t>
      </w:r>
      <w:r w:rsidR="00F75387" w:rsidRPr="002730F6">
        <w:rPr>
          <w:rFonts w:ascii="Arial" w:hAnsi="Arial" w:cs="Arial"/>
        </w:rPr>
        <w:t xml:space="preserve"> </w:t>
      </w:r>
      <w:r w:rsidR="002F71B4" w:rsidRPr="002730F6">
        <w:rPr>
          <w:rFonts w:ascii="Arial" w:hAnsi="Arial" w:cs="Arial"/>
        </w:rPr>
        <w:t>bacterial counts in Shrimps were higher, with wet season samples having 2.3 x 10</w:t>
      </w:r>
      <w:r w:rsidR="00C561EA" w:rsidRPr="002730F6">
        <w:rPr>
          <w:rFonts w:ascii="Arial" w:hAnsi="Arial" w:cs="Arial"/>
          <w:vertAlign w:val="superscript"/>
        </w:rPr>
        <w:t>4</w:t>
      </w:r>
      <w:r w:rsidR="002F71B4" w:rsidRPr="002730F6">
        <w:rPr>
          <w:rFonts w:ascii="Arial" w:hAnsi="Arial" w:cs="Arial"/>
        </w:rPr>
        <w:t xml:space="preserve"> CFU/g and dry season samples 2.2 x 10</w:t>
      </w:r>
      <w:r w:rsidR="00C561EA" w:rsidRPr="002730F6">
        <w:rPr>
          <w:rFonts w:ascii="Arial" w:hAnsi="Arial" w:cs="Arial"/>
          <w:vertAlign w:val="superscript"/>
        </w:rPr>
        <w:t>4</w:t>
      </w:r>
      <w:r w:rsidR="002F71B4" w:rsidRPr="002730F6">
        <w:rPr>
          <w:rFonts w:ascii="Arial" w:hAnsi="Arial" w:cs="Arial"/>
        </w:rPr>
        <w:t xml:space="preserve"> CFU/g</w:t>
      </w:r>
      <w:r w:rsidR="00B71E47">
        <w:rPr>
          <w:rFonts w:ascii="Arial" w:hAnsi="Arial" w:cs="Arial"/>
        </w:rPr>
        <w:t xml:space="preserve"> ±</w:t>
      </w:r>
      <w:r w:rsidR="00B71E47" w:rsidRPr="002730F6">
        <w:rPr>
          <w:rFonts w:ascii="Arial" w:hAnsi="Arial" w:cs="Arial"/>
        </w:rPr>
        <w:t xml:space="preserve"> </w:t>
      </w:r>
      <w:r w:rsidR="00B71E47">
        <w:rPr>
          <w:rFonts w:ascii="Arial" w:hAnsi="Arial" w:cs="Arial"/>
        </w:rPr>
        <w:t>1.03</w:t>
      </w:r>
      <w:r w:rsidR="002F71B4" w:rsidRPr="002730F6">
        <w:rPr>
          <w:rFonts w:ascii="Arial" w:hAnsi="Arial" w:cs="Arial"/>
        </w:rPr>
        <w:t xml:space="preserve">. Periwinkle samples showed the presence of </w:t>
      </w:r>
      <w:r w:rsidR="009E6D6E" w:rsidRPr="002730F6">
        <w:rPr>
          <w:rFonts w:ascii="Arial" w:hAnsi="Arial" w:cs="Arial"/>
          <w:i/>
          <w:iCs/>
        </w:rPr>
        <w:t>E</w:t>
      </w:r>
      <w:r w:rsidR="009E6D6E" w:rsidRPr="002730F6">
        <w:rPr>
          <w:rFonts w:ascii="Arial" w:hAnsi="Arial" w:cs="Arial"/>
          <w:i/>
        </w:rPr>
        <w:t>ntero</w:t>
      </w:r>
      <w:r w:rsidR="00181C99" w:rsidRPr="002730F6">
        <w:rPr>
          <w:rFonts w:ascii="Arial" w:hAnsi="Arial" w:cs="Arial"/>
          <w:i/>
        </w:rPr>
        <w:t>b</w:t>
      </w:r>
      <w:r w:rsidR="009E6D6E" w:rsidRPr="002730F6">
        <w:rPr>
          <w:rFonts w:ascii="Arial" w:hAnsi="Arial" w:cs="Arial"/>
          <w:i/>
        </w:rPr>
        <w:t>acteriaceae</w:t>
      </w:r>
      <w:r w:rsidR="009E6D6E" w:rsidRPr="002730F6">
        <w:rPr>
          <w:rFonts w:ascii="Arial" w:hAnsi="Arial" w:cs="Arial"/>
        </w:rPr>
        <w:t xml:space="preserve"> populations</w:t>
      </w:r>
      <w:r w:rsidR="002F71B4" w:rsidRPr="002730F6">
        <w:rPr>
          <w:rFonts w:ascii="Arial" w:hAnsi="Arial" w:cs="Arial"/>
        </w:rPr>
        <w:t xml:space="preserve"> in the dry season (1.5 </w:t>
      </w:r>
      <w:r w:rsidR="002F71B4" w:rsidRPr="002730F6">
        <w:rPr>
          <w:rFonts w:ascii="Arial" w:hAnsi="Arial" w:cs="Arial"/>
        </w:rPr>
        <w:lastRenderedPageBreak/>
        <w:t>x10</w:t>
      </w:r>
      <w:r w:rsidR="00C561EA" w:rsidRPr="002730F6">
        <w:rPr>
          <w:rFonts w:ascii="Arial" w:hAnsi="Arial" w:cs="Arial"/>
          <w:vertAlign w:val="superscript"/>
        </w:rPr>
        <w:t>4</w:t>
      </w:r>
      <w:r w:rsidR="002F71B4" w:rsidRPr="002730F6">
        <w:rPr>
          <w:rFonts w:ascii="Arial" w:hAnsi="Arial" w:cs="Arial"/>
          <w:vertAlign w:val="superscript"/>
        </w:rPr>
        <w:t xml:space="preserve"> </w:t>
      </w:r>
      <w:r w:rsidR="00B71E47">
        <w:rPr>
          <w:rFonts w:ascii="Arial" w:hAnsi="Arial" w:cs="Arial"/>
        </w:rPr>
        <w:t>±</w:t>
      </w:r>
      <w:r w:rsidR="00B71E47" w:rsidRPr="002730F6">
        <w:rPr>
          <w:rFonts w:ascii="Arial" w:hAnsi="Arial" w:cs="Arial"/>
        </w:rPr>
        <w:t xml:space="preserve"> </w:t>
      </w:r>
      <w:r w:rsidR="00B71E47">
        <w:rPr>
          <w:rFonts w:ascii="Arial" w:hAnsi="Arial" w:cs="Arial"/>
        </w:rPr>
        <w:t xml:space="preserve">0.03 </w:t>
      </w:r>
      <w:r w:rsidR="002F71B4" w:rsidRPr="002730F6">
        <w:rPr>
          <w:rFonts w:ascii="Arial" w:hAnsi="Arial" w:cs="Arial"/>
        </w:rPr>
        <w:t xml:space="preserve">CFU/g) and not present in the wet season. </w:t>
      </w:r>
      <w:r w:rsidR="00181C99" w:rsidRPr="002730F6">
        <w:rPr>
          <w:rFonts w:ascii="Arial" w:hAnsi="Arial" w:cs="Arial"/>
        </w:rPr>
        <w:t>Potential</w:t>
      </w:r>
      <w:r w:rsidR="009E6D6E" w:rsidRPr="002730F6">
        <w:rPr>
          <w:rFonts w:ascii="Arial" w:hAnsi="Arial" w:cs="Arial"/>
        </w:rPr>
        <w:t xml:space="preserve"> </w:t>
      </w:r>
      <w:r w:rsidR="002F71B4" w:rsidRPr="002730F6">
        <w:rPr>
          <w:rFonts w:ascii="Arial" w:hAnsi="Arial" w:cs="Arial"/>
          <w:i/>
          <w:iCs/>
        </w:rPr>
        <w:t>Salmonella</w:t>
      </w:r>
      <w:r w:rsidR="00181C99" w:rsidRPr="002730F6">
        <w:rPr>
          <w:rFonts w:ascii="Arial" w:hAnsi="Arial" w:cs="Arial"/>
          <w:i/>
          <w:iCs/>
        </w:rPr>
        <w:t>-Shigella</w:t>
      </w:r>
      <w:r w:rsidR="002F71B4" w:rsidRPr="002730F6">
        <w:rPr>
          <w:rFonts w:ascii="Arial" w:hAnsi="Arial" w:cs="Arial"/>
        </w:rPr>
        <w:t xml:space="preserve"> </w:t>
      </w:r>
      <w:r w:rsidR="00181C99" w:rsidRPr="002730F6">
        <w:rPr>
          <w:rFonts w:ascii="Arial" w:hAnsi="Arial" w:cs="Arial"/>
        </w:rPr>
        <w:t xml:space="preserve">population </w:t>
      </w:r>
      <w:r w:rsidR="002F71B4" w:rsidRPr="002730F6">
        <w:rPr>
          <w:rFonts w:ascii="Arial" w:hAnsi="Arial" w:cs="Arial"/>
        </w:rPr>
        <w:t>w</w:t>
      </w:r>
      <w:r w:rsidR="00CA183F" w:rsidRPr="002730F6">
        <w:rPr>
          <w:rFonts w:ascii="Arial" w:hAnsi="Arial" w:cs="Arial"/>
        </w:rPr>
        <w:t>as absent in Periwinkle samples</w:t>
      </w:r>
      <w:r w:rsidR="002F71B4" w:rsidRPr="002730F6">
        <w:rPr>
          <w:rFonts w:ascii="Arial" w:hAnsi="Arial" w:cs="Arial"/>
        </w:rPr>
        <w:t xml:space="preserve"> and </w:t>
      </w:r>
      <w:r w:rsidR="00181C99" w:rsidRPr="002730F6">
        <w:rPr>
          <w:rFonts w:ascii="Arial" w:hAnsi="Arial" w:cs="Arial"/>
        </w:rPr>
        <w:t xml:space="preserve">potential </w:t>
      </w:r>
      <w:r w:rsidR="002F71B4" w:rsidRPr="002730F6">
        <w:rPr>
          <w:rFonts w:ascii="Arial" w:hAnsi="Arial" w:cs="Arial"/>
          <w:i/>
          <w:iCs/>
        </w:rPr>
        <w:t xml:space="preserve">Vibrio </w:t>
      </w:r>
      <w:r w:rsidR="00181C99" w:rsidRPr="002730F6">
        <w:rPr>
          <w:rFonts w:ascii="Arial" w:hAnsi="Arial" w:cs="Arial"/>
          <w:iCs/>
        </w:rPr>
        <w:t>counts</w:t>
      </w:r>
      <w:r w:rsidR="002F71B4" w:rsidRPr="002730F6">
        <w:rPr>
          <w:rFonts w:ascii="Arial" w:hAnsi="Arial" w:cs="Arial"/>
        </w:rPr>
        <w:t xml:space="preserve"> were also n</w:t>
      </w:r>
      <w:r w:rsidR="00181C99" w:rsidRPr="002730F6">
        <w:rPr>
          <w:rFonts w:ascii="Arial" w:hAnsi="Arial" w:cs="Arial"/>
        </w:rPr>
        <w:t>ot detected. The total viable</w:t>
      </w:r>
      <w:r w:rsidR="002F71B4" w:rsidRPr="002730F6">
        <w:rPr>
          <w:rFonts w:ascii="Arial" w:hAnsi="Arial" w:cs="Arial"/>
        </w:rPr>
        <w:t xml:space="preserve"> </w:t>
      </w:r>
      <w:r w:rsidR="00181C99" w:rsidRPr="002730F6">
        <w:rPr>
          <w:rFonts w:ascii="Arial" w:hAnsi="Arial" w:cs="Arial"/>
        </w:rPr>
        <w:t xml:space="preserve">bacterial </w:t>
      </w:r>
      <w:r w:rsidR="002F71B4" w:rsidRPr="002730F6">
        <w:rPr>
          <w:rFonts w:ascii="Arial" w:hAnsi="Arial" w:cs="Arial"/>
        </w:rPr>
        <w:t>counts were 2.0 x10</w:t>
      </w:r>
      <w:r w:rsidR="00C561EA" w:rsidRPr="002730F6">
        <w:rPr>
          <w:rFonts w:ascii="Arial" w:hAnsi="Arial" w:cs="Arial"/>
          <w:vertAlign w:val="superscript"/>
        </w:rPr>
        <w:t>4</w:t>
      </w:r>
      <w:r w:rsidR="002F71B4" w:rsidRPr="002730F6">
        <w:rPr>
          <w:rFonts w:ascii="Arial" w:hAnsi="Arial" w:cs="Arial"/>
          <w:vertAlign w:val="superscript"/>
        </w:rPr>
        <w:t xml:space="preserve"> </w:t>
      </w:r>
      <w:r w:rsidR="00B71E47">
        <w:rPr>
          <w:rFonts w:ascii="Arial" w:hAnsi="Arial" w:cs="Arial"/>
        </w:rPr>
        <w:t>±</w:t>
      </w:r>
      <w:r w:rsidR="00B71E47" w:rsidRPr="002730F6">
        <w:rPr>
          <w:rFonts w:ascii="Arial" w:hAnsi="Arial" w:cs="Arial"/>
        </w:rPr>
        <w:t xml:space="preserve"> </w:t>
      </w:r>
      <w:r w:rsidR="00B71E47">
        <w:rPr>
          <w:rFonts w:ascii="Arial" w:hAnsi="Arial" w:cs="Arial"/>
        </w:rPr>
        <w:t xml:space="preserve">0.04 </w:t>
      </w:r>
      <w:r w:rsidR="002F71B4" w:rsidRPr="002730F6">
        <w:rPr>
          <w:rFonts w:ascii="Arial" w:hAnsi="Arial" w:cs="Arial"/>
        </w:rPr>
        <w:t>CFU/g in wet season Periwinkles and 1.5 x</w:t>
      </w:r>
      <w:r w:rsidR="002A34E1">
        <w:rPr>
          <w:rFonts w:ascii="Arial" w:hAnsi="Arial" w:cs="Arial"/>
        </w:rPr>
        <w:t xml:space="preserve"> </w:t>
      </w:r>
      <w:r w:rsidR="002F71B4" w:rsidRPr="002730F6">
        <w:rPr>
          <w:rFonts w:ascii="Arial" w:hAnsi="Arial" w:cs="Arial"/>
        </w:rPr>
        <w:t>10</w:t>
      </w:r>
      <w:r w:rsidR="00C561EA" w:rsidRPr="002730F6">
        <w:rPr>
          <w:rFonts w:ascii="Arial" w:hAnsi="Arial" w:cs="Arial"/>
          <w:vertAlign w:val="superscript"/>
        </w:rPr>
        <w:t>4</w:t>
      </w:r>
      <w:r w:rsidR="002F71B4" w:rsidRPr="002730F6">
        <w:rPr>
          <w:rFonts w:ascii="Arial" w:hAnsi="Arial" w:cs="Arial"/>
          <w:vertAlign w:val="superscript"/>
        </w:rPr>
        <w:t xml:space="preserve"> </w:t>
      </w:r>
      <w:r w:rsidR="00B71E47">
        <w:rPr>
          <w:rFonts w:ascii="Arial" w:hAnsi="Arial" w:cs="Arial"/>
        </w:rPr>
        <w:t>±</w:t>
      </w:r>
      <w:r w:rsidR="00B71E47" w:rsidRPr="002730F6">
        <w:rPr>
          <w:rFonts w:ascii="Arial" w:hAnsi="Arial" w:cs="Arial"/>
        </w:rPr>
        <w:t xml:space="preserve"> </w:t>
      </w:r>
      <w:r w:rsidR="00B71E47">
        <w:rPr>
          <w:rFonts w:ascii="Arial" w:hAnsi="Arial" w:cs="Arial"/>
        </w:rPr>
        <w:t xml:space="preserve">0.07 </w:t>
      </w:r>
      <w:r w:rsidR="002F71B4" w:rsidRPr="002730F6">
        <w:rPr>
          <w:rFonts w:ascii="Arial" w:hAnsi="Arial" w:cs="Arial"/>
        </w:rPr>
        <w:t xml:space="preserve">CFU/g in dry season Periwinkles. </w:t>
      </w:r>
      <w:r w:rsidR="00F75387" w:rsidRPr="002730F6">
        <w:rPr>
          <w:rFonts w:ascii="Arial" w:hAnsi="Arial" w:cs="Arial"/>
        </w:rPr>
        <w:t>Our reports substantiate the re</w:t>
      </w:r>
      <w:r w:rsidR="008F2661" w:rsidRPr="002730F6">
        <w:rPr>
          <w:rFonts w:ascii="Arial" w:hAnsi="Arial" w:cs="Arial"/>
        </w:rPr>
        <w:t>sults of other researchers [42,43,44]</w:t>
      </w:r>
      <w:r w:rsidR="00F75387" w:rsidRPr="002730F6">
        <w:rPr>
          <w:rFonts w:ascii="Arial" w:hAnsi="Arial" w:cs="Arial"/>
        </w:rPr>
        <w:t>. Study by Effion</w:t>
      </w:r>
      <w:r w:rsidR="008F2661" w:rsidRPr="002730F6">
        <w:rPr>
          <w:rFonts w:ascii="Arial" w:hAnsi="Arial" w:cs="Arial"/>
        </w:rPr>
        <w:t>g &amp; Adeyemi [43]</w:t>
      </w:r>
      <w:r w:rsidR="00181C99" w:rsidRPr="002730F6">
        <w:rPr>
          <w:rFonts w:ascii="Arial" w:hAnsi="Arial" w:cs="Arial"/>
        </w:rPr>
        <w:t xml:space="preserve"> revealed total viable</w:t>
      </w:r>
      <w:r w:rsidR="00F75387" w:rsidRPr="002730F6">
        <w:rPr>
          <w:rFonts w:ascii="Arial" w:hAnsi="Arial" w:cs="Arial"/>
        </w:rPr>
        <w:t xml:space="preserve"> bacterial counts ranging from 2.10 x 10</w:t>
      </w:r>
      <w:r w:rsidR="00F75387" w:rsidRPr="002730F6">
        <w:rPr>
          <w:rFonts w:ascii="Arial" w:hAnsi="Arial" w:cs="Arial"/>
          <w:vertAlign w:val="superscript"/>
        </w:rPr>
        <w:t>4</w:t>
      </w:r>
      <w:r w:rsidR="00B71E47">
        <w:rPr>
          <w:rFonts w:ascii="Arial" w:hAnsi="Arial" w:cs="Arial"/>
        </w:rPr>
        <w:t xml:space="preserve"> </w:t>
      </w:r>
      <w:r w:rsidR="00F50A51" w:rsidRPr="002730F6">
        <w:rPr>
          <w:rFonts w:ascii="Arial" w:hAnsi="Arial" w:cs="Arial"/>
        </w:rPr>
        <w:t>CFU/</w:t>
      </w:r>
      <w:r w:rsidR="00F75387" w:rsidRPr="002730F6">
        <w:rPr>
          <w:rFonts w:ascii="Arial" w:hAnsi="Arial" w:cs="Arial"/>
        </w:rPr>
        <w:t>g to 7.30 x 10</w:t>
      </w:r>
      <w:r w:rsidR="00F75387" w:rsidRPr="002730F6">
        <w:rPr>
          <w:rFonts w:ascii="Arial" w:hAnsi="Arial" w:cs="Arial"/>
          <w:vertAlign w:val="superscript"/>
        </w:rPr>
        <w:t>4</w:t>
      </w:r>
      <w:r w:rsidR="00B71E47">
        <w:rPr>
          <w:rFonts w:ascii="Arial" w:hAnsi="Arial" w:cs="Arial"/>
        </w:rPr>
        <w:t xml:space="preserve"> </w:t>
      </w:r>
      <w:r w:rsidR="00F50A51" w:rsidRPr="002730F6">
        <w:rPr>
          <w:rFonts w:ascii="Arial" w:hAnsi="Arial" w:cs="Arial"/>
        </w:rPr>
        <w:t>CFU/</w:t>
      </w:r>
      <w:r w:rsidR="00F75387" w:rsidRPr="002730F6">
        <w:rPr>
          <w:rFonts w:ascii="Arial" w:hAnsi="Arial" w:cs="Arial"/>
        </w:rPr>
        <w:t>g in prawns from wetlands in Akwa Ibom State.</w:t>
      </w:r>
      <w:r w:rsidR="008F2661" w:rsidRPr="002730F6">
        <w:rPr>
          <w:rFonts w:ascii="Arial" w:hAnsi="Arial" w:cs="Arial"/>
        </w:rPr>
        <w:t xml:space="preserve"> Again, Peter et al. [</w:t>
      </w:r>
      <w:r w:rsidR="00B039D3" w:rsidRPr="002730F6">
        <w:rPr>
          <w:rFonts w:ascii="Arial" w:hAnsi="Arial" w:cs="Arial"/>
        </w:rPr>
        <w:t>44]</w:t>
      </w:r>
      <w:r w:rsidR="00F75387" w:rsidRPr="002730F6">
        <w:rPr>
          <w:rFonts w:ascii="Arial" w:hAnsi="Arial" w:cs="Arial"/>
        </w:rPr>
        <w:t xml:space="preserve"> reported high </w:t>
      </w:r>
      <w:r w:rsidR="00275606" w:rsidRPr="002730F6">
        <w:rPr>
          <w:rFonts w:ascii="Arial" w:hAnsi="Arial" w:cs="Arial"/>
        </w:rPr>
        <w:t>numbers</w:t>
      </w:r>
      <w:r w:rsidR="00F75387" w:rsidRPr="002730F6">
        <w:rPr>
          <w:rFonts w:ascii="Arial" w:hAnsi="Arial" w:cs="Arial"/>
        </w:rPr>
        <w:t xml:space="preserve"> of total heterotrophic bacteria, </w:t>
      </w:r>
      <w:proofErr w:type="spellStart"/>
      <w:r w:rsidR="00F75387" w:rsidRPr="002730F6">
        <w:rPr>
          <w:rFonts w:ascii="Arial" w:hAnsi="Arial" w:cs="Arial"/>
        </w:rPr>
        <w:t>feacal</w:t>
      </w:r>
      <w:proofErr w:type="spellEnd"/>
      <w:r w:rsidR="00F75387" w:rsidRPr="002730F6">
        <w:rPr>
          <w:rFonts w:ascii="Arial" w:hAnsi="Arial" w:cs="Arial"/>
        </w:rPr>
        <w:t xml:space="preserve"> coliforms, </w:t>
      </w:r>
      <w:r w:rsidR="00F75387" w:rsidRPr="002730F6">
        <w:rPr>
          <w:rFonts w:ascii="Arial" w:hAnsi="Arial" w:cs="Arial"/>
          <w:i/>
        </w:rPr>
        <w:t>E. coli</w:t>
      </w:r>
      <w:r w:rsidR="00F75387" w:rsidRPr="002730F6">
        <w:rPr>
          <w:rFonts w:ascii="Arial" w:hAnsi="Arial" w:cs="Arial"/>
        </w:rPr>
        <w:t xml:space="preserve"> and </w:t>
      </w:r>
      <w:r w:rsidR="00F75387" w:rsidRPr="002730F6">
        <w:rPr>
          <w:rFonts w:ascii="Arial" w:hAnsi="Arial" w:cs="Arial"/>
          <w:i/>
        </w:rPr>
        <w:t>Salmonella</w:t>
      </w:r>
      <w:r w:rsidR="00275606" w:rsidRPr="002730F6">
        <w:rPr>
          <w:rFonts w:ascii="Arial" w:hAnsi="Arial" w:cs="Arial"/>
        </w:rPr>
        <w:t xml:space="preserve"> from shrimps in Ibadan. </w:t>
      </w:r>
      <w:r w:rsidR="00F75387" w:rsidRPr="002730F6">
        <w:rPr>
          <w:rFonts w:ascii="Arial" w:hAnsi="Arial" w:cs="Arial"/>
        </w:rPr>
        <w:t xml:space="preserve"> </w:t>
      </w:r>
      <w:r w:rsidR="00373E4B" w:rsidRPr="002730F6">
        <w:rPr>
          <w:rFonts w:ascii="Arial" w:hAnsi="Arial" w:cs="Arial"/>
        </w:rPr>
        <w:t>Our</w:t>
      </w:r>
      <w:r w:rsidR="002F71B4" w:rsidRPr="002730F6">
        <w:rPr>
          <w:rFonts w:ascii="Arial" w:hAnsi="Arial" w:cs="Arial"/>
        </w:rPr>
        <w:t xml:space="preserve"> results indicated that Shrimps generally had higher</w:t>
      </w:r>
      <w:r w:rsidR="00181C99" w:rsidRPr="002730F6">
        <w:rPr>
          <w:rFonts w:ascii="Arial" w:hAnsi="Arial" w:cs="Arial"/>
        </w:rPr>
        <w:t xml:space="preserve"> viable </w:t>
      </w:r>
      <w:r w:rsidR="002F71B4" w:rsidRPr="002730F6">
        <w:rPr>
          <w:rFonts w:ascii="Arial" w:hAnsi="Arial" w:cs="Arial"/>
        </w:rPr>
        <w:t>bacterial counts, particularly in the wet season, and that seasonal variations appear to influence the presence and concentration of bacterial pathogens in these seafood samples.</w:t>
      </w:r>
      <w:r w:rsidR="001504E8" w:rsidRPr="002730F6">
        <w:rPr>
          <w:rFonts w:ascii="Arial" w:hAnsi="Arial" w:cs="Arial"/>
        </w:rPr>
        <w:t xml:space="preserve"> International Commission on Microbiological Specification for Food</w:t>
      </w:r>
      <w:r w:rsidR="009A48D1" w:rsidRPr="002730F6">
        <w:rPr>
          <w:rFonts w:ascii="Arial" w:hAnsi="Arial" w:cs="Arial"/>
        </w:rPr>
        <w:t xml:space="preserve"> </w:t>
      </w:r>
      <w:r w:rsidR="001504E8" w:rsidRPr="002730F6">
        <w:rPr>
          <w:rFonts w:ascii="Arial" w:hAnsi="Arial" w:cs="Arial"/>
        </w:rPr>
        <w:t>(</w:t>
      </w:r>
      <w:r w:rsidR="006506C0" w:rsidRPr="002730F6">
        <w:rPr>
          <w:rFonts w:ascii="Arial" w:hAnsi="Arial" w:cs="Arial"/>
        </w:rPr>
        <w:t>ICM</w:t>
      </w:r>
      <w:r w:rsidR="00CA64FA">
        <w:rPr>
          <w:rFonts w:ascii="Arial" w:hAnsi="Arial" w:cs="Arial"/>
        </w:rPr>
        <w:t>SF</w:t>
      </w:r>
      <w:r w:rsidR="001504E8" w:rsidRPr="002730F6">
        <w:rPr>
          <w:rFonts w:ascii="Arial" w:hAnsi="Arial" w:cs="Arial"/>
        </w:rPr>
        <w:t>)</w:t>
      </w:r>
      <w:r w:rsidR="006506C0" w:rsidRPr="002730F6">
        <w:rPr>
          <w:rFonts w:ascii="Arial" w:hAnsi="Arial" w:cs="Arial"/>
        </w:rPr>
        <w:t xml:space="preserve"> and </w:t>
      </w:r>
      <w:r w:rsidR="001504E8" w:rsidRPr="002730F6">
        <w:rPr>
          <w:rFonts w:ascii="Arial" w:hAnsi="Arial" w:cs="Arial"/>
        </w:rPr>
        <w:t>United States Food Drugs Administration (</w:t>
      </w:r>
      <w:r w:rsidR="006506C0" w:rsidRPr="002730F6">
        <w:rPr>
          <w:rFonts w:ascii="Arial" w:hAnsi="Arial" w:cs="Arial"/>
        </w:rPr>
        <w:t>USFDA</w:t>
      </w:r>
      <w:r w:rsidR="001504E8" w:rsidRPr="002730F6">
        <w:rPr>
          <w:rFonts w:ascii="Arial" w:hAnsi="Arial" w:cs="Arial"/>
        </w:rPr>
        <w:t>)</w:t>
      </w:r>
      <w:r w:rsidR="006506C0" w:rsidRPr="002730F6">
        <w:rPr>
          <w:rFonts w:ascii="Arial" w:hAnsi="Arial" w:cs="Arial"/>
        </w:rPr>
        <w:t xml:space="preserve"> has suggested </w:t>
      </w:r>
      <w:r w:rsidR="00614B9B" w:rsidRPr="002730F6">
        <w:rPr>
          <w:rFonts w:ascii="Arial" w:hAnsi="Arial" w:cs="Arial"/>
        </w:rPr>
        <w:t>total viable bacterial</w:t>
      </w:r>
      <w:r w:rsidR="006506C0" w:rsidRPr="002730F6">
        <w:rPr>
          <w:rFonts w:ascii="Arial" w:hAnsi="Arial" w:cs="Arial"/>
        </w:rPr>
        <w:t xml:space="preserve"> counts of </w:t>
      </w:r>
      <w:r w:rsidR="001504E8" w:rsidRPr="002730F6">
        <w:rPr>
          <w:rFonts w:ascii="Arial" w:hAnsi="Arial" w:cs="Arial"/>
        </w:rPr>
        <w:t>n</w:t>
      </w:r>
      <w:r w:rsidR="006506C0" w:rsidRPr="002730F6">
        <w:rPr>
          <w:rFonts w:ascii="Arial" w:hAnsi="Arial" w:cs="Arial"/>
        </w:rPr>
        <w:t xml:space="preserve">ot greater than 5 </w:t>
      </w:r>
      <w:r w:rsidR="00157DDD" w:rsidRPr="002730F6">
        <w:rPr>
          <w:rFonts w:ascii="Arial" w:hAnsi="Arial" w:cs="Arial"/>
        </w:rPr>
        <w:t>×</w:t>
      </w:r>
      <w:r w:rsidR="006506C0" w:rsidRPr="002730F6">
        <w:rPr>
          <w:rFonts w:ascii="Arial" w:hAnsi="Arial" w:cs="Arial"/>
        </w:rPr>
        <w:t>10</w:t>
      </w:r>
      <w:r w:rsidR="006506C0" w:rsidRPr="002730F6">
        <w:rPr>
          <w:rFonts w:ascii="Arial" w:hAnsi="Arial" w:cs="Arial"/>
          <w:vertAlign w:val="superscript"/>
        </w:rPr>
        <w:t>5</w:t>
      </w:r>
      <w:r w:rsidR="006506C0" w:rsidRPr="002730F6">
        <w:rPr>
          <w:rFonts w:ascii="Arial" w:hAnsi="Arial" w:cs="Arial"/>
        </w:rPr>
        <w:t xml:space="preserve"> </w:t>
      </w:r>
      <w:r w:rsidR="00614B9B" w:rsidRPr="002730F6">
        <w:rPr>
          <w:rFonts w:ascii="Arial" w:hAnsi="Arial" w:cs="Arial"/>
        </w:rPr>
        <w:t>CFU/g in</w:t>
      </w:r>
      <w:r w:rsidR="006506C0" w:rsidRPr="002730F6">
        <w:rPr>
          <w:rFonts w:ascii="Arial" w:hAnsi="Arial" w:cs="Arial"/>
        </w:rPr>
        <w:t xml:space="preserve"> shellfish for </w:t>
      </w:r>
      <w:r w:rsidR="001504E8" w:rsidRPr="002730F6">
        <w:rPr>
          <w:rFonts w:ascii="Arial" w:hAnsi="Arial" w:cs="Arial"/>
        </w:rPr>
        <w:t>consumers’</w:t>
      </w:r>
      <w:r w:rsidR="00614B9B" w:rsidRPr="002730F6">
        <w:rPr>
          <w:rFonts w:ascii="Arial" w:hAnsi="Arial" w:cs="Arial"/>
        </w:rPr>
        <w:t xml:space="preserve"> safety </w:t>
      </w:r>
      <w:r w:rsidR="00872450">
        <w:rPr>
          <w:rFonts w:ascii="Arial" w:hAnsi="Arial" w:cs="Arial"/>
        </w:rPr>
        <w:t>[45]</w:t>
      </w:r>
      <w:r w:rsidR="002730F6" w:rsidRPr="002730F6">
        <w:rPr>
          <w:rFonts w:ascii="Arial" w:hAnsi="Arial" w:cs="Arial"/>
        </w:rPr>
        <w:t xml:space="preserve"> </w:t>
      </w:r>
      <w:r w:rsidR="00614B9B" w:rsidRPr="002730F6">
        <w:rPr>
          <w:rFonts w:ascii="Arial" w:hAnsi="Arial" w:cs="Arial"/>
        </w:rPr>
        <w:t>while</w:t>
      </w:r>
      <w:r w:rsidR="001504E8" w:rsidRPr="002730F6">
        <w:rPr>
          <w:rFonts w:ascii="Arial" w:hAnsi="Arial" w:cs="Arial"/>
        </w:rPr>
        <w:t xml:space="preserve"> National Agency for Food and Drug Administration (NAFDAC) suggests</w:t>
      </w:r>
      <w:r w:rsidR="00614B9B" w:rsidRPr="002730F6">
        <w:rPr>
          <w:rFonts w:ascii="Arial" w:hAnsi="Arial" w:cs="Arial"/>
        </w:rPr>
        <w:t xml:space="preserve"> that viable counts not greater than 5.0x10</w:t>
      </w:r>
      <w:r w:rsidR="00614B9B" w:rsidRPr="002730F6">
        <w:rPr>
          <w:rFonts w:ascii="Arial" w:hAnsi="Arial" w:cs="Arial"/>
          <w:vertAlign w:val="superscript"/>
        </w:rPr>
        <w:t>5</w:t>
      </w:r>
      <w:r w:rsidR="00614B9B" w:rsidRPr="002730F6">
        <w:rPr>
          <w:rFonts w:ascii="Arial" w:hAnsi="Arial" w:cs="Arial"/>
        </w:rPr>
        <w:t xml:space="preserve"> CFU/g and 1.0 × 10</w:t>
      </w:r>
      <w:r w:rsidR="00614B9B" w:rsidRPr="002730F6">
        <w:rPr>
          <w:rFonts w:ascii="Arial" w:hAnsi="Arial" w:cs="Arial"/>
          <w:vertAlign w:val="superscript"/>
        </w:rPr>
        <w:t>6</w:t>
      </w:r>
      <w:r w:rsidR="00614B9B" w:rsidRPr="002730F6">
        <w:rPr>
          <w:rFonts w:ascii="Arial" w:hAnsi="Arial" w:cs="Arial"/>
        </w:rPr>
        <w:t xml:space="preserve"> CFU/g</w:t>
      </w:r>
      <w:r w:rsidR="001504E8" w:rsidRPr="002730F6">
        <w:rPr>
          <w:rFonts w:ascii="Arial" w:hAnsi="Arial" w:cs="Arial"/>
        </w:rPr>
        <w:t xml:space="preserve"> </w:t>
      </w:r>
      <w:r w:rsidR="00614B9B" w:rsidRPr="002730F6">
        <w:rPr>
          <w:rFonts w:ascii="Arial" w:hAnsi="Arial" w:cs="Arial"/>
        </w:rPr>
        <w:t>for consumers safety</w:t>
      </w:r>
      <w:r w:rsidR="00872450">
        <w:rPr>
          <w:rFonts w:ascii="Arial" w:hAnsi="Arial" w:cs="Arial"/>
        </w:rPr>
        <w:t xml:space="preserve"> [46]</w:t>
      </w:r>
      <w:r w:rsidR="00614B9B" w:rsidRPr="002730F6">
        <w:rPr>
          <w:rFonts w:ascii="Arial" w:hAnsi="Arial" w:cs="Arial"/>
        </w:rPr>
        <w:t xml:space="preserve">. Again, our results were </w:t>
      </w:r>
      <w:r w:rsidR="00157DDD" w:rsidRPr="002730F6">
        <w:rPr>
          <w:rFonts w:ascii="Arial" w:hAnsi="Arial" w:cs="Arial"/>
        </w:rPr>
        <w:t>below</w:t>
      </w:r>
      <w:r w:rsidR="00614B9B" w:rsidRPr="002730F6">
        <w:rPr>
          <w:rFonts w:ascii="Arial" w:hAnsi="Arial" w:cs="Arial"/>
        </w:rPr>
        <w:t xml:space="preserve"> the limits suggested by these regulatory agencies. </w:t>
      </w:r>
    </w:p>
    <w:p w14:paraId="4E9D5C27" w14:textId="77777777" w:rsidR="0060191A" w:rsidRDefault="005F6DFC" w:rsidP="002F71B4">
      <w:pPr>
        <w:spacing w:line="360" w:lineRule="auto"/>
        <w:jc w:val="both"/>
        <w:rPr>
          <w:rFonts w:ascii="Arial" w:hAnsi="Arial" w:cs="Arial"/>
        </w:rPr>
      </w:pPr>
      <w:r w:rsidRPr="00E42307">
        <w:rPr>
          <w:rFonts w:ascii="Arial" w:hAnsi="Arial" w:cs="Arial"/>
          <w:noProof/>
          <w:sz w:val="18"/>
          <w:szCs w:val="18"/>
        </w:rPr>
        <w:drawing>
          <wp:inline distT="0" distB="0" distL="0" distR="0" wp14:anchorId="254ACE27" wp14:editId="41D36A7C">
            <wp:extent cx="5943600" cy="3614250"/>
            <wp:effectExtent l="0" t="0" r="0" b="5715"/>
            <wp:docPr id="409655567"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5E52847" w14:textId="77777777" w:rsidR="002F71B4" w:rsidRPr="002730F6" w:rsidRDefault="00BF753D" w:rsidP="002F71B4">
      <w:pPr>
        <w:spacing w:line="360" w:lineRule="auto"/>
        <w:jc w:val="both"/>
        <w:rPr>
          <w:rFonts w:ascii="Arial" w:hAnsi="Arial" w:cs="Arial"/>
        </w:rPr>
      </w:pPr>
      <w:r w:rsidRPr="002730F6">
        <w:rPr>
          <w:rFonts w:ascii="Arial" w:hAnsi="Arial" w:cs="Arial"/>
        </w:rPr>
        <w:t>Fig.</w:t>
      </w:r>
      <w:r w:rsidR="00DE63A9" w:rsidRPr="002730F6">
        <w:rPr>
          <w:rFonts w:ascii="Arial" w:hAnsi="Arial" w:cs="Arial"/>
        </w:rPr>
        <w:t>2:</w:t>
      </w:r>
      <w:r w:rsidR="002F71B4" w:rsidRPr="002730F6">
        <w:rPr>
          <w:rFonts w:ascii="Arial" w:hAnsi="Arial" w:cs="Arial"/>
        </w:rPr>
        <w:t xml:space="preserve"> Bacterial counts</w:t>
      </w:r>
      <w:r w:rsidRPr="002730F6">
        <w:rPr>
          <w:rFonts w:ascii="Arial" w:hAnsi="Arial" w:cs="Arial"/>
        </w:rPr>
        <w:t xml:space="preserve"> in Seafood Samples</w:t>
      </w:r>
    </w:p>
    <w:p w14:paraId="4346D2AE" w14:textId="77777777" w:rsidR="001E67D9" w:rsidRPr="002730F6" w:rsidRDefault="001E67D9" w:rsidP="001E67D9">
      <w:pPr>
        <w:pStyle w:val="Body"/>
        <w:spacing w:after="0" w:line="480" w:lineRule="auto"/>
        <w:rPr>
          <w:rFonts w:ascii="Arial" w:hAnsi="Arial" w:cs="Arial"/>
        </w:rPr>
      </w:pPr>
      <w:r w:rsidRPr="002730F6">
        <w:rPr>
          <w:rFonts w:ascii="Arial" w:hAnsi="Arial" w:cs="Arial"/>
        </w:rPr>
        <w:t>* Results are in mean ± standard deviation</w:t>
      </w:r>
    </w:p>
    <w:p w14:paraId="0F0D4178" w14:textId="77777777" w:rsidR="001E67D9" w:rsidRPr="002730F6" w:rsidRDefault="001E67D9" w:rsidP="002F71B4">
      <w:pPr>
        <w:spacing w:line="360" w:lineRule="auto"/>
        <w:jc w:val="both"/>
        <w:rPr>
          <w:rFonts w:ascii="Arial" w:hAnsi="Arial" w:cs="Arial"/>
        </w:rPr>
      </w:pPr>
    </w:p>
    <w:p w14:paraId="0A954D6C" w14:textId="77777777" w:rsidR="00F50A51" w:rsidRPr="002730F6" w:rsidRDefault="00613D23" w:rsidP="00F50A51">
      <w:pPr>
        <w:spacing w:line="360" w:lineRule="auto"/>
        <w:jc w:val="both"/>
        <w:rPr>
          <w:rFonts w:ascii="Arial" w:hAnsi="Arial" w:cs="Arial"/>
        </w:rPr>
      </w:pPr>
      <w:r w:rsidRPr="002730F6">
        <w:rPr>
          <w:rFonts w:ascii="Arial" w:hAnsi="Arial" w:cs="Arial"/>
        </w:rPr>
        <w:t>These bacterial populations</w:t>
      </w:r>
      <w:r w:rsidR="002F71B4" w:rsidRPr="002730F6">
        <w:rPr>
          <w:rFonts w:ascii="Arial" w:hAnsi="Arial" w:cs="Arial"/>
        </w:rPr>
        <w:t xml:space="preserve"> may be indicative of </w:t>
      </w:r>
      <w:proofErr w:type="spellStart"/>
      <w:r w:rsidR="002F71B4" w:rsidRPr="002730F6">
        <w:rPr>
          <w:rFonts w:ascii="Arial" w:hAnsi="Arial" w:cs="Arial"/>
        </w:rPr>
        <w:t>faecal</w:t>
      </w:r>
      <w:proofErr w:type="spellEnd"/>
      <w:r w:rsidR="002F71B4" w:rsidRPr="002730F6">
        <w:rPr>
          <w:rFonts w:ascii="Arial" w:hAnsi="Arial" w:cs="Arial"/>
        </w:rPr>
        <w:t xml:space="preserve"> contamination and potential health risks associated with consuming contaminated seafood. Sources of pollution in the </w:t>
      </w:r>
      <w:proofErr w:type="spellStart"/>
      <w:r w:rsidR="002F71B4" w:rsidRPr="002730F6">
        <w:rPr>
          <w:rFonts w:ascii="Arial" w:hAnsi="Arial" w:cs="Arial"/>
        </w:rPr>
        <w:t>Yokri</w:t>
      </w:r>
      <w:proofErr w:type="spellEnd"/>
      <w:r w:rsidR="002F71B4" w:rsidRPr="002730F6">
        <w:rPr>
          <w:rFonts w:ascii="Arial" w:hAnsi="Arial" w:cs="Arial"/>
        </w:rPr>
        <w:t xml:space="preserve"> area, particularly near oil exploration sites, include runoff from agricultural activities, domestic sewage, and industrial effluents. Oil exploration activities may contribute to water pollution through the discharge</w:t>
      </w:r>
      <w:r w:rsidR="00872BC1" w:rsidRPr="002730F6">
        <w:rPr>
          <w:rFonts w:ascii="Arial" w:hAnsi="Arial" w:cs="Arial"/>
        </w:rPr>
        <w:t xml:space="preserve"> of drilling fluids, oil spills</w:t>
      </w:r>
      <w:r w:rsidR="002F71B4" w:rsidRPr="002730F6">
        <w:rPr>
          <w:rFonts w:ascii="Arial" w:hAnsi="Arial" w:cs="Arial"/>
        </w:rPr>
        <w:t xml:space="preserve"> and waste disposal. </w:t>
      </w:r>
      <w:proofErr w:type="spellStart"/>
      <w:r w:rsidR="002F71B4" w:rsidRPr="002730F6">
        <w:rPr>
          <w:rFonts w:ascii="Arial" w:hAnsi="Arial" w:cs="Arial"/>
        </w:rPr>
        <w:t>Faecal</w:t>
      </w:r>
      <w:proofErr w:type="spellEnd"/>
      <w:r w:rsidR="002F71B4" w:rsidRPr="002730F6">
        <w:rPr>
          <w:rFonts w:ascii="Arial" w:hAnsi="Arial" w:cs="Arial"/>
        </w:rPr>
        <w:t xml:space="preserve"> contamination from human and animal waste can introduce pathogens like</w:t>
      </w:r>
      <w:r w:rsidR="0043650F" w:rsidRPr="002730F6">
        <w:rPr>
          <w:rFonts w:ascii="Arial" w:hAnsi="Arial" w:cs="Arial"/>
        </w:rPr>
        <w:t xml:space="preserve"> members of </w:t>
      </w:r>
      <w:r w:rsidR="0043650F" w:rsidRPr="002730F6">
        <w:rPr>
          <w:rFonts w:ascii="Arial" w:hAnsi="Arial" w:cs="Arial"/>
          <w:i/>
        </w:rPr>
        <w:t>Enterobacteriaceae</w:t>
      </w:r>
      <w:r w:rsidR="002F71B4" w:rsidRPr="002730F6">
        <w:rPr>
          <w:rFonts w:ascii="Arial" w:hAnsi="Arial" w:cs="Arial"/>
        </w:rPr>
        <w:t xml:space="preserve"> </w:t>
      </w:r>
      <w:r w:rsidR="0043650F" w:rsidRPr="002730F6">
        <w:rPr>
          <w:rFonts w:ascii="Arial" w:hAnsi="Arial" w:cs="Arial"/>
        </w:rPr>
        <w:t>(</w:t>
      </w:r>
      <w:r w:rsidR="002F71B4" w:rsidRPr="002730F6">
        <w:rPr>
          <w:rFonts w:ascii="Arial" w:hAnsi="Arial" w:cs="Arial"/>
          <w:i/>
        </w:rPr>
        <w:t>E. coli</w:t>
      </w:r>
      <w:r w:rsidR="002F71B4" w:rsidRPr="002730F6">
        <w:rPr>
          <w:rFonts w:ascii="Arial" w:hAnsi="Arial" w:cs="Arial"/>
        </w:rPr>
        <w:t xml:space="preserve"> and </w:t>
      </w:r>
      <w:r w:rsidR="002F71B4" w:rsidRPr="002730F6">
        <w:rPr>
          <w:rFonts w:ascii="Arial" w:hAnsi="Arial" w:cs="Arial"/>
          <w:i/>
        </w:rPr>
        <w:t>Salmonella</w:t>
      </w:r>
      <w:r w:rsidR="0043650F" w:rsidRPr="002730F6">
        <w:rPr>
          <w:rFonts w:ascii="Arial" w:hAnsi="Arial" w:cs="Arial"/>
        </w:rPr>
        <w:t xml:space="preserve">) </w:t>
      </w:r>
      <w:r w:rsidR="002F71B4" w:rsidRPr="002730F6">
        <w:rPr>
          <w:rFonts w:ascii="Arial" w:hAnsi="Arial" w:cs="Arial"/>
        </w:rPr>
        <w:t>into aquatic environments, leading to contamination of seafood. Consumption of seafood contaminated with these pathogens can result in gastrointestinal illnesse</w:t>
      </w:r>
      <w:r w:rsidR="00915599" w:rsidRPr="002730F6">
        <w:rPr>
          <w:rFonts w:ascii="Arial" w:hAnsi="Arial" w:cs="Arial"/>
        </w:rPr>
        <w:t>s, including diarrhea, vomiting</w:t>
      </w:r>
      <w:r w:rsidR="002F71B4" w:rsidRPr="002730F6">
        <w:rPr>
          <w:rFonts w:ascii="Arial" w:hAnsi="Arial" w:cs="Arial"/>
        </w:rPr>
        <w:t xml:space="preserve"> and abdominal cramps, posing significant risks to public health, especially in communities reliant on seafood as a primary food source.</w:t>
      </w:r>
      <w:r w:rsidR="00F50A51" w:rsidRPr="002730F6">
        <w:rPr>
          <w:rFonts w:ascii="Arial" w:hAnsi="Arial" w:cs="Arial"/>
        </w:rPr>
        <w:t xml:space="preserve"> </w:t>
      </w:r>
      <w:r w:rsidR="00F50A51" w:rsidRPr="002730F6">
        <w:rPr>
          <w:rFonts w:ascii="Arial" w:hAnsi="Arial" w:cs="Arial"/>
          <w:i/>
        </w:rPr>
        <w:t>Vibrio</w:t>
      </w:r>
      <w:r w:rsidR="0043650F" w:rsidRPr="002730F6">
        <w:rPr>
          <w:rFonts w:ascii="Arial" w:hAnsi="Arial" w:cs="Arial"/>
        </w:rPr>
        <w:t xml:space="preserve"> s</w:t>
      </w:r>
      <w:r w:rsidR="00157DDD" w:rsidRPr="002730F6">
        <w:rPr>
          <w:rFonts w:ascii="Arial" w:hAnsi="Arial" w:cs="Arial"/>
        </w:rPr>
        <w:t>pecies</w:t>
      </w:r>
      <w:r w:rsidR="00F50A51" w:rsidRPr="002730F6">
        <w:rPr>
          <w:rFonts w:ascii="Arial" w:hAnsi="Arial" w:cs="Arial"/>
        </w:rPr>
        <w:t xml:space="preserve"> found in different sea foods have been implicated </w:t>
      </w:r>
      <w:r w:rsidR="00F50A51" w:rsidRPr="002730F6">
        <w:rPr>
          <w:rFonts w:ascii="Arial" w:hAnsi="Arial" w:cs="Arial"/>
        </w:rPr>
        <w:lastRenderedPageBreak/>
        <w:t>in gastro enteric diseases posing considerable public health threat, as agent of sporadic and epidemic food borne infections when undercooked or raw sea foods are consumed</w:t>
      </w:r>
      <w:r w:rsidR="00872450">
        <w:rPr>
          <w:rFonts w:ascii="Arial" w:hAnsi="Arial" w:cs="Arial"/>
        </w:rPr>
        <w:t xml:space="preserve"> [47</w:t>
      </w:r>
      <w:r w:rsidR="00B039D3" w:rsidRPr="002730F6">
        <w:rPr>
          <w:rFonts w:ascii="Arial" w:hAnsi="Arial" w:cs="Arial"/>
        </w:rPr>
        <w:t>]</w:t>
      </w:r>
      <w:r w:rsidR="00F50A51" w:rsidRPr="002730F6">
        <w:rPr>
          <w:rFonts w:ascii="Arial" w:hAnsi="Arial" w:cs="Arial"/>
        </w:rPr>
        <w:t xml:space="preserve">. </w:t>
      </w:r>
    </w:p>
    <w:p w14:paraId="1CC7DDE3" w14:textId="77777777" w:rsidR="002F71B4" w:rsidRPr="002730F6" w:rsidRDefault="002F71B4" w:rsidP="002F71B4">
      <w:pPr>
        <w:spacing w:line="360" w:lineRule="auto"/>
        <w:jc w:val="both"/>
        <w:rPr>
          <w:rFonts w:ascii="Arial" w:hAnsi="Arial" w:cs="Arial"/>
        </w:rPr>
      </w:pPr>
    </w:p>
    <w:p w14:paraId="3A98030A" w14:textId="77777777" w:rsidR="002F71B4" w:rsidRPr="002730F6" w:rsidRDefault="002F71B4" w:rsidP="002F71B4">
      <w:pPr>
        <w:spacing w:line="360" w:lineRule="auto"/>
        <w:jc w:val="both"/>
        <w:rPr>
          <w:rFonts w:ascii="Arial" w:hAnsi="Arial" w:cs="Arial"/>
        </w:rPr>
      </w:pPr>
      <w:r w:rsidRPr="002730F6">
        <w:rPr>
          <w:rFonts w:ascii="Arial" w:hAnsi="Arial" w:cs="Arial"/>
        </w:rPr>
        <w:t>Comparing these microbiological concentrations to findings from some selected studies revealed variations in contamination levels across different regions and environmental conditions. Studies conducted in the Buf</w:t>
      </w:r>
      <w:r w:rsidR="00872450">
        <w:rPr>
          <w:rFonts w:ascii="Arial" w:hAnsi="Arial" w:cs="Arial"/>
        </w:rPr>
        <w:t>falo creek [48</w:t>
      </w:r>
      <w:r w:rsidR="00A332BD" w:rsidRPr="002730F6">
        <w:rPr>
          <w:rFonts w:ascii="Arial" w:hAnsi="Arial" w:cs="Arial"/>
        </w:rPr>
        <w:t>]</w:t>
      </w:r>
      <w:r w:rsidRPr="002730F6">
        <w:rPr>
          <w:rFonts w:ascii="Arial" w:hAnsi="Arial" w:cs="Arial"/>
        </w:rPr>
        <w:t xml:space="preserve">, </w:t>
      </w:r>
      <w:proofErr w:type="spellStart"/>
      <w:r w:rsidRPr="002730F6">
        <w:rPr>
          <w:rFonts w:ascii="Arial" w:hAnsi="Arial" w:cs="Arial"/>
        </w:rPr>
        <w:t>Pulicat</w:t>
      </w:r>
      <w:proofErr w:type="spellEnd"/>
      <w:r w:rsidRPr="002730F6">
        <w:rPr>
          <w:rFonts w:ascii="Arial" w:hAnsi="Arial" w:cs="Arial"/>
        </w:rPr>
        <w:t xml:space="preserve"> lake, in North Chennai coastal regi</w:t>
      </w:r>
      <w:r w:rsidR="00872450">
        <w:rPr>
          <w:rFonts w:ascii="Arial" w:hAnsi="Arial" w:cs="Arial"/>
        </w:rPr>
        <w:t>on, India [49</w:t>
      </w:r>
      <w:r w:rsidR="00A332BD" w:rsidRPr="002730F6">
        <w:rPr>
          <w:rFonts w:ascii="Arial" w:hAnsi="Arial" w:cs="Arial"/>
        </w:rPr>
        <w:t>]</w:t>
      </w:r>
      <w:r w:rsidR="00915599" w:rsidRPr="002730F6">
        <w:rPr>
          <w:rFonts w:ascii="Arial" w:hAnsi="Arial" w:cs="Arial"/>
        </w:rPr>
        <w:t xml:space="preserve"> and</w:t>
      </w:r>
      <w:r w:rsidRPr="002730F6">
        <w:rPr>
          <w:rFonts w:ascii="Arial" w:hAnsi="Arial" w:cs="Arial"/>
        </w:rPr>
        <w:t xml:space="preserve"> </w:t>
      </w:r>
      <w:proofErr w:type="spellStart"/>
      <w:r w:rsidRPr="002730F6">
        <w:rPr>
          <w:rFonts w:ascii="Arial" w:hAnsi="Arial" w:cs="Arial"/>
        </w:rPr>
        <w:t>Mgbuoshimini</w:t>
      </w:r>
      <w:proofErr w:type="spellEnd"/>
      <w:r w:rsidRPr="002730F6">
        <w:rPr>
          <w:rFonts w:ascii="Arial" w:hAnsi="Arial" w:cs="Arial"/>
        </w:rPr>
        <w:t xml:space="preserve"> creek, Port Harcourt, Ri</w:t>
      </w:r>
      <w:r w:rsidR="00872450">
        <w:rPr>
          <w:rFonts w:ascii="Arial" w:hAnsi="Arial" w:cs="Arial"/>
        </w:rPr>
        <w:t>vers State [50</w:t>
      </w:r>
      <w:r w:rsidR="00915599" w:rsidRPr="002730F6">
        <w:rPr>
          <w:rFonts w:ascii="Arial" w:hAnsi="Arial" w:cs="Arial"/>
        </w:rPr>
        <w:t>],</w:t>
      </w:r>
      <w:r w:rsidR="00A332BD" w:rsidRPr="002730F6">
        <w:rPr>
          <w:rFonts w:ascii="Arial" w:hAnsi="Arial" w:cs="Arial"/>
        </w:rPr>
        <w:t xml:space="preserve"> </w:t>
      </w:r>
      <w:r w:rsidRPr="002730F6">
        <w:rPr>
          <w:rFonts w:ascii="Arial" w:hAnsi="Arial" w:cs="Arial"/>
        </w:rPr>
        <w:t xml:space="preserve">reported comparable levels of </w:t>
      </w:r>
      <w:proofErr w:type="spellStart"/>
      <w:r w:rsidRPr="002730F6">
        <w:rPr>
          <w:rFonts w:ascii="Arial" w:hAnsi="Arial" w:cs="Arial"/>
        </w:rPr>
        <w:t>faecal</w:t>
      </w:r>
      <w:proofErr w:type="spellEnd"/>
      <w:r w:rsidRPr="002730F6">
        <w:rPr>
          <w:rFonts w:ascii="Arial" w:hAnsi="Arial" w:cs="Arial"/>
        </w:rPr>
        <w:t xml:space="preserve"> indicators and bacterial counts in seafood samples, suggesting a widespread issue of microbial contamination in aquatic environments affected by anthropogenic activities. However, specific sources of contamination and their impacts on public health may vary depending on factors such as population density, sanitation infrastructure, and industrial activities. Further research and monitoring efforts are necessa</w:t>
      </w:r>
      <w:r w:rsidR="0043650F" w:rsidRPr="002730F6">
        <w:rPr>
          <w:rFonts w:ascii="Arial" w:hAnsi="Arial" w:cs="Arial"/>
        </w:rPr>
        <w:t xml:space="preserve">ry to assess the extent of </w:t>
      </w:r>
      <w:r w:rsidRPr="002730F6">
        <w:rPr>
          <w:rFonts w:ascii="Arial" w:hAnsi="Arial" w:cs="Arial"/>
        </w:rPr>
        <w:t>b</w:t>
      </w:r>
      <w:r w:rsidR="0043650F" w:rsidRPr="002730F6">
        <w:rPr>
          <w:rFonts w:ascii="Arial" w:hAnsi="Arial" w:cs="Arial"/>
        </w:rPr>
        <w:t>acter</w:t>
      </w:r>
      <w:r w:rsidRPr="002730F6">
        <w:rPr>
          <w:rFonts w:ascii="Arial" w:hAnsi="Arial" w:cs="Arial"/>
        </w:rPr>
        <w:t xml:space="preserve">ial contamination in seafood and implement appropriate mitigation measures to safeguard public health and ensure the safety of seafood consumption in communities like </w:t>
      </w:r>
      <w:proofErr w:type="spellStart"/>
      <w:r w:rsidRPr="002730F6">
        <w:rPr>
          <w:rFonts w:ascii="Arial" w:hAnsi="Arial" w:cs="Arial"/>
        </w:rPr>
        <w:t>Yokri</w:t>
      </w:r>
      <w:proofErr w:type="spellEnd"/>
      <w:r w:rsidRPr="002730F6">
        <w:rPr>
          <w:rFonts w:ascii="Arial" w:hAnsi="Arial" w:cs="Arial"/>
        </w:rPr>
        <w:t>.</w:t>
      </w:r>
    </w:p>
    <w:p w14:paraId="74B96B99" w14:textId="77777777" w:rsidR="002F71B4" w:rsidRPr="002730F6" w:rsidRDefault="002F71B4" w:rsidP="002F71B4">
      <w:pPr>
        <w:spacing w:line="360" w:lineRule="auto"/>
        <w:jc w:val="both"/>
        <w:rPr>
          <w:rFonts w:ascii="Arial" w:hAnsi="Arial" w:cs="Arial"/>
          <w:b/>
          <w:bCs/>
          <w:sz w:val="22"/>
          <w:szCs w:val="22"/>
        </w:rPr>
      </w:pPr>
      <w:r w:rsidRPr="002730F6">
        <w:rPr>
          <w:rFonts w:ascii="Arial" w:hAnsi="Arial" w:cs="Arial"/>
          <w:b/>
          <w:bCs/>
          <w:sz w:val="22"/>
          <w:szCs w:val="22"/>
        </w:rPr>
        <w:t>3.3 Human Health Risk Assessment</w:t>
      </w:r>
    </w:p>
    <w:p w14:paraId="0861CC0A" w14:textId="77777777" w:rsidR="006A01CD" w:rsidRPr="002730F6" w:rsidRDefault="006A01CD" w:rsidP="006A01CD">
      <w:pPr>
        <w:spacing w:before="240" w:line="360" w:lineRule="auto"/>
        <w:jc w:val="both"/>
        <w:rPr>
          <w:rFonts w:ascii="Arial" w:hAnsi="Arial" w:cs="Arial"/>
          <w:b/>
          <w:bCs/>
          <w:sz w:val="22"/>
          <w:szCs w:val="22"/>
        </w:rPr>
      </w:pPr>
      <w:r w:rsidRPr="002730F6">
        <w:rPr>
          <w:rFonts w:ascii="Arial" w:hAnsi="Arial" w:cs="Arial"/>
          <w:b/>
          <w:bCs/>
          <w:sz w:val="22"/>
          <w:szCs w:val="22"/>
        </w:rPr>
        <w:t>3.3.1 Estimated Daily Intake (EDI) of heavy metals</w:t>
      </w:r>
    </w:p>
    <w:p w14:paraId="2ADD4E10" w14:textId="77777777" w:rsidR="006A01CD" w:rsidRPr="002730F6" w:rsidRDefault="006A01CD" w:rsidP="006A01CD">
      <w:pPr>
        <w:spacing w:before="240" w:line="360" w:lineRule="auto"/>
        <w:jc w:val="both"/>
        <w:rPr>
          <w:rFonts w:ascii="Arial" w:hAnsi="Arial" w:cs="Arial"/>
        </w:rPr>
      </w:pPr>
      <w:r w:rsidRPr="002730F6">
        <w:rPr>
          <w:rFonts w:ascii="Arial" w:hAnsi="Arial" w:cs="Arial"/>
        </w:rPr>
        <w:t xml:space="preserve">The Estimated Daily Intake (EDI) of heavy metals, specifically Cd and Pb, in seafood samples (Crabs, Shrimps, and Periwinkles) is presented in Table 2. </w:t>
      </w:r>
    </w:p>
    <w:p w14:paraId="070878A8" w14:textId="77777777" w:rsidR="006A01CD" w:rsidRPr="002730F6" w:rsidRDefault="006A01CD" w:rsidP="006A01CD">
      <w:pPr>
        <w:spacing w:before="240" w:line="360" w:lineRule="auto"/>
        <w:jc w:val="both"/>
        <w:rPr>
          <w:rFonts w:ascii="Arial" w:hAnsi="Arial" w:cs="Arial"/>
        </w:rPr>
      </w:pPr>
      <w:r w:rsidRPr="002730F6">
        <w:rPr>
          <w:rFonts w:ascii="Arial" w:hAnsi="Arial" w:cs="Arial"/>
        </w:rPr>
        <w:t xml:space="preserve">Table 1: </w:t>
      </w:r>
      <w:r w:rsidR="00915599" w:rsidRPr="002730F6">
        <w:rPr>
          <w:rFonts w:ascii="Arial" w:hAnsi="Arial" w:cs="Arial"/>
        </w:rPr>
        <w:t>EDI of the heavy metals</w:t>
      </w:r>
      <w:r w:rsidRPr="002730F6">
        <w:rPr>
          <w:rFonts w:ascii="Arial" w:hAnsi="Arial" w:cs="Arial"/>
        </w:rPr>
        <w:t xml:space="preserve"> in this study.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8"/>
        <w:gridCol w:w="1395"/>
        <w:gridCol w:w="1394"/>
        <w:gridCol w:w="1557"/>
        <w:gridCol w:w="1232"/>
      </w:tblGrid>
      <w:tr w:rsidR="006A01CD" w:rsidRPr="002730F6" w14:paraId="7DCCD8F9" w14:textId="77777777" w:rsidTr="00014D56">
        <w:trPr>
          <w:trHeight w:val="285"/>
        </w:trPr>
        <w:tc>
          <w:tcPr>
            <w:tcW w:w="3678" w:type="dxa"/>
            <w:tcBorders>
              <w:top w:val="single" w:sz="4" w:space="0" w:color="auto"/>
              <w:bottom w:val="nil"/>
            </w:tcBorders>
            <w:noWrap/>
            <w:hideMark/>
          </w:tcPr>
          <w:p w14:paraId="6B098B63" w14:textId="77777777" w:rsidR="006A01CD" w:rsidRPr="002730F6" w:rsidRDefault="006A01CD" w:rsidP="00014D56">
            <w:pPr>
              <w:spacing w:before="240"/>
              <w:jc w:val="both"/>
              <w:rPr>
                <w:rFonts w:ascii="Arial" w:hAnsi="Arial" w:cs="Arial"/>
                <w:b/>
                <w:bCs/>
              </w:rPr>
            </w:pPr>
          </w:p>
        </w:tc>
        <w:tc>
          <w:tcPr>
            <w:tcW w:w="2789" w:type="dxa"/>
            <w:gridSpan w:val="2"/>
            <w:tcBorders>
              <w:top w:val="single" w:sz="4" w:space="0" w:color="auto"/>
              <w:bottom w:val="nil"/>
            </w:tcBorders>
            <w:noWrap/>
            <w:hideMark/>
          </w:tcPr>
          <w:p w14:paraId="6835444E" w14:textId="77777777" w:rsidR="006A01CD" w:rsidRPr="002730F6" w:rsidRDefault="006A01CD" w:rsidP="00014D56">
            <w:pPr>
              <w:spacing w:before="240"/>
              <w:jc w:val="both"/>
              <w:rPr>
                <w:rFonts w:ascii="Arial" w:hAnsi="Arial" w:cs="Arial"/>
                <w:b/>
                <w:bCs/>
              </w:rPr>
            </w:pPr>
            <w:r w:rsidRPr="002730F6">
              <w:rPr>
                <w:rFonts w:ascii="Arial" w:hAnsi="Arial" w:cs="Arial"/>
                <w:b/>
                <w:bCs/>
              </w:rPr>
              <w:t>Cadmium</w:t>
            </w:r>
          </w:p>
        </w:tc>
        <w:tc>
          <w:tcPr>
            <w:tcW w:w="2789" w:type="dxa"/>
            <w:gridSpan w:val="2"/>
            <w:tcBorders>
              <w:top w:val="single" w:sz="4" w:space="0" w:color="auto"/>
              <w:bottom w:val="nil"/>
            </w:tcBorders>
            <w:noWrap/>
            <w:hideMark/>
          </w:tcPr>
          <w:p w14:paraId="5E8A618A" w14:textId="77777777" w:rsidR="006A01CD" w:rsidRPr="002730F6" w:rsidRDefault="006A01CD" w:rsidP="00014D56">
            <w:pPr>
              <w:spacing w:before="240"/>
              <w:jc w:val="both"/>
              <w:rPr>
                <w:rFonts w:ascii="Arial" w:hAnsi="Arial" w:cs="Arial"/>
                <w:b/>
                <w:bCs/>
              </w:rPr>
            </w:pPr>
            <w:r w:rsidRPr="002730F6">
              <w:rPr>
                <w:rFonts w:ascii="Arial" w:hAnsi="Arial" w:cs="Arial"/>
                <w:b/>
                <w:bCs/>
              </w:rPr>
              <w:t>Lead</w:t>
            </w:r>
          </w:p>
        </w:tc>
      </w:tr>
      <w:tr w:rsidR="006A01CD" w:rsidRPr="002730F6" w14:paraId="7B7ED52B" w14:textId="77777777" w:rsidTr="00014D56">
        <w:trPr>
          <w:trHeight w:val="285"/>
        </w:trPr>
        <w:tc>
          <w:tcPr>
            <w:tcW w:w="3678" w:type="dxa"/>
            <w:tcBorders>
              <w:top w:val="nil"/>
              <w:bottom w:val="single" w:sz="4" w:space="0" w:color="auto"/>
            </w:tcBorders>
            <w:noWrap/>
            <w:hideMark/>
          </w:tcPr>
          <w:p w14:paraId="36ACD39A" w14:textId="77777777" w:rsidR="006A01CD" w:rsidRPr="002730F6" w:rsidRDefault="006A01CD" w:rsidP="00014D56">
            <w:pPr>
              <w:spacing w:before="240"/>
              <w:jc w:val="both"/>
              <w:rPr>
                <w:rFonts w:ascii="Arial" w:hAnsi="Arial" w:cs="Arial"/>
                <w:b/>
                <w:bCs/>
              </w:rPr>
            </w:pPr>
          </w:p>
        </w:tc>
        <w:tc>
          <w:tcPr>
            <w:tcW w:w="1394" w:type="dxa"/>
            <w:tcBorders>
              <w:top w:val="nil"/>
              <w:bottom w:val="single" w:sz="4" w:space="0" w:color="auto"/>
            </w:tcBorders>
            <w:noWrap/>
            <w:hideMark/>
          </w:tcPr>
          <w:p w14:paraId="1F3E7A43" w14:textId="77777777" w:rsidR="006A01CD" w:rsidRPr="002730F6" w:rsidRDefault="006A01CD" w:rsidP="00014D56">
            <w:pPr>
              <w:spacing w:before="240"/>
              <w:jc w:val="both"/>
              <w:rPr>
                <w:rFonts w:ascii="Arial" w:hAnsi="Arial" w:cs="Arial"/>
                <w:b/>
                <w:bCs/>
              </w:rPr>
            </w:pPr>
            <w:r w:rsidRPr="002730F6">
              <w:rPr>
                <w:rFonts w:ascii="Arial" w:hAnsi="Arial" w:cs="Arial"/>
                <w:b/>
                <w:bCs/>
              </w:rPr>
              <w:t>Wet</w:t>
            </w:r>
          </w:p>
        </w:tc>
        <w:tc>
          <w:tcPr>
            <w:tcW w:w="1394" w:type="dxa"/>
            <w:tcBorders>
              <w:top w:val="nil"/>
              <w:bottom w:val="single" w:sz="4" w:space="0" w:color="auto"/>
            </w:tcBorders>
            <w:noWrap/>
            <w:hideMark/>
          </w:tcPr>
          <w:p w14:paraId="3AE52279" w14:textId="77777777" w:rsidR="006A01CD" w:rsidRPr="002730F6" w:rsidRDefault="006A01CD" w:rsidP="00014D56">
            <w:pPr>
              <w:spacing w:before="240"/>
              <w:jc w:val="both"/>
              <w:rPr>
                <w:rFonts w:ascii="Arial" w:hAnsi="Arial" w:cs="Arial"/>
                <w:b/>
                <w:bCs/>
              </w:rPr>
            </w:pPr>
            <w:r w:rsidRPr="002730F6">
              <w:rPr>
                <w:rFonts w:ascii="Arial" w:hAnsi="Arial" w:cs="Arial"/>
                <w:b/>
                <w:bCs/>
              </w:rPr>
              <w:t>Dry</w:t>
            </w:r>
          </w:p>
        </w:tc>
        <w:tc>
          <w:tcPr>
            <w:tcW w:w="1557" w:type="dxa"/>
            <w:tcBorders>
              <w:top w:val="nil"/>
              <w:bottom w:val="single" w:sz="4" w:space="0" w:color="auto"/>
            </w:tcBorders>
            <w:noWrap/>
            <w:hideMark/>
          </w:tcPr>
          <w:p w14:paraId="03685666" w14:textId="77777777" w:rsidR="006A01CD" w:rsidRPr="002730F6" w:rsidRDefault="006A01CD" w:rsidP="00014D56">
            <w:pPr>
              <w:spacing w:before="240"/>
              <w:jc w:val="both"/>
              <w:rPr>
                <w:rFonts w:ascii="Arial" w:hAnsi="Arial" w:cs="Arial"/>
                <w:b/>
                <w:bCs/>
              </w:rPr>
            </w:pPr>
            <w:r w:rsidRPr="002730F6">
              <w:rPr>
                <w:rFonts w:ascii="Arial" w:hAnsi="Arial" w:cs="Arial"/>
                <w:b/>
                <w:bCs/>
              </w:rPr>
              <w:t>Wet</w:t>
            </w:r>
          </w:p>
        </w:tc>
        <w:tc>
          <w:tcPr>
            <w:tcW w:w="1231" w:type="dxa"/>
            <w:tcBorders>
              <w:top w:val="nil"/>
              <w:bottom w:val="single" w:sz="4" w:space="0" w:color="auto"/>
            </w:tcBorders>
            <w:noWrap/>
            <w:hideMark/>
          </w:tcPr>
          <w:p w14:paraId="54C743BF" w14:textId="77777777" w:rsidR="006A01CD" w:rsidRPr="002730F6" w:rsidRDefault="006A01CD" w:rsidP="00014D56">
            <w:pPr>
              <w:spacing w:before="240"/>
              <w:jc w:val="both"/>
              <w:rPr>
                <w:rFonts w:ascii="Arial" w:hAnsi="Arial" w:cs="Arial"/>
                <w:b/>
                <w:bCs/>
              </w:rPr>
            </w:pPr>
            <w:r w:rsidRPr="002730F6">
              <w:rPr>
                <w:rFonts w:ascii="Arial" w:hAnsi="Arial" w:cs="Arial"/>
                <w:b/>
                <w:bCs/>
              </w:rPr>
              <w:t>Dry</w:t>
            </w:r>
          </w:p>
        </w:tc>
      </w:tr>
      <w:tr w:rsidR="006A01CD" w:rsidRPr="002730F6" w14:paraId="2AB310AD" w14:textId="77777777" w:rsidTr="00014D56">
        <w:trPr>
          <w:trHeight w:val="285"/>
        </w:trPr>
        <w:tc>
          <w:tcPr>
            <w:tcW w:w="3678" w:type="dxa"/>
            <w:tcBorders>
              <w:top w:val="single" w:sz="4" w:space="0" w:color="auto"/>
            </w:tcBorders>
            <w:noWrap/>
            <w:hideMark/>
          </w:tcPr>
          <w:p w14:paraId="4BC4CA35" w14:textId="77777777" w:rsidR="00322A5B" w:rsidRPr="002730F6" w:rsidRDefault="00322A5B" w:rsidP="00014D56">
            <w:pPr>
              <w:spacing w:before="240"/>
              <w:jc w:val="both"/>
              <w:rPr>
                <w:rFonts w:ascii="Arial" w:hAnsi="Arial" w:cs="Arial"/>
                <w:b/>
                <w:bCs/>
              </w:rPr>
            </w:pPr>
            <w:r w:rsidRPr="002730F6">
              <w:rPr>
                <w:rFonts w:ascii="Arial" w:hAnsi="Arial" w:cs="Arial"/>
                <w:b/>
                <w:bCs/>
              </w:rPr>
              <w:t>Crabs</w:t>
            </w:r>
          </w:p>
          <w:p w14:paraId="578E2932" w14:textId="77777777" w:rsidR="006A01CD" w:rsidRPr="002730F6" w:rsidRDefault="006A01CD" w:rsidP="00014D56">
            <w:pPr>
              <w:spacing w:before="240"/>
              <w:jc w:val="both"/>
              <w:rPr>
                <w:rFonts w:ascii="Arial" w:hAnsi="Arial" w:cs="Arial"/>
                <w:b/>
                <w:bCs/>
              </w:rPr>
            </w:pPr>
            <w:r w:rsidRPr="002730F6">
              <w:rPr>
                <w:rFonts w:ascii="Arial" w:hAnsi="Arial" w:cs="Arial"/>
                <w:b/>
                <w:bCs/>
              </w:rPr>
              <w:t xml:space="preserve">Mean Concentration (mg/kg) </w:t>
            </w:r>
          </w:p>
        </w:tc>
        <w:tc>
          <w:tcPr>
            <w:tcW w:w="1394" w:type="dxa"/>
            <w:tcBorders>
              <w:top w:val="single" w:sz="4" w:space="0" w:color="auto"/>
            </w:tcBorders>
            <w:noWrap/>
            <w:hideMark/>
          </w:tcPr>
          <w:p w14:paraId="03CF4A1F" w14:textId="77777777" w:rsidR="00322A5B" w:rsidRPr="002730F6" w:rsidRDefault="00322A5B" w:rsidP="00014D56">
            <w:pPr>
              <w:spacing w:before="240"/>
              <w:jc w:val="both"/>
              <w:rPr>
                <w:rFonts w:ascii="Arial" w:hAnsi="Arial" w:cs="Arial"/>
              </w:rPr>
            </w:pPr>
          </w:p>
          <w:p w14:paraId="425B2A67" w14:textId="77777777" w:rsidR="006A01CD" w:rsidRPr="002730F6" w:rsidRDefault="006A01CD" w:rsidP="00014D56">
            <w:pPr>
              <w:spacing w:before="240"/>
              <w:jc w:val="both"/>
              <w:rPr>
                <w:rFonts w:ascii="Arial" w:hAnsi="Arial" w:cs="Arial"/>
              </w:rPr>
            </w:pPr>
            <w:r w:rsidRPr="002730F6">
              <w:rPr>
                <w:rFonts w:ascii="Arial" w:hAnsi="Arial" w:cs="Arial"/>
              </w:rPr>
              <w:t>0.16</w:t>
            </w:r>
            <w:r w:rsidR="00322A5B" w:rsidRPr="002730F6">
              <w:rPr>
                <w:rFonts w:ascii="Arial" w:hAnsi="Arial" w:cs="Arial"/>
              </w:rPr>
              <w:t>±0.02</w:t>
            </w:r>
          </w:p>
        </w:tc>
        <w:tc>
          <w:tcPr>
            <w:tcW w:w="1394" w:type="dxa"/>
            <w:tcBorders>
              <w:top w:val="single" w:sz="4" w:space="0" w:color="auto"/>
            </w:tcBorders>
            <w:noWrap/>
            <w:hideMark/>
          </w:tcPr>
          <w:p w14:paraId="3E769287" w14:textId="77777777" w:rsidR="00322A5B" w:rsidRPr="002730F6" w:rsidRDefault="00322A5B" w:rsidP="00014D56">
            <w:pPr>
              <w:spacing w:before="240"/>
              <w:jc w:val="both"/>
              <w:rPr>
                <w:rFonts w:ascii="Arial" w:hAnsi="Arial" w:cs="Arial"/>
              </w:rPr>
            </w:pPr>
          </w:p>
          <w:p w14:paraId="65E0081A" w14:textId="77777777" w:rsidR="006A01CD" w:rsidRPr="002730F6" w:rsidRDefault="006A01CD" w:rsidP="00014D56">
            <w:pPr>
              <w:spacing w:before="240"/>
              <w:jc w:val="both"/>
              <w:rPr>
                <w:rFonts w:ascii="Arial" w:hAnsi="Arial" w:cs="Arial"/>
              </w:rPr>
            </w:pPr>
            <w:r w:rsidRPr="002730F6">
              <w:rPr>
                <w:rFonts w:ascii="Arial" w:hAnsi="Arial" w:cs="Arial"/>
              </w:rPr>
              <w:t>0.41</w:t>
            </w:r>
            <w:r w:rsidR="00322A5B" w:rsidRPr="002730F6">
              <w:rPr>
                <w:rFonts w:ascii="Arial" w:hAnsi="Arial" w:cs="Arial"/>
              </w:rPr>
              <w:t>±0.01</w:t>
            </w:r>
          </w:p>
        </w:tc>
        <w:tc>
          <w:tcPr>
            <w:tcW w:w="1557" w:type="dxa"/>
            <w:tcBorders>
              <w:top w:val="single" w:sz="4" w:space="0" w:color="auto"/>
            </w:tcBorders>
            <w:noWrap/>
            <w:hideMark/>
          </w:tcPr>
          <w:p w14:paraId="5EA3BD16" w14:textId="77777777" w:rsidR="00322A5B" w:rsidRPr="002730F6" w:rsidRDefault="00322A5B" w:rsidP="00014D56">
            <w:pPr>
              <w:spacing w:before="240"/>
              <w:jc w:val="both"/>
              <w:rPr>
                <w:rFonts w:ascii="Arial" w:hAnsi="Arial" w:cs="Arial"/>
              </w:rPr>
            </w:pPr>
          </w:p>
          <w:p w14:paraId="4A99E78F" w14:textId="77777777" w:rsidR="006A01CD" w:rsidRPr="002730F6" w:rsidRDefault="006A01CD" w:rsidP="00014D56">
            <w:pPr>
              <w:spacing w:before="240"/>
              <w:jc w:val="both"/>
              <w:rPr>
                <w:rFonts w:ascii="Arial" w:hAnsi="Arial" w:cs="Arial"/>
              </w:rPr>
            </w:pPr>
            <w:r w:rsidRPr="002730F6">
              <w:rPr>
                <w:rFonts w:ascii="Arial" w:hAnsi="Arial" w:cs="Arial"/>
              </w:rPr>
              <w:t>1.33</w:t>
            </w:r>
            <w:r w:rsidR="00322A5B" w:rsidRPr="002730F6">
              <w:rPr>
                <w:rFonts w:ascii="Arial" w:hAnsi="Arial" w:cs="Arial"/>
              </w:rPr>
              <w:t>±0.03</w:t>
            </w:r>
          </w:p>
        </w:tc>
        <w:tc>
          <w:tcPr>
            <w:tcW w:w="1231" w:type="dxa"/>
            <w:tcBorders>
              <w:top w:val="single" w:sz="4" w:space="0" w:color="auto"/>
            </w:tcBorders>
            <w:noWrap/>
            <w:hideMark/>
          </w:tcPr>
          <w:p w14:paraId="0D552860" w14:textId="77777777" w:rsidR="00322A5B" w:rsidRPr="002730F6" w:rsidRDefault="00322A5B" w:rsidP="00014D56">
            <w:pPr>
              <w:spacing w:before="240"/>
              <w:jc w:val="both"/>
              <w:rPr>
                <w:rFonts w:ascii="Arial" w:hAnsi="Arial" w:cs="Arial"/>
              </w:rPr>
            </w:pPr>
          </w:p>
          <w:p w14:paraId="16FAB309" w14:textId="77777777" w:rsidR="006A01CD" w:rsidRPr="002730F6" w:rsidRDefault="006A01CD" w:rsidP="00014D56">
            <w:pPr>
              <w:spacing w:before="240"/>
              <w:jc w:val="both"/>
              <w:rPr>
                <w:rFonts w:ascii="Arial" w:hAnsi="Arial" w:cs="Arial"/>
              </w:rPr>
            </w:pPr>
            <w:r w:rsidRPr="002730F6">
              <w:rPr>
                <w:rFonts w:ascii="Arial" w:hAnsi="Arial" w:cs="Arial"/>
              </w:rPr>
              <w:t>1.63</w:t>
            </w:r>
            <w:r w:rsidR="00322A5B" w:rsidRPr="002730F6">
              <w:rPr>
                <w:rFonts w:ascii="Arial" w:hAnsi="Arial" w:cs="Arial"/>
              </w:rPr>
              <w:t>±0.04</w:t>
            </w:r>
          </w:p>
        </w:tc>
      </w:tr>
      <w:tr w:rsidR="006A01CD" w:rsidRPr="002730F6" w14:paraId="17435F91" w14:textId="77777777" w:rsidTr="00014D56">
        <w:trPr>
          <w:trHeight w:val="285"/>
        </w:trPr>
        <w:tc>
          <w:tcPr>
            <w:tcW w:w="3678" w:type="dxa"/>
            <w:noWrap/>
            <w:hideMark/>
          </w:tcPr>
          <w:p w14:paraId="32937D5D" w14:textId="77777777" w:rsidR="006A01CD" w:rsidRPr="002730F6" w:rsidRDefault="006A01CD" w:rsidP="00014D56">
            <w:pPr>
              <w:spacing w:before="240"/>
              <w:jc w:val="both"/>
              <w:rPr>
                <w:rFonts w:ascii="Arial" w:hAnsi="Arial" w:cs="Arial"/>
                <w:b/>
                <w:bCs/>
              </w:rPr>
            </w:pPr>
            <w:r w:rsidRPr="002730F6">
              <w:rPr>
                <w:rFonts w:ascii="Arial" w:hAnsi="Arial" w:cs="Arial"/>
                <w:b/>
                <w:bCs/>
              </w:rPr>
              <w:t>EDI (mg/kg/day)</w:t>
            </w:r>
          </w:p>
        </w:tc>
        <w:tc>
          <w:tcPr>
            <w:tcW w:w="1394" w:type="dxa"/>
            <w:noWrap/>
            <w:hideMark/>
          </w:tcPr>
          <w:p w14:paraId="5F3D1B52" w14:textId="77777777" w:rsidR="006A01CD" w:rsidRPr="002730F6" w:rsidRDefault="006A01CD" w:rsidP="00014D56">
            <w:pPr>
              <w:spacing w:before="240"/>
              <w:jc w:val="both"/>
              <w:rPr>
                <w:rFonts w:ascii="Arial" w:hAnsi="Arial" w:cs="Arial"/>
              </w:rPr>
            </w:pPr>
            <w:r w:rsidRPr="002730F6">
              <w:rPr>
                <w:rFonts w:ascii="Arial" w:hAnsi="Arial" w:cs="Arial"/>
              </w:rPr>
              <w:t>0.01</w:t>
            </w:r>
          </w:p>
        </w:tc>
        <w:tc>
          <w:tcPr>
            <w:tcW w:w="1394" w:type="dxa"/>
            <w:noWrap/>
            <w:hideMark/>
          </w:tcPr>
          <w:p w14:paraId="464DFE04" w14:textId="77777777" w:rsidR="006A01CD" w:rsidRPr="002730F6" w:rsidRDefault="006A01CD" w:rsidP="00014D56">
            <w:pPr>
              <w:spacing w:before="240"/>
              <w:jc w:val="both"/>
              <w:rPr>
                <w:rFonts w:ascii="Arial" w:hAnsi="Arial" w:cs="Arial"/>
              </w:rPr>
            </w:pPr>
            <w:r w:rsidRPr="002730F6">
              <w:rPr>
                <w:rFonts w:ascii="Arial" w:hAnsi="Arial" w:cs="Arial"/>
              </w:rPr>
              <w:t>0.02</w:t>
            </w:r>
          </w:p>
        </w:tc>
        <w:tc>
          <w:tcPr>
            <w:tcW w:w="1557" w:type="dxa"/>
            <w:noWrap/>
            <w:hideMark/>
          </w:tcPr>
          <w:p w14:paraId="3916C881" w14:textId="77777777" w:rsidR="006A01CD" w:rsidRPr="002730F6" w:rsidRDefault="006A01CD" w:rsidP="00014D56">
            <w:pPr>
              <w:spacing w:before="240"/>
              <w:jc w:val="both"/>
              <w:rPr>
                <w:rFonts w:ascii="Arial" w:hAnsi="Arial" w:cs="Arial"/>
              </w:rPr>
            </w:pPr>
            <w:r w:rsidRPr="002730F6">
              <w:rPr>
                <w:rFonts w:ascii="Arial" w:hAnsi="Arial" w:cs="Arial"/>
              </w:rPr>
              <w:t>0.05</w:t>
            </w:r>
          </w:p>
        </w:tc>
        <w:tc>
          <w:tcPr>
            <w:tcW w:w="1231" w:type="dxa"/>
            <w:noWrap/>
            <w:hideMark/>
          </w:tcPr>
          <w:p w14:paraId="3A16C9AA" w14:textId="77777777" w:rsidR="006A01CD" w:rsidRPr="002730F6" w:rsidRDefault="006A01CD" w:rsidP="00014D56">
            <w:pPr>
              <w:spacing w:before="240"/>
              <w:jc w:val="both"/>
              <w:rPr>
                <w:rFonts w:ascii="Arial" w:hAnsi="Arial" w:cs="Arial"/>
              </w:rPr>
            </w:pPr>
            <w:r w:rsidRPr="002730F6">
              <w:rPr>
                <w:rFonts w:ascii="Arial" w:hAnsi="Arial" w:cs="Arial"/>
              </w:rPr>
              <w:t>0.06</w:t>
            </w:r>
          </w:p>
        </w:tc>
      </w:tr>
      <w:tr w:rsidR="006A01CD" w:rsidRPr="002730F6" w14:paraId="41B03771" w14:textId="77777777" w:rsidTr="00014D56">
        <w:trPr>
          <w:trHeight w:val="285"/>
        </w:trPr>
        <w:tc>
          <w:tcPr>
            <w:tcW w:w="3678" w:type="dxa"/>
            <w:noWrap/>
            <w:hideMark/>
          </w:tcPr>
          <w:p w14:paraId="0EB60B3B" w14:textId="77777777" w:rsidR="006A01CD" w:rsidRPr="002730F6" w:rsidRDefault="006A01CD" w:rsidP="00014D56">
            <w:pPr>
              <w:spacing w:before="240"/>
              <w:jc w:val="both"/>
              <w:rPr>
                <w:rFonts w:ascii="Arial" w:hAnsi="Arial" w:cs="Arial"/>
                <w:b/>
                <w:bCs/>
              </w:rPr>
            </w:pPr>
            <w:r w:rsidRPr="002730F6">
              <w:rPr>
                <w:rFonts w:ascii="Arial" w:hAnsi="Arial" w:cs="Arial"/>
                <w:b/>
                <w:bCs/>
              </w:rPr>
              <w:t>% of EDI to PTDI</w:t>
            </w:r>
          </w:p>
        </w:tc>
        <w:tc>
          <w:tcPr>
            <w:tcW w:w="1394" w:type="dxa"/>
            <w:noWrap/>
            <w:hideMark/>
          </w:tcPr>
          <w:p w14:paraId="78D989D5" w14:textId="77777777" w:rsidR="006A01CD" w:rsidRPr="002730F6" w:rsidRDefault="006A01CD" w:rsidP="00014D56">
            <w:pPr>
              <w:spacing w:before="240"/>
              <w:jc w:val="both"/>
              <w:rPr>
                <w:rFonts w:ascii="Arial" w:hAnsi="Arial" w:cs="Arial"/>
              </w:rPr>
            </w:pPr>
            <w:r w:rsidRPr="002730F6">
              <w:rPr>
                <w:rFonts w:ascii="Arial" w:hAnsi="Arial" w:cs="Arial"/>
              </w:rPr>
              <w:t>0</w:t>
            </w:r>
          </w:p>
        </w:tc>
        <w:tc>
          <w:tcPr>
            <w:tcW w:w="1394" w:type="dxa"/>
            <w:noWrap/>
            <w:hideMark/>
          </w:tcPr>
          <w:p w14:paraId="4C89A172" w14:textId="77777777" w:rsidR="006A01CD" w:rsidRPr="002730F6" w:rsidRDefault="006A01CD" w:rsidP="00014D56">
            <w:pPr>
              <w:spacing w:before="240"/>
              <w:jc w:val="both"/>
              <w:rPr>
                <w:rFonts w:ascii="Arial" w:hAnsi="Arial" w:cs="Arial"/>
              </w:rPr>
            </w:pPr>
            <w:r w:rsidRPr="002730F6">
              <w:rPr>
                <w:rFonts w:ascii="Arial" w:hAnsi="Arial" w:cs="Arial"/>
              </w:rPr>
              <w:t>0</w:t>
            </w:r>
          </w:p>
        </w:tc>
        <w:tc>
          <w:tcPr>
            <w:tcW w:w="1557" w:type="dxa"/>
            <w:noWrap/>
            <w:hideMark/>
          </w:tcPr>
          <w:p w14:paraId="57037000" w14:textId="77777777" w:rsidR="006A01CD" w:rsidRPr="002730F6" w:rsidRDefault="006A01CD" w:rsidP="00014D56">
            <w:pPr>
              <w:spacing w:before="240"/>
              <w:jc w:val="both"/>
              <w:rPr>
                <w:rFonts w:ascii="Arial" w:hAnsi="Arial" w:cs="Arial"/>
              </w:rPr>
            </w:pPr>
            <w:r w:rsidRPr="002730F6">
              <w:rPr>
                <w:rFonts w:ascii="Arial" w:hAnsi="Arial" w:cs="Arial"/>
              </w:rPr>
              <w:t>0</w:t>
            </w:r>
          </w:p>
        </w:tc>
        <w:tc>
          <w:tcPr>
            <w:tcW w:w="1231" w:type="dxa"/>
            <w:noWrap/>
            <w:hideMark/>
          </w:tcPr>
          <w:p w14:paraId="39EC84D2" w14:textId="77777777" w:rsidR="006A01CD" w:rsidRPr="002730F6" w:rsidRDefault="006A01CD" w:rsidP="00014D56">
            <w:pPr>
              <w:spacing w:before="240"/>
              <w:jc w:val="both"/>
              <w:rPr>
                <w:rFonts w:ascii="Arial" w:hAnsi="Arial" w:cs="Arial"/>
              </w:rPr>
            </w:pPr>
            <w:r w:rsidRPr="002730F6">
              <w:rPr>
                <w:rFonts w:ascii="Arial" w:hAnsi="Arial" w:cs="Arial"/>
              </w:rPr>
              <w:t>0</w:t>
            </w:r>
          </w:p>
        </w:tc>
      </w:tr>
      <w:tr w:rsidR="006A01CD" w:rsidRPr="002730F6" w14:paraId="4E469332" w14:textId="77777777" w:rsidTr="00014D56">
        <w:trPr>
          <w:trHeight w:val="285"/>
        </w:trPr>
        <w:tc>
          <w:tcPr>
            <w:tcW w:w="3678" w:type="dxa"/>
            <w:noWrap/>
            <w:hideMark/>
          </w:tcPr>
          <w:p w14:paraId="204BCB03" w14:textId="77777777" w:rsidR="006A01CD" w:rsidRPr="002730F6" w:rsidRDefault="006A01CD" w:rsidP="00014D56">
            <w:pPr>
              <w:spacing w:before="240"/>
              <w:jc w:val="both"/>
              <w:rPr>
                <w:rFonts w:ascii="Arial" w:hAnsi="Arial" w:cs="Arial"/>
                <w:b/>
                <w:bCs/>
              </w:rPr>
            </w:pPr>
            <w:r w:rsidRPr="002730F6">
              <w:rPr>
                <w:rFonts w:ascii="Arial" w:hAnsi="Arial" w:cs="Arial"/>
                <w:b/>
                <w:bCs/>
              </w:rPr>
              <w:t>Shrimps</w:t>
            </w:r>
          </w:p>
        </w:tc>
        <w:tc>
          <w:tcPr>
            <w:tcW w:w="1394" w:type="dxa"/>
            <w:noWrap/>
            <w:hideMark/>
          </w:tcPr>
          <w:p w14:paraId="16B7E738" w14:textId="77777777" w:rsidR="006A01CD" w:rsidRPr="002730F6" w:rsidRDefault="006A01CD" w:rsidP="00014D56">
            <w:pPr>
              <w:spacing w:before="240"/>
              <w:jc w:val="both"/>
              <w:rPr>
                <w:rFonts w:ascii="Arial" w:hAnsi="Arial" w:cs="Arial"/>
              </w:rPr>
            </w:pPr>
          </w:p>
        </w:tc>
        <w:tc>
          <w:tcPr>
            <w:tcW w:w="1394" w:type="dxa"/>
            <w:noWrap/>
            <w:hideMark/>
          </w:tcPr>
          <w:p w14:paraId="282DFA81" w14:textId="77777777" w:rsidR="006A01CD" w:rsidRPr="002730F6" w:rsidRDefault="006A01CD" w:rsidP="00014D56">
            <w:pPr>
              <w:spacing w:before="240"/>
              <w:jc w:val="both"/>
              <w:rPr>
                <w:rFonts w:ascii="Arial" w:hAnsi="Arial" w:cs="Arial"/>
              </w:rPr>
            </w:pPr>
          </w:p>
        </w:tc>
        <w:tc>
          <w:tcPr>
            <w:tcW w:w="1557" w:type="dxa"/>
            <w:noWrap/>
            <w:hideMark/>
          </w:tcPr>
          <w:p w14:paraId="06EFF252" w14:textId="77777777" w:rsidR="006A01CD" w:rsidRPr="002730F6" w:rsidRDefault="006A01CD" w:rsidP="00014D56">
            <w:pPr>
              <w:spacing w:before="240"/>
              <w:jc w:val="both"/>
              <w:rPr>
                <w:rFonts w:ascii="Arial" w:hAnsi="Arial" w:cs="Arial"/>
              </w:rPr>
            </w:pPr>
          </w:p>
        </w:tc>
        <w:tc>
          <w:tcPr>
            <w:tcW w:w="1231" w:type="dxa"/>
            <w:noWrap/>
            <w:hideMark/>
          </w:tcPr>
          <w:p w14:paraId="3E2FE3E5" w14:textId="77777777" w:rsidR="006A01CD" w:rsidRPr="002730F6" w:rsidRDefault="006A01CD" w:rsidP="00014D56">
            <w:pPr>
              <w:spacing w:before="240"/>
              <w:jc w:val="both"/>
              <w:rPr>
                <w:rFonts w:ascii="Arial" w:hAnsi="Arial" w:cs="Arial"/>
              </w:rPr>
            </w:pPr>
          </w:p>
        </w:tc>
      </w:tr>
      <w:tr w:rsidR="006A01CD" w:rsidRPr="002730F6" w14:paraId="107D9C51" w14:textId="77777777" w:rsidTr="00014D56">
        <w:trPr>
          <w:trHeight w:val="285"/>
        </w:trPr>
        <w:tc>
          <w:tcPr>
            <w:tcW w:w="3678" w:type="dxa"/>
            <w:noWrap/>
            <w:hideMark/>
          </w:tcPr>
          <w:p w14:paraId="0489B830" w14:textId="77777777" w:rsidR="006A01CD" w:rsidRPr="002730F6" w:rsidRDefault="006A01CD" w:rsidP="00014D56">
            <w:pPr>
              <w:spacing w:before="240"/>
              <w:jc w:val="both"/>
              <w:rPr>
                <w:rFonts w:ascii="Arial" w:hAnsi="Arial" w:cs="Arial"/>
                <w:b/>
                <w:bCs/>
              </w:rPr>
            </w:pPr>
            <w:r w:rsidRPr="002730F6">
              <w:rPr>
                <w:rFonts w:ascii="Arial" w:hAnsi="Arial" w:cs="Arial"/>
                <w:b/>
                <w:bCs/>
              </w:rPr>
              <w:t xml:space="preserve">Mean Concentration (mg/kg) </w:t>
            </w:r>
          </w:p>
        </w:tc>
        <w:tc>
          <w:tcPr>
            <w:tcW w:w="1394" w:type="dxa"/>
            <w:noWrap/>
            <w:hideMark/>
          </w:tcPr>
          <w:p w14:paraId="326BC6CE" w14:textId="77777777" w:rsidR="006A01CD" w:rsidRPr="002730F6" w:rsidRDefault="006A01CD" w:rsidP="00014D56">
            <w:pPr>
              <w:spacing w:before="240"/>
              <w:jc w:val="both"/>
              <w:rPr>
                <w:rFonts w:ascii="Arial" w:hAnsi="Arial" w:cs="Arial"/>
              </w:rPr>
            </w:pPr>
            <w:r w:rsidRPr="002730F6">
              <w:rPr>
                <w:rFonts w:ascii="Arial" w:hAnsi="Arial" w:cs="Arial"/>
              </w:rPr>
              <w:t>&lt;0.001</w:t>
            </w:r>
            <w:r w:rsidR="00322A5B" w:rsidRPr="002730F6">
              <w:rPr>
                <w:rFonts w:ascii="Arial" w:hAnsi="Arial" w:cs="Arial"/>
              </w:rPr>
              <w:t>±</w:t>
            </w:r>
            <w:r w:rsidR="00D31B2C" w:rsidRPr="002730F6">
              <w:rPr>
                <w:rFonts w:ascii="Arial" w:hAnsi="Arial" w:cs="Arial"/>
              </w:rPr>
              <w:t>0.00</w:t>
            </w:r>
          </w:p>
        </w:tc>
        <w:tc>
          <w:tcPr>
            <w:tcW w:w="1394" w:type="dxa"/>
            <w:noWrap/>
            <w:hideMark/>
          </w:tcPr>
          <w:p w14:paraId="6BB69D9B" w14:textId="77777777" w:rsidR="006A01CD" w:rsidRPr="002730F6" w:rsidRDefault="006A01CD" w:rsidP="00014D56">
            <w:pPr>
              <w:spacing w:before="240"/>
              <w:jc w:val="both"/>
              <w:rPr>
                <w:rFonts w:ascii="Arial" w:hAnsi="Arial" w:cs="Arial"/>
              </w:rPr>
            </w:pPr>
            <w:r w:rsidRPr="002730F6">
              <w:rPr>
                <w:rFonts w:ascii="Arial" w:hAnsi="Arial" w:cs="Arial"/>
              </w:rPr>
              <w:t>&lt;0.001</w:t>
            </w:r>
            <w:r w:rsidR="00322A5B" w:rsidRPr="002730F6">
              <w:rPr>
                <w:rFonts w:ascii="Arial" w:hAnsi="Arial" w:cs="Arial"/>
              </w:rPr>
              <w:t>±</w:t>
            </w:r>
            <w:r w:rsidR="00D31B2C" w:rsidRPr="002730F6">
              <w:rPr>
                <w:rFonts w:ascii="Arial" w:hAnsi="Arial" w:cs="Arial"/>
              </w:rPr>
              <w:t>0.00</w:t>
            </w:r>
          </w:p>
        </w:tc>
        <w:tc>
          <w:tcPr>
            <w:tcW w:w="1557" w:type="dxa"/>
            <w:noWrap/>
            <w:hideMark/>
          </w:tcPr>
          <w:p w14:paraId="57C93C2B" w14:textId="77777777" w:rsidR="006A01CD" w:rsidRPr="002730F6" w:rsidRDefault="006A01CD" w:rsidP="00014D56">
            <w:pPr>
              <w:spacing w:before="240"/>
              <w:jc w:val="both"/>
              <w:rPr>
                <w:rFonts w:ascii="Arial" w:hAnsi="Arial" w:cs="Arial"/>
              </w:rPr>
            </w:pPr>
            <w:r w:rsidRPr="002730F6">
              <w:rPr>
                <w:rFonts w:ascii="Arial" w:hAnsi="Arial" w:cs="Arial"/>
              </w:rPr>
              <w:t>0.672</w:t>
            </w:r>
            <w:r w:rsidR="00322A5B" w:rsidRPr="002730F6">
              <w:rPr>
                <w:rFonts w:ascii="Arial" w:hAnsi="Arial" w:cs="Arial"/>
              </w:rPr>
              <w:t>±0.02</w:t>
            </w:r>
          </w:p>
        </w:tc>
        <w:tc>
          <w:tcPr>
            <w:tcW w:w="1231" w:type="dxa"/>
            <w:noWrap/>
            <w:hideMark/>
          </w:tcPr>
          <w:p w14:paraId="5E161702" w14:textId="77777777" w:rsidR="006A01CD" w:rsidRPr="002730F6" w:rsidRDefault="006A01CD" w:rsidP="00014D56">
            <w:pPr>
              <w:spacing w:before="240"/>
              <w:jc w:val="both"/>
              <w:rPr>
                <w:rFonts w:ascii="Arial" w:hAnsi="Arial" w:cs="Arial"/>
              </w:rPr>
            </w:pPr>
            <w:r w:rsidRPr="002730F6">
              <w:rPr>
                <w:rFonts w:ascii="Arial" w:hAnsi="Arial" w:cs="Arial"/>
              </w:rPr>
              <w:t>0.88</w:t>
            </w:r>
            <w:r w:rsidR="00322A5B" w:rsidRPr="002730F6">
              <w:rPr>
                <w:rFonts w:ascii="Arial" w:hAnsi="Arial" w:cs="Arial"/>
              </w:rPr>
              <w:t>±0.02</w:t>
            </w:r>
          </w:p>
        </w:tc>
      </w:tr>
      <w:tr w:rsidR="006A01CD" w:rsidRPr="002730F6" w14:paraId="419F768C" w14:textId="77777777" w:rsidTr="00014D56">
        <w:trPr>
          <w:trHeight w:val="285"/>
        </w:trPr>
        <w:tc>
          <w:tcPr>
            <w:tcW w:w="3678" w:type="dxa"/>
            <w:noWrap/>
            <w:hideMark/>
          </w:tcPr>
          <w:p w14:paraId="3DE29B2E" w14:textId="77777777" w:rsidR="006A01CD" w:rsidRPr="002730F6" w:rsidRDefault="006A01CD" w:rsidP="00014D56">
            <w:pPr>
              <w:spacing w:before="240"/>
              <w:jc w:val="both"/>
              <w:rPr>
                <w:rFonts w:ascii="Arial" w:hAnsi="Arial" w:cs="Arial"/>
                <w:b/>
                <w:bCs/>
              </w:rPr>
            </w:pPr>
            <w:r w:rsidRPr="002730F6">
              <w:rPr>
                <w:rFonts w:ascii="Arial" w:hAnsi="Arial" w:cs="Arial"/>
                <w:b/>
                <w:bCs/>
              </w:rPr>
              <w:t>EDI (mg/kg/day)</w:t>
            </w:r>
          </w:p>
        </w:tc>
        <w:tc>
          <w:tcPr>
            <w:tcW w:w="1394" w:type="dxa"/>
            <w:noWrap/>
            <w:hideMark/>
          </w:tcPr>
          <w:p w14:paraId="3967FFB0" w14:textId="77777777" w:rsidR="006A01CD" w:rsidRPr="002730F6" w:rsidRDefault="006A01CD" w:rsidP="00014D56">
            <w:pPr>
              <w:spacing w:before="240"/>
              <w:jc w:val="both"/>
              <w:rPr>
                <w:rFonts w:ascii="Arial" w:hAnsi="Arial" w:cs="Arial"/>
              </w:rPr>
            </w:pPr>
            <w:r w:rsidRPr="002730F6">
              <w:rPr>
                <w:rFonts w:ascii="Arial" w:hAnsi="Arial" w:cs="Arial"/>
              </w:rPr>
              <w:t>0</w:t>
            </w:r>
          </w:p>
        </w:tc>
        <w:tc>
          <w:tcPr>
            <w:tcW w:w="1394" w:type="dxa"/>
            <w:noWrap/>
            <w:hideMark/>
          </w:tcPr>
          <w:p w14:paraId="65C8E3D1" w14:textId="77777777" w:rsidR="006A01CD" w:rsidRPr="002730F6" w:rsidRDefault="006A01CD" w:rsidP="00014D56">
            <w:pPr>
              <w:spacing w:before="240"/>
              <w:jc w:val="both"/>
              <w:rPr>
                <w:rFonts w:ascii="Arial" w:hAnsi="Arial" w:cs="Arial"/>
              </w:rPr>
            </w:pPr>
            <w:r w:rsidRPr="002730F6">
              <w:rPr>
                <w:rFonts w:ascii="Arial" w:hAnsi="Arial" w:cs="Arial"/>
              </w:rPr>
              <w:t>0</w:t>
            </w:r>
          </w:p>
        </w:tc>
        <w:tc>
          <w:tcPr>
            <w:tcW w:w="1557" w:type="dxa"/>
            <w:noWrap/>
            <w:hideMark/>
          </w:tcPr>
          <w:p w14:paraId="66D8C3CE" w14:textId="77777777" w:rsidR="006A01CD" w:rsidRPr="002730F6" w:rsidRDefault="006A01CD" w:rsidP="00014D56">
            <w:pPr>
              <w:spacing w:before="240"/>
              <w:jc w:val="both"/>
              <w:rPr>
                <w:rFonts w:ascii="Arial" w:hAnsi="Arial" w:cs="Arial"/>
              </w:rPr>
            </w:pPr>
            <w:r w:rsidRPr="002730F6">
              <w:rPr>
                <w:rFonts w:ascii="Arial" w:hAnsi="Arial" w:cs="Arial"/>
              </w:rPr>
              <w:t>0.01</w:t>
            </w:r>
          </w:p>
        </w:tc>
        <w:tc>
          <w:tcPr>
            <w:tcW w:w="1231" w:type="dxa"/>
            <w:noWrap/>
            <w:hideMark/>
          </w:tcPr>
          <w:p w14:paraId="24DCB1D8" w14:textId="77777777" w:rsidR="006A01CD" w:rsidRPr="002730F6" w:rsidRDefault="006A01CD" w:rsidP="00014D56">
            <w:pPr>
              <w:spacing w:before="240"/>
              <w:jc w:val="both"/>
              <w:rPr>
                <w:rFonts w:ascii="Arial" w:hAnsi="Arial" w:cs="Arial"/>
              </w:rPr>
            </w:pPr>
            <w:r w:rsidRPr="002730F6">
              <w:rPr>
                <w:rFonts w:ascii="Arial" w:hAnsi="Arial" w:cs="Arial"/>
              </w:rPr>
              <w:t>0.01</w:t>
            </w:r>
          </w:p>
        </w:tc>
      </w:tr>
      <w:tr w:rsidR="006A01CD" w:rsidRPr="002730F6" w14:paraId="2FCA5E89" w14:textId="77777777" w:rsidTr="00014D56">
        <w:trPr>
          <w:trHeight w:val="285"/>
        </w:trPr>
        <w:tc>
          <w:tcPr>
            <w:tcW w:w="3678" w:type="dxa"/>
            <w:noWrap/>
            <w:hideMark/>
          </w:tcPr>
          <w:p w14:paraId="1D93B2DA" w14:textId="77777777" w:rsidR="006A01CD" w:rsidRPr="002730F6" w:rsidRDefault="006A01CD" w:rsidP="00014D56">
            <w:pPr>
              <w:spacing w:before="240"/>
              <w:jc w:val="both"/>
              <w:rPr>
                <w:rFonts w:ascii="Arial" w:hAnsi="Arial" w:cs="Arial"/>
                <w:b/>
                <w:bCs/>
              </w:rPr>
            </w:pPr>
            <w:r w:rsidRPr="002730F6">
              <w:rPr>
                <w:rFonts w:ascii="Arial" w:hAnsi="Arial" w:cs="Arial"/>
                <w:b/>
                <w:bCs/>
              </w:rPr>
              <w:t>% of EDI to PTDI</w:t>
            </w:r>
          </w:p>
        </w:tc>
        <w:tc>
          <w:tcPr>
            <w:tcW w:w="1394" w:type="dxa"/>
            <w:noWrap/>
            <w:hideMark/>
          </w:tcPr>
          <w:p w14:paraId="46410E71" w14:textId="77777777" w:rsidR="006A01CD" w:rsidRPr="002730F6" w:rsidRDefault="006A01CD" w:rsidP="00014D56">
            <w:pPr>
              <w:spacing w:before="240"/>
              <w:jc w:val="both"/>
              <w:rPr>
                <w:rFonts w:ascii="Arial" w:hAnsi="Arial" w:cs="Arial"/>
              </w:rPr>
            </w:pPr>
            <w:r w:rsidRPr="002730F6">
              <w:rPr>
                <w:rFonts w:ascii="Arial" w:hAnsi="Arial" w:cs="Arial"/>
              </w:rPr>
              <w:t>0</w:t>
            </w:r>
          </w:p>
        </w:tc>
        <w:tc>
          <w:tcPr>
            <w:tcW w:w="1394" w:type="dxa"/>
            <w:noWrap/>
            <w:hideMark/>
          </w:tcPr>
          <w:p w14:paraId="48D3D633" w14:textId="77777777" w:rsidR="006A01CD" w:rsidRPr="002730F6" w:rsidRDefault="006A01CD" w:rsidP="00014D56">
            <w:pPr>
              <w:spacing w:before="240"/>
              <w:jc w:val="both"/>
              <w:rPr>
                <w:rFonts w:ascii="Arial" w:hAnsi="Arial" w:cs="Arial"/>
              </w:rPr>
            </w:pPr>
            <w:r w:rsidRPr="002730F6">
              <w:rPr>
                <w:rFonts w:ascii="Arial" w:hAnsi="Arial" w:cs="Arial"/>
              </w:rPr>
              <w:t>0</w:t>
            </w:r>
          </w:p>
        </w:tc>
        <w:tc>
          <w:tcPr>
            <w:tcW w:w="1557" w:type="dxa"/>
            <w:noWrap/>
            <w:hideMark/>
          </w:tcPr>
          <w:p w14:paraId="01CD3182" w14:textId="77777777" w:rsidR="006A01CD" w:rsidRPr="002730F6" w:rsidRDefault="006A01CD" w:rsidP="00014D56">
            <w:pPr>
              <w:spacing w:before="240"/>
              <w:jc w:val="both"/>
              <w:rPr>
                <w:rFonts w:ascii="Arial" w:hAnsi="Arial" w:cs="Arial"/>
              </w:rPr>
            </w:pPr>
            <w:r w:rsidRPr="002730F6">
              <w:rPr>
                <w:rFonts w:ascii="Arial" w:hAnsi="Arial" w:cs="Arial"/>
              </w:rPr>
              <w:t>0</w:t>
            </w:r>
          </w:p>
        </w:tc>
        <w:tc>
          <w:tcPr>
            <w:tcW w:w="1231" w:type="dxa"/>
            <w:noWrap/>
            <w:hideMark/>
          </w:tcPr>
          <w:p w14:paraId="37F0E693" w14:textId="77777777" w:rsidR="006A01CD" w:rsidRPr="002730F6" w:rsidRDefault="006A01CD" w:rsidP="00014D56">
            <w:pPr>
              <w:spacing w:before="240"/>
              <w:jc w:val="both"/>
              <w:rPr>
                <w:rFonts w:ascii="Arial" w:hAnsi="Arial" w:cs="Arial"/>
              </w:rPr>
            </w:pPr>
            <w:r w:rsidRPr="002730F6">
              <w:rPr>
                <w:rFonts w:ascii="Arial" w:hAnsi="Arial" w:cs="Arial"/>
              </w:rPr>
              <w:t>0</w:t>
            </w:r>
          </w:p>
        </w:tc>
      </w:tr>
      <w:tr w:rsidR="006A01CD" w:rsidRPr="002730F6" w14:paraId="032323A3" w14:textId="77777777" w:rsidTr="00014D56">
        <w:trPr>
          <w:trHeight w:val="285"/>
        </w:trPr>
        <w:tc>
          <w:tcPr>
            <w:tcW w:w="5073" w:type="dxa"/>
            <w:gridSpan w:val="2"/>
            <w:noWrap/>
            <w:hideMark/>
          </w:tcPr>
          <w:p w14:paraId="0199830B" w14:textId="77777777" w:rsidR="006A01CD" w:rsidRPr="002730F6" w:rsidRDefault="006A01CD" w:rsidP="00014D56">
            <w:pPr>
              <w:spacing w:before="240"/>
              <w:jc w:val="both"/>
              <w:rPr>
                <w:rFonts w:ascii="Arial" w:hAnsi="Arial" w:cs="Arial"/>
                <w:b/>
                <w:bCs/>
              </w:rPr>
            </w:pPr>
            <w:r w:rsidRPr="002730F6">
              <w:rPr>
                <w:rFonts w:ascii="Arial" w:hAnsi="Arial" w:cs="Arial"/>
                <w:b/>
                <w:bCs/>
              </w:rPr>
              <w:t>Periwinkles</w:t>
            </w:r>
          </w:p>
        </w:tc>
        <w:tc>
          <w:tcPr>
            <w:tcW w:w="1394" w:type="dxa"/>
            <w:noWrap/>
            <w:hideMark/>
          </w:tcPr>
          <w:p w14:paraId="7944E53B" w14:textId="77777777" w:rsidR="006A01CD" w:rsidRPr="002730F6" w:rsidRDefault="006A01CD" w:rsidP="00014D56">
            <w:pPr>
              <w:spacing w:before="240"/>
              <w:jc w:val="both"/>
              <w:rPr>
                <w:rFonts w:ascii="Arial" w:hAnsi="Arial" w:cs="Arial"/>
              </w:rPr>
            </w:pPr>
          </w:p>
        </w:tc>
        <w:tc>
          <w:tcPr>
            <w:tcW w:w="1557" w:type="dxa"/>
            <w:noWrap/>
            <w:hideMark/>
          </w:tcPr>
          <w:p w14:paraId="631AF707" w14:textId="77777777" w:rsidR="006A01CD" w:rsidRPr="002730F6" w:rsidRDefault="006A01CD" w:rsidP="00014D56">
            <w:pPr>
              <w:spacing w:before="240"/>
              <w:jc w:val="both"/>
              <w:rPr>
                <w:rFonts w:ascii="Arial" w:hAnsi="Arial" w:cs="Arial"/>
              </w:rPr>
            </w:pPr>
          </w:p>
        </w:tc>
        <w:tc>
          <w:tcPr>
            <w:tcW w:w="1231" w:type="dxa"/>
            <w:noWrap/>
            <w:hideMark/>
          </w:tcPr>
          <w:p w14:paraId="1C83B0D2" w14:textId="77777777" w:rsidR="006A01CD" w:rsidRPr="002730F6" w:rsidRDefault="006A01CD" w:rsidP="00014D56">
            <w:pPr>
              <w:spacing w:before="240"/>
              <w:jc w:val="both"/>
              <w:rPr>
                <w:rFonts w:ascii="Arial" w:hAnsi="Arial" w:cs="Arial"/>
              </w:rPr>
            </w:pPr>
          </w:p>
        </w:tc>
      </w:tr>
      <w:tr w:rsidR="006A01CD" w:rsidRPr="002730F6" w14:paraId="7F3DB6F2" w14:textId="77777777" w:rsidTr="00014D56">
        <w:trPr>
          <w:trHeight w:val="285"/>
        </w:trPr>
        <w:tc>
          <w:tcPr>
            <w:tcW w:w="3678" w:type="dxa"/>
            <w:noWrap/>
            <w:hideMark/>
          </w:tcPr>
          <w:p w14:paraId="761AD24B" w14:textId="77777777" w:rsidR="006A01CD" w:rsidRPr="002730F6" w:rsidRDefault="006A01CD" w:rsidP="00014D56">
            <w:pPr>
              <w:spacing w:before="240"/>
              <w:jc w:val="both"/>
              <w:rPr>
                <w:rFonts w:ascii="Arial" w:hAnsi="Arial" w:cs="Arial"/>
                <w:b/>
                <w:bCs/>
              </w:rPr>
            </w:pPr>
            <w:r w:rsidRPr="002730F6">
              <w:rPr>
                <w:rFonts w:ascii="Arial" w:hAnsi="Arial" w:cs="Arial"/>
                <w:b/>
                <w:bCs/>
              </w:rPr>
              <w:t xml:space="preserve">Mean Concentration (mg/kg) </w:t>
            </w:r>
          </w:p>
        </w:tc>
        <w:tc>
          <w:tcPr>
            <w:tcW w:w="1394" w:type="dxa"/>
            <w:noWrap/>
            <w:hideMark/>
          </w:tcPr>
          <w:p w14:paraId="7E027C48" w14:textId="77777777" w:rsidR="006A01CD" w:rsidRPr="002730F6" w:rsidRDefault="006A01CD" w:rsidP="00014D56">
            <w:pPr>
              <w:spacing w:before="240"/>
              <w:jc w:val="both"/>
              <w:rPr>
                <w:rFonts w:ascii="Arial" w:hAnsi="Arial" w:cs="Arial"/>
              </w:rPr>
            </w:pPr>
            <w:r w:rsidRPr="002730F6">
              <w:rPr>
                <w:rFonts w:ascii="Arial" w:hAnsi="Arial" w:cs="Arial"/>
              </w:rPr>
              <w:t>0.32</w:t>
            </w:r>
            <w:r w:rsidR="00322A5B" w:rsidRPr="002730F6">
              <w:rPr>
                <w:rFonts w:ascii="Arial" w:hAnsi="Arial" w:cs="Arial"/>
              </w:rPr>
              <w:t>±</w:t>
            </w:r>
            <w:r w:rsidR="00D31B2C" w:rsidRPr="002730F6">
              <w:rPr>
                <w:rFonts w:ascii="Arial" w:hAnsi="Arial" w:cs="Arial"/>
              </w:rPr>
              <w:t>0.00</w:t>
            </w:r>
          </w:p>
        </w:tc>
        <w:tc>
          <w:tcPr>
            <w:tcW w:w="1394" w:type="dxa"/>
            <w:noWrap/>
            <w:hideMark/>
          </w:tcPr>
          <w:p w14:paraId="4066E2CC" w14:textId="77777777" w:rsidR="006A01CD" w:rsidRPr="002730F6" w:rsidRDefault="006A01CD" w:rsidP="00014D56">
            <w:pPr>
              <w:spacing w:before="240"/>
              <w:jc w:val="both"/>
              <w:rPr>
                <w:rFonts w:ascii="Arial" w:hAnsi="Arial" w:cs="Arial"/>
              </w:rPr>
            </w:pPr>
            <w:r w:rsidRPr="002730F6">
              <w:rPr>
                <w:rFonts w:ascii="Arial" w:hAnsi="Arial" w:cs="Arial"/>
              </w:rPr>
              <w:t>0.16</w:t>
            </w:r>
            <w:r w:rsidR="00322A5B" w:rsidRPr="002730F6">
              <w:rPr>
                <w:rFonts w:ascii="Arial" w:hAnsi="Arial" w:cs="Arial"/>
              </w:rPr>
              <w:t>±</w:t>
            </w:r>
            <w:r w:rsidR="00D31B2C" w:rsidRPr="002730F6">
              <w:rPr>
                <w:rFonts w:ascii="Arial" w:hAnsi="Arial" w:cs="Arial"/>
              </w:rPr>
              <w:t>0.01</w:t>
            </w:r>
          </w:p>
        </w:tc>
        <w:tc>
          <w:tcPr>
            <w:tcW w:w="1557" w:type="dxa"/>
            <w:noWrap/>
            <w:hideMark/>
          </w:tcPr>
          <w:p w14:paraId="461783B3" w14:textId="77777777" w:rsidR="006A01CD" w:rsidRPr="002730F6" w:rsidRDefault="006A01CD" w:rsidP="00014D56">
            <w:pPr>
              <w:spacing w:before="240"/>
              <w:jc w:val="both"/>
              <w:rPr>
                <w:rFonts w:ascii="Arial" w:hAnsi="Arial" w:cs="Arial"/>
              </w:rPr>
            </w:pPr>
            <w:r w:rsidRPr="002730F6">
              <w:rPr>
                <w:rFonts w:ascii="Arial" w:hAnsi="Arial" w:cs="Arial"/>
              </w:rPr>
              <w:t>1.04</w:t>
            </w:r>
            <w:r w:rsidR="00322A5B" w:rsidRPr="002730F6">
              <w:rPr>
                <w:rFonts w:ascii="Arial" w:hAnsi="Arial" w:cs="Arial"/>
              </w:rPr>
              <w:t>±</w:t>
            </w:r>
            <w:r w:rsidR="00D31B2C" w:rsidRPr="002730F6">
              <w:rPr>
                <w:rFonts w:ascii="Arial" w:hAnsi="Arial" w:cs="Arial"/>
              </w:rPr>
              <w:t>0.05</w:t>
            </w:r>
          </w:p>
        </w:tc>
        <w:tc>
          <w:tcPr>
            <w:tcW w:w="1231" w:type="dxa"/>
            <w:noWrap/>
            <w:hideMark/>
          </w:tcPr>
          <w:p w14:paraId="0F2450D5" w14:textId="77777777" w:rsidR="006A01CD" w:rsidRPr="002730F6" w:rsidRDefault="006A01CD" w:rsidP="00014D56">
            <w:pPr>
              <w:spacing w:before="240"/>
              <w:jc w:val="both"/>
              <w:rPr>
                <w:rFonts w:ascii="Arial" w:hAnsi="Arial" w:cs="Arial"/>
              </w:rPr>
            </w:pPr>
            <w:r w:rsidRPr="002730F6">
              <w:rPr>
                <w:rFonts w:ascii="Arial" w:hAnsi="Arial" w:cs="Arial"/>
              </w:rPr>
              <w:t>1.24</w:t>
            </w:r>
            <w:r w:rsidR="00322A5B" w:rsidRPr="002730F6">
              <w:rPr>
                <w:rFonts w:ascii="Arial" w:hAnsi="Arial" w:cs="Arial"/>
              </w:rPr>
              <w:t>±</w:t>
            </w:r>
            <w:r w:rsidR="00D31B2C" w:rsidRPr="002730F6">
              <w:rPr>
                <w:rFonts w:ascii="Arial" w:hAnsi="Arial" w:cs="Arial"/>
              </w:rPr>
              <w:t>0.04</w:t>
            </w:r>
          </w:p>
        </w:tc>
      </w:tr>
      <w:tr w:rsidR="006A01CD" w:rsidRPr="002730F6" w14:paraId="10011B42" w14:textId="77777777" w:rsidTr="00014D56">
        <w:trPr>
          <w:trHeight w:val="285"/>
        </w:trPr>
        <w:tc>
          <w:tcPr>
            <w:tcW w:w="3678" w:type="dxa"/>
            <w:noWrap/>
            <w:hideMark/>
          </w:tcPr>
          <w:p w14:paraId="7DA04B43" w14:textId="77777777" w:rsidR="006A01CD" w:rsidRPr="002730F6" w:rsidRDefault="006A01CD" w:rsidP="00014D56">
            <w:pPr>
              <w:spacing w:before="240"/>
              <w:jc w:val="both"/>
              <w:rPr>
                <w:rFonts w:ascii="Arial" w:hAnsi="Arial" w:cs="Arial"/>
                <w:b/>
                <w:bCs/>
              </w:rPr>
            </w:pPr>
            <w:r w:rsidRPr="002730F6">
              <w:rPr>
                <w:rFonts w:ascii="Arial" w:hAnsi="Arial" w:cs="Arial"/>
                <w:b/>
                <w:bCs/>
              </w:rPr>
              <w:t>EDI (mg/kg/day)</w:t>
            </w:r>
          </w:p>
        </w:tc>
        <w:tc>
          <w:tcPr>
            <w:tcW w:w="1394" w:type="dxa"/>
            <w:noWrap/>
            <w:hideMark/>
          </w:tcPr>
          <w:p w14:paraId="0974322B" w14:textId="77777777" w:rsidR="006A01CD" w:rsidRPr="002730F6" w:rsidRDefault="006A01CD" w:rsidP="00014D56">
            <w:pPr>
              <w:spacing w:before="240"/>
              <w:jc w:val="both"/>
              <w:rPr>
                <w:rFonts w:ascii="Arial" w:hAnsi="Arial" w:cs="Arial"/>
              </w:rPr>
            </w:pPr>
            <w:r w:rsidRPr="002730F6">
              <w:rPr>
                <w:rFonts w:ascii="Arial" w:hAnsi="Arial" w:cs="Arial"/>
              </w:rPr>
              <w:t>0.01</w:t>
            </w:r>
          </w:p>
        </w:tc>
        <w:tc>
          <w:tcPr>
            <w:tcW w:w="1394" w:type="dxa"/>
            <w:noWrap/>
            <w:hideMark/>
          </w:tcPr>
          <w:p w14:paraId="49B55398" w14:textId="77777777" w:rsidR="006A01CD" w:rsidRPr="002730F6" w:rsidRDefault="006A01CD" w:rsidP="00014D56">
            <w:pPr>
              <w:spacing w:before="240"/>
              <w:jc w:val="both"/>
              <w:rPr>
                <w:rFonts w:ascii="Arial" w:hAnsi="Arial" w:cs="Arial"/>
              </w:rPr>
            </w:pPr>
            <w:r w:rsidRPr="002730F6">
              <w:rPr>
                <w:rFonts w:ascii="Arial" w:hAnsi="Arial" w:cs="Arial"/>
              </w:rPr>
              <w:t>0.008</w:t>
            </w:r>
          </w:p>
        </w:tc>
        <w:tc>
          <w:tcPr>
            <w:tcW w:w="1557" w:type="dxa"/>
            <w:noWrap/>
            <w:hideMark/>
          </w:tcPr>
          <w:p w14:paraId="4C54BBFE" w14:textId="77777777" w:rsidR="006A01CD" w:rsidRPr="002730F6" w:rsidRDefault="006A01CD" w:rsidP="00014D56">
            <w:pPr>
              <w:spacing w:before="240"/>
              <w:jc w:val="both"/>
              <w:rPr>
                <w:rFonts w:ascii="Arial" w:hAnsi="Arial" w:cs="Arial"/>
              </w:rPr>
            </w:pPr>
            <w:r w:rsidRPr="002730F6">
              <w:rPr>
                <w:rFonts w:ascii="Arial" w:hAnsi="Arial" w:cs="Arial"/>
              </w:rPr>
              <w:t>0.03</w:t>
            </w:r>
          </w:p>
        </w:tc>
        <w:tc>
          <w:tcPr>
            <w:tcW w:w="1231" w:type="dxa"/>
            <w:noWrap/>
            <w:hideMark/>
          </w:tcPr>
          <w:p w14:paraId="69BCEDF1" w14:textId="77777777" w:rsidR="006A01CD" w:rsidRPr="002730F6" w:rsidRDefault="006A01CD" w:rsidP="00014D56">
            <w:pPr>
              <w:spacing w:before="240"/>
              <w:jc w:val="both"/>
              <w:rPr>
                <w:rFonts w:ascii="Arial" w:hAnsi="Arial" w:cs="Arial"/>
              </w:rPr>
            </w:pPr>
            <w:r w:rsidRPr="002730F6">
              <w:rPr>
                <w:rFonts w:ascii="Arial" w:hAnsi="Arial" w:cs="Arial"/>
              </w:rPr>
              <w:t>0.04</w:t>
            </w:r>
          </w:p>
        </w:tc>
      </w:tr>
      <w:tr w:rsidR="006A01CD" w:rsidRPr="002730F6" w14:paraId="03F3B87D" w14:textId="77777777" w:rsidTr="00014D56">
        <w:trPr>
          <w:trHeight w:val="285"/>
        </w:trPr>
        <w:tc>
          <w:tcPr>
            <w:tcW w:w="3678" w:type="dxa"/>
            <w:noWrap/>
            <w:hideMark/>
          </w:tcPr>
          <w:p w14:paraId="157F6B40" w14:textId="77777777" w:rsidR="006A01CD" w:rsidRPr="002730F6" w:rsidRDefault="006A01CD" w:rsidP="00014D56">
            <w:pPr>
              <w:spacing w:before="240"/>
              <w:jc w:val="both"/>
              <w:rPr>
                <w:rFonts w:ascii="Arial" w:hAnsi="Arial" w:cs="Arial"/>
                <w:b/>
                <w:bCs/>
              </w:rPr>
            </w:pPr>
            <w:r w:rsidRPr="002730F6">
              <w:rPr>
                <w:rFonts w:ascii="Arial" w:hAnsi="Arial" w:cs="Arial"/>
                <w:b/>
                <w:bCs/>
              </w:rPr>
              <w:t>% of EDI to PTDI</w:t>
            </w:r>
          </w:p>
        </w:tc>
        <w:tc>
          <w:tcPr>
            <w:tcW w:w="1394" w:type="dxa"/>
            <w:noWrap/>
            <w:hideMark/>
          </w:tcPr>
          <w:p w14:paraId="54423989" w14:textId="77777777" w:rsidR="006A01CD" w:rsidRPr="002730F6" w:rsidRDefault="006A01CD" w:rsidP="00014D56">
            <w:pPr>
              <w:spacing w:before="240"/>
              <w:jc w:val="both"/>
              <w:rPr>
                <w:rFonts w:ascii="Arial" w:hAnsi="Arial" w:cs="Arial"/>
              </w:rPr>
            </w:pPr>
            <w:r w:rsidRPr="002730F6">
              <w:rPr>
                <w:rFonts w:ascii="Arial" w:hAnsi="Arial" w:cs="Arial"/>
              </w:rPr>
              <w:t>0</w:t>
            </w:r>
          </w:p>
        </w:tc>
        <w:tc>
          <w:tcPr>
            <w:tcW w:w="1394" w:type="dxa"/>
            <w:noWrap/>
            <w:hideMark/>
          </w:tcPr>
          <w:p w14:paraId="0BA61AF5" w14:textId="77777777" w:rsidR="006A01CD" w:rsidRPr="002730F6" w:rsidRDefault="006A01CD" w:rsidP="00014D56">
            <w:pPr>
              <w:spacing w:before="240"/>
              <w:jc w:val="both"/>
              <w:rPr>
                <w:rFonts w:ascii="Arial" w:hAnsi="Arial" w:cs="Arial"/>
              </w:rPr>
            </w:pPr>
            <w:r w:rsidRPr="002730F6">
              <w:rPr>
                <w:rFonts w:ascii="Arial" w:hAnsi="Arial" w:cs="Arial"/>
              </w:rPr>
              <w:t>0</w:t>
            </w:r>
          </w:p>
        </w:tc>
        <w:tc>
          <w:tcPr>
            <w:tcW w:w="1557" w:type="dxa"/>
            <w:noWrap/>
            <w:hideMark/>
          </w:tcPr>
          <w:p w14:paraId="7E64E8D7" w14:textId="77777777" w:rsidR="006A01CD" w:rsidRPr="002730F6" w:rsidRDefault="006A01CD" w:rsidP="00014D56">
            <w:pPr>
              <w:spacing w:before="240"/>
              <w:jc w:val="both"/>
              <w:rPr>
                <w:rFonts w:ascii="Arial" w:hAnsi="Arial" w:cs="Arial"/>
              </w:rPr>
            </w:pPr>
            <w:r w:rsidRPr="002730F6">
              <w:rPr>
                <w:rFonts w:ascii="Arial" w:hAnsi="Arial" w:cs="Arial"/>
              </w:rPr>
              <w:t>0</w:t>
            </w:r>
          </w:p>
        </w:tc>
        <w:tc>
          <w:tcPr>
            <w:tcW w:w="1231" w:type="dxa"/>
            <w:noWrap/>
            <w:hideMark/>
          </w:tcPr>
          <w:p w14:paraId="00457705" w14:textId="77777777" w:rsidR="006A01CD" w:rsidRPr="002730F6" w:rsidRDefault="006A01CD" w:rsidP="00014D56">
            <w:pPr>
              <w:spacing w:before="240"/>
              <w:jc w:val="both"/>
              <w:rPr>
                <w:rFonts w:ascii="Arial" w:hAnsi="Arial" w:cs="Arial"/>
              </w:rPr>
            </w:pPr>
            <w:r w:rsidRPr="002730F6">
              <w:rPr>
                <w:rFonts w:ascii="Arial" w:hAnsi="Arial" w:cs="Arial"/>
              </w:rPr>
              <w:t>0</w:t>
            </w:r>
          </w:p>
        </w:tc>
      </w:tr>
    </w:tbl>
    <w:p w14:paraId="37F93355" w14:textId="77777777" w:rsidR="006A01CD" w:rsidRPr="002730F6" w:rsidRDefault="006A01CD" w:rsidP="006A01CD">
      <w:pPr>
        <w:spacing w:before="240" w:line="360" w:lineRule="auto"/>
        <w:jc w:val="both"/>
        <w:rPr>
          <w:rFonts w:ascii="Arial" w:hAnsi="Arial" w:cs="Arial"/>
        </w:rPr>
      </w:pPr>
      <w:r w:rsidRPr="002730F6">
        <w:rPr>
          <w:rFonts w:ascii="Arial" w:hAnsi="Arial" w:cs="Arial"/>
          <w:b/>
          <w:bCs/>
        </w:rPr>
        <w:lastRenderedPageBreak/>
        <w:t>Note:</w:t>
      </w:r>
      <w:r w:rsidRPr="002730F6">
        <w:rPr>
          <w:rFonts w:ascii="Arial" w:hAnsi="Arial" w:cs="Arial"/>
        </w:rPr>
        <w:t xml:space="preserve"> Provisional tolerable daily intake (PTDI) values (in mg/kg body </w:t>
      </w:r>
      <w:proofErr w:type="spellStart"/>
      <w:r w:rsidRPr="002730F6">
        <w:rPr>
          <w:rFonts w:ascii="Arial" w:hAnsi="Arial" w:cs="Arial"/>
        </w:rPr>
        <w:t>wt</w:t>
      </w:r>
      <w:proofErr w:type="spellEnd"/>
      <w:r w:rsidRPr="002730F6">
        <w:rPr>
          <w:rFonts w:ascii="Arial" w:hAnsi="Arial" w:cs="Arial"/>
        </w:rPr>
        <w:t xml:space="preserve">/day) of all the metals were based on the data suggested by The Joint FAO/ WHO Expert Committee </w:t>
      </w:r>
      <w:r w:rsidR="00872450">
        <w:rPr>
          <w:rFonts w:ascii="Arial" w:hAnsi="Arial" w:cs="Arial"/>
        </w:rPr>
        <w:t>on Food Additives (JECFA) [51</w:t>
      </w:r>
      <w:r w:rsidRPr="002730F6">
        <w:rPr>
          <w:rFonts w:ascii="Arial" w:hAnsi="Arial" w:cs="Arial"/>
        </w:rPr>
        <w:t>].</w:t>
      </w:r>
    </w:p>
    <w:p w14:paraId="6E331443" w14:textId="77777777" w:rsidR="006A01CD" w:rsidRPr="002730F6" w:rsidRDefault="006A01CD" w:rsidP="006A01CD">
      <w:pPr>
        <w:spacing w:before="240" w:line="360" w:lineRule="auto"/>
        <w:jc w:val="both"/>
        <w:rPr>
          <w:rFonts w:ascii="Arial" w:hAnsi="Arial" w:cs="Arial"/>
        </w:rPr>
      </w:pPr>
      <w:r w:rsidRPr="002730F6">
        <w:rPr>
          <w:rFonts w:ascii="Arial" w:hAnsi="Arial" w:cs="Arial"/>
        </w:rPr>
        <w:t>The corresponding Estimated Daily Intake (EDI) values for Cadmium were 0.01 mg/day for Crabs and Periwinkles in both wet and dry seasons, while it was negligible for Shrimp</w:t>
      </w:r>
      <w:r w:rsidR="00915599" w:rsidRPr="002730F6">
        <w:rPr>
          <w:rFonts w:ascii="Arial" w:hAnsi="Arial" w:cs="Arial"/>
        </w:rPr>
        <w:t>s due to the concentration</w:t>
      </w:r>
      <w:r w:rsidRPr="002730F6">
        <w:rPr>
          <w:rFonts w:ascii="Arial" w:hAnsi="Arial" w:cs="Arial"/>
        </w:rPr>
        <w:t xml:space="preserve"> below the detection limit in both conditions. Significantly, the percentage of EDI to Provisional Tolerable Daily Intake (PTDI) for Cadmium was 0% for all seafood types, suggesting that the estimated intake of Cadmium from these seafood samples does not exceed the Provisional Tolerable Daily Intake recommended by JECFA reg</w:t>
      </w:r>
      <w:r w:rsidR="00FC5AF4" w:rsidRPr="002730F6">
        <w:rPr>
          <w:rFonts w:ascii="Arial" w:hAnsi="Arial" w:cs="Arial"/>
        </w:rPr>
        <w:t xml:space="preserve">ardless of the season. The EDI values </w:t>
      </w:r>
      <w:r w:rsidRPr="002730F6">
        <w:rPr>
          <w:rFonts w:ascii="Arial" w:hAnsi="Arial" w:cs="Arial"/>
        </w:rPr>
        <w:t>f</w:t>
      </w:r>
      <w:r w:rsidR="00FC5AF4" w:rsidRPr="002730F6">
        <w:rPr>
          <w:rFonts w:ascii="Arial" w:hAnsi="Arial" w:cs="Arial"/>
        </w:rPr>
        <w:t>or</w:t>
      </w:r>
      <w:r w:rsidRPr="002730F6">
        <w:rPr>
          <w:rFonts w:ascii="Arial" w:hAnsi="Arial" w:cs="Arial"/>
        </w:rPr>
        <w:t xml:space="preserve"> Lead </w:t>
      </w:r>
      <w:proofErr w:type="gramStart"/>
      <w:r w:rsidRPr="002730F6">
        <w:rPr>
          <w:rFonts w:ascii="Arial" w:hAnsi="Arial" w:cs="Arial"/>
        </w:rPr>
        <w:t>was</w:t>
      </w:r>
      <w:proofErr w:type="gramEnd"/>
      <w:r w:rsidRPr="002730F6">
        <w:rPr>
          <w:rFonts w:ascii="Arial" w:hAnsi="Arial" w:cs="Arial"/>
        </w:rPr>
        <w:t xml:space="preserve"> 0.05 mg/day in wet season</w:t>
      </w:r>
      <w:r w:rsidR="00FC5AF4" w:rsidRPr="002730F6">
        <w:rPr>
          <w:rFonts w:ascii="Arial" w:hAnsi="Arial" w:cs="Arial"/>
        </w:rPr>
        <w:t xml:space="preserve"> and 0.06 mg/day in dry season (f</w:t>
      </w:r>
      <w:r w:rsidRPr="002730F6">
        <w:rPr>
          <w:rFonts w:ascii="Arial" w:hAnsi="Arial" w:cs="Arial"/>
        </w:rPr>
        <w:t>or Crabs</w:t>
      </w:r>
      <w:r w:rsidR="00FC5AF4" w:rsidRPr="002730F6">
        <w:rPr>
          <w:rFonts w:ascii="Arial" w:hAnsi="Arial" w:cs="Arial"/>
        </w:rPr>
        <w:t>)</w:t>
      </w:r>
      <w:r w:rsidRPr="002730F6">
        <w:rPr>
          <w:rFonts w:ascii="Arial" w:hAnsi="Arial" w:cs="Arial"/>
        </w:rPr>
        <w:t xml:space="preserve">; 0.01 mg/day in wet season and 0.01 mg/day in dry season </w:t>
      </w:r>
      <w:r w:rsidR="00FC5AF4" w:rsidRPr="002730F6">
        <w:rPr>
          <w:rFonts w:ascii="Arial" w:hAnsi="Arial" w:cs="Arial"/>
        </w:rPr>
        <w:t>(</w:t>
      </w:r>
      <w:r w:rsidRPr="002730F6">
        <w:rPr>
          <w:rFonts w:ascii="Arial" w:hAnsi="Arial" w:cs="Arial"/>
        </w:rPr>
        <w:t>for Shrimps</w:t>
      </w:r>
      <w:r w:rsidR="00FC5AF4" w:rsidRPr="002730F6">
        <w:rPr>
          <w:rFonts w:ascii="Arial" w:hAnsi="Arial" w:cs="Arial"/>
        </w:rPr>
        <w:t>)</w:t>
      </w:r>
      <w:r w:rsidRPr="002730F6">
        <w:rPr>
          <w:rFonts w:ascii="Arial" w:hAnsi="Arial" w:cs="Arial"/>
        </w:rPr>
        <w:t xml:space="preserve">; 0.03 mg/day in wet season and 0.04 mg/day in dry season </w:t>
      </w:r>
      <w:r w:rsidR="00FC5AF4" w:rsidRPr="002730F6">
        <w:rPr>
          <w:rFonts w:ascii="Arial" w:hAnsi="Arial" w:cs="Arial"/>
        </w:rPr>
        <w:t>(</w:t>
      </w:r>
      <w:r w:rsidRPr="002730F6">
        <w:rPr>
          <w:rFonts w:ascii="Arial" w:hAnsi="Arial" w:cs="Arial"/>
        </w:rPr>
        <w:t>for Periwinkles</w:t>
      </w:r>
      <w:r w:rsidR="00FC5AF4" w:rsidRPr="002730F6">
        <w:rPr>
          <w:rFonts w:ascii="Arial" w:hAnsi="Arial" w:cs="Arial"/>
        </w:rPr>
        <w:t>)</w:t>
      </w:r>
      <w:r w:rsidRPr="002730F6">
        <w:rPr>
          <w:rFonts w:ascii="Arial" w:hAnsi="Arial" w:cs="Arial"/>
        </w:rPr>
        <w:t xml:space="preserve">. Despite the variability in concentrations among seafood types and seasons, the percentage of EDI to PTDI for lead remained at 0% for all samples, indicating that its intake from </w:t>
      </w:r>
      <w:proofErr w:type="gramStart"/>
      <w:r w:rsidRPr="002730F6">
        <w:rPr>
          <w:rFonts w:ascii="Arial" w:hAnsi="Arial" w:cs="Arial"/>
        </w:rPr>
        <w:t>these seafood</w:t>
      </w:r>
      <w:proofErr w:type="gramEnd"/>
      <w:r w:rsidRPr="002730F6">
        <w:rPr>
          <w:rFonts w:ascii="Arial" w:hAnsi="Arial" w:cs="Arial"/>
        </w:rPr>
        <w:t xml:space="preserve"> do not exceed the recommended tolerable daily intake levels.</w:t>
      </w:r>
      <w:r w:rsidR="00DF2E6B" w:rsidRPr="002730F6">
        <w:rPr>
          <w:rFonts w:ascii="Arial" w:hAnsi="Arial" w:cs="Arial"/>
        </w:rPr>
        <w:t xml:space="preserve"> </w:t>
      </w:r>
      <w:r w:rsidR="002730F6" w:rsidRPr="002730F6">
        <w:rPr>
          <w:rFonts w:ascii="Arial" w:hAnsi="Arial" w:cs="Arial"/>
        </w:rPr>
        <w:t xml:space="preserve">Our results </w:t>
      </w:r>
      <w:proofErr w:type="gramStart"/>
      <w:r w:rsidR="002730F6" w:rsidRPr="002730F6">
        <w:rPr>
          <w:rFonts w:ascii="Arial" w:hAnsi="Arial" w:cs="Arial"/>
        </w:rPr>
        <w:t>corroborates</w:t>
      </w:r>
      <w:proofErr w:type="gramEnd"/>
      <w:r w:rsidR="00DF2E6B" w:rsidRPr="002730F6">
        <w:rPr>
          <w:rFonts w:ascii="Arial" w:hAnsi="Arial" w:cs="Arial"/>
        </w:rPr>
        <w:t xml:space="preserve"> the </w:t>
      </w:r>
      <w:r w:rsidR="00E90E39" w:rsidRPr="002730F6">
        <w:rPr>
          <w:rFonts w:ascii="Arial" w:hAnsi="Arial" w:cs="Arial"/>
        </w:rPr>
        <w:t>findings</w:t>
      </w:r>
      <w:r w:rsidR="00872450">
        <w:rPr>
          <w:rFonts w:ascii="Arial" w:hAnsi="Arial" w:cs="Arial"/>
        </w:rPr>
        <w:t xml:space="preserve"> of Ahmed et al. [52</w:t>
      </w:r>
      <w:r w:rsidR="00B039D3" w:rsidRPr="002730F6">
        <w:rPr>
          <w:rFonts w:ascii="Arial" w:hAnsi="Arial" w:cs="Arial"/>
        </w:rPr>
        <w:t>]</w:t>
      </w:r>
      <w:r w:rsidR="00DF2E6B" w:rsidRPr="002730F6">
        <w:rPr>
          <w:rFonts w:ascii="Arial" w:hAnsi="Arial" w:cs="Arial"/>
        </w:rPr>
        <w:t xml:space="preserve">. Their </w:t>
      </w:r>
      <w:r w:rsidR="00E90E39" w:rsidRPr="002730F6">
        <w:rPr>
          <w:rFonts w:ascii="Arial" w:hAnsi="Arial" w:cs="Arial"/>
        </w:rPr>
        <w:t>findings</w:t>
      </w:r>
      <w:r w:rsidR="00DF2E6B" w:rsidRPr="002730F6">
        <w:rPr>
          <w:rFonts w:ascii="Arial" w:hAnsi="Arial" w:cs="Arial"/>
        </w:rPr>
        <w:t xml:space="preserve"> revealed </w:t>
      </w:r>
      <w:r w:rsidR="00E90E39" w:rsidRPr="002730F6">
        <w:rPr>
          <w:rFonts w:ascii="Arial" w:hAnsi="Arial" w:cs="Arial"/>
        </w:rPr>
        <w:t>that</w:t>
      </w:r>
      <w:r w:rsidR="00DF2E6B" w:rsidRPr="002730F6">
        <w:rPr>
          <w:rFonts w:ascii="Arial" w:hAnsi="Arial" w:cs="Arial"/>
        </w:rPr>
        <w:t xml:space="preserve"> the EDI </w:t>
      </w:r>
      <w:r w:rsidR="00E90E39" w:rsidRPr="002730F6">
        <w:rPr>
          <w:rFonts w:ascii="Arial" w:hAnsi="Arial" w:cs="Arial"/>
        </w:rPr>
        <w:t>values of lead, arsenic and cadmium were less than 1 for</w:t>
      </w:r>
      <w:r w:rsidR="00E90E39" w:rsidRPr="002730F6">
        <w:t xml:space="preserve"> two species of shrimp and one species of crab which indicated that the average consumption of the species in the coastal area would not result in health risk. </w:t>
      </w:r>
      <w:r w:rsidR="00DF2E6B" w:rsidRPr="002730F6">
        <w:rPr>
          <w:rFonts w:ascii="Arial" w:hAnsi="Arial" w:cs="Arial"/>
        </w:rPr>
        <w:t xml:space="preserve">  </w:t>
      </w:r>
    </w:p>
    <w:p w14:paraId="389D33DE" w14:textId="77777777" w:rsidR="006A01CD" w:rsidRPr="002730F6" w:rsidRDefault="006A01CD" w:rsidP="006A01CD">
      <w:pPr>
        <w:spacing w:before="240" w:line="360" w:lineRule="auto"/>
        <w:jc w:val="both"/>
        <w:rPr>
          <w:rFonts w:ascii="Arial" w:hAnsi="Arial" w:cs="Arial"/>
        </w:rPr>
      </w:pPr>
      <w:r w:rsidRPr="002730F6">
        <w:rPr>
          <w:rFonts w:ascii="Arial" w:hAnsi="Arial" w:cs="Arial"/>
        </w:rPr>
        <w:t>Public health implications of these findings suggest that while the concentrations of cadmium and lead in the analyzed seafood samples may be detectable, their estimated daily intake levels do not pose significant risks to human health. However, continuous monitoring of heavy metal concentrations in seafood, adher</w:t>
      </w:r>
      <w:r w:rsidR="00FC5AF4" w:rsidRPr="002730F6">
        <w:rPr>
          <w:rFonts w:ascii="Arial" w:hAnsi="Arial" w:cs="Arial"/>
        </w:rPr>
        <w:t>ence to food safety regulations</w:t>
      </w:r>
      <w:r w:rsidRPr="002730F6">
        <w:rPr>
          <w:rFonts w:ascii="Arial" w:hAnsi="Arial" w:cs="Arial"/>
        </w:rPr>
        <w:t xml:space="preserve"> and dietary diversity are essential to minimize potential health risks associated with heavy metal exposure through seafood consumption.</w:t>
      </w:r>
    </w:p>
    <w:p w14:paraId="01DBAA49" w14:textId="77777777" w:rsidR="002F71B4" w:rsidRPr="002730F6" w:rsidRDefault="006A01CD" w:rsidP="002F71B4">
      <w:pPr>
        <w:spacing w:line="360" w:lineRule="auto"/>
        <w:jc w:val="both"/>
        <w:rPr>
          <w:rFonts w:ascii="Arial" w:hAnsi="Arial" w:cs="Arial"/>
          <w:b/>
          <w:bCs/>
          <w:sz w:val="22"/>
          <w:szCs w:val="22"/>
        </w:rPr>
      </w:pPr>
      <w:r w:rsidRPr="002730F6">
        <w:rPr>
          <w:rFonts w:ascii="Arial" w:hAnsi="Arial" w:cs="Arial"/>
          <w:b/>
          <w:bCs/>
          <w:sz w:val="22"/>
          <w:szCs w:val="22"/>
        </w:rPr>
        <w:t>3.3.2</w:t>
      </w:r>
      <w:r w:rsidR="002F71B4" w:rsidRPr="002730F6">
        <w:rPr>
          <w:rFonts w:ascii="Arial" w:hAnsi="Arial" w:cs="Arial"/>
          <w:b/>
          <w:bCs/>
          <w:sz w:val="22"/>
          <w:szCs w:val="22"/>
        </w:rPr>
        <w:t xml:space="preserve"> Target Hazard Quotient of Heavy Metals in Sampled Seafoods</w:t>
      </w:r>
    </w:p>
    <w:p w14:paraId="632075CE" w14:textId="77777777" w:rsidR="002F71B4" w:rsidRPr="002730F6" w:rsidRDefault="002F71B4" w:rsidP="002F71B4">
      <w:pPr>
        <w:spacing w:line="360" w:lineRule="auto"/>
        <w:jc w:val="both"/>
        <w:rPr>
          <w:rFonts w:ascii="Arial" w:hAnsi="Arial" w:cs="Arial"/>
        </w:rPr>
      </w:pPr>
      <w:r w:rsidRPr="002730F6">
        <w:rPr>
          <w:rFonts w:ascii="Arial" w:hAnsi="Arial" w:cs="Arial"/>
        </w:rPr>
        <w:t>From the heavy metal concentrations determined in this study</w:t>
      </w:r>
      <w:r w:rsidR="00C44315" w:rsidRPr="002730F6">
        <w:rPr>
          <w:rFonts w:ascii="Arial" w:hAnsi="Arial" w:cs="Arial"/>
        </w:rPr>
        <w:t>,</w:t>
      </w:r>
      <w:r w:rsidRPr="002730F6">
        <w:rPr>
          <w:rFonts w:ascii="Arial" w:hAnsi="Arial" w:cs="Arial"/>
        </w:rPr>
        <w:t xml:space="preserve"> it was revealed that the concentrations of the heavy metals ranked as Pb &gt;Cd &gt;Hg/As across all seafood samples. Human health risk was not calculated for mercury (Hg) and arsenic (As), considering their concentrations were below detectable limits. Table 1 showed the results of the target hazard quotients (THQs) of the seafood samples.</w:t>
      </w:r>
    </w:p>
    <w:p w14:paraId="6F543E05" w14:textId="77777777" w:rsidR="002F71B4" w:rsidRPr="002730F6" w:rsidRDefault="00DF2E6B" w:rsidP="002F71B4">
      <w:pPr>
        <w:spacing w:line="360" w:lineRule="auto"/>
        <w:jc w:val="both"/>
        <w:rPr>
          <w:rFonts w:ascii="Arial" w:hAnsi="Arial" w:cs="Arial"/>
        </w:rPr>
      </w:pPr>
      <w:r w:rsidRPr="002730F6">
        <w:rPr>
          <w:rFonts w:ascii="Arial" w:hAnsi="Arial" w:cs="Arial"/>
        </w:rPr>
        <w:t>Table 2</w:t>
      </w:r>
      <w:r w:rsidR="002F71B4" w:rsidRPr="002730F6">
        <w:rPr>
          <w:rFonts w:ascii="Arial" w:hAnsi="Arial" w:cs="Arial"/>
        </w:rPr>
        <w:t>: THQs of the studied heavy metals in sea</w:t>
      </w:r>
      <w:r w:rsidRPr="002730F6">
        <w:rPr>
          <w:rFonts w:ascii="Arial" w:hAnsi="Arial" w:cs="Arial"/>
        </w:rPr>
        <w:t xml:space="preserve"> </w:t>
      </w:r>
      <w:r w:rsidR="002F71B4" w:rsidRPr="002730F6">
        <w:rPr>
          <w:rFonts w:ascii="Arial" w:hAnsi="Arial" w:cs="Arial"/>
        </w:rPr>
        <w:t>foods sampled.</w:t>
      </w:r>
    </w:p>
    <w:tbl>
      <w:tblPr>
        <w:tblStyle w:val="TableGrid"/>
        <w:tblW w:w="990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2"/>
        <w:gridCol w:w="1333"/>
        <w:gridCol w:w="1333"/>
        <w:gridCol w:w="1216"/>
        <w:gridCol w:w="1157"/>
      </w:tblGrid>
      <w:tr w:rsidR="002F71B4" w:rsidRPr="002730F6" w14:paraId="0EA7637B" w14:textId="77777777" w:rsidTr="001E566C">
        <w:trPr>
          <w:trHeight w:val="575"/>
        </w:trPr>
        <w:tc>
          <w:tcPr>
            <w:tcW w:w="5272" w:type="dxa"/>
            <w:tcBorders>
              <w:top w:val="single" w:sz="4" w:space="0" w:color="auto"/>
              <w:bottom w:val="nil"/>
            </w:tcBorders>
            <w:noWrap/>
            <w:hideMark/>
          </w:tcPr>
          <w:p w14:paraId="0DDC4306" w14:textId="77777777" w:rsidR="002F71B4" w:rsidRPr="002730F6" w:rsidRDefault="002F71B4" w:rsidP="001E566C">
            <w:pPr>
              <w:jc w:val="both"/>
              <w:rPr>
                <w:rFonts w:ascii="Arial" w:hAnsi="Arial" w:cs="Arial"/>
              </w:rPr>
            </w:pPr>
          </w:p>
        </w:tc>
        <w:tc>
          <w:tcPr>
            <w:tcW w:w="2314" w:type="dxa"/>
            <w:gridSpan w:val="2"/>
            <w:tcBorders>
              <w:top w:val="single" w:sz="4" w:space="0" w:color="auto"/>
              <w:bottom w:val="nil"/>
            </w:tcBorders>
            <w:noWrap/>
            <w:hideMark/>
          </w:tcPr>
          <w:p w14:paraId="560404BC" w14:textId="77777777" w:rsidR="002F71B4" w:rsidRPr="002730F6" w:rsidRDefault="002F71B4" w:rsidP="001E566C">
            <w:pPr>
              <w:jc w:val="both"/>
              <w:rPr>
                <w:rFonts w:ascii="Arial" w:hAnsi="Arial" w:cs="Arial"/>
                <w:b/>
                <w:bCs/>
              </w:rPr>
            </w:pPr>
            <w:r w:rsidRPr="002730F6">
              <w:rPr>
                <w:rFonts w:ascii="Arial" w:hAnsi="Arial" w:cs="Arial"/>
                <w:b/>
                <w:bCs/>
              </w:rPr>
              <w:t>Cadmium</w:t>
            </w:r>
          </w:p>
        </w:tc>
        <w:tc>
          <w:tcPr>
            <w:tcW w:w="2314" w:type="dxa"/>
            <w:gridSpan w:val="2"/>
            <w:tcBorders>
              <w:top w:val="single" w:sz="4" w:space="0" w:color="auto"/>
              <w:bottom w:val="nil"/>
            </w:tcBorders>
            <w:noWrap/>
            <w:hideMark/>
          </w:tcPr>
          <w:p w14:paraId="73368C0A" w14:textId="77777777" w:rsidR="002F71B4" w:rsidRPr="002730F6" w:rsidRDefault="002F71B4" w:rsidP="001E566C">
            <w:pPr>
              <w:jc w:val="both"/>
              <w:rPr>
                <w:rFonts w:ascii="Arial" w:hAnsi="Arial" w:cs="Arial"/>
                <w:b/>
                <w:bCs/>
              </w:rPr>
            </w:pPr>
            <w:r w:rsidRPr="002730F6">
              <w:rPr>
                <w:rFonts w:ascii="Arial" w:hAnsi="Arial" w:cs="Arial"/>
                <w:b/>
                <w:bCs/>
              </w:rPr>
              <w:t>Lead</w:t>
            </w:r>
          </w:p>
        </w:tc>
      </w:tr>
      <w:tr w:rsidR="002F71B4" w:rsidRPr="002730F6" w14:paraId="25A1B2CF" w14:textId="77777777" w:rsidTr="001E566C">
        <w:trPr>
          <w:trHeight w:val="575"/>
        </w:trPr>
        <w:tc>
          <w:tcPr>
            <w:tcW w:w="5272" w:type="dxa"/>
            <w:tcBorders>
              <w:top w:val="nil"/>
              <w:bottom w:val="single" w:sz="4" w:space="0" w:color="auto"/>
            </w:tcBorders>
            <w:noWrap/>
            <w:hideMark/>
          </w:tcPr>
          <w:p w14:paraId="46A0254C" w14:textId="77777777" w:rsidR="002F71B4" w:rsidRPr="002730F6" w:rsidRDefault="002F71B4" w:rsidP="001E566C">
            <w:pPr>
              <w:jc w:val="both"/>
              <w:rPr>
                <w:rFonts w:ascii="Arial" w:hAnsi="Arial" w:cs="Arial"/>
              </w:rPr>
            </w:pPr>
          </w:p>
        </w:tc>
        <w:tc>
          <w:tcPr>
            <w:tcW w:w="1157" w:type="dxa"/>
            <w:tcBorders>
              <w:top w:val="nil"/>
              <w:bottom w:val="single" w:sz="4" w:space="0" w:color="auto"/>
            </w:tcBorders>
            <w:noWrap/>
            <w:hideMark/>
          </w:tcPr>
          <w:p w14:paraId="08C3B69F" w14:textId="77777777" w:rsidR="002F71B4" w:rsidRPr="002730F6" w:rsidRDefault="002F71B4" w:rsidP="001E566C">
            <w:pPr>
              <w:jc w:val="both"/>
              <w:rPr>
                <w:rFonts w:ascii="Arial" w:hAnsi="Arial" w:cs="Arial"/>
                <w:b/>
                <w:bCs/>
              </w:rPr>
            </w:pPr>
            <w:r w:rsidRPr="002730F6">
              <w:rPr>
                <w:rFonts w:ascii="Arial" w:hAnsi="Arial" w:cs="Arial"/>
                <w:b/>
                <w:bCs/>
              </w:rPr>
              <w:t>Wet</w:t>
            </w:r>
          </w:p>
        </w:tc>
        <w:tc>
          <w:tcPr>
            <w:tcW w:w="1157" w:type="dxa"/>
            <w:tcBorders>
              <w:top w:val="nil"/>
              <w:bottom w:val="single" w:sz="4" w:space="0" w:color="auto"/>
            </w:tcBorders>
            <w:noWrap/>
            <w:hideMark/>
          </w:tcPr>
          <w:p w14:paraId="5741955A" w14:textId="77777777" w:rsidR="002F71B4" w:rsidRPr="002730F6" w:rsidRDefault="002F71B4" w:rsidP="001E566C">
            <w:pPr>
              <w:jc w:val="both"/>
              <w:rPr>
                <w:rFonts w:ascii="Arial" w:hAnsi="Arial" w:cs="Arial"/>
                <w:b/>
                <w:bCs/>
              </w:rPr>
            </w:pPr>
            <w:r w:rsidRPr="002730F6">
              <w:rPr>
                <w:rFonts w:ascii="Arial" w:hAnsi="Arial" w:cs="Arial"/>
                <w:b/>
                <w:bCs/>
              </w:rPr>
              <w:t>Dry</w:t>
            </w:r>
          </w:p>
        </w:tc>
        <w:tc>
          <w:tcPr>
            <w:tcW w:w="1157" w:type="dxa"/>
            <w:tcBorders>
              <w:top w:val="nil"/>
              <w:bottom w:val="single" w:sz="4" w:space="0" w:color="auto"/>
            </w:tcBorders>
            <w:noWrap/>
            <w:hideMark/>
          </w:tcPr>
          <w:p w14:paraId="0A0B8241" w14:textId="77777777" w:rsidR="002F71B4" w:rsidRPr="002730F6" w:rsidRDefault="002F71B4" w:rsidP="001E566C">
            <w:pPr>
              <w:jc w:val="both"/>
              <w:rPr>
                <w:rFonts w:ascii="Arial" w:hAnsi="Arial" w:cs="Arial"/>
                <w:b/>
                <w:bCs/>
              </w:rPr>
            </w:pPr>
            <w:r w:rsidRPr="002730F6">
              <w:rPr>
                <w:rFonts w:ascii="Arial" w:hAnsi="Arial" w:cs="Arial"/>
                <w:b/>
                <w:bCs/>
              </w:rPr>
              <w:t>Wet</w:t>
            </w:r>
          </w:p>
        </w:tc>
        <w:tc>
          <w:tcPr>
            <w:tcW w:w="1157" w:type="dxa"/>
            <w:tcBorders>
              <w:top w:val="nil"/>
              <w:bottom w:val="single" w:sz="4" w:space="0" w:color="auto"/>
            </w:tcBorders>
            <w:noWrap/>
            <w:hideMark/>
          </w:tcPr>
          <w:p w14:paraId="7690A1F2" w14:textId="77777777" w:rsidR="002F71B4" w:rsidRPr="002730F6" w:rsidRDefault="002F71B4" w:rsidP="001E566C">
            <w:pPr>
              <w:jc w:val="both"/>
              <w:rPr>
                <w:rFonts w:ascii="Arial" w:hAnsi="Arial" w:cs="Arial"/>
                <w:b/>
                <w:bCs/>
              </w:rPr>
            </w:pPr>
            <w:r w:rsidRPr="002730F6">
              <w:rPr>
                <w:rFonts w:ascii="Arial" w:hAnsi="Arial" w:cs="Arial"/>
                <w:b/>
                <w:bCs/>
              </w:rPr>
              <w:t>Dry</w:t>
            </w:r>
          </w:p>
        </w:tc>
      </w:tr>
      <w:tr w:rsidR="002F71B4" w:rsidRPr="002730F6" w14:paraId="2DA1E6C0" w14:textId="77777777" w:rsidTr="001E566C">
        <w:trPr>
          <w:trHeight w:val="575"/>
        </w:trPr>
        <w:tc>
          <w:tcPr>
            <w:tcW w:w="5272" w:type="dxa"/>
            <w:tcBorders>
              <w:top w:val="single" w:sz="4" w:space="0" w:color="auto"/>
            </w:tcBorders>
            <w:noWrap/>
            <w:hideMark/>
          </w:tcPr>
          <w:p w14:paraId="47556645" w14:textId="77777777" w:rsidR="002F71B4" w:rsidRPr="002730F6" w:rsidRDefault="002F71B4" w:rsidP="001E566C">
            <w:pPr>
              <w:jc w:val="both"/>
              <w:rPr>
                <w:rFonts w:ascii="Arial" w:hAnsi="Arial" w:cs="Arial"/>
                <w:b/>
                <w:bCs/>
              </w:rPr>
            </w:pPr>
            <w:r w:rsidRPr="002730F6">
              <w:rPr>
                <w:rFonts w:ascii="Arial" w:hAnsi="Arial" w:cs="Arial"/>
                <w:b/>
                <w:bCs/>
              </w:rPr>
              <w:t>Mean Concentration of Heavy metals in Crabs</w:t>
            </w:r>
          </w:p>
        </w:tc>
        <w:tc>
          <w:tcPr>
            <w:tcW w:w="1157" w:type="dxa"/>
            <w:tcBorders>
              <w:top w:val="single" w:sz="4" w:space="0" w:color="auto"/>
            </w:tcBorders>
            <w:noWrap/>
            <w:hideMark/>
          </w:tcPr>
          <w:p w14:paraId="32415250" w14:textId="77777777" w:rsidR="002F71B4" w:rsidRPr="002730F6" w:rsidRDefault="002F71B4" w:rsidP="001E566C">
            <w:pPr>
              <w:jc w:val="both"/>
              <w:rPr>
                <w:rFonts w:ascii="Arial" w:hAnsi="Arial" w:cs="Arial"/>
              </w:rPr>
            </w:pPr>
            <w:r w:rsidRPr="002730F6">
              <w:rPr>
                <w:rFonts w:ascii="Arial" w:hAnsi="Arial" w:cs="Arial"/>
              </w:rPr>
              <w:t>0.16</w:t>
            </w:r>
            <w:r w:rsidR="00322A5B" w:rsidRPr="002730F6">
              <w:rPr>
                <w:rFonts w:ascii="Arial" w:hAnsi="Arial" w:cs="Arial"/>
              </w:rPr>
              <w:t>±0.02</w:t>
            </w:r>
          </w:p>
        </w:tc>
        <w:tc>
          <w:tcPr>
            <w:tcW w:w="1157" w:type="dxa"/>
            <w:tcBorders>
              <w:top w:val="single" w:sz="4" w:space="0" w:color="auto"/>
            </w:tcBorders>
            <w:noWrap/>
            <w:hideMark/>
          </w:tcPr>
          <w:p w14:paraId="0EFF9A76" w14:textId="77777777" w:rsidR="002F71B4" w:rsidRPr="002730F6" w:rsidRDefault="002F71B4" w:rsidP="001E566C">
            <w:pPr>
              <w:jc w:val="both"/>
              <w:rPr>
                <w:rFonts w:ascii="Arial" w:hAnsi="Arial" w:cs="Arial"/>
              </w:rPr>
            </w:pPr>
            <w:r w:rsidRPr="002730F6">
              <w:rPr>
                <w:rFonts w:ascii="Arial" w:hAnsi="Arial" w:cs="Arial"/>
              </w:rPr>
              <w:t>0.41</w:t>
            </w:r>
            <w:r w:rsidR="00322A5B" w:rsidRPr="002730F6">
              <w:rPr>
                <w:rFonts w:ascii="Arial" w:hAnsi="Arial" w:cs="Arial"/>
              </w:rPr>
              <w:t>±</w:t>
            </w:r>
            <w:r w:rsidR="00D31B2C" w:rsidRPr="002730F6">
              <w:rPr>
                <w:rFonts w:ascii="Arial" w:hAnsi="Arial" w:cs="Arial"/>
              </w:rPr>
              <w:t>0.01</w:t>
            </w:r>
          </w:p>
        </w:tc>
        <w:tc>
          <w:tcPr>
            <w:tcW w:w="1157" w:type="dxa"/>
            <w:tcBorders>
              <w:top w:val="single" w:sz="4" w:space="0" w:color="auto"/>
            </w:tcBorders>
            <w:noWrap/>
            <w:hideMark/>
          </w:tcPr>
          <w:p w14:paraId="7ED55AB5" w14:textId="77777777" w:rsidR="002F71B4" w:rsidRPr="002730F6" w:rsidRDefault="002F71B4" w:rsidP="001E566C">
            <w:pPr>
              <w:jc w:val="both"/>
              <w:rPr>
                <w:rFonts w:ascii="Arial" w:hAnsi="Arial" w:cs="Arial"/>
              </w:rPr>
            </w:pPr>
            <w:r w:rsidRPr="002730F6">
              <w:rPr>
                <w:rFonts w:ascii="Arial" w:hAnsi="Arial" w:cs="Arial"/>
              </w:rPr>
              <w:t>1.33</w:t>
            </w:r>
            <w:r w:rsidR="00D31B2C" w:rsidRPr="002730F6">
              <w:rPr>
                <w:rFonts w:ascii="Arial" w:hAnsi="Arial" w:cs="Arial"/>
              </w:rPr>
              <w:t>±0.03</w:t>
            </w:r>
          </w:p>
        </w:tc>
        <w:tc>
          <w:tcPr>
            <w:tcW w:w="1157" w:type="dxa"/>
            <w:tcBorders>
              <w:top w:val="single" w:sz="4" w:space="0" w:color="auto"/>
            </w:tcBorders>
            <w:noWrap/>
            <w:hideMark/>
          </w:tcPr>
          <w:p w14:paraId="5A05DAA6" w14:textId="77777777" w:rsidR="002F71B4" w:rsidRPr="002730F6" w:rsidRDefault="002F71B4" w:rsidP="001E566C">
            <w:pPr>
              <w:jc w:val="both"/>
              <w:rPr>
                <w:rFonts w:ascii="Arial" w:hAnsi="Arial" w:cs="Arial"/>
              </w:rPr>
            </w:pPr>
            <w:r w:rsidRPr="002730F6">
              <w:rPr>
                <w:rFonts w:ascii="Arial" w:hAnsi="Arial" w:cs="Arial"/>
              </w:rPr>
              <w:t>1.63</w:t>
            </w:r>
            <w:r w:rsidR="00D31B2C" w:rsidRPr="002730F6">
              <w:rPr>
                <w:rFonts w:ascii="Arial" w:hAnsi="Arial" w:cs="Arial"/>
              </w:rPr>
              <w:t>±0.04</w:t>
            </w:r>
          </w:p>
        </w:tc>
      </w:tr>
      <w:tr w:rsidR="002F71B4" w:rsidRPr="002730F6" w14:paraId="3DE41CBD" w14:textId="77777777" w:rsidTr="001E566C">
        <w:trPr>
          <w:trHeight w:val="575"/>
        </w:trPr>
        <w:tc>
          <w:tcPr>
            <w:tcW w:w="5272" w:type="dxa"/>
            <w:noWrap/>
            <w:hideMark/>
          </w:tcPr>
          <w:p w14:paraId="371E226D" w14:textId="77777777" w:rsidR="002F71B4" w:rsidRPr="002730F6" w:rsidRDefault="002F71B4" w:rsidP="001E566C">
            <w:pPr>
              <w:jc w:val="both"/>
              <w:rPr>
                <w:rFonts w:ascii="Arial" w:hAnsi="Arial" w:cs="Arial"/>
                <w:b/>
                <w:bCs/>
              </w:rPr>
            </w:pPr>
            <w:r w:rsidRPr="002730F6">
              <w:rPr>
                <w:rFonts w:ascii="Arial" w:hAnsi="Arial" w:cs="Arial"/>
                <w:b/>
                <w:bCs/>
              </w:rPr>
              <w:t>Mean Concentration of heavy metals in Shrimps</w:t>
            </w:r>
          </w:p>
        </w:tc>
        <w:tc>
          <w:tcPr>
            <w:tcW w:w="1157" w:type="dxa"/>
            <w:noWrap/>
            <w:hideMark/>
          </w:tcPr>
          <w:p w14:paraId="1A1B7ECD" w14:textId="77777777" w:rsidR="002F71B4" w:rsidRPr="002730F6" w:rsidRDefault="002F71B4" w:rsidP="001E566C">
            <w:pPr>
              <w:jc w:val="both"/>
              <w:rPr>
                <w:rFonts w:ascii="Arial" w:hAnsi="Arial" w:cs="Arial"/>
              </w:rPr>
            </w:pPr>
            <w:r w:rsidRPr="002730F6">
              <w:rPr>
                <w:rFonts w:ascii="Arial" w:hAnsi="Arial" w:cs="Arial"/>
              </w:rPr>
              <w:t>&lt;0.001</w:t>
            </w:r>
            <w:r w:rsidR="00D31B2C" w:rsidRPr="002730F6">
              <w:rPr>
                <w:rFonts w:ascii="Arial" w:hAnsi="Arial" w:cs="Arial"/>
              </w:rPr>
              <w:t>±0.00</w:t>
            </w:r>
          </w:p>
        </w:tc>
        <w:tc>
          <w:tcPr>
            <w:tcW w:w="1157" w:type="dxa"/>
            <w:noWrap/>
            <w:hideMark/>
          </w:tcPr>
          <w:p w14:paraId="2BDC31BA" w14:textId="77777777" w:rsidR="002F71B4" w:rsidRPr="002730F6" w:rsidRDefault="002F71B4" w:rsidP="001E566C">
            <w:pPr>
              <w:jc w:val="both"/>
              <w:rPr>
                <w:rFonts w:ascii="Arial" w:hAnsi="Arial" w:cs="Arial"/>
              </w:rPr>
            </w:pPr>
            <w:r w:rsidRPr="002730F6">
              <w:rPr>
                <w:rFonts w:ascii="Arial" w:hAnsi="Arial" w:cs="Arial"/>
              </w:rPr>
              <w:t>&lt;0.001</w:t>
            </w:r>
            <w:r w:rsidR="00D31B2C" w:rsidRPr="002730F6">
              <w:rPr>
                <w:rFonts w:ascii="Arial" w:hAnsi="Arial" w:cs="Arial"/>
              </w:rPr>
              <w:t>±0.00</w:t>
            </w:r>
          </w:p>
        </w:tc>
        <w:tc>
          <w:tcPr>
            <w:tcW w:w="1157" w:type="dxa"/>
            <w:noWrap/>
            <w:hideMark/>
          </w:tcPr>
          <w:p w14:paraId="396C6956" w14:textId="77777777" w:rsidR="002F71B4" w:rsidRPr="002730F6" w:rsidRDefault="002F71B4" w:rsidP="001E566C">
            <w:pPr>
              <w:jc w:val="both"/>
              <w:rPr>
                <w:rFonts w:ascii="Arial" w:hAnsi="Arial" w:cs="Arial"/>
              </w:rPr>
            </w:pPr>
            <w:r w:rsidRPr="002730F6">
              <w:rPr>
                <w:rFonts w:ascii="Arial" w:hAnsi="Arial" w:cs="Arial"/>
              </w:rPr>
              <w:t>0.672</w:t>
            </w:r>
            <w:r w:rsidR="00D31B2C" w:rsidRPr="002730F6">
              <w:rPr>
                <w:rFonts w:ascii="Arial" w:hAnsi="Arial" w:cs="Arial"/>
              </w:rPr>
              <w:t>±0.02</w:t>
            </w:r>
          </w:p>
        </w:tc>
        <w:tc>
          <w:tcPr>
            <w:tcW w:w="1157" w:type="dxa"/>
            <w:noWrap/>
            <w:hideMark/>
          </w:tcPr>
          <w:p w14:paraId="0F11EE00" w14:textId="77777777" w:rsidR="002F71B4" w:rsidRPr="002730F6" w:rsidRDefault="002F71B4" w:rsidP="001E566C">
            <w:pPr>
              <w:jc w:val="both"/>
              <w:rPr>
                <w:rFonts w:ascii="Arial" w:hAnsi="Arial" w:cs="Arial"/>
              </w:rPr>
            </w:pPr>
            <w:r w:rsidRPr="002730F6">
              <w:rPr>
                <w:rFonts w:ascii="Arial" w:hAnsi="Arial" w:cs="Arial"/>
              </w:rPr>
              <w:t>0.88</w:t>
            </w:r>
            <w:r w:rsidR="00D31B2C" w:rsidRPr="002730F6">
              <w:rPr>
                <w:rFonts w:ascii="Arial" w:hAnsi="Arial" w:cs="Arial"/>
              </w:rPr>
              <w:t>±0.02</w:t>
            </w:r>
          </w:p>
        </w:tc>
      </w:tr>
      <w:tr w:rsidR="002F71B4" w:rsidRPr="002730F6" w14:paraId="12FB6C00" w14:textId="77777777" w:rsidTr="001E566C">
        <w:trPr>
          <w:trHeight w:val="575"/>
        </w:trPr>
        <w:tc>
          <w:tcPr>
            <w:tcW w:w="5272" w:type="dxa"/>
            <w:noWrap/>
            <w:hideMark/>
          </w:tcPr>
          <w:p w14:paraId="732F54FA" w14:textId="77777777" w:rsidR="002F71B4" w:rsidRPr="002730F6" w:rsidRDefault="002F71B4" w:rsidP="001E566C">
            <w:pPr>
              <w:jc w:val="both"/>
              <w:rPr>
                <w:rFonts w:ascii="Arial" w:hAnsi="Arial" w:cs="Arial"/>
                <w:b/>
                <w:bCs/>
              </w:rPr>
            </w:pPr>
            <w:r w:rsidRPr="002730F6">
              <w:rPr>
                <w:rFonts w:ascii="Arial" w:hAnsi="Arial" w:cs="Arial"/>
                <w:b/>
                <w:bCs/>
              </w:rPr>
              <w:t>Mean Concentration of heavy metals in Periwinkles</w:t>
            </w:r>
          </w:p>
        </w:tc>
        <w:tc>
          <w:tcPr>
            <w:tcW w:w="1157" w:type="dxa"/>
            <w:noWrap/>
            <w:hideMark/>
          </w:tcPr>
          <w:p w14:paraId="79DBDE3F" w14:textId="77777777" w:rsidR="002F71B4" w:rsidRPr="002730F6" w:rsidRDefault="002F71B4" w:rsidP="001E566C">
            <w:pPr>
              <w:jc w:val="both"/>
              <w:rPr>
                <w:rFonts w:ascii="Arial" w:hAnsi="Arial" w:cs="Arial"/>
              </w:rPr>
            </w:pPr>
            <w:r w:rsidRPr="002730F6">
              <w:rPr>
                <w:rFonts w:ascii="Arial" w:hAnsi="Arial" w:cs="Arial"/>
              </w:rPr>
              <w:t>0.32</w:t>
            </w:r>
            <w:r w:rsidR="00D31B2C" w:rsidRPr="002730F6">
              <w:rPr>
                <w:rFonts w:ascii="Arial" w:hAnsi="Arial" w:cs="Arial"/>
              </w:rPr>
              <w:t>±0.00</w:t>
            </w:r>
          </w:p>
        </w:tc>
        <w:tc>
          <w:tcPr>
            <w:tcW w:w="1157" w:type="dxa"/>
            <w:noWrap/>
            <w:hideMark/>
          </w:tcPr>
          <w:p w14:paraId="02EA1897" w14:textId="77777777" w:rsidR="002F71B4" w:rsidRPr="002730F6" w:rsidRDefault="002F71B4" w:rsidP="001E566C">
            <w:pPr>
              <w:jc w:val="both"/>
              <w:rPr>
                <w:rFonts w:ascii="Arial" w:hAnsi="Arial" w:cs="Arial"/>
              </w:rPr>
            </w:pPr>
            <w:r w:rsidRPr="002730F6">
              <w:rPr>
                <w:rFonts w:ascii="Arial" w:hAnsi="Arial" w:cs="Arial"/>
              </w:rPr>
              <w:t>0.16</w:t>
            </w:r>
            <w:r w:rsidR="00D31B2C" w:rsidRPr="002730F6">
              <w:rPr>
                <w:rFonts w:ascii="Arial" w:hAnsi="Arial" w:cs="Arial"/>
              </w:rPr>
              <w:t>±0.01</w:t>
            </w:r>
          </w:p>
        </w:tc>
        <w:tc>
          <w:tcPr>
            <w:tcW w:w="1157" w:type="dxa"/>
            <w:noWrap/>
            <w:hideMark/>
          </w:tcPr>
          <w:p w14:paraId="69BE1C83" w14:textId="77777777" w:rsidR="002F71B4" w:rsidRPr="002730F6" w:rsidRDefault="002F71B4" w:rsidP="001E566C">
            <w:pPr>
              <w:jc w:val="both"/>
              <w:rPr>
                <w:rFonts w:ascii="Arial" w:hAnsi="Arial" w:cs="Arial"/>
              </w:rPr>
            </w:pPr>
            <w:r w:rsidRPr="002730F6">
              <w:rPr>
                <w:rFonts w:ascii="Arial" w:hAnsi="Arial" w:cs="Arial"/>
              </w:rPr>
              <w:t>1.04</w:t>
            </w:r>
            <w:r w:rsidR="00D31B2C" w:rsidRPr="002730F6">
              <w:rPr>
                <w:rFonts w:ascii="Arial" w:hAnsi="Arial" w:cs="Arial"/>
              </w:rPr>
              <w:t>±0.05</w:t>
            </w:r>
          </w:p>
        </w:tc>
        <w:tc>
          <w:tcPr>
            <w:tcW w:w="1157" w:type="dxa"/>
            <w:noWrap/>
            <w:hideMark/>
          </w:tcPr>
          <w:p w14:paraId="3D58CE9F" w14:textId="77777777" w:rsidR="002F71B4" w:rsidRPr="002730F6" w:rsidRDefault="002F71B4" w:rsidP="001E566C">
            <w:pPr>
              <w:jc w:val="both"/>
              <w:rPr>
                <w:rFonts w:ascii="Arial" w:hAnsi="Arial" w:cs="Arial"/>
              </w:rPr>
            </w:pPr>
            <w:r w:rsidRPr="002730F6">
              <w:rPr>
                <w:rFonts w:ascii="Arial" w:hAnsi="Arial" w:cs="Arial"/>
              </w:rPr>
              <w:t>1.24</w:t>
            </w:r>
            <w:r w:rsidR="00D31B2C" w:rsidRPr="002730F6">
              <w:rPr>
                <w:rFonts w:ascii="Arial" w:hAnsi="Arial" w:cs="Arial"/>
              </w:rPr>
              <w:t>±0.04</w:t>
            </w:r>
          </w:p>
        </w:tc>
      </w:tr>
      <w:tr w:rsidR="002F71B4" w:rsidRPr="002730F6" w14:paraId="740FFB85" w14:textId="77777777" w:rsidTr="001E566C">
        <w:trPr>
          <w:trHeight w:val="575"/>
        </w:trPr>
        <w:tc>
          <w:tcPr>
            <w:tcW w:w="5272" w:type="dxa"/>
            <w:noWrap/>
            <w:hideMark/>
          </w:tcPr>
          <w:p w14:paraId="526B055B" w14:textId="77777777" w:rsidR="002F71B4" w:rsidRPr="002730F6" w:rsidRDefault="002F71B4" w:rsidP="001E566C">
            <w:pPr>
              <w:jc w:val="both"/>
              <w:rPr>
                <w:rFonts w:ascii="Arial" w:hAnsi="Arial" w:cs="Arial"/>
                <w:b/>
                <w:bCs/>
              </w:rPr>
            </w:pPr>
            <w:r w:rsidRPr="002730F6">
              <w:rPr>
                <w:rFonts w:ascii="Arial" w:hAnsi="Arial" w:cs="Arial"/>
              </w:rPr>
              <w:t xml:space="preserve"> </w:t>
            </w:r>
            <w:proofErr w:type="spellStart"/>
            <w:r w:rsidRPr="002730F6">
              <w:rPr>
                <w:rFonts w:ascii="Arial" w:hAnsi="Arial" w:cs="Arial"/>
              </w:rPr>
              <w:t>RFDos</w:t>
            </w:r>
            <w:proofErr w:type="spellEnd"/>
          </w:p>
        </w:tc>
        <w:tc>
          <w:tcPr>
            <w:tcW w:w="1157" w:type="dxa"/>
            <w:noWrap/>
            <w:hideMark/>
          </w:tcPr>
          <w:p w14:paraId="6EB9473A" w14:textId="77777777" w:rsidR="002F71B4" w:rsidRPr="002730F6" w:rsidRDefault="002F71B4" w:rsidP="001E566C">
            <w:pPr>
              <w:jc w:val="both"/>
              <w:rPr>
                <w:rFonts w:ascii="Arial" w:hAnsi="Arial" w:cs="Arial"/>
              </w:rPr>
            </w:pPr>
            <w:r w:rsidRPr="002730F6">
              <w:rPr>
                <w:rFonts w:ascii="Arial" w:hAnsi="Arial" w:cs="Arial"/>
              </w:rPr>
              <w:t>0.02</w:t>
            </w:r>
          </w:p>
        </w:tc>
        <w:tc>
          <w:tcPr>
            <w:tcW w:w="1157" w:type="dxa"/>
            <w:noWrap/>
            <w:hideMark/>
          </w:tcPr>
          <w:p w14:paraId="54EE6DBC" w14:textId="77777777" w:rsidR="002F71B4" w:rsidRPr="002730F6" w:rsidRDefault="002F71B4" w:rsidP="001E566C">
            <w:pPr>
              <w:jc w:val="both"/>
              <w:rPr>
                <w:rFonts w:ascii="Arial" w:hAnsi="Arial" w:cs="Arial"/>
              </w:rPr>
            </w:pPr>
            <w:r w:rsidRPr="002730F6">
              <w:rPr>
                <w:rFonts w:ascii="Arial" w:hAnsi="Arial" w:cs="Arial"/>
              </w:rPr>
              <w:t>0</w:t>
            </w:r>
          </w:p>
        </w:tc>
        <w:tc>
          <w:tcPr>
            <w:tcW w:w="1157" w:type="dxa"/>
            <w:noWrap/>
            <w:hideMark/>
          </w:tcPr>
          <w:p w14:paraId="59F4B444" w14:textId="77777777" w:rsidR="002F71B4" w:rsidRPr="002730F6" w:rsidRDefault="002F71B4" w:rsidP="001E566C">
            <w:pPr>
              <w:jc w:val="both"/>
              <w:rPr>
                <w:rFonts w:ascii="Arial" w:hAnsi="Arial" w:cs="Arial"/>
              </w:rPr>
            </w:pPr>
            <w:r w:rsidRPr="002730F6">
              <w:rPr>
                <w:rFonts w:ascii="Arial" w:hAnsi="Arial" w:cs="Arial"/>
              </w:rPr>
              <w:t>0</w:t>
            </w:r>
          </w:p>
        </w:tc>
        <w:tc>
          <w:tcPr>
            <w:tcW w:w="1157" w:type="dxa"/>
            <w:noWrap/>
            <w:hideMark/>
          </w:tcPr>
          <w:p w14:paraId="1BB46EEB" w14:textId="77777777" w:rsidR="002F71B4" w:rsidRPr="002730F6" w:rsidRDefault="002F71B4" w:rsidP="001E566C">
            <w:pPr>
              <w:jc w:val="both"/>
              <w:rPr>
                <w:rFonts w:ascii="Arial" w:hAnsi="Arial" w:cs="Arial"/>
              </w:rPr>
            </w:pPr>
            <w:r w:rsidRPr="002730F6">
              <w:rPr>
                <w:rFonts w:ascii="Arial" w:hAnsi="Arial" w:cs="Arial"/>
              </w:rPr>
              <w:t>0</w:t>
            </w:r>
          </w:p>
        </w:tc>
      </w:tr>
      <w:tr w:rsidR="002F71B4" w:rsidRPr="002730F6" w14:paraId="5AEA3329" w14:textId="77777777" w:rsidTr="001E566C">
        <w:trPr>
          <w:trHeight w:val="575"/>
        </w:trPr>
        <w:tc>
          <w:tcPr>
            <w:tcW w:w="5272" w:type="dxa"/>
            <w:noWrap/>
            <w:hideMark/>
          </w:tcPr>
          <w:p w14:paraId="24310877" w14:textId="77777777" w:rsidR="002F71B4" w:rsidRPr="002730F6" w:rsidRDefault="002F71B4" w:rsidP="001E566C">
            <w:pPr>
              <w:jc w:val="both"/>
              <w:rPr>
                <w:rFonts w:ascii="Arial" w:hAnsi="Arial" w:cs="Arial"/>
                <w:b/>
                <w:bCs/>
              </w:rPr>
            </w:pPr>
            <w:r w:rsidRPr="002730F6">
              <w:rPr>
                <w:rFonts w:ascii="Arial" w:hAnsi="Arial" w:cs="Arial"/>
                <w:b/>
                <w:bCs/>
              </w:rPr>
              <w:t>THQ in Crabs</w:t>
            </w:r>
          </w:p>
        </w:tc>
        <w:tc>
          <w:tcPr>
            <w:tcW w:w="1157" w:type="dxa"/>
            <w:noWrap/>
            <w:hideMark/>
          </w:tcPr>
          <w:p w14:paraId="081E8D7B" w14:textId="77777777" w:rsidR="002F71B4" w:rsidRPr="002730F6" w:rsidRDefault="002F71B4" w:rsidP="001E566C">
            <w:pPr>
              <w:jc w:val="both"/>
              <w:rPr>
                <w:rFonts w:ascii="Arial" w:hAnsi="Arial" w:cs="Arial"/>
              </w:rPr>
            </w:pPr>
            <w:r w:rsidRPr="002730F6">
              <w:rPr>
                <w:rFonts w:ascii="Arial" w:hAnsi="Arial" w:cs="Arial"/>
              </w:rPr>
              <w:t>4.47E-02</w:t>
            </w:r>
          </w:p>
        </w:tc>
        <w:tc>
          <w:tcPr>
            <w:tcW w:w="1157" w:type="dxa"/>
            <w:noWrap/>
            <w:hideMark/>
          </w:tcPr>
          <w:p w14:paraId="17266FC4" w14:textId="77777777" w:rsidR="002F71B4" w:rsidRPr="002730F6" w:rsidRDefault="002F71B4" w:rsidP="001E566C">
            <w:pPr>
              <w:jc w:val="both"/>
              <w:rPr>
                <w:rFonts w:ascii="Arial" w:hAnsi="Arial" w:cs="Arial"/>
              </w:rPr>
            </w:pPr>
            <w:r w:rsidRPr="002730F6">
              <w:rPr>
                <w:rFonts w:ascii="Arial" w:hAnsi="Arial" w:cs="Arial"/>
              </w:rPr>
              <w:t>1.12E-01</w:t>
            </w:r>
          </w:p>
        </w:tc>
        <w:tc>
          <w:tcPr>
            <w:tcW w:w="1157" w:type="dxa"/>
            <w:noWrap/>
            <w:hideMark/>
          </w:tcPr>
          <w:p w14:paraId="389A8201" w14:textId="77777777" w:rsidR="002F71B4" w:rsidRPr="002730F6" w:rsidRDefault="002F71B4" w:rsidP="001E566C">
            <w:pPr>
              <w:jc w:val="both"/>
              <w:rPr>
                <w:rFonts w:ascii="Arial" w:hAnsi="Arial" w:cs="Arial"/>
              </w:rPr>
            </w:pPr>
            <w:r w:rsidRPr="002730F6">
              <w:rPr>
                <w:rFonts w:ascii="Arial" w:hAnsi="Arial" w:cs="Arial"/>
              </w:rPr>
              <w:t>2.24E-01</w:t>
            </w:r>
          </w:p>
        </w:tc>
        <w:tc>
          <w:tcPr>
            <w:tcW w:w="1157" w:type="dxa"/>
            <w:noWrap/>
            <w:hideMark/>
          </w:tcPr>
          <w:p w14:paraId="1A7A2500" w14:textId="77777777" w:rsidR="002F71B4" w:rsidRPr="002730F6" w:rsidRDefault="002F71B4" w:rsidP="001E566C">
            <w:pPr>
              <w:jc w:val="both"/>
              <w:rPr>
                <w:rFonts w:ascii="Arial" w:hAnsi="Arial" w:cs="Arial"/>
              </w:rPr>
            </w:pPr>
            <w:r w:rsidRPr="002730F6">
              <w:rPr>
                <w:rFonts w:ascii="Arial" w:hAnsi="Arial" w:cs="Arial"/>
              </w:rPr>
              <w:t>2.74E-01</w:t>
            </w:r>
          </w:p>
        </w:tc>
      </w:tr>
      <w:tr w:rsidR="002F71B4" w:rsidRPr="002730F6" w14:paraId="3198D66F" w14:textId="77777777" w:rsidTr="001E566C">
        <w:trPr>
          <w:trHeight w:val="575"/>
        </w:trPr>
        <w:tc>
          <w:tcPr>
            <w:tcW w:w="5272" w:type="dxa"/>
            <w:noWrap/>
            <w:hideMark/>
          </w:tcPr>
          <w:p w14:paraId="65B994A4" w14:textId="77777777" w:rsidR="002F71B4" w:rsidRPr="002730F6" w:rsidRDefault="002F71B4" w:rsidP="001E566C">
            <w:pPr>
              <w:jc w:val="both"/>
              <w:rPr>
                <w:rFonts w:ascii="Arial" w:hAnsi="Arial" w:cs="Arial"/>
                <w:b/>
                <w:bCs/>
              </w:rPr>
            </w:pPr>
            <w:r w:rsidRPr="002730F6">
              <w:rPr>
                <w:rFonts w:ascii="Arial" w:hAnsi="Arial" w:cs="Arial"/>
                <w:b/>
                <w:bCs/>
              </w:rPr>
              <w:t>THQ in Shrimps</w:t>
            </w:r>
          </w:p>
        </w:tc>
        <w:tc>
          <w:tcPr>
            <w:tcW w:w="1157" w:type="dxa"/>
            <w:noWrap/>
            <w:hideMark/>
          </w:tcPr>
          <w:p w14:paraId="1B88553C" w14:textId="77777777" w:rsidR="002F71B4" w:rsidRPr="002730F6" w:rsidRDefault="002F71B4" w:rsidP="001E566C">
            <w:pPr>
              <w:jc w:val="both"/>
              <w:rPr>
                <w:rFonts w:ascii="Arial" w:hAnsi="Arial" w:cs="Arial"/>
              </w:rPr>
            </w:pPr>
            <w:r w:rsidRPr="002730F6">
              <w:rPr>
                <w:rFonts w:ascii="Arial" w:hAnsi="Arial" w:cs="Arial"/>
              </w:rPr>
              <w:t>0</w:t>
            </w:r>
          </w:p>
        </w:tc>
        <w:tc>
          <w:tcPr>
            <w:tcW w:w="1157" w:type="dxa"/>
            <w:noWrap/>
            <w:hideMark/>
          </w:tcPr>
          <w:p w14:paraId="583AA9B9" w14:textId="77777777" w:rsidR="002F71B4" w:rsidRPr="002730F6" w:rsidRDefault="002F71B4" w:rsidP="001E566C">
            <w:pPr>
              <w:jc w:val="both"/>
              <w:rPr>
                <w:rFonts w:ascii="Arial" w:hAnsi="Arial" w:cs="Arial"/>
              </w:rPr>
            </w:pPr>
            <w:r w:rsidRPr="002730F6">
              <w:rPr>
                <w:rFonts w:ascii="Arial" w:hAnsi="Arial" w:cs="Arial"/>
              </w:rPr>
              <w:t>0</w:t>
            </w:r>
          </w:p>
        </w:tc>
        <w:tc>
          <w:tcPr>
            <w:tcW w:w="1157" w:type="dxa"/>
            <w:noWrap/>
            <w:hideMark/>
          </w:tcPr>
          <w:p w14:paraId="5D8E109F" w14:textId="77777777" w:rsidR="002F71B4" w:rsidRPr="002730F6" w:rsidRDefault="002F71B4" w:rsidP="001E566C">
            <w:pPr>
              <w:jc w:val="both"/>
              <w:rPr>
                <w:rFonts w:ascii="Arial" w:hAnsi="Arial" w:cs="Arial"/>
              </w:rPr>
            </w:pPr>
            <w:r w:rsidRPr="002730F6">
              <w:rPr>
                <w:rFonts w:ascii="Arial" w:hAnsi="Arial" w:cs="Arial"/>
              </w:rPr>
              <w:t>1.01E-01</w:t>
            </w:r>
          </w:p>
        </w:tc>
        <w:tc>
          <w:tcPr>
            <w:tcW w:w="1157" w:type="dxa"/>
            <w:noWrap/>
            <w:hideMark/>
          </w:tcPr>
          <w:p w14:paraId="2E208B9D" w14:textId="77777777" w:rsidR="002F71B4" w:rsidRPr="002730F6" w:rsidRDefault="002F71B4" w:rsidP="001E566C">
            <w:pPr>
              <w:jc w:val="both"/>
              <w:rPr>
                <w:rFonts w:ascii="Arial" w:hAnsi="Arial" w:cs="Arial"/>
              </w:rPr>
            </w:pPr>
            <w:r w:rsidRPr="002730F6">
              <w:rPr>
                <w:rFonts w:ascii="Arial" w:hAnsi="Arial" w:cs="Arial"/>
              </w:rPr>
              <w:t>1.32E-01</w:t>
            </w:r>
          </w:p>
        </w:tc>
      </w:tr>
      <w:tr w:rsidR="002F71B4" w:rsidRPr="002730F6" w14:paraId="74D051A8" w14:textId="77777777" w:rsidTr="001E566C">
        <w:trPr>
          <w:trHeight w:val="575"/>
        </w:trPr>
        <w:tc>
          <w:tcPr>
            <w:tcW w:w="5272" w:type="dxa"/>
            <w:noWrap/>
            <w:hideMark/>
          </w:tcPr>
          <w:p w14:paraId="4F673657" w14:textId="77777777" w:rsidR="002F71B4" w:rsidRPr="002730F6" w:rsidRDefault="002F71B4" w:rsidP="001E566C">
            <w:pPr>
              <w:jc w:val="both"/>
              <w:rPr>
                <w:rFonts w:ascii="Arial" w:hAnsi="Arial" w:cs="Arial"/>
                <w:b/>
                <w:bCs/>
              </w:rPr>
            </w:pPr>
            <w:r w:rsidRPr="002730F6">
              <w:rPr>
                <w:rFonts w:ascii="Arial" w:hAnsi="Arial" w:cs="Arial"/>
                <w:b/>
                <w:bCs/>
              </w:rPr>
              <w:lastRenderedPageBreak/>
              <w:t>THQ in Periwinkles</w:t>
            </w:r>
          </w:p>
        </w:tc>
        <w:tc>
          <w:tcPr>
            <w:tcW w:w="1157" w:type="dxa"/>
            <w:noWrap/>
            <w:hideMark/>
          </w:tcPr>
          <w:p w14:paraId="459C9586" w14:textId="77777777" w:rsidR="002F71B4" w:rsidRPr="002730F6" w:rsidRDefault="002F71B4" w:rsidP="001E566C">
            <w:pPr>
              <w:jc w:val="both"/>
              <w:rPr>
                <w:rFonts w:ascii="Arial" w:hAnsi="Arial" w:cs="Arial"/>
              </w:rPr>
            </w:pPr>
            <w:r w:rsidRPr="002730F6">
              <w:rPr>
                <w:rFonts w:ascii="Arial" w:hAnsi="Arial" w:cs="Arial"/>
              </w:rPr>
              <w:t>6.42E-02</w:t>
            </w:r>
          </w:p>
        </w:tc>
        <w:tc>
          <w:tcPr>
            <w:tcW w:w="1157" w:type="dxa"/>
            <w:noWrap/>
            <w:hideMark/>
          </w:tcPr>
          <w:p w14:paraId="2321216E" w14:textId="77777777" w:rsidR="002F71B4" w:rsidRPr="002730F6" w:rsidRDefault="002F71B4" w:rsidP="001E566C">
            <w:pPr>
              <w:jc w:val="both"/>
              <w:rPr>
                <w:rFonts w:ascii="Arial" w:hAnsi="Arial" w:cs="Arial"/>
              </w:rPr>
            </w:pPr>
            <w:r w:rsidRPr="002730F6">
              <w:rPr>
                <w:rFonts w:ascii="Arial" w:hAnsi="Arial" w:cs="Arial"/>
              </w:rPr>
              <w:t>3.21E-02</w:t>
            </w:r>
          </w:p>
        </w:tc>
        <w:tc>
          <w:tcPr>
            <w:tcW w:w="1157" w:type="dxa"/>
            <w:noWrap/>
            <w:hideMark/>
          </w:tcPr>
          <w:p w14:paraId="490C3414" w14:textId="77777777" w:rsidR="002F71B4" w:rsidRPr="002730F6" w:rsidRDefault="002F71B4" w:rsidP="001E566C">
            <w:pPr>
              <w:jc w:val="both"/>
              <w:rPr>
                <w:rFonts w:ascii="Arial" w:hAnsi="Arial" w:cs="Arial"/>
              </w:rPr>
            </w:pPr>
            <w:r w:rsidRPr="002730F6">
              <w:rPr>
                <w:rFonts w:ascii="Arial" w:hAnsi="Arial" w:cs="Arial"/>
              </w:rPr>
              <w:t>1.21E-01</w:t>
            </w:r>
          </w:p>
        </w:tc>
        <w:tc>
          <w:tcPr>
            <w:tcW w:w="1157" w:type="dxa"/>
            <w:noWrap/>
            <w:hideMark/>
          </w:tcPr>
          <w:p w14:paraId="7436C92A" w14:textId="77777777" w:rsidR="002F71B4" w:rsidRPr="002730F6" w:rsidRDefault="002F71B4" w:rsidP="001E566C">
            <w:pPr>
              <w:jc w:val="both"/>
              <w:rPr>
                <w:rFonts w:ascii="Arial" w:hAnsi="Arial" w:cs="Arial"/>
              </w:rPr>
            </w:pPr>
            <w:r w:rsidRPr="002730F6">
              <w:rPr>
                <w:rFonts w:ascii="Arial" w:hAnsi="Arial" w:cs="Arial"/>
              </w:rPr>
              <w:t>1.44E-01</w:t>
            </w:r>
          </w:p>
        </w:tc>
      </w:tr>
    </w:tbl>
    <w:p w14:paraId="76D98E8B" w14:textId="77777777" w:rsidR="002F71B4" w:rsidRPr="002730F6" w:rsidRDefault="002F71B4" w:rsidP="002F71B4">
      <w:pPr>
        <w:spacing w:before="240" w:line="360" w:lineRule="auto"/>
        <w:jc w:val="both"/>
        <w:rPr>
          <w:rFonts w:ascii="Arial" w:hAnsi="Arial" w:cs="Arial"/>
        </w:rPr>
      </w:pPr>
      <w:r w:rsidRPr="002730F6">
        <w:rPr>
          <w:rFonts w:ascii="Arial" w:hAnsi="Arial" w:cs="Arial"/>
          <w:b/>
          <w:bCs/>
        </w:rPr>
        <w:t>Note:</w:t>
      </w:r>
      <w:r w:rsidRPr="002730F6">
        <w:rPr>
          <w:rFonts w:ascii="Arial" w:hAnsi="Arial" w:cs="Arial"/>
        </w:rPr>
        <w:t xml:space="preserve"> THQ: total hazard quotient, THQs: total hazard quotients and </w:t>
      </w:r>
      <w:proofErr w:type="spellStart"/>
      <w:r w:rsidRPr="002730F6">
        <w:rPr>
          <w:rFonts w:ascii="Arial" w:hAnsi="Arial" w:cs="Arial"/>
        </w:rPr>
        <w:t>RFDos</w:t>
      </w:r>
      <w:proofErr w:type="spellEnd"/>
      <w:r w:rsidRPr="002730F6">
        <w:rPr>
          <w:rFonts w:ascii="Arial" w:hAnsi="Arial" w:cs="Arial"/>
        </w:rPr>
        <w:t>: reference dosage</w:t>
      </w:r>
    </w:p>
    <w:p w14:paraId="133E55B9" w14:textId="77777777" w:rsidR="002F71B4" w:rsidRPr="002730F6" w:rsidRDefault="002F71B4" w:rsidP="002F71B4">
      <w:pPr>
        <w:spacing w:before="240" w:line="360" w:lineRule="auto"/>
        <w:jc w:val="both"/>
        <w:rPr>
          <w:rFonts w:ascii="Arial" w:hAnsi="Arial" w:cs="Arial"/>
        </w:rPr>
      </w:pPr>
      <w:r w:rsidRPr="002730F6">
        <w:rPr>
          <w:rFonts w:ascii="Arial" w:hAnsi="Arial" w:cs="Arial"/>
        </w:rPr>
        <w:t>Analyzing the THQ values, it is evident that Pb poses the highest health risk among the studied heavy metals in both wet and dry seasons. For instance, th</w:t>
      </w:r>
      <w:r w:rsidR="00C44315" w:rsidRPr="002730F6">
        <w:rPr>
          <w:rFonts w:ascii="Arial" w:hAnsi="Arial" w:cs="Arial"/>
        </w:rPr>
        <w:t>e THQ values for lead in Crabs we</w:t>
      </w:r>
      <w:r w:rsidRPr="002730F6">
        <w:rPr>
          <w:rFonts w:ascii="Arial" w:hAnsi="Arial" w:cs="Arial"/>
        </w:rPr>
        <w:t>re 0.224 in the wet season and 0.274 in the dry season, while in Shrimps, the values were 0.101 in the wet season and 0.132 in t</w:t>
      </w:r>
      <w:r w:rsidR="00C44315" w:rsidRPr="002730F6">
        <w:rPr>
          <w:rFonts w:ascii="Arial" w:hAnsi="Arial" w:cs="Arial"/>
        </w:rPr>
        <w:t>he dry season. Periwinkles showed THQ values for lead were</w:t>
      </w:r>
      <w:r w:rsidRPr="002730F6">
        <w:rPr>
          <w:rFonts w:ascii="Arial" w:hAnsi="Arial" w:cs="Arial"/>
        </w:rPr>
        <w:t xml:space="preserve"> 0.121 in the wet season and 0.144 in the dry season. These values exceed the </w:t>
      </w:r>
      <w:proofErr w:type="spellStart"/>
      <w:r w:rsidRPr="002730F6">
        <w:rPr>
          <w:rFonts w:ascii="Arial" w:hAnsi="Arial" w:cs="Arial"/>
        </w:rPr>
        <w:t>RFDos</w:t>
      </w:r>
      <w:proofErr w:type="spellEnd"/>
      <w:r w:rsidRPr="002730F6">
        <w:rPr>
          <w:rFonts w:ascii="Arial" w:hAnsi="Arial" w:cs="Arial"/>
        </w:rPr>
        <w:t xml:space="preserve"> for lead, indicating that exposure to lead through the consumption of these seafood samples may potentially exceed safe levels and pose health risks to consumers.</w:t>
      </w:r>
    </w:p>
    <w:p w14:paraId="596B4AFC" w14:textId="77777777" w:rsidR="007E3A6E" w:rsidRPr="002730F6" w:rsidRDefault="002F71B4" w:rsidP="007E3A6E">
      <w:pPr>
        <w:spacing w:before="240" w:line="360" w:lineRule="auto"/>
        <w:jc w:val="both"/>
        <w:rPr>
          <w:rFonts w:ascii="Times New Roman" w:hAnsi="Times New Roman"/>
          <w:sz w:val="24"/>
          <w:szCs w:val="24"/>
        </w:rPr>
      </w:pPr>
      <w:r w:rsidRPr="002730F6">
        <w:rPr>
          <w:rFonts w:ascii="Arial" w:hAnsi="Arial" w:cs="Arial"/>
        </w:rPr>
        <w:t>Similarly, cadmium exhibits significant health risks, especially in Periwinkle</w:t>
      </w:r>
      <w:r w:rsidR="00C44315" w:rsidRPr="002730F6">
        <w:rPr>
          <w:rFonts w:ascii="Arial" w:hAnsi="Arial" w:cs="Arial"/>
        </w:rPr>
        <w:t>s samples, where the THQ value wa</w:t>
      </w:r>
      <w:r w:rsidRPr="002730F6">
        <w:rPr>
          <w:rFonts w:ascii="Arial" w:hAnsi="Arial" w:cs="Arial"/>
        </w:rPr>
        <w:t xml:space="preserve">s 0.0642 in the wet season and 0.0321 in the dry season, surpassing the </w:t>
      </w:r>
      <w:proofErr w:type="spellStart"/>
      <w:r w:rsidRPr="002730F6">
        <w:rPr>
          <w:rFonts w:ascii="Arial" w:hAnsi="Arial" w:cs="Arial"/>
        </w:rPr>
        <w:t>RFDos</w:t>
      </w:r>
      <w:proofErr w:type="spellEnd"/>
      <w:r w:rsidRPr="002730F6">
        <w:rPr>
          <w:rFonts w:ascii="Arial" w:hAnsi="Arial" w:cs="Arial"/>
        </w:rPr>
        <w:t xml:space="preserve"> for cadmium.</w:t>
      </w:r>
      <w:r w:rsidR="00C44315" w:rsidRPr="002730F6">
        <w:rPr>
          <w:rFonts w:ascii="Arial" w:hAnsi="Arial" w:cs="Arial"/>
        </w:rPr>
        <w:t xml:space="preserve"> In Crabs, the THQ for cadmium wa</w:t>
      </w:r>
      <w:r w:rsidRPr="002730F6">
        <w:rPr>
          <w:rFonts w:ascii="Arial" w:hAnsi="Arial" w:cs="Arial"/>
        </w:rPr>
        <w:t>s lower but still notable, with values of 0.0447 in the wet season and 0.112 in the dry season, indicating a considerable health risk</w:t>
      </w:r>
      <w:r w:rsidR="007E3A6E" w:rsidRPr="002730F6">
        <w:rPr>
          <w:rFonts w:ascii="Arial" w:hAnsi="Arial" w:cs="Arial"/>
        </w:rPr>
        <w:t xml:space="preserve"> over prolonged consumptions</w:t>
      </w:r>
      <w:r w:rsidRPr="002730F6">
        <w:rPr>
          <w:rFonts w:ascii="Arial" w:hAnsi="Arial" w:cs="Arial"/>
        </w:rPr>
        <w:t>. Although the THQ</w:t>
      </w:r>
      <w:r w:rsidR="00C44315" w:rsidRPr="002730F6">
        <w:rPr>
          <w:rFonts w:ascii="Arial" w:hAnsi="Arial" w:cs="Arial"/>
        </w:rPr>
        <w:t xml:space="preserve"> values for cadmium in Shrimps we</w:t>
      </w:r>
      <w:r w:rsidRPr="002730F6">
        <w:rPr>
          <w:rFonts w:ascii="Arial" w:hAnsi="Arial" w:cs="Arial"/>
        </w:rPr>
        <w:t>re not available due to concentrations being below the detection limit, it is crucial to acknowledge the potential risk associated with this heavy metal in seafood consumpt</w:t>
      </w:r>
      <w:r w:rsidR="00C44315" w:rsidRPr="002730F6">
        <w:rPr>
          <w:rFonts w:ascii="Arial" w:hAnsi="Arial" w:cs="Arial"/>
        </w:rPr>
        <w:t>ion. The seasonal analysis showed</w:t>
      </w:r>
      <w:r w:rsidRPr="002730F6">
        <w:rPr>
          <w:rFonts w:ascii="Arial" w:hAnsi="Arial" w:cs="Arial"/>
        </w:rPr>
        <w:t xml:space="preserve"> that the dry season tends to have higher concentrations of lead and cadmium in Crabs and Periwinkles, resulting in higher THQ values. This could be due to various environmental factors such as lower water levels concentrating pollutants or increased industrial activity during certain times of the year</w:t>
      </w:r>
      <w:r w:rsidR="008051E0" w:rsidRPr="002730F6">
        <w:rPr>
          <w:rFonts w:ascii="Arial" w:hAnsi="Arial" w:cs="Arial"/>
        </w:rPr>
        <w:t xml:space="preserve"> as well as increased physiological activities of these aquatic animals</w:t>
      </w:r>
      <w:r w:rsidRPr="002730F6">
        <w:rPr>
          <w:rFonts w:ascii="Arial" w:hAnsi="Arial" w:cs="Arial"/>
        </w:rPr>
        <w:t xml:space="preserve">. </w:t>
      </w:r>
      <w:r w:rsidR="008051E0" w:rsidRPr="002730F6">
        <w:rPr>
          <w:rFonts w:ascii="Arial" w:hAnsi="Arial" w:cs="Arial"/>
        </w:rPr>
        <w:t xml:space="preserve">However, </w:t>
      </w:r>
      <w:r w:rsidR="008051E0" w:rsidRPr="002730F6">
        <w:t>All the THQs were lower than the threshold value (1) and do not pose any hea</w:t>
      </w:r>
      <w:r w:rsidR="007C5936" w:rsidRPr="002730F6">
        <w:t xml:space="preserve">lth risks to the consumers. </w:t>
      </w:r>
      <w:r w:rsidR="00DE63A9" w:rsidRPr="002730F6">
        <w:t>Again, our report</w:t>
      </w:r>
      <w:r w:rsidR="007C5936" w:rsidRPr="002730F6">
        <w:t xml:space="preserve"> support</w:t>
      </w:r>
      <w:r w:rsidR="00DE63A9" w:rsidRPr="002730F6">
        <w:t xml:space="preserve">s </w:t>
      </w:r>
      <w:r w:rsidR="007C5936" w:rsidRPr="002730F6">
        <w:t xml:space="preserve">the findings </w:t>
      </w:r>
      <w:r w:rsidR="00872450">
        <w:t>of different researchers [52,53,54,55</w:t>
      </w:r>
      <w:r w:rsidR="00B039D3" w:rsidRPr="002730F6">
        <w:t>]</w:t>
      </w:r>
      <w:r w:rsidR="007C5936" w:rsidRPr="002730F6">
        <w:t>. Davies &amp; A</w:t>
      </w:r>
      <w:r w:rsidR="00872450">
        <w:rPr>
          <w:rFonts w:ascii="Arial" w:hAnsi="Arial" w:cs="Arial"/>
        </w:rPr>
        <w:t>nyanwu [55</w:t>
      </w:r>
      <w:r w:rsidR="00B039D3" w:rsidRPr="002730F6">
        <w:rPr>
          <w:rFonts w:ascii="Arial" w:hAnsi="Arial" w:cs="Arial"/>
        </w:rPr>
        <w:t>]</w:t>
      </w:r>
      <w:r w:rsidR="007C5936" w:rsidRPr="002730F6">
        <w:rPr>
          <w:rFonts w:ascii="Arial" w:hAnsi="Arial" w:cs="Arial"/>
        </w:rPr>
        <w:t>, stated that THQ was less than 1 in shrimps from a mangrove swamp in the Niger Delta</w:t>
      </w:r>
      <w:r w:rsidR="00872450">
        <w:rPr>
          <w:rFonts w:ascii="Arial" w:hAnsi="Arial" w:cs="Arial"/>
        </w:rPr>
        <w:t xml:space="preserve"> while Ahmed et al. [52</w:t>
      </w:r>
      <w:r w:rsidR="00B039D3" w:rsidRPr="002730F6">
        <w:rPr>
          <w:rFonts w:ascii="Arial" w:hAnsi="Arial" w:cs="Arial"/>
        </w:rPr>
        <w:t>]</w:t>
      </w:r>
      <w:r w:rsidR="00241423" w:rsidRPr="002730F6">
        <w:rPr>
          <w:rFonts w:ascii="Arial" w:hAnsi="Arial" w:cs="Arial"/>
        </w:rPr>
        <w:t xml:space="preserve"> reported a THQ less than 1 in crabs</w:t>
      </w:r>
      <w:r w:rsidR="007C5936" w:rsidRPr="002730F6">
        <w:rPr>
          <w:rFonts w:ascii="Arial" w:hAnsi="Arial" w:cs="Arial"/>
        </w:rPr>
        <w:t>.</w:t>
      </w:r>
      <w:r w:rsidR="008051E0" w:rsidRPr="002730F6">
        <w:t xml:space="preserve"> </w:t>
      </w:r>
      <w:r w:rsidR="007E3A6E" w:rsidRPr="002730F6">
        <w:rPr>
          <w:rFonts w:ascii="Arial" w:hAnsi="Arial" w:cs="Arial"/>
        </w:rPr>
        <w:t>If the target hazard quotient (THQ) number is less than 1, it is unlikely that the exposed population would experience any discernible negative consequences</w:t>
      </w:r>
      <w:r w:rsidR="00E528E2" w:rsidRPr="002730F6">
        <w:rPr>
          <w:rFonts w:ascii="Arial" w:hAnsi="Arial" w:cs="Arial"/>
        </w:rPr>
        <w:t xml:space="preserve"> </w:t>
      </w:r>
      <w:r w:rsidR="00A64519" w:rsidRPr="002730F6">
        <w:rPr>
          <w:rFonts w:ascii="Arial" w:hAnsi="Arial" w:cs="Arial"/>
        </w:rPr>
        <w:t>[</w:t>
      </w:r>
      <w:r w:rsidR="00872450">
        <w:rPr>
          <w:rFonts w:ascii="Arial" w:hAnsi="Arial" w:cs="Arial"/>
        </w:rPr>
        <w:t>56,57</w:t>
      </w:r>
      <w:r w:rsidR="004B42A5" w:rsidRPr="002730F6">
        <w:rPr>
          <w:rFonts w:ascii="Arial" w:hAnsi="Arial" w:cs="Arial"/>
        </w:rPr>
        <w:t>]</w:t>
      </w:r>
      <w:r w:rsidR="005614A4" w:rsidRPr="002730F6">
        <w:rPr>
          <w:rFonts w:ascii="Arial" w:hAnsi="Arial" w:cs="Arial"/>
        </w:rPr>
        <w:t>,</w:t>
      </w:r>
      <w:r w:rsidR="005614A4" w:rsidRPr="002730F6">
        <w:t xml:space="preserve"> therefore, such food could be consumed successfully.</w:t>
      </w:r>
      <w:r w:rsidR="007E3A6E" w:rsidRPr="002730F6">
        <w:rPr>
          <w:rFonts w:ascii="Arial" w:hAnsi="Arial" w:cs="Arial"/>
        </w:rPr>
        <w:t xml:space="preserve"> </w:t>
      </w:r>
    </w:p>
    <w:p w14:paraId="042888E8" w14:textId="77777777" w:rsidR="002F71B4" w:rsidRPr="002730F6" w:rsidRDefault="002F71B4" w:rsidP="002F71B4">
      <w:pPr>
        <w:spacing w:before="240" w:line="360" w:lineRule="auto"/>
        <w:jc w:val="both"/>
        <w:rPr>
          <w:rFonts w:ascii="Arial" w:hAnsi="Arial" w:cs="Arial"/>
        </w:rPr>
      </w:pPr>
    </w:p>
    <w:p w14:paraId="2218DA37" w14:textId="77777777" w:rsidR="002F71B4" w:rsidRPr="002730F6" w:rsidRDefault="002F71B4" w:rsidP="002F71B4">
      <w:pPr>
        <w:spacing w:before="240" w:line="360" w:lineRule="auto"/>
        <w:jc w:val="both"/>
        <w:rPr>
          <w:rFonts w:ascii="Arial" w:hAnsi="Arial" w:cs="Arial"/>
          <w:b/>
          <w:bCs/>
          <w:sz w:val="22"/>
          <w:szCs w:val="22"/>
        </w:rPr>
      </w:pPr>
      <w:r w:rsidRPr="002730F6">
        <w:rPr>
          <w:rFonts w:ascii="Arial" w:hAnsi="Arial" w:cs="Arial"/>
          <w:b/>
          <w:bCs/>
          <w:sz w:val="22"/>
          <w:szCs w:val="22"/>
        </w:rPr>
        <w:t>3.3.3 Health Risk Index (HRI) of heavy metals</w:t>
      </w:r>
    </w:p>
    <w:p w14:paraId="2E7830B8" w14:textId="77777777" w:rsidR="002F71B4" w:rsidRPr="002730F6" w:rsidRDefault="002F71B4" w:rsidP="002F71B4">
      <w:pPr>
        <w:spacing w:before="240" w:line="360" w:lineRule="auto"/>
        <w:jc w:val="both"/>
        <w:rPr>
          <w:rFonts w:ascii="Arial" w:hAnsi="Arial" w:cs="Arial"/>
        </w:rPr>
      </w:pPr>
      <w:r w:rsidRPr="002730F6">
        <w:rPr>
          <w:rFonts w:ascii="Arial" w:hAnsi="Arial" w:cs="Arial"/>
        </w:rPr>
        <w:t xml:space="preserve">In Table 3, the HRI of the heavy metals Cd and Pb in the analyzed seafood samples is presented. </w:t>
      </w:r>
    </w:p>
    <w:p w14:paraId="53F1DA49" w14:textId="77777777" w:rsidR="002F71B4" w:rsidRPr="002730F6" w:rsidRDefault="002F71B4" w:rsidP="002F71B4">
      <w:pPr>
        <w:spacing w:before="240" w:line="360" w:lineRule="auto"/>
        <w:jc w:val="both"/>
        <w:rPr>
          <w:rFonts w:ascii="Arial" w:hAnsi="Arial" w:cs="Arial"/>
        </w:rPr>
      </w:pPr>
      <w:r w:rsidRPr="002730F6">
        <w:rPr>
          <w:rFonts w:ascii="Arial" w:hAnsi="Arial" w:cs="Arial"/>
        </w:rPr>
        <w:t>Table 3: HRI of the studied heavy metals</w:t>
      </w:r>
    </w:p>
    <w:tbl>
      <w:tblPr>
        <w:tblStyle w:val="TableGrid"/>
        <w:tblW w:w="944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0"/>
        <w:gridCol w:w="1480"/>
        <w:gridCol w:w="1307"/>
        <w:gridCol w:w="1653"/>
        <w:gridCol w:w="1307"/>
        <w:gridCol w:w="1653"/>
      </w:tblGrid>
      <w:tr w:rsidR="002F71B4" w:rsidRPr="002730F6" w14:paraId="15A6993C" w14:textId="77777777" w:rsidTr="001E566C">
        <w:trPr>
          <w:trHeight w:val="285"/>
        </w:trPr>
        <w:tc>
          <w:tcPr>
            <w:tcW w:w="2040" w:type="dxa"/>
            <w:tcBorders>
              <w:top w:val="single" w:sz="4" w:space="0" w:color="auto"/>
              <w:bottom w:val="nil"/>
            </w:tcBorders>
            <w:noWrap/>
            <w:hideMark/>
          </w:tcPr>
          <w:p w14:paraId="004FFB64" w14:textId="77777777" w:rsidR="002F71B4" w:rsidRPr="002730F6" w:rsidRDefault="002F71B4" w:rsidP="001E566C">
            <w:pPr>
              <w:spacing w:before="240"/>
              <w:jc w:val="both"/>
              <w:rPr>
                <w:rFonts w:ascii="Arial" w:hAnsi="Arial" w:cs="Arial"/>
                <w:b/>
                <w:bCs/>
              </w:rPr>
            </w:pPr>
          </w:p>
        </w:tc>
        <w:tc>
          <w:tcPr>
            <w:tcW w:w="1480" w:type="dxa"/>
            <w:tcBorders>
              <w:top w:val="single" w:sz="4" w:space="0" w:color="auto"/>
              <w:bottom w:val="nil"/>
            </w:tcBorders>
            <w:noWrap/>
            <w:hideMark/>
          </w:tcPr>
          <w:p w14:paraId="176BC8C7" w14:textId="77777777" w:rsidR="002F71B4" w:rsidRPr="002730F6" w:rsidRDefault="002F71B4" w:rsidP="001E566C">
            <w:pPr>
              <w:spacing w:before="240"/>
              <w:jc w:val="both"/>
              <w:rPr>
                <w:rFonts w:ascii="Arial" w:hAnsi="Arial" w:cs="Arial"/>
                <w:b/>
                <w:bCs/>
              </w:rPr>
            </w:pPr>
          </w:p>
        </w:tc>
        <w:tc>
          <w:tcPr>
            <w:tcW w:w="2960" w:type="dxa"/>
            <w:gridSpan w:val="2"/>
            <w:tcBorders>
              <w:top w:val="single" w:sz="4" w:space="0" w:color="auto"/>
              <w:bottom w:val="nil"/>
            </w:tcBorders>
            <w:noWrap/>
            <w:hideMark/>
          </w:tcPr>
          <w:p w14:paraId="1D023C89" w14:textId="77777777" w:rsidR="002F71B4" w:rsidRPr="002730F6" w:rsidRDefault="002F71B4" w:rsidP="001E566C">
            <w:pPr>
              <w:spacing w:before="240"/>
              <w:jc w:val="both"/>
              <w:rPr>
                <w:rFonts w:ascii="Arial" w:hAnsi="Arial" w:cs="Arial"/>
                <w:b/>
                <w:bCs/>
              </w:rPr>
            </w:pPr>
            <w:r w:rsidRPr="002730F6">
              <w:rPr>
                <w:rFonts w:ascii="Arial" w:hAnsi="Arial" w:cs="Arial"/>
                <w:b/>
                <w:bCs/>
              </w:rPr>
              <w:t>Cadmium</w:t>
            </w:r>
          </w:p>
        </w:tc>
        <w:tc>
          <w:tcPr>
            <w:tcW w:w="2960" w:type="dxa"/>
            <w:gridSpan w:val="2"/>
            <w:tcBorders>
              <w:top w:val="single" w:sz="4" w:space="0" w:color="auto"/>
              <w:bottom w:val="nil"/>
            </w:tcBorders>
            <w:noWrap/>
            <w:hideMark/>
          </w:tcPr>
          <w:p w14:paraId="79D90520" w14:textId="77777777" w:rsidR="002F71B4" w:rsidRPr="002730F6" w:rsidRDefault="002F71B4" w:rsidP="001E566C">
            <w:pPr>
              <w:spacing w:before="240"/>
              <w:jc w:val="both"/>
              <w:rPr>
                <w:rFonts w:ascii="Arial" w:hAnsi="Arial" w:cs="Arial"/>
                <w:b/>
                <w:bCs/>
              </w:rPr>
            </w:pPr>
            <w:r w:rsidRPr="002730F6">
              <w:rPr>
                <w:rFonts w:ascii="Arial" w:hAnsi="Arial" w:cs="Arial"/>
                <w:b/>
                <w:bCs/>
              </w:rPr>
              <w:t>Lead</w:t>
            </w:r>
          </w:p>
        </w:tc>
      </w:tr>
      <w:tr w:rsidR="002F71B4" w:rsidRPr="002730F6" w14:paraId="5124D847" w14:textId="77777777" w:rsidTr="001E566C">
        <w:trPr>
          <w:trHeight w:val="285"/>
        </w:trPr>
        <w:tc>
          <w:tcPr>
            <w:tcW w:w="2040" w:type="dxa"/>
            <w:tcBorders>
              <w:top w:val="nil"/>
              <w:bottom w:val="single" w:sz="4" w:space="0" w:color="auto"/>
            </w:tcBorders>
            <w:noWrap/>
            <w:hideMark/>
          </w:tcPr>
          <w:p w14:paraId="335148F9" w14:textId="77777777" w:rsidR="002F71B4" w:rsidRPr="002730F6" w:rsidRDefault="002F71B4" w:rsidP="001E566C">
            <w:pPr>
              <w:spacing w:before="240"/>
              <w:jc w:val="both"/>
              <w:rPr>
                <w:rFonts w:ascii="Arial" w:hAnsi="Arial" w:cs="Arial"/>
                <w:b/>
                <w:bCs/>
              </w:rPr>
            </w:pPr>
          </w:p>
        </w:tc>
        <w:tc>
          <w:tcPr>
            <w:tcW w:w="1480" w:type="dxa"/>
            <w:tcBorders>
              <w:top w:val="nil"/>
              <w:bottom w:val="single" w:sz="4" w:space="0" w:color="auto"/>
            </w:tcBorders>
            <w:noWrap/>
            <w:hideMark/>
          </w:tcPr>
          <w:p w14:paraId="50693872" w14:textId="77777777" w:rsidR="002F71B4" w:rsidRPr="002730F6" w:rsidRDefault="002F71B4" w:rsidP="001E566C">
            <w:pPr>
              <w:spacing w:before="240"/>
              <w:jc w:val="both"/>
              <w:rPr>
                <w:rFonts w:ascii="Arial" w:hAnsi="Arial" w:cs="Arial"/>
                <w:b/>
                <w:bCs/>
              </w:rPr>
            </w:pPr>
          </w:p>
        </w:tc>
        <w:tc>
          <w:tcPr>
            <w:tcW w:w="1307" w:type="dxa"/>
            <w:tcBorders>
              <w:top w:val="nil"/>
              <w:bottom w:val="single" w:sz="4" w:space="0" w:color="auto"/>
            </w:tcBorders>
            <w:noWrap/>
            <w:hideMark/>
          </w:tcPr>
          <w:p w14:paraId="6FA74BE5" w14:textId="77777777" w:rsidR="002F71B4" w:rsidRPr="002730F6" w:rsidRDefault="002F71B4" w:rsidP="001E566C">
            <w:pPr>
              <w:spacing w:before="240"/>
              <w:jc w:val="both"/>
              <w:rPr>
                <w:rFonts w:ascii="Arial" w:hAnsi="Arial" w:cs="Arial"/>
                <w:b/>
                <w:bCs/>
              </w:rPr>
            </w:pPr>
            <w:r w:rsidRPr="002730F6">
              <w:rPr>
                <w:rFonts w:ascii="Arial" w:hAnsi="Arial" w:cs="Arial"/>
                <w:b/>
                <w:bCs/>
              </w:rPr>
              <w:t>Wet</w:t>
            </w:r>
          </w:p>
        </w:tc>
        <w:tc>
          <w:tcPr>
            <w:tcW w:w="1653" w:type="dxa"/>
            <w:tcBorders>
              <w:top w:val="nil"/>
              <w:bottom w:val="single" w:sz="4" w:space="0" w:color="auto"/>
            </w:tcBorders>
            <w:noWrap/>
            <w:hideMark/>
          </w:tcPr>
          <w:p w14:paraId="00179245" w14:textId="77777777" w:rsidR="002F71B4" w:rsidRPr="002730F6" w:rsidRDefault="002F71B4" w:rsidP="001E566C">
            <w:pPr>
              <w:spacing w:before="240"/>
              <w:jc w:val="both"/>
              <w:rPr>
                <w:rFonts w:ascii="Arial" w:hAnsi="Arial" w:cs="Arial"/>
                <w:b/>
                <w:bCs/>
              </w:rPr>
            </w:pPr>
            <w:r w:rsidRPr="002730F6">
              <w:rPr>
                <w:rFonts w:ascii="Arial" w:hAnsi="Arial" w:cs="Arial"/>
                <w:b/>
                <w:bCs/>
              </w:rPr>
              <w:t xml:space="preserve">Dry </w:t>
            </w:r>
          </w:p>
        </w:tc>
        <w:tc>
          <w:tcPr>
            <w:tcW w:w="1307" w:type="dxa"/>
            <w:tcBorders>
              <w:top w:val="nil"/>
              <w:bottom w:val="single" w:sz="4" w:space="0" w:color="auto"/>
            </w:tcBorders>
            <w:noWrap/>
            <w:hideMark/>
          </w:tcPr>
          <w:p w14:paraId="23532122" w14:textId="77777777" w:rsidR="002F71B4" w:rsidRPr="002730F6" w:rsidRDefault="002F71B4" w:rsidP="001E566C">
            <w:pPr>
              <w:spacing w:before="240"/>
              <w:jc w:val="both"/>
              <w:rPr>
                <w:rFonts w:ascii="Arial" w:hAnsi="Arial" w:cs="Arial"/>
                <w:b/>
                <w:bCs/>
              </w:rPr>
            </w:pPr>
            <w:r w:rsidRPr="002730F6">
              <w:rPr>
                <w:rFonts w:ascii="Arial" w:hAnsi="Arial" w:cs="Arial"/>
                <w:b/>
                <w:bCs/>
              </w:rPr>
              <w:t>Wet</w:t>
            </w:r>
          </w:p>
        </w:tc>
        <w:tc>
          <w:tcPr>
            <w:tcW w:w="1653" w:type="dxa"/>
            <w:tcBorders>
              <w:top w:val="nil"/>
              <w:bottom w:val="single" w:sz="4" w:space="0" w:color="auto"/>
            </w:tcBorders>
            <w:noWrap/>
            <w:hideMark/>
          </w:tcPr>
          <w:p w14:paraId="472AD471" w14:textId="77777777" w:rsidR="002F71B4" w:rsidRPr="002730F6" w:rsidRDefault="002F71B4" w:rsidP="001E566C">
            <w:pPr>
              <w:spacing w:before="240"/>
              <w:jc w:val="both"/>
              <w:rPr>
                <w:rFonts w:ascii="Arial" w:hAnsi="Arial" w:cs="Arial"/>
                <w:b/>
                <w:bCs/>
              </w:rPr>
            </w:pPr>
            <w:r w:rsidRPr="002730F6">
              <w:rPr>
                <w:rFonts w:ascii="Arial" w:hAnsi="Arial" w:cs="Arial"/>
                <w:b/>
                <w:bCs/>
              </w:rPr>
              <w:t xml:space="preserve">Dry </w:t>
            </w:r>
          </w:p>
        </w:tc>
      </w:tr>
      <w:tr w:rsidR="002F71B4" w:rsidRPr="002730F6" w14:paraId="22EF00DB" w14:textId="77777777" w:rsidTr="001E566C">
        <w:trPr>
          <w:trHeight w:val="285"/>
        </w:trPr>
        <w:tc>
          <w:tcPr>
            <w:tcW w:w="2040" w:type="dxa"/>
            <w:tcBorders>
              <w:top w:val="single" w:sz="4" w:space="0" w:color="auto"/>
            </w:tcBorders>
            <w:noWrap/>
            <w:hideMark/>
          </w:tcPr>
          <w:p w14:paraId="0D8A04D9" w14:textId="77777777" w:rsidR="002F71B4" w:rsidRPr="002730F6" w:rsidRDefault="002F71B4" w:rsidP="001E566C">
            <w:pPr>
              <w:spacing w:before="240"/>
              <w:jc w:val="both"/>
              <w:rPr>
                <w:rFonts w:ascii="Arial" w:hAnsi="Arial" w:cs="Arial"/>
                <w:b/>
                <w:bCs/>
              </w:rPr>
            </w:pPr>
            <w:r w:rsidRPr="002730F6">
              <w:rPr>
                <w:rFonts w:ascii="Arial" w:hAnsi="Arial" w:cs="Arial"/>
                <w:b/>
                <w:bCs/>
              </w:rPr>
              <w:t>Crabs</w:t>
            </w:r>
          </w:p>
        </w:tc>
        <w:tc>
          <w:tcPr>
            <w:tcW w:w="1480" w:type="dxa"/>
            <w:tcBorders>
              <w:top w:val="single" w:sz="4" w:space="0" w:color="auto"/>
            </w:tcBorders>
            <w:noWrap/>
            <w:hideMark/>
          </w:tcPr>
          <w:p w14:paraId="02E89F46" w14:textId="77777777" w:rsidR="002F71B4" w:rsidRPr="002730F6" w:rsidRDefault="002F71B4" w:rsidP="001E566C">
            <w:pPr>
              <w:spacing w:before="240"/>
              <w:jc w:val="both"/>
              <w:rPr>
                <w:rFonts w:ascii="Arial" w:hAnsi="Arial" w:cs="Arial"/>
                <w:b/>
                <w:bCs/>
              </w:rPr>
            </w:pPr>
            <w:r w:rsidRPr="002730F6">
              <w:rPr>
                <w:rFonts w:ascii="Arial" w:hAnsi="Arial" w:cs="Arial"/>
                <w:b/>
                <w:bCs/>
              </w:rPr>
              <w:t>EDI</w:t>
            </w:r>
          </w:p>
        </w:tc>
        <w:tc>
          <w:tcPr>
            <w:tcW w:w="1307" w:type="dxa"/>
            <w:tcBorders>
              <w:top w:val="single" w:sz="4" w:space="0" w:color="auto"/>
            </w:tcBorders>
            <w:noWrap/>
            <w:hideMark/>
          </w:tcPr>
          <w:p w14:paraId="3132FAE0" w14:textId="77777777" w:rsidR="002F71B4" w:rsidRPr="002730F6" w:rsidRDefault="002F71B4" w:rsidP="001E566C">
            <w:pPr>
              <w:spacing w:before="240"/>
              <w:jc w:val="both"/>
              <w:rPr>
                <w:rFonts w:ascii="Arial" w:hAnsi="Arial" w:cs="Arial"/>
              </w:rPr>
            </w:pPr>
            <w:r w:rsidRPr="002730F6">
              <w:rPr>
                <w:rFonts w:ascii="Arial" w:hAnsi="Arial" w:cs="Arial"/>
              </w:rPr>
              <w:t>0.01</w:t>
            </w:r>
          </w:p>
        </w:tc>
        <w:tc>
          <w:tcPr>
            <w:tcW w:w="1653" w:type="dxa"/>
            <w:tcBorders>
              <w:top w:val="single" w:sz="4" w:space="0" w:color="auto"/>
            </w:tcBorders>
            <w:noWrap/>
            <w:hideMark/>
          </w:tcPr>
          <w:p w14:paraId="0BCF30EE" w14:textId="77777777" w:rsidR="002F71B4" w:rsidRPr="002730F6" w:rsidRDefault="002F71B4" w:rsidP="001E566C">
            <w:pPr>
              <w:spacing w:before="240"/>
              <w:jc w:val="both"/>
              <w:rPr>
                <w:rFonts w:ascii="Arial" w:hAnsi="Arial" w:cs="Arial"/>
              </w:rPr>
            </w:pPr>
            <w:r w:rsidRPr="002730F6">
              <w:rPr>
                <w:rFonts w:ascii="Arial" w:hAnsi="Arial" w:cs="Arial"/>
              </w:rPr>
              <w:t>0.005</w:t>
            </w:r>
          </w:p>
        </w:tc>
        <w:tc>
          <w:tcPr>
            <w:tcW w:w="1307" w:type="dxa"/>
            <w:tcBorders>
              <w:top w:val="single" w:sz="4" w:space="0" w:color="auto"/>
            </w:tcBorders>
            <w:noWrap/>
            <w:hideMark/>
          </w:tcPr>
          <w:p w14:paraId="2694E4DE" w14:textId="77777777" w:rsidR="002F71B4" w:rsidRPr="002730F6" w:rsidRDefault="002F71B4" w:rsidP="001E566C">
            <w:pPr>
              <w:spacing w:before="240"/>
              <w:jc w:val="both"/>
              <w:rPr>
                <w:rFonts w:ascii="Arial" w:hAnsi="Arial" w:cs="Arial"/>
              </w:rPr>
            </w:pPr>
            <w:r w:rsidRPr="002730F6">
              <w:rPr>
                <w:rFonts w:ascii="Arial" w:hAnsi="Arial" w:cs="Arial"/>
              </w:rPr>
              <w:t>0.05</w:t>
            </w:r>
          </w:p>
        </w:tc>
        <w:tc>
          <w:tcPr>
            <w:tcW w:w="1653" w:type="dxa"/>
            <w:tcBorders>
              <w:top w:val="single" w:sz="4" w:space="0" w:color="auto"/>
            </w:tcBorders>
            <w:noWrap/>
            <w:hideMark/>
          </w:tcPr>
          <w:p w14:paraId="391CDA49" w14:textId="77777777" w:rsidR="002F71B4" w:rsidRPr="002730F6" w:rsidRDefault="002F71B4" w:rsidP="001E566C">
            <w:pPr>
              <w:spacing w:before="240"/>
              <w:jc w:val="both"/>
              <w:rPr>
                <w:rFonts w:ascii="Arial" w:hAnsi="Arial" w:cs="Arial"/>
              </w:rPr>
            </w:pPr>
            <w:r w:rsidRPr="002730F6">
              <w:rPr>
                <w:rFonts w:ascii="Arial" w:hAnsi="Arial" w:cs="Arial"/>
              </w:rPr>
              <w:t>0.006</w:t>
            </w:r>
          </w:p>
        </w:tc>
      </w:tr>
      <w:tr w:rsidR="002F71B4" w:rsidRPr="002730F6" w14:paraId="7917CC56" w14:textId="77777777" w:rsidTr="001E566C">
        <w:trPr>
          <w:trHeight w:val="285"/>
        </w:trPr>
        <w:tc>
          <w:tcPr>
            <w:tcW w:w="2040" w:type="dxa"/>
            <w:noWrap/>
            <w:hideMark/>
          </w:tcPr>
          <w:p w14:paraId="46009F56" w14:textId="77777777" w:rsidR="002F71B4" w:rsidRPr="002730F6" w:rsidRDefault="002F71B4" w:rsidP="001E566C">
            <w:pPr>
              <w:spacing w:before="240"/>
              <w:jc w:val="both"/>
              <w:rPr>
                <w:rFonts w:ascii="Arial" w:hAnsi="Arial" w:cs="Arial"/>
                <w:b/>
                <w:bCs/>
              </w:rPr>
            </w:pPr>
          </w:p>
        </w:tc>
        <w:tc>
          <w:tcPr>
            <w:tcW w:w="1480" w:type="dxa"/>
            <w:noWrap/>
            <w:hideMark/>
          </w:tcPr>
          <w:p w14:paraId="20ED6E8D" w14:textId="77777777" w:rsidR="002F71B4" w:rsidRPr="002730F6" w:rsidRDefault="002F71B4" w:rsidP="001E566C">
            <w:pPr>
              <w:spacing w:before="240"/>
              <w:jc w:val="both"/>
              <w:rPr>
                <w:rFonts w:ascii="Arial" w:hAnsi="Arial" w:cs="Arial"/>
                <w:b/>
                <w:bCs/>
              </w:rPr>
            </w:pPr>
            <w:r w:rsidRPr="002730F6">
              <w:rPr>
                <w:rFonts w:ascii="Arial" w:hAnsi="Arial" w:cs="Arial"/>
                <w:b/>
                <w:bCs/>
              </w:rPr>
              <w:t>HRI</w:t>
            </w:r>
          </w:p>
        </w:tc>
        <w:tc>
          <w:tcPr>
            <w:tcW w:w="1307" w:type="dxa"/>
            <w:noWrap/>
            <w:hideMark/>
          </w:tcPr>
          <w:p w14:paraId="4FB6D590" w14:textId="77777777" w:rsidR="002F71B4" w:rsidRPr="002730F6" w:rsidRDefault="002F71B4" w:rsidP="001E566C">
            <w:pPr>
              <w:spacing w:before="240"/>
              <w:jc w:val="both"/>
              <w:rPr>
                <w:rFonts w:ascii="Arial" w:hAnsi="Arial" w:cs="Arial"/>
              </w:rPr>
            </w:pPr>
            <w:r w:rsidRPr="002730F6">
              <w:rPr>
                <w:rFonts w:ascii="Arial" w:hAnsi="Arial" w:cs="Arial"/>
              </w:rPr>
              <w:t>0</w:t>
            </w:r>
          </w:p>
        </w:tc>
        <w:tc>
          <w:tcPr>
            <w:tcW w:w="1653" w:type="dxa"/>
            <w:noWrap/>
            <w:hideMark/>
          </w:tcPr>
          <w:p w14:paraId="342BD3F3" w14:textId="77777777" w:rsidR="002F71B4" w:rsidRPr="002730F6" w:rsidRDefault="002F71B4" w:rsidP="001E566C">
            <w:pPr>
              <w:spacing w:before="240"/>
              <w:jc w:val="both"/>
              <w:rPr>
                <w:rFonts w:ascii="Arial" w:hAnsi="Arial" w:cs="Arial"/>
              </w:rPr>
            </w:pPr>
            <w:r w:rsidRPr="002730F6">
              <w:rPr>
                <w:rFonts w:ascii="Arial" w:hAnsi="Arial" w:cs="Arial"/>
              </w:rPr>
              <w:t>0</w:t>
            </w:r>
          </w:p>
        </w:tc>
        <w:tc>
          <w:tcPr>
            <w:tcW w:w="1307" w:type="dxa"/>
            <w:noWrap/>
            <w:hideMark/>
          </w:tcPr>
          <w:p w14:paraId="106ED491" w14:textId="77777777" w:rsidR="002F71B4" w:rsidRPr="002730F6" w:rsidRDefault="002F71B4" w:rsidP="001E566C">
            <w:pPr>
              <w:spacing w:before="240"/>
              <w:jc w:val="both"/>
              <w:rPr>
                <w:rFonts w:ascii="Arial" w:hAnsi="Arial" w:cs="Arial"/>
              </w:rPr>
            </w:pPr>
            <w:r w:rsidRPr="002730F6">
              <w:rPr>
                <w:rFonts w:ascii="Arial" w:hAnsi="Arial" w:cs="Arial"/>
              </w:rPr>
              <w:t>0</w:t>
            </w:r>
          </w:p>
        </w:tc>
        <w:tc>
          <w:tcPr>
            <w:tcW w:w="1653" w:type="dxa"/>
            <w:noWrap/>
            <w:hideMark/>
          </w:tcPr>
          <w:p w14:paraId="06DD7680" w14:textId="77777777" w:rsidR="002F71B4" w:rsidRPr="002730F6" w:rsidRDefault="002F71B4" w:rsidP="001E566C">
            <w:pPr>
              <w:spacing w:before="240"/>
              <w:jc w:val="both"/>
              <w:rPr>
                <w:rFonts w:ascii="Arial" w:hAnsi="Arial" w:cs="Arial"/>
              </w:rPr>
            </w:pPr>
            <w:r w:rsidRPr="002730F6">
              <w:rPr>
                <w:rFonts w:ascii="Arial" w:hAnsi="Arial" w:cs="Arial"/>
              </w:rPr>
              <w:t>0</w:t>
            </w:r>
          </w:p>
        </w:tc>
      </w:tr>
      <w:tr w:rsidR="002F71B4" w:rsidRPr="002730F6" w14:paraId="4DA1CA22" w14:textId="77777777" w:rsidTr="001E566C">
        <w:trPr>
          <w:trHeight w:val="285"/>
        </w:trPr>
        <w:tc>
          <w:tcPr>
            <w:tcW w:w="2040" w:type="dxa"/>
            <w:noWrap/>
            <w:hideMark/>
          </w:tcPr>
          <w:p w14:paraId="2106F628" w14:textId="77777777" w:rsidR="002F71B4" w:rsidRPr="002730F6" w:rsidRDefault="002F71B4" w:rsidP="001E566C">
            <w:pPr>
              <w:spacing w:before="240"/>
              <w:jc w:val="both"/>
              <w:rPr>
                <w:rFonts w:ascii="Arial" w:hAnsi="Arial" w:cs="Arial"/>
                <w:b/>
                <w:bCs/>
              </w:rPr>
            </w:pPr>
            <w:r w:rsidRPr="002730F6">
              <w:rPr>
                <w:rFonts w:ascii="Arial" w:hAnsi="Arial" w:cs="Arial"/>
                <w:b/>
                <w:bCs/>
              </w:rPr>
              <w:t>Shrimps</w:t>
            </w:r>
          </w:p>
        </w:tc>
        <w:tc>
          <w:tcPr>
            <w:tcW w:w="1480" w:type="dxa"/>
            <w:noWrap/>
            <w:hideMark/>
          </w:tcPr>
          <w:p w14:paraId="231E1A33" w14:textId="77777777" w:rsidR="002F71B4" w:rsidRPr="002730F6" w:rsidRDefault="002F71B4" w:rsidP="001E566C">
            <w:pPr>
              <w:spacing w:before="240"/>
              <w:jc w:val="both"/>
              <w:rPr>
                <w:rFonts w:ascii="Arial" w:hAnsi="Arial" w:cs="Arial"/>
                <w:b/>
                <w:bCs/>
              </w:rPr>
            </w:pPr>
            <w:r w:rsidRPr="002730F6">
              <w:rPr>
                <w:rFonts w:ascii="Arial" w:hAnsi="Arial" w:cs="Arial"/>
                <w:b/>
                <w:bCs/>
              </w:rPr>
              <w:t>EDI</w:t>
            </w:r>
          </w:p>
        </w:tc>
        <w:tc>
          <w:tcPr>
            <w:tcW w:w="1307" w:type="dxa"/>
            <w:noWrap/>
            <w:hideMark/>
          </w:tcPr>
          <w:p w14:paraId="54DFDCCF" w14:textId="77777777" w:rsidR="002F71B4" w:rsidRPr="002730F6" w:rsidRDefault="002F71B4" w:rsidP="001E566C">
            <w:pPr>
              <w:spacing w:before="240"/>
              <w:jc w:val="both"/>
              <w:rPr>
                <w:rFonts w:ascii="Arial" w:hAnsi="Arial" w:cs="Arial"/>
              </w:rPr>
            </w:pPr>
            <w:r w:rsidRPr="002730F6">
              <w:rPr>
                <w:rFonts w:ascii="Arial" w:hAnsi="Arial" w:cs="Arial"/>
              </w:rPr>
              <w:t>0</w:t>
            </w:r>
          </w:p>
        </w:tc>
        <w:tc>
          <w:tcPr>
            <w:tcW w:w="1653" w:type="dxa"/>
            <w:noWrap/>
            <w:hideMark/>
          </w:tcPr>
          <w:p w14:paraId="2B26D993" w14:textId="77777777" w:rsidR="002F71B4" w:rsidRPr="002730F6" w:rsidRDefault="002F71B4" w:rsidP="001E566C">
            <w:pPr>
              <w:spacing w:before="240"/>
              <w:jc w:val="both"/>
              <w:rPr>
                <w:rFonts w:ascii="Arial" w:hAnsi="Arial" w:cs="Arial"/>
              </w:rPr>
            </w:pPr>
            <w:r w:rsidRPr="002730F6">
              <w:rPr>
                <w:rFonts w:ascii="Arial" w:hAnsi="Arial" w:cs="Arial"/>
              </w:rPr>
              <w:t>0</w:t>
            </w:r>
          </w:p>
        </w:tc>
        <w:tc>
          <w:tcPr>
            <w:tcW w:w="1307" w:type="dxa"/>
            <w:noWrap/>
            <w:hideMark/>
          </w:tcPr>
          <w:p w14:paraId="0C75B738" w14:textId="77777777" w:rsidR="002F71B4" w:rsidRPr="002730F6" w:rsidRDefault="002F71B4" w:rsidP="001E566C">
            <w:pPr>
              <w:spacing w:before="240"/>
              <w:jc w:val="both"/>
              <w:rPr>
                <w:rFonts w:ascii="Arial" w:hAnsi="Arial" w:cs="Arial"/>
              </w:rPr>
            </w:pPr>
            <w:r w:rsidRPr="002730F6">
              <w:rPr>
                <w:rFonts w:ascii="Arial" w:hAnsi="Arial" w:cs="Arial"/>
              </w:rPr>
              <w:t>0.01</w:t>
            </w:r>
          </w:p>
        </w:tc>
        <w:tc>
          <w:tcPr>
            <w:tcW w:w="1653" w:type="dxa"/>
            <w:noWrap/>
            <w:hideMark/>
          </w:tcPr>
          <w:p w14:paraId="1B029884" w14:textId="77777777" w:rsidR="002F71B4" w:rsidRPr="002730F6" w:rsidRDefault="002F71B4" w:rsidP="001E566C">
            <w:pPr>
              <w:spacing w:before="240"/>
              <w:jc w:val="both"/>
              <w:rPr>
                <w:rFonts w:ascii="Arial" w:hAnsi="Arial" w:cs="Arial"/>
              </w:rPr>
            </w:pPr>
            <w:r w:rsidRPr="002730F6">
              <w:rPr>
                <w:rFonts w:ascii="Arial" w:hAnsi="Arial" w:cs="Arial"/>
              </w:rPr>
              <w:t>0.01</w:t>
            </w:r>
          </w:p>
        </w:tc>
      </w:tr>
      <w:tr w:rsidR="002F71B4" w:rsidRPr="002730F6" w14:paraId="4B208321" w14:textId="77777777" w:rsidTr="001E566C">
        <w:trPr>
          <w:trHeight w:val="285"/>
        </w:trPr>
        <w:tc>
          <w:tcPr>
            <w:tcW w:w="2040" w:type="dxa"/>
            <w:noWrap/>
            <w:hideMark/>
          </w:tcPr>
          <w:p w14:paraId="52D44D72" w14:textId="77777777" w:rsidR="002F71B4" w:rsidRPr="002730F6" w:rsidRDefault="002F71B4" w:rsidP="001E566C">
            <w:pPr>
              <w:spacing w:before="240"/>
              <w:jc w:val="both"/>
              <w:rPr>
                <w:rFonts w:ascii="Arial" w:hAnsi="Arial" w:cs="Arial"/>
                <w:b/>
                <w:bCs/>
              </w:rPr>
            </w:pPr>
          </w:p>
        </w:tc>
        <w:tc>
          <w:tcPr>
            <w:tcW w:w="1480" w:type="dxa"/>
            <w:noWrap/>
            <w:hideMark/>
          </w:tcPr>
          <w:p w14:paraId="35ABF91D" w14:textId="77777777" w:rsidR="002F71B4" w:rsidRPr="002730F6" w:rsidRDefault="002F71B4" w:rsidP="001E566C">
            <w:pPr>
              <w:spacing w:before="240"/>
              <w:jc w:val="both"/>
              <w:rPr>
                <w:rFonts w:ascii="Arial" w:hAnsi="Arial" w:cs="Arial"/>
                <w:b/>
                <w:bCs/>
              </w:rPr>
            </w:pPr>
            <w:r w:rsidRPr="002730F6">
              <w:rPr>
                <w:rFonts w:ascii="Arial" w:hAnsi="Arial" w:cs="Arial"/>
                <w:b/>
                <w:bCs/>
              </w:rPr>
              <w:t>HRI</w:t>
            </w:r>
          </w:p>
        </w:tc>
        <w:tc>
          <w:tcPr>
            <w:tcW w:w="1307" w:type="dxa"/>
            <w:noWrap/>
            <w:hideMark/>
          </w:tcPr>
          <w:p w14:paraId="21809A30" w14:textId="77777777" w:rsidR="002F71B4" w:rsidRPr="002730F6" w:rsidRDefault="002F71B4" w:rsidP="001E566C">
            <w:pPr>
              <w:spacing w:before="240"/>
              <w:jc w:val="both"/>
              <w:rPr>
                <w:rFonts w:ascii="Arial" w:hAnsi="Arial" w:cs="Arial"/>
              </w:rPr>
            </w:pPr>
            <w:r w:rsidRPr="002730F6">
              <w:rPr>
                <w:rFonts w:ascii="Arial" w:hAnsi="Arial" w:cs="Arial"/>
              </w:rPr>
              <w:t>0</w:t>
            </w:r>
          </w:p>
        </w:tc>
        <w:tc>
          <w:tcPr>
            <w:tcW w:w="1653" w:type="dxa"/>
            <w:noWrap/>
            <w:hideMark/>
          </w:tcPr>
          <w:p w14:paraId="5DA7F64F" w14:textId="77777777" w:rsidR="002F71B4" w:rsidRPr="002730F6" w:rsidRDefault="002F71B4" w:rsidP="001E566C">
            <w:pPr>
              <w:spacing w:before="240"/>
              <w:jc w:val="both"/>
              <w:rPr>
                <w:rFonts w:ascii="Arial" w:hAnsi="Arial" w:cs="Arial"/>
              </w:rPr>
            </w:pPr>
            <w:r w:rsidRPr="002730F6">
              <w:rPr>
                <w:rFonts w:ascii="Arial" w:hAnsi="Arial" w:cs="Arial"/>
              </w:rPr>
              <w:t>0</w:t>
            </w:r>
          </w:p>
        </w:tc>
        <w:tc>
          <w:tcPr>
            <w:tcW w:w="1307" w:type="dxa"/>
            <w:noWrap/>
            <w:hideMark/>
          </w:tcPr>
          <w:p w14:paraId="0FA10A7F" w14:textId="77777777" w:rsidR="002F71B4" w:rsidRPr="002730F6" w:rsidRDefault="002F71B4" w:rsidP="001E566C">
            <w:pPr>
              <w:spacing w:before="240"/>
              <w:jc w:val="both"/>
              <w:rPr>
                <w:rFonts w:ascii="Arial" w:hAnsi="Arial" w:cs="Arial"/>
              </w:rPr>
            </w:pPr>
            <w:r w:rsidRPr="002730F6">
              <w:rPr>
                <w:rFonts w:ascii="Arial" w:hAnsi="Arial" w:cs="Arial"/>
              </w:rPr>
              <w:t>0</w:t>
            </w:r>
          </w:p>
        </w:tc>
        <w:tc>
          <w:tcPr>
            <w:tcW w:w="1653" w:type="dxa"/>
            <w:noWrap/>
            <w:hideMark/>
          </w:tcPr>
          <w:p w14:paraId="301C5CCA" w14:textId="77777777" w:rsidR="002F71B4" w:rsidRPr="002730F6" w:rsidRDefault="002F71B4" w:rsidP="001E566C">
            <w:pPr>
              <w:spacing w:before="240"/>
              <w:jc w:val="both"/>
              <w:rPr>
                <w:rFonts w:ascii="Arial" w:hAnsi="Arial" w:cs="Arial"/>
              </w:rPr>
            </w:pPr>
            <w:r w:rsidRPr="002730F6">
              <w:rPr>
                <w:rFonts w:ascii="Arial" w:hAnsi="Arial" w:cs="Arial"/>
              </w:rPr>
              <w:t>0</w:t>
            </w:r>
          </w:p>
        </w:tc>
      </w:tr>
      <w:tr w:rsidR="002F71B4" w:rsidRPr="002730F6" w14:paraId="21753C63" w14:textId="77777777" w:rsidTr="001E566C">
        <w:trPr>
          <w:trHeight w:val="285"/>
        </w:trPr>
        <w:tc>
          <w:tcPr>
            <w:tcW w:w="2040" w:type="dxa"/>
            <w:noWrap/>
            <w:hideMark/>
          </w:tcPr>
          <w:p w14:paraId="39536959" w14:textId="77777777" w:rsidR="002F71B4" w:rsidRPr="002730F6" w:rsidRDefault="002F71B4" w:rsidP="001E566C">
            <w:pPr>
              <w:spacing w:before="240"/>
              <w:jc w:val="both"/>
              <w:rPr>
                <w:rFonts w:ascii="Arial" w:hAnsi="Arial" w:cs="Arial"/>
                <w:b/>
                <w:bCs/>
              </w:rPr>
            </w:pPr>
            <w:r w:rsidRPr="002730F6">
              <w:rPr>
                <w:rFonts w:ascii="Arial" w:hAnsi="Arial" w:cs="Arial"/>
                <w:b/>
                <w:bCs/>
              </w:rPr>
              <w:lastRenderedPageBreak/>
              <w:t>Periwinkles</w:t>
            </w:r>
          </w:p>
        </w:tc>
        <w:tc>
          <w:tcPr>
            <w:tcW w:w="1480" w:type="dxa"/>
            <w:noWrap/>
            <w:hideMark/>
          </w:tcPr>
          <w:p w14:paraId="4FFD456F" w14:textId="77777777" w:rsidR="002F71B4" w:rsidRPr="002730F6" w:rsidRDefault="002F71B4" w:rsidP="001E566C">
            <w:pPr>
              <w:spacing w:before="240"/>
              <w:jc w:val="both"/>
              <w:rPr>
                <w:rFonts w:ascii="Arial" w:hAnsi="Arial" w:cs="Arial"/>
                <w:b/>
                <w:bCs/>
              </w:rPr>
            </w:pPr>
            <w:r w:rsidRPr="002730F6">
              <w:rPr>
                <w:rFonts w:ascii="Arial" w:hAnsi="Arial" w:cs="Arial"/>
                <w:b/>
                <w:bCs/>
              </w:rPr>
              <w:t>EDI</w:t>
            </w:r>
          </w:p>
        </w:tc>
        <w:tc>
          <w:tcPr>
            <w:tcW w:w="1307" w:type="dxa"/>
            <w:noWrap/>
            <w:hideMark/>
          </w:tcPr>
          <w:p w14:paraId="425DA5D1" w14:textId="77777777" w:rsidR="002F71B4" w:rsidRPr="002730F6" w:rsidRDefault="002F71B4" w:rsidP="001E566C">
            <w:pPr>
              <w:spacing w:before="240"/>
              <w:jc w:val="both"/>
              <w:rPr>
                <w:rFonts w:ascii="Arial" w:hAnsi="Arial" w:cs="Arial"/>
              </w:rPr>
            </w:pPr>
            <w:r w:rsidRPr="002730F6">
              <w:rPr>
                <w:rFonts w:ascii="Arial" w:hAnsi="Arial" w:cs="Arial"/>
              </w:rPr>
              <w:t>0.01</w:t>
            </w:r>
          </w:p>
        </w:tc>
        <w:tc>
          <w:tcPr>
            <w:tcW w:w="1653" w:type="dxa"/>
            <w:noWrap/>
            <w:hideMark/>
          </w:tcPr>
          <w:p w14:paraId="1DAF0B62" w14:textId="77777777" w:rsidR="002F71B4" w:rsidRPr="002730F6" w:rsidRDefault="002F71B4" w:rsidP="001E566C">
            <w:pPr>
              <w:spacing w:before="240"/>
              <w:jc w:val="both"/>
              <w:rPr>
                <w:rFonts w:ascii="Arial" w:hAnsi="Arial" w:cs="Arial"/>
              </w:rPr>
            </w:pPr>
            <w:r w:rsidRPr="002730F6">
              <w:rPr>
                <w:rFonts w:ascii="Arial" w:hAnsi="Arial" w:cs="Arial"/>
              </w:rPr>
              <w:t>0.03</w:t>
            </w:r>
          </w:p>
        </w:tc>
        <w:tc>
          <w:tcPr>
            <w:tcW w:w="1307" w:type="dxa"/>
            <w:noWrap/>
            <w:hideMark/>
          </w:tcPr>
          <w:p w14:paraId="5F547AE1" w14:textId="77777777" w:rsidR="002F71B4" w:rsidRPr="002730F6" w:rsidRDefault="002F71B4" w:rsidP="001E566C">
            <w:pPr>
              <w:spacing w:before="240"/>
              <w:jc w:val="both"/>
              <w:rPr>
                <w:rFonts w:ascii="Arial" w:hAnsi="Arial" w:cs="Arial"/>
              </w:rPr>
            </w:pPr>
            <w:r w:rsidRPr="002730F6">
              <w:rPr>
                <w:rFonts w:ascii="Arial" w:hAnsi="Arial" w:cs="Arial"/>
              </w:rPr>
              <w:t>0.03</w:t>
            </w:r>
          </w:p>
        </w:tc>
        <w:tc>
          <w:tcPr>
            <w:tcW w:w="1653" w:type="dxa"/>
            <w:noWrap/>
            <w:hideMark/>
          </w:tcPr>
          <w:p w14:paraId="46FAE021" w14:textId="77777777" w:rsidR="002F71B4" w:rsidRPr="002730F6" w:rsidRDefault="002F71B4" w:rsidP="001E566C">
            <w:pPr>
              <w:spacing w:before="240"/>
              <w:jc w:val="both"/>
              <w:rPr>
                <w:rFonts w:ascii="Arial" w:hAnsi="Arial" w:cs="Arial"/>
              </w:rPr>
            </w:pPr>
            <w:r w:rsidRPr="002730F6">
              <w:rPr>
                <w:rFonts w:ascii="Arial" w:hAnsi="Arial" w:cs="Arial"/>
              </w:rPr>
              <w:t>0.04</w:t>
            </w:r>
          </w:p>
        </w:tc>
      </w:tr>
      <w:tr w:rsidR="002F71B4" w:rsidRPr="002730F6" w14:paraId="6B9B79CD" w14:textId="77777777" w:rsidTr="001E566C">
        <w:trPr>
          <w:trHeight w:val="285"/>
        </w:trPr>
        <w:tc>
          <w:tcPr>
            <w:tcW w:w="2040" w:type="dxa"/>
            <w:noWrap/>
            <w:hideMark/>
          </w:tcPr>
          <w:p w14:paraId="299A791C" w14:textId="77777777" w:rsidR="002F71B4" w:rsidRPr="002730F6" w:rsidRDefault="002F71B4" w:rsidP="001E566C">
            <w:pPr>
              <w:spacing w:before="240"/>
              <w:jc w:val="both"/>
              <w:rPr>
                <w:rFonts w:ascii="Arial" w:hAnsi="Arial" w:cs="Arial"/>
                <w:b/>
                <w:bCs/>
              </w:rPr>
            </w:pPr>
          </w:p>
        </w:tc>
        <w:tc>
          <w:tcPr>
            <w:tcW w:w="1480" w:type="dxa"/>
            <w:noWrap/>
            <w:hideMark/>
          </w:tcPr>
          <w:p w14:paraId="2624E42A" w14:textId="77777777" w:rsidR="002F71B4" w:rsidRPr="002730F6" w:rsidRDefault="002F71B4" w:rsidP="001E566C">
            <w:pPr>
              <w:spacing w:before="240"/>
              <w:jc w:val="both"/>
              <w:rPr>
                <w:rFonts w:ascii="Arial" w:hAnsi="Arial" w:cs="Arial"/>
                <w:b/>
                <w:bCs/>
              </w:rPr>
            </w:pPr>
            <w:r w:rsidRPr="002730F6">
              <w:rPr>
                <w:rFonts w:ascii="Arial" w:hAnsi="Arial" w:cs="Arial"/>
                <w:b/>
                <w:bCs/>
              </w:rPr>
              <w:t>HRI</w:t>
            </w:r>
          </w:p>
        </w:tc>
        <w:tc>
          <w:tcPr>
            <w:tcW w:w="1307" w:type="dxa"/>
            <w:noWrap/>
            <w:hideMark/>
          </w:tcPr>
          <w:p w14:paraId="7051F38D" w14:textId="77777777" w:rsidR="002F71B4" w:rsidRPr="002730F6" w:rsidRDefault="002F71B4" w:rsidP="001E566C">
            <w:pPr>
              <w:spacing w:before="240"/>
              <w:jc w:val="both"/>
              <w:rPr>
                <w:rFonts w:ascii="Arial" w:hAnsi="Arial" w:cs="Arial"/>
              </w:rPr>
            </w:pPr>
            <w:r w:rsidRPr="002730F6">
              <w:rPr>
                <w:rFonts w:ascii="Arial" w:hAnsi="Arial" w:cs="Arial"/>
              </w:rPr>
              <w:t>0</w:t>
            </w:r>
          </w:p>
        </w:tc>
        <w:tc>
          <w:tcPr>
            <w:tcW w:w="1653" w:type="dxa"/>
            <w:noWrap/>
            <w:hideMark/>
          </w:tcPr>
          <w:p w14:paraId="12F94F54" w14:textId="77777777" w:rsidR="002F71B4" w:rsidRPr="002730F6" w:rsidRDefault="002F71B4" w:rsidP="001E566C">
            <w:pPr>
              <w:spacing w:before="240"/>
              <w:jc w:val="both"/>
              <w:rPr>
                <w:rFonts w:ascii="Arial" w:hAnsi="Arial" w:cs="Arial"/>
              </w:rPr>
            </w:pPr>
            <w:r w:rsidRPr="002730F6">
              <w:rPr>
                <w:rFonts w:ascii="Arial" w:hAnsi="Arial" w:cs="Arial"/>
              </w:rPr>
              <w:t>0</w:t>
            </w:r>
          </w:p>
        </w:tc>
        <w:tc>
          <w:tcPr>
            <w:tcW w:w="1307" w:type="dxa"/>
            <w:noWrap/>
            <w:hideMark/>
          </w:tcPr>
          <w:p w14:paraId="0164FA99" w14:textId="77777777" w:rsidR="002F71B4" w:rsidRPr="002730F6" w:rsidRDefault="002F71B4" w:rsidP="001E566C">
            <w:pPr>
              <w:spacing w:before="240"/>
              <w:jc w:val="both"/>
              <w:rPr>
                <w:rFonts w:ascii="Arial" w:hAnsi="Arial" w:cs="Arial"/>
              </w:rPr>
            </w:pPr>
            <w:r w:rsidRPr="002730F6">
              <w:rPr>
                <w:rFonts w:ascii="Arial" w:hAnsi="Arial" w:cs="Arial"/>
              </w:rPr>
              <w:t>0</w:t>
            </w:r>
          </w:p>
        </w:tc>
        <w:tc>
          <w:tcPr>
            <w:tcW w:w="1653" w:type="dxa"/>
            <w:noWrap/>
            <w:hideMark/>
          </w:tcPr>
          <w:p w14:paraId="19EE7216" w14:textId="77777777" w:rsidR="002F71B4" w:rsidRPr="002730F6" w:rsidRDefault="002F71B4" w:rsidP="001E566C">
            <w:pPr>
              <w:spacing w:before="240"/>
              <w:jc w:val="both"/>
              <w:rPr>
                <w:rFonts w:ascii="Arial" w:hAnsi="Arial" w:cs="Arial"/>
              </w:rPr>
            </w:pPr>
            <w:r w:rsidRPr="002730F6">
              <w:rPr>
                <w:rFonts w:ascii="Arial" w:hAnsi="Arial" w:cs="Arial"/>
              </w:rPr>
              <w:t>0</w:t>
            </w:r>
          </w:p>
        </w:tc>
      </w:tr>
      <w:tr w:rsidR="002F71B4" w:rsidRPr="002730F6" w14:paraId="322A7315" w14:textId="77777777" w:rsidTr="001E566C">
        <w:trPr>
          <w:trHeight w:val="285"/>
        </w:trPr>
        <w:tc>
          <w:tcPr>
            <w:tcW w:w="2040" w:type="dxa"/>
            <w:noWrap/>
            <w:hideMark/>
          </w:tcPr>
          <w:p w14:paraId="469CA193" w14:textId="77777777" w:rsidR="002F71B4" w:rsidRPr="002730F6" w:rsidRDefault="002F71B4" w:rsidP="001E566C">
            <w:pPr>
              <w:spacing w:before="240"/>
              <w:jc w:val="both"/>
              <w:rPr>
                <w:rFonts w:ascii="Arial" w:hAnsi="Arial" w:cs="Arial"/>
                <w:b/>
                <w:bCs/>
              </w:rPr>
            </w:pPr>
          </w:p>
        </w:tc>
        <w:tc>
          <w:tcPr>
            <w:tcW w:w="1480" w:type="dxa"/>
            <w:noWrap/>
            <w:hideMark/>
          </w:tcPr>
          <w:p w14:paraId="01EF5C72" w14:textId="77777777" w:rsidR="002F71B4" w:rsidRPr="002730F6" w:rsidRDefault="002F71B4" w:rsidP="001E566C">
            <w:pPr>
              <w:spacing w:before="240"/>
              <w:jc w:val="both"/>
              <w:rPr>
                <w:rFonts w:ascii="Arial" w:hAnsi="Arial" w:cs="Arial"/>
                <w:b/>
                <w:bCs/>
              </w:rPr>
            </w:pPr>
            <w:proofErr w:type="spellStart"/>
            <w:r w:rsidRPr="002730F6">
              <w:rPr>
                <w:rFonts w:ascii="Arial" w:hAnsi="Arial" w:cs="Arial"/>
                <w:b/>
                <w:bCs/>
              </w:rPr>
              <w:t>RFDos</w:t>
            </w:r>
            <w:proofErr w:type="spellEnd"/>
          </w:p>
        </w:tc>
        <w:tc>
          <w:tcPr>
            <w:tcW w:w="1307" w:type="dxa"/>
            <w:noWrap/>
            <w:hideMark/>
          </w:tcPr>
          <w:p w14:paraId="56BA454C" w14:textId="77777777" w:rsidR="002F71B4" w:rsidRPr="002730F6" w:rsidRDefault="002F71B4" w:rsidP="001E566C">
            <w:pPr>
              <w:spacing w:before="240"/>
              <w:jc w:val="both"/>
              <w:rPr>
                <w:rFonts w:ascii="Arial" w:hAnsi="Arial" w:cs="Arial"/>
              </w:rPr>
            </w:pPr>
            <w:r w:rsidRPr="002730F6">
              <w:rPr>
                <w:rFonts w:ascii="Arial" w:hAnsi="Arial" w:cs="Arial"/>
              </w:rPr>
              <w:t>0</w:t>
            </w:r>
          </w:p>
        </w:tc>
        <w:tc>
          <w:tcPr>
            <w:tcW w:w="1653" w:type="dxa"/>
            <w:noWrap/>
            <w:hideMark/>
          </w:tcPr>
          <w:p w14:paraId="4301642E" w14:textId="77777777" w:rsidR="002F71B4" w:rsidRPr="002730F6" w:rsidRDefault="002F71B4" w:rsidP="001E566C">
            <w:pPr>
              <w:spacing w:before="240"/>
              <w:jc w:val="both"/>
              <w:rPr>
                <w:rFonts w:ascii="Arial" w:hAnsi="Arial" w:cs="Arial"/>
              </w:rPr>
            </w:pPr>
            <w:r w:rsidRPr="002730F6">
              <w:rPr>
                <w:rFonts w:ascii="Arial" w:hAnsi="Arial" w:cs="Arial"/>
              </w:rPr>
              <w:t>0</w:t>
            </w:r>
          </w:p>
        </w:tc>
        <w:tc>
          <w:tcPr>
            <w:tcW w:w="1307" w:type="dxa"/>
            <w:noWrap/>
            <w:hideMark/>
          </w:tcPr>
          <w:p w14:paraId="276D14F3" w14:textId="77777777" w:rsidR="002F71B4" w:rsidRPr="002730F6" w:rsidRDefault="002F71B4" w:rsidP="001E566C">
            <w:pPr>
              <w:spacing w:before="240"/>
              <w:jc w:val="both"/>
              <w:rPr>
                <w:rFonts w:ascii="Arial" w:hAnsi="Arial" w:cs="Arial"/>
              </w:rPr>
            </w:pPr>
            <w:r w:rsidRPr="002730F6">
              <w:rPr>
                <w:rFonts w:ascii="Arial" w:hAnsi="Arial" w:cs="Arial"/>
              </w:rPr>
              <w:t>0</w:t>
            </w:r>
          </w:p>
        </w:tc>
        <w:tc>
          <w:tcPr>
            <w:tcW w:w="1653" w:type="dxa"/>
            <w:noWrap/>
            <w:hideMark/>
          </w:tcPr>
          <w:p w14:paraId="1EC978C2" w14:textId="77777777" w:rsidR="002F71B4" w:rsidRPr="002730F6" w:rsidRDefault="002F71B4" w:rsidP="001E566C">
            <w:pPr>
              <w:spacing w:before="240"/>
              <w:jc w:val="both"/>
              <w:rPr>
                <w:rFonts w:ascii="Arial" w:hAnsi="Arial" w:cs="Arial"/>
              </w:rPr>
            </w:pPr>
            <w:r w:rsidRPr="002730F6">
              <w:rPr>
                <w:rFonts w:ascii="Arial" w:hAnsi="Arial" w:cs="Arial"/>
              </w:rPr>
              <w:t>0.001</w:t>
            </w:r>
          </w:p>
        </w:tc>
      </w:tr>
    </w:tbl>
    <w:p w14:paraId="218DC6D8" w14:textId="77777777" w:rsidR="002F71B4" w:rsidRPr="002730F6" w:rsidRDefault="002F71B4" w:rsidP="002F71B4">
      <w:pPr>
        <w:spacing w:before="240" w:line="360" w:lineRule="auto"/>
        <w:jc w:val="both"/>
        <w:rPr>
          <w:rFonts w:ascii="Arial" w:hAnsi="Arial" w:cs="Arial"/>
        </w:rPr>
      </w:pPr>
      <w:r w:rsidRPr="002730F6">
        <w:rPr>
          <w:rFonts w:ascii="Arial" w:hAnsi="Arial" w:cs="Arial"/>
          <w:b/>
          <w:bCs/>
        </w:rPr>
        <w:t>Note:</w:t>
      </w:r>
      <w:r w:rsidRPr="002730F6">
        <w:rPr>
          <w:rFonts w:ascii="Arial" w:hAnsi="Arial" w:cs="Arial"/>
        </w:rPr>
        <w:t xml:space="preserve">  </w:t>
      </w:r>
      <w:proofErr w:type="spellStart"/>
      <w:r w:rsidRPr="002730F6">
        <w:rPr>
          <w:rFonts w:ascii="Arial" w:hAnsi="Arial" w:cs="Arial"/>
        </w:rPr>
        <w:t>RFDos</w:t>
      </w:r>
      <w:proofErr w:type="spellEnd"/>
      <w:r w:rsidRPr="002730F6">
        <w:rPr>
          <w:rFonts w:ascii="Arial" w:hAnsi="Arial" w:cs="Arial"/>
        </w:rPr>
        <w:t>: reference dosage, HRI: health risk assessment and EDI: estimated daily intake</w:t>
      </w:r>
    </w:p>
    <w:p w14:paraId="57121A9E" w14:textId="77777777" w:rsidR="002F71B4" w:rsidRPr="002730F6" w:rsidRDefault="002F71B4" w:rsidP="002F71B4">
      <w:pPr>
        <w:spacing w:before="240" w:line="360" w:lineRule="auto"/>
        <w:jc w:val="both"/>
        <w:rPr>
          <w:rFonts w:ascii="Arial" w:hAnsi="Arial" w:cs="Arial"/>
        </w:rPr>
      </w:pPr>
      <w:r w:rsidRPr="002730F6">
        <w:rPr>
          <w:rFonts w:ascii="Arial" w:hAnsi="Arial" w:cs="Arial"/>
        </w:rPr>
        <w:t>For Cd, the EDI varied among seafood types, with Crabs and Periwinkles exhibiting EDI values of 0.01 mg/day, while Shrimps had an EDI value of zero, irrespective of the wet or dry season. Despite these differences in EDI values, the corresponding HRIs for Cd were consistently calculated as zero for all seafood types and seasons. This consis</w:t>
      </w:r>
      <w:r w:rsidR="00C44315" w:rsidRPr="002730F6">
        <w:rPr>
          <w:rFonts w:ascii="Arial" w:hAnsi="Arial" w:cs="Arial"/>
        </w:rPr>
        <w:t>tent result indicates</w:t>
      </w:r>
      <w:r w:rsidRPr="002730F6">
        <w:rPr>
          <w:rFonts w:ascii="Arial" w:hAnsi="Arial" w:cs="Arial"/>
        </w:rPr>
        <w:t xml:space="preserve"> that the estimated daily intake of Cd from the seafood samples does not exceed the reference dosage, resulting in negligible health risks associated with Cd intake from these sources.</w:t>
      </w:r>
    </w:p>
    <w:p w14:paraId="6C940A8B" w14:textId="77777777" w:rsidR="002A2CE1" w:rsidRPr="002730F6" w:rsidRDefault="002F71B4" w:rsidP="00E528E2">
      <w:pPr>
        <w:spacing w:before="240" w:line="360" w:lineRule="auto"/>
        <w:jc w:val="both"/>
        <w:rPr>
          <w:rFonts w:ascii="Arial" w:hAnsi="Arial" w:cs="Arial"/>
        </w:rPr>
      </w:pPr>
      <w:r w:rsidRPr="002730F6">
        <w:rPr>
          <w:rFonts w:ascii="Arial" w:hAnsi="Arial" w:cs="Arial"/>
        </w:rPr>
        <w:t>Similarly, for Pb, the EDI values ranged from 0.005 to 0.03 mg/day across seafood types and seasons. Despite these variations, the HRIs for Pb were also consistently calculated as zero for all seafood types and seasons. This uniform outcome suggests that the estimated daily intake of Pb from the seafood samples does not surpass the reference dosage, resulting in minimal health risks associated with Pb intake from these sources. The HRI analysis indicates that the consumption of Crabs, Shrimps, and Periwinkles from the studied area does not pose significant health risks in te</w:t>
      </w:r>
      <w:r w:rsidR="00C44315" w:rsidRPr="002730F6">
        <w:rPr>
          <w:rFonts w:ascii="Arial" w:hAnsi="Arial" w:cs="Arial"/>
        </w:rPr>
        <w:t>rms of Cd and Pb exposure during</w:t>
      </w:r>
      <w:r w:rsidRPr="002730F6">
        <w:rPr>
          <w:rFonts w:ascii="Arial" w:hAnsi="Arial" w:cs="Arial"/>
        </w:rPr>
        <w:t xml:space="preserve"> wet and dry seasons.</w:t>
      </w:r>
      <w:r w:rsidR="00E528E2" w:rsidRPr="002730F6">
        <w:rPr>
          <w:rFonts w:ascii="Arial" w:hAnsi="Arial" w:cs="Arial"/>
        </w:rPr>
        <w:t xml:space="preserve"> </w:t>
      </w:r>
    </w:p>
    <w:p w14:paraId="06656CF6" w14:textId="77777777" w:rsidR="00E528E2" w:rsidRPr="002730F6" w:rsidRDefault="00E528E2" w:rsidP="002F71B4">
      <w:pPr>
        <w:spacing w:before="240" w:line="360" w:lineRule="auto"/>
        <w:jc w:val="both"/>
        <w:rPr>
          <w:rFonts w:ascii="Times New Roman" w:hAnsi="Times New Roman"/>
          <w:sz w:val="24"/>
          <w:szCs w:val="24"/>
        </w:rPr>
      </w:pPr>
      <w:r w:rsidRPr="002730F6">
        <w:rPr>
          <w:rFonts w:ascii="Arial" w:hAnsi="Arial" w:cs="Arial"/>
        </w:rPr>
        <w:t>Shaheen</w:t>
      </w:r>
      <w:r w:rsidR="004F6B74" w:rsidRPr="002730F6">
        <w:rPr>
          <w:rFonts w:ascii="Arial" w:hAnsi="Arial" w:cs="Arial"/>
        </w:rPr>
        <w:t xml:space="preserve"> et al.</w:t>
      </w:r>
      <w:r w:rsidR="00B039D3" w:rsidRPr="002730F6">
        <w:rPr>
          <w:rFonts w:ascii="Arial" w:hAnsi="Arial" w:cs="Arial"/>
        </w:rPr>
        <w:t xml:space="preserve"> [5</w:t>
      </w:r>
      <w:r w:rsidR="00872450">
        <w:rPr>
          <w:rFonts w:ascii="Arial" w:hAnsi="Arial" w:cs="Arial"/>
        </w:rPr>
        <w:t>8</w:t>
      </w:r>
      <w:r w:rsidR="004F6B74" w:rsidRPr="002730F6">
        <w:rPr>
          <w:rFonts w:ascii="Arial" w:hAnsi="Arial" w:cs="Arial"/>
        </w:rPr>
        <w:t xml:space="preserve">] </w:t>
      </w:r>
      <w:r w:rsidRPr="002730F6">
        <w:rPr>
          <w:rFonts w:ascii="Arial" w:hAnsi="Arial" w:cs="Arial"/>
        </w:rPr>
        <w:t>have reported that if THQ is more than 1, there is a potential that it will have an adverse effect</w:t>
      </w:r>
      <w:r w:rsidR="001815CC" w:rsidRPr="002730F6">
        <w:rPr>
          <w:rFonts w:ascii="Arial" w:hAnsi="Arial" w:cs="Arial"/>
        </w:rPr>
        <w:t xml:space="preserve"> on health</w:t>
      </w:r>
      <w:r w:rsidRPr="002730F6">
        <w:rPr>
          <w:rFonts w:ascii="Arial" w:hAnsi="Arial" w:cs="Arial"/>
        </w:rPr>
        <w:t xml:space="preserve"> and if the HRI value is less than 1, </w:t>
      </w:r>
      <w:r w:rsidR="001815CC" w:rsidRPr="002730F6">
        <w:rPr>
          <w:rFonts w:ascii="Arial" w:hAnsi="Arial" w:cs="Arial"/>
        </w:rPr>
        <w:t>the exposed population is safe</w:t>
      </w:r>
      <w:r w:rsidR="004F6B74" w:rsidRPr="002730F6">
        <w:rPr>
          <w:rFonts w:ascii="Arial" w:hAnsi="Arial" w:cs="Arial"/>
        </w:rPr>
        <w:t xml:space="preserve"> [</w:t>
      </w:r>
      <w:r w:rsidR="00B039D3" w:rsidRPr="002730F6">
        <w:rPr>
          <w:rFonts w:ascii="Arial" w:hAnsi="Arial" w:cs="Arial"/>
        </w:rPr>
        <w:t>5</w:t>
      </w:r>
      <w:r w:rsidR="00872450">
        <w:rPr>
          <w:rFonts w:ascii="Arial" w:hAnsi="Arial" w:cs="Arial"/>
        </w:rPr>
        <w:t>9</w:t>
      </w:r>
      <w:r w:rsidR="004F6B74" w:rsidRPr="002730F6">
        <w:t>]</w:t>
      </w:r>
      <w:r w:rsidRPr="002730F6">
        <w:rPr>
          <w:rFonts w:ascii="Arial" w:hAnsi="Arial" w:cs="Arial"/>
        </w:rPr>
        <w:t>.</w:t>
      </w:r>
      <w:r w:rsidR="002A2CE1" w:rsidRPr="002730F6">
        <w:rPr>
          <w:rFonts w:ascii="Times New Roman" w:hAnsi="Times New Roman"/>
          <w:sz w:val="24"/>
          <w:szCs w:val="24"/>
        </w:rPr>
        <w:t xml:space="preserve"> </w:t>
      </w:r>
      <w:r w:rsidR="001815CC" w:rsidRPr="002730F6">
        <w:t>Our results were in line with the reports of other researchers</w:t>
      </w:r>
      <w:r w:rsidR="00872450">
        <w:t xml:space="preserve"> [60,61</w:t>
      </w:r>
      <w:r w:rsidR="001815CC" w:rsidRPr="002730F6">
        <w:t>]</w:t>
      </w:r>
      <w:r w:rsidR="005614A4" w:rsidRPr="002730F6">
        <w:t>. However, some studies have</w:t>
      </w:r>
      <w:r w:rsidRPr="002730F6">
        <w:t xml:space="preserve"> confirm</w:t>
      </w:r>
      <w:r w:rsidR="005614A4" w:rsidRPr="002730F6">
        <w:t>ed</w:t>
      </w:r>
      <w:r w:rsidRPr="002730F6">
        <w:t xml:space="preserve"> THQ values</w:t>
      </w:r>
      <w:r w:rsidR="005614A4" w:rsidRPr="002730F6">
        <w:t xml:space="preserve"> above 1.</w:t>
      </w:r>
      <w:r w:rsidR="001815CC" w:rsidRPr="002730F6">
        <w:t xml:space="preserve"> Lima</w:t>
      </w:r>
      <w:r w:rsidR="004F6B74" w:rsidRPr="002730F6">
        <w:t xml:space="preserve"> et al.</w:t>
      </w:r>
      <w:r w:rsidRPr="002730F6">
        <w:t xml:space="preserve"> </w:t>
      </w:r>
      <w:r w:rsidR="00B039D3" w:rsidRPr="002730F6">
        <w:t>[6</w:t>
      </w:r>
      <w:r w:rsidR="00872450">
        <w:t>2</w:t>
      </w:r>
      <w:r w:rsidR="004F6B74" w:rsidRPr="002730F6">
        <w:t xml:space="preserve">] </w:t>
      </w:r>
      <w:r w:rsidRPr="002730F6">
        <w:t>confirmed THQ</w:t>
      </w:r>
      <w:r w:rsidR="004F6B74" w:rsidRPr="002730F6">
        <w:rPr>
          <w:vertAlign w:val="subscript"/>
        </w:rPr>
        <w:t xml:space="preserve"> </w:t>
      </w:r>
      <w:r w:rsidR="004F6B74" w:rsidRPr="002730F6">
        <w:t>(in lead)</w:t>
      </w:r>
      <w:r w:rsidRPr="002730F6">
        <w:t xml:space="preserve"> in the range of 1.75–3.60, which could </w:t>
      </w:r>
      <w:r w:rsidR="005614A4" w:rsidRPr="002730F6">
        <w:t>pose a threat as lead</w:t>
      </w:r>
      <w:r w:rsidRPr="002730F6">
        <w:t xml:space="preserve"> contribute</w:t>
      </w:r>
      <w:r w:rsidR="005614A4" w:rsidRPr="002730F6">
        <w:t>s to lung cancer,</w:t>
      </w:r>
      <w:r w:rsidRPr="002730F6">
        <w:t xml:space="preserve"> brain and liver damage </w:t>
      </w:r>
      <w:r w:rsidR="00B039D3" w:rsidRPr="002730F6">
        <w:t>[6</w:t>
      </w:r>
      <w:r w:rsidR="00872450">
        <w:t>3</w:t>
      </w:r>
      <w:r w:rsidR="001815CC" w:rsidRPr="002730F6">
        <w:t>]. They further</w:t>
      </w:r>
      <w:r w:rsidRPr="002730F6">
        <w:t xml:space="preserve"> confirmed very high values of TTHQ in excess of 2.66 that they attributed to, inter alia, low water quality and lead contamination in bottom sediments.</w:t>
      </w:r>
    </w:p>
    <w:p w14:paraId="7C11D395" w14:textId="77777777" w:rsidR="002F71B4" w:rsidRPr="002730F6" w:rsidRDefault="001815CC" w:rsidP="002F71B4">
      <w:pPr>
        <w:spacing w:before="240" w:line="360" w:lineRule="auto"/>
        <w:jc w:val="both"/>
        <w:rPr>
          <w:rFonts w:ascii="Arial" w:hAnsi="Arial" w:cs="Arial"/>
        </w:rPr>
      </w:pPr>
      <w:r w:rsidRPr="002730F6">
        <w:rPr>
          <w:rFonts w:ascii="Arial" w:hAnsi="Arial" w:cs="Arial"/>
        </w:rPr>
        <w:t>Although, t</w:t>
      </w:r>
      <w:r w:rsidR="00E528E2" w:rsidRPr="002730F6">
        <w:rPr>
          <w:rFonts w:ascii="Arial" w:hAnsi="Arial" w:cs="Arial"/>
        </w:rPr>
        <w:t>he calcu</w:t>
      </w:r>
      <w:r w:rsidRPr="002730F6">
        <w:rPr>
          <w:rFonts w:ascii="Arial" w:hAnsi="Arial" w:cs="Arial"/>
        </w:rPr>
        <w:t>lated risk factors</w:t>
      </w:r>
      <w:r w:rsidR="00E528E2" w:rsidRPr="002730F6">
        <w:rPr>
          <w:rFonts w:ascii="Arial" w:hAnsi="Arial" w:cs="Arial"/>
        </w:rPr>
        <w:t xml:space="preserve"> indicate</w:t>
      </w:r>
      <w:r w:rsidRPr="002730F6">
        <w:rPr>
          <w:rFonts w:ascii="Arial" w:hAnsi="Arial" w:cs="Arial"/>
        </w:rPr>
        <w:t>d</w:t>
      </w:r>
      <w:r w:rsidR="00E528E2" w:rsidRPr="002730F6">
        <w:rPr>
          <w:rFonts w:ascii="Arial" w:hAnsi="Arial" w:cs="Arial"/>
        </w:rPr>
        <w:t xml:space="preserve"> a negligi</w:t>
      </w:r>
      <w:r w:rsidRPr="002730F6">
        <w:rPr>
          <w:rFonts w:ascii="Arial" w:hAnsi="Arial" w:cs="Arial"/>
        </w:rPr>
        <w:t xml:space="preserve">ble probability of health risk </w:t>
      </w:r>
      <w:r w:rsidR="00E528E2" w:rsidRPr="002730F6">
        <w:rPr>
          <w:rFonts w:ascii="Arial" w:hAnsi="Arial" w:cs="Arial"/>
        </w:rPr>
        <w:t>rising from the c</w:t>
      </w:r>
      <w:r w:rsidR="004F6B74" w:rsidRPr="002730F6">
        <w:rPr>
          <w:rFonts w:ascii="Arial" w:hAnsi="Arial" w:cs="Arial"/>
        </w:rPr>
        <w:t>onsumption of these</w:t>
      </w:r>
      <w:r w:rsidR="00E528E2" w:rsidRPr="002730F6">
        <w:rPr>
          <w:rFonts w:ascii="Arial" w:hAnsi="Arial" w:cs="Arial"/>
        </w:rPr>
        <w:t xml:space="preserve"> seafoods</w:t>
      </w:r>
      <w:r w:rsidR="005614A4" w:rsidRPr="002730F6">
        <w:rPr>
          <w:rFonts w:ascii="Arial" w:hAnsi="Arial" w:cs="Arial"/>
        </w:rPr>
        <w:t>, nonetheless,</w:t>
      </w:r>
      <w:r w:rsidR="004F6B74" w:rsidRPr="002730F6">
        <w:rPr>
          <w:rFonts w:ascii="Arial" w:hAnsi="Arial" w:cs="Arial"/>
        </w:rPr>
        <w:t xml:space="preserve"> the</w:t>
      </w:r>
      <w:r w:rsidR="00E528E2" w:rsidRPr="002730F6">
        <w:rPr>
          <w:rFonts w:ascii="Arial" w:hAnsi="Arial" w:cs="Arial"/>
        </w:rPr>
        <w:t xml:space="preserve"> limited amount of available literature </w:t>
      </w:r>
      <w:r w:rsidR="005614A4" w:rsidRPr="002730F6">
        <w:rPr>
          <w:rFonts w:ascii="Arial" w:hAnsi="Arial" w:cs="Arial"/>
        </w:rPr>
        <w:t>facts</w:t>
      </w:r>
      <w:r w:rsidR="00E528E2" w:rsidRPr="002730F6">
        <w:rPr>
          <w:rFonts w:ascii="Arial" w:hAnsi="Arial" w:cs="Arial"/>
        </w:rPr>
        <w:t xml:space="preserve">, it is </w:t>
      </w:r>
      <w:r w:rsidR="005614A4" w:rsidRPr="002730F6">
        <w:rPr>
          <w:rFonts w:ascii="Arial" w:hAnsi="Arial" w:cs="Arial"/>
        </w:rPr>
        <w:t>challenging</w:t>
      </w:r>
      <w:r w:rsidR="00E528E2" w:rsidRPr="002730F6">
        <w:rPr>
          <w:rFonts w:ascii="Arial" w:hAnsi="Arial" w:cs="Arial"/>
        </w:rPr>
        <w:t xml:space="preserve"> to </w:t>
      </w:r>
      <w:r w:rsidR="005614A4" w:rsidRPr="002730F6">
        <w:rPr>
          <w:rFonts w:ascii="Arial" w:hAnsi="Arial" w:cs="Arial"/>
        </w:rPr>
        <w:t>eliminate such risk</w:t>
      </w:r>
      <w:r w:rsidR="00E528E2" w:rsidRPr="002730F6">
        <w:rPr>
          <w:rFonts w:ascii="Arial" w:hAnsi="Arial" w:cs="Arial"/>
        </w:rPr>
        <w:t xml:space="preserve"> </w:t>
      </w:r>
      <w:r w:rsidR="005614A4" w:rsidRPr="002730F6">
        <w:rPr>
          <w:rFonts w:ascii="Arial" w:hAnsi="Arial" w:cs="Arial"/>
        </w:rPr>
        <w:t>occurring</w:t>
      </w:r>
      <w:r w:rsidR="00E528E2" w:rsidRPr="002730F6">
        <w:rPr>
          <w:rFonts w:ascii="Arial" w:hAnsi="Arial" w:cs="Arial"/>
        </w:rPr>
        <w:t xml:space="preserve"> elsewhere, </w:t>
      </w:r>
      <w:r w:rsidR="004F6B74" w:rsidRPr="002730F6">
        <w:rPr>
          <w:rFonts w:ascii="Arial" w:hAnsi="Arial" w:cs="Arial"/>
        </w:rPr>
        <w:t>particularly</w:t>
      </w:r>
      <w:r w:rsidR="00E528E2" w:rsidRPr="002730F6">
        <w:rPr>
          <w:rFonts w:ascii="Arial" w:hAnsi="Arial" w:cs="Arial"/>
        </w:rPr>
        <w:t xml:space="preserve"> in people based on these products.</w:t>
      </w:r>
    </w:p>
    <w:p w14:paraId="52EF0080" w14:textId="77777777" w:rsidR="00CE02ED" w:rsidRPr="002730F6" w:rsidRDefault="00CE02ED" w:rsidP="00CE02ED">
      <w:pPr>
        <w:pStyle w:val="Head1"/>
        <w:spacing w:after="0"/>
        <w:jc w:val="both"/>
        <w:rPr>
          <w:rFonts w:ascii="Arial" w:hAnsi="Arial" w:cs="Arial"/>
        </w:rPr>
      </w:pPr>
    </w:p>
    <w:p w14:paraId="35F314A1" w14:textId="77777777" w:rsidR="00CE02ED" w:rsidRPr="002730F6" w:rsidRDefault="00CE02ED" w:rsidP="00CE02ED">
      <w:pPr>
        <w:pStyle w:val="ConcHead"/>
        <w:spacing w:after="0"/>
        <w:jc w:val="both"/>
        <w:rPr>
          <w:rFonts w:ascii="Arial" w:hAnsi="Arial" w:cs="Arial"/>
        </w:rPr>
      </w:pPr>
      <w:r w:rsidRPr="002730F6">
        <w:rPr>
          <w:rFonts w:ascii="Arial" w:hAnsi="Arial" w:cs="Arial"/>
        </w:rPr>
        <w:t>4. Conclusion</w:t>
      </w:r>
    </w:p>
    <w:p w14:paraId="496B2E11" w14:textId="77777777" w:rsidR="00CE02ED" w:rsidRPr="002730F6" w:rsidRDefault="00CE02ED" w:rsidP="00CE02ED">
      <w:pPr>
        <w:pStyle w:val="ConcHead"/>
        <w:spacing w:after="0"/>
        <w:jc w:val="both"/>
        <w:rPr>
          <w:rFonts w:ascii="Arial" w:hAnsi="Arial" w:cs="Arial"/>
        </w:rPr>
      </w:pPr>
    </w:p>
    <w:p w14:paraId="2FD32A41" w14:textId="77777777" w:rsidR="00BF753D" w:rsidRPr="002730F6" w:rsidRDefault="00BF753D" w:rsidP="00BF753D">
      <w:pPr>
        <w:spacing w:line="360" w:lineRule="auto"/>
        <w:jc w:val="both"/>
        <w:rPr>
          <w:rFonts w:ascii="Arial" w:hAnsi="Arial" w:cs="Arial"/>
        </w:rPr>
      </w:pPr>
      <w:r w:rsidRPr="002730F6">
        <w:rPr>
          <w:rFonts w:ascii="Arial" w:hAnsi="Arial" w:cs="Arial"/>
        </w:rPr>
        <w:t>This study assessed heavy metal concentration</w:t>
      </w:r>
      <w:r w:rsidR="004F5DC5" w:rsidRPr="002730F6">
        <w:rPr>
          <w:rFonts w:ascii="Arial" w:hAnsi="Arial" w:cs="Arial"/>
        </w:rPr>
        <w:t>s and bacteriological quality of selected</w:t>
      </w:r>
      <w:r w:rsidRPr="002730F6">
        <w:rPr>
          <w:rFonts w:ascii="Arial" w:hAnsi="Arial" w:cs="Arial"/>
        </w:rPr>
        <w:t xml:space="preserve"> seafood samples from </w:t>
      </w:r>
      <w:proofErr w:type="spellStart"/>
      <w:r w:rsidRPr="002730F6">
        <w:rPr>
          <w:rFonts w:ascii="Arial" w:hAnsi="Arial" w:cs="Arial"/>
        </w:rPr>
        <w:t>Yokri</w:t>
      </w:r>
      <w:proofErr w:type="spellEnd"/>
      <w:r w:rsidR="008733AD" w:rsidRPr="002730F6">
        <w:rPr>
          <w:rFonts w:ascii="Arial" w:hAnsi="Arial" w:cs="Arial"/>
        </w:rPr>
        <w:t xml:space="preserve"> commu</w:t>
      </w:r>
      <w:r w:rsidR="008733AD" w:rsidRPr="002730F6">
        <w:rPr>
          <w:rFonts w:ascii="Arial" w:hAnsi="Arial" w:cs="Arial"/>
          <w:sz w:val="22"/>
          <w:szCs w:val="22"/>
        </w:rPr>
        <w:t>n</w:t>
      </w:r>
      <w:r w:rsidR="008733AD" w:rsidRPr="002730F6">
        <w:rPr>
          <w:rFonts w:ascii="Arial" w:hAnsi="Arial" w:cs="Arial"/>
        </w:rPr>
        <w:t>ity</w:t>
      </w:r>
      <w:r w:rsidRPr="002730F6">
        <w:rPr>
          <w:rFonts w:ascii="Arial" w:hAnsi="Arial" w:cs="Arial"/>
        </w:rPr>
        <w:t>,</w:t>
      </w:r>
      <w:r w:rsidR="008733AD" w:rsidRPr="002730F6">
        <w:rPr>
          <w:rFonts w:ascii="Arial" w:hAnsi="Arial" w:cs="Arial"/>
        </w:rPr>
        <w:t xml:space="preserve"> </w:t>
      </w:r>
      <w:proofErr w:type="spellStart"/>
      <w:r w:rsidR="008733AD" w:rsidRPr="002730F6">
        <w:rPr>
          <w:rFonts w:ascii="Arial" w:hAnsi="Arial" w:cs="Arial"/>
        </w:rPr>
        <w:t>Burutu</w:t>
      </w:r>
      <w:proofErr w:type="spellEnd"/>
      <w:r w:rsidR="008733AD" w:rsidRPr="002730F6">
        <w:rPr>
          <w:rFonts w:ascii="Arial" w:hAnsi="Arial" w:cs="Arial"/>
        </w:rPr>
        <w:t xml:space="preserve"> Local Gover</w:t>
      </w:r>
      <w:r w:rsidR="008733AD" w:rsidRPr="002730F6">
        <w:rPr>
          <w:rFonts w:ascii="Arial" w:hAnsi="Arial" w:cs="Arial"/>
          <w:sz w:val="22"/>
          <w:szCs w:val="22"/>
        </w:rPr>
        <w:t>n</w:t>
      </w:r>
      <w:r w:rsidR="008733AD" w:rsidRPr="002730F6">
        <w:rPr>
          <w:rFonts w:ascii="Arial" w:hAnsi="Arial" w:cs="Arial"/>
        </w:rPr>
        <w:t>me</w:t>
      </w:r>
      <w:r w:rsidR="00797334" w:rsidRPr="002730F6">
        <w:rPr>
          <w:rFonts w:ascii="Arial" w:hAnsi="Arial" w:cs="Arial"/>
          <w:sz w:val="22"/>
          <w:szCs w:val="22"/>
        </w:rPr>
        <w:t>n</w:t>
      </w:r>
      <w:r w:rsidR="008733AD" w:rsidRPr="002730F6">
        <w:rPr>
          <w:rFonts w:ascii="Arial" w:hAnsi="Arial" w:cs="Arial"/>
        </w:rPr>
        <w:t>t Area of Delta State,</w:t>
      </w:r>
      <w:r w:rsidRPr="002730F6">
        <w:rPr>
          <w:rFonts w:ascii="Arial" w:hAnsi="Arial" w:cs="Arial"/>
        </w:rPr>
        <w:t xml:space="preserve"> Nigeria, during wet and dry seasons</w:t>
      </w:r>
      <w:r w:rsidR="003931A7" w:rsidRPr="002730F6">
        <w:rPr>
          <w:rFonts w:ascii="Arial" w:hAnsi="Arial" w:cs="Arial"/>
        </w:rPr>
        <w:t xml:space="preserve"> (peak seasons)</w:t>
      </w:r>
      <w:r w:rsidR="004F5DC5" w:rsidRPr="002730F6">
        <w:rPr>
          <w:rFonts w:ascii="Arial" w:hAnsi="Arial" w:cs="Arial"/>
        </w:rPr>
        <w:t>, to ascertain the public health risks associated with the consumption of such foods.</w:t>
      </w:r>
      <w:r w:rsidRPr="002730F6">
        <w:rPr>
          <w:rFonts w:ascii="Arial" w:hAnsi="Arial" w:cs="Arial"/>
        </w:rPr>
        <w:t xml:space="preserve"> Analysis revealed</w:t>
      </w:r>
      <w:r w:rsidR="00797334" w:rsidRPr="002730F6">
        <w:rPr>
          <w:rFonts w:ascii="Arial" w:hAnsi="Arial" w:cs="Arial"/>
        </w:rPr>
        <w:t xml:space="preserve"> varying levels of heavy metals;</w:t>
      </w:r>
      <w:r w:rsidRPr="002730F6">
        <w:rPr>
          <w:rFonts w:ascii="Arial" w:hAnsi="Arial" w:cs="Arial"/>
        </w:rPr>
        <w:t xml:space="preserve"> Pb and Cd in the Crabs, Shrimps, and Periwinkles samples. While within regulatory limits, continuous monitoring </w:t>
      </w:r>
      <w:r w:rsidR="008733AD" w:rsidRPr="002730F6">
        <w:rPr>
          <w:rFonts w:ascii="Arial" w:hAnsi="Arial" w:cs="Arial"/>
        </w:rPr>
        <w:t>of</w:t>
      </w:r>
      <w:r w:rsidR="00B42598" w:rsidRPr="002730F6">
        <w:rPr>
          <w:rFonts w:ascii="Arial" w:hAnsi="Arial" w:cs="Arial"/>
        </w:rPr>
        <w:t xml:space="preserve"> crude oil exploration activities by oil companies and domestic activities around the river by indigenes of the community should be done by appropriate regulatory authorities to prevent </w:t>
      </w:r>
      <w:r w:rsidRPr="002730F6">
        <w:rPr>
          <w:rFonts w:ascii="Arial" w:hAnsi="Arial" w:cs="Arial"/>
        </w:rPr>
        <w:t>potential long-te</w:t>
      </w:r>
      <w:r w:rsidR="00872450">
        <w:rPr>
          <w:rFonts w:ascii="Arial" w:hAnsi="Arial" w:cs="Arial"/>
        </w:rPr>
        <w:t>rm health risks.</w:t>
      </w:r>
      <w:r w:rsidRPr="002730F6">
        <w:rPr>
          <w:rFonts w:ascii="Arial" w:hAnsi="Arial" w:cs="Arial"/>
        </w:rPr>
        <w:t xml:space="preserve"> </w:t>
      </w:r>
      <w:r w:rsidR="00B42598" w:rsidRPr="002730F6">
        <w:rPr>
          <w:rFonts w:ascii="Arial" w:hAnsi="Arial" w:cs="Arial"/>
        </w:rPr>
        <w:t xml:space="preserve">Bacterial </w:t>
      </w:r>
      <w:r w:rsidR="007D07E2" w:rsidRPr="002730F6">
        <w:rPr>
          <w:rFonts w:ascii="Arial" w:hAnsi="Arial" w:cs="Arial"/>
        </w:rPr>
        <w:t>analysis identified apprecia</w:t>
      </w:r>
      <w:r w:rsidR="004A438C" w:rsidRPr="002730F6">
        <w:rPr>
          <w:rFonts w:ascii="Arial" w:hAnsi="Arial" w:cs="Arial"/>
        </w:rPr>
        <w:t>b</w:t>
      </w:r>
      <w:r w:rsidR="007D07E2" w:rsidRPr="002730F6">
        <w:rPr>
          <w:rFonts w:ascii="Arial" w:hAnsi="Arial" w:cs="Arial"/>
        </w:rPr>
        <w:t>le populatio</w:t>
      </w:r>
      <w:r w:rsidR="004A438C" w:rsidRPr="002730F6">
        <w:rPr>
          <w:rFonts w:ascii="Arial" w:hAnsi="Arial" w:cs="Arial"/>
        </w:rPr>
        <w:t>n</w:t>
      </w:r>
      <w:r w:rsidR="007D07E2" w:rsidRPr="002730F6">
        <w:rPr>
          <w:rFonts w:ascii="Arial" w:hAnsi="Arial" w:cs="Arial"/>
        </w:rPr>
        <w:t>s of pote</w:t>
      </w:r>
      <w:r w:rsidR="004A438C" w:rsidRPr="002730F6">
        <w:rPr>
          <w:rFonts w:ascii="Arial" w:hAnsi="Arial" w:cs="Arial"/>
        </w:rPr>
        <w:t>n</w:t>
      </w:r>
      <w:r w:rsidR="007D07E2" w:rsidRPr="002730F6">
        <w:rPr>
          <w:rFonts w:ascii="Arial" w:hAnsi="Arial" w:cs="Arial"/>
        </w:rPr>
        <w:t>tial</w:t>
      </w:r>
      <w:r w:rsidR="00797334" w:rsidRPr="002730F6">
        <w:rPr>
          <w:rFonts w:ascii="Arial" w:hAnsi="Arial" w:cs="Arial"/>
        </w:rPr>
        <w:t xml:space="preserve"> e</w:t>
      </w:r>
      <w:r w:rsidR="00797334" w:rsidRPr="002730F6">
        <w:rPr>
          <w:rFonts w:ascii="Arial" w:hAnsi="Arial" w:cs="Arial"/>
          <w:sz w:val="22"/>
          <w:szCs w:val="22"/>
        </w:rPr>
        <w:t>n</w:t>
      </w:r>
      <w:r w:rsidR="00797334" w:rsidRPr="002730F6">
        <w:rPr>
          <w:rFonts w:ascii="Arial" w:hAnsi="Arial" w:cs="Arial"/>
        </w:rPr>
        <w:t>teric</w:t>
      </w:r>
      <w:r w:rsidRPr="002730F6">
        <w:rPr>
          <w:rFonts w:ascii="Arial" w:hAnsi="Arial" w:cs="Arial"/>
        </w:rPr>
        <w:t xml:space="preserve"> pathogens</w:t>
      </w:r>
      <w:r w:rsidR="007D07E2" w:rsidRPr="002730F6">
        <w:rPr>
          <w:rFonts w:ascii="Arial" w:hAnsi="Arial" w:cs="Arial"/>
        </w:rPr>
        <w:t xml:space="preserve"> (i.e. </w:t>
      </w:r>
      <w:r w:rsidR="004A438C" w:rsidRPr="002730F6">
        <w:rPr>
          <w:rFonts w:ascii="Arial" w:hAnsi="Arial" w:cs="Arial"/>
          <w:i/>
        </w:rPr>
        <w:t>Entero</w:t>
      </w:r>
      <w:r w:rsidR="00A1369E" w:rsidRPr="002730F6">
        <w:rPr>
          <w:rFonts w:ascii="Arial" w:hAnsi="Arial" w:cs="Arial"/>
          <w:i/>
        </w:rPr>
        <w:t>b</w:t>
      </w:r>
      <w:r w:rsidR="004A438C" w:rsidRPr="002730F6">
        <w:rPr>
          <w:rFonts w:ascii="Arial" w:hAnsi="Arial" w:cs="Arial"/>
          <w:i/>
        </w:rPr>
        <w:t>acteriaceae</w:t>
      </w:r>
      <w:r w:rsidR="004A438C" w:rsidRPr="002730F6">
        <w:rPr>
          <w:rFonts w:ascii="Arial" w:hAnsi="Arial" w:cs="Arial"/>
        </w:rPr>
        <w:t xml:space="preserve">, </w:t>
      </w:r>
      <w:r w:rsidR="004A438C" w:rsidRPr="002730F6">
        <w:rPr>
          <w:rFonts w:ascii="Arial" w:hAnsi="Arial" w:cs="Arial"/>
          <w:i/>
        </w:rPr>
        <w:t>Salmon</w:t>
      </w:r>
      <w:r w:rsidR="007D07E2" w:rsidRPr="002730F6">
        <w:rPr>
          <w:rFonts w:ascii="Arial" w:hAnsi="Arial" w:cs="Arial"/>
          <w:i/>
        </w:rPr>
        <w:t>ella-</w:t>
      </w:r>
      <w:r w:rsidR="004A438C" w:rsidRPr="002730F6">
        <w:rPr>
          <w:rFonts w:ascii="Arial" w:hAnsi="Arial" w:cs="Arial"/>
          <w:i/>
        </w:rPr>
        <w:t>S</w:t>
      </w:r>
      <w:r w:rsidR="007D07E2" w:rsidRPr="002730F6">
        <w:rPr>
          <w:rFonts w:ascii="Arial" w:hAnsi="Arial" w:cs="Arial"/>
          <w:i/>
        </w:rPr>
        <w:t>higella</w:t>
      </w:r>
      <w:r w:rsidRPr="002730F6">
        <w:rPr>
          <w:rFonts w:ascii="Arial" w:hAnsi="Arial" w:cs="Arial"/>
        </w:rPr>
        <w:t>,</w:t>
      </w:r>
      <w:r w:rsidR="004A438C" w:rsidRPr="002730F6">
        <w:rPr>
          <w:rFonts w:ascii="Arial" w:hAnsi="Arial" w:cs="Arial"/>
        </w:rPr>
        <w:t xml:space="preserve"> and </w:t>
      </w:r>
      <w:r w:rsidR="004A438C" w:rsidRPr="002730F6">
        <w:rPr>
          <w:rFonts w:ascii="Arial" w:hAnsi="Arial" w:cs="Arial"/>
          <w:i/>
        </w:rPr>
        <w:t>Vibrio</w:t>
      </w:r>
      <w:r w:rsidR="004A438C" w:rsidRPr="002730F6">
        <w:rPr>
          <w:rFonts w:ascii="Arial" w:hAnsi="Arial" w:cs="Arial"/>
        </w:rPr>
        <w:t>) cou</w:t>
      </w:r>
      <w:r w:rsidR="00A1369E" w:rsidRPr="002730F6">
        <w:rPr>
          <w:rFonts w:ascii="Arial" w:hAnsi="Arial" w:cs="Arial"/>
        </w:rPr>
        <w:t>n</w:t>
      </w:r>
      <w:r w:rsidR="004A438C" w:rsidRPr="002730F6">
        <w:rPr>
          <w:rFonts w:ascii="Arial" w:hAnsi="Arial" w:cs="Arial"/>
        </w:rPr>
        <w:t>ts</w:t>
      </w:r>
      <w:r w:rsidRPr="002730F6">
        <w:rPr>
          <w:rFonts w:ascii="Arial" w:hAnsi="Arial" w:cs="Arial"/>
        </w:rPr>
        <w:t xml:space="preserve"> indicating </w:t>
      </w:r>
      <w:r w:rsidR="004A438C" w:rsidRPr="002730F6">
        <w:rPr>
          <w:rFonts w:ascii="Arial" w:hAnsi="Arial" w:cs="Arial"/>
        </w:rPr>
        <w:t xml:space="preserve">possible </w:t>
      </w:r>
      <w:proofErr w:type="spellStart"/>
      <w:r w:rsidRPr="002730F6">
        <w:rPr>
          <w:rFonts w:ascii="Arial" w:hAnsi="Arial" w:cs="Arial"/>
        </w:rPr>
        <w:t>faecal</w:t>
      </w:r>
      <w:proofErr w:type="spellEnd"/>
      <w:r w:rsidRPr="002730F6">
        <w:rPr>
          <w:rFonts w:ascii="Arial" w:hAnsi="Arial" w:cs="Arial"/>
        </w:rPr>
        <w:t xml:space="preserve"> contamination and potential health hazards.</w:t>
      </w:r>
      <w:r w:rsidR="00157DDD" w:rsidRPr="002730F6">
        <w:rPr>
          <w:rFonts w:ascii="Arial" w:hAnsi="Arial" w:cs="Arial"/>
        </w:rPr>
        <w:t xml:space="preserve"> </w:t>
      </w:r>
      <w:r w:rsidR="001C2C5C" w:rsidRPr="002730F6">
        <w:rPr>
          <w:rFonts w:ascii="Arial" w:hAnsi="Arial" w:cs="Arial"/>
        </w:rPr>
        <w:t>In spite of this, total viable counts enumerated in this study were within permissible limits stipulated by International</w:t>
      </w:r>
      <w:r w:rsidR="00157DDD" w:rsidRPr="002730F6">
        <w:rPr>
          <w:rFonts w:ascii="Arial" w:hAnsi="Arial" w:cs="Arial"/>
        </w:rPr>
        <w:t xml:space="preserve"> Commission on Microbiological Specification for Food</w:t>
      </w:r>
      <w:r w:rsidR="001C2C5C" w:rsidRPr="002730F6">
        <w:rPr>
          <w:rFonts w:ascii="Arial" w:hAnsi="Arial" w:cs="Arial"/>
        </w:rPr>
        <w:t>,</w:t>
      </w:r>
      <w:r w:rsidR="00157DDD" w:rsidRPr="002730F6">
        <w:rPr>
          <w:rFonts w:ascii="Arial" w:hAnsi="Arial" w:cs="Arial"/>
        </w:rPr>
        <w:t xml:space="preserve"> United </w:t>
      </w:r>
      <w:r w:rsidR="00157DDD" w:rsidRPr="002730F6">
        <w:rPr>
          <w:rFonts w:ascii="Arial" w:hAnsi="Arial" w:cs="Arial"/>
        </w:rPr>
        <w:lastRenderedPageBreak/>
        <w:t xml:space="preserve">States Food </w:t>
      </w:r>
      <w:r w:rsidR="001C2C5C" w:rsidRPr="002730F6">
        <w:rPr>
          <w:rFonts w:ascii="Arial" w:hAnsi="Arial" w:cs="Arial"/>
        </w:rPr>
        <w:t xml:space="preserve">and </w:t>
      </w:r>
      <w:r w:rsidR="00157DDD" w:rsidRPr="002730F6">
        <w:rPr>
          <w:rFonts w:ascii="Arial" w:hAnsi="Arial" w:cs="Arial"/>
        </w:rPr>
        <w:t>Drugs Administration</w:t>
      </w:r>
      <w:r w:rsidR="001C2C5C" w:rsidRPr="002730F6">
        <w:rPr>
          <w:rFonts w:ascii="Arial" w:hAnsi="Arial" w:cs="Arial"/>
        </w:rPr>
        <w:t xml:space="preserve"> and </w:t>
      </w:r>
      <w:r w:rsidR="00157DDD" w:rsidRPr="002730F6">
        <w:rPr>
          <w:rFonts w:ascii="Arial" w:hAnsi="Arial" w:cs="Arial"/>
        </w:rPr>
        <w:t xml:space="preserve">National Agency for Food and Drug Administration </w:t>
      </w:r>
      <w:r w:rsidR="001C2C5C" w:rsidRPr="002730F6">
        <w:rPr>
          <w:rFonts w:ascii="Arial" w:hAnsi="Arial" w:cs="Arial"/>
        </w:rPr>
        <w:t xml:space="preserve">(total </w:t>
      </w:r>
      <w:r w:rsidR="00157DDD" w:rsidRPr="002730F6">
        <w:rPr>
          <w:rFonts w:ascii="Arial" w:hAnsi="Arial" w:cs="Arial"/>
        </w:rPr>
        <w:t xml:space="preserve">viable </w:t>
      </w:r>
      <w:r w:rsidR="001C2C5C" w:rsidRPr="002730F6">
        <w:rPr>
          <w:rFonts w:ascii="Arial" w:hAnsi="Arial" w:cs="Arial"/>
        </w:rPr>
        <w:t xml:space="preserve">bacterial </w:t>
      </w:r>
      <w:r w:rsidR="00157DDD" w:rsidRPr="002730F6">
        <w:rPr>
          <w:rFonts w:ascii="Arial" w:hAnsi="Arial" w:cs="Arial"/>
        </w:rPr>
        <w:t>counts not greater than</w:t>
      </w:r>
      <w:r w:rsidR="001C2C5C" w:rsidRPr="002730F6">
        <w:rPr>
          <w:rFonts w:ascii="Arial" w:hAnsi="Arial" w:cs="Arial"/>
        </w:rPr>
        <w:t xml:space="preserve"> 5.0 ×</w:t>
      </w:r>
      <w:r w:rsidR="00157DDD" w:rsidRPr="002730F6">
        <w:rPr>
          <w:rFonts w:ascii="Arial" w:hAnsi="Arial" w:cs="Arial"/>
        </w:rPr>
        <w:t>10</w:t>
      </w:r>
      <w:r w:rsidR="00157DDD" w:rsidRPr="002730F6">
        <w:rPr>
          <w:rFonts w:ascii="Arial" w:hAnsi="Arial" w:cs="Arial"/>
          <w:vertAlign w:val="superscript"/>
        </w:rPr>
        <w:t>5</w:t>
      </w:r>
      <w:r w:rsidR="00157DDD" w:rsidRPr="002730F6">
        <w:rPr>
          <w:rFonts w:ascii="Arial" w:hAnsi="Arial" w:cs="Arial"/>
        </w:rPr>
        <w:t xml:space="preserve"> CFU/g and 1.0 × 10</w:t>
      </w:r>
      <w:r w:rsidR="00157DDD" w:rsidRPr="002730F6">
        <w:rPr>
          <w:rFonts w:ascii="Arial" w:hAnsi="Arial" w:cs="Arial"/>
          <w:vertAlign w:val="superscript"/>
        </w:rPr>
        <w:t>6</w:t>
      </w:r>
      <w:r w:rsidR="00157DDD" w:rsidRPr="002730F6">
        <w:rPr>
          <w:rFonts w:ascii="Arial" w:hAnsi="Arial" w:cs="Arial"/>
        </w:rPr>
        <w:t xml:space="preserve"> CFU/g</w:t>
      </w:r>
      <w:r w:rsidR="001C2C5C" w:rsidRPr="002730F6">
        <w:rPr>
          <w:rFonts w:ascii="Arial" w:hAnsi="Arial" w:cs="Arial"/>
        </w:rPr>
        <w:t>)</w:t>
      </w:r>
      <w:r w:rsidR="00157DDD" w:rsidRPr="002730F6">
        <w:rPr>
          <w:rFonts w:ascii="Arial" w:hAnsi="Arial" w:cs="Arial"/>
        </w:rPr>
        <w:t>.</w:t>
      </w:r>
      <w:r w:rsidRPr="002730F6">
        <w:rPr>
          <w:rFonts w:ascii="Arial" w:hAnsi="Arial" w:cs="Arial"/>
        </w:rPr>
        <w:t xml:space="preserve"> Pollution sources, particularly from oil exploration activities, may </w:t>
      </w:r>
      <w:r w:rsidR="004A438C" w:rsidRPr="002730F6">
        <w:rPr>
          <w:rFonts w:ascii="Arial" w:hAnsi="Arial" w:cs="Arial"/>
        </w:rPr>
        <w:t xml:space="preserve">have </w:t>
      </w:r>
      <w:r w:rsidRPr="002730F6">
        <w:rPr>
          <w:rFonts w:ascii="Arial" w:hAnsi="Arial" w:cs="Arial"/>
        </w:rPr>
        <w:t>contribute</w:t>
      </w:r>
      <w:r w:rsidR="004A438C" w:rsidRPr="002730F6">
        <w:rPr>
          <w:rFonts w:ascii="Arial" w:hAnsi="Arial" w:cs="Arial"/>
        </w:rPr>
        <w:t>d</w:t>
      </w:r>
      <w:r w:rsidRPr="002730F6">
        <w:rPr>
          <w:rFonts w:ascii="Arial" w:hAnsi="Arial" w:cs="Arial"/>
        </w:rPr>
        <w:t xml:space="preserve"> to </w:t>
      </w:r>
      <w:r w:rsidR="004A438C" w:rsidRPr="002730F6">
        <w:rPr>
          <w:rFonts w:ascii="Arial" w:hAnsi="Arial" w:cs="Arial"/>
        </w:rPr>
        <w:t xml:space="preserve">heavy metal </w:t>
      </w:r>
      <w:r w:rsidRPr="002730F6">
        <w:rPr>
          <w:rFonts w:ascii="Arial" w:hAnsi="Arial" w:cs="Arial"/>
        </w:rPr>
        <w:t xml:space="preserve">contamination. </w:t>
      </w:r>
      <w:r w:rsidR="00A1369E" w:rsidRPr="002730F6">
        <w:rPr>
          <w:rFonts w:ascii="Arial" w:hAnsi="Arial" w:cs="Arial"/>
        </w:rPr>
        <w:t>Health risk assessment suggested</w:t>
      </w:r>
      <w:r w:rsidRPr="002730F6">
        <w:rPr>
          <w:rFonts w:ascii="Arial" w:hAnsi="Arial" w:cs="Arial"/>
        </w:rPr>
        <w:t xml:space="preserve"> low health risks associated with heavy me</w:t>
      </w:r>
      <w:r w:rsidR="00A1369E" w:rsidRPr="002730F6">
        <w:rPr>
          <w:rFonts w:ascii="Arial" w:hAnsi="Arial" w:cs="Arial"/>
        </w:rPr>
        <w:t>tal</w:t>
      </w:r>
      <w:r w:rsidR="00B71E47">
        <w:rPr>
          <w:rFonts w:ascii="Arial" w:hAnsi="Arial" w:cs="Arial"/>
        </w:rPr>
        <w:t>s</w:t>
      </w:r>
      <w:r w:rsidR="00A1369E" w:rsidRPr="002730F6">
        <w:rPr>
          <w:rFonts w:ascii="Arial" w:hAnsi="Arial" w:cs="Arial"/>
        </w:rPr>
        <w:t xml:space="preserve"> </w:t>
      </w:r>
      <w:r w:rsidRPr="002730F6">
        <w:rPr>
          <w:rFonts w:ascii="Arial" w:hAnsi="Arial" w:cs="Arial"/>
        </w:rPr>
        <w:t>in</w:t>
      </w:r>
      <w:r w:rsidR="00A1369E" w:rsidRPr="002730F6">
        <w:rPr>
          <w:rFonts w:ascii="Arial" w:hAnsi="Arial" w:cs="Arial"/>
        </w:rPr>
        <w:t xml:space="preserve"> the</w:t>
      </w:r>
      <w:r w:rsidRPr="002730F6">
        <w:rPr>
          <w:rFonts w:ascii="Arial" w:hAnsi="Arial" w:cs="Arial"/>
        </w:rPr>
        <w:t xml:space="preserve"> seafood</w:t>
      </w:r>
      <w:r w:rsidR="00A1369E" w:rsidRPr="002730F6">
        <w:rPr>
          <w:rFonts w:ascii="Arial" w:hAnsi="Arial" w:cs="Arial"/>
        </w:rPr>
        <w:t>s</w:t>
      </w:r>
      <w:r w:rsidRPr="002730F6">
        <w:rPr>
          <w:rFonts w:ascii="Arial" w:hAnsi="Arial" w:cs="Arial"/>
        </w:rPr>
        <w:t xml:space="preserve">. Ongoing monitoring </w:t>
      </w:r>
      <w:r w:rsidR="00D14BA9" w:rsidRPr="002730F6">
        <w:rPr>
          <w:rFonts w:ascii="Arial" w:hAnsi="Arial" w:cs="Arial"/>
        </w:rPr>
        <w:t>by environmental health workers</w:t>
      </w:r>
      <w:r w:rsidR="00D16783" w:rsidRPr="002730F6">
        <w:rPr>
          <w:rFonts w:ascii="Arial" w:hAnsi="Arial" w:cs="Arial"/>
        </w:rPr>
        <w:t>, regulatory bodies</w:t>
      </w:r>
      <w:r w:rsidR="00D14BA9" w:rsidRPr="002730F6">
        <w:rPr>
          <w:rFonts w:ascii="Arial" w:hAnsi="Arial" w:cs="Arial"/>
        </w:rPr>
        <w:t xml:space="preserve"> </w:t>
      </w:r>
      <w:r w:rsidRPr="002730F6">
        <w:rPr>
          <w:rFonts w:ascii="Arial" w:hAnsi="Arial" w:cs="Arial"/>
        </w:rPr>
        <w:t xml:space="preserve">and mitigation efforts </w:t>
      </w:r>
      <w:r w:rsidR="00D14BA9" w:rsidRPr="002730F6">
        <w:rPr>
          <w:rFonts w:ascii="Arial" w:hAnsi="Arial" w:cs="Arial"/>
        </w:rPr>
        <w:t>(building sanitary facilities, proper treatment a</w:t>
      </w:r>
      <w:r w:rsidR="00D16783" w:rsidRPr="002730F6">
        <w:rPr>
          <w:rFonts w:ascii="Arial" w:hAnsi="Arial" w:cs="Arial"/>
        </w:rPr>
        <w:t>n</w:t>
      </w:r>
      <w:r w:rsidR="00D14BA9" w:rsidRPr="002730F6">
        <w:rPr>
          <w:rFonts w:ascii="Arial" w:hAnsi="Arial" w:cs="Arial"/>
        </w:rPr>
        <w:t xml:space="preserve">d disposal of industrial </w:t>
      </w:r>
      <w:r w:rsidR="00D16783" w:rsidRPr="002730F6">
        <w:rPr>
          <w:rFonts w:ascii="Arial" w:hAnsi="Arial" w:cs="Arial"/>
        </w:rPr>
        <w:t>waste</w:t>
      </w:r>
      <w:r w:rsidR="00D14BA9" w:rsidRPr="002730F6">
        <w:rPr>
          <w:rFonts w:ascii="Arial" w:hAnsi="Arial" w:cs="Arial"/>
        </w:rPr>
        <w:t>/</w:t>
      </w:r>
      <w:r w:rsidR="00D16783" w:rsidRPr="002730F6">
        <w:rPr>
          <w:rFonts w:ascii="Arial" w:hAnsi="Arial" w:cs="Arial"/>
        </w:rPr>
        <w:t>effluent amongst others</w:t>
      </w:r>
      <w:r w:rsidR="00D14BA9" w:rsidRPr="002730F6">
        <w:rPr>
          <w:rFonts w:ascii="Arial" w:hAnsi="Arial" w:cs="Arial"/>
        </w:rPr>
        <w:t xml:space="preserve">) </w:t>
      </w:r>
      <w:r w:rsidRPr="002730F6">
        <w:rPr>
          <w:rFonts w:ascii="Arial" w:hAnsi="Arial" w:cs="Arial"/>
        </w:rPr>
        <w:t>are crucial to ensure seafood safety, with emphasis on regulatory measures and public awareness campaigns to mitigate risks.</w:t>
      </w:r>
    </w:p>
    <w:p w14:paraId="5308BE8D" w14:textId="77777777" w:rsidR="00CE02ED" w:rsidRPr="002730F6" w:rsidRDefault="00CE02ED" w:rsidP="00CE02ED">
      <w:pPr>
        <w:rPr>
          <w:rFonts w:ascii="Arial" w:hAnsi="Arial" w:cs="Arial"/>
        </w:rPr>
      </w:pPr>
    </w:p>
    <w:p w14:paraId="66413CEE" w14:textId="77777777" w:rsidR="00D67318" w:rsidRDefault="00D67318" w:rsidP="00357E11"/>
    <w:p w14:paraId="46797487" w14:textId="77777777" w:rsidR="00D67318" w:rsidRDefault="00D67318" w:rsidP="00D67318">
      <w:r>
        <w:t>COMPETING INTERESTS DISCLAIMER:</w:t>
      </w:r>
    </w:p>
    <w:p w14:paraId="6FC9D157" w14:textId="3C782A7F" w:rsidR="00D67318" w:rsidRPr="002730F6" w:rsidRDefault="00D67318" w:rsidP="00D67318">
      <w:r>
        <w:t>Authors have declared that they have no known competing financial interests OR non-financial interests OR personal relationships that could have appeared to influence the work reported in this paper.</w:t>
      </w:r>
    </w:p>
    <w:p w14:paraId="787D2C4A" w14:textId="77777777" w:rsidR="00357E11" w:rsidRPr="002730F6" w:rsidRDefault="00357E11" w:rsidP="00CE02ED">
      <w:pPr>
        <w:pStyle w:val="ReferHead"/>
        <w:spacing w:after="0"/>
        <w:jc w:val="both"/>
        <w:rPr>
          <w:rFonts w:ascii="Arial" w:hAnsi="Arial" w:cs="Arial"/>
          <w:b w:val="0"/>
          <w:caps w:val="0"/>
          <w:sz w:val="20"/>
        </w:rPr>
      </w:pPr>
    </w:p>
    <w:p w14:paraId="7518F9AE" w14:textId="77777777" w:rsidR="00CE02ED" w:rsidRPr="002730F6" w:rsidRDefault="00CE02ED" w:rsidP="00CE02ED">
      <w:pPr>
        <w:pStyle w:val="ReferHead"/>
        <w:spacing w:after="0"/>
        <w:jc w:val="both"/>
        <w:rPr>
          <w:rFonts w:ascii="Arial" w:hAnsi="Arial" w:cs="Arial"/>
          <w:b w:val="0"/>
          <w:caps w:val="0"/>
          <w:sz w:val="20"/>
        </w:rPr>
      </w:pPr>
    </w:p>
    <w:p w14:paraId="5A2F9081" w14:textId="77777777" w:rsidR="00CE02ED" w:rsidRPr="00872450" w:rsidRDefault="00CE02ED" w:rsidP="00CE02ED">
      <w:pPr>
        <w:pStyle w:val="ReferHead"/>
        <w:spacing w:after="0"/>
        <w:jc w:val="both"/>
        <w:rPr>
          <w:rFonts w:ascii="Arial" w:hAnsi="Arial" w:cs="Arial"/>
          <w:sz w:val="20"/>
        </w:rPr>
      </w:pPr>
      <w:r w:rsidRPr="002730F6">
        <w:rPr>
          <w:rFonts w:ascii="Arial" w:hAnsi="Arial" w:cs="Arial"/>
        </w:rPr>
        <w:t>References</w:t>
      </w:r>
    </w:p>
    <w:p w14:paraId="6DC78E49" w14:textId="77777777" w:rsidR="00CE02ED" w:rsidRPr="00872450" w:rsidRDefault="00CE02ED" w:rsidP="00CE02ED">
      <w:pPr>
        <w:pStyle w:val="ReferHead"/>
        <w:spacing w:after="0"/>
        <w:jc w:val="both"/>
        <w:rPr>
          <w:rFonts w:ascii="Arial" w:hAnsi="Arial" w:cs="Arial"/>
          <w:sz w:val="20"/>
        </w:rPr>
      </w:pPr>
    </w:p>
    <w:p w14:paraId="1BAA762A" w14:textId="77777777" w:rsidR="00F67FBB" w:rsidRPr="00872450" w:rsidRDefault="00F31025" w:rsidP="002A2CE1">
      <w:pPr>
        <w:pStyle w:val="ListParagraph"/>
        <w:numPr>
          <w:ilvl w:val="0"/>
          <w:numId w:val="2"/>
        </w:numPr>
        <w:jc w:val="both"/>
        <w:rPr>
          <w:rFonts w:ascii="Arial" w:hAnsi="Arial" w:cs="Arial"/>
        </w:rPr>
      </w:pPr>
      <w:r w:rsidRPr="00872450">
        <w:rPr>
          <w:rFonts w:ascii="Arial" w:hAnsi="Arial" w:cs="Arial"/>
        </w:rPr>
        <w:t>Akani G</w:t>
      </w:r>
      <w:r w:rsidR="00F67FBB" w:rsidRPr="00872450">
        <w:rPr>
          <w:rFonts w:ascii="Arial" w:hAnsi="Arial" w:cs="Arial"/>
        </w:rPr>
        <w:t>C</w:t>
      </w:r>
      <w:r w:rsidRPr="00872450">
        <w:rPr>
          <w:rFonts w:ascii="Arial" w:hAnsi="Arial" w:cs="Arial"/>
        </w:rPr>
        <w:t xml:space="preserve">, </w:t>
      </w:r>
      <w:proofErr w:type="spellStart"/>
      <w:r w:rsidRPr="00872450">
        <w:rPr>
          <w:rFonts w:ascii="Arial" w:hAnsi="Arial" w:cs="Arial"/>
        </w:rPr>
        <w:t>Amuzie</w:t>
      </w:r>
      <w:proofErr w:type="spellEnd"/>
      <w:r w:rsidRPr="00872450">
        <w:rPr>
          <w:rFonts w:ascii="Arial" w:hAnsi="Arial" w:cs="Arial"/>
        </w:rPr>
        <w:t xml:space="preserve"> CC, Alawa GN, </w:t>
      </w:r>
      <w:proofErr w:type="spellStart"/>
      <w:r w:rsidRPr="00872450">
        <w:rPr>
          <w:rFonts w:ascii="Arial" w:hAnsi="Arial" w:cs="Arial"/>
        </w:rPr>
        <w:t>Nioking</w:t>
      </w:r>
      <w:proofErr w:type="spellEnd"/>
      <w:r w:rsidRPr="00872450">
        <w:rPr>
          <w:rFonts w:ascii="Arial" w:hAnsi="Arial" w:cs="Arial"/>
        </w:rPr>
        <w:t xml:space="preserve"> A, Belema R.</w:t>
      </w:r>
      <w:r w:rsidR="00F67FBB" w:rsidRPr="00872450">
        <w:rPr>
          <w:rFonts w:ascii="Arial" w:hAnsi="Arial" w:cs="Arial"/>
        </w:rPr>
        <w:t xml:space="preserve"> Factors militating against biodiversity conservation in the Niger Delta, Nigeria: the way out. In </w:t>
      </w:r>
      <w:r w:rsidR="00F67FBB" w:rsidRPr="00872450">
        <w:rPr>
          <w:rFonts w:ascii="Arial" w:hAnsi="Arial" w:cs="Arial"/>
          <w:iCs/>
        </w:rPr>
        <w:t>Biodiversity in Africa: Potentials, Threats and Conservation</w:t>
      </w:r>
      <w:r w:rsidRPr="00872450">
        <w:rPr>
          <w:rFonts w:ascii="Arial" w:hAnsi="Arial" w:cs="Arial"/>
        </w:rPr>
        <w:t> </w:t>
      </w:r>
      <w:r w:rsidR="00F67FBB" w:rsidRPr="00872450">
        <w:rPr>
          <w:rFonts w:ascii="Arial" w:hAnsi="Arial" w:cs="Arial"/>
        </w:rPr>
        <w:t>Singapore: Springer Nature Singapore.</w:t>
      </w:r>
      <w:r w:rsidR="00F64637" w:rsidRPr="00872450">
        <w:rPr>
          <w:rFonts w:ascii="Arial" w:hAnsi="Arial" w:cs="Arial"/>
        </w:rPr>
        <w:t xml:space="preserve"> 2022;</w:t>
      </w:r>
      <w:r w:rsidRPr="00872450">
        <w:rPr>
          <w:rFonts w:ascii="Arial" w:hAnsi="Arial" w:cs="Arial"/>
        </w:rPr>
        <w:t>573-600.</w:t>
      </w:r>
    </w:p>
    <w:p w14:paraId="7583F59B" w14:textId="77777777" w:rsidR="00F67FBB" w:rsidRPr="00872450" w:rsidRDefault="00F31025" w:rsidP="002A2CE1">
      <w:pPr>
        <w:pStyle w:val="ListParagraph"/>
        <w:numPr>
          <w:ilvl w:val="0"/>
          <w:numId w:val="2"/>
        </w:numPr>
        <w:jc w:val="both"/>
        <w:rPr>
          <w:rFonts w:ascii="Arial" w:hAnsi="Arial" w:cs="Arial"/>
        </w:rPr>
      </w:pPr>
      <w:r w:rsidRPr="00872450">
        <w:rPr>
          <w:rFonts w:ascii="Arial" w:hAnsi="Arial" w:cs="Arial"/>
        </w:rPr>
        <w:t xml:space="preserve">Izah SC, </w:t>
      </w:r>
      <w:proofErr w:type="spellStart"/>
      <w:r w:rsidRPr="00872450">
        <w:rPr>
          <w:rFonts w:ascii="Arial" w:hAnsi="Arial" w:cs="Arial"/>
        </w:rPr>
        <w:t>Aigberua</w:t>
      </w:r>
      <w:proofErr w:type="spellEnd"/>
      <w:r w:rsidRPr="00872450">
        <w:rPr>
          <w:rFonts w:ascii="Arial" w:hAnsi="Arial" w:cs="Arial"/>
        </w:rPr>
        <w:t xml:space="preserve"> AO.</w:t>
      </w:r>
      <w:r w:rsidR="00F67FBB" w:rsidRPr="00872450">
        <w:rPr>
          <w:rFonts w:ascii="Arial" w:hAnsi="Arial" w:cs="Arial"/>
        </w:rPr>
        <w:t xml:space="preserve"> Potential threats and possible conservation strategies of biodiversity in Niger Delta Region of Nigeria. In </w:t>
      </w:r>
      <w:r w:rsidR="00F67FBB" w:rsidRPr="00872450">
        <w:rPr>
          <w:rFonts w:ascii="Arial" w:hAnsi="Arial" w:cs="Arial"/>
          <w:iCs/>
        </w:rPr>
        <w:t>Sustainable Utilization and Conservation of Africa’s Biological Resources and Environment</w:t>
      </w:r>
      <w:r w:rsidR="00F67FBB" w:rsidRPr="00872450">
        <w:rPr>
          <w:rFonts w:ascii="Arial" w:hAnsi="Arial" w:cs="Arial"/>
        </w:rPr>
        <w:t>. Singapore: Springer Nature Singapore.</w:t>
      </w:r>
      <w:r w:rsidR="00F64637" w:rsidRPr="00872450">
        <w:rPr>
          <w:rFonts w:ascii="Arial" w:hAnsi="Arial" w:cs="Arial"/>
        </w:rPr>
        <w:t xml:space="preserve"> 2023;</w:t>
      </w:r>
      <w:r w:rsidRPr="00872450">
        <w:rPr>
          <w:rFonts w:ascii="Arial" w:hAnsi="Arial" w:cs="Arial"/>
        </w:rPr>
        <w:t>151-176.</w:t>
      </w:r>
    </w:p>
    <w:p w14:paraId="62723F08" w14:textId="77777777" w:rsidR="00F67FBB" w:rsidRPr="00872450" w:rsidRDefault="00F31025" w:rsidP="002A2CE1">
      <w:pPr>
        <w:pStyle w:val="ListParagraph"/>
        <w:numPr>
          <w:ilvl w:val="0"/>
          <w:numId w:val="2"/>
        </w:numPr>
        <w:jc w:val="both"/>
        <w:rPr>
          <w:rFonts w:ascii="Arial" w:hAnsi="Arial" w:cs="Arial"/>
        </w:rPr>
      </w:pPr>
      <w:r w:rsidRPr="00872450">
        <w:rPr>
          <w:rFonts w:ascii="Arial" w:hAnsi="Arial" w:cs="Arial"/>
        </w:rPr>
        <w:t>Nnadi V</w:t>
      </w:r>
      <w:r w:rsidR="00F67FBB" w:rsidRPr="00872450">
        <w:rPr>
          <w:rFonts w:ascii="Arial" w:hAnsi="Arial" w:cs="Arial"/>
        </w:rPr>
        <w:t>E</w:t>
      </w:r>
      <w:r w:rsidRPr="00872450">
        <w:rPr>
          <w:rFonts w:ascii="Arial" w:hAnsi="Arial" w:cs="Arial"/>
        </w:rPr>
        <w:t xml:space="preserve">, </w:t>
      </w:r>
      <w:proofErr w:type="spellStart"/>
      <w:r w:rsidRPr="00872450">
        <w:rPr>
          <w:rFonts w:ascii="Arial" w:hAnsi="Arial" w:cs="Arial"/>
        </w:rPr>
        <w:t>Udokporo</w:t>
      </w:r>
      <w:proofErr w:type="spellEnd"/>
      <w:r w:rsidRPr="00872450">
        <w:rPr>
          <w:rFonts w:ascii="Arial" w:hAnsi="Arial" w:cs="Arial"/>
        </w:rPr>
        <w:t xml:space="preserve"> EL, Okolo OJ.</w:t>
      </w:r>
      <w:r w:rsidR="00F67FBB" w:rsidRPr="00872450">
        <w:rPr>
          <w:rFonts w:ascii="Arial" w:hAnsi="Arial" w:cs="Arial"/>
        </w:rPr>
        <w:t xml:space="preserve"> Petroleum Production Activities and Depletion of Biodiversity: A Case of Oil Spillage in the Niger Delta. In </w:t>
      </w:r>
      <w:r w:rsidR="00F67FBB" w:rsidRPr="00872450">
        <w:rPr>
          <w:rFonts w:ascii="Arial" w:hAnsi="Arial" w:cs="Arial"/>
          <w:iCs/>
        </w:rPr>
        <w:t>Handbook of Environmentally Conscious Manufacturing</w:t>
      </w:r>
      <w:r w:rsidR="00F67FBB" w:rsidRPr="00872450">
        <w:rPr>
          <w:rFonts w:ascii="Arial" w:hAnsi="Arial" w:cs="Arial"/>
        </w:rPr>
        <w:t>. Cham: Springer International Publishing.</w:t>
      </w:r>
      <w:r w:rsidR="00F64637" w:rsidRPr="00872450">
        <w:rPr>
          <w:rFonts w:ascii="Arial" w:hAnsi="Arial" w:cs="Arial"/>
        </w:rPr>
        <w:t>2022;</w:t>
      </w:r>
      <w:r w:rsidRPr="00872450">
        <w:rPr>
          <w:rFonts w:ascii="Arial" w:hAnsi="Arial" w:cs="Arial"/>
        </w:rPr>
        <w:t>95-111.</w:t>
      </w:r>
    </w:p>
    <w:p w14:paraId="53E8FC55" w14:textId="77777777" w:rsidR="00F67FBB" w:rsidRPr="00872450" w:rsidRDefault="00C64E9B" w:rsidP="002A2CE1">
      <w:pPr>
        <w:pStyle w:val="ListParagraph"/>
        <w:numPr>
          <w:ilvl w:val="0"/>
          <w:numId w:val="2"/>
        </w:numPr>
        <w:jc w:val="both"/>
        <w:rPr>
          <w:rFonts w:ascii="Arial" w:hAnsi="Arial" w:cs="Arial"/>
        </w:rPr>
      </w:pPr>
      <w:r w:rsidRPr="00872450">
        <w:rPr>
          <w:rFonts w:ascii="Arial" w:hAnsi="Arial" w:cs="Arial"/>
        </w:rPr>
        <w:t>Izah SC, Ngun CT, Richard G</w:t>
      </w:r>
      <w:r w:rsidR="00F67FBB" w:rsidRPr="00872450">
        <w:rPr>
          <w:rFonts w:ascii="Arial" w:hAnsi="Arial" w:cs="Arial"/>
        </w:rPr>
        <w:t>. Microbial quality of groundwater in the Niger Delta region of Nigeria: Health implications and e</w:t>
      </w:r>
      <w:r w:rsidR="00F64637" w:rsidRPr="00872450">
        <w:rPr>
          <w:rFonts w:ascii="Arial" w:hAnsi="Arial" w:cs="Arial"/>
        </w:rPr>
        <w:t>ffective treatment technologies,</w:t>
      </w:r>
      <w:r w:rsidR="00F67FBB" w:rsidRPr="00872450">
        <w:rPr>
          <w:rFonts w:ascii="Arial" w:hAnsi="Arial" w:cs="Arial"/>
        </w:rPr>
        <w:t xml:space="preserve"> In </w:t>
      </w:r>
      <w:r w:rsidR="00F67FBB" w:rsidRPr="00872450">
        <w:rPr>
          <w:rFonts w:ascii="Arial" w:hAnsi="Arial" w:cs="Arial"/>
          <w:iCs/>
        </w:rPr>
        <w:t>Current Directions in Water Scarcity Research</w:t>
      </w:r>
      <w:r w:rsidRPr="00872450">
        <w:rPr>
          <w:rFonts w:ascii="Arial" w:hAnsi="Arial" w:cs="Arial"/>
        </w:rPr>
        <w:t> </w:t>
      </w:r>
      <w:r w:rsidR="001D2A9C" w:rsidRPr="00872450">
        <w:rPr>
          <w:rFonts w:ascii="Arial" w:hAnsi="Arial" w:cs="Arial"/>
        </w:rPr>
        <w:t>(Elsevier)</w:t>
      </w:r>
      <w:r w:rsidR="00F64637" w:rsidRPr="00872450">
        <w:rPr>
          <w:rFonts w:ascii="Arial" w:hAnsi="Arial" w:cs="Arial"/>
        </w:rPr>
        <w:t>.</w:t>
      </w:r>
      <w:r w:rsidR="001D2A9C" w:rsidRPr="00872450">
        <w:rPr>
          <w:rFonts w:ascii="Arial" w:hAnsi="Arial" w:cs="Arial"/>
        </w:rPr>
        <w:t xml:space="preserve"> </w:t>
      </w:r>
      <w:proofErr w:type="gramStart"/>
      <w:r w:rsidR="00F64637" w:rsidRPr="00872450">
        <w:rPr>
          <w:rFonts w:ascii="Arial" w:hAnsi="Arial" w:cs="Arial"/>
        </w:rPr>
        <w:t>2022;</w:t>
      </w:r>
      <w:r w:rsidRPr="00872450">
        <w:rPr>
          <w:rFonts w:ascii="Arial" w:hAnsi="Arial" w:cs="Arial"/>
        </w:rPr>
        <w:t>6:</w:t>
      </w:r>
      <w:r w:rsidR="00F64637" w:rsidRPr="00872450">
        <w:rPr>
          <w:rFonts w:ascii="Arial" w:hAnsi="Arial" w:cs="Arial"/>
        </w:rPr>
        <w:t>149</w:t>
      </w:r>
      <w:proofErr w:type="gramEnd"/>
      <w:r w:rsidR="00F64637" w:rsidRPr="00872450">
        <w:rPr>
          <w:rFonts w:ascii="Arial" w:hAnsi="Arial" w:cs="Arial"/>
        </w:rPr>
        <w:t>-172.</w:t>
      </w:r>
      <w:r w:rsidR="00F67FBB" w:rsidRPr="00872450">
        <w:rPr>
          <w:rFonts w:ascii="Arial" w:hAnsi="Arial" w:cs="Arial"/>
        </w:rPr>
        <w:t xml:space="preserve"> </w:t>
      </w:r>
    </w:p>
    <w:p w14:paraId="2C252E55" w14:textId="77777777" w:rsidR="00F67FBB" w:rsidRPr="00872450" w:rsidRDefault="00665D63" w:rsidP="002A2CE1">
      <w:pPr>
        <w:pStyle w:val="ListParagraph"/>
        <w:numPr>
          <w:ilvl w:val="0"/>
          <w:numId w:val="2"/>
        </w:numPr>
        <w:jc w:val="both"/>
        <w:rPr>
          <w:rFonts w:ascii="Arial" w:hAnsi="Arial" w:cs="Arial"/>
        </w:rPr>
      </w:pPr>
      <w:r w:rsidRPr="00872450">
        <w:rPr>
          <w:rFonts w:ascii="Arial" w:hAnsi="Arial" w:cs="Arial"/>
        </w:rPr>
        <w:t>Spangenberg JH, Kurz</w:t>
      </w:r>
      <w:r w:rsidR="00F64637" w:rsidRPr="00872450">
        <w:rPr>
          <w:rFonts w:ascii="Arial" w:hAnsi="Arial" w:cs="Arial"/>
        </w:rPr>
        <w:t xml:space="preserve"> R</w:t>
      </w:r>
      <w:r w:rsidR="00F67FBB" w:rsidRPr="00872450">
        <w:rPr>
          <w:rFonts w:ascii="Arial" w:hAnsi="Arial" w:cs="Arial"/>
        </w:rPr>
        <w:t>. Epochal turns: Uncomfortab</w:t>
      </w:r>
      <w:r w:rsidR="00D502D3" w:rsidRPr="00872450">
        <w:rPr>
          <w:rFonts w:ascii="Arial" w:hAnsi="Arial" w:cs="Arial"/>
        </w:rPr>
        <w:t>le insights, uncertain outlooks,</w:t>
      </w:r>
      <w:r w:rsidR="00F67FBB" w:rsidRPr="00872450">
        <w:rPr>
          <w:rFonts w:ascii="Arial" w:hAnsi="Arial" w:cs="Arial"/>
        </w:rPr>
        <w:t> </w:t>
      </w:r>
      <w:r w:rsidR="00F67FBB" w:rsidRPr="00872450">
        <w:rPr>
          <w:rFonts w:ascii="Arial" w:hAnsi="Arial" w:cs="Arial"/>
          <w:iCs/>
        </w:rPr>
        <w:t>Sustainable Development</w:t>
      </w:r>
      <w:r w:rsidR="00F64637" w:rsidRPr="00872450">
        <w:rPr>
          <w:rFonts w:ascii="Arial" w:hAnsi="Arial" w:cs="Arial"/>
        </w:rPr>
        <w:t>.</w:t>
      </w:r>
      <w:r w:rsidR="00F67FBB" w:rsidRPr="00872450">
        <w:rPr>
          <w:rFonts w:ascii="Arial" w:hAnsi="Arial" w:cs="Arial"/>
        </w:rPr>
        <w:t> </w:t>
      </w:r>
      <w:r w:rsidR="00F64637" w:rsidRPr="00872450">
        <w:rPr>
          <w:rFonts w:ascii="Arial" w:hAnsi="Arial" w:cs="Arial"/>
        </w:rPr>
        <w:t>2023;</w:t>
      </w:r>
      <w:r w:rsidR="00F67FBB" w:rsidRPr="00872450">
        <w:rPr>
          <w:rFonts w:ascii="Arial" w:hAnsi="Arial" w:cs="Arial"/>
          <w:iCs/>
        </w:rPr>
        <w:t>31</w:t>
      </w:r>
      <w:r w:rsidR="00F64637" w:rsidRPr="00872450">
        <w:rPr>
          <w:rFonts w:ascii="Arial" w:hAnsi="Arial" w:cs="Arial"/>
        </w:rPr>
        <w:t>(4):</w:t>
      </w:r>
      <w:r w:rsidR="00F67FBB" w:rsidRPr="00872450">
        <w:rPr>
          <w:rFonts w:ascii="Arial" w:hAnsi="Arial" w:cs="Arial"/>
        </w:rPr>
        <w:t>2347-2362.</w:t>
      </w:r>
    </w:p>
    <w:p w14:paraId="296F4A79" w14:textId="77777777" w:rsidR="005C6D9C" w:rsidRPr="00872450" w:rsidRDefault="00D502D3" w:rsidP="002A2CE1">
      <w:pPr>
        <w:pStyle w:val="ListParagraph"/>
        <w:numPr>
          <w:ilvl w:val="0"/>
          <w:numId w:val="2"/>
        </w:numPr>
        <w:jc w:val="both"/>
        <w:rPr>
          <w:rFonts w:ascii="Arial" w:hAnsi="Arial" w:cs="Arial"/>
        </w:rPr>
      </w:pPr>
      <w:r w:rsidRPr="00872450">
        <w:rPr>
          <w:rFonts w:ascii="Arial" w:hAnsi="Arial" w:cs="Arial"/>
        </w:rPr>
        <w:t xml:space="preserve">Aa I, Op A, Ujj I, </w:t>
      </w:r>
      <w:r w:rsidR="005C6D9C" w:rsidRPr="00872450">
        <w:rPr>
          <w:rFonts w:ascii="Arial" w:hAnsi="Arial" w:cs="Arial"/>
        </w:rPr>
        <w:t>Mt</w:t>
      </w:r>
      <w:r w:rsidRPr="00872450">
        <w:rPr>
          <w:rFonts w:ascii="Arial" w:hAnsi="Arial" w:cs="Arial"/>
        </w:rPr>
        <w:t xml:space="preserve"> B.</w:t>
      </w:r>
      <w:r w:rsidR="005C6D9C" w:rsidRPr="00872450">
        <w:rPr>
          <w:rFonts w:ascii="Arial" w:hAnsi="Arial" w:cs="Arial"/>
        </w:rPr>
        <w:t xml:space="preserve"> A critical review of oil spills in the Niger Delta aquatic environment: causes, impacts, and bioremediation assessment. </w:t>
      </w:r>
      <w:r w:rsidR="005C6D9C" w:rsidRPr="00872450">
        <w:rPr>
          <w:rFonts w:ascii="Arial" w:hAnsi="Arial" w:cs="Arial"/>
          <w:iCs/>
        </w:rPr>
        <w:t>Environmental Monitoring and Assessment</w:t>
      </w:r>
      <w:r w:rsidRPr="00872450">
        <w:rPr>
          <w:rFonts w:ascii="Arial" w:hAnsi="Arial" w:cs="Arial"/>
        </w:rPr>
        <w:t>.</w:t>
      </w:r>
      <w:r w:rsidR="005C6D9C" w:rsidRPr="00872450">
        <w:rPr>
          <w:rFonts w:ascii="Arial" w:hAnsi="Arial" w:cs="Arial"/>
        </w:rPr>
        <w:t> </w:t>
      </w:r>
      <w:r w:rsidRPr="00872450">
        <w:rPr>
          <w:rFonts w:ascii="Arial" w:hAnsi="Arial" w:cs="Arial"/>
        </w:rPr>
        <w:t>2022;</w:t>
      </w:r>
      <w:r w:rsidR="005C6D9C" w:rsidRPr="00872450">
        <w:rPr>
          <w:rFonts w:ascii="Arial" w:hAnsi="Arial" w:cs="Arial"/>
          <w:iCs/>
        </w:rPr>
        <w:t>194</w:t>
      </w:r>
      <w:r w:rsidRPr="00872450">
        <w:rPr>
          <w:rFonts w:ascii="Arial" w:hAnsi="Arial" w:cs="Arial"/>
        </w:rPr>
        <w:t>(11):</w:t>
      </w:r>
      <w:r w:rsidR="005C6D9C" w:rsidRPr="00872450">
        <w:rPr>
          <w:rFonts w:ascii="Arial" w:hAnsi="Arial" w:cs="Arial"/>
        </w:rPr>
        <w:t>816.</w:t>
      </w:r>
    </w:p>
    <w:p w14:paraId="2D88C466" w14:textId="77777777" w:rsidR="00F67FBB" w:rsidRPr="00872450" w:rsidRDefault="00D502D3" w:rsidP="002A2CE1">
      <w:pPr>
        <w:pStyle w:val="ListParagraph"/>
        <w:numPr>
          <w:ilvl w:val="0"/>
          <w:numId w:val="2"/>
        </w:numPr>
        <w:jc w:val="both"/>
        <w:rPr>
          <w:rFonts w:ascii="Arial" w:hAnsi="Arial" w:cs="Arial"/>
        </w:rPr>
      </w:pPr>
      <w:r w:rsidRPr="00872450">
        <w:rPr>
          <w:rFonts w:ascii="Arial" w:hAnsi="Arial" w:cs="Arial"/>
        </w:rPr>
        <w:t>Denny AD, Jacob EA.</w:t>
      </w:r>
      <w:r w:rsidR="00F67FBB" w:rsidRPr="00872450">
        <w:rPr>
          <w:rFonts w:ascii="Arial" w:hAnsi="Arial" w:cs="Arial"/>
        </w:rPr>
        <w:t xml:space="preserve"> Petroleum spills and accidental discharges in the </w:t>
      </w:r>
      <w:r w:rsidRPr="00872450">
        <w:rPr>
          <w:rFonts w:ascii="Arial" w:hAnsi="Arial" w:cs="Arial"/>
        </w:rPr>
        <w:t>Niger Delta,</w:t>
      </w:r>
      <w:r w:rsidR="00F67FBB" w:rsidRPr="00872450">
        <w:rPr>
          <w:rFonts w:ascii="Arial" w:hAnsi="Arial" w:cs="Arial"/>
        </w:rPr>
        <w:t> </w:t>
      </w:r>
      <w:r w:rsidR="00F67FBB" w:rsidRPr="00872450">
        <w:rPr>
          <w:rFonts w:ascii="Arial" w:hAnsi="Arial" w:cs="Arial"/>
          <w:iCs/>
        </w:rPr>
        <w:t>International Journal of Democracy and Development Studies</w:t>
      </w:r>
      <w:r w:rsidRPr="00872450">
        <w:rPr>
          <w:rFonts w:ascii="Arial" w:hAnsi="Arial" w:cs="Arial"/>
        </w:rPr>
        <w:t>.</w:t>
      </w:r>
      <w:r w:rsidR="00F67FBB" w:rsidRPr="00872450">
        <w:rPr>
          <w:rFonts w:ascii="Arial" w:hAnsi="Arial" w:cs="Arial"/>
        </w:rPr>
        <w:t> </w:t>
      </w:r>
      <w:r w:rsidRPr="00872450">
        <w:rPr>
          <w:rFonts w:ascii="Arial" w:hAnsi="Arial" w:cs="Arial"/>
        </w:rPr>
        <w:t>2022;</w:t>
      </w:r>
      <w:r w:rsidR="00F67FBB" w:rsidRPr="00872450">
        <w:rPr>
          <w:rFonts w:ascii="Arial" w:hAnsi="Arial" w:cs="Arial"/>
          <w:iCs/>
        </w:rPr>
        <w:t>5</w:t>
      </w:r>
      <w:r w:rsidRPr="00872450">
        <w:rPr>
          <w:rFonts w:ascii="Arial" w:hAnsi="Arial" w:cs="Arial"/>
        </w:rPr>
        <w:t>(3):</w:t>
      </w:r>
      <w:r w:rsidR="00F67FBB" w:rsidRPr="00872450">
        <w:rPr>
          <w:rFonts w:ascii="Arial" w:hAnsi="Arial" w:cs="Arial"/>
        </w:rPr>
        <w:t>20-29.</w:t>
      </w:r>
    </w:p>
    <w:p w14:paraId="72E3389F" w14:textId="77777777" w:rsidR="00F67FBB" w:rsidRPr="00872450" w:rsidRDefault="00D502D3" w:rsidP="002A2CE1">
      <w:pPr>
        <w:pStyle w:val="ListParagraph"/>
        <w:numPr>
          <w:ilvl w:val="0"/>
          <w:numId w:val="2"/>
        </w:numPr>
        <w:jc w:val="both"/>
        <w:rPr>
          <w:rFonts w:ascii="Arial" w:hAnsi="Arial" w:cs="Arial"/>
        </w:rPr>
      </w:pPr>
      <w:r w:rsidRPr="00872450">
        <w:rPr>
          <w:rFonts w:ascii="Arial" w:hAnsi="Arial" w:cs="Arial"/>
        </w:rPr>
        <w:t>Balali-Moo M, Sadeghi M.</w:t>
      </w:r>
      <w:r w:rsidR="00F67FBB" w:rsidRPr="00872450">
        <w:rPr>
          <w:rFonts w:ascii="Arial" w:hAnsi="Arial" w:cs="Arial"/>
        </w:rPr>
        <w:t xml:space="preserve"> Toxic mechanisms of five heavy metals: mercury, lead,</w:t>
      </w:r>
      <w:r w:rsidRPr="00872450">
        <w:rPr>
          <w:rFonts w:ascii="Arial" w:hAnsi="Arial" w:cs="Arial"/>
        </w:rPr>
        <w:t xml:space="preserve"> chromium, cadmium, and arsenic,</w:t>
      </w:r>
      <w:r w:rsidR="00F67FBB" w:rsidRPr="00872450">
        <w:rPr>
          <w:rFonts w:ascii="Arial" w:hAnsi="Arial" w:cs="Arial"/>
        </w:rPr>
        <w:t> </w:t>
      </w:r>
      <w:r w:rsidR="00665D63" w:rsidRPr="00872450">
        <w:rPr>
          <w:rFonts w:ascii="Arial" w:hAnsi="Arial" w:cs="Arial"/>
          <w:iCs/>
        </w:rPr>
        <w:t>Frontiers in P</w:t>
      </w:r>
      <w:r w:rsidR="00F67FBB" w:rsidRPr="00872450">
        <w:rPr>
          <w:rFonts w:ascii="Arial" w:hAnsi="Arial" w:cs="Arial"/>
          <w:iCs/>
        </w:rPr>
        <w:t>harmacology</w:t>
      </w:r>
      <w:r w:rsidRPr="00872450">
        <w:rPr>
          <w:rFonts w:ascii="Arial" w:hAnsi="Arial" w:cs="Arial"/>
        </w:rPr>
        <w:t>.</w:t>
      </w:r>
      <w:r w:rsidR="00F67FBB" w:rsidRPr="00872450">
        <w:rPr>
          <w:rFonts w:ascii="Arial" w:hAnsi="Arial" w:cs="Arial"/>
        </w:rPr>
        <w:t> </w:t>
      </w:r>
      <w:proofErr w:type="gramStart"/>
      <w:r w:rsidRPr="00872450">
        <w:rPr>
          <w:rFonts w:ascii="Arial" w:hAnsi="Arial" w:cs="Arial"/>
        </w:rPr>
        <w:t>2021;</w:t>
      </w:r>
      <w:r w:rsidR="00F67FBB" w:rsidRPr="00872450">
        <w:rPr>
          <w:rFonts w:ascii="Arial" w:hAnsi="Arial" w:cs="Arial"/>
          <w:iCs/>
        </w:rPr>
        <w:t>12</w:t>
      </w:r>
      <w:r w:rsidRPr="00872450">
        <w:rPr>
          <w:rFonts w:ascii="Arial" w:hAnsi="Arial" w:cs="Arial"/>
        </w:rPr>
        <w:t>:</w:t>
      </w:r>
      <w:r w:rsidR="00F67FBB" w:rsidRPr="00872450">
        <w:rPr>
          <w:rFonts w:ascii="Arial" w:hAnsi="Arial" w:cs="Arial"/>
        </w:rPr>
        <w:t>643972</w:t>
      </w:r>
      <w:proofErr w:type="gramEnd"/>
      <w:r w:rsidR="00F67FBB" w:rsidRPr="00872450">
        <w:rPr>
          <w:rFonts w:ascii="Arial" w:hAnsi="Arial" w:cs="Arial"/>
        </w:rPr>
        <w:t>.</w:t>
      </w:r>
    </w:p>
    <w:p w14:paraId="1200151D" w14:textId="77777777" w:rsidR="00BD4732" w:rsidRPr="00872450" w:rsidRDefault="00D502D3" w:rsidP="002A2CE1">
      <w:pPr>
        <w:pStyle w:val="ListParagraph"/>
        <w:numPr>
          <w:ilvl w:val="0"/>
          <w:numId w:val="2"/>
        </w:numPr>
        <w:jc w:val="both"/>
        <w:rPr>
          <w:rFonts w:ascii="Arial" w:hAnsi="Arial" w:cs="Arial"/>
        </w:rPr>
      </w:pPr>
      <w:r w:rsidRPr="00872450">
        <w:rPr>
          <w:rFonts w:ascii="Arial" w:hAnsi="Arial" w:cs="Arial"/>
        </w:rPr>
        <w:t>Zaynab M, Al-</w:t>
      </w:r>
      <w:proofErr w:type="spellStart"/>
      <w:r w:rsidRPr="00872450">
        <w:rPr>
          <w:rFonts w:ascii="Arial" w:hAnsi="Arial" w:cs="Arial"/>
        </w:rPr>
        <w:t>Yahyai</w:t>
      </w:r>
      <w:proofErr w:type="spellEnd"/>
      <w:r w:rsidRPr="00872450">
        <w:rPr>
          <w:rFonts w:ascii="Arial" w:hAnsi="Arial" w:cs="Arial"/>
        </w:rPr>
        <w:t xml:space="preserve"> R</w:t>
      </w:r>
      <w:r w:rsidR="00BD4732" w:rsidRPr="00872450">
        <w:rPr>
          <w:rFonts w:ascii="Arial" w:hAnsi="Arial" w:cs="Arial"/>
        </w:rPr>
        <w:t>, Am</w:t>
      </w:r>
      <w:r w:rsidRPr="00872450">
        <w:rPr>
          <w:rFonts w:ascii="Arial" w:hAnsi="Arial" w:cs="Arial"/>
        </w:rPr>
        <w:t>een A, Sharif Y, Ali L, Fatima M, Li S</w:t>
      </w:r>
      <w:r w:rsidR="00BD4732" w:rsidRPr="00872450">
        <w:rPr>
          <w:rFonts w:ascii="Arial" w:hAnsi="Arial" w:cs="Arial"/>
        </w:rPr>
        <w:t>. Health and environ</w:t>
      </w:r>
      <w:r w:rsidRPr="00872450">
        <w:rPr>
          <w:rFonts w:ascii="Arial" w:hAnsi="Arial" w:cs="Arial"/>
        </w:rPr>
        <w:t xml:space="preserve">mental effects of heavy metals, </w:t>
      </w:r>
      <w:r w:rsidR="00BD4732" w:rsidRPr="00872450">
        <w:rPr>
          <w:rFonts w:ascii="Arial" w:hAnsi="Arial" w:cs="Arial"/>
          <w:iCs/>
        </w:rPr>
        <w:t>Journal of King Saud University-Science</w:t>
      </w:r>
      <w:r w:rsidR="00BD4732" w:rsidRPr="00872450">
        <w:rPr>
          <w:rFonts w:ascii="Arial" w:hAnsi="Arial" w:cs="Arial"/>
        </w:rPr>
        <w:t>, </w:t>
      </w:r>
      <w:r w:rsidRPr="00872450">
        <w:rPr>
          <w:rFonts w:ascii="Arial" w:hAnsi="Arial" w:cs="Arial"/>
        </w:rPr>
        <w:t>2022;</w:t>
      </w:r>
      <w:r w:rsidR="00BD4732" w:rsidRPr="00872450">
        <w:rPr>
          <w:rFonts w:ascii="Arial" w:hAnsi="Arial" w:cs="Arial"/>
          <w:iCs/>
        </w:rPr>
        <w:t>34</w:t>
      </w:r>
      <w:r w:rsidRPr="00872450">
        <w:rPr>
          <w:rFonts w:ascii="Arial" w:hAnsi="Arial" w:cs="Arial"/>
        </w:rPr>
        <w:t>(1):</w:t>
      </w:r>
      <w:r w:rsidR="00BD4732" w:rsidRPr="00872450">
        <w:rPr>
          <w:rFonts w:ascii="Arial" w:hAnsi="Arial" w:cs="Arial"/>
        </w:rPr>
        <w:t>101653.</w:t>
      </w:r>
    </w:p>
    <w:p w14:paraId="2836BC00" w14:textId="77777777" w:rsidR="00BD4732" w:rsidRPr="00872450" w:rsidRDefault="00D502D3" w:rsidP="002A2CE1">
      <w:pPr>
        <w:pStyle w:val="ListParagraph"/>
        <w:numPr>
          <w:ilvl w:val="0"/>
          <w:numId w:val="2"/>
        </w:numPr>
        <w:jc w:val="both"/>
        <w:rPr>
          <w:rFonts w:ascii="Arial" w:hAnsi="Arial" w:cs="Arial"/>
        </w:rPr>
      </w:pPr>
      <w:r w:rsidRPr="00872450">
        <w:rPr>
          <w:rFonts w:ascii="Arial" w:hAnsi="Arial" w:cs="Arial"/>
        </w:rPr>
        <w:t xml:space="preserve">Salam MA, Paul SC, Noor SNBM, Siddiqua SA, Aka TD, Wahab R, </w:t>
      </w:r>
      <w:proofErr w:type="spellStart"/>
      <w:r w:rsidRPr="00872450">
        <w:rPr>
          <w:rFonts w:ascii="Arial" w:hAnsi="Arial" w:cs="Arial"/>
        </w:rPr>
        <w:t>Aweng</w:t>
      </w:r>
      <w:proofErr w:type="spellEnd"/>
      <w:r w:rsidRPr="00872450">
        <w:rPr>
          <w:rFonts w:ascii="Arial" w:hAnsi="Arial" w:cs="Arial"/>
        </w:rPr>
        <w:t xml:space="preserve"> ER.</w:t>
      </w:r>
      <w:r w:rsidR="00BD4732" w:rsidRPr="00872450">
        <w:rPr>
          <w:rFonts w:ascii="Arial" w:hAnsi="Arial" w:cs="Arial"/>
        </w:rPr>
        <w:t xml:space="preserve"> Contamination profile of heavy meta</w:t>
      </w:r>
      <w:r w:rsidRPr="00872450">
        <w:rPr>
          <w:rFonts w:ascii="Arial" w:hAnsi="Arial" w:cs="Arial"/>
        </w:rPr>
        <w:t>ls in marine fish and shellfish,</w:t>
      </w:r>
      <w:r w:rsidR="00BD4732" w:rsidRPr="00872450">
        <w:rPr>
          <w:rFonts w:ascii="Arial" w:hAnsi="Arial" w:cs="Arial"/>
        </w:rPr>
        <w:t> </w:t>
      </w:r>
      <w:r w:rsidR="00BD4732" w:rsidRPr="00872450">
        <w:rPr>
          <w:rFonts w:ascii="Arial" w:hAnsi="Arial" w:cs="Arial"/>
          <w:iCs/>
        </w:rPr>
        <w:t>Global Journal of Environmental Science and Management</w:t>
      </w:r>
      <w:r w:rsidRPr="00872450">
        <w:rPr>
          <w:rFonts w:ascii="Arial" w:hAnsi="Arial" w:cs="Arial"/>
        </w:rPr>
        <w:t>.</w:t>
      </w:r>
      <w:r w:rsidR="00BD4732" w:rsidRPr="00872450">
        <w:rPr>
          <w:rFonts w:ascii="Arial" w:hAnsi="Arial" w:cs="Arial"/>
        </w:rPr>
        <w:t> </w:t>
      </w:r>
      <w:r w:rsidRPr="00872450">
        <w:rPr>
          <w:rFonts w:ascii="Arial" w:hAnsi="Arial" w:cs="Arial"/>
        </w:rPr>
        <w:t>2019;</w:t>
      </w:r>
      <w:r w:rsidR="00BD4732" w:rsidRPr="00872450">
        <w:rPr>
          <w:rFonts w:ascii="Arial" w:hAnsi="Arial" w:cs="Arial"/>
          <w:iCs/>
        </w:rPr>
        <w:t>5</w:t>
      </w:r>
      <w:r w:rsidRPr="00872450">
        <w:rPr>
          <w:rFonts w:ascii="Arial" w:hAnsi="Arial" w:cs="Arial"/>
        </w:rPr>
        <w:t>(2):</w:t>
      </w:r>
      <w:r w:rsidR="00BD4732" w:rsidRPr="00872450">
        <w:rPr>
          <w:rFonts w:ascii="Arial" w:hAnsi="Arial" w:cs="Arial"/>
        </w:rPr>
        <w:t>225-236.</w:t>
      </w:r>
    </w:p>
    <w:p w14:paraId="56D703E5" w14:textId="77777777" w:rsidR="00BD4732" w:rsidRPr="00872450" w:rsidRDefault="00D502D3" w:rsidP="002A2CE1">
      <w:pPr>
        <w:pStyle w:val="ListParagraph"/>
        <w:numPr>
          <w:ilvl w:val="0"/>
          <w:numId w:val="2"/>
        </w:numPr>
        <w:jc w:val="both"/>
        <w:rPr>
          <w:rFonts w:ascii="Arial" w:hAnsi="Arial" w:cs="Arial"/>
        </w:rPr>
      </w:pPr>
      <w:proofErr w:type="spellStart"/>
      <w:r w:rsidRPr="00872450">
        <w:rPr>
          <w:rFonts w:ascii="Arial" w:hAnsi="Arial" w:cs="Arial"/>
        </w:rPr>
        <w:t>Agbugui</w:t>
      </w:r>
      <w:proofErr w:type="spellEnd"/>
      <w:r w:rsidRPr="00872450">
        <w:rPr>
          <w:rFonts w:ascii="Arial" w:hAnsi="Arial" w:cs="Arial"/>
        </w:rPr>
        <w:t xml:space="preserve"> MO, Abe GO.</w:t>
      </w:r>
      <w:r w:rsidR="00BD4732" w:rsidRPr="00872450">
        <w:rPr>
          <w:rFonts w:ascii="Arial" w:hAnsi="Arial" w:cs="Arial"/>
        </w:rPr>
        <w:t xml:space="preserve"> Heavy metals in f</w:t>
      </w:r>
      <w:r w:rsidRPr="00872450">
        <w:rPr>
          <w:rFonts w:ascii="Arial" w:hAnsi="Arial" w:cs="Arial"/>
        </w:rPr>
        <w:t>ish: bioaccumulation and health,</w:t>
      </w:r>
      <w:r w:rsidR="00BD4732" w:rsidRPr="00872450">
        <w:rPr>
          <w:rFonts w:ascii="Arial" w:hAnsi="Arial" w:cs="Arial"/>
        </w:rPr>
        <w:t> </w:t>
      </w:r>
      <w:r w:rsidR="00BD4732" w:rsidRPr="00872450">
        <w:rPr>
          <w:rFonts w:ascii="Arial" w:hAnsi="Arial" w:cs="Arial"/>
          <w:iCs/>
        </w:rPr>
        <w:t>British Journal of Earth Sciences Research</w:t>
      </w:r>
      <w:r w:rsidR="00BD4732" w:rsidRPr="00872450">
        <w:rPr>
          <w:rFonts w:ascii="Arial" w:hAnsi="Arial" w:cs="Arial"/>
        </w:rPr>
        <w:t>, </w:t>
      </w:r>
      <w:r w:rsidRPr="00872450">
        <w:rPr>
          <w:rFonts w:ascii="Arial" w:hAnsi="Arial" w:cs="Arial"/>
        </w:rPr>
        <w:t>2022;</w:t>
      </w:r>
      <w:r w:rsidR="00BD4732" w:rsidRPr="00872450">
        <w:rPr>
          <w:rFonts w:ascii="Arial" w:hAnsi="Arial" w:cs="Arial"/>
          <w:iCs/>
        </w:rPr>
        <w:t>10</w:t>
      </w:r>
      <w:r w:rsidRPr="00872450">
        <w:rPr>
          <w:rFonts w:ascii="Arial" w:hAnsi="Arial" w:cs="Arial"/>
        </w:rPr>
        <w:t>(1):</w:t>
      </w:r>
      <w:r w:rsidR="00BD4732" w:rsidRPr="00872450">
        <w:rPr>
          <w:rFonts w:ascii="Arial" w:hAnsi="Arial" w:cs="Arial"/>
        </w:rPr>
        <w:t>47-66.</w:t>
      </w:r>
    </w:p>
    <w:p w14:paraId="11BD555D" w14:textId="77777777" w:rsidR="00BD4732" w:rsidRPr="00872450" w:rsidRDefault="00D502D3" w:rsidP="002A2CE1">
      <w:pPr>
        <w:pStyle w:val="ListParagraph"/>
        <w:numPr>
          <w:ilvl w:val="0"/>
          <w:numId w:val="2"/>
        </w:numPr>
        <w:jc w:val="both"/>
        <w:rPr>
          <w:rFonts w:ascii="Arial" w:hAnsi="Arial" w:cs="Arial"/>
        </w:rPr>
      </w:pPr>
      <w:proofErr w:type="spellStart"/>
      <w:r w:rsidRPr="00872450">
        <w:rPr>
          <w:rFonts w:ascii="Arial" w:hAnsi="Arial" w:cs="Arial"/>
        </w:rPr>
        <w:t>Ukwo</w:t>
      </w:r>
      <w:proofErr w:type="spellEnd"/>
      <w:r w:rsidRPr="00872450">
        <w:rPr>
          <w:rFonts w:ascii="Arial" w:hAnsi="Arial" w:cs="Arial"/>
        </w:rPr>
        <w:t xml:space="preserve"> S, </w:t>
      </w:r>
      <w:proofErr w:type="spellStart"/>
      <w:r w:rsidRPr="00872450">
        <w:rPr>
          <w:rFonts w:ascii="Arial" w:hAnsi="Arial" w:cs="Arial"/>
        </w:rPr>
        <w:t>Ezeama</w:t>
      </w:r>
      <w:proofErr w:type="spellEnd"/>
      <w:r w:rsidRPr="00872450">
        <w:rPr>
          <w:rFonts w:ascii="Arial" w:hAnsi="Arial" w:cs="Arial"/>
        </w:rPr>
        <w:t xml:space="preserve"> C, Obot O.</w:t>
      </w:r>
      <w:r w:rsidR="00BD4732" w:rsidRPr="00872450">
        <w:rPr>
          <w:rFonts w:ascii="Arial" w:hAnsi="Arial" w:cs="Arial"/>
        </w:rPr>
        <w:t xml:space="preserve"> Microbiological safety and toxic element contaminants in bivalve shellfish from intertidal mudflats of IK</w:t>
      </w:r>
      <w:r w:rsidR="001E566C" w:rsidRPr="00872450">
        <w:rPr>
          <w:rFonts w:ascii="Arial" w:hAnsi="Arial" w:cs="Arial"/>
        </w:rPr>
        <w:t>O estuary, Niger delta, Nigeria,</w:t>
      </w:r>
      <w:r w:rsidR="00BD4732" w:rsidRPr="00872450">
        <w:rPr>
          <w:rFonts w:ascii="Arial" w:hAnsi="Arial" w:cs="Arial"/>
        </w:rPr>
        <w:t> </w:t>
      </w:r>
      <w:r w:rsidR="00BD4732" w:rsidRPr="00872450">
        <w:rPr>
          <w:rFonts w:ascii="Arial" w:hAnsi="Arial" w:cs="Arial"/>
          <w:iCs/>
        </w:rPr>
        <w:t>South Asian J. Food Technol. Environ</w:t>
      </w:r>
      <w:r w:rsidR="001E566C" w:rsidRPr="00872450">
        <w:rPr>
          <w:rFonts w:ascii="Arial" w:hAnsi="Arial" w:cs="Arial"/>
        </w:rPr>
        <w:t>.</w:t>
      </w:r>
      <w:r w:rsidR="00BD4732" w:rsidRPr="00872450">
        <w:rPr>
          <w:rFonts w:ascii="Arial" w:hAnsi="Arial" w:cs="Arial"/>
        </w:rPr>
        <w:t> </w:t>
      </w:r>
      <w:proofErr w:type="gramStart"/>
      <w:r w:rsidRPr="00872450">
        <w:rPr>
          <w:rFonts w:ascii="Arial" w:hAnsi="Arial" w:cs="Arial"/>
        </w:rPr>
        <w:t>2019;</w:t>
      </w:r>
      <w:r w:rsidR="00BD4732" w:rsidRPr="00872450">
        <w:rPr>
          <w:rFonts w:ascii="Arial" w:hAnsi="Arial" w:cs="Arial"/>
          <w:iCs/>
        </w:rPr>
        <w:t>5</w:t>
      </w:r>
      <w:r w:rsidRPr="00872450">
        <w:rPr>
          <w:rFonts w:ascii="Arial" w:hAnsi="Arial" w:cs="Arial"/>
        </w:rPr>
        <w:t>:</w:t>
      </w:r>
      <w:r w:rsidR="00BD4732" w:rsidRPr="00872450">
        <w:rPr>
          <w:rFonts w:ascii="Arial" w:hAnsi="Arial" w:cs="Arial"/>
        </w:rPr>
        <w:t>846</w:t>
      </w:r>
      <w:proofErr w:type="gramEnd"/>
      <w:r w:rsidR="00BD4732" w:rsidRPr="00872450">
        <w:rPr>
          <w:rFonts w:ascii="Arial" w:hAnsi="Arial" w:cs="Arial"/>
        </w:rPr>
        <w:t>-854.</w:t>
      </w:r>
    </w:p>
    <w:p w14:paraId="27809D37" w14:textId="77777777" w:rsidR="00BD4732" w:rsidRPr="00872450" w:rsidRDefault="001E566C" w:rsidP="002A2CE1">
      <w:pPr>
        <w:pStyle w:val="ListParagraph"/>
        <w:numPr>
          <w:ilvl w:val="0"/>
          <w:numId w:val="2"/>
        </w:numPr>
        <w:jc w:val="both"/>
        <w:rPr>
          <w:rFonts w:ascii="Arial" w:hAnsi="Arial" w:cs="Arial"/>
        </w:rPr>
      </w:pPr>
      <w:r w:rsidRPr="00872450">
        <w:rPr>
          <w:rFonts w:ascii="Arial" w:hAnsi="Arial" w:cs="Arial"/>
        </w:rPr>
        <w:t xml:space="preserve">Sunday PU, </w:t>
      </w:r>
      <w:proofErr w:type="spellStart"/>
      <w:r w:rsidRPr="00872450">
        <w:rPr>
          <w:rFonts w:ascii="Arial" w:hAnsi="Arial" w:cs="Arial"/>
        </w:rPr>
        <w:t>Ofonmbuk</w:t>
      </w:r>
      <w:proofErr w:type="spellEnd"/>
      <w:r w:rsidRPr="00872450">
        <w:rPr>
          <w:rFonts w:ascii="Arial" w:hAnsi="Arial" w:cs="Arial"/>
        </w:rPr>
        <w:t xml:space="preserve"> I.</w:t>
      </w:r>
      <w:r w:rsidR="00BD4732" w:rsidRPr="00872450">
        <w:rPr>
          <w:rFonts w:ascii="Arial" w:hAnsi="Arial" w:cs="Arial"/>
        </w:rPr>
        <w:t xml:space="preserve"> Microbiological safety and toxic element contaminants in bivalve shellfish from intertidal mudflats of Ik</w:t>
      </w:r>
      <w:r w:rsidRPr="00872450">
        <w:rPr>
          <w:rFonts w:ascii="Arial" w:hAnsi="Arial" w:cs="Arial"/>
        </w:rPr>
        <w:t>o Estuary, Niger Delta, Nigeria,</w:t>
      </w:r>
      <w:r w:rsidR="00BD4732" w:rsidRPr="00872450">
        <w:rPr>
          <w:rFonts w:ascii="Arial" w:hAnsi="Arial" w:cs="Arial"/>
        </w:rPr>
        <w:t> </w:t>
      </w:r>
      <w:r w:rsidR="00BD4732" w:rsidRPr="00872450">
        <w:rPr>
          <w:rFonts w:ascii="Arial" w:hAnsi="Arial" w:cs="Arial"/>
          <w:iCs/>
        </w:rPr>
        <w:t>Annals: Food Science &amp; Technology</w:t>
      </w:r>
      <w:r w:rsidRPr="00872450">
        <w:rPr>
          <w:rFonts w:ascii="Arial" w:hAnsi="Arial" w:cs="Arial"/>
        </w:rPr>
        <w:t>.</w:t>
      </w:r>
      <w:r w:rsidR="00BD4732" w:rsidRPr="00872450">
        <w:rPr>
          <w:rFonts w:ascii="Arial" w:hAnsi="Arial" w:cs="Arial"/>
        </w:rPr>
        <w:t> </w:t>
      </w:r>
      <w:r w:rsidRPr="00872450">
        <w:rPr>
          <w:rFonts w:ascii="Arial" w:hAnsi="Arial" w:cs="Arial"/>
        </w:rPr>
        <w:t>2020;</w:t>
      </w:r>
      <w:r w:rsidR="00BD4732" w:rsidRPr="00872450">
        <w:rPr>
          <w:rFonts w:ascii="Arial" w:hAnsi="Arial" w:cs="Arial"/>
          <w:iCs/>
        </w:rPr>
        <w:t>21</w:t>
      </w:r>
      <w:r w:rsidR="00BD4732" w:rsidRPr="00872450">
        <w:rPr>
          <w:rFonts w:ascii="Arial" w:hAnsi="Arial" w:cs="Arial"/>
        </w:rPr>
        <w:t>(1).</w:t>
      </w:r>
    </w:p>
    <w:p w14:paraId="0C1C04F3" w14:textId="77777777" w:rsidR="00BD4732" w:rsidRPr="00872450" w:rsidRDefault="001E566C" w:rsidP="002A2CE1">
      <w:pPr>
        <w:pStyle w:val="ListParagraph"/>
        <w:numPr>
          <w:ilvl w:val="0"/>
          <w:numId w:val="2"/>
        </w:numPr>
        <w:jc w:val="both"/>
        <w:rPr>
          <w:rFonts w:ascii="Arial" w:hAnsi="Arial" w:cs="Arial"/>
        </w:rPr>
      </w:pPr>
      <w:proofErr w:type="spellStart"/>
      <w:r w:rsidRPr="00872450">
        <w:rPr>
          <w:rFonts w:ascii="Arial" w:hAnsi="Arial" w:cs="Arial"/>
        </w:rPr>
        <w:t>Beshiru</w:t>
      </w:r>
      <w:proofErr w:type="spellEnd"/>
      <w:r w:rsidRPr="00872450">
        <w:rPr>
          <w:rFonts w:ascii="Arial" w:hAnsi="Arial" w:cs="Arial"/>
        </w:rPr>
        <w:t xml:space="preserve"> A</w:t>
      </w:r>
      <w:r w:rsidR="00BD4732" w:rsidRPr="00872450">
        <w:rPr>
          <w:rFonts w:ascii="Arial" w:hAnsi="Arial" w:cs="Arial"/>
        </w:rPr>
        <w:t>, Ok</w:t>
      </w:r>
      <w:r w:rsidRPr="00872450">
        <w:rPr>
          <w:rFonts w:ascii="Arial" w:hAnsi="Arial" w:cs="Arial"/>
        </w:rPr>
        <w:t xml:space="preserve">oh AI, </w:t>
      </w:r>
      <w:proofErr w:type="spellStart"/>
      <w:r w:rsidRPr="00872450">
        <w:rPr>
          <w:rFonts w:ascii="Arial" w:hAnsi="Arial" w:cs="Arial"/>
        </w:rPr>
        <w:t>Igbinosa</w:t>
      </w:r>
      <w:proofErr w:type="spellEnd"/>
      <w:r w:rsidRPr="00872450">
        <w:rPr>
          <w:rFonts w:ascii="Arial" w:hAnsi="Arial" w:cs="Arial"/>
        </w:rPr>
        <w:t xml:space="preserve"> EO</w:t>
      </w:r>
      <w:r w:rsidR="00BD4732" w:rsidRPr="00872450">
        <w:rPr>
          <w:rFonts w:ascii="Arial" w:hAnsi="Arial" w:cs="Arial"/>
        </w:rPr>
        <w:t xml:space="preserve">. Processed ready-to-eat (RTE) foods sold in Yenagoa Nigeria were colonized by diarrheagenic Escherichia coli which constitute a </w:t>
      </w:r>
      <w:r w:rsidRPr="00872450">
        <w:rPr>
          <w:rFonts w:ascii="Arial" w:hAnsi="Arial" w:cs="Arial"/>
        </w:rPr>
        <w:t>probable hazard to human health,</w:t>
      </w:r>
      <w:r w:rsidR="00BD4732" w:rsidRPr="00872450">
        <w:rPr>
          <w:rFonts w:ascii="Arial" w:hAnsi="Arial" w:cs="Arial"/>
        </w:rPr>
        <w:t> </w:t>
      </w:r>
      <w:proofErr w:type="spellStart"/>
      <w:r w:rsidRPr="00872450">
        <w:rPr>
          <w:rFonts w:ascii="Arial" w:hAnsi="Arial" w:cs="Arial"/>
          <w:iCs/>
        </w:rPr>
        <w:t>Plos</w:t>
      </w:r>
      <w:proofErr w:type="spellEnd"/>
      <w:r w:rsidRPr="00872450">
        <w:rPr>
          <w:rFonts w:ascii="Arial" w:hAnsi="Arial" w:cs="Arial"/>
          <w:iCs/>
        </w:rPr>
        <w:t xml:space="preserve"> O</w:t>
      </w:r>
      <w:r w:rsidR="00BD4732" w:rsidRPr="00872450">
        <w:rPr>
          <w:rFonts w:ascii="Arial" w:hAnsi="Arial" w:cs="Arial"/>
          <w:iCs/>
        </w:rPr>
        <w:t>ne</w:t>
      </w:r>
      <w:r w:rsidRPr="00872450">
        <w:rPr>
          <w:rFonts w:ascii="Arial" w:hAnsi="Arial" w:cs="Arial"/>
        </w:rPr>
        <w:t>.</w:t>
      </w:r>
      <w:r w:rsidR="00BD4732" w:rsidRPr="00872450">
        <w:rPr>
          <w:rFonts w:ascii="Arial" w:hAnsi="Arial" w:cs="Arial"/>
        </w:rPr>
        <w:t> </w:t>
      </w:r>
      <w:r w:rsidRPr="00872450">
        <w:rPr>
          <w:rFonts w:ascii="Arial" w:hAnsi="Arial" w:cs="Arial"/>
        </w:rPr>
        <w:t>2022;</w:t>
      </w:r>
      <w:r w:rsidR="00BD4732" w:rsidRPr="00872450">
        <w:rPr>
          <w:rFonts w:ascii="Arial" w:hAnsi="Arial" w:cs="Arial"/>
          <w:iCs/>
        </w:rPr>
        <w:t>17</w:t>
      </w:r>
      <w:r w:rsidRPr="00872450">
        <w:rPr>
          <w:rFonts w:ascii="Arial" w:hAnsi="Arial" w:cs="Arial"/>
        </w:rPr>
        <w:t>(4):</w:t>
      </w:r>
      <w:r w:rsidR="00BD4732" w:rsidRPr="00872450">
        <w:rPr>
          <w:rFonts w:ascii="Arial" w:hAnsi="Arial" w:cs="Arial"/>
        </w:rPr>
        <w:t xml:space="preserve"> e0266059.</w:t>
      </w:r>
    </w:p>
    <w:p w14:paraId="29F69A12" w14:textId="77777777" w:rsidR="00BD4732" w:rsidRPr="00872450" w:rsidRDefault="001E566C" w:rsidP="002A2CE1">
      <w:pPr>
        <w:pStyle w:val="ListParagraph"/>
        <w:numPr>
          <w:ilvl w:val="0"/>
          <w:numId w:val="2"/>
        </w:numPr>
        <w:jc w:val="both"/>
        <w:rPr>
          <w:rFonts w:ascii="Arial" w:hAnsi="Arial" w:cs="Arial"/>
        </w:rPr>
      </w:pPr>
      <w:proofErr w:type="spellStart"/>
      <w:r w:rsidRPr="00872450">
        <w:rPr>
          <w:rFonts w:ascii="Arial" w:hAnsi="Arial" w:cs="Arial"/>
        </w:rPr>
        <w:t>Onyena</w:t>
      </w:r>
      <w:proofErr w:type="spellEnd"/>
      <w:r w:rsidRPr="00872450">
        <w:rPr>
          <w:rFonts w:ascii="Arial" w:hAnsi="Arial" w:cs="Arial"/>
        </w:rPr>
        <w:t xml:space="preserve"> AP, Sam K.</w:t>
      </w:r>
      <w:r w:rsidR="00BD4732" w:rsidRPr="00872450">
        <w:rPr>
          <w:rFonts w:ascii="Arial" w:hAnsi="Arial" w:cs="Arial"/>
        </w:rPr>
        <w:t xml:space="preserve"> A review of the threat of oil exploitation to mangrove ecosystem: Ins</w:t>
      </w:r>
      <w:r w:rsidRPr="00872450">
        <w:rPr>
          <w:rFonts w:ascii="Arial" w:hAnsi="Arial" w:cs="Arial"/>
        </w:rPr>
        <w:t>ights from Niger Delta, Nigeria,</w:t>
      </w:r>
      <w:r w:rsidR="00BD4732" w:rsidRPr="00872450">
        <w:rPr>
          <w:rFonts w:ascii="Arial" w:hAnsi="Arial" w:cs="Arial"/>
        </w:rPr>
        <w:t> </w:t>
      </w:r>
      <w:r w:rsidRPr="00872450">
        <w:rPr>
          <w:rFonts w:ascii="Arial" w:hAnsi="Arial" w:cs="Arial"/>
          <w:iCs/>
        </w:rPr>
        <w:t>Global ecology and C</w:t>
      </w:r>
      <w:r w:rsidR="00BD4732" w:rsidRPr="00872450">
        <w:rPr>
          <w:rFonts w:ascii="Arial" w:hAnsi="Arial" w:cs="Arial"/>
          <w:iCs/>
        </w:rPr>
        <w:t>onservation</w:t>
      </w:r>
      <w:r w:rsidRPr="00872450">
        <w:rPr>
          <w:rFonts w:ascii="Arial" w:hAnsi="Arial" w:cs="Arial"/>
        </w:rPr>
        <w:t>.</w:t>
      </w:r>
      <w:r w:rsidR="00BD4732" w:rsidRPr="00872450">
        <w:rPr>
          <w:rFonts w:ascii="Arial" w:hAnsi="Arial" w:cs="Arial"/>
        </w:rPr>
        <w:t> </w:t>
      </w:r>
      <w:r w:rsidRPr="00872450">
        <w:rPr>
          <w:rFonts w:ascii="Arial" w:hAnsi="Arial" w:cs="Arial"/>
        </w:rPr>
        <w:t>2020;</w:t>
      </w:r>
      <w:proofErr w:type="gramStart"/>
      <w:r w:rsidR="00BD4732" w:rsidRPr="00872450">
        <w:rPr>
          <w:rFonts w:ascii="Arial" w:hAnsi="Arial" w:cs="Arial"/>
          <w:iCs/>
        </w:rPr>
        <w:t>22</w:t>
      </w:r>
      <w:r w:rsidRPr="00872450">
        <w:rPr>
          <w:rFonts w:ascii="Arial" w:hAnsi="Arial" w:cs="Arial"/>
        </w:rPr>
        <w:t>:</w:t>
      </w:r>
      <w:r w:rsidR="00BD4732" w:rsidRPr="00872450">
        <w:rPr>
          <w:rFonts w:ascii="Arial" w:hAnsi="Arial" w:cs="Arial"/>
        </w:rPr>
        <w:t>e</w:t>
      </w:r>
      <w:proofErr w:type="gramEnd"/>
      <w:r w:rsidR="00BD4732" w:rsidRPr="00872450">
        <w:rPr>
          <w:rFonts w:ascii="Arial" w:hAnsi="Arial" w:cs="Arial"/>
        </w:rPr>
        <w:t>00961.</w:t>
      </w:r>
    </w:p>
    <w:p w14:paraId="74817C6D" w14:textId="77777777" w:rsidR="005C6D9C" w:rsidRPr="00872450" w:rsidRDefault="001E566C" w:rsidP="002A2CE1">
      <w:pPr>
        <w:pStyle w:val="ListParagraph"/>
        <w:numPr>
          <w:ilvl w:val="0"/>
          <w:numId w:val="2"/>
        </w:numPr>
        <w:jc w:val="both"/>
        <w:rPr>
          <w:rFonts w:ascii="Arial" w:hAnsi="Arial" w:cs="Arial"/>
        </w:rPr>
      </w:pPr>
      <w:r w:rsidRPr="00872450">
        <w:rPr>
          <w:rFonts w:ascii="Arial" w:hAnsi="Arial" w:cs="Arial"/>
        </w:rPr>
        <w:t xml:space="preserve">Adeola AO, </w:t>
      </w:r>
      <w:proofErr w:type="spellStart"/>
      <w:r w:rsidRPr="00872450">
        <w:rPr>
          <w:rFonts w:ascii="Arial" w:hAnsi="Arial" w:cs="Arial"/>
        </w:rPr>
        <w:t>Akingboye</w:t>
      </w:r>
      <w:proofErr w:type="spellEnd"/>
      <w:r w:rsidRPr="00872450">
        <w:rPr>
          <w:rFonts w:ascii="Arial" w:hAnsi="Arial" w:cs="Arial"/>
        </w:rPr>
        <w:t xml:space="preserve"> AS, Ore OT, </w:t>
      </w:r>
      <w:proofErr w:type="spellStart"/>
      <w:r w:rsidRPr="00872450">
        <w:rPr>
          <w:rFonts w:ascii="Arial" w:hAnsi="Arial" w:cs="Arial"/>
        </w:rPr>
        <w:t>Oluwajana</w:t>
      </w:r>
      <w:proofErr w:type="spellEnd"/>
      <w:r w:rsidRPr="00872450">
        <w:rPr>
          <w:rFonts w:ascii="Arial" w:hAnsi="Arial" w:cs="Arial"/>
        </w:rPr>
        <w:t xml:space="preserve"> OA, Adewole AH, </w:t>
      </w:r>
      <w:proofErr w:type="spellStart"/>
      <w:r w:rsidRPr="00872450">
        <w:rPr>
          <w:rFonts w:ascii="Arial" w:hAnsi="Arial" w:cs="Arial"/>
        </w:rPr>
        <w:t>Olawade</w:t>
      </w:r>
      <w:proofErr w:type="spellEnd"/>
      <w:r w:rsidRPr="00872450">
        <w:rPr>
          <w:rFonts w:ascii="Arial" w:hAnsi="Arial" w:cs="Arial"/>
        </w:rPr>
        <w:t xml:space="preserve"> DB, </w:t>
      </w:r>
      <w:proofErr w:type="spellStart"/>
      <w:r w:rsidRPr="00872450">
        <w:rPr>
          <w:rFonts w:ascii="Arial" w:hAnsi="Arial" w:cs="Arial"/>
        </w:rPr>
        <w:t>Ogunyele</w:t>
      </w:r>
      <w:proofErr w:type="spellEnd"/>
      <w:r w:rsidR="005C6D9C" w:rsidRPr="00872450">
        <w:rPr>
          <w:rFonts w:ascii="Arial" w:hAnsi="Arial" w:cs="Arial"/>
        </w:rPr>
        <w:t xml:space="preserve"> A</w:t>
      </w:r>
      <w:r w:rsidRPr="00872450">
        <w:rPr>
          <w:rFonts w:ascii="Arial" w:hAnsi="Arial" w:cs="Arial"/>
        </w:rPr>
        <w:t>C.</w:t>
      </w:r>
      <w:r w:rsidR="005C6D9C" w:rsidRPr="00872450">
        <w:rPr>
          <w:rFonts w:ascii="Arial" w:hAnsi="Arial" w:cs="Arial"/>
        </w:rPr>
        <w:t xml:space="preserve"> Crude oil exploration in Africa: socio-economic implications, environmental imp</w:t>
      </w:r>
      <w:r w:rsidR="00546335" w:rsidRPr="00872450">
        <w:rPr>
          <w:rFonts w:ascii="Arial" w:hAnsi="Arial" w:cs="Arial"/>
        </w:rPr>
        <w:t>acts</w:t>
      </w:r>
      <w:r w:rsidRPr="00872450">
        <w:rPr>
          <w:rFonts w:ascii="Arial" w:hAnsi="Arial" w:cs="Arial"/>
        </w:rPr>
        <w:t xml:space="preserve"> and mitigation strategies,</w:t>
      </w:r>
      <w:r w:rsidR="005C6D9C" w:rsidRPr="00872450">
        <w:rPr>
          <w:rFonts w:ascii="Arial" w:hAnsi="Arial" w:cs="Arial"/>
        </w:rPr>
        <w:t> </w:t>
      </w:r>
      <w:r w:rsidR="005C6D9C" w:rsidRPr="00872450">
        <w:rPr>
          <w:rFonts w:ascii="Arial" w:hAnsi="Arial" w:cs="Arial"/>
          <w:iCs/>
        </w:rPr>
        <w:t>Environment Systems and Decisions</w:t>
      </w:r>
      <w:r w:rsidRPr="00872450">
        <w:rPr>
          <w:rFonts w:ascii="Arial" w:hAnsi="Arial" w:cs="Arial"/>
        </w:rPr>
        <w:t>.</w:t>
      </w:r>
      <w:r w:rsidR="005C6D9C" w:rsidRPr="00872450">
        <w:rPr>
          <w:rFonts w:ascii="Arial" w:hAnsi="Arial" w:cs="Arial"/>
        </w:rPr>
        <w:t> </w:t>
      </w:r>
      <w:r w:rsidRPr="00872450">
        <w:rPr>
          <w:rFonts w:ascii="Arial" w:hAnsi="Arial" w:cs="Arial"/>
        </w:rPr>
        <w:t>2022;</w:t>
      </w:r>
      <w:r w:rsidR="005C6D9C" w:rsidRPr="00872450">
        <w:rPr>
          <w:rFonts w:ascii="Arial" w:hAnsi="Arial" w:cs="Arial"/>
          <w:iCs/>
        </w:rPr>
        <w:t>42</w:t>
      </w:r>
      <w:r w:rsidRPr="00872450">
        <w:rPr>
          <w:rFonts w:ascii="Arial" w:hAnsi="Arial" w:cs="Arial"/>
        </w:rPr>
        <w:t>(1):</w:t>
      </w:r>
      <w:r w:rsidR="005C6D9C" w:rsidRPr="00872450">
        <w:rPr>
          <w:rFonts w:ascii="Arial" w:hAnsi="Arial" w:cs="Arial"/>
        </w:rPr>
        <w:t>26-50.</w:t>
      </w:r>
    </w:p>
    <w:p w14:paraId="268F6446" w14:textId="77777777" w:rsidR="00B039D3" w:rsidRPr="00872450" w:rsidRDefault="00B039D3" w:rsidP="002A2CE1">
      <w:pPr>
        <w:pStyle w:val="ListParagraph"/>
        <w:numPr>
          <w:ilvl w:val="0"/>
          <w:numId w:val="2"/>
        </w:numPr>
        <w:jc w:val="both"/>
        <w:rPr>
          <w:rFonts w:ascii="Arial" w:hAnsi="Arial" w:cs="Arial"/>
        </w:rPr>
      </w:pPr>
      <w:r w:rsidRPr="00872450">
        <w:rPr>
          <w:rFonts w:ascii="Arial" w:hAnsi="Arial" w:cs="Arial"/>
          <w:shd w:val="clear" w:color="auto" w:fill="FFFFFF"/>
        </w:rPr>
        <w:t xml:space="preserve">Aytekin T, </w:t>
      </w:r>
      <w:proofErr w:type="spellStart"/>
      <w:r w:rsidRPr="00872450">
        <w:rPr>
          <w:rFonts w:ascii="Arial" w:hAnsi="Arial" w:cs="Arial"/>
          <w:shd w:val="clear" w:color="auto" w:fill="FFFFFF"/>
        </w:rPr>
        <w:t>Kargın</w:t>
      </w:r>
      <w:proofErr w:type="spellEnd"/>
      <w:r w:rsidRPr="00872450">
        <w:rPr>
          <w:rFonts w:ascii="Arial" w:hAnsi="Arial" w:cs="Arial"/>
          <w:shd w:val="clear" w:color="auto" w:fill="FFFFFF"/>
        </w:rPr>
        <w:t xml:space="preserve"> D, </w:t>
      </w:r>
      <w:proofErr w:type="spellStart"/>
      <w:r w:rsidRPr="00872450">
        <w:rPr>
          <w:rFonts w:ascii="Arial" w:hAnsi="Arial" w:cs="Arial"/>
          <w:shd w:val="clear" w:color="auto" w:fill="FFFFFF"/>
        </w:rPr>
        <w:t>Çoğun</w:t>
      </w:r>
      <w:proofErr w:type="spellEnd"/>
      <w:r w:rsidRPr="00872450">
        <w:rPr>
          <w:rFonts w:ascii="Arial" w:hAnsi="Arial" w:cs="Arial"/>
          <w:shd w:val="clear" w:color="auto" w:fill="FFFFFF"/>
        </w:rPr>
        <w:t xml:space="preserve"> HY, Temiz Ö, </w:t>
      </w:r>
      <w:proofErr w:type="spellStart"/>
      <w:r w:rsidRPr="00872450">
        <w:rPr>
          <w:rFonts w:ascii="Arial" w:hAnsi="Arial" w:cs="Arial"/>
          <w:shd w:val="clear" w:color="auto" w:fill="FFFFFF"/>
        </w:rPr>
        <w:t>Varkal</w:t>
      </w:r>
      <w:proofErr w:type="spellEnd"/>
      <w:r w:rsidRPr="00872450">
        <w:rPr>
          <w:rFonts w:ascii="Arial" w:hAnsi="Arial" w:cs="Arial"/>
          <w:shd w:val="clear" w:color="auto" w:fill="FFFFFF"/>
        </w:rPr>
        <w:t xml:space="preserve"> HS, </w:t>
      </w:r>
      <w:proofErr w:type="spellStart"/>
      <w:r w:rsidRPr="00872450">
        <w:rPr>
          <w:rFonts w:ascii="Arial" w:hAnsi="Arial" w:cs="Arial"/>
          <w:shd w:val="clear" w:color="auto" w:fill="FFFFFF"/>
        </w:rPr>
        <w:t>Kargın</w:t>
      </w:r>
      <w:proofErr w:type="spellEnd"/>
      <w:r w:rsidRPr="00872450">
        <w:rPr>
          <w:rFonts w:ascii="Arial" w:hAnsi="Arial" w:cs="Arial"/>
          <w:shd w:val="clear" w:color="auto" w:fill="FFFFFF"/>
        </w:rPr>
        <w:t xml:space="preserve"> F. Accumulation and health risk assessment of heavy metals in tissues of the shrimp and fish species from the </w:t>
      </w:r>
      <w:proofErr w:type="spellStart"/>
      <w:r w:rsidRPr="00872450">
        <w:rPr>
          <w:rFonts w:ascii="Arial" w:hAnsi="Arial" w:cs="Arial"/>
          <w:shd w:val="clear" w:color="auto" w:fill="FFFFFF"/>
        </w:rPr>
        <w:t>Yumurtalik</w:t>
      </w:r>
      <w:proofErr w:type="spellEnd"/>
      <w:r w:rsidRPr="00872450">
        <w:rPr>
          <w:rFonts w:ascii="Arial" w:hAnsi="Arial" w:cs="Arial"/>
          <w:shd w:val="clear" w:color="auto" w:fill="FFFFFF"/>
        </w:rPr>
        <w:t xml:space="preserve"> coast of Iskenderun Gulf, Turkey. </w:t>
      </w:r>
      <w:proofErr w:type="spellStart"/>
      <w:r w:rsidRPr="00872450">
        <w:rPr>
          <w:rFonts w:ascii="Arial" w:hAnsi="Arial" w:cs="Arial"/>
          <w:shd w:val="clear" w:color="auto" w:fill="FFFFFF"/>
        </w:rPr>
        <w:t>Heliyon</w:t>
      </w:r>
      <w:proofErr w:type="spellEnd"/>
      <w:r w:rsidRPr="00872450">
        <w:rPr>
          <w:rFonts w:ascii="Arial" w:hAnsi="Arial" w:cs="Arial"/>
          <w:shd w:val="clear" w:color="auto" w:fill="FFFFFF"/>
        </w:rPr>
        <w:t>. 2019, 5(8</w:t>
      </w:r>
      <w:proofErr w:type="gramStart"/>
      <w:r w:rsidRPr="00872450">
        <w:rPr>
          <w:rFonts w:ascii="Arial" w:hAnsi="Arial" w:cs="Arial"/>
          <w:shd w:val="clear" w:color="auto" w:fill="FFFFFF"/>
        </w:rPr>
        <w:t>):e</w:t>
      </w:r>
      <w:proofErr w:type="gramEnd"/>
      <w:r w:rsidRPr="00872450">
        <w:rPr>
          <w:rFonts w:ascii="Arial" w:hAnsi="Arial" w:cs="Arial"/>
          <w:shd w:val="clear" w:color="auto" w:fill="FFFFFF"/>
        </w:rPr>
        <w:t>02131</w:t>
      </w:r>
    </w:p>
    <w:p w14:paraId="6606A2E0" w14:textId="77777777" w:rsidR="005C6D9C" w:rsidRPr="00872450" w:rsidRDefault="001E566C" w:rsidP="002A2CE1">
      <w:pPr>
        <w:pStyle w:val="ListParagraph"/>
        <w:numPr>
          <w:ilvl w:val="0"/>
          <w:numId w:val="2"/>
        </w:numPr>
        <w:jc w:val="both"/>
        <w:rPr>
          <w:rFonts w:ascii="Arial" w:hAnsi="Arial" w:cs="Arial"/>
        </w:rPr>
      </w:pPr>
      <w:r w:rsidRPr="00872450">
        <w:rPr>
          <w:rFonts w:ascii="Arial" w:hAnsi="Arial" w:cs="Arial"/>
        </w:rPr>
        <w:lastRenderedPageBreak/>
        <w:t xml:space="preserve">Ahmed ASS, Hossain MB, </w:t>
      </w:r>
      <w:proofErr w:type="spellStart"/>
      <w:r w:rsidRPr="00872450">
        <w:rPr>
          <w:rFonts w:ascii="Arial" w:hAnsi="Arial" w:cs="Arial"/>
        </w:rPr>
        <w:t>Semme</w:t>
      </w:r>
      <w:proofErr w:type="spellEnd"/>
      <w:r w:rsidRPr="00872450">
        <w:rPr>
          <w:rFonts w:ascii="Arial" w:hAnsi="Arial" w:cs="Arial"/>
        </w:rPr>
        <w:t xml:space="preserve"> SA, Babu SMOF, Hossain K,</w:t>
      </w:r>
      <w:r w:rsidR="005C6D9C" w:rsidRPr="00872450">
        <w:rPr>
          <w:rFonts w:ascii="Arial" w:hAnsi="Arial" w:cs="Arial"/>
        </w:rPr>
        <w:t xml:space="preserve"> </w:t>
      </w:r>
      <w:proofErr w:type="spellStart"/>
      <w:r w:rsidR="005C6D9C" w:rsidRPr="00872450">
        <w:rPr>
          <w:rFonts w:ascii="Arial" w:hAnsi="Arial" w:cs="Arial"/>
        </w:rPr>
        <w:t>M</w:t>
      </w:r>
      <w:r w:rsidRPr="00872450">
        <w:rPr>
          <w:rFonts w:ascii="Arial" w:hAnsi="Arial" w:cs="Arial"/>
        </w:rPr>
        <w:t>oniruzzaman</w:t>
      </w:r>
      <w:proofErr w:type="spellEnd"/>
      <w:r w:rsidRPr="00872450">
        <w:rPr>
          <w:rFonts w:ascii="Arial" w:hAnsi="Arial" w:cs="Arial"/>
        </w:rPr>
        <w:t xml:space="preserve"> M.</w:t>
      </w:r>
      <w:r w:rsidR="005C6D9C" w:rsidRPr="00872450">
        <w:rPr>
          <w:rFonts w:ascii="Arial" w:hAnsi="Arial" w:cs="Arial"/>
        </w:rPr>
        <w:t xml:space="preserve"> Accumulation of trace elements in selected fish and shellfish species from the largest natural carp fish breeding basin in Asia: a probabilisti</w:t>
      </w:r>
      <w:r w:rsidRPr="00872450">
        <w:rPr>
          <w:rFonts w:ascii="Arial" w:hAnsi="Arial" w:cs="Arial"/>
        </w:rPr>
        <w:t>c human health risk implication,</w:t>
      </w:r>
      <w:r w:rsidR="005C6D9C" w:rsidRPr="00872450">
        <w:rPr>
          <w:rFonts w:ascii="Arial" w:hAnsi="Arial" w:cs="Arial"/>
        </w:rPr>
        <w:t> </w:t>
      </w:r>
      <w:r w:rsidR="005C6D9C" w:rsidRPr="00872450">
        <w:rPr>
          <w:rFonts w:ascii="Arial" w:hAnsi="Arial" w:cs="Arial"/>
          <w:iCs/>
        </w:rPr>
        <w:t>Environmental Science and Pollution Research</w:t>
      </w:r>
      <w:r w:rsidRPr="00872450">
        <w:rPr>
          <w:rFonts w:ascii="Arial" w:hAnsi="Arial" w:cs="Arial"/>
        </w:rPr>
        <w:t xml:space="preserve">. </w:t>
      </w:r>
      <w:proofErr w:type="gramStart"/>
      <w:r w:rsidRPr="00872450">
        <w:rPr>
          <w:rFonts w:ascii="Arial" w:hAnsi="Arial" w:cs="Arial"/>
        </w:rPr>
        <w:t>2020;</w:t>
      </w:r>
      <w:r w:rsidR="005C6D9C" w:rsidRPr="00872450">
        <w:rPr>
          <w:rFonts w:ascii="Arial" w:hAnsi="Arial" w:cs="Arial"/>
          <w:iCs/>
        </w:rPr>
        <w:t>27</w:t>
      </w:r>
      <w:r w:rsidRPr="00872450">
        <w:rPr>
          <w:rFonts w:ascii="Arial" w:hAnsi="Arial" w:cs="Arial"/>
        </w:rPr>
        <w:t>:</w:t>
      </w:r>
      <w:r w:rsidR="005C6D9C" w:rsidRPr="00872450">
        <w:rPr>
          <w:rFonts w:ascii="Arial" w:hAnsi="Arial" w:cs="Arial"/>
        </w:rPr>
        <w:t>37852</w:t>
      </w:r>
      <w:proofErr w:type="gramEnd"/>
      <w:r w:rsidR="005C6D9C" w:rsidRPr="00872450">
        <w:rPr>
          <w:rFonts w:ascii="Arial" w:hAnsi="Arial" w:cs="Arial"/>
        </w:rPr>
        <w:t>-37865.</w:t>
      </w:r>
    </w:p>
    <w:p w14:paraId="27A35639" w14:textId="77777777" w:rsidR="00BD4732" w:rsidRPr="00872450" w:rsidRDefault="001E566C" w:rsidP="002A2CE1">
      <w:pPr>
        <w:pStyle w:val="ListParagraph"/>
        <w:numPr>
          <w:ilvl w:val="0"/>
          <w:numId w:val="2"/>
        </w:numPr>
        <w:jc w:val="both"/>
        <w:rPr>
          <w:rFonts w:ascii="Arial" w:hAnsi="Arial" w:cs="Arial"/>
        </w:rPr>
      </w:pPr>
      <w:r w:rsidRPr="00872450">
        <w:rPr>
          <w:rFonts w:ascii="Arial" w:hAnsi="Arial" w:cs="Arial"/>
        </w:rPr>
        <w:t>Noman MA, Feng W, Zhu G, Hossain MB, Chen Y, Zhang H, Sun J.</w:t>
      </w:r>
      <w:r w:rsidR="00BD4732" w:rsidRPr="00872450">
        <w:rPr>
          <w:rFonts w:ascii="Arial" w:hAnsi="Arial" w:cs="Arial"/>
        </w:rPr>
        <w:t xml:space="preserve"> Bioaccumulation and potential human health risks of metals in commercially important fishes and shell</w:t>
      </w:r>
      <w:r w:rsidRPr="00872450">
        <w:rPr>
          <w:rFonts w:ascii="Arial" w:hAnsi="Arial" w:cs="Arial"/>
        </w:rPr>
        <w:t>fishes from Hangzhou Bay, China,</w:t>
      </w:r>
      <w:r w:rsidR="00BD4732" w:rsidRPr="00872450">
        <w:rPr>
          <w:rFonts w:ascii="Arial" w:hAnsi="Arial" w:cs="Arial"/>
        </w:rPr>
        <w:t> </w:t>
      </w:r>
      <w:r w:rsidR="00BD4732" w:rsidRPr="00872450">
        <w:rPr>
          <w:rFonts w:ascii="Arial" w:hAnsi="Arial" w:cs="Arial"/>
          <w:iCs/>
        </w:rPr>
        <w:t>Scientific Reports</w:t>
      </w:r>
      <w:r w:rsidRPr="00872450">
        <w:rPr>
          <w:rFonts w:ascii="Arial" w:hAnsi="Arial" w:cs="Arial"/>
        </w:rPr>
        <w:t>.</w:t>
      </w:r>
      <w:r w:rsidR="00BD4732" w:rsidRPr="00872450">
        <w:rPr>
          <w:rFonts w:ascii="Arial" w:hAnsi="Arial" w:cs="Arial"/>
        </w:rPr>
        <w:t> </w:t>
      </w:r>
      <w:r w:rsidRPr="00872450">
        <w:rPr>
          <w:rFonts w:ascii="Arial" w:hAnsi="Arial" w:cs="Arial"/>
        </w:rPr>
        <w:t>2022;</w:t>
      </w:r>
      <w:r w:rsidR="00BD4732" w:rsidRPr="00872450">
        <w:rPr>
          <w:rFonts w:ascii="Arial" w:hAnsi="Arial" w:cs="Arial"/>
          <w:iCs/>
        </w:rPr>
        <w:t>12</w:t>
      </w:r>
      <w:r w:rsidRPr="00872450">
        <w:rPr>
          <w:rFonts w:ascii="Arial" w:hAnsi="Arial" w:cs="Arial"/>
        </w:rPr>
        <w:t>(1):</w:t>
      </w:r>
      <w:r w:rsidR="00BD4732" w:rsidRPr="00872450">
        <w:rPr>
          <w:rFonts w:ascii="Arial" w:hAnsi="Arial" w:cs="Arial"/>
        </w:rPr>
        <w:t>4634.</w:t>
      </w:r>
    </w:p>
    <w:p w14:paraId="402FA34C" w14:textId="77777777" w:rsidR="00BD4732" w:rsidRPr="00872450" w:rsidRDefault="00A93BA9" w:rsidP="002A2CE1">
      <w:pPr>
        <w:pStyle w:val="ListParagraph"/>
        <w:numPr>
          <w:ilvl w:val="0"/>
          <w:numId w:val="2"/>
        </w:numPr>
        <w:jc w:val="both"/>
        <w:rPr>
          <w:rFonts w:ascii="Arial" w:hAnsi="Arial" w:cs="Arial"/>
        </w:rPr>
      </w:pPr>
      <w:proofErr w:type="spellStart"/>
      <w:r w:rsidRPr="00872450">
        <w:rPr>
          <w:rFonts w:ascii="Arial" w:hAnsi="Arial" w:cs="Arial"/>
        </w:rPr>
        <w:t>Landriga</w:t>
      </w:r>
      <w:proofErr w:type="spellEnd"/>
      <w:r w:rsidR="001E566C" w:rsidRPr="00872450">
        <w:rPr>
          <w:rFonts w:ascii="Arial" w:hAnsi="Arial" w:cs="Arial"/>
        </w:rPr>
        <w:t xml:space="preserve"> PJ, Stegeman JJ, Fleming LE, Allemand D, Anderson DM</w:t>
      </w:r>
      <w:r w:rsidRPr="00872450">
        <w:rPr>
          <w:rFonts w:ascii="Arial" w:hAnsi="Arial" w:cs="Arial"/>
        </w:rPr>
        <w:t xml:space="preserve">, Backer </w:t>
      </w:r>
      <w:proofErr w:type="gramStart"/>
      <w:r w:rsidRPr="00872450">
        <w:rPr>
          <w:rFonts w:ascii="Arial" w:hAnsi="Arial" w:cs="Arial"/>
        </w:rPr>
        <w:t>LC,  Rampal</w:t>
      </w:r>
      <w:proofErr w:type="gramEnd"/>
      <w:r w:rsidRPr="00872450">
        <w:rPr>
          <w:rFonts w:ascii="Arial" w:hAnsi="Arial" w:cs="Arial"/>
        </w:rPr>
        <w:t xml:space="preserve"> P</w:t>
      </w:r>
      <w:r w:rsidR="00BD4732" w:rsidRPr="00872450">
        <w:rPr>
          <w:rFonts w:ascii="Arial" w:hAnsi="Arial" w:cs="Arial"/>
        </w:rPr>
        <w:t>. H</w:t>
      </w:r>
      <w:r w:rsidRPr="00872450">
        <w:rPr>
          <w:rFonts w:ascii="Arial" w:hAnsi="Arial" w:cs="Arial"/>
        </w:rPr>
        <w:t>uman health and ocean pollution,</w:t>
      </w:r>
      <w:r w:rsidR="00BD4732" w:rsidRPr="00872450">
        <w:rPr>
          <w:rFonts w:ascii="Arial" w:hAnsi="Arial" w:cs="Arial"/>
        </w:rPr>
        <w:t> </w:t>
      </w:r>
      <w:r w:rsidRPr="00872450">
        <w:rPr>
          <w:rFonts w:ascii="Arial" w:hAnsi="Arial" w:cs="Arial"/>
          <w:iCs/>
        </w:rPr>
        <w:t>Annals of Global H</w:t>
      </w:r>
      <w:r w:rsidR="00BD4732" w:rsidRPr="00872450">
        <w:rPr>
          <w:rFonts w:ascii="Arial" w:hAnsi="Arial" w:cs="Arial"/>
          <w:iCs/>
        </w:rPr>
        <w:t>ealth</w:t>
      </w:r>
      <w:r w:rsidRPr="00872450">
        <w:rPr>
          <w:rFonts w:ascii="Arial" w:hAnsi="Arial" w:cs="Arial"/>
        </w:rPr>
        <w:t>.</w:t>
      </w:r>
      <w:r w:rsidR="00BD4732" w:rsidRPr="00872450">
        <w:rPr>
          <w:rFonts w:ascii="Arial" w:hAnsi="Arial" w:cs="Arial"/>
        </w:rPr>
        <w:t> </w:t>
      </w:r>
      <w:r w:rsidRPr="00872450">
        <w:rPr>
          <w:rFonts w:ascii="Arial" w:hAnsi="Arial" w:cs="Arial"/>
        </w:rPr>
        <w:t>2020;</w:t>
      </w:r>
      <w:r w:rsidR="00BD4732" w:rsidRPr="00872450">
        <w:rPr>
          <w:rFonts w:ascii="Arial" w:hAnsi="Arial" w:cs="Arial"/>
          <w:iCs/>
        </w:rPr>
        <w:t>86</w:t>
      </w:r>
      <w:r w:rsidR="00BD4732" w:rsidRPr="00872450">
        <w:rPr>
          <w:rFonts w:ascii="Arial" w:hAnsi="Arial" w:cs="Arial"/>
        </w:rPr>
        <w:t>(1).</w:t>
      </w:r>
    </w:p>
    <w:p w14:paraId="7E98653C" w14:textId="77777777" w:rsidR="00BD4732" w:rsidRPr="00872450" w:rsidRDefault="00A93BA9" w:rsidP="002A2CE1">
      <w:pPr>
        <w:pStyle w:val="ListParagraph"/>
        <w:numPr>
          <w:ilvl w:val="0"/>
          <w:numId w:val="2"/>
        </w:numPr>
        <w:jc w:val="both"/>
        <w:rPr>
          <w:rFonts w:ascii="Arial" w:hAnsi="Arial" w:cs="Arial"/>
        </w:rPr>
      </w:pPr>
      <w:r w:rsidRPr="00872450">
        <w:rPr>
          <w:rFonts w:ascii="Arial" w:hAnsi="Arial" w:cs="Arial"/>
        </w:rPr>
        <w:t xml:space="preserve">Bridgemohan RS, Deitch MJ, </w:t>
      </w:r>
      <w:proofErr w:type="spellStart"/>
      <w:r w:rsidRPr="00872450">
        <w:rPr>
          <w:rFonts w:ascii="Arial" w:hAnsi="Arial" w:cs="Arial"/>
        </w:rPr>
        <w:t>Gebremicael</w:t>
      </w:r>
      <w:proofErr w:type="spellEnd"/>
      <w:r w:rsidRPr="00872450">
        <w:rPr>
          <w:rFonts w:ascii="Arial" w:hAnsi="Arial" w:cs="Arial"/>
        </w:rPr>
        <w:t xml:space="preserve"> T, Whiles MR, Wilson PC, </w:t>
      </w:r>
      <w:proofErr w:type="spellStart"/>
      <w:r w:rsidRPr="00872450">
        <w:rPr>
          <w:rFonts w:ascii="Arial" w:hAnsi="Arial" w:cs="Arial"/>
        </w:rPr>
        <w:t>Bachoon</w:t>
      </w:r>
      <w:proofErr w:type="spellEnd"/>
      <w:r w:rsidRPr="00872450">
        <w:rPr>
          <w:rFonts w:ascii="Arial" w:hAnsi="Arial" w:cs="Arial"/>
        </w:rPr>
        <w:t xml:space="preserve"> D, Tharpe</w:t>
      </w:r>
      <w:r w:rsidR="00BD4732" w:rsidRPr="00872450">
        <w:rPr>
          <w:rFonts w:ascii="Arial" w:hAnsi="Arial" w:cs="Arial"/>
        </w:rPr>
        <w:t xml:space="preserve"> I</w:t>
      </w:r>
      <w:r w:rsidRPr="00872450">
        <w:rPr>
          <w:rFonts w:ascii="Arial" w:hAnsi="Arial" w:cs="Arial"/>
        </w:rPr>
        <w:t>.</w:t>
      </w:r>
      <w:r w:rsidR="00BD4732" w:rsidRPr="00872450">
        <w:rPr>
          <w:rFonts w:ascii="Arial" w:hAnsi="Arial" w:cs="Arial"/>
        </w:rPr>
        <w:t xml:space="preserve"> Environmental risk assessment for </w:t>
      </w:r>
      <w:proofErr w:type="spellStart"/>
      <w:r w:rsidR="00BD4732" w:rsidRPr="00872450">
        <w:rPr>
          <w:rFonts w:ascii="Arial" w:hAnsi="Arial" w:cs="Arial"/>
        </w:rPr>
        <w:t>faecal</w:t>
      </w:r>
      <w:proofErr w:type="spellEnd"/>
      <w:r w:rsidR="00BD4732" w:rsidRPr="00872450">
        <w:rPr>
          <w:rFonts w:ascii="Arial" w:hAnsi="Arial" w:cs="Arial"/>
        </w:rPr>
        <w:t xml:space="preserve"> contamination sources in urban and peri-urban estuaries, in Escambia a</w:t>
      </w:r>
      <w:r w:rsidRPr="00872450">
        <w:rPr>
          <w:rFonts w:ascii="Arial" w:hAnsi="Arial" w:cs="Arial"/>
        </w:rPr>
        <w:t>nd Santa Rosa counties, FL, USA,</w:t>
      </w:r>
      <w:r w:rsidR="00BD4732" w:rsidRPr="00872450">
        <w:rPr>
          <w:rFonts w:ascii="Arial" w:hAnsi="Arial" w:cs="Arial"/>
        </w:rPr>
        <w:t> </w:t>
      </w:r>
      <w:r w:rsidR="00BD4732" w:rsidRPr="00872450">
        <w:rPr>
          <w:rFonts w:ascii="Arial" w:hAnsi="Arial" w:cs="Arial"/>
          <w:iCs/>
        </w:rPr>
        <w:t>Environmental Monitoring and Assessment</w:t>
      </w:r>
      <w:r w:rsidRPr="00872450">
        <w:rPr>
          <w:rFonts w:ascii="Arial" w:hAnsi="Arial" w:cs="Arial"/>
        </w:rPr>
        <w:t>.</w:t>
      </w:r>
      <w:r w:rsidR="00BD4732" w:rsidRPr="00872450">
        <w:rPr>
          <w:rFonts w:ascii="Arial" w:hAnsi="Arial" w:cs="Arial"/>
        </w:rPr>
        <w:t> </w:t>
      </w:r>
      <w:r w:rsidRPr="00872450">
        <w:rPr>
          <w:rFonts w:ascii="Arial" w:hAnsi="Arial" w:cs="Arial"/>
        </w:rPr>
        <w:t>2023;</w:t>
      </w:r>
      <w:r w:rsidR="00BD4732" w:rsidRPr="00872450">
        <w:rPr>
          <w:rFonts w:ascii="Arial" w:hAnsi="Arial" w:cs="Arial"/>
          <w:iCs/>
        </w:rPr>
        <w:t>195</w:t>
      </w:r>
      <w:r w:rsidRPr="00872450">
        <w:rPr>
          <w:rFonts w:ascii="Arial" w:hAnsi="Arial" w:cs="Arial"/>
        </w:rPr>
        <w:t>(7):</w:t>
      </w:r>
      <w:r w:rsidR="00BD4732" w:rsidRPr="00872450">
        <w:rPr>
          <w:rFonts w:ascii="Arial" w:hAnsi="Arial" w:cs="Arial"/>
        </w:rPr>
        <w:t>867.</w:t>
      </w:r>
    </w:p>
    <w:p w14:paraId="3770ABB4" w14:textId="77777777" w:rsidR="00BD4732" w:rsidRPr="00872450" w:rsidRDefault="00A93BA9" w:rsidP="002A2CE1">
      <w:pPr>
        <w:pStyle w:val="ListParagraph"/>
        <w:numPr>
          <w:ilvl w:val="0"/>
          <w:numId w:val="2"/>
        </w:numPr>
        <w:jc w:val="both"/>
        <w:rPr>
          <w:rFonts w:ascii="Arial" w:hAnsi="Arial" w:cs="Arial"/>
        </w:rPr>
      </w:pPr>
      <w:proofErr w:type="spellStart"/>
      <w:r w:rsidRPr="00872450">
        <w:rPr>
          <w:rFonts w:ascii="Arial" w:hAnsi="Arial" w:cs="Arial"/>
        </w:rPr>
        <w:t>Okoyen</w:t>
      </w:r>
      <w:proofErr w:type="spellEnd"/>
      <w:r w:rsidRPr="00872450">
        <w:rPr>
          <w:rFonts w:ascii="Arial" w:hAnsi="Arial" w:cs="Arial"/>
        </w:rPr>
        <w:t xml:space="preserve"> E, Raimi MO, Oluwatoyin OA,</w:t>
      </w:r>
      <w:r w:rsidR="00BD4732" w:rsidRPr="00872450">
        <w:rPr>
          <w:rFonts w:ascii="Arial" w:hAnsi="Arial" w:cs="Arial"/>
        </w:rPr>
        <w:t xml:space="preserve"> W</w:t>
      </w:r>
      <w:r w:rsidRPr="00872450">
        <w:rPr>
          <w:rFonts w:ascii="Arial" w:hAnsi="Arial" w:cs="Arial"/>
        </w:rPr>
        <w:t>illiams EA.</w:t>
      </w:r>
      <w:r w:rsidR="00BD4732" w:rsidRPr="00872450">
        <w:rPr>
          <w:rFonts w:ascii="Arial" w:hAnsi="Arial" w:cs="Arial"/>
        </w:rPr>
        <w:t xml:space="preserve"> Governing the environmental impact of dredging: Consequences for marine biodiversity in the </w:t>
      </w:r>
      <w:r w:rsidRPr="00872450">
        <w:rPr>
          <w:rFonts w:ascii="Arial" w:hAnsi="Arial" w:cs="Arial"/>
        </w:rPr>
        <w:t>Niger Delta region of Nigeria,</w:t>
      </w:r>
      <w:r w:rsidR="00BD4732" w:rsidRPr="00872450">
        <w:rPr>
          <w:rFonts w:ascii="Arial" w:hAnsi="Arial" w:cs="Arial"/>
          <w:iCs/>
        </w:rPr>
        <w:t xml:space="preserve"> Insights Mining Science and Technology</w:t>
      </w:r>
      <w:r w:rsidRPr="00872450">
        <w:rPr>
          <w:rFonts w:ascii="Arial" w:hAnsi="Arial" w:cs="Arial"/>
        </w:rPr>
        <w:t>. 2020;</w:t>
      </w:r>
      <w:r w:rsidR="00BD4732" w:rsidRPr="00872450">
        <w:rPr>
          <w:rFonts w:ascii="Arial" w:hAnsi="Arial" w:cs="Arial"/>
          <w:iCs/>
        </w:rPr>
        <w:t>2</w:t>
      </w:r>
      <w:r w:rsidRPr="00872450">
        <w:rPr>
          <w:rFonts w:ascii="Arial" w:hAnsi="Arial" w:cs="Arial"/>
        </w:rPr>
        <w:t>(3):</w:t>
      </w:r>
      <w:r w:rsidR="00BD4732" w:rsidRPr="00872450">
        <w:rPr>
          <w:rFonts w:ascii="Arial" w:hAnsi="Arial" w:cs="Arial"/>
        </w:rPr>
        <w:t>555586.</w:t>
      </w:r>
    </w:p>
    <w:p w14:paraId="7877EA6F" w14:textId="77777777" w:rsidR="00BD4732" w:rsidRPr="00872450" w:rsidRDefault="00582A87" w:rsidP="002A2CE1">
      <w:pPr>
        <w:pStyle w:val="ListParagraph"/>
        <w:numPr>
          <w:ilvl w:val="0"/>
          <w:numId w:val="2"/>
        </w:numPr>
        <w:jc w:val="both"/>
        <w:rPr>
          <w:rFonts w:ascii="Arial" w:hAnsi="Arial" w:cs="Arial"/>
        </w:rPr>
      </w:pPr>
      <w:r w:rsidRPr="00872450">
        <w:rPr>
          <w:rFonts w:ascii="Arial" w:hAnsi="Arial" w:cs="Arial"/>
        </w:rPr>
        <w:t xml:space="preserve">Chris DI, </w:t>
      </w:r>
      <w:proofErr w:type="spellStart"/>
      <w:r w:rsidRPr="00872450">
        <w:rPr>
          <w:rFonts w:ascii="Arial" w:hAnsi="Arial" w:cs="Arial"/>
        </w:rPr>
        <w:t>Onyena</w:t>
      </w:r>
      <w:proofErr w:type="spellEnd"/>
      <w:r w:rsidRPr="00872450">
        <w:rPr>
          <w:rFonts w:ascii="Arial" w:hAnsi="Arial" w:cs="Arial"/>
        </w:rPr>
        <w:t xml:space="preserve"> AP, Sam K</w:t>
      </w:r>
      <w:r w:rsidR="00BD4732" w:rsidRPr="00872450">
        <w:rPr>
          <w:rFonts w:ascii="Arial" w:hAnsi="Arial" w:cs="Arial"/>
        </w:rPr>
        <w:t>. Evaluation of human health and ecological risk of heavy metals in water, sediment and shellfishes in typical artisa</w:t>
      </w:r>
      <w:r w:rsidRPr="00872450">
        <w:rPr>
          <w:rFonts w:ascii="Arial" w:hAnsi="Arial" w:cs="Arial"/>
        </w:rPr>
        <w:t>nal oil mining areas of Nigeria,</w:t>
      </w:r>
      <w:r w:rsidR="00BD4732" w:rsidRPr="00872450">
        <w:rPr>
          <w:rFonts w:ascii="Arial" w:hAnsi="Arial" w:cs="Arial"/>
        </w:rPr>
        <w:t> </w:t>
      </w:r>
      <w:r w:rsidR="00BD4732" w:rsidRPr="00872450">
        <w:rPr>
          <w:rFonts w:ascii="Arial" w:hAnsi="Arial" w:cs="Arial"/>
          <w:iCs/>
        </w:rPr>
        <w:t>Environmental Science and Pollution Research</w:t>
      </w:r>
      <w:r w:rsidRPr="00872450">
        <w:rPr>
          <w:rFonts w:ascii="Arial" w:hAnsi="Arial" w:cs="Arial"/>
        </w:rPr>
        <w:t>.</w:t>
      </w:r>
      <w:r w:rsidR="00BD4732" w:rsidRPr="00872450">
        <w:rPr>
          <w:rFonts w:ascii="Arial" w:hAnsi="Arial" w:cs="Arial"/>
        </w:rPr>
        <w:t> </w:t>
      </w:r>
      <w:r w:rsidRPr="00872450">
        <w:rPr>
          <w:rFonts w:ascii="Arial" w:hAnsi="Arial" w:cs="Arial"/>
        </w:rPr>
        <w:t>2023;</w:t>
      </w:r>
      <w:r w:rsidR="00BD4732" w:rsidRPr="00872450">
        <w:rPr>
          <w:rFonts w:ascii="Arial" w:hAnsi="Arial" w:cs="Arial"/>
          <w:iCs/>
        </w:rPr>
        <w:t>30</w:t>
      </w:r>
      <w:r w:rsidRPr="00872450">
        <w:rPr>
          <w:rFonts w:ascii="Arial" w:hAnsi="Arial" w:cs="Arial"/>
        </w:rPr>
        <w:t>(33):</w:t>
      </w:r>
      <w:r w:rsidR="00BD4732" w:rsidRPr="00872450">
        <w:rPr>
          <w:rFonts w:ascii="Arial" w:hAnsi="Arial" w:cs="Arial"/>
        </w:rPr>
        <w:t>80055-80069.</w:t>
      </w:r>
    </w:p>
    <w:p w14:paraId="2B69A08F" w14:textId="77777777" w:rsidR="00BD4732" w:rsidRPr="00872450" w:rsidRDefault="00582A87" w:rsidP="002A2CE1">
      <w:pPr>
        <w:pStyle w:val="ListParagraph"/>
        <w:numPr>
          <w:ilvl w:val="0"/>
          <w:numId w:val="2"/>
        </w:numPr>
        <w:jc w:val="both"/>
        <w:rPr>
          <w:rFonts w:ascii="Arial" w:hAnsi="Arial" w:cs="Arial"/>
        </w:rPr>
      </w:pPr>
      <w:r w:rsidRPr="00872450">
        <w:rPr>
          <w:rFonts w:ascii="Arial" w:hAnsi="Arial" w:cs="Arial"/>
        </w:rPr>
        <w:t>Esteves E, Aníbal J.</w:t>
      </w:r>
      <w:r w:rsidR="00BD4732" w:rsidRPr="00872450">
        <w:rPr>
          <w:rFonts w:ascii="Arial" w:hAnsi="Arial" w:cs="Arial"/>
        </w:rPr>
        <w:t xml:space="preserve"> Sensory evaluation of seafood freshness using the qualit</w:t>
      </w:r>
      <w:r w:rsidRPr="00872450">
        <w:rPr>
          <w:rFonts w:ascii="Arial" w:hAnsi="Arial" w:cs="Arial"/>
        </w:rPr>
        <w:t>y index method: A meta-analysis,</w:t>
      </w:r>
      <w:r w:rsidR="00BD4732" w:rsidRPr="00872450">
        <w:rPr>
          <w:rFonts w:ascii="Arial" w:hAnsi="Arial" w:cs="Arial"/>
        </w:rPr>
        <w:t> </w:t>
      </w:r>
      <w:r w:rsidR="00BD4732" w:rsidRPr="00872450">
        <w:rPr>
          <w:rFonts w:ascii="Arial" w:hAnsi="Arial" w:cs="Arial"/>
          <w:iCs/>
        </w:rPr>
        <w:t>International Journal of Food Microbiology</w:t>
      </w:r>
      <w:r w:rsidRPr="00872450">
        <w:rPr>
          <w:rFonts w:ascii="Arial" w:hAnsi="Arial" w:cs="Arial"/>
        </w:rPr>
        <w:t>.</w:t>
      </w:r>
      <w:r w:rsidR="00BD4732" w:rsidRPr="00872450">
        <w:rPr>
          <w:rFonts w:ascii="Arial" w:hAnsi="Arial" w:cs="Arial"/>
        </w:rPr>
        <w:t> </w:t>
      </w:r>
      <w:proofErr w:type="gramStart"/>
      <w:r w:rsidRPr="00872450">
        <w:rPr>
          <w:rFonts w:ascii="Arial" w:hAnsi="Arial" w:cs="Arial"/>
        </w:rPr>
        <w:t>2021;</w:t>
      </w:r>
      <w:r w:rsidR="00BD4732" w:rsidRPr="00872450">
        <w:rPr>
          <w:rFonts w:ascii="Arial" w:hAnsi="Arial" w:cs="Arial"/>
          <w:iCs/>
        </w:rPr>
        <w:t>337</w:t>
      </w:r>
      <w:r w:rsidRPr="00872450">
        <w:rPr>
          <w:rFonts w:ascii="Arial" w:hAnsi="Arial" w:cs="Arial"/>
        </w:rPr>
        <w:t>:</w:t>
      </w:r>
      <w:r w:rsidR="00BD4732" w:rsidRPr="00872450">
        <w:rPr>
          <w:rFonts w:ascii="Arial" w:hAnsi="Arial" w:cs="Arial"/>
        </w:rPr>
        <w:t>108934</w:t>
      </w:r>
      <w:proofErr w:type="gramEnd"/>
      <w:r w:rsidR="00BD4732" w:rsidRPr="00872450">
        <w:rPr>
          <w:rFonts w:ascii="Arial" w:hAnsi="Arial" w:cs="Arial"/>
        </w:rPr>
        <w:t xml:space="preserve">. </w:t>
      </w:r>
    </w:p>
    <w:p w14:paraId="0E4147B9" w14:textId="77777777" w:rsidR="00BD4732" w:rsidRPr="00872450" w:rsidRDefault="00EA3C3C" w:rsidP="002A2CE1">
      <w:pPr>
        <w:pStyle w:val="ListParagraph"/>
        <w:numPr>
          <w:ilvl w:val="0"/>
          <w:numId w:val="2"/>
        </w:numPr>
        <w:jc w:val="both"/>
        <w:rPr>
          <w:rFonts w:ascii="Arial" w:hAnsi="Arial" w:cs="Arial"/>
        </w:rPr>
      </w:pPr>
      <w:r w:rsidRPr="00872450">
        <w:rPr>
          <w:rFonts w:ascii="Arial" w:hAnsi="Arial" w:cs="Arial"/>
        </w:rPr>
        <w:t>Hab</w:t>
      </w:r>
      <w:r w:rsidR="00BE5A03" w:rsidRPr="00872450">
        <w:rPr>
          <w:rFonts w:ascii="Arial" w:hAnsi="Arial" w:cs="Arial"/>
        </w:rPr>
        <w:t xml:space="preserve">te G, Choi JY, Oh SY, Khan N, Choi H, Park KS, Kim KS. </w:t>
      </w:r>
      <w:proofErr w:type="spellStart"/>
      <w:r w:rsidR="00BE5A03" w:rsidRPr="00872450">
        <w:rPr>
          <w:rFonts w:ascii="Arial" w:hAnsi="Arial" w:cs="Arial"/>
        </w:rPr>
        <w:t>Determiation</w:t>
      </w:r>
      <w:proofErr w:type="spellEnd"/>
      <w:r w:rsidR="00BE5A03" w:rsidRPr="00872450">
        <w:rPr>
          <w:rFonts w:ascii="Arial" w:hAnsi="Arial" w:cs="Arial"/>
        </w:rPr>
        <w:t xml:space="preserve"> of toxic heavy</w:t>
      </w:r>
      <w:r w:rsidR="002B1416" w:rsidRPr="00872450">
        <w:rPr>
          <w:rFonts w:ascii="Arial" w:hAnsi="Arial" w:cs="Arial"/>
        </w:rPr>
        <w:t xml:space="preserve"> metal levels in </w:t>
      </w:r>
      <w:proofErr w:type="spellStart"/>
      <w:r w:rsidR="002B1416" w:rsidRPr="00872450">
        <w:rPr>
          <w:rFonts w:ascii="Arial" w:hAnsi="Arial" w:cs="Arial"/>
        </w:rPr>
        <w:t>commoly</w:t>
      </w:r>
      <w:proofErr w:type="spellEnd"/>
      <w:r w:rsidR="002B1416" w:rsidRPr="00872450">
        <w:rPr>
          <w:rFonts w:ascii="Arial" w:hAnsi="Arial" w:cs="Arial"/>
        </w:rPr>
        <w:t xml:space="preserve"> consumed species of Shrimps and shellfish using ICP-MS/OES. Food Sci. </w:t>
      </w:r>
      <w:proofErr w:type="spellStart"/>
      <w:r w:rsidR="002B1416" w:rsidRPr="00872450">
        <w:rPr>
          <w:rFonts w:ascii="Arial" w:hAnsi="Arial" w:cs="Arial"/>
        </w:rPr>
        <w:t>Biotechnol</w:t>
      </w:r>
      <w:proofErr w:type="spellEnd"/>
      <w:r w:rsidR="002B1416" w:rsidRPr="00872450">
        <w:rPr>
          <w:rFonts w:ascii="Arial" w:hAnsi="Arial" w:cs="Arial"/>
        </w:rPr>
        <w:t>. 2015;24(1):373-378.</w:t>
      </w:r>
      <w:r w:rsidR="00BE5A03" w:rsidRPr="00872450">
        <w:rPr>
          <w:rFonts w:ascii="Arial" w:hAnsi="Arial" w:cs="Arial"/>
        </w:rPr>
        <w:t xml:space="preserve"> </w:t>
      </w:r>
    </w:p>
    <w:p w14:paraId="79693967" w14:textId="77777777" w:rsidR="00DE580F" w:rsidRPr="00872450" w:rsidRDefault="00DE580F" w:rsidP="002A2CE1">
      <w:pPr>
        <w:pStyle w:val="ListParagraph"/>
        <w:numPr>
          <w:ilvl w:val="0"/>
          <w:numId w:val="2"/>
        </w:numPr>
        <w:jc w:val="both"/>
        <w:rPr>
          <w:rFonts w:ascii="Arial" w:hAnsi="Arial" w:cs="Arial"/>
          <w:bCs/>
        </w:rPr>
      </w:pPr>
      <w:proofErr w:type="spellStart"/>
      <w:r w:rsidRPr="00872450">
        <w:rPr>
          <w:rFonts w:ascii="Arial" w:hAnsi="Arial" w:cs="Arial"/>
        </w:rPr>
        <w:t>Ajuzieogu</w:t>
      </w:r>
      <w:proofErr w:type="spellEnd"/>
      <w:r w:rsidRPr="00872450">
        <w:rPr>
          <w:rFonts w:ascii="Arial" w:hAnsi="Arial" w:cs="Arial"/>
        </w:rPr>
        <w:t xml:space="preserve"> CA, </w:t>
      </w:r>
      <w:proofErr w:type="spellStart"/>
      <w:r w:rsidRPr="00872450">
        <w:rPr>
          <w:rFonts w:ascii="Arial" w:hAnsi="Arial" w:cs="Arial"/>
        </w:rPr>
        <w:t>Dyboh</w:t>
      </w:r>
      <w:proofErr w:type="spellEnd"/>
      <w:r w:rsidRPr="00872450">
        <w:rPr>
          <w:rFonts w:ascii="Arial" w:hAnsi="Arial" w:cs="Arial"/>
        </w:rPr>
        <w:t xml:space="preserve">, IC, Nwobodo, DC. Culture dependent examination of the bacteriological quality of ready-to-eat African salads in Enugu metropolis, Nigeria and antibiotics resistance profile of associated bacteria, </w:t>
      </w:r>
      <w:proofErr w:type="spellStart"/>
      <w:r w:rsidRPr="00872450">
        <w:rPr>
          <w:rFonts w:ascii="Arial" w:hAnsi="Arial" w:cs="Arial"/>
        </w:rPr>
        <w:t>Heliyon</w:t>
      </w:r>
      <w:proofErr w:type="spellEnd"/>
      <w:r w:rsidRPr="00872450">
        <w:rPr>
          <w:rFonts w:ascii="Arial" w:hAnsi="Arial" w:cs="Arial"/>
        </w:rPr>
        <w:t xml:space="preserve">. </w:t>
      </w:r>
      <w:proofErr w:type="gramStart"/>
      <w:r w:rsidRPr="00872450">
        <w:rPr>
          <w:rFonts w:ascii="Arial" w:hAnsi="Arial" w:cs="Arial"/>
        </w:rPr>
        <w:t>2022;8:1</w:t>
      </w:r>
      <w:proofErr w:type="gramEnd"/>
      <w:r w:rsidRPr="00872450">
        <w:rPr>
          <w:rFonts w:ascii="Arial" w:hAnsi="Arial" w:cs="Arial"/>
        </w:rPr>
        <w:t>-8.</w:t>
      </w:r>
    </w:p>
    <w:p w14:paraId="54CC2345" w14:textId="77777777" w:rsidR="00BD4732" w:rsidRPr="00872450" w:rsidRDefault="002B1416" w:rsidP="002A2CE1">
      <w:pPr>
        <w:pStyle w:val="ListParagraph"/>
        <w:numPr>
          <w:ilvl w:val="0"/>
          <w:numId w:val="2"/>
        </w:numPr>
        <w:jc w:val="both"/>
        <w:rPr>
          <w:rFonts w:ascii="Arial" w:hAnsi="Arial" w:cs="Arial"/>
          <w:b/>
          <w:bCs/>
        </w:rPr>
      </w:pPr>
      <w:r w:rsidRPr="00872450">
        <w:rPr>
          <w:rFonts w:ascii="Arial" w:hAnsi="Arial" w:cs="Arial"/>
        </w:rPr>
        <w:t xml:space="preserve">Ullah </w:t>
      </w:r>
      <w:r w:rsidR="00014D56" w:rsidRPr="00872450">
        <w:rPr>
          <w:rFonts w:ascii="Arial" w:hAnsi="Arial" w:cs="Arial"/>
        </w:rPr>
        <w:t xml:space="preserve">AKMA, Maksud MA, Khan SR, </w:t>
      </w:r>
      <w:proofErr w:type="spellStart"/>
      <w:r w:rsidR="00014D56" w:rsidRPr="00872450">
        <w:rPr>
          <w:rFonts w:ascii="Arial" w:hAnsi="Arial" w:cs="Arial"/>
        </w:rPr>
        <w:t>Lufta</w:t>
      </w:r>
      <w:proofErr w:type="spellEnd"/>
      <w:r w:rsidR="00014D56" w:rsidRPr="00872450">
        <w:rPr>
          <w:rFonts w:ascii="Arial" w:hAnsi="Arial" w:cs="Arial"/>
        </w:rPr>
        <w:t xml:space="preserve"> LN, Quraishi S</w:t>
      </w:r>
      <w:r w:rsidR="0058547D" w:rsidRPr="00872450">
        <w:rPr>
          <w:rFonts w:ascii="Arial" w:hAnsi="Arial" w:cs="Arial"/>
        </w:rPr>
        <w:t>B</w:t>
      </w:r>
      <w:r w:rsidR="00014D56" w:rsidRPr="00872450">
        <w:rPr>
          <w:rFonts w:ascii="Arial" w:hAnsi="Arial" w:cs="Arial"/>
        </w:rPr>
        <w:t xml:space="preserve">. Dietary intake of heavy metals from eight highly consumed species of cultured </w:t>
      </w:r>
      <w:proofErr w:type="spellStart"/>
      <w:r w:rsidR="0058547D" w:rsidRPr="00872450">
        <w:rPr>
          <w:rFonts w:ascii="Arial" w:hAnsi="Arial" w:cs="Arial"/>
        </w:rPr>
        <w:t>fishand</w:t>
      </w:r>
      <w:proofErr w:type="spellEnd"/>
      <w:r w:rsidR="0058547D" w:rsidRPr="00872450">
        <w:rPr>
          <w:rFonts w:ascii="Arial" w:hAnsi="Arial" w:cs="Arial"/>
        </w:rPr>
        <w:t xml:space="preserve"> possible human health risk implications in Bangladesh. </w:t>
      </w:r>
      <w:proofErr w:type="spellStart"/>
      <w:r w:rsidR="0058547D" w:rsidRPr="00872450">
        <w:rPr>
          <w:rFonts w:ascii="Arial" w:hAnsi="Arial" w:cs="Arial"/>
        </w:rPr>
        <w:t>Toxicol</w:t>
      </w:r>
      <w:proofErr w:type="spellEnd"/>
      <w:r w:rsidR="0058547D" w:rsidRPr="00872450">
        <w:rPr>
          <w:rFonts w:ascii="Arial" w:hAnsi="Arial" w:cs="Arial"/>
        </w:rPr>
        <w:t xml:space="preserve">. Rep. </w:t>
      </w:r>
      <w:proofErr w:type="gramStart"/>
      <w:r w:rsidR="0058547D" w:rsidRPr="00872450">
        <w:rPr>
          <w:rFonts w:ascii="Arial" w:hAnsi="Arial" w:cs="Arial"/>
        </w:rPr>
        <w:t>2017;4:574</w:t>
      </w:r>
      <w:proofErr w:type="gramEnd"/>
      <w:r w:rsidR="0058547D" w:rsidRPr="00872450">
        <w:rPr>
          <w:rFonts w:ascii="Arial" w:hAnsi="Arial" w:cs="Arial"/>
        </w:rPr>
        <w:t xml:space="preserve">-579. </w:t>
      </w:r>
    </w:p>
    <w:p w14:paraId="3671FBD6" w14:textId="77777777" w:rsidR="00EA3C3C" w:rsidRPr="00872450" w:rsidRDefault="00EA3C3C" w:rsidP="00EA3C3C">
      <w:pPr>
        <w:pStyle w:val="ListParagraph"/>
        <w:numPr>
          <w:ilvl w:val="0"/>
          <w:numId w:val="2"/>
        </w:numPr>
        <w:jc w:val="both"/>
        <w:rPr>
          <w:rFonts w:ascii="Arial" w:hAnsi="Arial" w:cs="Arial"/>
        </w:rPr>
      </w:pPr>
      <w:r w:rsidRPr="00872450">
        <w:rPr>
          <w:rFonts w:ascii="Arial" w:hAnsi="Arial" w:cs="Arial"/>
        </w:rPr>
        <w:t xml:space="preserve">Saha N, Zaman MR. Evaluation of possible health risks of heavy metals by consumption of foodstuffs available in the central market of </w:t>
      </w:r>
      <w:proofErr w:type="spellStart"/>
      <w:r w:rsidRPr="00872450">
        <w:rPr>
          <w:rFonts w:ascii="Arial" w:hAnsi="Arial" w:cs="Arial"/>
        </w:rPr>
        <w:t>Rajshahi</w:t>
      </w:r>
      <w:proofErr w:type="spellEnd"/>
      <w:r w:rsidRPr="00872450">
        <w:rPr>
          <w:rFonts w:ascii="Arial" w:hAnsi="Arial" w:cs="Arial"/>
        </w:rPr>
        <w:t xml:space="preserve"> City, Bangladesh, Environ Monit Assess. </w:t>
      </w:r>
      <w:proofErr w:type="gramStart"/>
      <w:r w:rsidRPr="00872450">
        <w:rPr>
          <w:rFonts w:ascii="Arial" w:hAnsi="Arial" w:cs="Arial"/>
        </w:rPr>
        <w:t>2012;185:3867</w:t>
      </w:r>
      <w:proofErr w:type="gramEnd"/>
      <w:r w:rsidRPr="00872450">
        <w:rPr>
          <w:rFonts w:ascii="Arial" w:hAnsi="Arial" w:cs="Arial"/>
        </w:rPr>
        <w:t>-3878.</w:t>
      </w:r>
    </w:p>
    <w:p w14:paraId="4DD71E8D" w14:textId="77777777" w:rsidR="001C3136" w:rsidRPr="00872450" w:rsidRDefault="002B1416" w:rsidP="002A2CE1">
      <w:pPr>
        <w:pStyle w:val="ListParagraph"/>
        <w:numPr>
          <w:ilvl w:val="0"/>
          <w:numId w:val="2"/>
        </w:numPr>
        <w:jc w:val="both"/>
        <w:rPr>
          <w:rFonts w:ascii="Arial" w:hAnsi="Arial" w:cs="Arial"/>
        </w:rPr>
      </w:pPr>
      <w:r w:rsidRPr="00872450">
        <w:rPr>
          <w:rFonts w:ascii="Arial" w:hAnsi="Arial" w:cs="Arial"/>
        </w:rPr>
        <w:t>United States Environmental Protection Agency (</w:t>
      </w:r>
      <w:r w:rsidR="00102956" w:rsidRPr="00872450">
        <w:rPr>
          <w:rFonts w:ascii="Arial" w:hAnsi="Arial" w:cs="Arial"/>
        </w:rPr>
        <w:t>USEPA</w:t>
      </w:r>
      <w:r w:rsidRPr="00872450">
        <w:rPr>
          <w:rFonts w:ascii="Arial" w:hAnsi="Arial" w:cs="Arial"/>
        </w:rPr>
        <w:t>)</w:t>
      </w:r>
      <w:r w:rsidR="008B1F7F" w:rsidRPr="00872450">
        <w:rPr>
          <w:rFonts w:ascii="Arial" w:hAnsi="Arial" w:cs="Arial"/>
        </w:rPr>
        <w:t xml:space="preserve"> Regional Screening Level (RSL).</w:t>
      </w:r>
      <w:r w:rsidR="00102956" w:rsidRPr="00872450">
        <w:rPr>
          <w:rFonts w:ascii="Arial" w:hAnsi="Arial" w:cs="Arial"/>
        </w:rPr>
        <w:t xml:space="preserve"> http://www.epa.gv/iris/. (2022), United States Environmental Protection Agency Washington, DC, USA</w:t>
      </w:r>
    </w:p>
    <w:p w14:paraId="50BBF0F2" w14:textId="77777777" w:rsidR="001C3136" w:rsidRPr="00872450" w:rsidRDefault="00546335" w:rsidP="002A2CE1">
      <w:pPr>
        <w:pStyle w:val="ListParagraph"/>
        <w:numPr>
          <w:ilvl w:val="0"/>
          <w:numId w:val="2"/>
        </w:numPr>
        <w:jc w:val="both"/>
        <w:rPr>
          <w:rFonts w:ascii="Arial" w:hAnsi="Arial" w:cs="Arial"/>
        </w:rPr>
      </w:pPr>
      <w:r w:rsidRPr="00872450">
        <w:rPr>
          <w:rFonts w:ascii="Arial" w:hAnsi="Arial" w:cs="Arial"/>
        </w:rPr>
        <w:t>Hu S, Su Z, Jiang J, Huang W, Liang X, Hu J, Zhang X.</w:t>
      </w:r>
      <w:r w:rsidR="001C3136" w:rsidRPr="00872450">
        <w:rPr>
          <w:rFonts w:ascii="Arial" w:hAnsi="Arial" w:cs="Arial"/>
        </w:rPr>
        <w:t xml:space="preserve"> Lead, cadmium pollution of seafood and human health risk assessment in the </w:t>
      </w:r>
      <w:r w:rsidRPr="00872450">
        <w:rPr>
          <w:rFonts w:ascii="Arial" w:hAnsi="Arial" w:cs="Arial"/>
        </w:rPr>
        <w:t>coastline of the southern China,</w:t>
      </w:r>
      <w:r w:rsidR="001C3136" w:rsidRPr="00872450">
        <w:rPr>
          <w:rFonts w:ascii="Arial" w:hAnsi="Arial" w:cs="Arial"/>
        </w:rPr>
        <w:t> </w:t>
      </w:r>
      <w:r w:rsidR="001C3136" w:rsidRPr="00872450">
        <w:rPr>
          <w:rFonts w:ascii="Arial" w:hAnsi="Arial" w:cs="Arial"/>
          <w:iCs/>
        </w:rPr>
        <w:t>Stochastic Environmental Research and Risk Assessment</w:t>
      </w:r>
      <w:r w:rsidRPr="00872450">
        <w:rPr>
          <w:rFonts w:ascii="Arial" w:hAnsi="Arial" w:cs="Arial"/>
        </w:rPr>
        <w:t>. 2016;</w:t>
      </w:r>
      <w:r w:rsidR="001C3136" w:rsidRPr="00872450">
        <w:rPr>
          <w:rFonts w:ascii="Arial" w:hAnsi="Arial" w:cs="Arial"/>
          <w:iCs/>
        </w:rPr>
        <w:t>30</w:t>
      </w:r>
      <w:r w:rsidRPr="00872450">
        <w:rPr>
          <w:rFonts w:ascii="Arial" w:hAnsi="Arial" w:cs="Arial"/>
        </w:rPr>
        <w:t>(5):</w:t>
      </w:r>
      <w:r w:rsidR="001C3136" w:rsidRPr="00872450">
        <w:rPr>
          <w:rFonts w:ascii="Arial" w:hAnsi="Arial" w:cs="Arial"/>
        </w:rPr>
        <w:t xml:space="preserve">1379-1386. </w:t>
      </w:r>
    </w:p>
    <w:p w14:paraId="55175911" w14:textId="77777777" w:rsidR="001C3136" w:rsidRPr="00872450" w:rsidRDefault="00546335" w:rsidP="00BB5DCE">
      <w:pPr>
        <w:pStyle w:val="ListParagraph"/>
        <w:numPr>
          <w:ilvl w:val="0"/>
          <w:numId w:val="2"/>
        </w:numPr>
        <w:jc w:val="both"/>
        <w:rPr>
          <w:rFonts w:ascii="Arial" w:hAnsi="Arial" w:cs="Arial"/>
        </w:rPr>
      </w:pPr>
      <w:r w:rsidRPr="00872450">
        <w:rPr>
          <w:rFonts w:ascii="Arial" w:hAnsi="Arial" w:cs="Arial"/>
        </w:rPr>
        <w:t>Gyamfi ET, Ackah M, Gore DB.</w:t>
      </w:r>
      <w:r w:rsidR="001C3136" w:rsidRPr="00872450">
        <w:rPr>
          <w:rFonts w:ascii="Arial" w:hAnsi="Arial" w:cs="Arial"/>
        </w:rPr>
        <w:t xml:space="preserve"> </w:t>
      </w:r>
      <w:proofErr w:type="spellStart"/>
      <w:r w:rsidR="001C3136" w:rsidRPr="00872450">
        <w:rPr>
          <w:rFonts w:ascii="Arial" w:hAnsi="Arial" w:cs="Arial"/>
        </w:rPr>
        <w:t>Bioaccessibility</w:t>
      </w:r>
      <w:proofErr w:type="spellEnd"/>
      <w:r w:rsidR="001C3136" w:rsidRPr="00872450">
        <w:rPr>
          <w:rFonts w:ascii="Arial" w:hAnsi="Arial" w:cs="Arial"/>
        </w:rPr>
        <w:t>, exposure and risk assessment of potentially toxic elements and essential micronutrients in ayurvedic, traditional</w:t>
      </w:r>
      <w:r w:rsidRPr="00872450">
        <w:rPr>
          <w:rFonts w:ascii="Arial" w:hAnsi="Arial" w:cs="Arial"/>
        </w:rPr>
        <w:t xml:space="preserve"> Chinese and Ghanaian medicines,</w:t>
      </w:r>
      <w:r w:rsidR="001C3136" w:rsidRPr="00872450">
        <w:rPr>
          <w:rFonts w:ascii="Arial" w:hAnsi="Arial" w:cs="Arial"/>
        </w:rPr>
        <w:t> </w:t>
      </w:r>
      <w:proofErr w:type="spellStart"/>
      <w:r w:rsidR="001C3136" w:rsidRPr="00872450">
        <w:rPr>
          <w:rFonts w:ascii="Arial" w:hAnsi="Arial" w:cs="Arial"/>
          <w:iCs/>
        </w:rPr>
        <w:t>Biometals</w:t>
      </w:r>
      <w:proofErr w:type="spellEnd"/>
      <w:r w:rsidRPr="00872450">
        <w:rPr>
          <w:rFonts w:ascii="Arial" w:hAnsi="Arial" w:cs="Arial"/>
        </w:rPr>
        <w:t>. 2023;</w:t>
      </w:r>
      <w:r w:rsidR="001C3136" w:rsidRPr="00872450">
        <w:rPr>
          <w:rFonts w:ascii="Arial" w:hAnsi="Arial" w:cs="Arial"/>
          <w:iCs/>
        </w:rPr>
        <w:t>36</w:t>
      </w:r>
      <w:r w:rsidRPr="00872450">
        <w:rPr>
          <w:rFonts w:ascii="Arial" w:hAnsi="Arial" w:cs="Arial"/>
        </w:rPr>
        <w:t>(5):</w:t>
      </w:r>
      <w:r w:rsidR="001C3136" w:rsidRPr="00872450">
        <w:rPr>
          <w:rFonts w:ascii="Arial" w:hAnsi="Arial" w:cs="Arial"/>
        </w:rPr>
        <w:t>943-960.</w:t>
      </w:r>
    </w:p>
    <w:p w14:paraId="7BC0C341" w14:textId="77777777" w:rsidR="0058547D" w:rsidRPr="00872450" w:rsidRDefault="00BB5DCE" w:rsidP="00BB5DCE">
      <w:pPr>
        <w:pStyle w:val="ListParagraph"/>
        <w:numPr>
          <w:ilvl w:val="0"/>
          <w:numId w:val="2"/>
        </w:numPr>
        <w:shd w:val="clear" w:color="auto" w:fill="FFFFFF"/>
        <w:jc w:val="both"/>
        <w:rPr>
          <w:rFonts w:ascii="Arial" w:hAnsi="Arial" w:cs="Arial"/>
          <w:bCs/>
        </w:rPr>
      </w:pPr>
      <w:r w:rsidRPr="00872450">
        <w:rPr>
          <w:rFonts w:ascii="Arial" w:hAnsi="Arial" w:cs="Arial"/>
          <w:bCs/>
        </w:rPr>
        <w:t>Akintade AO, Edwin CO, Lateef B. Assessment of Heavy metals in Shrimps; </w:t>
      </w:r>
      <w:r w:rsidRPr="00872450">
        <w:rPr>
          <w:rFonts w:ascii="Arial" w:hAnsi="Arial" w:cs="Arial"/>
          <w:bCs/>
          <w:i/>
          <w:iCs/>
        </w:rPr>
        <w:t xml:space="preserve">Penaeus </w:t>
      </w:r>
      <w:proofErr w:type="spellStart"/>
      <w:r w:rsidRPr="00872450">
        <w:rPr>
          <w:rFonts w:ascii="Arial" w:hAnsi="Arial" w:cs="Arial"/>
          <w:bCs/>
          <w:i/>
          <w:iCs/>
        </w:rPr>
        <w:t>notialis</w:t>
      </w:r>
      <w:proofErr w:type="spellEnd"/>
      <w:r w:rsidRPr="00872450">
        <w:rPr>
          <w:rFonts w:ascii="Arial" w:hAnsi="Arial" w:cs="Arial"/>
          <w:bCs/>
          <w:i/>
          <w:iCs/>
        </w:rPr>
        <w:t>, Penaeus</w:t>
      </w:r>
      <w:r w:rsidRPr="00872450">
        <w:rPr>
          <w:rFonts w:ascii="Arial" w:hAnsi="Arial" w:cs="Arial"/>
          <w:bCs/>
          <w:i/>
        </w:rPr>
        <w:t> </w:t>
      </w:r>
      <w:r w:rsidRPr="00872450">
        <w:rPr>
          <w:rFonts w:ascii="Arial" w:hAnsi="Arial" w:cs="Arial"/>
          <w:bCs/>
          <w:i/>
          <w:iCs/>
        </w:rPr>
        <w:t>Monodon</w:t>
      </w:r>
      <w:r w:rsidRPr="00872450">
        <w:rPr>
          <w:rFonts w:ascii="Arial" w:hAnsi="Arial" w:cs="Arial"/>
          <w:bCs/>
          <w:iCs/>
        </w:rPr>
        <w:t>,</w:t>
      </w:r>
      <w:r w:rsidRPr="00872450">
        <w:rPr>
          <w:rFonts w:ascii="Arial" w:hAnsi="Arial" w:cs="Arial"/>
          <w:bCs/>
        </w:rPr>
        <w:t> and Prawn; </w:t>
      </w:r>
      <w:r w:rsidRPr="00872450">
        <w:rPr>
          <w:rFonts w:ascii="Arial" w:hAnsi="Arial" w:cs="Arial"/>
          <w:bCs/>
          <w:i/>
          <w:iCs/>
        </w:rPr>
        <w:t xml:space="preserve">Macrobrachium </w:t>
      </w:r>
      <w:proofErr w:type="spellStart"/>
      <w:r w:rsidRPr="00872450">
        <w:rPr>
          <w:rFonts w:ascii="Arial" w:hAnsi="Arial" w:cs="Arial"/>
          <w:bCs/>
          <w:i/>
          <w:iCs/>
        </w:rPr>
        <w:t>Macrobrachion</w:t>
      </w:r>
      <w:proofErr w:type="spellEnd"/>
      <w:r w:rsidRPr="00872450">
        <w:rPr>
          <w:rFonts w:ascii="Arial" w:hAnsi="Arial" w:cs="Arial"/>
          <w:bCs/>
        </w:rPr>
        <w:t> Sampled from three [3] water Bodies in Lagos State, Nigeria: </w:t>
      </w:r>
      <w:r w:rsidRPr="00872450">
        <w:rPr>
          <w:rFonts w:ascii="Arial" w:hAnsi="Arial" w:cs="Arial"/>
          <w:bCs/>
          <w:iCs/>
        </w:rPr>
        <w:t>An Inimical to Human Health Safety Issues. Journal of Agriculture ad Aquaculture, 2023;5(3).</w:t>
      </w:r>
    </w:p>
    <w:p w14:paraId="2D0F8BE7" w14:textId="77777777" w:rsidR="001C3136" w:rsidRPr="00872450" w:rsidRDefault="00582A87" w:rsidP="00BB5DCE">
      <w:pPr>
        <w:pStyle w:val="ListParagraph"/>
        <w:numPr>
          <w:ilvl w:val="0"/>
          <w:numId w:val="2"/>
        </w:numPr>
        <w:jc w:val="both"/>
        <w:rPr>
          <w:rFonts w:ascii="Arial" w:hAnsi="Arial" w:cs="Arial"/>
        </w:rPr>
      </w:pPr>
      <w:proofErr w:type="spellStart"/>
      <w:r w:rsidRPr="00872450">
        <w:rPr>
          <w:rFonts w:ascii="Arial" w:hAnsi="Arial" w:cs="Arial"/>
        </w:rPr>
        <w:t>Okereafor</w:t>
      </w:r>
      <w:proofErr w:type="spellEnd"/>
      <w:r w:rsidRPr="00872450">
        <w:rPr>
          <w:rFonts w:ascii="Arial" w:hAnsi="Arial" w:cs="Arial"/>
        </w:rPr>
        <w:t xml:space="preserve"> U, </w:t>
      </w:r>
      <w:proofErr w:type="spellStart"/>
      <w:r w:rsidRPr="00872450">
        <w:rPr>
          <w:rFonts w:ascii="Arial" w:hAnsi="Arial" w:cs="Arial"/>
        </w:rPr>
        <w:t>Makhatha</w:t>
      </w:r>
      <w:proofErr w:type="spellEnd"/>
      <w:r w:rsidRPr="00872450">
        <w:rPr>
          <w:rFonts w:ascii="Arial" w:hAnsi="Arial" w:cs="Arial"/>
        </w:rPr>
        <w:t xml:space="preserve"> M, </w:t>
      </w:r>
      <w:proofErr w:type="spellStart"/>
      <w:r w:rsidRPr="00872450">
        <w:rPr>
          <w:rFonts w:ascii="Arial" w:hAnsi="Arial" w:cs="Arial"/>
        </w:rPr>
        <w:t>Mekuto</w:t>
      </w:r>
      <w:proofErr w:type="spellEnd"/>
      <w:r w:rsidRPr="00872450">
        <w:rPr>
          <w:rFonts w:ascii="Arial" w:hAnsi="Arial" w:cs="Arial"/>
        </w:rPr>
        <w:t xml:space="preserve"> L, Uche-</w:t>
      </w:r>
      <w:proofErr w:type="spellStart"/>
      <w:r w:rsidRPr="00872450">
        <w:rPr>
          <w:rFonts w:ascii="Arial" w:hAnsi="Arial" w:cs="Arial"/>
        </w:rPr>
        <w:t>Okereafor</w:t>
      </w:r>
      <w:proofErr w:type="spellEnd"/>
      <w:r w:rsidRPr="00872450">
        <w:rPr>
          <w:rFonts w:ascii="Arial" w:hAnsi="Arial" w:cs="Arial"/>
        </w:rPr>
        <w:t xml:space="preserve"> N</w:t>
      </w:r>
      <w:r w:rsidR="001C3136" w:rsidRPr="00872450">
        <w:rPr>
          <w:rFonts w:ascii="Arial" w:hAnsi="Arial" w:cs="Arial"/>
        </w:rPr>
        <w:t>, Sebol</w:t>
      </w:r>
      <w:r w:rsidRPr="00872450">
        <w:rPr>
          <w:rFonts w:ascii="Arial" w:hAnsi="Arial" w:cs="Arial"/>
        </w:rPr>
        <w:t xml:space="preserve">a T, </w:t>
      </w:r>
      <w:proofErr w:type="spellStart"/>
      <w:r w:rsidRPr="00872450">
        <w:rPr>
          <w:rFonts w:ascii="Arial" w:hAnsi="Arial" w:cs="Arial"/>
        </w:rPr>
        <w:t>Mavumengwana</w:t>
      </w:r>
      <w:proofErr w:type="spellEnd"/>
      <w:r w:rsidRPr="00872450">
        <w:rPr>
          <w:rFonts w:ascii="Arial" w:hAnsi="Arial" w:cs="Arial"/>
        </w:rPr>
        <w:t xml:space="preserve"> V.</w:t>
      </w:r>
      <w:r w:rsidR="001C3136" w:rsidRPr="00872450">
        <w:rPr>
          <w:rFonts w:ascii="Arial" w:hAnsi="Arial" w:cs="Arial"/>
        </w:rPr>
        <w:t xml:space="preserve"> Toxic metal implications on agricultural soils, plants, animals</w:t>
      </w:r>
      <w:r w:rsidRPr="00872450">
        <w:rPr>
          <w:rFonts w:ascii="Arial" w:hAnsi="Arial" w:cs="Arial"/>
        </w:rPr>
        <w:t>, aquatic life and human health,</w:t>
      </w:r>
      <w:r w:rsidR="001C3136" w:rsidRPr="00872450">
        <w:rPr>
          <w:rFonts w:ascii="Arial" w:hAnsi="Arial" w:cs="Arial"/>
        </w:rPr>
        <w:t> </w:t>
      </w:r>
      <w:proofErr w:type="gramStart"/>
      <w:r w:rsidR="001C3136" w:rsidRPr="00872450">
        <w:rPr>
          <w:rFonts w:ascii="Arial" w:hAnsi="Arial" w:cs="Arial"/>
          <w:iCs/>
        </w:rPr>
        <w:t>International</w:t>
      </w:r>
      <w:proofErr w:type="gramEnd"/>
      <w:r w:rsidR="001C3136" w:rsidRPr="00872450">
        <w:rPr>
          <w:rFonts w:ascii="Arial" w:hAnsi="Arial" w:cs="Arial"/>
          <w:iCs/>
        </w:rPr>
        <w:t xml:space="preserve"> journal</w:t>
      </w:r>
      <w:r w:rsidRPr="00872450">
        <w:rPr>
          <w:rFonts w:ascii="Arial" w:hAnsi="Arial" w:cs="Arial"/>
          <w:iCs/>
        </w:rPr>
        <w:t xml:space="preserve"> of environmental research and Public H</w:t>
      </w:r>
      <w:r w:rsidR="001C3136" w:rsidRPr="00872450">
        <w:rPr>
          <w:rFonts w:ascii="Arial" w:hAnsi="Arial" w:cs="Arial"/>
          <w:iCs/>
        </w:rPr>
        <w:t>ealth</w:t>
      </w:r>
      <w:r w:rsidRPr="00872450">
        <w:rPr>
          <w:rFonts w:ascii="Arial" w:hAnsi="Arial" w:cs="Arial"/>
        </w:rPr>
        <w:t>.</w:t>
      </w:r>
      <w:r w:rsidR="001C3136" w:rsidRPr="00872450">
        <w:rPr>
          <w:rFonts w:ascii="Arial" w:hAnsi="Arial" w:cs="Arial"/>
        </w:rPr>
        <w:t> </w:t>
      </w:r>
      <w:r w:rsidRPr="00872450">
        <w:rPr>
          <w:rFonts w:ascii="Arial" w:hAnsi="Arial" w:cs="Arial"/>
        </w:rPr>
        <w:t>2020;</w:t>
      </w:r>
      <w:r w:rsidR="001C3136" w:rsidRPr="00872450">
        <w:rPr>
          <w:rFonts w:ascii="Arial" w:hAnsi="Arial" w:cs="Arial"/>
          <w:iCs/>
        </w:rPr>
        <w:t>17</w:t>
      </w:r>
      <w:r w:rsidRPr="00872450">
        <w:rPr>
          <w:rFonts w:ascii="Arial" w:hAnsi="Arial" w:cs="Arial"/>
        </w:rPr>
        <w:t>(7):</w:t>
      </w:r>
      <w:r w:rsidR="001C3136" w:rsidRPr="00872450">
        <w:rPr>
          <w:rFonts w:ascii="Arial" w:hAnsi="Arial" w:cs="Arial"/>
        </w:rPr>
        <w:t>2204.</w:t>
      </w:r>
    </w:p>
    <w:p w14:paraId="4876D6FD" w14:textId="77777777" w:rsidR="005C6D9C" w:rsidRPr="00872450" w:rsidRDefault="00582A87" w:rsidP="002A2CE1">
      <w:pPr>
        <w:pStyle w:val="ListParagraph"/>
        <w:numPr>
          <w:ilvl w:val="0"/>
          <w:numId w:val="2"/>
        </w:numPr>
        <w:jc w:val="both"/>
        <w:rPr>
          <w:rFonts w:ascii="Arial" w:hAnsi="Arial" w:cs="Arial"/>
        </w:rPr>
      </w:pPr>
      <w:r w:rsidRPr="00872450">
        <w:rPr>
          <w:rFonts w:ascii="Arial" w:hAnsi="Arial" w:cs="Arial"/>
        </w:rPr>
        <w:t>Akhtar N</w:t>
      </w:r>
      <w:r w:rsidR="005C6D9C" w:rsidRPr="00872450">
        <w:rPr>
          <w:rFonts w:ascii="Arial" w:hAnsi="Arial" w:cs="Arial"/>
        </w:rPr>
        <w:t xml:space="preserve">, </w:t>
      </w:r>
      <w:proofErr w:type="spellStart"/>
      <w:r w:rsidR="005C6D9C" w:rsidRPr="00872450">
        <w:rPr>
          <w:rFonts w:ascii="Arial" w:hAnsi="Arial" w:cs="Arial"/>
        </w:rPr>
        <w:t>S</w:t>
      </w:r>
      <w:r w:rsidRPr="00872450">
        <w:rPr>
          <w:rFonts w:ascii="Arial" w:hAnsi="Arial" w:cs="Arial"/>
        </w:rPr>
        <w:t>yakir</w:t>
      </w:r>
      <w:proofErr w:type="spellEnd"/>
      <w:r w:rsidRPr="00872450">
        <w:rPr>
          <w:rFonts w:ascii="Arial" w:hAnsi="Arial" w:cs="Arial"/>
        </w:rPr>
        <w:t xml:space="preserve"> Ishak MI, Bhawani S</w:t>
      </w:r>
      <w:r w:rsidR="005C6D9C" w:rsidRPr="00872450">
        <w:rPr>
          <w:rFonts w:ascii="Arial" w:hAnsi="Arial" w:cs="Arial"/>
        </w:rPr>
        <w:t>A</w:t>
      </w:r>
      <w:r w:rsidRPr="00872450">
        <w:rPr>
          <w:rFonts w:ascii="Arial" w:hAnsi="Arial" w:cs="Arial"/>
        </w:rPr>
        <w:t>, Umar K.</w:t>
      </w:r>
      <w:r w:rsidR="005C6D9C" w:rsidRPr="00872450">
        <w:rPr>
          <w:rFonts w:ascii="Arial" w:hAnsi="Arial" w:cs="Arial"/>
        </w:rPr>
        <w:t xml:space="preserve"> Various natural and anthropogenic factors responsible for water quality degradation: A review. </w:t>
      </w:r>
      <w:r w:rsidR="005C6D9C" w:rsidRPr="00872450">
        <w:rPr>
          <w:rFonts w:ascii="Arial" w:hAnsi="Arial" w:cs="Arial"/>
          <w:iCs/>
        </w:rPr>
        <w:t>Water</w:t>
      </w:r>
      <w:r w:rsidRPr="00872450">
        <w:rPr>
          <w:rFonts w:ascii="Arial" w:hAnsi="Arial" w:cs="Arial"/>
        </w:rPr>
        <w:t>. 2021</w:t>
      </w:r>
      <w:r w:rsidRPr="00872450">
        <w:rPr>
          <w:rFonts w:ascii="Arial" w:hAnsi="Arial" w:cs="Arial"/>
          <w:iCs/>
        </w:rPr>
        <w:t>;</w:t>
      </w:r>
      <w:r w:rsidR="005C6D9C" w:rsidRPr="00872450">
        <w:rPr>
          <w:rFonts w:ascii="Arial" w:hAnsi="Arial" w:cs="Arial"/>
          <w:iCs/>
        </w:rPr>
        <w:t>3</w:t>
      </w:r>
      <w:r w:rsidRPr="00872450">
        <w:rPr>
          <w:rFonts w:ascii="Arial" w:hAnsi="Arial" w:cs="Arial"/>
        </w:rPr>
        <w:t>(19):</w:t>
      </w:r>
      <w:r w:rsidR="005C6D9C" w:rsidRPr="00872450">
        <w:rPr>
          <w:rFonts w:ascii="Arial" w:hAnsi="Arial" w:cs="Arial"/>
        </w:rPr>
        <w:t>2660.</w:t>
      </w:r>
    </w:p>
    <w:p w14:paraId="122278FC" w14:textId="77777777" w:rsidR="001C3136" w:rsidRPr="00872450" w:rsidRDefault="0060047E" w:rsidP="002A2CE1">
      <w:pPr>
        <w:pStyle w:val="ListParagraph"/>
        <w:numPr>
          <w:ilvl w:val="0"/>
          <w:numId w:val="2"/>
        </w:numPr>
        <w:jc w:val="both"/>
        <w:rPr>
          <w:rFonts w:ascii="Arial" w:hAnsi="Arial" w:cs="Arial"/>
        </w:rPr>
      </w:pPr>
      <w:proofErr w:type="spellStart"/>
      <w:r w:rsidRPr="00872450">
        <w:rPr>
          <w:rFonts w:ascii="Arial" w:hAnsi="Arial" w:cs="Arial"/>
        </w:rPr>
        <w:t>Ornoy</w:t>
      </w:r>
      <w:proofErr w:type="spellEnd"/>
      <w:r w:rsidRPr="00872450">
        <w:rPr>
          <w:rFonts w:ascii="Arial" w:hAnsi="Arial" w:cs="Arial"/>
        </w:rPr>
        <w:t xml:space="preserve"> A, Reece EA, </w:t>
      </w:r>
      <w:proofErr w:type="spellStart"/>
      <w:r w:rsidRPr="00872450">
        <w:rPr>
          <w:rFonts w:ascii="Arial" w:hAnsi="Arial" w:cs="Arial"/>
        </w:rPr>
        <w:t>Pavlinkova</w:t>
      </w:r>
      <w:proofErr w:type="spellEnd"/>
      <w:r w:rsidRPr="00872450">
        <w:rPr>
          <w:rFonts w:ascii="Arial" w:hAnsi="Arial" w:cs="Arial"/>
        </w:rPr>
        <w:t xml:space="preserve"> G, Kappen </w:t>
      </w:r>
      <w:proofErr w:type="gramStart"/>
      <w:r w:rsidRPr="00872450">
        <w:rPr>
          <w:rFonts w:ascii="Arial" w:hAnsi="Arial" w:cs="Arial"/>
        </w:rPr>
        <w:t>C,  Miller</w:t>
      </w:r>
      <w:proofErr w:type="gramEnd"/>
      <w:r w:rsidRPr="00872450">
        <w:rPr>
          <w:rFonts w:ascii="Arial" w:hAnsi="Arial" w:cs="Arial"/>
        </w:rPr>
        <w:t xml:space="preserve"> RK.</w:t>
      </w:r>
      <w:r w:rsidR="001C3136" w:rsidRPr="00872450">
        <w:rPr>
          <w:rFonts w:ascii="Arial" w:hAnsi="Arial" w:cs="Arial"/>
        </w:rPr>
        <w:t xml:space="preserve"> Effect of maternal diabetes on the embryo, fetus, and </w:t>
      </w:r>
      <w:r w:rsidR="001A54B1" w:rsidRPr="00872450">
        <w:rPr>
          <w:rFonts w:ascii="Arial" w:hAnsi="Arial" w:cs="Arial"/>
        </w:rPr>
        <w:t>children</w:t>
      </w:r>
      <w:r w:rsidR="001A54B1" w:rsidRPr="00872450">
        <w:rPr>
          <w:rFonts w:ascii="Arial" w:hAnsi="Arial" w:cs="Arial"/>
        </w:rPr>
        <w:tab/>
      </w:r>
      <w:r w:rsidR="001C3136" w:rsidRPr="00872450">
        <w:rPr>
          <w:rFonts w:ascii="Arial" w:hAnsi="Arial" w:cs="Arial"/>
        </w:rPr>
        <w:t>: congenital anomalies, genetic and epigenetic cha</w:t>
      </w:r>
      <w:r w:rsidRPr="00872450">
        <w:rPr>
          <w:rFonts w:ascii="Arial" w:hAnsi="Arial" w:cs="Arial"/>
        </w:rPr>
        <w:t>nges and developmental outcomes,</w:t>
      </w:r>
      <w:r w:rsidR="001C3136" w:rsidRPr="00872450">
        <w:rPr>
          <w:rFonts w:ascii="Arial" w:hAnsi="Arial" w:cs="Arial"/>
        </w:rPr>
        <w:t> </w:t>
      </w:r>
      <w:r w:rsidR="001C3136" w:rsidRPr="00872450">
        <w:rPr>
          <w:rFonts w:ascii="Arial" w:hAnsi="Arial" w:cs="Arial"/>
          <w:iCs/>
        </w:rPr>
        <w:t>Birth Defects Research Part C: Embryo Today: Reviews</w:t>
      </w:r>
      <w:r w:rsidRPr="00872450">
        <w:rPr>
          <w:rFonts w:ascii="Arial" w:hAnsi="Arial" w:cs="Arial"/>
        </w:rPr>
        <w:t>.</w:t>
      </w:r>
      <w:r w:rsidR="001C3136" w:rsidRPr="00872450">
        <w:rPr>
          <w:rFonts w:ascii="Arial" w:hAnsi="Arial" w:cs="Arial"/>
        </w:rPr>
        <w:t> </w:t>
      </w:r>
      <w:r w:rsidRPr="00872450">
        <w:rPr>
          <w:rFonts w:ascii="Arial" w:hAnsi="Arial" w:cs="Arial"/>
        </w:rPr>
        <w:t>2015;</w:t>
      </w:r>
      <w:r w:rsidR="001C3136" w:rsidRPr="00872450">
        <w:rPr>
          <w:rFonts w:ascii="Arial" w:hAnsi="Arial" w:cs="Arial"/>
          <w:iCs/>
        </w:rPr>
        <w:t>105</w:t>
      </w:r>
      <w:r w:rsidRPr="00872450">
        <w:rPr>
          <w:rFonts w:ascii="Arial" w:hAnsi="Arial" w:cs="Arial"/>
        </w:rPr>
        <w:t>(1):</w:t>
      </w:r>
      <w:r w:rsidR="001C3136" w:rsidRPr="00872450">
        <w:rPr>
          <w:rFonts w:ascii="Arial" w:hAnsi="Arial" w:cs="Arial"/>
        </w:rPr>
        <w:t>53-72.</w:t>
      </w:r>
    </w:p>
    <w:p w14:paraId="4F88238D" w14:textId="77777777" w:rsidR="005C6D9C" w:rsidRPr="00872450" w:rsidRDefault="0060047E" w:rsidP="002A2CE1">
      <w:pPr>
        <w:pStyle w:val="ListParagraph"/>
        <w:numPr>
          <w:ilvl w:val="0"/>
          <w:numId w:val="2"/>
        </w:numPr>
        <w:jc w:val="both"/>
        <w:rPr>
          <w:rFonts w:ascii="Arial" w:hAnsi="Arial" w:cs="Arial"/>
        </w:rPr>
      </w:pPr>
      <w:r w:rsidRPr="00872450">
        <w:rPr>
          <w:rFonts w:ascii="Arial" w:hAnsi="Arial" w:cs="Arial"/>
        </w:rPr>
        <w:t>Al Osman M, Yang F, Massey IY</w:t>
      </w:r>
      <w:r w:rsidR="005C6D9C" w:rsidRPr="00872450">
        <w:rPr>
          <w:rFonts w:ascii="Arial" w:hAnsi="Arial" w:cs="Arial"/>
        </w:rPr>
        <w:t xml:space="preserve">. Exposure routes and health effects </w:t>
      </w:r>
      <w:r w:rsidRPr="00872450">
        <w:rPr>
          <w:rFonts w:ascii="Arial" w:hAnsi="Arial" w:cs="Arial"/>
        </w:rPr>
        <w:t>of heavy metals on children,</w:t>
      </w:r>
      <w:r w:rsidR="005C6D9C" w:rsidRPr="00872450">
        <w:rPr>
          <w:rFonts w:ascii="Arial" w:hAnsi="Arial" w:cs="Arial"/>
        </w:rPr>
        <w:t> </w:t>
      </w:r>
      <w:proofErr w:type="spellStart"/>
      <w:r w:rsidR="005C6D9C" w:rsidRPr="00872450">
        <w:rPr>
          <w:rFonts w:ascii="Arial" w:hAnsi="Arial" w:cs="Arial"/>
          <w:iCs/>
        </w:rPr>
        <w:t>Biometals</w:t>
      </w:r>
      <w:proofErr w:type="spellEnd"/>
      <w:r w:rsidRPr="00872450">
        <w:rPr>
          <w:rFonts w:ascii="Arial" w:hAnsi="Arial" w:cs="Arial"/>
        </w:rPr>
        <w:t>.</w:t>
      </w:r>
      <w:r w:rsidR="005C6D9C" w:rsidRPr="00872450">
        <w:rPr>
          <w:rFonts w:ascii="Arial" w:hAnsi="Arial" w:cs="Arial"/>
        </w:rPr>
        <w:t> </w:t>
      </w:r>
      <w:proofErr w:type="gramStart"/>
      <w:r w:rsidRPr="00872450">
        <w:rPr>
          <w:rFonts w:ascii="Arial" w:hAnsi="Arial" w:cs="Arial"/>
        </w:rPr>
        <w:t>2019;</w:t>
      </w:r>
      <w:r w:rsidR="005C6D9C" w:rsidRPr="00872450">
        <w:rPr>
          <w:rFonts w:ascii="Arial" w:hAnsi="Arial" w:cs="Arial"/>
          <w:iCs/>
        </w:rPr>
        <w:t>32</w:t>
      </w:r>
      <w:r w:rsidRPr="00872450">
        <w:rPr>
          <w:rFonts w:ascii="Arial" w:hAnsi="Arial" w:cs="Arial"/>
        </w:rPr>
        <w:t>:</w:t>
      </w:r>
      <w:r w:rsidR="005C6D9C" w:rsidRPr="00872450">
        <w:rPr>
          <w:rFonts w:ascii="Arial" w:hAnsi="Arial" w:cs="Arial"/>
        </w:rPr>
        <w:t>563</w:t>
      </w:r>
      <w:proofErr w:type="gramEnd"/>
      <w:r w:rsidR="005C6D9C" w:rsidRPr="00872450">
        <w:rPr>
          <w:rFonts w:ascii="Arial" w:hAnsi="Arial" w:cs="Arial"/>
        </w:rPr>
        <w:t>-573.</w:t>
      </w:r>
    </w:p>
    <w:p w14:paraId="34C8C76B" w14:textId="77777777" w:rsidR="001C3136" w:rsidRPr="00872450" w:rsidRDefault="0060047E" w:rsidP="002A2CE1">
      <w:pPr>
        <w:pStyle w:val="ListParagraph"/>
        <w:numPr>
          <w:ilvl w:val="0"/>
          <w:numId w:val="2"/>
        </w:numPr>
        <w:jc w:val="both"/>
        <w:rPr>
          <w:rFonts w:ascii="Arial" w:hAnsi="Arial" w:cs="Arial"/>
        </w:rPr>
      </w:pPr>
      <w:r w:rsidRPr="00872450">
        <w:rPr>
          <w:rFonts w:ascii="Arial" w:hAnsi="Arial" w:cs="Arial"/>
        </w:rPr>
        <w:t>Fu Z, Xi S</w:t>
      </w:r>
      <w:r w:rsidR="001C3136" w:rsidRPr="00872450">
        <w:rPr>
          <w:rFonts w:ascii="Arial" w:hAnsi="Arial" w:cs="Arial"/>
        </w:rPr>
        <w:t>. The effects of h</w:t>
      </w:r>
      <w:r w:rsidRPr="00872450">
        <w:rPr>
          <w:rFonts w:ascii="Arial" w:hAnsi="Arial" w:cs="Arial"/>
        </w:rPr>
        <w:t>eavy metals on human metabolism,</w:t>
      </w:r>
      <w:r w:rsidR="001C3136" w:rsidRPr="00872450">
        <w:rPr>
          <w:rFonts w:ascii="Arial" w:hAnsi="Arial" w:cs="Arial"/>
        </w:rPr>
        <w:t> </w:t>
      </w:r>
      <w:r w:rsidR="001C3136" w:rsidRPr="00872450">
        <w:rPr>
          <w:rFonts w:ascii="Arial" w:hAnsi="Arial" w:cs="Arial"/>
          <w:iCs/>
        </w:rPr>
        <w:t>Toxicology mechanisms and methods</w:t>
      </w:r>
      <w:r w:rsidRPr="00872450">
        <w:rPr>
          <w:rFonts w:ascii="Arial" w:hAnsi="Arial" w:cs="Arial"/>
        </w:rPr>
        <w:t>.</w:t>
      </w:r>
      <w:r w:rsidR="001C3136" w:rsidRPr="00872450">
        <w:rPr>
          <w:rFonts w:ascii="Arial" w:hAnsi="Arial" w:cs="Arial"/>
        </w:rPr>
        <w:t> </w:t>
      </w:r>
      <w:r w:rsidRPr="00872450">
        <w:rPr>
          <w:rFonts w:ascii="Arial" w:hAnsi="Arial" w:cs="Arial"/>
        </w:rPr>
        <w:t>2020;</w:t>
      </w:r>
      <w:r w:rsidR="001C3136" w:rsidRPr="00872450">
        <w:rPr>
          <w:rFonts w:ascii="Arial" w:hAnsi="Arial" w:cs="Arial"/>
          <w:iCs/>
        </w:rPr>
        <w:t>30</w:t>
      </w:r>
      <w:r w:rsidRPr="00872450">
        <w:rPr>
          <w:rFonts w:ascii="Arial" w:hAnsi="Arial" w:cs="Arial"/>
        </w:rPr>
        <w:t>(3):</w:t>
      </w:r>
      <w:r w:rsidR="001C3136" w:rsidRPr="00872450">
        <w:rPr>
          <w:rFonts w:ascii="Arial" w:hAnsi="Arial" w:cs="Arial"/>
        </w:rPr>
        <w:t xml:space="preserve"> 167-176.</w:t>
      </w:r>
    </w:p>
    <w:p w14:paraId="15971CA1" w14:textId="77777777" w:rsidR="001C3136" w:rsidRPr="00872450" w:rsidRDefault="0060047E" w:rsidP="002A2CE1">
      <w:pPr>
        <w:pStyle w:val="ListParagraph"/>
        <w:numPr>
          <w:ilvl w:val="0"/>
          <w:numId w:val="2"/>
        </w:numPr>
        <w:jc w:val="both"/>
        <w:rPr>
          <w:rFonts w:ascii="Arial" w:hAnsi="Arial" w:cs="Arial"/>
        </w:rPr>
      </w:pPr>
      <w:r w:rsidRPr="00872450">
        <w:rPr>
          <w:rFonts w:ascii="Arial" w:hAnsi="Arial" w:cs="Arial"/>
        </w:rPr>
        <w:t>Mitra S</w:t>
      </w:r>
      <w:r w:rsidR="001C3136" w:rsidRPr="00872450">
        <w:rPr>
          <w:rFonts w:ascii="Arial" w:hAnsi="Arial" w:cs="Arial"/>
        </w:rPr>
        <w:t xml:space="preserve">, </w:t>
      </w:r>
      <w:r w:rsidRPr="00872450">
        <w:rPr>
          <w:rFonts w:ascii="Arial" w:hAnsi="Arial" w:cs="Arial"/>
        </w:rPr>
        <w:t>Chakraborty AJ, Tareq AM</w:t>
      </w:r>
      <w:r w:rsidR="001C3136" w:rsidRPr="00872450">
        <w:rPr>
          <w:rFonts w:ascii="Arial" w:hAnsi="Arial" w:cs="Arial"/>
        </w:rPr>
        <w:t xml:space="preserve">, </w:t>
      </w:r>
      <w:r w:rsidRPr="00872450">
        <w:rPr>
          <w:rFonts w:ascii="Arial" w:hAnsi="Arial" w:cs="Arial"/>
        </w:rPr>
        <w:t>Emran TB, Nainu F, Khusro</w:t>
      </w:r>
      <w:r w:rsidR="001C3136" w:rsidRPr="00872450">
        <w:rPr>
          <w:rFonts w:ascii="Arial" w:hAnsi="Arial" w:cs="Arial"/>
        </w:rPr>
        <w:t xml:space="preserve"> </w:t>
      </w:r>
      <w:r w:rsidRPr="00872450">
        <w:rPr>
          <w:rFonts w:ascii="Arial" w:hAnsi="Arial" w:cs="Arial"/>
        </w:rPr>
        <w:t>A, Simal-Gandara J.</w:t>
      </w:r>
      <w:r w:rsidR="001C3136" w:rsidRPr="00872450">
        <w:rPr>
          <w:rFonts w:ascii="Arial" w:hAnsi="Arial" w:cs="Arial"/>
        </w:rPr>
        <w:t xml:space="preserve"> Impact of heavy metals on the environment and human health: Novel therapeutic i</w:t>
      </w:r>
      <w:r w:rsidRPr="00872450">
        <w:rPr>
          <w:rFonts w:ascii="Arial" w:hAnsi="Arial" w:cs="Arial"/>
        </w:rPr>
        <w:t>nsights to counter the toxicity,</w:t>
      </w:r>
      <w:r w:rsidR="001C3136" w:rsidRPr="00872450">
        <w:rPr>
          <w:rFonts w:ascii="Arial" w:hAnsi="Arial" w:cs="Arial"/>
        </w:rPr>
        <w:t> </w:t>
      </w:r>
      <w:r w:rsidR="001C3136" w:rsidRPr="00872450">
        <w:rPr>
          <w:rFonts w:ascii="Arial" w:hAnsi="Arial" w:cs="Arial"/>
          <w:iCs/>
        </w:rPr>
        <w:t>Journal of King Saud University-Science</w:t>
      </w:r>
      <w:r w:rsidRPr="00872450">
        <w:rPr>
          <w:rFonts w:ascii="Arial" w:hAnsi="Arial" w:cs="Arial"/>
        </w:rPr>
        <w:t>.</w:t>
      </w:r>
      <w:r w:rsidR="001C3136" w:rsidRPr="00872450">
        <w:rPr>
          <w:rFonts w:ascii="Arial" w:hAnsi="Arial" w:cs="Arial"/>
        </w:rPr>
        <w:t> </w:t>
      </w:r>
      <w:r w:rsidRPr="00872450">
        <w:rPr>
          <w:rFonts w:ascii="Arial" w:hAnsi="Arial" w:cs="Arial"/>
        </w:rPr>
        <w:t>2022;</w:t>
      </w:r>
      <w:r w:rsidR="001C3136" w:rsidRPr="00872450">
        <w:rPr>
          <w:rFonts w:ascii="Arial" w:hAnsi="Arial" w:cs="Arial"/>
          <w:iCs/>
        </w:rPr>
        <w:t>34</w:t>
      </w:r>
      <w:r w:rsidRPr="00872450">
        <w:rPr>
          <w:rFonts w:ascii="Arial" w:hAnsi="Arial" w:cs="Arial"/>
        </w:rPr>
        <w:t>(3):</w:t>
      </w:r>
      <w:r w:rsidR="001C3136" w:rsidRPr="00872450">
        <w:rPr>
          <w:rFonts w:ascii="Arial" w:hAnsi="Arial" w:cs="Arial"/>
        </w:rPr>
        <w:t>101865.</w:t>
      </w:r>
    </w:p>
    <w:p w14:paraId="61320E46" w14:textId="77777777" w:rsidR="001C3136" w:rsidRPr="00872450" w:rsidRDefault="0060047E" w:rsidP="002A2CE1">
      <w:pPr>
        <w:pStyle w:val="ListParagraph"/>
        <w:numPr>
          <w:ilvl w:val="0"/>
          <w:numId w:val="2"/>
        </w:numPr>
        <w:jc w:val="both"/>
        <w:rPr>
          <w:rFonts w:ascii="Arial" w:hAnsi="Arial" w:cs="Arial"/>
        </w:rPr>
      </w:pPr>
      <w:r w:rsidRPr="00872450">
        <w:rPr>
          <w:rFonts w:ascii="Arial" w:hAnsi="Arial" w:cs="Arial"/>
        </w:rPr>
        <w:t>Mbeh GM, Kamga F</w:t>
      </w:r>
      <w:r w:rsidR="001C3136" w:rsidRPr="00872450">
        <w:rPr>
          <w:rFonts w:ascii="Arial" w:hAnsi="Arial" w:cs="Arial"/>
        </w:rPr>
        <w:t>T</w:t>
      </w:r>
      <w:r w:rsidRPr="00872450">
        <w:rPr>
          <w:rFonts w:ascii="Arial" w:hAnsi="Arial" w:cs="Arial"/>
        </w:rPr>
        <w:t xml:space="preserve">, </w:t>
      </w:r>
      <w:proofErr w:type="spellStart"/>
      <w:r w:rsidRPr="00872450">
        <w:rPr>
          <w:rFonts w:ascii="Arial" w:hAnsi="Arial" w:cs="Arial"/>
        </w:rPr>
        <w:t>Kengap</w:t>
      </w:r>
      <w:proofErr w:type="spellEnd"/>
      <w:r w:rsidRPr="00872450">
        <w:rPr>
          <w:rFonts w:ascii="Arial" w:hAnsi="Arial" w:cs="Arial"/>
        </w:rPr>
        <w:t xml:space="preserve"> AK, Atem WE, Mbeng LO.</w:t>
      </w:r>
      <w:r w:rsidR="001C3136" w:rsidRPr="00872450">
        <w:rPr>
          <w:rFonts w:ascii="Arial" w:hAnsi="Arial" w:cs="Arial"/>
        </w:rPr>
        <w:t xml:space="preserve"> Quantification of heavy metals (Cd, Pb, Fe, Mg, Cu, and Zn) in seafood (fishes and </w:t>
      </w:r>
      <w:proofErr w:type="spellStart"/>
      <w:r w:rsidR="001C3136" w:rsidRPr="00872450">
        <w:rPr>
          <w:rFonts w:ascii="Arial" w:hAnsi="Arial" w:cs="Arial"/>
        </w:rPr>
        <w:t>Crabss</w:t>
      </w:r>
      <w:proofErr w:type="spellEnd"/>
      <w:r w:rsidR="001C3136" w:rsidRPr="00872450">
        <w:rPr>
          <w:rFonts w:ascii="Arial" w:hAnsi="Arial" w:cs="Arial"/>
        </w:rPr>
        <w:t xml:space="preserve">) and evaluation of health risks </w:t>
      </w:r>
      <w:r w:rsidRPr="00872450">
        <w:rPr>
          <w:rFonts w:ascii="Arial" w:hAnsi="Arial" w:cs="Arial"/>
        </w:rPr>
        <w:t>to consumers in Limbe, Cameroon,</w:t>
      </w:r>
      <w:r w:rsidR="001C3136" w:rsidRPr="00872450">
        <w:rPr>
          <w:rFonts w:ascii="Arial" w:hAnsi="Arial" w:cs="Arial"/>
        </w:rPr>
        <w:t> </w:t>
      </w:r>
      <w:r w:rsidR="001C3136" w:rsidRPr="00872450">
        <w:rPr>
          <w:rFonts w:ascii="Arial" w:hAnsi="Arial" w:cs="Arial"/>
          <w:iCs/>
        </w:rPr>
        <w:t>Journal of Materials and Environmental Sciences</w:t>
      </w:r>
      <w:r w:rsidRPr="00872450">
        <w:rPr>
          <w:rFonts w:ascii="Arial" w:hAnsi="Arial" w:cs="Arial"/>
        </w:rPr>
        <w:t>.</w:t>
      </w:r>
      <w:r w:rsidR="001C3136" w:rsidRPr="00872450">
        <w:rPr>
          <w:rFonts w:ascii="Arial" w:hAnsi="Arial" w:cs="Arial"/>
        </w:rPr>
        <w:t> </w:t>
      </w:r>
      <w:r w:rsidRPr="00872450">
        <w:rPr>
          <w:rFonts w:ascii="Arial" w:hAnsi="Arial" w:cs="Arial"/>
        </w:rPr>
        <w:t>2019;</w:t>
      </w:r>
      <w:r w:rsidR="001C3136" w:rsidRPr="00872450">
        <w:rPr>
          <w:rFonts w:ascii="Arial" w:hAnsi="Arial" w:cs="Arial"/>
          <w:iCs/>
        </w:rPr>
        <w:t>10</w:t>
      </w:r>
      <w:r w:rsidRPr="00872450">
        <w:rPr>
          <w:rFonts w:ascii="Arial" w:hAnsi="Arial" w:cs="Arial"/>
        </w:rPr>
        <w:t>(10):</w:t>
      </w:r>
      <w:r w:rsidR="001C3136" w:rsidRPr="00872450">
        <w:rPr>
          <w:rFonts w:ascii="Arial" w:hAnsi="Arial" w:cs="Arial"/>
        </w:rPr>
        <w:t>948-957.</w:t>
      </w:r>
    </w:p>
    <w:p w14:paraId="585A7FB3" w14:textId="77777777" w:rsidR="001C3136" w:rsidRPr="00872450" w:rsidRDefault="0060047E" w:rsidP="002A2CE1">
      <w:pPr>
        <w:pStyle w:val="ListParagraph"/>
        <w:numPr>
          <w:ilvl w:val="0"/>
          <w:numId w:val="2"/>
        </w:numPr>
        <w:jc w:val="both"/>
        <w:rPr>
          <w:rFonts w:ascii="Arial" w:hAnsi="Arial" w:cs="Arial"/>
        </w:rPr>
      </w:pPr>
      <w:r w:rsidRPr="00872450">
        <w:rPr>
          <w:rFonts w:ascii="Arial" w:hAnsi="Arial" w:cs="Arial"/>
        </w:rPr>
        <w:t>O'Mara K</w:t>
      </w:r>
      <w:r w:rsidR="001C3136" w:rsidRPr="00872450">
        <w:rPr>
          <w:rFonts w:ascii="Arial" w:hAnsi="Arial" w:cs="Arial"/>
        </w:rPr>
        <w:t>, A</w:t>
      </w:r>
      <w:r w:rsidRPr="00872450">
        <w:rPr>
          <w:rFonts w:ascii="Arial" w:hAnsi="Arial" w:cs="Arial"/>
        </w:rPr>
        <w:t>dams M, Burford MA, Fry B, Cresswell T.</w:t>
      </w:r>
      <w:r w:rsidR="001C3136" w:rsidRPr="00872450">
        <w:rPr>
          <w:rFonts w:ascii="Arial" w:hAnsi="Arial" w:cs="Arial"/>
        </w:rPr>
        <w:t xml:space="preserve"> Uptake and accumulation of cadmium, manganese and zinc by fisheries species: Trophic differences in sensitivity to e</w:t>
      </w:r>
      <w:r w:rsidRPr="00872450">
        <w:rPr>
          <w:rFonts w:ascii="Arial" w:hAnsi="Arial" w:cs="Arial"/>
        </w:rPr>
        <w:t>nvironmental metal accumulation,</w:t>
      </w:r>
      <w:r w:rsidR="001C3136" w:rsidRPr="00872450">
        <w:rPr>
          <w:rFonts w:ascii="Arial" w:hAnsi="Arial" w:cs="Arial"/>
        </w:rPr>
        <w:t> </w:t>
      </w:r>
      <w:r w:rsidR="001C3136" w:rsidRPr="00872450">
        <w:rPr>
          <w:rFonts w:ascii="Arial" w:hAnsi="Arial" w:cs="Arial"/>
          <w:iCs/>
        </w:rPr>
        <w:t>Science of the total environment</w:t>
      </w:r>
      <w:r w:rsidRPr="00872450">
        <w:rPr>
          <w:rFonts w:ascii="Arial" w:hAnsi="Arial" w:cs="Arial"/>
        </w:rPr>
        <w:t xml:space="preserve">. </w:t>
      </w:r>
      <w:proofErr w:type="gramStart"/>
      <w:r w:rsidRPr="00872450">
        <w:rPr>
          <w:rFonts w:ascii="Arial" w:hAnsi="Arial" w:cs="Arial"/>
        </w:rPr>
        <w:t>2019;</w:t>
      </w:r>
      <w:r w:rsidR="001C3136" w:rsidRPr="00872450">
        <w:rPr>
          <w:rFonts w:ascii="Arial" w:hAnsi="Arial" w:cs="Arial"/>
          <w:iCs/>
        </w:rPr>
        <w:t>690</w:t>
      </w:r>
      <w:r w:rsidRPr="00872450">
        <w:rPr>
          <w:rFonts w:ascii="Arial" w:hAnsi="Arial" w:cs="Arial"/>
        </w:rPr>
        <w:t>:</w:t>
      </w:r>
      <w:r w:rsidR="001C3136" w:rsidRPr="00872450">
        <w:rPr>
          <w:rFonts w:ascii="Arial" w:hAnsi="Arial" w:cs="Arial"/>
        </w:rPr>
        <w:t>867</w:t>
      </w:r>
      <w:proofErr w:type="gramEnd"/>
      <w:r w:rsidR="001C3136" w:rsidRPr="00872450">
        <w:rPr>
          <w:rFonts w:ascii="Arial" w:hAnsi="Arial" w:cs="Arial"/>
        </w:rPr>
        <w:t>-877.</w:t>
      </w:r>
    </w:p>
    <w:p w14:paraId="22E1E1ED" w14:textId="77777777" w:rsidR="001C3136" w:rsidRPr="00872450" w:rsidRDefault="00A93BA9" w:rsidP="002A2CE1">
      <w:pPr>
        <w:pStyle w:val="ListParagraph"/>
        <w:numPr>
          <w:ilvl w:val="0"/>
          <w:numId w:val="2"/>
        </w:numPr>
        <w:jc w:val="both"/>
        <w:rPr>
          <w:rFonts w:ascii="Arial" w:hAnsi="Arial" w:cs="Arial"/>
        </w:rPr>
      </w:pPr>
      <w:r w:rsidRPr="00872450">
        <w:rPr>
          <w:rFonts w:ascii="Arial" w:hAnsi="Arial" w:cs="Arial"/>
        </w:rPr>
        <w:lastRenderedPageBreak/>
        <w:t xml:space="preserve">Emenike EC, </w:t>
      </w:r>
      <w:proofErr w:type="spellStart"/>
      <w:r w:rsidRPr="00872450">
        <w:rPr>
          <w:rFonts w:ascii="Arial" w:hAnsi="Arial" w:cs="Arial"/>
        </w:rPr>
        <w:t>Iwuozor</w:t>
      </w:r>
      <w:proofErr w:type="spellEnd"/>
      <w:r w:rsidRPr="00872450">
        <w:rPr>
          <w:rFonts w:ascii="Arial" w:hAnsi="Arial" w:cs="Arial"/>
        </w:rPr>
        <w:t xml:space="preserve"> KO, </w:t>
      </w:r>
      <w:proofErr w:type="spellStart"/>
      <w:r w:rsidRPr="00872450">
        <w:rPr>
          <w:rFonts w:ascii="Arial" w:hAnsi="Arial" w:cs="Arial"/>
        </w:rPr>
        <w:t>Anidiobi</w:t>
      </w:r>
      <w:proofErr w:type="spellEnd"/>
      <w:r w:rsidRPr="00872450">
        <w:rPr>
          <w:rFonts w:ascii="Arial" w:hAnsi="Arial" w:cs="Arial"/>
        </w:rPr>
        <w:t xml:space="preserve"> SU.</w:t>
      </w:r>
      <w:r w:rsidR="001C3136" w:rsidRPr="00872450">
        <w:rPr>
          <w:rFonts w:ascii="Arial" w:hAnsi="Arial" w:cs="Arial"/>
        </w:rPr>
        <w:t xml:space="preserve"> Heavy metal pollution in aquaculture: sources, im</w:t>
      </w:r>
      <w:r w:rsidR="0060047E" w:rsidRPr="00872450">
        <w:rPr>
          <w:rFonts w:ascii="Arial" w:hAnsi="Arial" w:cs="Arial"/>
        </w:rPr>
        <w:t>pacts and mitigation techniques,</w:t>
      </w:r>
      <w:r w:rsidR="001C3136" w:rsidRPr="00872450">
        <w:rPr>
          <w:rFonts w:ascii="Arial" w:hAnsi="Arial" w:cs="Arial"/>
        </w:rPr>
        <w:t> </w:t>
      </w:r>
      <w:r w:rsidR="001C3136" w:rsidRPr="00872450">
        <w:rPr>
          <w:rFonts w:ascii="Arial" w:hAnsi="Arial" w:cs="Arial"/>
          <w:iCs/>
        </w:rPr>
        <w:t>Biological Trace Element Research</w:t>
      </w:r>
      <w:r w:rsidR="0060047E" w:rsidRPr="00872450">
        <w:rPr>
          <w:rFonts w:ascii="Arial" w:hAnsi="Arial" w:cs="Arial"/>
        </w:rPr>
        <w:t>.</w:t>
      </w:r>
      <w:r w:rsidR="001C3136" w:rsidRPr="00872450">
        <w:rPr>
          <w:rFonts w:ascii="Arial" w:hAnsi="Arial" w:cs="Arial"/>
        </w:rPr>
        <w:t xml:space="preserve"> </w:t>
      </w:r>
      <w:r w:rsidR="0060047E" w:rsidRPr="00872450">
        <w:rPr>
          <w:rFonts w:ascii="Arial" w:hAnsi="Arial" w:cs="Arial"/>
        </w:rPr>
        <w:t>2021;</w:t>
      </w:r>
      <w:r w:rsidR="001C3136" w:rsidRPr="00872450">
        <w:rPr>
          <w:rFonts w:ascii="Arial" w:hAnsi="Arial" w:cs="Arial"/>
        </w:rPr>
        <w:t>1-17.</w:t>
      </w:r>
    </w:p>
    <w:p w14:paraId="4EA50A27" w14:textId="77777777" w:rsidR="0054041A" w:rsidRPr="00872450" w:rsidRDefault="001A54B1" w:rsidP="0054041A">
      <w:pPr>
        <w:pStyle w:val="ListParagraph"/>
        <w:numPr>
          <w:ilvl w:val="0"/>
          <w:numId w:val="2"/>
        </w:numPr>
        <w:jc w:val="both"/>
        <w:rPr>
          <w:rFonts w:ascii="Arial" w:hAnsi="Arial" w:cs="Arial"/>
        </w:rPr>
      </w:pPr>
      <w:r w:rsidRPr="00872450">
        <w:rPr>
          <w:rFonts w:ascii="Arial" w:hAnsi="Arial" w:cs="Arial"/>
        </w:rPr>
        <w:t>Justice-</w:t>
      </w:r>
      <w:proofErr w:type="spellStart"/>
      <w:r w:rsidRPr="00872450">
        <w:rPr>
          <w:rFonts w:ascii="Arial" w:hAnsi="Arial" w:cs="Arial"/>
        </w:rPr>
        <w:t>Alucho</w:t>
      </w:r>
      <w:proofErr w:type="spellEnd"/>
      <w:r w:rsidR="0054041A" w:rsidRPr="00872450">
        <w:rPr>
          <w:rFonts w:ascii="Arial" w:hAnsi="Arial" w:cs="Arial"/>
        </w:rPr>
        <w:t xml:space="preserve"> CH, Mike-A</w:t>
      </w:r>
      <w:r w:rsidR="00AA257A" w:rsidRPr="00872450">
        <w:rPr>
          <w:rFonts w:ascii="Arial" w:hAnsi="Arial" w:cs="Arial"/>
        </w:rPr>
        <w:t>nosike EE, Braide W. Molecular c</w:t>
      </w:r>
      <w:r w:rsidR="0054041A" w:rsidRPr="00872450">
        <w:rPr>
          <w:rFonts w:ascii="Arial" w:hAnsi="Arial" w:cs="Arial"/>
        </w:rPr>
        <w:t xml:space="preserve">haracterization of </w:t>
      </w:r>
      <w:r w:rsidR="00AA257A" w:rsidRPr="00872450">
        <w:rPr>
          <w:rFonts w:ascii="Arial" w:hAnsi="Arial" w:cs="Arial"/>
        </w:rPr>
        <w:t>bacteria isolated from some seafood</w:t>
      </w:r>
      <w:r w:rsidR="0054041A" w:rsidRPr="00872450">
        <w:rPr>
          <w:rFonts w:ascii="Arial" w:hAnsi="Arial" w:cs="Arial"/>
        </w:rPr>
        <w:t xml:space="preserve">s in </w:t>
      </w:r>
      <w:proofErr w:type="spellStart"/>
      <w:r w:rsidR="0054041A" w:rsidRPr="00872450">
        <w:rPr>
          <w:rFonts w:ascii="Arial" w:hAnsi="Arial" w:cs="Arial"/>
        </w:rPr>
        <w:t>Nembe</w:t>
      </w:r>
      <w:proofErr w:type="spellEnd"/>
      <w:r w:rsidR="0054041A" w:rsidRPr="00872450">
        <w:rPr>
          <w:rFonts w:ascii="Arial" w:hAnsi="Arial" w:cs="Arial"/>
        </w:rPr>
        <w:t xml:space="preserve"> Community, Bayelsa State, Nigeria. Asian Journal of Applied Science and </w:t>
      </w:r>
      <w:r w:rsidR="00BE5A03" w:rsidRPr="00872450">
        <w:rPr>
          <w:rFonts w:ascii="Arial" w:hAnsi="Arial" w:cs="Arial"/>
        </w:rPr>
        <w:t xml:space="preserve">Technology (AJAST). </w:t>
      </w:r>
      <w:r w:rsidR="0054041A" w:rsidRPr="00872450">
        <w:rPr>
          <w:rFonts w:ascii="Arial" w:hAnsi="Arial" w:cs="Arial"/>
        </w:rPr>
        <w:t>2021;5(3):68-79.</w:t>
      </w:r>
    </w:p>
    <w:p w14:paraId="2C8357D4" w14:textId="77777777" w:rsidR="0054041A" w:rsidRPr="00872450" w:rsidRDefault="0054041A" w:rsidP="0054041A">
      <w:pPr>
        <w:pStyle w:val="ListParagraph"/>
        <w:numPr>
          <w:ilvl w:val="0"/>
          <w:numId w:val="2"/>
        </w:numPr>
        <w:jc w:val="both"/>
        <w:rPr>
          <w:rFonts w:ascii="Arial" w:hAnsi="Arial" w:cs="Arial"/>
        </w:rPr>
      </w:pPr>
      <w:r w:rsidRPr="00872450">
        <w:rPr>
          <w:rFonts w:ascii="Arial" w:hAnsi="Arial" w:cs="Arial"/>
        </w:rPr>
        <w:t xml:space="preserve">Effiong MU, Adeyemi AV. Assessment of </w:t>
      </w:r>
      <w:r w:rsidR="00AA257A" w:rsidRPr="00872450">
        <w:rPr>
          <w:rFonts w:ascii="Arial" w:hAnsi="Arial" w:cs="Arial"/>
        </w:rPr>
        <w:t>microbial loads, species characterization and co</w:t>
      </w:r>
      <w:r w:rsidRPr="00872450">
        <w:rPr>
          <w:rFonts w:ascii="Arial" w:hAnsi="Arial" w:cs="Arial"/>
        </w:rPr>
        <w:t>mposition in Prawn (</w:t>
      </w:r>
      <w:r w:rsidRPr="00872450">
        <w:rPr>
          <w:rFonts w:ascii="Arial" w:hAnsi="Arial" w:cs="Arial"/>
          <w:i/>
        </w:rPr>
        <w:t xml:space="preserve">Macrobrachium </w:t>
      </w:r>
      <w:proofErr w:type="spellStart"/>
      <w:r w:rsidRPr="00872450">
        <w:rPr>
          <w:rFonts w:ascii="Arial" w:hAnsi="Arial" w:cs="Arial"/>
          <w:i/>
        </w:rPr>
        <w:t>vollenhovenii</w:t>
      </w:r>
      <w:proofErr w:type="spellEnd"/>
      <w:r w:rsidR="00AA257A" w:rsidRPr="00872450">
        <w:rPr>
          <w:rFonts w:ascii="Arial" w:hAnsi="Arial" w:cs="Arial"/>
        </w:rPr>
        <w:t>) fillets from major w</w:t>
      </w:r>
      <w:r w:rsidRPr="00872450">
        <w:rPr>
          <w:rFonts w:ascii="Arial" w:hAnsi="Arial" w:cs="Arial"/>
        </w:rPr>
        <w:t>etlands in Akwa Ibom State, Nigeria. J. Appl. Sci. Environ. Manage. 2023;27(11):2643-2649.</w:t>
      </w:r>
    </w:p>
    <w:p w14:paraId="45CD3BCE" w14:textId="77777777" w:rsidR="0054041A" w:rsidRPr="00872450" w:rsidRDefault="0054041A" w:rsidP="0054041A">
      <w:pPr>
        <w:pStyle w:val="ListParagraph"/>
        <w:numPr>
          <w:ilvl w:val="0"/>
          <w:numId w:val="2"/>
        </w:numPr>
        <w:jc w:val="both"/>
        <w:rPr>
          <w:rFonts w:ascii="Arial" w:hAnsi="Arial" w:cs="Arial"/>
        </w:rPr>
      </w:pPr>
      <w:r w:rsidRPr="00872450">
        <w:rPr>
          <w:rFonts w:ascii="Arial" w:hAnsi="Arial" w:cs="Arial"/>
        </w:rPr>
        <w:t xml:space="preserve">Peter BN, Adedeji OB, Okocha RC, Okon EM. Microbial quality of ready-to-eat shrimps </w:t>
      </w:r>
      <w:r w:rsidR="00AA257A" w:rsidRPr="00872450">
        <w:rPr>
          <w:rFonts w:ascii="Arial" w:hAnsi="Arial" w:cs="Arial"/>
        </w:rPr>
        <w:t>from three selected markets in I</w:t>
      </w:r>
      <w:r w:rsidRPr="00872450">
        <w:rPr>
          <w:rFonts w:ascii="Arial" w:hAnsi="Arial" w:cs="Arial"/>
        </w:rPr>
        <w:t>badan. J. Anim. Health Prod. 2023;11(3):296-305.</w:t>
      </w:r>
    </w:p>
    <w:p w14:paraId="6D7C14DE" w14:textId="77777777" w:rsidR="004D7A0E" w:rsidRPr="00872450" w:rsidRDefault="00AA257A" w:rsidP="002A2CE1">
      <w:pPr>
        <w:pStyle w:val="ListParagraph"/>
        <w:numPr>
          <w:ilvl w:val="0"/>
          <w:numId w:val="2"/>
        </w:numPr>
        <w:jc w:val="both"/>
        <w:rPr>
          <w:rFonts w:ascii="Arial" w:hAnsi="Arial" w:cs="Arial"/>
        </w:rPr>
      </w:pPr>
      <w:r w:rsidRPr="00872450">
        <w:rPr>
          <w:rFonts w:ascii="Arial" w:hAnsi="Arial" w:cs="Arial"/>
        </w:rPr>
        <w:t>Adebayo-Tayo</w:t>
      </w:r>
      <w:r w:rsidR="00872450" w:rsidRPr="00872450">
        <w:rPr>
          <w:rFonts w:ascii="Arial" w:hAnsi="Arial" w:cs="Arial"/>
        </w:rPr>
        <w:t xml:space="preserve"> AC, Odu</w:t>
      </w:r>
      <w:r w:rsidRPr="00872450">
        <w:rPr>
          <w:rFonts w:ascii="Arial" w:hAnsi="Arial" w:cs="Arial"/>
        </w:rPr>
        <w:t xml:space="preserve"> NN, Michael MU, </w:t>
      </w:r>
      <w:proofErr w:type="spellStart"/>
      <w:r w:rsidRPr="00872450">
        <w:rPr>
          <w:rFonts w:ascii="Arial" w:hAnsi="Arial" w:cs="Arial"/>
        </w:rPr>
        <w:t>Okonko</w:t>
      </w:r>
      <w:proofErr w:type="spellEnd"/>
      <w:r w:rsidRPr="00872450">
        <w:rPr>
          <w:rFonts w:ascii="Arial" w:hAnsi="Arial" w:cs="Arial"/>
        </w:rPr>
        <w:t xml:space="preserve"> IO. Multi drug </w:t>
      </w:r>
      <w:r w:rsidR="00872450" w:rsidRPr="00872450">
        <w:rPr>
          <w:rFonts w:ascii="Arial" w:hAnsi="Arial" w:cs="Arial"/>
        </w:rPr>
        <w:t>resistant</w:t>
      </w:r>
      <w:r w:rsidRPr="00872450">
        <w:rPr>
          <w:rFonts w:ascii="Arial" w:hAnsi="Arial" w:cs="Arial"/>
        </w:rPr>
        <w:t xml:space="preserve"> (MDR) </w:t>
      </w:r>
      <w:r w:rsidR="00872450" w:rsidRPr="00872450">
        <w:rPr>
          <w:rFonts w:ascii="Arial" w:hAnsi="Arial" w:cs="Arial"/>
        </w:rPr>
        <w:t>organisms</w:t>
      </w:r>
      <w:r w:rsidRPr="00872450">
        <w:rPr>
          <w:rFonts w:ascii="Arial" w:hAnsi="Arial" w:cs="Arial"/>
        </w:rPr>
        <w:t xml:space="preserve"> isolated from sea-foods </w:t>
      </w:r>
      <w:r w:rsidR="00872450" w:rsidRPr="00872450">
        <w:rPr>
          <w:rFonts w:ascii="Arial" w:hAnsi="Arial" w:cs="Arial"/>
        </w:rPr>
        <w:t>in</w:t>
      </w:r>
      <w:r w:rsidRPr="00872450">
        <w:rPr>
          <w:rFonts w:ascii="Arial" w:hAnsi="Arial" w:cs="Arial"/>
        </w:rPr>
        <w:t xml:space="preserve"> </w:t>
      </w:r>
      <w:proofErr w:type="spellStart"/>
      <w:r w:rsidRPr="00872450">
        <w:rPr>
          <w:rFonts w:ascii="Arial" w:hAnsi="Arial" w:cs="Arial"/>
        </w:rPr>
        <w:t>Uyo</w:t>
      </w:r>
      <w:proofErr w:type="spellEnd"/>
      <w:r w:rsidRPr="00872450">
        <w:rPr>
          <w:rFonts w:ascii="Arial" w:hAnsi="Arial" w:cs="Arial"/>
        </w:rPr>
        <w:t>, South-</w:t>
      </w:r>
      <w:r w:rsidR="00872450" w:rsidRPr="00872450">
        <w:rPr>
          <w:rFonts w:ascii="Arial" w:hAnsi="Arial" w:cs="Arial"/>
        </w:rPr>
        <w:t>Southern</w:t>
      </w:r>
      <w:r w:rsidRPr="00872450">
        <w:rPr>
          <w:rFonts w:ascii="Arial" w:hAnsi="Arial" w:cs="Arial"/>
        </w:rPr>
        <w:t xml:space="preserve"> </w:t>
      </w:r>
      <w:r w:rsidR="00872450" w:rsidRPr="00872450">
        <w:rPr>
          <w:rFonts w:ascii="Arial" w:hAnsi="Arial" w:cs="Arial"/>
        </w:rPr>
        <w:t>Nigeria</w:t>
      </w:r>
      <w:r w:rsidRPr="00872450">
        <w:rPr>
          <w:rFonts w:ascii="Arial" w:hAnsi="Arial" w:cs="Arial"/>
        </w:rPr>
        <w:t>. Nature a</w:t>
      </w:r>
      <w:r w:rsidR="00872450" w:rsidRPr="00872450">
        <w:rPr>
          <w:rFonts w:ascii="Arial" w:hAnsi="Arial" w:cs="Arial"/>
        </w:rPr>
        <w:t>n</w:t>
      </w:r>
      <w:r w:rsidRPr="00872450">
        <w:rPr>
          <w:rFonts w:ascii="Arial" w:hAnsi="Arial" w:cs="Arial"/>
        </w:rPr>
        <w:t xml:space="preserve">d </w:t>
      </w:r>
      <w:r w:rsidR="00872450" w:rsidRPr="00872450">
        <w:rPr>
          <w:rFonts w:ascii="Arial" w:hAnsi="Arial" w:cs="Arial"/>
        </w:rPr>
        <w:t>Science</w:t>
      </w:r>
      <w:r w:rsidRPr="00872450">
        <w:rPr>
          <w:rFonts w:ascii="Arial" w:hAnsi="Arial" w:cs="Arial"/>
        </w:rPr>
        <w:t>. 2012;10(3):61-</w:t>
      </w:r>
      <w:r w:rsidR="00872450" w:rsidRPr="00872450">
        <w:rPr>
          <w:rFonts w:ascii="Arial" w:hAnsi="Arial" w:cs="Arial"/>
        </w:rPr>
        <w:t>70.</w:t>
      </w:r>
    </w:p>
    <w:p w14:paraId="4C3969FB" w14:textId="77777777" w:rsidR="00911DCD" w:rsidRPr="00872450" w:rsidRDefault="004D7A0E" w:rsidP="00911DCD">
      <w:pPr>
        <w:pStyle w:val="ListParagraph"/>
        <w:numPr>
          <w:ilvl w:val="0"/>
          <w:numId w:val="2"/>
        </w:numPr>
        <w:jc w:val="both"/>
        <w:rPr>
          <w:rFonts w:ascii="Arial" w:hAnsi="Arial" w:cs="Arial"/>
        </w:rPr>
      </w:pPr>
      <w:r w:rsidRPr="00872450">
        <w:rPr>
          <w:rFonts w:ascii="Arial" w:hAnsi="Arial" w:cs="Arial"/>
        </w:rPr>
        <w:t>Taiwo IO, Olopade OA, B</w:t>
      </w:r>
      <w:r w:rsidR="00872450" w:rsidRPr="00872450">
        <w:rPr>
          <w:rFonts w:ascii="Arial" w:hAnsi="Arial" w:cs="Arial"/>
        </w:rPr>
        <w:t xml:space="preserve">amidele </w:t>
      </w:r>
      <w:r w:rsidR="00AA257A" w:rsidRPr="00872450">
        <w:rPr>
          <w:rFonts w:ascii="Arial" w:hAnsi="Arial" w:cs="Arial"/>
        </w:rPr>
        <w:t>N</w:t>
      </w:r>
      <w:r w:rsidR="00872450" w:rsidRPr="00872450">
        <w:rPr>
          <w:rFonts w:ascii="Arial" w:hAnsi="Arial" w:cs="Arial"/>
        </w:rPr>
        <w:t>A</w:t>
      </w:r>
      <w:r w:rsidRPr="00872450">
        <w:rPr>
          <w:rFonts w:ascii="Arial" w:hAnsi="Arial" w:cs="Arial"/>
        </w:rPr>
        <w:t xml:space="preserve">. </w:t>
      </w:r>
      <w:r w:rsidR="00911DCD" w:rsidRPr="00872450">
        <w:rPr>
          <w:rFonts w:ascii="Arial" w:hAnsi="Arial" w:cs="Arial"/>
        </w:rPr>
        <w:t xml:space="preserve">Microbial load of some imported frozen fish species in Lagos, Nigeria. Nig. J. Anim. Prod. 2017:44(3):152-160.  </w:t>
      </w:r>
    </w:p>
    <w:p w14:paraId="51A39A39" w14:textId="77777777" w:rsidR="00BE5A03" w:rsidRPr="00872450" w:rsidRDefault="00BE5A03" w:rsidP="002A2CE1">
      <w:pPr>
        <w:pStyle w:val="ListParagraph"/>
        <w:numPr>
          <w:ilvl w:val="0"/>
          <w:numId w:val="2"/>
        </w:numPr>
        <w:jc w:val="both"/>
        <w:rPr>
          <w:rFonts w:ascii="Arial" w:hAnsi="Arial" w:cs="Arial"/>
        </w:rPr>
      </w:pPr>
      <w:proofErr w:type="spellStart"/>
      <w:r w:rsidRPr="00872450">
        <w:rPr>
          <w:rFonts w:ascii="Arial" w:hAnsi="Arial" w:cs="Arial"/>
        </w:rPr>
        <w:t>Arungiri</w:t>
      </w:r>
      <w:proofErr w:type="spellEnd"/>
      <w:r w:rsidRPr="00872450">
        <w:rPr>
          <w:rFonts w:ascii="Arial" w:hAnsi="Arial" w:cs="Arial"/>
        </w:rPr>
        <w:t xml:space="preserve"> K, Sivakumar T, Murugan T. Study of </w:t>
      </w:r>
      <w:r w:rsidRPr="00872450">
        <w:rPr>
          <w:rFonts w:ascii="Arial" w:hAnsi="Arial" w:cs="Arial"/>
          <w:i/>
        </w:rPr>
        <w:t>Vibrio</w:t>
      </w:r>
      <w:r w:rsidRPr="00872450">
        <w:rPr>
          <w:rFonts w:ascii="Arial" w:hAnsi="Arial" w:cs="Arial"/>
        </w:rPr>
        <w:t xml:space="preserve"> species and its occurrence in seafood samples. Asian. Journal of </w:t>
      </w:r>
      <w:proofErr w:type="spellStart"/>
      <w:r w:rsidRPr="00872450">
        <w:rPr>
          <w:rFonts w:ascii="Arial" w:hAnsi="Arial" w:cs="Arial"/>
        </w:rPr>
        <w:t>Phamaceutical</w:t>
      </w:r>
      <w:proofErr w:type="spellEnd"/>
      <w:r w:rsidRPr="00872450">
        <w:rPr>
          <w:rFonts w:ascii="Arial" w:hAnsi="Arial" w:cs="Arial"/>
        </w:rPr>
        <w:t xml:space="preserve"> and Clinical Research. 2016;9(1):229-231.</w:t>
      </w:r>
    </w:p>
    <w:p w14:paraId="0C6066F5" w14:textId="77777777" w:rsidR="00BE5A03" w:rsidRPr="00872450" w:rsidRDefault="00BE5A03" w:rsidP="00BE5A03">
      <w:pPr>
        <w:pStyle w:val="ListParagraph"/>
        <w:numPr>
          <w:ilvl w:val="0"/>
          <w:numId w:val="2"/>
        </w:numPr>
        <w:jc w:val="both"/>
        <w:rPr>
          <w:rFonts w:ascii="Arial" w:hAnsi="Arial" w:cs="Arial"/>
        </w:rPr>
      </w:pPr>
      <w:r w:rsidRPr="00872450">
        <w:rPr>
          <w:rFonts w:ascii="Arial" w:hAnsi="Arial" w:cs="Arial"/>
        </w:rPr>
        <w:t>Padovan A, Kennedy K, Rose D, Gibb K. Microbial quality of wild shellfish in a tropical estuary subject to treated effluent discharge, </w:t>
      </w:r>
      <w:r w:rsidRPr="00872450">
        <w:rPr>
          <w:rFonts w:ascii="Arial" w:hAnsi="Arial" w:cs="Arial"/>
          <w:iCs/>
        </w:rPr>
        <w:t>Environmental research</w:t>
      </w:r>
      <w:r w:rsidRPr="00872450">
        <w:rPr>
          <w:rFonts w:ascii="Arial" w:hAnsi="Arial" w:cs="Arial"/>
        </w:rPr>
        <w:t>. </w:t>
      </w:r>
      <w:proofErr w:type="gramStart"/>
      <w:r w:rsidRPr="00872450">
        <w:rPr>
          <w:rFonts w:ascii="Arial" w:hAnsi="Arial" w:cs="Arial"/>
        </w:rPr>
        <w:t>2020;</w:t>
      </w:r>
      <w:r w:rsidRPr="00872450">
        <w:rPr>
          <w:rFonts w:ascii="Arial" w:hAnsi="Arial" w:cs="Arial"/>
          <w:iCs/>
        </w:rPr>
        <w:t>181</w:t>
      </w:r>
      <w:r w:rsidRPr="00872450">
        <w:rPr>
          <w:rFonts w:ascii="Arial" w:hAnsi="Arial" w:cs="Arial"/>
        </w:rPr>
        <w:t>:108921</w:t>
      </w:r>
      <w:proofErr w:type="gramEnd"/>
      <w:r w:rsidRPr="00872450">
        <w:rPr>
          <w:rFonts w:ascii="Arial" w:hAnsi="Arial" w:cs="Arial"/>
        </w:rPr>
        <w:t xml:space="preserve">. </w:t>
      </w:r>
    </w:p>
    <w:p w14:paraId="695A8E35" w14:textId="77777777" w:rsidR="005C6D9C" w:rsidRPr="00872450" w:rsidRDefault="00A93BA9" w:rsidP="002A2CE1">
      <w:pPr>
        <w:pStyle w:val="ListParagraph"/>
        <w:numPr>
          <w:ilvl w:val="0"/>
          <w:numId w:val="2"/>
        </w:numPr>
        <w:jc w:val="both"/>
        <w:rPr>
          <w:rFonts w:ascii="Arial" w:hAnsi="Arial" w:cs="Arial"/>
        </w:rPr>
      </w:pPr>
      <w:proofErr w:type="spellStart"/>
      <w:r w:rsidRPr="00872450">
        <w:rPr>
          <w:rFonts w:ascii="Arial" w:hAnsi="Arial" w:cs="Arial"/>
        </w:rPr>
        <w:t>Batvari</w:t>
      </w:r>
      <w:proofErr w:type="spellEnd"/>
      <w:r w:rsidRPr="00872450">
        <w:rPr>
          <w:rFonts w:ascii="Arial" w:hAnsi="Arial" w:cs="Arial"/>
        </w:rPr>
        <w:t xml:space="preserve"> BPD, Sivakumar S, Shanthi K, Lee KJ, Oh BT, Krishnamoorthy RR, Kamala-Kannan S.</w:t>
      </w:r>
      <w:r w:rsidR="005C6D9C" w:rsidRPr="00872450">
        <w:rPr>
          <w:rFonts w:ascii="Arial" w:hAnsi="Arial" w:cs="Arial"/>
        </w:rPr>
        <w:t xml:space="preserve"> Heavy metals accumulation in Crabs and </w:t>
      </w:r>
      <w:proofErr w:type="spellStart"/>
      <w:r w:rsidR="005C6D9C" w:rsidRPr="00872450">
        <w:rPr>
          <w:rFonts w:ascii="Arial" w:hAnsi="Arial" w:cs="Arial"/>
        </w:rPr>
        <w:t>Shrimpss</w:t>
      </w:r>
      <w:proofErr w:type="spellEnd"/>
      <w:r w:rsidR="005C6D9C" w:rsidRPr="00872450">
        <w:rPr>
          <w:rFonts w:ascii="Arial" w:hAnsi="Arial" w:cs="Arial"/>
        </w:rPr>
        <w:t xml:space="preserve"> from </w:t>
      </w:r>
      <w:proofErr w:type="spellStart"/>
      <w:r w:rsidR="005C6D9C" w:rsidRPr="00872450">
        <w:rPr>
          <w:rFonts w:ascii="Arial" w:hAnsi="Arial" w:cs="Arial"/>
        </w:rPr>
        <w:t>Pulicat</w:t>
      </w:r>
      <w:proofErr w:type="spellEnd"/>
      <w:r w:rsidR="005C6D9C" w:rsidRPr="00872450">
        <w:rPr>
          <w:rFonts w:ascii="Arial" w:hAnsi="Arial" w:cs="Arial"/>
        </w:rPr>
        <w:t xml:space="preserve"> lake, </w:t>
      </w:r>
      <w:r w:rsidRPr="00872450">
        <w:rPr>
          <w:rFonts w:ascii="Arial" w:hAnsi="Arial" w:cs="Arial"/>
        </w:rPr>
        <w:t xml:space="preserve">North </w:t>
      </w:r>
      <w:r w:rsidR="005C6D9C" w:rsidRPr="00872450">
        <w:rPr>
          <w:rFonts w:ascii="Arial" w:hAnsi="Arial" w:cs="Arial"/>
        </w:rPr>
        <w:t>Chennai coastal r</w:t>
      </w:r>
      <w:r w:rsidRPr="00872450">
        <w:rPr>
          <w:rFonts w:ascii="Arial" w:hAnsi="Arial" w:cs="Arial"/>
        </w:rPr>
        <w:t>egion, southeast coast of India,</w:t>
      </w:r>
      <w:r w:rsidR="005C6D9C" w:rsidRPr="00872450">
        <w:rPr>
          <w:rFonts w:ascii="Arial" w:hAnsi="Arial" w:cs="Arial"/>
        </w:rPr>
        <w:t> </w:t>
      </w:r>
      <w:r w:rsidRPr="00872450">
        <w:rPr>
          <w:rFonts w:ascii="Arial" w:hAnsi="Arial" w:cs="Arial"/>
          <w:iCs/>
        </w:rPr>
        <w:t>Toxicology and Industrial H</w:t>
      </w:r>
      <w:r w:rsidR="005C6D9C" w:rsidRPr="00872450">
        <w:rPr>
          <w:rFonts w:ascii="Arial" w:hAnsi="Arial" w:cs="Arial"/>
          <w:iCs/>
        </w:rPr>
        <w:t>ealth</w:t>
      </w:r>
      <w:r w:rsidRPr="00872450">
        <w:rPr>
          <w:rFonts w:ascii="Arial" w:hAnsi="Arial" w:cs="Arial"/>
        </w:rPr>
        <w:t>.</w:t>
      </w:r>
      <w:r w:rsidR="005C6D9C" w:rsidRPr="00872450">
        <w:rPr>
          <w:rFonts w:ascii="Arial" w:hAnsi="Arial" w:cs="Arial"/>
        </w:rPr>
        <w:t> </w:t>
      </w:r>
      <w:r w:rsidRPr="00872450">
        <w:rPr>
          <w:rFonts w:ascii="Arial" w:hAnsi="Arial" w:cs="Arial"/>
        </w:rPr>
        <w:t>2016;</w:t>
      </w:r>
      <w:r w:rsidR="005C6D9C" w:rsidRPr="00872450">
        <w:rPr>
          <w:rFonts w:ascii="Arial" w:hAnsi="Arial" w:cs="Arial"/>
          <w:iCs/>
        </w:rPr>
        <w:t>32</w:t>
      </w:r>
      <w:r w:rsidRPr="00872450">
        <w:rPr>
          <w:rFonts w:ascii="Arial" w:hAnsi="Arial" w:cs="Arial"/>
        </w:rPr>
        <w:t>(1):</w:t>
      </w:r>
      <w:r w:rsidR="005C6D9C" w:rsidRPr="00872450">
        <w:rPr>
          <w:rFonts w:ascii="Arial" w:hAnsi="Arial" w:cs="Arial"/>
        </w:rPr>
        <w:t xml:space="preserve">1-6. </w:t>
      </w:r>
    </w:p>
    <w:p w14:paraId="520E72DA" w14:textId="77777777" w:rsidR="005C6D9C" w:rsidRPr="00872450" w:rsidRDefault="00A93BA9" w:rsidP="002A2CE1">
      <w:pPr>
        <w:pStyle w:val="ListParagraph"/>
        <w:numPr>
          <w:ilvl w:val="0"/>
          <w:numId w:val="2"/>
        </w:numPr>
        <w:jc w:val="both"/>
        <w:rPr>
          <w:rFonts w:ascii="Arial" w:hAnsi="Arial" w:cs="Arial"/>
        </w:rPr>
      </w:pPr>
      <w:r w:rsidRPr="00872450">
        <w:rPr>
          <w:rFonts w:ascii="Arial" w:hAnsi="Arial" w:cs="Arial"/>
        </w:rPr>
        <w:t xml:space="preserve">Chioma DL, Okechukwu ND, </w:t>
      </w:r>
      <w:proofErr w:type="spellStart"/>
      <w:r w:rsidRPr="00872450">
        <w:rPr>
          <w:rFonts w:ascii="Arial" w:hAnsi="Arial" w:cs="Arial"/>
        </w:rPr>
        <w:t>Reminus</w:t>
      </w:r>
      <w:proofErr w:type="spellEnd"/>
      <w:r w:rsidRPr="00872450">
        <w:rPr>
          <w:rFonts w:ascii="Arial" w:hAnsi="Arial" w:cs="Arial"/>
        </w:rPr>
        <w:t xml:space="preserve"> O.</w:t>
      </w:r>
      <w:r w:rsidR="005C6D9C" w:rsidRPr="00872450">
        <w:rPr>
          <w:rFonts w:ascii="Arial" w:hAnsi="Arial" w:cs="Arial"/>
        </w:rPr>
        <w:t xml:space="preserve"> Determination of heavy metals in salt water Periwinkles and fresh water Periwinkles</w:t>
      </w:r>
      <w:r w:rsidRPr="00872450">
        <w:rPr>
          <w:rFonts w:ascii="Arial" w:hAnsi="Arial" w:cs="Arial"/>
        </w:rPr>
        <w:t xml:space="preserve"> in Port-Harcourt, Rivers-State,</w:t>
      </w:r>
      <w:r w:rsidR="005C6D9C" w:rsidRPr="00872450">
        <w:rPr>
          <w:rFonts w:ascii="Arial" w:hAnsi="Arial" w:cs="Arial"/>
        </w:rPr>
        <w:t> </w:t>
      </w:r>
      <w:r w:rsidR="005C6D9C" w:rsidRPr="00872450">
        <w:rPr>
          <w:rFonts w:ascii="Arial" w:hAnsi="Arial" w:cs="Arial"/>
          <w:iCs/>
        </w:rPr>
        <w:t>Scholars Int J Chem Mater Sci</w:t>
      </w:r>
      <w:r w:rsidRPr="00872450">
        <w:rPr>
          <w:rFonts w:ascii="Arial" w:hAnsi="Arial" w:cs="Arial"/>
        </w:rPr>
        <w:t>.</w:t>
      </w:r>
      <w:r w:rsidR="005C6D9C" w:rsidRPr="00872450">
        <w:rPr>
          <w:rFonts w:ascii="Arial" w:hAnsi="Arial" w:cs="Arial"/>
        </w:rPr>
        <w:t> </w:t>
      </w:r>
      <w:r w:rsidRPr="00872450">
        <w:rPr>
          <w:rFonts w:ascii="Arial" w:hAnsi="Arial" w:cs="Arial"/>
        </w:rPr>
        <w:t>2021;</w:t>
      </w:r>
      <w:r w:rsidR="005C6D9C" w:rsidRPr="00872450">
        <w:rPr>
          <w:rFonts w:ascii="Arial" w:hAnsi="Arial" w:cs="Arial"/>
          <w:iCs/>
        </w:rPr>
        <w:t>4</w:t>
      </w:r>
      <w:r w:rsidRPr="00872450">
        <w:rPr>
          <w:rFonts w:ascii="Arial" w:hAnsi="Arial" w:cs="Arial"/>
        </w:rPr>
        <w:t>(1):</w:t>
      </w:r>
      <w:r w:rsidR="00BD4732" w:rsidRPr="00872450">
        <w:rPr>
          <w:rFonts w:ascii="Arial" w:hAnsi="Arial" w:cs="Arial"/>
        </w:rPr>
        <w:t xml:space="preserve">1-5. </w:t>
      </w:r>
    </w:p>
    <w:p w14:paraId="0F58E8BE" w14:textId="77777777" w:rsidR="00D67D1D" w:rsidRPr="00872450" w:rsidRDefault="002147CA" w:rsidP="002147CA">
      <w:pPr>
        <w:pStyle w:val="ListParagraph"/>
        <w:numPr>
          <w:ilvl w:val="0"/>
          <w:numId w:val="2"/>
        </w:numPr>
        <w:jc w:val="both"/>
        <w:rPr>
          <w:rFonts w:ascii="Arial" w:hAnsi="Arial" w:cs="Arial"/>
        </w:rPr>
      </w:pPr>
      <w:r w:rsidRPr="00872450">
        <w:rPr>
          <w:rFonts w:ascii="Arial" w:hAnsi="Arial" w:cs="Arial"/>
        </w:rPr>
        <w:t>JECFA (Joint Expert Committee on Food Additives). Summary and conclusions of the 61st meeting of the Joint FAO/WHO Expert Committee on Food Additives (JECFA). JECFA/61/SC, Rome, Italy. 2003.</w:t>
      </w:r>
    </w:p>
    <w:p w14:paraId="60E588CE" w14:textId="77777777" w:rsidR="00D67D1D" w:rsidRPr="00872450" w:rsidRDefault="00D67D1D" w:rsidP="00D67D1D">
      <w:pPr>
        <w:pStyle w:val="ListParagraph"/>
        <w:numPr>
          <w:ilvl w:val="0"/>
          <w:numId w:val="2"/>
        </w:numPr>
        <w:jc w:val="both"/>
        <w:rPr>
          <w:rFonts w:ascii="Arial" w:hAnsi="Arial" w:cs="Arial"/>
          <w:shd w:val="clear" w:color="auto" w:fill="FFFFFF"/>
        </w:rPr>
      </w:pPr>
      <w:r w:rsidRPr="00872450">
        <w:rPr>
          <w:rFonts w:ascii="Arial" w:hAnsi="Arial" w:cs="Arial"/>
          <w:shd w:val="clear" w:color="auto" w:fill="FFFFFF"/>
        </w:rPr>
        <w:t xml:space="preserve">Ahmed S, Uddin MF, Hossain MS, Jubair A, Islam MN, Rahman M. Heavy metals contamination in shrimp and crab from southwest regions in Bangladesh: Possible health risk assessment. </w:t>
      </w:r>
      <w:proofErr w:type="spellStart"/>
      <w:r w:rsidRPr="00872450">
        <w:rPr>
          <w:rFonts w:ascii="Arial" w:hAnsi="Arial" w:cs="Arial"/>
          <w:shd w:val="clear" w:color="auto" w:fill="FFFFFF"/>
        </w:rPr>
        <w:t>Toxicol</w:t>
      </w:r>
      <w:proofErr w:type="spellEnd"/>
      <w:r w:rsidRPr="00872450">
        <w:rPr>
          <w:rFonts w:ascii="Arial" w:hAnsi="Arial" w:cs="Arial"/>
          <w:shd w:val="clear" w:color="auto" w:fill="FFFFFF"/>
        </w:rPr>
        <w:t xml:space="preserve"> Rep. 2023, 10:580-588.</w:t>
      </w:r>
    </w:p>
    <w:p w14:paraId="60BE211F" w14:textId="77777777" w:rsidR="00D67D1D" w:rsidRPr="00872450" w:rsidRDefault="00D67D1D" w:rsidP="00D67D1D">
      <w:pPr>
        <w:pStyle w:val="ListParagraph"/>
        <w:numPr>
          <w:ilvl w:val="0"/>
          <w:numId w:val="2"/>
        </w:numPr>
        <w:jc w:val="both"/>
        <w:rPr>
          <w:rFonts w:ascii="Arial" w:hAnsi="Arial" w:cs="Arial"/>
          <w:shd w:val="clear" w:color="auto" w:fill="FFFFFF"/>
        </w:rPr>
      </w:pPr>
      <w:r w:rsidRPr="00872450">
        <w:rPr>
          <w:rFonts w:ascii="Arial" w:hAnsi="Arial" w:cs="Arial"/>
        </w:rPr>
        <w:t xml:space="preserve">Sharma, S. D. (2020). Risk assessment via oral and dermal pathways from heavy metal polluted water of </w:t>
      </w:r>
      <w:proofErr w:type="spellStart"/>
      <w:r w:rsidRPr="00872450">
        <w:rPr>
          <w:rFonts w:ascii="Arial" w:hAnsi="Arial" w:cs="Arial"/>
        </w:rPr>
        <w:t>Kolleru</w:t>
      </w:r>
      <w:proofErr w:type="spellEnd"/>
      <w:r w:rsidRPr="00872450">
        <w:rPr>
          <w:rFonts w:ascii="Arial" w:hAnsi="Arial" w:cs="Arial"/>
        </w:rPr>
        <w:t xml:space="preserve"> Lake - A Ramsar wetland in Andhra Pradesh, India. Environmental Analysis Health and Toxicology, 35(3): e2020019</w:t>
      </w:r>
    </w:p>
    <w:p w14:paraId="79099DBE" w14:textId="77777777" w:rsidR="00D67D1D" w:rsidRPr="00872450" w:rsidRDefault="001A54B1" w:rsidP="00D67D1D">
      <w:pPr>
        <w:pStyle w:val="ListParagraph"/>
        <w:numPr>
          <w:ilvl w:val="0"/>
          <w:numId w:val="2"/>
        </w:numPr>
        <w:jc w:val="both"/>
        <w:rPr>
          <w:rFonts w:ascii="Arial" w:hAnsi="Arial" w:cs="Arial"/>
          <w:shd w:val="clear" w:color="auto" w:fill="FFFFFF"/>
        </w:rPr>
      </w:pPr>
      <w:r w:rsidRPr="00872450">
        <w:rPr>
          <w:rFonts w:ascii="Arial" w:hAnsi="Arial" w:cs="Arial"/>
        </w:rPr>
        <w:t>Sarker MJ, Rima NN, Sultan N</w:t>
      </w:r>
      <w:r w:rsidR="00D67D1D" w:rsidRPr="00872450">
        <w:rPr>
          <w:rFonts w:ascii="Arial" w:hAnsi="Arial" w:cs="Arial"/>
        </w:rPr>
        <w:t>. Human health risk assessment with reference to the consumption of shrimp and marine fish. Pakistan</w:t>
      </w:r>
      <w:r w:rsidRPr="00872450">
        <w:rPr>
          <w:rFonts w:ascii="Arial" w:hAnsi="Arial" w:cs="Arial"/>
        </w:rPr>
        <w:t xml:space="preserve"> Journal of Biological Sciences.</w:t>
      </w:r>
      <w:r w:rsidR="00D67D1D" w:rsidRPr="00872450">
        <w:rPr>
          <w:rFonts w:ascii="Arial" w:hAnsi="Arial" w:cs="Arial"/>
        </w:rPr>
        <w:t xml:space="preserve"> </w:t>
      </w:r>
      <w:proofErr w:type="gramStart"/>
      <w:r w:rsidRPr="00872450">
        <w:rPr>
          <w:rFonts w:ascii="Arial" w:hAnsi="Arial" w:cs="Arial"/>
        </w:rPr>
        <w:t>2020;23:</w:t>
      </w:r>
      <w:r w:rsidR="00D67D1D" w:rsidRPr="00872450">
        <w:rPr>
          <w:rFonts w:ascii="Arial" w:hAnsi="Arial" w:cs="Arial"/>
        </w:rPr>
        <w:t>1291</w:t>
      </w:r>
      <w:proofErr w:type="gramEnd"/>
      <w:r w:rsidR="00D67D1D" w:rsidRPr="00872450">
        <w:rPr>
          <w:rFonts w:ascii="Arial" w:hAnsi="Arial" w:cs="Arial"/>
        </w:rPr>
        <w:t xml:space="preserve"> – 1302. </w:t>
      </w:r>
    </w:p>
    <w:p w14:paraId="00F5690E" w14:textId="77777777" w:rsidR="00D67D1D" w:rsidRPr="00872450" w:rsidRDefault="001A54B1" w:rsidP="002147CA">
      <w:pPr>
        <w:pStyle w:val="ListParagraph"/>
        <w:numPr>
          <w:ilvl w:val="0"/>
          <w:numId w:val="2"/>
        </w:numPr>
        <w:jc w:val="both"/>
        <w:rPr>
          <w:rFonts w:ascii="Arial" w:hAnsi="Arial" w:cs="Arial"/>
          <w:shd w:val="clear" w:color="auto" w:fill="FFFFFF"/>
        </w:rPr>
      </w:pPr>
      <w:r w:rsidRPr="00872450">
        <w:rPr>
          <w:rFonts w:ascii="Arial" w:hAnsi="Arial" w:cs="Arial"/>
        </w:rPr>
        <w:t>Davies CI, Anyanwu ED</w:t>
      </w:r>
      <w:r w:rsidR="002147CA" w:rsidRPr="00872450">
        <w:rPr>
          <w:rFonts w:ascii="Arial" w:hAnsi="Arial" w:cs="Arial"/>
        </w:rPr>
        <w:t xml:space="preserve">. Assessment of some Heavy Metals and Health Risks in Water and Shrimps from a Polluted Mangrove Swamp, Niger Delta, Nigeria. Pollution, </w:t>
      </w:r>
      <w:r w:rsidRPr="00872450">
        <w:rPr>
          <w:rFonts w:ascii="Arial" w:hAnsi="Arial" w:cs="Arial"/>
        </w:rPr>
        <w:t>2023;9 (4):</w:t>
      </w:r>
      <w:r w:rsidR="002147CA" w:rsidRPr="00872450">
        <w:rPr>
          <w:rFonts w:ascii="Arial" w:hAnsi="Arial" w:cs="Arial"/>
        </w:rPr>
        <w:t>1653-1665.</w:t>
      </w:r>
    </w:p>
    <w:p w14:paraId="61CBE845" w14:textId="77777777" w:rsidR="004B42A5" w:rsidRPr="00872450" w:rsidRDefault="004B42A5" w:rsidP="00AB1AF8">
      <w:pPr>
        <w:pStyle w:val="ListParagraph"/>
        <w:numPr>
          <w:ilvl w:val="0"/>
          <w:numId w:val="2"/>
        </w:numPr>
        <w:jc w:val="both"/>
        <w:rPr>
          <w:rFonts w:ascii="Arial" w:hAnsi="Arial" w:cs="Arial"/>
        </w:rPr>
      </w:pPr>
      <w:r w:rsidRPr="00872450">
        <w:rPr>
          <w:rFonts w:ascii="Arial" w:hAnsi="Arial" w:cs="Arial"/>
        </w:rPr>
        <w:t>Ain SNU</w:t>
      </w:r>
      <w:r w:rsidR="00AB1AF8" w:rsidRPr="00872450">
        <w:rPr>
          <w:rFonts w:ascii="Arial" w:hAnsi="Arial" w:cs="Arial"/>
        </w:rPr>
        <w:t xml:space="preserve">, </w:t>
      </w:r>
      <w:r w:rsidRPr="00872450">
        <w:rPr>
          <w:rFonts w:ascii="Arial" w:hAnsi="Arial" w:cs="Arial"/>
        </w:rPr>
        <w:t>Abbasi</w:t>
      </w:r>
      <w:r w:rsidR="00AB1AF8" w:rsidRPr="00872450">
        <w:rPr>
          <w:rFonts w:ascii="Arial" w:hAnsi="Arial" w:cs="Arial"/>
        </w:rPr>
        <w:t xml:space="preserve"> AM, </w:t>
      </w:r>
      <w:r w:rsidRPr="00872450">
        <w:rPr>
          <w:rFonts w:ascii="Arial" w:hAnsi="Arial" w:cs="Arial"/>
        </w:rPr>
        <w:t>Ajab</w:t>
      </w:r>
      <w:r w:rsidR="00AB1AF8" w:rsidRPr="00872450">
        <w:rPr>
          <w:rFonts w:ascii="Arial" w:hAnsi="Arial" w:cs="Arial"/>
        </w:rPr>
        <w:t xml:space="preserve"> </w:t>
      </w:r>
      <w:proofErr w:type="gramStart"/>
      <w:r w:rsidR="00AB1AF8" w:rsidRPr="00872450">
        <w:rPr>
          <w:rFonts w:ascii="Arial" w:hAnsi="Arial" w:cs="Arial"/>
        </w:rPr>
        <w:t xml:space="preserve">H,  </w:t>
      </w:r>
      <w:proofErr w:type="spellStart"/>
      <w:r w:rsidR="00AB1AF8" w:rsidRPr="00872450">
        <w:rPr>
          <w:rFonts w:ascii="Arial" w:hAnsi="Arial" w:cs="Arial"/>
        </w:rPr>
        <w:t>Faridullah</w:t>
      </w:r>
      <w:proofErr w:type="spellEnd"/>
      <w:proofErr w:type="gramEnd"/>
      <w:r w:rsidR="00AB1AF8" w:rsidRPr="00872450">
        <w:rPr>
          <w:rFonts w:ascii="Arial" w:hAnsi="Arial" w:cs="Arial"/>
        </w:rPr>
        <w:t xml:space="preserve">, </w:t>
      </w:r>
      <w:r w:rsidRPr="00872450">
        <w:rPr>
          <w:rFonts w:ascii="Arial" w:hAnsi="Arial" w:cs="Arial"/>
        </w:rPr>
        <w:t>Khan</w:t>
      </w:r>
      <w:r w:rsidR="00AB1AF8" w:rsidRPr="00872450">
        <w:rPr>
          <w:rFonts w:ascii="Arial" w:hAnsi="Arial" w:cs="Arial"/>
        </w:rPr>
        <w:t xml:space="preserve"> S, </w:t>
      </w:r>
      <w:r w:rsidRPr="00872450">
        <w:rPr>
          <w:rFonts w:ascii="Arial" w:hAnsi="Arial" w:cs="Arial"/>
        </w:rPr>
        <w:t>Yaqub</w:t>
      </w:r>
      <w:r w:rsidR="00AB1AF8" w:rsidRPr="00872450">
        <w:rPr>
          <w:rFonts w:ascii="Arial" w:hAnsi="Arial" w:cs="Arial"/>
        </w:rPr>
        <w:t xml:space="preserve"> A.</w:t>
      </w:r>
      <w:r w:rsidRPr="00872450">
        <w:rPr>
          <w:rFonts w:ascii="Arial" w:hAnsi="Arial" w:cs="Arial"/>
        </w:rPr>
        <w:t xml:space="preserve"> Assessment of arsenic in Mangifera Indica (Mango) contaminated by artificial ripening agent: Target hazard quotient (THQ), health risk index (HRI) and estimated daily intake (EDI), </w:t>
      </w:r>
      <w:r w:rsidR="00AB1AF8" w:rsidRPr="00872450">
        <w:rPr>
          <w:rFonts w:ascii="Arial" w:hAnsi="Arial" w:cs="Arial"/>
        </w:rPr>
        <w:t>Food Chemistry Advances.</w:t>
      </w:r>
      <w:r w:rsidRPr="00872450">
        <w:rPr>
          <w:rFonts w:ascii="Arial" w:hAnsi="Arial" w:cs="Arial"/>
        </w:rPr>
        <w:t xml:space="preserve"> </w:t>
      </w:r>
      <w:proofErr w:type="gramStart"/>
      <w:r w:rsidRPr="00872450">
        <w:rPr>
          <w:rFonts w:ascii="Arial" w:hAnsi="Arial" w:cs="Arial"/>
        </w:rPr>
        <w:t>2023;3:100468</w:t>
      </w:r>
      <w:proofErr w:type="gramEnd"/>
      <w:r w:rsidRPr="00872450">
        <w:rPr>
          <w:rFonts w:ascii="Arial" w:hAnsi="Arial" w:cs="Arial"/>
        </w:rPr>
        <w:t>.</w:t>
      </w:r>
    </w:p>
    <w:p w14:paraId="669A8305" w14:textId="77777777" w:rsidR="00AB1AF8" w:rsidRPr="00872450" w:rsidRDefault="00AB1AF8" w:rsidP="00AB1AF8">
      <w:pPr>
        <w:pStyle w:val="ListParagraph"/>
        <w:numPr>
          <w:ilvl w:val="0"/>
          <w:numId w:val="2"/>
        </w:numPr>
        <w:jc w:val="both"/>
        <w:rPr>
          <w:rFonts w:ascii="Arial" w:hAnsi="Arial" w:cs="Arial"/>
        </w:rPr>
      </w:pPr>
      <w:r w:rsidRPr="00872450">
        <w:rPr>
          <w:rFonts w:ascii="Arial" w:hAnsi="Arial" w:cs="Arial"/>
        </w:rPr>
        <w:t>Pokorska-</w:t>
      </w:r>
      <w:proofErr w:type="spellStart"/>
      <w:r w:rsidRPr="00872450">
        <w:rPr>
          <w:rFonts w:ascii="Arial" w:hAnsi="Arial" w:cs="Arial"/>
        </w:rPr>
        <w:t>Niewiada</w:t>
      </w:r>
      <w:proofErr w:type="spellEnd"/>
      <w:r w:rsidRPr="00872450">
        <w:rPr>
          <w:rFonts w:ascii="Arial" w:hAnsi="Arial" w:cs="Arial"/>
        </w:rPr>
        <w:t xml:space="preserve"> K, Witczak A, </w:t>
      </w:r>
      <w:proofErr w:type="spellStart"/>
      <w:r w:rsidRPr="00872450">
        <w:rPr>
          <w:rFonts w:ascii="Arial" w:hAnsi="Arial" w:cs="Arial"/>
        </w:rPr>
        <w:t>Protasowicki</w:t>
      </w:r>
      <w:proofErr w:type="spellEnd"/>
      <w:r w:rsidRPr="00872450">
        <w:rPr>
          <w:rFonts w:ascii="Arial" w:hAnsi="Arial" w:cs="Arial"/>
        </w:rPr>
        <w:t xml:space="preserve"> M, Cybulski J. Estimation of Target Hazard Quotients and Potential Health Risks for Toxic Metals and Other Trace Elements by Consumption of Female Fish Gonads and Testicles, Int J Environ Res Public Health. 2022;19(5):2762.</w:t>
      </w:r>
    </w:p>
    <w:p w14:paraId="50A147F5" w14:textId="77777777" w:rsidR="004E6FA3" w:rsidRPr="00872450" w:rsidRDefault="004E6FA3" w:rsidP="00AB1AF8">
      <w:pPr>
        <w:pStyle w:val="ListParagraph"/>
        <w:numPr>
          <w:ilvl w:val="0"/>
          <w:numId w:val="2"/>
        </w:numPr>
        <w:jc w:val="both"/>
        <w:rPr>
          <w:rFonts w:ascii="Arial" w:hAnsi="Arial" w:cs="Arial"/>
        </w:rPr>
      </w:pPr>
      <w:r w:rsidRPr="00872450">
        <w:rPr>
          <w:rFonts w:ascii="Arial" w:hAnsi="Arial" w:cs="Arial"/>
        </w:rPr>
        <w:t>Shaheen</w:t>
      </w:r>
      <w:r w:rsidR="001C1F6E" w:rsidRPr="00872450">
        <w:rPr>
          <w:rFonts w:ascii="Arial" w:hAnsi="Arial" w:cs="Arial"/>
        </w:rPr>
        <w:t xml:space="preserve"> N, </w:t>
      </w:r>
      <w:r w:rsidRPr="00872450">
        <w:rPr>
          <w:rFonts w:ascii="Arial" w:hAnsi="Arial" w:cs="Arial"/>
        </w:rPr>
        <w:t>Irfan</w:t>
      </w:r>
      <w:r w:rsidR="001C1F6E" w:rsidRPr="00872450">
        <w:rPr>
          <w:rFonts w:ascii="Arial" w:hAnsi="Arial" w:cs="Arial"/>
        </w:rPr>
        <w:t xml:space="preserve"> N.M, </w:t>
      </w:r>
      <w:r w:rsidRPr="00872450">
        <w:rPr>
          <w:rFonts w:ascii="Arial" w:hAnsi="Arial" w:cs="Arial"/>
        </w:rPr>
        <w:t>Khan</w:t>
      </w:r>
      <w:r w:rsidR="001C1F6E" w:rsidRPr="00872450">
        <w:rPr>
          <w:rFonts w:ascii="Arial" w:hAnsi="Arial" w:cs="Arial"/>
        </w:rPr>
        <w:t xml:space="preserve"> IN,</w:t>
      </w:r>
      <w:r w:rsidRPr="00872450">
        <w:rPr>
          <w:rFonts w:ascii="Arial" w:hAnsi="Arial" w:cs="Arial"/>
        </w:rPr>
        <w:t xml:space="preserve"> Islam</w:t>
      </w:r>
      <w:r w:rsidR="001C1F6E" w:rsidRPr="00872450">
        <w:rPr>
          <w:rFonts w:ascii="Arial" w:hAnsi="Arial" w:cs="Arial"/>
        </w:rPr>
        <w:t xml:space="preserve"> S, </w:t>
      </w:r>
      <w:r w:rsidRPr="00872450">
        <w:rPr>
          <w:rFonts w:ascii="Arial" w:hAnsi="Arial" w:cs="Arial"/>
        </w:rPr>
        <w:t>Islam</w:t>
      </w:r>
      <w:r w:rsidR="001C1F6E" w:rsidRPr="00872450">
        <w:rPr>
          <w:rFonts w:ascii="Arial" w:hAnsi="Arial" w:cs="Arial"/>
        </w:rPr>
        <w:t xml:space="preserve"> MS, </w:t>
      </w:r>
      <w:r w:rsidRPr="00872450">
        <w:rPr>
          <w:rFonts w:ascii="Arial" w:hAnsi="Arial" w:cs="Arial"/>
        </w:rPr>
        <w:t>Ahmed</w:t>
      </w:r>
      <w:r w:rsidR="001C1F6E" w:rsidRPr="00872450">
        <w:rPr>
          <w:rFonts w:ascii="Arial" w:hAnsi="Arial" w:cs="Arial"/>
        </w:rPr>
        <w:t xml:space="preserve"> MK</w:t>
      </w:r>
      <w:r w:rsidRPr="00872450">
        <w:rPr>
          <w:rFonts w:ascii="Arial" w:hAnsi="Arial" w:cs="Arial"/>
        </w:rPr>
        <w:t>. Presence of heavy metals in fruits and vegetables: Health risk implications in Bangladesh, Chemosphere.</w:t>
      </w:r>
      <w:r w:rsidR="001C1F6E" w:rsidRPr="00872450">
        <w:rPr>
          <w:rFonts w:ascii="Arial" w:hAnsi="Arial" w:cs="Arial"/>
        </w:rPr>
        <w:t xml:space="preserve"> </w:t>
      </w:r>
      <w:proofErr w:type="gramStart"/>
      <w:r w:rsidRPr="00872450">
        <w:rPr>
          <w:rFonts w:ascii="Arial" w:hAnsi="Arial" w:cs="Arial"/>
        </w:rPr>
        <w:t>2016;152:431</w:t>
      </w:r>
      <w:proofErr w:type="gramEnd"/>
      <w:r w:rsidRPr="00872450">
        <w:rPr>
          <w:rFonts w:ascii="Arial" w:hAnsi="Arial" w:cs="Arial"/>
        </w:rPr>
        <w:t>-438.</w:t>
      </w:r>
    </w:p>
    <w:p w14:paraId="5652667B" w14:textId="77777777" w:rsidR="004E6FA3" w:rsidRPr="00872450" w:rsidRDefault="001C1F6E" w:rsidP="00AB1AF8">
      <w:pPr>
        <w:pStyle w:val="ListParagraph"/>
        <w:numPr>
          <w:ilvl w:val="0"/>
          <w:numId w:val="2"/>
        </w:numPr>
        <w:jc w:val="both"/>
        <w:rPr>
          <w:rFonts w:ascii="Arial" w:hAnsi="Arial" w:cs="Arial"/>
        </w:rPr>
      </w:pPr>
      <w:r w:rsidRPr="00872450">
        <w:rPr>
          <w:rFonts w:ascii="Arial" w:hAnsi="Arial" w:cs="Arial"/>
        </w:rPr>
        <w:t xml:space="preserve">Wang Q, Liu J, </w:t>
      </w:r>
      <w:r w:rsidR="004E6FA3" w:rsidRPr="00872450">
        <w:rPr>
          <w:rFonts w:ascii="Arial" w:hAnsi="Arial" w:cs="Arial"/>
        </w:rPr>
        <w:t>Cheng</w:t>
      </w:r>
      <w:r w:rsidRPr="00872450">
        <w:rPr>
          <w:rFonts w:ascii="Arial" w:hAnsi="Arial" w:cs="Arial"/>
        </w:rPr>
        <w:t xml:space="preserve"> S. </w:t>
      </w:r>
      <w:r w:rsidR="004E6FA3" w:rsidRPr="00872450">
        <w:rPr>
          <w:rFonts w:ascii="Arial" w:hAnsi="Arial" w:cs="Arial"/>
        </w:rPr>
        <w:t>Heavy metals in apple orchard soils and fruits and their health risks in Liaodong Peninsula, Northeast China</w:t>
      </w:r>
      <w:r w:rsidRPr="00872450">
        <w:rPr>
          <w:rFonts w:ascii="Arial" w:hAnsi="Arial" w:cs="Arial"/>
        </w:rPr>
        <w:t xml:space="preserve">, </w:t>
      </w:r>
      <w:r w:rsidR="004E6FA3" w:rsidRPr="00872450">
        <w:rPr>
          <w:rFonts w:ascii="Arial" w:hAnsi="Arial" w:cs="Arial"/>
        </w:rPr>
        <w:t>Environm</w:t>
      </w:r>
      <w:r w:rsidRPr="00872450">
        <w:rPr>
          <w:rFonts w:ascii="Arial" w:hAnsi="Arial" w:cs="Arial"/>
        </w:rPr>
        <w:t>ental Monitoring and Assessment.</w:t>
      </w:r>
      <w:r w:rsidR="004E6FA3" w:rsidRPr="00872450">
        <w:rPr>
          <w:rFonts w:ascii="Arial" w:hAnsi="Arial" w:cs="Arial"/>
        </w:rPr>
        <w:t xml:space="preserve"> </w:t>
      </w:r>
      <w:r w:rsidRPr="00872450">
        <w:rPr>
          <w:rFonts w:ascii="Arial" w:hAnsi="Arial" w:cs="Arial"/>
        </w:rPr>
        <w:t>2015;187(1):</w:t>
      </w:r>
      <w:r w:rsidR="004E6FA3" w:rsidRPr="00872450">
        <w:rPr>
          <w:rFonts w:ascii="Arial" w:hAnsi="Arial" w:cs="Arial"/>
        </w:rPr>
        <w:t>4178</w:t>
      </w:r>
      <w:r w:rsidRPr="00872450">
        <w:rPr>
          <w:rFonts w:ascii="Arial" w:hAnsi="Arial" w:cs="Arial"/>
        </w:rPr>
        <w:t>.</w:t>
      </w:r>
    </w:p>
    <w:p w14:paraId="32326CC7" w14:textId="77777777" w:rsidR="00B039D3" w:rsidRPr="00872450" w:rsidRDefault="001C1F6E" w:rsidP="00BE5A03">
      <w:pPr>
        <w:pStyle w:val="ListParagraph"/>
        <w:numPr>
          <w:ilvl w:val="0"/>
          <w:numId w:val="2"/>
        </w:numPr>
        <w:jc w:val="both"/>
        <w:rPr>
          <w:rStyle w:val="element-citation"/>
          <w:rFonts w:ascii="Arial" w:hAnsi="Arial" w:cs="Arial"/>
        </w:rPr>
      </w:pPr>
      <w:r w:rsidRPr="00872450">
        <w:rPr>
          <w:rStyle w:val="element-citation"/>
          <w:rFonts w:ascii="Arial" w:hAnsi="Arial" w:cs="Arial"/>
        </w:rPr>
        <w:t xml:space="preserve">Esfahani NB, Jafari M, </w:t>
      </w:r>
      <w:proofErr w:type="spellStart"/>
      <w:r w:rsidRPr="00872450">
        <w:rPr>
          <w:rStyle w:val="element-citation"/>
          <w:rFonts w:ascii="Arial" w:hAnsi="Arial" w:cs="Arial"/>
        </w:rPr>
        <w:t>Moravejolahkami</w:t>
      </w:r>
      <w:proofErr w:type="spellEnd"/>
      <w:r w:rsidRPr="00872450">
        <w:rPr>
          <w:rStyle w:val="element-citation"/>
          <w:rFonts w:ascii="Arial" w:hAnsi="Arial" w:cs="Arial"/>
        </w:rPr>
        <w:t xml:space="preserve"> A</w:t>
      </w:r>
      <w:r w:rsidR="00784E80" w:rsidRPr="00872450">
        <w:rPr>
          <w:rStyle w:val="element-citation"/>
          <w:rFonts w:ascii="Arial" w:hAnsi="Arial" w:cs="Arial"/>
        </w:rPr>
        <w:t xml:space="preserve">R. Heavy metals concentration and target hazard quotients assessment through the consumption of fish muscle </w:t>
      </w:r>
      <w:proofErr w:type="spellStart"/>
      <w:r w:rsidR="00784E80" w:rsidRPr="00872450">
        <w:rPr>
          <w:rStyle w:val="element-citation"/>
          <w:rFonts w:ascii="Arial" w:hAnsi="Arial" w:cs="Arial"/>
        </w:rPr>
        <w:t>Ctenopharyngodon</w:t>
      </w:r>
      <w:proofErr w:type="spellEnd"/>
      <w:r w:rsidR="00784E80" w:rsidRPr="00872450">
        <w:rPr>
          <w:rStyle w:val="element-citation"/>
          <w:rFonts w:ascii="Arial" w:hAnsi="Arial" w:cs="Arial"/>
        </w:rPr>
        <w:t xml:space="preserve"> Idella (</w:t>
      </w:r>
      <w:proofErr w:type="spellStart"/>
      <w:r w:rsidR="00784E80" w:rsidRPr="00872450">
        <w:rPr>
          <w:rStyle w:val="element-citation"/>
          <w:rFonts w:ascii="Arial" w:hAnsi="Arial" w:cs="Arial"/>
        </w:rPr>
        <w:t>Cyprinidae</w:t>
      </w:r>
      <w:proofErr w:type="spellEnd"/>
      <w:r w:rsidR="00784E80" w:rsidRPr="00872450">
        <w:rPr>
          <w:rStyle w:val="element-citation"/>
          <w:rFonts w:ascii="Arial" w:hAnsi="Arial" w:cs="Arial"/>
        </w:rPr>
        <w:t xml:space="preserve">) from markets in Ahvaz province, Iran. </w:t>
      </w:r>
      <w:proofErr w:type="spellStart"/>
      <w:r w:rsidR="00784E80" w:rsidRPr="00872450">
        <w:rPr>
          <w:rStyle w:val="ref-journal"/>
          <w:rFonts w:ascii="Arial" w:hAnsi="Arial" w:cs="Arial"/>
        </w:rPr>
        <w:t>Nutr</w:t>
      </w:r>
      <w:proofErr w:type="spellEnd"/>
      <w:r w:rsidR="00784E80" w:rsidRPr="00872450">
        <w:rPr>
          <w:rStyle w:val="ref-journal"/>
          <w:rFonts w:ascii="Arial" w:hAnsi="Arial" w:cs="Arial"/>
        </w:rPr>
        <w:t xml:space="preserve">. Food Sci. </w:t>
      </w:r>
      <w:proofErr w:type="gramStart"/>
      <w:r w:rsidR="00784E80" w:rsidRPr="00872450">
        <w:rPr>
          <w:rStyle w:val="element-citation"/>
          <w:rFonts w:ascii="Arial" w:hAnsi="Arial" w:cs="Arial"/>
        </w:rPr>
        <w:t>2020;</w:t>
      </w:r>
      <w:r w:rsidR="00784E80" w:rsidRPr="00872450">
        <w:rPr>
          <w:rStyle w:val="ref-vol"/>
          <w:rFonts w:ascii="Arial" w:hAnsi="Arial" w:cs="Arial"/>
        </w:rPr>
        <w:t>50</w:t>
      </w:r>
      <w:r w:rsidR="00784E80" w:rsidRPr="00872450">
        <w:rPr>
          <w:rStyle w:val="element-citation"/>
          <w:rFonts w:ascii="Arial" w:hAnsi="Arial" w:cs="Arial"/>
        </w:rPr>
        <w:t>:529</w:t>
      </w:r>
      <w:proofErr w:type="gramEnd"/>
      <w:r w:rsidR="00784E80" w:rsidRPr="00872450">
        <w:rPr>
          <w:rStyle w:val="element-citation"/>
          <w:rFonts w:ascii="Arial" w:hAnsi="Arial" w:cs="Arial"/>
        </w:rPr>
        <w:t xml:space="preserve">–537. </w:t>
      </w:r>
    </w:p>
    <w:p w14:paraId="5383DDF1" w14:textId="77777777" w:rsidR="00784E80" w:rsidRPr="00872450" w:rsidRDefault="001C1F6E" w:rsidP="00AB1AF8">
      <w:pPr>
        <w:pStyle w:val="ListParagraph"/>
        <w:numPr>
          <w:ilvl w:val="0"/>
          <w:numId w:val="2"/>
        </w:numPr>
        <w:jc w:val="both"/>
        <w:rPr>
          <w:rStyle w:val="element-citation"/>
          <w:rFonts w:ascii="Arial" w:hAnsi="Arial" w:cs="Arial"/>
        </w:rPr>
      </w:pPr>
      <w:r w:rsidRPr="00872450">
        <w:rPr>
          <w:rStyle w:val="element-citation"/>
          <w:rFonts w:ascii="Arial" w:hAnsi="Arial" w:cs="Arial"/>
        </w:rPr>
        <w:t>Mukherjee J, Saha NC</w:t>
      </w:r>
      <w:r w:rsidR="00784E80" w:rsidRPr="00872450">
        <w:rPr>
          <w:rStyle w:val="element-citation"/>
          <w:rFonts w:ascii="Arial" w:hAnsi="Arial" w:cs="Arial"/>
        </w:rPr>
        <w:t xml:space="preserve">, Karan S. Bioaccumulation pattern of heavy metals in fish tissues and associated health hazards in human population. </w:t>
      </w:r>
      <w:r w:rsidR="00784E80" w:rsidRPr="00872450">
        <w:rPr>
          <w:rStyle w:val="ref-journal"/>
          <w:rFonts w:ascii="Arial" w:hAnsi="Arial" w:cs="Arial"/>
        </w:rPr>
        <w:t xml:space="preserve">Environ. Sci. </w:t>
      </w:r>
      <w:proofErr w:type="spellStart"/>
      <w:r w:rsidR="00784E80" w:rsidRPr="00872450">
        <w:rPr>
          <w:rStyle w:val="ref-journal"/>
          <w:rFonts w:ascii="Arial" w:hAnsi="Arial" w:cs="Arial"/>
        </w:rPr>
        <w:t>Pollut</w:t>
      </w:r>
      <w:proofErr w:type="spellEnd"/>
      <w:r w:rsidR="00784E80" w:rsidRPr="00872450">
        <w:rPr>
          <w:rStyle w:val="ref-journal"/>
          <w:rFonts w:ascii="Arial" w:hAnsi="Arial" w:cs="Arial"/>
        </w:rPr>
        <w:t xml:space="preserve">. Res. </w:t>
      </w:r>
      <w:r w:rsidR="00784E80" w:rsidRPr="00872450">
        <w:rPr>
          <w:rStyle w:val="element-citation"/>
          <w:rFonts w:ascii="Arial" w:hAnsi="Arial" w:cs="Arial"/>
        </w:rPr>
        <w:t>2021:1–15.</w:t>
      </w:r>
    </w:p>
    <w:p w14:paraId="04E6439E" w14:textId="77777777" w:rsidR="00784E80" w:rsidRPr="00872450" w:rsidRDefault="001C1F6E" w:rsidP="00AB1AF8">
      <w:pPr>
        <w:pStyle w:val="ListParagraph"/>
        <w:numPr>
          <w:ilvl w:val="0"/>
          <w:numId w:val="2"/>
        </w:numPr>
        <w:jc w:val="both"/>
        <w:rPr>
          <w:rFonts w:ascii="Arial" w:hAnsi="Arial" w:cs="Arial"/>
        </w:rPr>
      </w:pPr>
      <w:r w:rsidRPr="00872450">
        <w:rPr>
          <w:rStyle w:val="element-citation"/>
          <w:rFonts w:ascii="Arial" w:hAnsi="Arial" w:cs="Arial"/>
        </w:rPr>
        <w:t>Lima MW, Pereira WVS, Souza ES, Teixeira RA</w:t>
      </w:r>
      <w:r w:rsidR="00784E80" w:rsidRPr="00872450">
        <w:rPr>
          <w:rStyle w:val="element-citation"/>
          <w:rFonts w:ascii="Arial" w:hAnsi="Arial" w:cs="Arial"/>
        </w:rPr>
        <w:t xml:space="preserve">, da Conceição </w:t>
      </w:r>
      <w:proofErr w:type="spellStart"/>
      <w:r w:rsidR="00784E80" w:rsidRPr="00872450">
        <w:rPr>
          <w:rStyle w:val="element-citation"/>
          <w:rFonts w:ascii="Arial" w:hAnsi="Arial" w:cs="Arial"/>
        </w:rPr>
        <w:t>Palh</w:t>
      </w:r>
      <w:r w:rsidRPr="00872450">
        <w:rPr>
          <w:rStyle w:val="element-citation"/>
          <w:rFonts w:ascii="Arial" w:hAnsi="Arial" w:cs="Arial"/>
        </w:rPr>
        <w:t>eta</w:t>
      </w:r>
      <w:proofErr w:type="spellEnd"/>
      <w:r w:rsidRPr="00872450">
        <w:rPr>
          <w:rStyle w:val="element-citation"/>
          <w:rFonts w:ascii="Arial" w:hAnsi="Arial" w:cs="Arial"/>
        </w:rPr>
        <w:t xml:space="preserve"> D, Faial KCF, Costa HF, Fernandes A</w:t>
      </w:r>
      <w:r w:rsidR="00784E80" w:rsidRPr="00872450">
        <w:rPr>
          <w:rStyle w:val="element-citation"/>
          <w:rFonts w:ascii="Arial" w:hAnsi="Arial" w:cs="Arial"/>
        </w:rPr>
        <w:t xml:space="preserve">R. Bioaccumulation and human health risks of potentially toxic elements in fish species from the southeastern </w:t>
      </w:r>
      <w:proofErr w:type="spellStart"/>
      <w:r w:rsidR="00784E80" w:rsidRPr="00872450">
        <w:rPr>
          <w:rStyle w:val="element-citation"/>
          <w:rFonts w:ascii="Arial" w:hAnsi="Arial" w:cs="Arial"/>
        </w:rPr>
        <w:t>Carajás</w:t>
      </w:r>
      <w:proofErr w:type="spellEnd"/>
      <w:r w:rsidR="00784E80" w:rsidRPr="00872450">
        <w:rPr>
          <w:rStyle w:val="element-citation"/>
          <w:rFonts w:ascii="Arial" w:hAnsi="Arial" w:cs="Arial"/>
        </w:rPr>
        <w:t xml:space="preserve"> Mineral Province, Brazil. </w:t>
      </w:r>
      <w:r w:rsidR="00784E80" w:rsidRPr="00872450">
        <w:rPr>
          <w:rStyle w:val="ref-journal"/>
          <w:rFonts w:ascii="Arial" w:hAnsi="Arial" w:cs="Arial"/>
        </w:rPr>
        <w:t xml:space="preserve">Environ. Res. </w:t>
      </w:r>
      <w:proofErr w:type="gramStart"/>
      <w:r w:rsidR="00784E80" w:rsidRPr="00872450">
        <w:rPr>
          <w:rStyle w:val="element-citation"/>
          <w:rFonts w:ascii="Arial" w:hAnsi="Arial" w:cs="Arial"/>
        </w:rPr>
        <w:t>2022;</w:t>
      </w:r>
      <w:r w:rsidR="00784E80" w:rsidRPr="00872450">
        <w:rPr>
          <w:rStyle w:val="ref-vol"/>
          <w:rFonts w:ascii="Arial" w:hAnsi="Arial" w:cs="Arial"/>
        </w:rPr>
        <w:t>204</w:t>
      </w:r>
      <w:r w:rsidR="00784E80" w:rsidRPr="00872450">
        <w:rPr>
          <w:rStyle w:val="element-citation"/>
          <w:rFonts w:ascii="Arial" w:hAnsi="Arial" w:cs="Arial"/>
        </w:rPr>
        <w:t>:112024</w:t>
      </w:r>
      <w:proofErr w:type="gramEnd"/>
      <w:r w:rsidR="00784E80" w:rsidRPr="00872450">
        <w:rPr>
          <w:rStyle w:val="element-citation"/>
          <w:rFonts w:ascii="Arial" w:hAnsi="Arial" w:cs="Arial"/>
        </w:rPr>
        <w:t xml:space="preserve">. </w:t>
      </w:r>
    </w:p>
    <w:p w14:paraId="10BCA871" w14:textId="77777777" w:rsidR="00784E80" w:rsidRPr="00872450" w:rsidRDefault="001C1F6E" w:rsidP="00AB1AF8">
      <w:pPr>
        <w:pStyle w:val="ListParagraph"/>
        <w:numPr>
          <w:ilvl w:val="0"/>
          <w:numId w:val="2"/>
        </w:numPr>
        <w:jc w:val="both"/>
        <w:rPr>
          <w:rFonts w:ascii="Arial" w:hAnsi="Arial" w:cs="Arial"/>
        </w:rPr>
      </w:pPr>
      <w:r w:rsidRPr="00872450">
        <w:rPr>
          <w:rStyle w:val="element-citation"/>
          <w:rFonts w:ascii="Arial" w:hAnsi="Arial" w:cs="Arial"/>
        </w:rPr>
        <w:t xml:space="preserve">Rezaei H, Zarei A, </w:t>
      </w:r>
      <w:proofErr w:type="spellStart"/>
      <w:r w:rsidRPr="00872450">
        <w:rPr>
          <w:rStyle w:val="element-citation"/>
          <w:rFonts w:ascii="Arial" w:hAnsi="Arial" w:cs="Arial"/>
        </w:rPr>
        <w:t>Kamarehie</w:t>
      </w:r>
      <w:proofErr w:type="spellEnd"/>
      <w:r w:rsidRPr="00872450">
        <w:rPr>
          <w:rStyle w:val="element-citation"/>
          <w:rFonts w:ascii="Arial" w:hAnsi="Arial" w:cs="Arial"/>
        </w:rPr>
        <w:t xml:space="preserve"> B, Jafari A, Fakhri Y</w:t>
      </w:r>
      <w:r w:rsidR="00A64519" w:rsidRPr="00872450">
        <w:rPr>
          <w:rStyle w:val="element-citation"/>
          <w:rFonts w:ascii="Arial" w:hAnsi="Arial" w:cs="Arial"/>
        </w:rPr>
        <w:t xml:space="preserve">, </w:t>
      </w:r>
      <w:proofErr w:type="spellStart"/>
      <w:r w:rsidR="00A64519" w:rsidRPr="00872450">
        <w:rPr>
          <w:rStyle w:val="element-citation"/>
          <w:rFonts w:ascii="Arial" w:hAnsi="Arial" w:cs="Arial"/>
        </w:rPr>
        <w:t>Bidarpoor</w:t>
      </w:r>
      <w:proofErr w:type="spellEnd"/>
      <w:r w:rsidR="00A64519" w:rsidRPr="00872450">
        <w:rPr>
          <w:rStyle w:val="element-citation"/>
          <w:rFonts w:ascii="Arial" w:hAnsi="Arial" w:cs="Arial"/>
        </w:rPr>
        <w:t xml:space="preserve"> F, Karami MA, Farhang M, </w:t>
      </w:r>
      <w:proofErr w:type="spellStart"/>
      <w:r w:rsidR="00A64519" w:rsidRPr="00872450">
        <w:rPr>
          <w:rStyle w:val="element-citation"/>
          <w:rFonts w:ascii="Arial" w:hAnsi="Arial" w:cs="Arial"/>
        </w:rPr>
        <w:t>Ghaderpoori</w:t>
      </w:r>
      <w:proofErr w:type="spellEnd"/>
      <w:r w:rsidR="00A64519" w:rsidRPr="00872450">
        <w:rPr>
          <w:rStyle w:val="element-citation"/>
          <w:rFonts w:ascii="Arial" w:hAnsi="Arial" w:cs="Arial"/>
        </w:rPr>
        <w:t xml:space="preserve"> M</w:t>
      </w:r>
      <w:r w:rsidR="00784E80" w:rsidRPr="00872450">
        <w:rPr>
          <w:rStyle w:val="element-citation"/>
          <w:rFonts w:ascii="Arial" w:hAnsi="Arial" w:cs="Arial"/>
        </w:rPr>
        <w:t xml:space="preserve">, Sadeghi H, et al. Levels, distributions and health risk assessment of lead, cadmium and arsenic found in drinking groundwater of </w:t>
      </w:r>
      <w:proofErr w:type="spellStart"/>
      <w:r w:rsidR="00784E80" w:rsidRPr="00872450">
        <w:rPr>
          <w:rStyle w:val="element-citation"/>
          <w:rFonts w:ascii="Arial" w:hAnsi="Arial" w:cs="Arial"/>
        </w:rPr>
        <w:t>Dehgolan’s</w:t>
      </w:r>
      <w:proofErr w:type="spellEnd"/>
      <w:r w:rsidR="00784E80" w:rsidRPr="00872450">
        <w:rPr>
          <w:rStyle w:val="element-citation"/>
          <w:rFonts w:ascii="Arial" w:hAnsi="Arial" w:cs="Arial"/>
        </w:rPr>
        <w:t xml:space="preserve"> Villages, Iran. </w:t>
      </w:r>
      <w:proofErr w:type="spellStart"/>
      <w:r w:rsidR="00784E80" w:rsidRPr="00872450">
        <w:rPr>
          <w:rStyle w:val="ref-journal"/>
          <w:rFonts w:ascii="Arial" w:hAnsi="Arial" w:cs="Arial"/>
        </w:rPr>
        <w:t>Toxicol</w:t>
      </w:r>
      <w:proofErr w:type="spellEnd"/>
      <w:r w:rsidR="00784E80" w:rsidRPr="00872450">
        <w:rPr>
          <w:rStyle w:val="ref-journal"/>
          <w:rFonts w:ascii="Arial" w:hAnsi="Arial" w:cs="Arial"/>
        </w:rPr>
        <w:t xml:space="preserve">. Environ. Health Sci. </w:t>
      </w:r>
      <w:proofErr w:type="gramStart"/>
      <w:r w:rsidR="00784E80" w:rsidRPr="00872450">
        <w:rPr>
          <w:rStyle w:val="element-citation"/>
          <w:rFonts w:ascii="Arial" w:hAnsi="Arial" w:cs="Arial"/>
        </w:rPr>
        <w:t>2019;</w:t>
      </w:r>
      <w:r w:rsidR="00784E80" w:rsidRPr="00872450">
        <w:rPr>
          <w:rStyle w:val="ref-vol"/>
          <w:rFonts w:ascii="Arial" w:hAnsi="Arial" w:cs="Arial"/>
        </w:rPr>
        <w:t>11</w:t>
      </w:r>
      <w:r w:rsidR="00784E80" w:rsidRPr="00872450">
        <w:rPr>
          <w:rStyle w:val="element-citation"/>
          <w:rFonts w:ascii="Arial" w:hAnsi="Arial" w:cs="Arial"/>
        </w:rPr>
        <w:t>:54</w:t>
      </w:r>
      <w:proofErr w:type="gramEnd"/>
      <w:r w:rsidR="00784E80" w:rsidRPr="00872450">
        <w:rPr>
          <w:rStyle w:val="element-citation"/>
          <w:rFonts w:ascii="Arial" w:hAnsi="Arial" w:cs="Arial"/>
        </w:rPr>
        <w:t>–62.</w:t>
      </w:r>
    </w:p>
    <w:p w14:paraId="3096B8B0" w14:textId="77777777" w:rsidR="001E566C" w:rsidRPr="00872450" w:rsidRDefault="001E566C" w:rsidP="00AB1AF8">
      <w:pPr>
        <w:jc w:val="both"/>
        <w:rPr>
          <w:rFonts w:ascii="Arial" w:hAnsi="Arial" w:cs="Arial"/>
        </w:rPr>
      </w:pPr>
    </w:p>
    <w:sectPr w:rsidR="001E566C" w:rsidRPr="00872450" w:rsidSect="00DB41D7">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FFE6F" w14:textId="77777777" w:rsidR="00254C9A" w:rsidRDefault="00254C9A" w:rsidP="00E25246">
      <w:r>
        <w:separator/>
      </w:r>
    </w:p>
  </w:endnote>
  <w:endnote w:type="continuationSeparator" w:id="0">
    <w:p w14:paraId="2287169F" w14:textId="77777777" w:rsidR="00254C9A" w:rsidRDefault="00254C9A" w:rsidP="00E2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E9478" w14:textId="77777777" w:rsidR="00DB41D7" w:rsidRDefault="00DB41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F08F0" w14:textId="77777777" w:rsidR="00DB41D7" w:rsidRDefault="00DB41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9A244" w14:textId="118C24D1" w:rsidR="004A438C" w:rsidRPr="00DB41D7" w:rsidRDefault="004A438C" w:rsidP="00DB41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E37BA" w14:textId="77777777" w:rsidR="004A438C" w:rsidRPr="00C37E61" w:rsidRDefault="004A438C" w:rsidP="001E5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E0130" w14:textId="77777777" w:rsidR="00254C9A" w:rsidRDefault="00254C9A" w:rsidP="00E25246">
      <w:r>
        <w:separator/>
      </w:r>
    </w:p>
  </w:footnote>
  <w:footnote w:type="continuationSeparator" w:id="0">
    <w:p w14:paraId="04A0DA1C" w14:textId="77777777" w:rsidR="00254C9A" w:rsidRDefault="00254C9A" w:rsidP="00E25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A48E0" w14:textId="3A2EAEB8" w:rsidR="00DB41D7" w:rsidRDefault="00DB41D7">
    <w:pPr>
      <w:pStyle w:val="Header"/>
    </w:pPr>
    <w:r>
      <w:rPr>
        <w:noProof/>
      </w:rPr>
      <w:pict w14:anchorId="4F2ADB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10782"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6E05A" w14:textId="3C299BF4" w:rsidR="00DB41D7" w:rsidRDefault="00DB41D7">
    <w:pPr>
      <w:pStyle w:val="Header"/>
    </w:pPr>
    <w:r>
      <w:rPr>
        <w:noProof/>
      </w:rPr>
      <w:pict w14:anchorId="2F2BBE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10783"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997D2" w14:textId="78AC1BF3" w:rsidR="004A438C" w:rsidRPr="00296529" w:rsidRDefault="00DB41D7" w:rsidP="001E566C">
    <w:pPr>
      <w:ind w:left="2160"/>
      <w:jc w:val="center"/>
      <w:rPr>
        <w:rFonts w:ascii="Times New Roman" w:eastAsia="Calibri" w:hAnsi="Times New Roman"/>
        <w:i/>
        <w:sz w:val="18"/>
        <w:szCs w:val="22"/>
      </w:rPr>
    </w:pPr>
    <w:r>
      <w:rPr>
        <w:noProof/>
      </w:rPr>
      <w:pict w14:anchorId="7E7C11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10781"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7A2378B" w14:textId="77777777" w:rsidR="004A438C" w:rsidRPr="00296529" w:rsidRDefault="004A438C" w:rsidP="001E566C">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539AAAF" w14:textId="77777777" w:rsidR="004A438C" w:rsidRPr="00296529" w:rsidRDefault="004A438C" w:rsidP="001E566C">
    <w:pPr>
      <w:jc w:val="center"/>
      <w:rPr>
        <w:rFonts w:ascii="Times New Roman" w:eastAsia="Calibri" w:hAnsi="Times New Roman"/>
        <w:i/>
        <w:sz w:val="18"/>
        <w:szCs w:val="22"/>
      </w:rPr>
    </w:pPr>
    <w:r>
      <w:rPr>
        <w:rFonts w:ascii="Times New Roman" w:eastAsia="Calibri" w:hAnsi="Times New Roman"/>
        <w:i/>
        <w:sz w:val="18"/>
        <w:szCs w:val="22"/>
      </w:rPr>
      <w:t>.</w:t>
    </w:r>
  </w:p>
  <w:p w14:paraId="0055D797" w14:textId="77777777" w:rsidR="004A438C" w:rsidRPr="00296529" w:rsidRDefault="004A438C" w:rsidP="001E566C">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83C716D" w14:textId="77777777" w:rsidR="004A438C" w:rsidRDefault="004A438C" w:rsidP="001E566C">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1D85DEE" w14:textId="77777777" w:rsidR="004A438C" w:rsidRDefault="004A438C" w:rsidP="001E566C">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4985AF0" w14:textId="77777777" w:rsidR="004A438C" w:rsidRDefault="004A438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FCC4E" w14:textId="26FAA2D9" w:rsidR="00DB41D7" w:rsidRDefault="00DB41D7">
    <w:pPr>
      <w:pStyle w:val="Header"/>
    </w:pPr>
    <w:r>
      <w:rPr>
        <w:noProof/>
      </w:rPr>
      <w:pict w14:anchorId="6CB2EB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10785"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DB724" w14:textId="24B3673C" w:rsidR="00DB41D7" w:rsidRDefault="00DB41D7">
    <w:pPr>
      <w:pStyle w:val="Header"/>
    </w:pPr>
    <w:r>
      <w:rPr>
        <w:noProof/>
      </w:rPr>
      <w:pict w14:anchorId="56E18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10786"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C68F0" w14:textId="05282CCD" w:rsidR="00DB41D7" w:rsidRDefault="00DB41D7">
    <w:pPr>
      <w:pStyle w:val="Header"/>
    </w:pPr>
    <w:r>
      <w:rPr>
        <w:noProof/>
      </w:rPr>
      <w:pict w14:anchorId="3FB45B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10784"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5147EA"/>
    <w:multiLevelType w:val="hybridMultilevel"/>
    <w:tmpl w:val="D8B2D23C"/>
    <w:lvl w:ilvl="0" w:tplc="C4DCA2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num w:numId="1" w16cid:durableId="2132287616">
    <w:abstractNumId w:val="1"/>
  </w:num>
  <w:num w:numId="2" w16cid:durableId="821122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2ED"/>
    <w:rsid w:val="00014D56"/>
    <w:rsid w:val="000204EA"/>
    <w:rsid w:val="00047636"/>
    <w:rsid w:val="00050F10"/>
    <w:rsid w:val="00053C65"/>
    <w:rsid w:val="00072950"/>
    <w:rsid w:val="000A2AC8"/>
    <w:rsid w:val="000A75C9"/>
    <w:rsid w:val="000B48B5"/>
    <w:rsid w:val="000C76CE"/>
    <w:rsid w:val="000F3FCB"/>
    <w:rsid w:val="0010002F"/>
    <w:rsid w:val="00102956"/>
    <w:rsid w:val="00114644"/>
    <w:rsid w:val="0013762B"/>
    <w:rsid w:val="001504E8"/>
    <w:rsid w:val="00150A2A"/>
    <w:rsid w:val="00152423"/>
    <w:rsid w:val="00155DE1"/>
    <w:rsid w:val="00157DDD"/>
    <w:rsid w:val="001813E5"/>
    <w:rsid w:val="001815CC"/>
    <w:rsid w:val="00181C99"/>
    <w:rsid w:val="00185848"/>
    <w:rsid w:val="001A3AF3"/>
    <w:rsid w:val="001A54B1"/>
    <w:rsid w:val="001C1F6E"/>
    <w:rsid w:val="001C2C5C"/>
    <w:rsid w:val="001C3136"/>
    <w:rsid w:val="001D2A9C"/>
    <w:rsid w:val="001E566C"/>
    <w:rsid w:val="001E67D9"/>
    <w:rsid w:val="0021410D"/>
    <w:rsid w:val="002147CA"/>
    <w:rsid w:val="00217EEB"/>
    <w:rsid w:val="00241423"/>
    <w:rsid w:val="00254C9A"/>
    <w:rsid w:val="002730F6"/>
    <w:rsid w:val="00275606"/>
    <w:rsid w:val="002A2CE1"/>
    <w:rsid w:val="002A34E1"/>
    <w:rsid w:val="002B139D"/>
    <w:rsid w:val="002B1416"/>
    <w:rsid w:val="002B205D"/>
    <w:rsid w:val="002F71B4"/>
    <w:rsid w:val="00316D47"/>
    <w:rsid w:val="00322A5B"/>
    <w:rsid w:val="003326E5"/>
    <w:rsid w:val="00333FD2"/>
    <w:rsid w:val="00357E11"/>
    <w:rsid w:val="003616BE"/>
    <w:rsid w:val="00373E4B"/>
    <w:rsid w:val="003741FF"/>
    <w:rsid w:val="00384F80"/>
    <w:rsid w:val="003928DD"/>
    <w:rsid w:val="003931A7"/>
    <w:rsid w:val="0039465E"/>
    <w:rsid w:val="0039727F"/>
    <w:rsid w:val="003C36B3"/>
    <w:rsid w:val="003D073C"/>
    <w:rsid w:val="003D3120"/>
    <w:rsid w:val="0040624B"/>
    <w:rsid w:val="00435CCF"/>
    <w:rsid w:val="0043650F"/>
    <w:rsid w:val="00474310"/>
    <w:rsid w:val="00487A9B"/>
    <w:rsid w:val="0049038F"/>
    <w:rsid w:val="00494135"/>
    <w:rsid w:val="004A438C"/>
    <w:rsid w:val="004B42A5"/>
    <w:rsid w:val="004C6953"/>
    <w:rsid w:val="004D7A0E"/>
    <w:rsid w:val="004E623F"/>
    <w:rsid w:val="004E6FA3"/>
    <w:rsid w:val="004F5DC5"/>
    <w:rsid w:val="004F6B74"/>
    <w:rsid w:val="0050467A"/>
    <w:rsid w:val="0052098D"/>
    <w:rsid w:val="00535283"/>
    <w:rsid w:val="0054041A"/>
    <w:rsid w:val="00546335"/>
    <w:rsid w:val="00546B50"/>
    <w:rsid w:val="005614A4"/>
    <w:rsid w:val="005827EA"/>
    <w:rsid w:val="00582A87"/>
    <w:rsid w:val="00584F4C"/>
    <w:rsid w:val="0058547D"/>
    <w:rsid w:val="005C3234"/>
    <w:rsid w:val="005C44AE"/>
    <w:rsid w:val="005C6D9C"/>
    <w:rsid w:val="005F6DFC"/>
    <w:rsid w:val="0060047E"/>
    <w:rsid w:val="0060191A"/>
    <w:rsid w:val="00613D23"/>
    <w:rsid w:val="00614B9B"/>
    <w:rsid w:val="006332D2"/>
    <w:rsid w:val="006377D8"/>
    <w:rsid w:val="006506C0"/>
    <w:rsid w:val="00665D63"/>
    <w:rsid w:val="006A01CD"/>
    <w:rsid w:val="006E0C95"/>
    <w:rsid w:val="006F32E2"/>
    <w:rsid w:val="00704725"/>
    <w:rsid w:val="007200CD"/>
    <w:rsid w:val="00727989"/>
    <w:rsid w:val="007322BB"/>
    <w:rsid w:val="00764D2E"/>
    <w:rsid w:val="00784E80"/>
    <w:rsid w:val="00785DD6"/>
    <w:rsid w:val="00786D58"/>
    <w:rsid w:val="00793F6A"/>
    <w:rsid w:val="00797334"/>
    <w:rsid w:val="007A7395"/>
    <w:rsid w:val="007B79AD"/>
    <w:rsid w:val="007C5936"/>
    <w:rsid w:val="007D07E2"/>
    <w:rsid w:val="007E2EE7"/>
    <w:rsid w:val="007E3A6E"/>
    <w:rsid w:val="007F66A8"/>
    <w:rsid w:val="008051E0"/>
    <w:rsid w:val="00806524"/>
    <w:rsid w:val="008576BD"/>
    <w:rsid w:val="00872450"/>
    <w:rsid w:val="00872BC1"/>
    <w:rsid w:val="008733AD"/>
    <w:rsid w:val="008A1429"/>
    <w:rsid w:val="008B1F7F"/>
    <w:rsid w:val="008C476B"/>
    <w:rsid w:val="008C7D1B"/>
    <w:rsid w:val="008F2661"/>
    <w:rsid w:val="00911DCD"/>
    <w:rsid w:val="00915599"/>
    <w:rsid w:val="009273D6"/>
    <w:rsid w:val="00937E89"/>
    <w:rsid w:val="00950F56"/>
    <w:rsid w:val="0095776B"/>
    <w:rsid w:val="00961E60"/>
    <w:rsid w:val="009669CD"/>
    <w:rsid w:val="009A48D1"/>
    <w:rsid w:val="009B063C"/>
    <w:rsid w:val="009E422A"/>
    <w:rsid w:val="009E5EF4"/>
    <w:rsid w:val="009E6D6E"/>
    <w:rsid w:val="00A05EA9"/>
    <w:rsid w:val="00A1369E"/>
    <w:rsid w:val="00A332BD"/>
    <w:rsid w:val="00A561E4"/>
    <w:rsid w:val="00A64519"/>
    <w:rsid w:val="00A93BA9"/>
    <w:rsid w:val="00A950D3"/>
    <w:rsid w:val="00AA257A"/>
    <w:rsid w:val="00AB1AF8"/>
    <w:rsid w:val="00B039D3"/>
    <w:rsid w:val="00B03D47"/>
    <w:rsid w:val="00B21370"/>
    <w:rsid w:val="00B31272"/>
    <w:rsid w:val="00B352D4"/>
    <w:rsid w:val="00B358FC"/>
    <w:rsid w:val="00B42598"/>
    <w:rsid w:val="00B55A68"/>
    <w:rsid w:val="00B676DD"/>
    <w:rsid w:val="00B71E47"/>
    <w:rsid w:val="00B86411"/>
    <w:rsid w:val="00BA5398"/>
    <w:rsid w:val="00BB5DCE"/>
    <w:rsid w:val="00BB7C11"/>
    <w:rsid w:val="00BD4732"/>
    <w:rsid w:val="00BE5A03"/>
    <w:rsid w:val="00BF753D"/>
    <w:rsid w:val="00C13648"/>
    <w:rsid w:val="00C24B25"/>
    <w:rsid w:val="00C44315"/>
    <w:rsid w:val="00C561EA"/>
    <w:rsid w:val="00C64E9B"/>
    <w:rsid w:val="00C72446"/>
    <w:rsid w:val="00CA0967"/>
    <w:rsid w:val="00CA183F"/>
    <w:rsid w:val="00CA64FA"/>
    <w:rsid w:val="00CB5E25"/>
    <w:rsid w:val="00CC5AE6"/>
    <w:rsid w:val="00CC64E4"/>
    <w:rsid w:val="00CE02ED"/>
    <w:rsid w:val="00CF36B6"/>
    <w:rsid w:val="00CF3E3C"/>
    <w:rsid w:val="00D13455"/>
    <w:rsid w:val="00D1373F"/>
    <w:rsid w:val="00D14BA9"/>
    <w:rsid w:val="00D16783"/>
    <w:rsid w:val="00D31B2C"/>
    <w:rsid w:val="00D502D3"/>
    <w:rsid w:val="00D67318"/>
    <w:rsid w:val="00D67D1D"/>
    <w:rsid w:val="00D7001D"/>
    <w:rsid w:val="00DB41D7"/>
    <w:rsid w:val="00DC14D9"/>
    <w:rsid w:val="00DD2277"/>
    <w:rsid w:val="00DE513F"/>
    <w:rsid w:val="00DE580F"/>
    <w:rsid w:val="00DE63A9"/>
    <w:rsid w:val="00DF2BB2"/>
    <w:rsid w:val="00DF2E6B"/>
    <w:rsid w:val="00E0514D"/>
    <w:rsid w:val="00E25246"/>
    <w:rsid w:val="00E528E2"/>
    <w:rsid w:val="00E57624"/>
    <w:rsid w:val="00E60DAE"/>
    <w:rsid w:val="00E750BF"/>
    <w:rsid w:val="00E90E39"/>
    <w:rsid w:val="00EA3C3C"/>
    <w:rsid w:val="00EA4C25"/>
    <w:rsid w:val="00EF6814"/>
    <w:rsid w:val="00F31025"/>
    <w:rsid w:val="00F318C0"/>
    <w:rsid w:val="00F36CC1"/>
    <w:rsid w:val="00F50A51"/>
    <w:rsid w:val="00F50BC0"/>
    <w:rsid w:val="00F64637"/>
    <w:rsid w:val="00F67FBB"/>
    <w:rsid w:val="00F71C03"/>
    <w:rsid w:val="00F733C1"/>
    <w:rsid w:val="00F75387"/>
    <w:rsid w:val="00F94F0D"/>
    <w:rsid w:val="00FA3FDB"/>
    <w:rsid w:val="00FB00E0"/>
    <w:rsid w:val="00FB0568"/>
    <w:rsid w:val="00FC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68A47"/>
  <w15:chartTrackingRefBased/>
  <w15:docId w15:val="{775D7E19-3B78-4A07-ABAB-7BA16D26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2ED"/>
    <w:pPr>
      <w:spacing w:after="0" w:line="240" w:lineRule="auto"/>
    </w:pPr>
    <w:rPr>
      <w:rFonts w:ascii="Helvetica" w:eastAsia="Times New Roman" w:hAnsi="Helvetic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CE02ED"/>
    <w:pPr>
      <w:spacing w:line="280" w:lineRule="exact"/>
      <w:jc w:val="right"/>
    </w:pPr>
    <w:rPr>
      <w:b/>
      <w:sz w:val="24"/>
    </w:rPr>
  </w:style>
  <w:style w:type="paragraph" w:customStyle="1" w:styleId="Affiliation">
    <w:name w:val="Affiliation"/>
    <w:basedOn w:val="Normal"/>
    <w:rsid w:val="00CE02ED"/>
    <w:pPr>
      <w:spacing w:after="240" w:line="240" w:lineRule="exact"/>
      <w:jc w:val="right"/>
    </w:pPr>
  </w:style>
  <w:style w:type="paragraph" w:customStyle="1" w:styleId="Body">
    <w:name w:val="Body"/>
    <w:basedOn w:val="Normal"/>
    <w:rsid w:val="00CE02ED"/>
    <w:pPr>
      <w:spacing w:after="240"/>
      <w:jc w:val="both"/>
    </w:pPr>
  </w:style>
  <w:style w:type="paragraph" w:customStyle="1" w:styleId="AbstHead">
    <w:name w:val="Abst Head"/>
    <w:basedOn w:val="Normal"/>
    <w:rsid w:val="00CE02ED"/>
    <w:pPr>
      <w:keepNext/>
      <w:spacing w:after="240"/>
    </w:pPr>
    <w:rPr>
      <w:b/>
      <w:caps/>
      <w:sz w:val="22"/>
    </w:rPr>
  </w:style>
  <w:style w:type="paragraph" w:customStyle="1" w:styleId="ConcHead">
    <w:name w:val="Conc Head"/>
    <w:basedOn w:val="Normal"/>
    <w:rsid w:val="00CE02ED"/>
    <w:pPr>
      <w:keepNext/>
      <w:spacing w:after="240"/>
    </w:pPr>
    <w:rPr>
      <w:b/>
      <w:caps/>
      <w:sz w:val="22"/>
    </w:rPr>
  </w:style>
  <w:style w:type="paragraph" w:customStyle="1" w:styleId="AcknHead">
    <w:name w:val="Ackn Head"/>
    <w:basedOn w:val="Normal"/>
    <w:rsid w:val="00CE02ED"/>
    <w:pPr>
      <w:keepNext/>
      <w:spacing w:after="240"/>
    </w:pPr>
    <w:rPr>
      <w:b/>
      <w:caps/>
      <w:sz w:val="22"/>
    </w:rPr>
  </w:style>
  <w:style w:type="paragraph" w:customStyle="1" w:styleId="ReferHead">
    <w:name w:val="Refer Head"/>
    <w:basedOn w:val="Normal"/>
    <w:rsid w:val="00CE02ED"/>
    <w:pPr>
      <w:keepNext/>
      <w:spacing w:after="240"/>
    </w:pPr>
    <w:rPr>
      <w:b/>
      <w:caps/>
      <w:sz w:val="22"/>
    </w:rPr>
  </w:style>
  <w:style w:type="paragraph" w:customStyle="1" w:styleId="DefAcrHead">
    <w:name w:val="DefAcrHead"/>
    <w:basedOn w:val="Normal"/>
    <w:rsid w:val="00CE02ED"/>
    <w:pPr>
      <w:keepNext/>
      <w:spacing w:after="240"/>
    </w:pPr>
    <w:rPr>
      <w:b/>
      <w:caps/>
      <w:sz w:val="22"/>
    </w:rPr>
  </w:style>
  <w:style w:type="paragraph" w:customStyle="1" w:styleId="Copyright">
    <w:name w:val="Copyright"/>
    <w:basedOn w:val="Normal"/>
    <w:rsid w:val="00CE02ED"/>
    <w:pPr>
      <w:spacing w:after="960" w:line="200" w:lineRule="exact"/>
    </w:pPr>
    <w:rPr>
      <w:sz w:val="16"/>
    </w:rPr>
  </w:style>
  <w:style w:type="paragraph" w:styleId="Title">
    <w:name w:val="Title"/>
    <w:basedOn w:val="Normal"/>
    <w:link w:val="TitleChar"/>
    <w:qFormat/>
    <w:rsid w:val="00CE02ED"/>
    <w:pPr>
      <w:spacing w:after="360"/>
      <w:jc w:val="right"/>
    </w:pPr>
    <w:rPr>
      <w:b/>
      <w:kern w:val="28"/>
      <w:sz w:val="36"/>
    </w:rPr>
  </w:style>
  <w:style w:type="character" w:customStyle="1" w:styleId="TitleChar">
    <w:name w:val="Title Char"/>
    <w:basedOn w:val="DefaultParagraphFont"/>
    <w:link w:val="Title"/>
    <w:rsid w:val="00CE02ED"/>
    <w:rPr>
      <w:rFonts w:ascii="Helvetica" w:eastAsia="Times New Roman" w:hAnsi="Helvetica" w:cs="Times New Roman"/>
      <w:b/>
      <w:kern w:val="28"/>
      <w:sz w:val="36"/>
      <w:szCs w:val="20"/>
    </w:rPr>
  </w:style>
  <w:style w:type="paragraph" w:customStyle="1" w:styleId="Reference">
    <w:name w:val="Reference"/>
    <w:basedOn w:val="Body"/>
    <w:rsid w:val="00CE02ED"/>
    <w:pPr>
      <w:numPr>
        <w:numId w:val="1"/>
      </w:numPr>
      <w:spacing w:after="0" w:line="240" w:lineRule="exact"/>
    </w:pPr>
  </w:style>
  <w:style w:type="paragraph" w:customStyle="1" w:styleId="Head1">
    <w:name w:val="Head1"/>
    <w:basedOn w:val="Normal"/>
    <w:rsid w:val="00CE02ED"/>
    <w:pPr>
      <w:keepNext/>
      <w:spacing w:after="240"/>
    </w:pPr>
    <w:rPr>
      <w:b/>
      <w:caps/>
      <w:sz w:val="22"/>
    </w:rPr>
  </w:style>
  <w:style w:type="paragraph" w:customStyle="1" w:styleId="Appendix">
    <w:name w:val="Appendix"/>
    <w:basedOn w:val="Normal"/>
    <w:rsid w:val="00CE02ED"/>
    <w:pPr>
      <w:keepNext/>
      <w:spacing w:after="240"/>
    </w:pPr>
    <w:rPr>
      <w:b/>
      <w:caps/>
      <w:sz w:val="22"/>
    </w:rPr>
  </w:style>
  <w:style w:type="paragraph" w:styleId="Footer">
    <w:name w:val="footer"/>
    <w:basedOn w:val="Normal"/>
    <w:link w:val="FooterChar"/>
    <w:rsid w:val="00CE02ED"/>
    <w:pPr>
      <w:tabs>
        <w:tab w:val="center" w:pos="4320"/>
        <w:tab w:val="right" w:pos="8640"/>
      </w:tabs>
    </w:pPr>
  </w:style>
  <w:style w:type="character" w:customStyle="1" w:styleId="FooterChar">
    <w:name w:val="Footer Char"/>
    <w:basedOn w:val="DefaultParagraphFont"/>
    <w:link w:val="Footer"/>
    <w:rsid w:val="00CE02ED"/>
    <w:rPr>
      <w:rFonts w:ascii="Helvetica" w:eastAsia="Times New Roman" w:hAnsi="Helvetica" w:cs="Times New Roman"/>
      <w:sz w:val="20"/>
      <w:szCs w:val="20"/>
    </w:rPr>
  </w:style>
  <w:style w:type="paragraph" w:styleId="Header">
    <w:name w:val="header"/>
    <w:basedOn w:val="Normal"/>
    <w:link w:val="HeaderChar"/>
    <w:rsid w:val="00CE02ED"/>
    <w:pPr>
      <w:tabs>
        <w:tab w:val="center" w:pos="4320"/>
        <w:tab w:val="right" w:pos="8640"/>
      </w:tabs>
    </w:pPr>
  </w:style>
  <w:style w:type="character" w:customStyle="1" w:styleId="HeaderChar">
    <w:name w:val="Header Char"/>
    <w:basedOn w:val="DefaultParagraphFont"/>
    <w:link w:val="Header"/>
    <w:rsid w:val="00CE02ED"/>
    <w:rPr>
      <w:rFonts w:ascii="Helvetica" w:eastAsia="Times New Roman" w:hAnsi="Helvetica" w:cs="Times New Roman"/>
      <w:sz w:val="20"/>
      <w:szCs w:val="20"/>
    </w:rPr>
  </w:style>
  <w:style w:type="character" w:styleId="Hyperlink">
    <w:name w:val="Hyperlink"/>
    <w:basedOn w:val="DefaultParagraphFont"/>
    <w:rsid w:val="00CE02ED"/>
    <w:rPr>
      <w:color w:val="FF0080"/>
      <w:u w:val="single"/>
    </w:rPr>
  </w:style>
  <w:style w:type="paragraph" w:styleId="BodyText3">
    <w:name w:val="Body Text 3"/>
    <w:basedOn w:val="Normal"/>
    <w:link w:val="BodyText3Char"/>
    <w:rsid w:val="00CE02ED"/>
    <w:pPr>
      <w:spacing w:after="120"/>
    </w:pPr>
    <w:rPr>
      <w:sz w:val="16"/>
      <w:szCs w:val="16"/>
    </w:rPr>
  </w:style>
  <w:style w:type="character" w:customStyle="1" w:styleId="BodyText3Char">
    <w:name w:val="Body Text 3 Char"/>
    <w:basedOn w:val="DefaultParagraphFont"/>
    <w:link w:val="BodyText3"/>
    <w:rsid w:val="00CE02ED"/>
    <w:rPr>
      <w:rFonts w:ascii="Helvetica" w:eastAsia="Times New Roman" w:hAnsi="Helvetica" w:cs="Times New Roman"/>
      <w:sz w:val="16"/>
      <w:szCs w:val="16"/>
    </w:rPr>
  </w:style>
  <w:style w:type="character" w:styleId="LineNumber">
    <w:name w:val="line number"/>
    <w:basedOn w:val="DefaultParagraphFont"/>
    <w:uiPriority w:val="99"/>
    <w:semiHidden/>
    <w:unhideWhenUsed/>
    <w:rsid w:val="00CE02ED"/>
  </w:style>
  <w:style w:type="table" w:styleId="TableGrid">
    <w:name w:val="Table Grid"/>
    <w:basedOn w:val="TableNormal"/>
    <w:uiPriority w:val="39"/>
    <w:rsid w:val="002F71B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025"/>
    <w:pPr>
      <w:ind w:left="720"/>
      <w:contextualSpacing/>
    </w:pPr>
  </w:style>
  <w:style w:type="character" w:customStyle="1" w:styleId="anchor-text">
    <w:name w:val="anchor-text"/>
    <w:basedOn w:val="DefaultParagraphFont"/>
    <w:rsid w:val="007E3A6E"/>
  </w:style>
  <w:style w:type="character" w:customStyle="1" w:styleId="element-citation">
    <w:name w:val="element-citation"/>
    <w:basedOn w:val="DefaultParagraphFont"/>
    <w:rsid w:val="00784E80"/>
  </w:style>
  <w:style w:type="character" w:customStyle="1" w:styleId="ref-journal">
    <w:name w:val="ref-journal"/>
    <w:basedOn w:val="DefaultParagraphFont"/>
    <w:rsid w:val="00784E80"/>
  </w:style>
  <w:style w:type="character" w:customStyle="1" w:styleId="ref-vol">
    <w:name w:val="ref-vol"/>
    <w:basedOn w:val="DefaultParagraphFont"/>
    <w:rsid w:val="00784E80"/>
  </w:style>
  <w:style w:type="character" w:customStyle="1" w:styleId="nowrap">
    <w:name w:val="nowrap"/>
    <w:basedOn w:val="DefaultParagraphFont"/>
    <w:rsid w:val="00784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643408">
      <w:bodyDiv w:val="1"/>
      <w:marLeft w:val="0"/>
      <w:marRight w:val="0"/>
      <w:marTop w:val="0"/>
      <w:marBottom w:val="0"/>
      <w:divBdr>
        <w:top w:val="none" w:sz="0" w:space="0" w:color="auto"/>
        <w:left w:val="none" w:sz="0" w:space="0" w:color="auto"/>
        <w:bottom w:val="none" w:sz="0" w:space="0" w:color="auto"/>
        <w:right w:val="none" w:sz="0" w:space="0" w:color="auto"/>
      </w:divBdr>
      <w:divsChild>
        <w:div w:id="341932783">
          <w:marLeft w:val="0"/>
          <w:marRight w:val="0"/>
          <w:marTop w:val="0"/>
          <w:marBottom w:val="0"/>
          <w:divBdr>
            <w:top w:val="none" w:sz="0" w:space="0" w:color="auto"/>
            <w:left w:val="none" w:sz="0" w:space="0" w:color="auto"/>
            <w:bottom w:val="none" w:sz="0" w:space="0" w:color="auto"/>
            <w:right w:val="none" w:sz="0" w:space="0" w:color="auto"/>
          </w:divBdr>
          <w:divsChild>
            <w:div w:id="767696992">
              <w:marLeft w:val="0"/>
              <w:marRight w:val="0"/>
              <w:marTop w:val="0"/>
              <w:marBottom w:val="0"/>
              <w:divBdr>
                <w:top w:val="none" w:sz="0" w:space="0" w:color="auto"/>
                <w:left w:val="none" w:sz="0" w:space="0" w:color="auto"/>
                <w:bottom w:val="none" w:sz="0" w:space="0" w:color="auto"/>
                <w:right w:val="none" w:sz="0" w:space="0" w:color="auto"/>
              </w:divBdr>
            </w:div>
            <w:div w:id="257914115">
              <w:marLeft w:val="0"/>
              <w:marRight w:val="0"/>
              <w:marTop w:val="0"/>
              <w:marBottom w:val="0"/>
              <w:divBdr>
                <w:top w:val="none" w:sz="0" w:space="0" w:color="auto"/>
                <w:left w:val="none" w:sz="0" w:space="0" w:color="auto"/>
                <w:bottom w:val="none" w:sz="0" w:space="0" w:color="auto"/>
                <w:right w:val="none" w:sz="0" w:space="0" w:color="auto"/>
              </w:divBdr>
            </w:div>
          </w:divsChild>
        </w:div>
        <w:div w:id="1256786005">
          <w:marLeft w:val="0"/>
          <w:marRight w:val="0"/>
          <w:marTop w:val="0"/>
          <w:marBottom w:val="0"/>
          <w:divBdr>
            <w:top w:val="none" w:sz="0" w:space="0" w:color="auto"/>
            <w:left w:val="none" w:sz="0" w:space="0" w:color="auto"/>
            <w:bottom w:val="none" w:sz="0" w:space="0" w:color="auto"/>
            <w:right w:val="none" w:sz="0" w:space="0" w:color="auto"/>
          </w:divBdr>
        </w:div>
      </w:divsChild>
    </w:div>
    <w:div w:id="837616516">
      <w:bodyDiv w:val="1"/>
      <w:marLeft w:val="0"/>
      <w:marRight w:val="0"/>
      <w:marTop w:val="0"/>
      <w:marBottom w:val="0"/>
      <w:divBdr>
        <w:top w:val="none" w:sz="0" w:space="0" w:color="auto"/>
        <w:left w:val="none" w:sz="0" w:space="0" w:color="auto"/>
        <w:bottom w:val="none" w:sz="0" w:space="0" w:color="auto"/>
        <w:right w:val="none" w:sz="0" w:space="0" w:color="auto"/>
      </w:divBdr>
    </w:div>
    <w:div w:id="1072313166">
      <w:bodyDiv w:val="1"/>
      <w:marLeft w:val="0"/>
      <w:marRight w:val="0"/>
      <w:marTop w:val="0"/>
      <w:marBottom w:val="0"/>
      <w:divBdr>
        <w:top w:val="none" w:sz="0" w:space="0" w:color="auto"/>
        <w:left w:val="none" w:sz="0" w:space="0" w:color="auto"/>
        <w:bottom w:val="none" w:sz="0" w:space="0" w:color="auto"/>
        <w:right w:val="none" w:sz="0" w:space="0" w:color="auto"/>
      </w:divBdr>
      <w:divsChild>
        <w:div w:id="1231429060">
          <w:marLeft w:val="0"/>
          <w:marRight w:val="0"/>
          <w:marTop w:val="0"/>
          <w:marBottom w:val="0"/>
          <w:divBdr>
            <w:top w:val="none" w:sz="0" w:space="0" w:color="auto"/>
            <w:left w:val="none" w:sz="0" w:space="0" w:color="auto"/>
            <w:bottom w:val="none" w:sz="0" w:space="0" w:color="auto"/>
            <w:right w:val="none" w:sz="0" w:space="0" w:color="auto"/>
          </w:divBdr>
        </w:div>
        <w:div w:id="122240617">
          <w:marLeft w:val="0"/>
          <w:marRight w:val="0"/>
          <w:marTop w:val="0"/>
          <w:marBottom w:val="0"/>
          <w:divBdr>
            <w:top w:val="none" w:sz="0" w:space="0" w:color="auto"/>
            <w:left w:val="none" w:sz="0" w:space="0" w:color="auto"/>
            <w:bottom w:val="none" w:sz="0" w:space="0" w:color="auto"/>
            <w:right w:val="none" w:sz="0" w:space="0" w:color="auto"/>
          </w:divBdr>
        </w:div>
        <w:div w:id="1543126352">
          <w:marLeft w:val="0"/>
          <w:marRight w:val="0"/>
          <w:marTop w:val="0"/>
          <w:marBottom w:val="0"/>
          <w:divBdr>
            <w:top w:val="none" w:sz="0" w:space="0" w:color="auto"/>
            <w:left w:val="none" w:sz="0" w:space="0" w:color="auto"/>
            <w:bottom w:val="none" w:sz="0" w:space="0" w:color="auto"/>
            <w:right w:val="none" w:sz="0" w:space="0" w:color="auto"/>
          </w:divBdr>
        </w:div>
      </w:divsChild>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sChild>
        <w:div w:id="243032735">
          <w:marLeft w:val="0"/>
          <w:marRight w:val="0"/>
          <w:marTop w:val="0"/>
          <w:marBottom w:val="0"/>
          <w:divBdr>
            <w:top w:val="none" w:sz="0" w:space="0" w:color="auto"/>
            <w:left w:val="none" w:sz="0" w:space="0" w:color="auto"/>
            <w:bottom w:val="none" w:sz="0" w:space="0" w:color="auto"/>
            <w:right w:val="none" w:sz="0" w:space="0" w:color="auto"/>
          </w:divBdr>
          <w:divsChild>
            <w:div w:id="725954119">
              <w:marLeft w:val="0"/>
              <w:marRight w:val="0"/>
              <w:marTop w:val="0"/>
              <w:marBottom w:val="0"/>
              <w:divBdr>
                <w:top w:val="none" w:sz="0" w:space="0" w:color="auto"/>
                <w:left w:val="none" w:sz="0" w:space="0" w:color="auto"/>
                <w:bottom w:val="none" w:sz="0" w:space="0" w:color="auto"/>
                <w:right w:val="none" w:sz="0" w:space="0" w:color="auto"/>
              </w:divBdr>
            </w:div>
            <w:div w:id="2075926891">
              <w:marLeft w:val="0"/>
              <w:marRight w:val="0"/>
              <w:marTop w:val="0"/>
              <w:marBottom w:val="0"/>
              <w:divBdr>
                <w:top w:val="none" w:sz="0" w:space="0" w:color="auto"/>
                <w:left w:val="none" w:sz="0" w:space="0" w:color="auto"/>
                <w:bottom w:val="none" w:sz="0" w:space="0" w:color="auto"/>
                <w:right w:val="none" w:sz="0" w:space="0" w:color="auto"/>
              </w:divBdr>
            </w:div>
          </w:divsChild>
        </w:div>
        <w:div w:id="165487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gif"/><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CCER\Desktop\Master's%20Research%20Project\Akpoguma%20Omuvwie\Dr%20tEGA\resul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texastechuniversity-my.sharepoint.com/personal/efe_isukuru_ttu_edu/Documents/Master's%20Research%20Project/Akpoguma%20Omuvwie/Dr%20tEGA/new%20results/result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Sheet1!$O$10</c:f>
              <c:strCache>
                <c:ptCount val="1"/>
                <c:pt idx="0">
                  <c:v>Cadmium</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multiLvlStrRef>
              <c:f>Sheet1!$P$8:$U$9</c:f>
              <c:multiLvlStrCache>
                <c:ptCount val="6"/>
                <c:lvl>
                  <c:pt idx="0">
                    <c:v>Wet</c:v>
                  </c:pt>
                  <c:pt idx="1">
                    <c:v>Dry</c:v>
                  </c:pt>
                  <c:pt idx="2">
                    <c:v>Wet</c:v>
                  </c:pt>
                  <c:pt idx="3">
                    <c:v>Dry</c:v>
                  </c:pt>
                  <c:pt idx="4">
                    <c:v>Wet</c:v>
                  </c:pt>
                  <c:pt idx="5">
                    <c:v>Dry</c:v>
                  </c:pt>
                </c:lvl>
                <c:lvl>
                  <c:pt idx="0">
                    <c:v>Crab</c:v>
                  </c:pt>
                  <c:pt idx="2">
                    <c:v>Shrimps</c:v>
                  </c:pt>
                  <c:pt idx="4">
                    <c:v>Periwinkle</c:v>
                  </c:pt>
                </c:lvl>
              </c:multiLvlStrCache>
            </c:multiLvlStrRef>
          </c:cat>
          <c:val>
            <c:numRef>
              <c:f>Sheet1!$P$10:$U$10</c:f>
              <c:numCache>
                <c:formatCode>General</c:formatCode>
                <c:ptCount val="6"/>
                <c:pt idx="0">
                  <c:v>0.16</c:v>
                </c:pt>
                <c:pt idx="1">
                  <c:v>0.41</c:v>
                </c:pt>
                <c:pt idx="2">
                  <c:v>0</c:v>
                </c:pt>
                <c:pt idx="3">
                  <c:v>0</c:v>
                </c:pt>
                <c:pt idx="4">
                  <c:v>0.32</c:v>
                </c:pt>
                <c:pt idx="5">
                  <c:v>0.16</c:v>
                </c:pt>
              </c:numCache>
            </c:numRef>
          </c:val>
          <c:extLst>
            <c:ext xmlns:c16="http://schemas.microsoft.com/office/drawing/2014/chart" uri="{C3380CC4-5D6E-409C-BE32-E72D297353CC}">
              <c16:uniqueId val="{00000000-83C5-4B6B-A3EA-F1A44E3B9DAF}"/>
            </c:ext>
          </c:extLst>
        </c:ser>
        <c:ser>
          <c:idx val="1"/>
          <c:order val="1"/>
          <c:tx>
            <c:strRef>
              <c:f>Sheet1!$O$11</c:f>
              <c:strCache>
                <c:ptCount val="1"/>
                <c:pt idx="0">
                  <c:v>Lead</c:v>
                </c:pt>
              </c:strCache>
            </c:strRef>
          </c:tx>
          <c:spPr>
            <a:solidFill>
              <a:schemeClr val="accent2"/>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multiLvlStrRef>
              <c:f>Sheet1!$P$8:$U$9</c:f>
              <c:multiLvlStrCache>
                <c:ptCount val="6"/>
                <c:lvl>
                  <c:pt idx="0">
                    <c:v>Wet</c:v>
                  </c:pt>
                  <c:pt idx="1">
                    <c:v>Dry</c:v>
                  </c:pt>
                  <c:pt idx="2">
                    <c:v>Wet</c:v>
                  </c:pt>
                  <c:pt idx="3">
                    <c:v>Dry</c:v>
                  </c:pt>
                  <c:pt idx="4">
                    <c:v>Wet</c:v>
                  </c:pt>
                  <c:pt idx="5">
                    <c:v>Dry</c:v>
                  </c:pt>
                </c:lvl>
                <c:lvl>
                  <c:pt idx="0">
                    <c:v>Crab</c:v>
                  </c:pt>
                  <c:pt idx="2">
                    <c:v>Shrimps</c:v>
                  </c:pt>
                  <c:pt idx="4">
                    <c:v>Periwinkle</c:v>
                  </c:pt>
                </c:lvl>
              </c:multiLvlStrCache>
            </c:multiLvlStrRef>
          </c:cat>
          <c:val>
            <c:numRef>
              <c:f>Sheet1!$P$11:$U$11</c:f>
              <c:numCache>
                <c:formatCode>General</c:formatCode>
                <c:ptCount val="6"/>
                <c:pt idx="0">
                  <c:v>1.33</c:v>
                </c:pt>
                <c:pt idx="1">
                  <c:v>1.63</c:v>
                </c:pt>
                <c:pt idx="2">
                  <c:v>0.67200000000000004</c:v>
                </c:pt>
                <c:pt idx="3">
                  <c:v>0.88</c:v>
                </c:pt>
                <c:pt idx="4">
                  <c:v>1.04</c:v>
                </c:pt>
                <c:pt idx="5">
                  <c:v>1.24</c:v>
                </c:pt>
              </c:numCache>
            </c:numRef>
          </c:val>
          <c:extLst>
            <c:ext xmlns:c16="http://schemas.microsoft.com/office/drawing/2014/chart" uri="{C3380CC4-5D6E-409C-BE32-E72D297353CC}">
              <c16:uniqueId val="{00000001-83C5-4B6B-A3EA-F1A44E3B9DAF}"/>
            </c:ext>
          </c:extLst>
        </c:ser>
        <c:ser>
          <c:idx val="2"/>
          <c:order val="2"/>
          <c:tx>
            <c:strRef>
              <c:f>Sheet1!$O$12</c:f>
              <c:strCache>
                <c:ptCount val="1"/>
                <c:pt idx="0">
                  <c:v>Mercury</c:v>
                </c:pt>
              </c:strCache>
            </c:strRef>
          </c:tx>
          <c:spPr>
            <a:solidFill>
              <a:schemeClr val="accent3"/>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multiLvlStrRef>
              <c:f>Sheet1!$P$8:$U$9</c:f>
              <c:multiLvlStrCache>
                <c:ptCount val="6"/>
                <c:lvl>
                  <c:pt idx="0">
                    <c:v>Wet</c:v>
                  </c:pt>
                  <c:pt idx="1">
                    <c:v>Dry</c:v>
                  </c:pt>
                  <c:pt idx="2">
                    <c:v>Wet</c:v>
                  </c:pt>
                  <c:pt idx="3">
                    <c:v>Dry</c:v>
                  </c:pt>
                  <c:pt idx="4">
                    <c:v>Wet</c:v>
                  </c:pt>
                  <c:pt idx="5">
                    <c:v>Dry</c:v>
                  </c:pt>
                </c:lvl>
                <c:lvl>
                  <c:pt idx="0">
                    <c:v>Crab</c:v>
                  </c:pt>
                  <c:pt idx="2">
                    <c:v>Shrimps</c:v>
                  </c:pt>
                  <c:pt idx="4">
                    <c:v>Periwinkle</c:v>
                  </c:pt>
                </c:lvl>
              </c:multiLvlStrCache>
            </c:multiLvlStrRef>
          </c:cat>
          <c:val>
            <c:numRef>
              <c:f>Sheet1!$P$12:$U$12</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2-83C5-4B6B-A3EA-F1A44E3B9DAF}"/>
            </c:ext>
          </c:extLst>
        </c:ser>
        <c:ser>
          <c:idx val="3"/>
          <c:order val="3"/>
          <c:tx>
            <c:strRef>
              <c:f>Sheet1!$O$13</c:f>
              <c:strCache>
                <c:ptCount val="1"/>
                <c:pt idx="0">
                  <c:v>Arsenic</c:v>
                </c:pt>
              </c:strCache>
            </c:strRef>
          </c:tx>
          <c:spPr>
            <a:solidFill>
              <a:schemeClr val="accent4"/>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multiLvlStrRef>
              <c:f>Sheet1!$P$8:$U$9</c:f>
              <c:multiLvlStrCache>
                <c:ptCount val="6"/>
                <c:lvl>
                  <c:pt idx="0">
                    <c:v>Wet</c:v>
                  </c:pt>
                  <c:pt idx="1">
                    <c:v>Dry</c:v>
                  </c:pt>
                  <c:pt idx="2">
                    <c:v>Wet</c:v>
                  </c:pt>
                  <c:pt idx="3">
                    <c:v>Dry</c:v>
                  </c:pt>
                  <c:pt idx="4">
                    <c:v>Wet</c:v>
                  </c:pt>
                  <c:pt idx="5">
                    <c:v>Dry</c:v>
                  </c:pt>
                </c:lvl>
                <c:lvl>
                  <c:pt idx="0">
                    <c:v>Crab</c:v>
                  </c:pt>
                  <c:pt idx="2">
                    <c:v>Shrimps</c:v>
                  </c:pt>
                  <c:pt idx="4">
                    <c:v>Periwinkle</c:v>
                  </c:pt>
                </c:lvl>
              </c:multiLvlStrCache>
            </c:multiLvlStrRef>
          </c:cat>
          <c:val>
            <c:numRef>
              <c:f>Sheet1!$P$13:$U$13</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3-83C5-4B6B-A3EA-F1A44E3B9DAF}"/>
            </c:ext>
          </c:extLst>
        </c:ser>
        <c:dLbls>
          <c:showLegendKey val="0"/>
          <c:showVal val="0"/>
          <c:showCatName val="0"/>
          <c:showSerName val="0"/>
          <c:showPercent val="0"/>
          <c:showBubbleSize val="0"/>
        </c:dLbls>
        <c:gapWidth val="219"/>
        <c:overlap val="-27"/>
        <c:axId val="1695930752"/>
        <c:axId val="1695930208"/>
      </c:barChart>
      <c:catAx>
        <c:axId val="1695930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5930208"/>
        <c:crosses val="autoZero"/>
        <c:auto val="1"/>
        <c:lblAlgn val="ctr"/>
        <c:lblOffset val="100"/>
        <c:noMultiLvlLbl val="0"/>
      </c:catAx>
      <c:valAx>
        <c:axId val="169593020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mg/kg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5930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Sheet1!$Y$25</c:f>
              <c:strCache>
                <c:ptCount val="1"/>
                <c:pt idx="0">
                  <c:v>Enterobacteriaceae</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multiLvlStrRef>
              <c:f>Sheet1!$Z$23:$AE$24</c:f>
              <c:multiLvlStrCache>
                <c:ptCount val="6"/>
                <c:lvl>
                  <c:pt idx="0">
                    <c:v>Wet</c:v>
                  </c:pt>
                  <c:pt idx="1">
                    <c:v>Dry</c:v>
                  </c:pt>
                  <c:pt idx="2">
                    <c:v>Wet</c:v>
                  </c:pt>
                  <c:pt idx="3">
                    <c:v>Dry</c:v>
                  </c:pt>
                  <c:pt idx="4">
                    <c:v>Wet</c:v>
                  </c:pt>
                  <c:pt idx="5">
                    <c:v>Dry</c:v>
                  </c:pt>
                </c:lvl>
                <c:lvl>
                  <c:pt idx="0">
                    <c:v>Crabs</c:v>
                  </c:pt>
                  <c:pt idx="2">
                    <c:v>Shrimps</c:v>
                  </c:pt>
                  <c:pt idx="4">
                    <c:v>Periwinkles</c:v>
                  </c:pt>
                </c:lvl>
              </c:multiLvlStrCache>
            </c:multiLvlStrRef>
          </c:cat>
          <c:val>
            <c:numRef>
              <c:f>Sheet1!$Z$25:$AE$25</c:f>
              <c:numCache>
                <c:formatCode>General</c:formatCode>
                <c:ptCount val="6"/>
                <c:pt idx="0">
                  <c:v>0</c:v>
                </c:pt>
                <c:pt idx="1">
                  <c:v>0</c:v>
                </c:pt>
                <c:pt idx="2">
                  <c:v>0</c:v>
                </c:pt>
                <c:pt idx="3">
                  <c:v>0</c:v>
                </c:pt>
                <c:pt idx="4">
                  <c:v>1.5</c:v>
                </c:pt>
                <c:pt idx="5">
                  <c:v>0</c:v>
                </c:pt>
              </c:numCache>
            </c:numRef>
          </c:val>
          <c:extLst>
            <c:ext xmlns:c16="http://schemas.microsoft.com/office/drawing/2014/chart" uri="{C3380CC4-5D6E-409C-BE32-E72D297353CC}">
              <c16:uniqueId val="{00000000-B097-4CD9-9626-9BC4772E2B51}"/>
            </c:ext>
          </c:extLst>
        </c:ser>
        <c:ser>
          <c:idx val="1"/>
          <c:order val="1"/>
          <c:tx>
            <c:strRef>
              <c:f>Sheet1!$Y$26</c:f>
              <c:strCache>
                <c:ptCount val="1"/>
                <c:pt idx="0">
                  <c:v>Salmonella-Shigella </c:v>
                </c:pt>
              </c:strCache>
            </c:strRef>
          </c:tx>
          <c:spPr>
            <a:solidFill>
              <a:schemeClr val="accent2"/>
            </a:solidFill>
            <a:ln>
              <a:noFill/>
            </a:ln>
            <a:effectLst/>
          </c:spPr>
          <c:invertIfNegative val="0"/>
          <c:errBars>
            <c:errBarType val="plus"/>
            <c:errValType val="percentage"/>
            <c:noEndCap val="0"/>
            <c:val val="5"/>
            <c:spPr>
              <a:noFill/>
              <a:ln w="9525" cap="flat" cmpd="sng" algn="ctr">
                <a:solidFill>
                  <a:schemeClr val="tx1">
                    <a:lumMod val="65000"/>
                    <a:lumOff val="35000"/>
                  </a:schemeClr>
                </a:solidFill>
                <a:round/>
              </a:ln>
              <a:effectLst/>
            </c:spPr>
          </c:errBars>
          <c:cat>
            <c:multiLvlStrRef>
              <c:f>Sheet1!$Z$23:$AE$24</c:f>
              <c:multiLvlStrCache>
                <c:ptCount val="6"/>
                <c:lvl>
                  <c:pt idx="0">
                    <c:v>Wet</c:v>
                  </c:pt>
                  <c:pt idx="1">
                    <c:v>Dry</c:v>
                  </c:pt>
                  <c:pt idx="2">
                    <c:v>Wet</c:v>
                  </c:pt>
                  <c:pt idx="3">
                    <c:v>Dry</c:v>
                  </c:pt>
                  <c:pt idx="4">
                    <c:v>Wet</c:v>
                  </c:pt>
                  <c:pt idx="5">
                    <c:v>Dry</c:v>
                  </c:pt>
                </c:lvl>
                <c:lvl>
                  <c:pt idx="0">
                    <c:v>Crabs</c:v>
                  </c:pt>
                  <c:pt idx="2">
                    <c:v>Shrimps</c:v>
                  </c:pt>
                  <c:pt idx="4">
                    <c:v>Periwinkles</c:v>
                  </c:pt>
                </c:lvl>
              </c:multiLvlStrCache>
            </c:multiLvlStrRef>
          </c:cat>
          <c:val>
            <c:numRef>
              <c:f>Sheet1!$Z$26:$AE$26</c:f>
              <c:numCache>
                <c:formatCode>General</c:formatCode>
                <c:ptCount val="6"/>
                <c:pt idx="0">
                  <c:v>0</c:v>
                </c:pt>
                <c:pt idx="1">
                  <c:v>1.3</c:v>
                </c:pt>
                <c:pt idx="2">
                  <c:v>1.5</c:v>
                </c:pt>
                <c:pt idx="3">
                  <c:v>1.2</c:v>
                </c:pt>
                <c:pt idx="4">
                  <c:v>0</c:v>
                </c:pt>
                <c:pt idx="5">
                  <c:v>0</c:v>
                </c:pt>
              </c:numCache>
            </c:numRef>
          </c:val>
          <c:extLst>
            <c:ext xmlns:c16="http://schemas.microsoft.com/office/drawing/2014/chart" uri="{C3380CC4-5D6E-409C-BE32-E72D297353CC}">
              <c16:uniqueId val="{00000001-B097-4CD9-9626-9BC4772E2B51}"/>
            </c:ext>
          </c:extLst>
        </c:ser>
        <c:ser>
          <c:idx val="2"/>
          <c:order val="2"/>
          <c:tx>
            <c:strRef>
              <c:f>Sheet1!$Y$27</c:f>
              <c:strCache>
                <c:ptCount val="1"/>
                <c:pt idx="0">
                  <c:v>Vibrio </c:v>
                </c:pt>
              </c:strCache>
            </c:strRef>
          </c:tx>
          <c:spPr>
            <a:solidFill>
              <a:schemeClr val="accent3"/>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multiLvlStrRef>
              <c:f>Sheet1!$Z$23:$AE$24</c:f>
              <c:multiLvlStrCache>
                <c:ptCount val="6"/>
                <c:lvl>
                  <c:pt idx="0">
                    <c:v>Wet</c:v>
                  </c:pt>
                  <c:pt idx="1">
                    <c:v>Dry</c:v>
                  </c:pt>
                  <c:pt idx="2">
                    <c:v>Wet</c:v>
                  </c:pt>
                  <c:pt idx="3">
                    <c:v>Dry</c:v>
                  </c:pt>
                  <c:pt idx="4">
                    <c:v>Wet</c:v>
                  </c:pt>
                  <c:pt idx="5">
                    <c:v>Dry</c:v>
                  </c:pt>
                </c:lvl>
                <c:lvl>
                  <c:pt idx="0">
                    <c:v>Crabs</c:v>
                  </c:pt>
                  <c:pt idx="2">
                    <c:v>Shrimps</c:v>
                  </c:pt>
                  <c:pt idx="4">
                    <c:v>Periwinkles</c:v>
                  </c:pt>
                </c:lvl>
              </c:multiLvlStrCache>
            </c:multiLvlStrRef>
          </c:cat>
          <c:val>
            <c:numRef>
              <c:f>Sheet1!$Z$27:$AE$27</c:f>
              <c:numCache>
                <c:formatCode>General</c:formatCode>
                <c:ptCount val="6"/>
                <c:pt idx="0">
                  <c:v>0</c:v>
                </c:pt>
                <c:pt idx="1">
                  <c:v>0</c:v>
                </c:pt>
                <c:pt idx="2">
                  <c:v>0</c:v>
                </c:pt>
                <c:pt idx="3">
                  <c:v>2</c:v>
                </c:pt>
                <c:pt idx="4">
                  <c:v>0</c:v>
                </c:pt>
                <c:pt idx="5">
                  <c:v>0</c:v>
                </c:pt>
              </c:numCache>
            </c:numRef>
          </c:val>
          <c:extLst>
            <c:ext xmlns:c16="http://schemas.microsoft.com/office/drawing/2014/chart" uri="{C3380CC4-5D6E-409C-BE32-E72D297353CC}">
              <c16:uniqueId val="{00000002-B097-4CD9-9626-9BC4772E2B51}"/>
            </c:ext>
          </c:extLst>
        </c:ser>
        <c:ser>
          <c:idx val="3"/>
          <c:order val="3"/>
          <c:tx>
            <c:strRef>
              <c:f>Sheet1!$Y$28</c:f>
              <c:strCache>
                <c:ptCount val="1"/>
                <c:pt idx="0">
                  <c:v>Total Viable Bacteria </c:v>
                </c:pt>
              </c:strCache>
            </c:strRef>
          </c:tx>
          <c:spPr>
            <a:solidFill>
              <a:schemeClr val="accent4"/>
            </a:solidFill>
            <a:ln>
              <a:noFill/>
            </a:ln>
            <a:effectLst/>
          </c:spPr>
          <c:invertIfNegative val="0"/>
          <c:errBars>
            <c:errBarType val="plus"/>
            <c:errValType val="percentage"/>
            <c:noEndCap val="0"/>
            <c:val val="5"/>
            <c:spPr>
              <a:noFill/>
              <a:ln w="9525" cap="flat" cmpd="sng" algn="ctr">
                <a:solidFill>
                  <a:schemeClr val="tx1">
                    <a:lumMod val="65000"/>
                    <a:lumOff val="35000"/>
                  </a:schemeClr>
                </a:solidFill>
                <a:round/>
              </a:ln>
              <a:effectLst/>
            </c:spPr>
          </c:errBars>
          <c:cat>
            <c:multiLvlStrRef>
              <c:f>Sheet1!$Z$23:$AE$24</c:f>
              <c:multiLvlStrCache>
                <c:ptCount val="6"/>
                <c:lvl>
                  <c:pt idx="0">
                    <c:v>Wet</c:v>
                  </c:pt>
                  <c:pt idx="1">
                    <c:v>Dry</c:v>
                  </c:pt>
                  <c:pt idx="2">
                    <c:v>Wet</c:v>
                  </c:pt>
                  <c:pt idx="3">
                    <c:v>Dry</c:v>
                  </c:pt>
                  <c:pt idx="4">
                    <c:v>Wet</c:v>
                  </c:pt>
                  <c:pt idx="5">
                    <c:v>Dry</c:v>
                  </c:pt>
                </c:lvl>
                <c:lvl>
                  <c:pt idx="0">
                    <c:v>Crabs</c:v>
                  </c:pt>
                  <c:pt idx="2">
                    <c:v>Shrimps</c:v>
                  </c:pt>
                  <c:pt idx="4">
                    <c:v>Periwinkles</c:v>
                  </c:pt>
                </c:lvl>
              </c:multiLvlStrCache>
            </c:multiLvlStrRef>
          </c:cat>
          <c:val>
            <c:numRef>
              <c:f>Sheet1!$Z$28:$AE$28</c:f>
              <c:numCache>
                <c:formatCode>General</c:formatCode>
                <c:ptCount val="6"/>
                <c:pt idx="0">
                  <c:v>2.1</c:v>
                </c:pt>
                <c:pt idx="1">
                  <c:v>0.3</c:v>
                </c:pt>
                <c:pt idx="2">
                  <c:v>2.2999999999999998</c:v>
                </c:pt>
                <c:pt idx="3">
                  <c:v>2.2000000000000002</c:v>
                </c:pt>
                <c:pt idx="4">
                  <c:v>2</c:v>
                </c:pt>
                <c:pt idx="5">
                  <c:v>1.5</c:v>
                </c:pt>
              </c:numCache>
            </c:numRef>
          </c:val>
          <c:extLst>
            <c:ext xmlns:c16="http://schemas.microsoft.com/office/drawing/2014/chart" uri="{C3380CC4-5D6E-409C-BE32-E72D297353CC}">
              <c16:uniqueId val="{00000003-B097-4CD9-9626-9BC4772E2B51}"/>
            </c:ext>
          </c:extLst>
        </c:ser>
        <c:dLbls>
          <c:showLegendKey val="0"/>
          <c:showVal val="0"/>
          <c:showCatName val="0"/>
          <c:showSerName val="0"/>
          <c:showPercent val="0"/>
          <c:showBubbleSize val="0"/>
        </c:dLbls>
        <c:gapWidth val="219"/>
        <c:overlap val="-27"/>
        <c:axId val="1695919328"/>
        <c:axId val="1695931296"/>
      </c:barChart>
      <c:catAx>
        <c:axId val="1695919328"/>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900" b="0" baseline="0">
                    <a:latin typeface="Arial" panose="020B0604020202020204" pitchFamily="34" charset="0"/>
                    <a:cs typeface="Arial" panose="020B0604020202020204" pitchFamily="34" charset="0"/>
                  </a:rPr>
                  <a:t>Seasons</a:t>
                </a:r>
                <a:endParaRPr lang="en-US" sz="900" b="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95931296"/>
        <c:crosses val="autoZero"/>
        <c:auto val="1"/>
        <c:lblAlgn val="ctr"/>
        <c:lblOffset val="100"/>
        <c:noMultiLvlLbl val="0"/>
      </c:catAx>
      <c:valAx>
        <c:axId val="1695931296"/>
        <c:scaling>
          <c:orientation val="minMax"/>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r>
                  <a:rPr lang="en-US" sz="900" b="0" i="0" baseline="0">
                    <a:effectLst/>
                    <a:latin typeface="Arial" panose="020B0604020202020204" pitchFamily="34" charset="0"/>
                    <a:cs typeface="Arial" panose="020B0604020202020204" pitchFamily="34" charset="0"/>
                  </a:rPr>
                  <a:t>Bacterial counts x10</a:t>
                </a:r>
                <a:r>
                  <a:rPr lang="en-US" sz="900" b="0" i="0" baseline="30000">
                    <a:effectLst/>
                    <a:latin typeface="Arial" panose="020B0604020202020204" pitchFamily="34" charset="0"/>
                    <a:cs typeface="Arial" panose="020B0604020202020204" pitchFamily="34" charset="0"/>
                  </a:rPr>
                  <a:t>4</a:t>
                </a:r>
                <a:r>
                  <a:rPr lang="en-US" sz="900" b="0" i="0" baseline="0">
                    <a:effectLst/>
                    <a:latin typeface="Arial" panose="020B0604020202020204" pitchFamily="34" charset="0"/>
                    <a:cs typeface="Arial" panose="020B0604020202020204" pitchFamily="34" charset="0"/>
                  </a:rPr>
                  <a:t> CFU/g</a:t>
                </a:r>
                <a:r>
                  <a:rPr lang="en-US" sz="900" b="0" baseline="0">
                    <a:latin typeface="Arial" panose="020B0604020202020204" pitchFamily="34" charset="0"/>
                    <a:cs typeface="Arial" panose="020B0604020202020204" pitchFamily="34" charset="0"/>
                  </a:rPr>
                  <a:t> </a:t>
                </a:r>
                <a:endParaRPr lang="en-US" sz="900" b="0">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591932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1"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900" b="0" i="1"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900" b="0" i="1"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7219</Words>
  <Characters>41150</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Editor-22</cp:lastModifiedBy>
  <cp:revision>19</cp:revision>
  <dcterms:created xsi:type="dcterms:W3CDTF">2025-05-16T23:22:00Z</dcterms:created>
  <dcterms:modified xsi:type="dcterms:W3CDTF">2025-05-17T11:43:00Z</dcterms:modified>
</cp:coreProperties>
</file>