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809E" w14:textId="77777777" w:rsidR="00790409" w:rsidRPr="00B4624E" w:rsidRDefault="00790409" w:rsidP="00B4624E">
      <w:pPr>
        <w:jc w:val="center"/>
        <w:rPr>
          <w:rFonts w:ascii="Times New Roman" w:hAnsi="Times New Roman" w:cs="Times New Roman"/>
          <w:b/>
          <w:bCs/>
          <w:i/>
          <w:iCs/>
          <w:sz w:val="32"/>
          <w:szCs w:val="32"/>
          <w:lang w:val="en-US"/>
        </w:rPr>
      </w:pPr>
      <w:r w:rsidRPr="00B4624E">
        <w:rPr>
          <w:rFonts w:ascii="Times New Roman" w:hAnsi="Times New Roman" w:cs="Times New Roman"/>
          <w:b/>
          <w:bCs/>
          <w:sz w:val="32"/>
          <w:szCs w:val="32"/>
          <w:lang w:val="en-US"/>
        </w:rPr>
        <w:t xml:space="preserve">Phytochemistry, evaluation of biological activities and cytotoxicity of leaves and seeds of the plant </w:t>
      </w:r>
      <w:proofErr w:type="spellStart"/>
      <w:r w:rsidRPr="00B4624E">
        <w:rPr>
          <w:rFonts w:ascii="Times New Roman" w:hAnsi="Times New Roman" w:cs="Times New Roman"/>
          <w:b/>
          <w:bCs/>
          <w:i/>
          <w:iCs/>
          <w:sz w:val="32"/>
          <w:szCs w:val="32"/>
          <w:lang w:val="en-US"/>
        </w:rPr>
        <w:t>Lawsonia</w:t>
      </w:r>
      <w:proofErr w:type="spellEnd"/>
      <w:r w:rsidRPr="00B4624E">
        <w:rPr>
          <w:rFonts w:ascii="Times New Roman" w:hAnsi="Times New Roman" w:cs="Times New Roman"/>
          <w:b/>
          <w:bCs/>
          <w:i/>
          <w:iCs/>
          <w:sz w:val="32"/>
          <w:szCs w:val="32"/>
          <w:lang w:val="en-US"/>
        </w:rPr>
        <w:t xml:space="preserve"> </w:t>
      </w:r>
      <w:proofErr w:type="spellStart"/>
      <w:r w:rsidRPr="00B4624E">
        <w:rPr>
          <w:rFonts w:ascii="Times New Roman" w:hAnsi="Times New Roman" w:cs="Times New Roman"/>
          <w:b/>
          <w:bCs/>
          <w:i/>
          <w:iCs/>
          <w:sz w:val="32"/>
          <w:szCs w:val="32"/>
          <w:lang w:val="en-US"/>
        </w:rPr>
        <w:t>inermis</w:t>
      </w:r>
      <w:proofErr w:type="spellEnd"/>
    </w:p>
    <w:p w14:paraId="1F9C1242" w14:textId="77777777" w:rsidR="00BC029F" w:rsidRPr="00F231C0" w:rsidRDefault="00BC029F" w:rsidP="00790409">
      <w:pPr>
        <w:spacing w:line="360" w:lineRule="auto"/>
        <w:jc w:val="both"/>
        <w:rPr>
          <w:rFonts w:ascii="Times New Roman" w:hAnsi="Times New Roman" w:cs="Times New Roman"/>
          <w:color w:val="000000" w:themeColor="text1"/>
          <w:lang w:val="en-US"/>
        </w:rPr>
      </w:pPr>
    </w:p>
    <w:p w14:paraId="565136AA" w14:textId="77777777" w:rsidR="00BD4560" w:rsidRPr="00B4624E" w:rsidRDefault="00BD4560" w:rsidP="00BC029F">
      <w:pPr>
        <w:rPr>
          <w:rFonts w:ascii="Times New Roman" w:eastAsia="TimesNewRoman" w:hAnsi="Times New Roman"/>
          <w:i/>
          <w:iCs/>
          <w:lang w:val="en-US"/>
        </w:rPr>
      </w:pPr>
    </w:p>
    <w:p w14:paraId="65C99DDF" w14:textId="02BA5F50" w:rsidR="00BC029F" w:rsidRDefault="00BC029F" w:rsidP="00790409">
      <w:pPr>
        <w:spacing w:line="360" w:lineRule="auto"/>
        <w:jc w:val="both"/>
        <w:rPr>
          <w:rFonts w:ascii="Times New Roman" w:hAnsi="Times New Roman" w:cs="Times New Roman"/>
          <w:vertAlign w:val="superscript"/>
          <w:lang w:val="en-US"/>
        </w:rPr>
      </w:pPr>
    </w:p>
    <w:p w14:paraId="7F99A777" w14:textId="77777777" w:rsidR="00790409" w:rsidRPr="00B4624E" w:rsidRDefault="00790409" w:rsidP="00790409">
      <w:pPr>
        <w:spacing w:line="360" w:lineRule="auto"/>
        <w:rPr>
          <w:rFonts w:ascii="Times New Roman" w:hAnsi="Times New Roman"/>
          <w:b/>
          <w:lang w:val="en-US"/>
        </w:rPr>
      </w:pPr>
    </w:p>
    <w:p w14:paraId="44BA73D8" w14:textId="77777777" w:rsidR="00790409" w:rsidRPr="00B4624E" w:rsidRDefault="00790409" w:rsidP="00790409">
      <w:pPr>
        <w:spacing w:line="360" w:lineRule="auto"/>
        <w:jc w:val="both"/>
        <w:rPr>
          <w:rFonts w:ascii="Times New Roman" w:hAnsi="Times New Roman"/>
          <w:b/>
          <w:lang w:val="en-US"/>
        </w:rPr>
      </w:pPr>
      <w:r w:rsidRPr="00B4624E">
        <w:rPr>
          <w:rFonts w:ascii="Times New Roman" w:hAnsi="Times New Roman"/>
          <w:b/>
          <w:lang w:val="en-US"/>
        </w:rPr>
        <w:t xml:space="preserve">Abstract </w:t>
      </w:r>
    </w:p>
    <w:p w14:paraId="30DFA6BD" w14:textId="4AEBDC8E" w:rsidR="00E425C3" w:rsidRDefault="00790409" w:rsidP="00790409">
      <w:pPr>
        <w:spacing w:line="360" w:lineRule="auto"/>
        <w:jc w:val="both"/>
        <w:rPr>
          <w:rFonts w:ascii="Times New Roman" w:hAnsi="Times New Roman" w:cs="Times New Roman"/>
          <w:lang w:val="en-US"/>
        </w:rPr>
      </w:pPr>
      <w:proofErr w:type="spellStart"/>
      <w:r w:rsidRPr="00841A1B">
        <w:rPr>
          <w:rFonts w:ascii="Times New Roman" w:hAnsi="Times New Roman" w:cs="Times New Roman"/>
          <w:i/>
          <w:iCs/>
          <w:lang w:val="en-US"/>
        </w:rPr>
        <w:t>Lawsonia</w:t>
      </w:r>
      <w:proofErr w:type="spellEnd"/>
      <w:r w:rsidRPr="00841A1B">
        <w:rPr>
          <w:rFonts w:ascii="Times New Roman" w:hAnsi="Times New Roman" w:cs="Times New Roman"/>
          <w:i/>
          <w:iCs/>
          <w:lang w:val="en-US"/>
        </w:rPr>
        <w:t xml:space="preserve"> </w:t>
      </w:r>
      <w:proofErr w:type="spellStart"/>
      <w:r w:rsidRPr="00841A1B">
        <w:rPr>
          <w:rFonts w:ascii="Times New Roman" w:hAnsi="Times New Roman" w:cs="Times New Roman"/>
          <w:i/>
          <w:iCs/>
          <w:lang w:val="en-US"/>
        </w:rPr>
        <w:t>inermis</w:t>
      </w:r>
      <w:proofErr w:type="spellEnd"/>
      <w:r w:rsidRPr="00790409">
        <w:rPr>
          <w:rFonts w:ascii="Times New Roman" w:hAnsi="Times New Roman" w:cs="Times New Roman"/>
          <w:lang w:val="en-US"/>
        </w:rPr>
        <w:t>, with its many synonyms including its unfixed size and pyramid-shaped, grey seeds, is a plant with many therapeutic virtues in traditional and pharmacological medicine. Thus,</w:t>
      </w:r>
      <w:r w:rsidR="00602387">
        <w:rPr>
          <w:rFonts w:ascii="Times New Roman" w:hAnsi="Times New Roman" w:cs="Times New Roman"/>
          <w:lang w:val="en-US"/>
        </w:rPr>
        <w:t xml:space="preserve"> this paper is about</w:t>
      </w:r>
      <w:r w:rsidRPr="00790409">
        <w:rPr>
          <w:rFonts w:ascii="Times New Roman" w:hAnsi="Times New Roman" w:cs="Times New Roman"/>
          <w:lang w:val="en-US"/>
        </w:rPr>
        <w:t xml:space="preserve"> </w:t>
      </w:r>
      <w:r w:rsidR="00602387">
        <w:rPr>
          <w:rFonts w:ascii="Times New Roman" w:hAnsi="Times New Roman" w:cs="Times New Roman"/>
          <w:lang w:val="en-US"/>
        </w:rPr>
        <w:t xml:space="preserve">it </w:t>
      </w:r>
      <w:r w:rsidRPr="00790409">
        <w:rPr>
          <w:rFonts w:ascii="Times New Roman" w:hAnsi="Times New Roman" w:cs="Times New Roman"/>
          <w:lang w:val="en-US"/>
        </w:rPr>
        <w:t>a</w:t>
      </w:r>
      <w:r w:rsidR="00602387">
        <w:rPr>
          <w:rFonts w:ascii="Times New Roman" w:hAnsi="Times New Roman" w:cs="Times New Roman"/>
          <w:lang w:val="en-US"/>
        </w:rPr>
        <w:t>nd it is</w:t>
      </w:r>
      <w:r w:rsidRPr="00790409">
        <w:rPr>
          <w:rFonts w:ascii="Times New Roman" w:hAnsi="Times New Roman" w:cs="Times New Roman"/>
          <w:lang w:val="en-US"/>
        </w:rPr>
        <w:t xml:space="preserve"> entitled Phytochemical study, evaluation of the biological activity and cytotoxicity of the leaves and seeds of the plant </w:t>
      </w:r>
      <w:proofErr w:type="spellStart"/>
      <w:r w:rsidRPr="00841A1B">
        <w:rPr>
          <w:rFonts w:ascii="Times New Roman" w:hAnsi="Times New Roman" w:cs="Times New Roman"/>
          <w:i/>
          <w:iCs/>
          <w:lang w:val="en-US"/>
        </w:rPr>
        <w:t>Lawsonia</w:t>
      </w:r>
      <w:proofErr w:type="spellEnd"/>
      <w:r w:rsidRPr="00841A1B">
        <w:rPr>
          <w:rFonts w:ascii="Times New Roman" w:hAnsi="Times New Roman" w:cs="Times New Roman"/>
          <w:i/>
          <w:iCs/>
          <w:lang w:val="en-US"/>
        </w:rPr>
        <w:t xml:space="preserve"> </w:t>
      </w:r>
      <w:proofErr w:type="spellStart"/>
      <w:r w:rsidRPr="00841A1B">
        <w:rPr>
          <w:rFonts w:ascii="Times New Roman" w:hAnsi="Times New Roman" w:cs="Times New Roman"/>
          <w:i/>
          <w:iCs/>
          <w:lang w:val="en-US"/>
        </w:rPr>
        <w:t>inermis</w:t>
      </w:r>
      <w:proofErr w:type="spellEnd"/>
      <w:r w:rsidRPr="00790409">
        <w:rPr>
          <w:rFonts w:ascii="Times New Roman" w:hAnsi="Times New Roman" w:cs="Times New Roman"/>
          <w:lang w:val="en-US"/>
        </w:rPr>
        <w:t xml:space="preserve">. </w:t>
      </w:r>
    </w:p>
    <w:p w14:paraId="3FFB09CC" w14:textId="3865B50E" w:rsidR="00790409" w:rsidRPr="00790409" w:rsidRDefault="00790409" w:rsidP="00790409">
      <w:pPr>
        <w:spacing w:line="360" w:lineRule="auto"/>
        <w:jc w:val="both"/>
        <w:rPr>
          <w:rFonts w:ascii="Times New Roman" w:hAnsi="Times New Roman" w:cs="Times New Roman"/>
          <w:lang w:val="en-US"/>
        </w:rPr>
      </w:pPr>
      <w:r w:rsidRPr="00790409">
        <w:rPr>
          <w:rFonts w:ascii="Times New Roman" w:hAnsi="Times New Roman" w:cs="Times New Roman"/>
          <w:lang w:val="en-US"/>
        </w:rPr>
        <w:t xml:space="preserve">This showed that the seeds are richer than the leaves in terms of metabolites for all the organic solvents used, and in terms of biological activity. Antioxidant activity tests showed that the IC50s of ethanolic and acetone extracts from seeds, at 0.05 and 0.104 mg/mL respectively, were higher than those of leaf extracts. The same analysis was made with the antibacterial activity evaluated with acetone extracts on </w:t>
      </w:r>
      <w:r w:rsidRPr="00841A1B">
        <w:rPr>
          <w:rFonts w:ascii="Times New Roman" w:hAnsi="Times New Roman" w:cs="Times New Roman"/>
          <w:i/>
          <w:iCs/>
          <w:lang w:val="en-US"/>
        </w:rPr>
        <w:t>Staphylococcus aureus</w:t>
      </w:r>
      <w:r w:rsidRPr="00790409">
        <w:rPr>
          <w:rFonts w:ascii="Times New Roman" w:hAnsi="Times New Roman" w:cs="Times New Roman"/>
          <w:lang w:val="en-US"/>
        </w:rPr>
        <w:t xml:space="preserve">, </w:t>
      </w:r>
      <w:r w:rsidRPr="006B0F91">
        <w:rPr>
          <w:rFonts w:ascii="Times New Roman" w:hAnsi="Times New Roman" w:cs="Times New Roman"/>
          <w:i/>
          <w:iCs/>
          <w:lang w:val="en-US"/>
        </w:rPr>
        <w:t>Pseudomonas a</w:t>
      </w:r>
      <w:bookmarkStart w:id="0" w:name="_GoBack"/>
      <w:bookmarkEnd w:id="0"/>
      <w:r w:rsidRPr="006B0F91">
        <w:rPr>
          <w:rFonts w:ascii="Times New Roman" w:hAnsi="Times New Roman" w:cs="Times New Roman"/>
          <w:i/>
          <w:iCs/>
          <w:lang w:val="en-US"/>
        </w:rPr>
        <w:t>eruginosa</w:t>
      </w:r>
      <w:r w:rsidRPr="00790409">
        <w:rPr>
          <w:rFonts w:ascii="Times New Roman" w:hAnsi="Times New Roman" w:cs="Times New Roman"/>
          <w:lang w:val="en-US"/>
        </w:rPr>
        <w:t xml:space="preserve"> and </w:t>
      </w:r>
      <w:r w:rsidRPr="006B0F91">
        <w:rPr>
          <w:rFonts w:ascii="Times New Roman" w:hAnsi="Times New Roman" w:cs="Times New Roman"/>
          <w:i/>
          <w:iCs/>
          <w:lang w:val="en-US"/>
        </w:rPr>
        <w:t>Enterococcus faecalis</w:t>
      </w:r>
      <w:r w:rsidRPr="00790409">
        <w:rPr>
          <w:rFonts w:ascii="Times New Roman" w:hAnsi="Times New Roman" w:cs="Times New Roman"/>
          <w:lang w:val="en-US"/>
        </w:rPr>
        <w:t xml:space="preserve">, where resistance was noted uniquely on </w:t>
      </w:r>
      <w:r w:rsidRPr="006B0F91">
        <w:rPr>
          <w:rFonts w:ascii="Times New Roman" w:hAnsi="Times New Roman" w:cs="Times New Roman"/>
          <w:i/>
          <w:iCs/>
          <w:lang w:val="en-US"/>
        </w:rPr>
        <w:t>Staphylococcus</w:t>
      </w:r>
      <w:r w:rsidRPr="00790409">
        <w:rPr>
          <w:rFonts w:ascii="Times New Roman" w:hAnsi="Times New Roman" w:cs="Times New Roman"/>
          <w:lang w:val="en-US"/>
        </w:rPr>
        <w:t xml:space="preserve"> with acetone leaf extract and for </w:t>
      </w:r>
      <w:r w:rsidR="006B0F91" w:rsidRPr="006B0F91">
        <w:rPr>
          <w:rFonts w:ascii="Times New Roman" w:hAnsi="Times New Roman" w:cs="Times New Roman"/>
          <w:i/>
          <w:iCs/>
          <w:lang w:val="en-US"/>
        </w:rPr>
        <w:t>Escherichia</w:t>
      </w:r>
      <w:r w:rsidRPr="006B0F91">
        <w:rPr>
          <w:rFonts w:ascii="Times New Roman" w:hAnsi="Times New Roman" w:cs="Times New Roman"/>
          <w:i/>
          <w:iCs/>
          <w:lang w:val="en-US"/>
        </w:rPr>
        <w:t xml:space="preserve"> </w:t>
      </w:r>
      <w:r w:rsidR="006B0F91" w:rsidRPr="006B0F91">
        <w:rPr>
          <w:rFonts w:ascii="Times New Roman" w:hAnsi="Times New Roman" w:cs="Times New Roman"/>
          <w:i/>
          <w:iCs/>
          <w:lang w:val="en-US"/>
        </w:rPr>
        <w:t>c</w:t>
      </w:r>
      <w:r w:rsidRPr="006B0F91">
        <w:rPr>
          <w:rFonts w:ascii="Times New Roman" w:hAnsi="Times New Roman" w:cs="Times New Roman"/>
          <w:i/>
          <w:iCs/>
          <w:lang w:val="en-US"/>
        </w:rPr>
        <w:t>oli</w:t>
      </w:r>
      <w:r w:rsidRPr="00790409">
        <w:rPr>
          <w:rFonts w:ascii="Times New Roman" w:hAnsi="Times New Roman" w:cs="Times New Roman"/>
          <w:lang w:val="en-US"/>
        </w:rPr>
        <w:t xml:space="preserve">. And the largest inhibition zone diameters were for acetone seed extract, with a diameter of 19 mm on </w:t>
      </w:r>
      <w:r w:rsidRPr="00841A1B">
        <w:rPr>
          <w:rFonts w:ascii="Times New Roman" w:hAnsi="Times New Roman" w:cs="Times New Roman"/>
          <w:i/>
          <w:iCs/>
          <w:lang w:val="en-US"/>
        </w:rPr>
        <w:t>Enterococcus faecalis</w:t>
      </w:r>
      <w:r w:rsidRPr="00790409">
        <w:rPr>
          <w:rFonts w:ascii="Times New Roman" w:hAnsi="Times New Roman" w:cs="Times New Roman"/>
          <w:lang w:val="en-US"/>
        </w:rPr>
        <w:t xml:space="preserve">. Finally, the ethanolic seed extract outperformed the ethanolic leaf extract in the study of cytotoxicity on Hep3B and Huh7 hepatocellular carcinoma and </w:t>
      </w:r>
      <w:proofErr w:type="spellStart"/>
      <w:r w:rsidRPr="00790409">
        <w:rPr>
          <w:rFonts w:ascii="Times New Roman" w:hAnsi="Times New Roman" w:cs="Times New Roman"/>
          <w:lang w:val="en-US"/>
        </w:rPr>
        <w:t>HepaRG</w:t>
      </w:r>
      <w:proofErr w:type="spellEnd"/>
      <w:r w:rsidRPr="00790409">
        <w:rPr>
          <w:rFonts w:ascii="Times New Roman" w:hAnsi="Times New Roman" w:cs="Times New Roman"/>
          <w:lang w:val="en-US"/>
        </w:rPr>
        <w:t xml:space="preserve"> hepatocellular carcinoma cells, even though the leaf extract showed a good selectivity index (SI) on Hep3B and Huh7 cells.</w:t>
      </w:r>
    </w:p>
    <w:p w14:paraId="1CB3B945" w14:textId="77777777" w:rsidR="00790409" w:rsidRPr="00790409" w:rsidRDefault="00790409" w:rsidP="00790409">
      <w:pPr>
        <w:spacing w:line="360" w:lineRule="auto"/>
        <w:jc w:val="both"/>
        <w:rPr>
          <w:rFonts w:ascii="Times New Roman" w:hAnsi="Times New Roman" w:cs="Times New Roman"/>
          <w:lang w:val="en-US"/>
        </w:rPr>
      </w:pPr>
      <w:r w:rsidRPr="00790409">
        <w:rPr>
          <w:rFonts w:ascii="Times New Roman" w:hAnsi="Times New Roman" w:cs="Times New Roman"/>
          <w:b/>
          <w:bCs/>
          <w:lang w:val="en-US"/>
        </w:rPr>
        <w:t>Key words:</w:t>
      </w:r>
      <w:r w:rsidRPr="00790409">
        <w:rPr>
          <w:rFonts w:ascii="Times New Roman" w:hAnsi="Times New Roman" w:cs="Times New Roman"/>
          <w:lang w:val="en-US"/>
        </w:rPr>
        <w:t xml:space="preserve"> </w:t>
      </w:r>
      <w:proofErr w:type="spellStart"/>
      <w:r w:rsidRPr="00790409">
        <w:rPr>
          <w:rFonts w:ascii="Times New Roman" w:hAnsi="Times New Roman" w:cs="Times New Roman"/>
          <w:i/>
          <w:iCs/>
          <w:lang w:val="en-US"/>
        </w:rPr>
        <w:t>Lawsonia</w:t>
      </w:r>
      <w:proofErr w:type="spellEnd"/>
      <w:r w:rsidRPr="00790409">
        <w:rPr>
          <w:rFonts w:ascii="Times New Roman" w:hAnsi="Times New Roman" w:cs="Times New Roman"/>
          <w:i/>
          <w:iCs/>
          <w:lang w:val="en-US"/>
        </w:rPr>
        <w:t xml:space="preserve"> </w:t>
      </w:r>
      <w:proofErr w:type="spellStart"/>
      <w:r w:rsidRPr="00790409">
        <w:rPr>
          <w:rFonts w:ascii="Times New Roman" w:hAnsi="Times New Roman" w:cs="Times New Roman"/>
          <w:i/>
          <w:iCs/>
          <w:lang w:val="en-US"/>
        </w:rPr>
        <w:t>inermis</w:t>
      </w:r>
      <w:proofErr w:type="spellEnd"/>
      <w:r w:rsidRPr="00790409">
        <w:rPr>
          <w:rFonts w:ascii="Times New Roman" w:hAnsi="Times New Roman" w:cs="Times New Roman"/>
          <w:i/>
          <w:iCs/>
          <w:lang w:val="en-US"/>
        </w:rPr>
        <w:t xml:space="preserve">, </w:t>
      </w:r>
      <w:r w:rsidRPr="00790409">
        <w:rPr>
          <w:rFonts w:ascii="Times New Roman" w:hAnsi="Times New Roman" w:cs="Times New Roman"/>
          <w:lang w:val="en-US"/>
        </w:rPr>
        <w:t>phytochemical screening, antioxidant, antibacterial and cytotoxicity</w:t>
      </w:r>
    </w:p>
    <w:p w14:paraId="35D73D98" w14:textId="77777777" w:rsidR="00C960F0" w:rsidRPr="00C960F0" w:rsidRDefault="00C960F0" w:rsidP="00C960F0">
      <w:pPr>
        <w:spacing w:line="360" w:lineRule="auto"/>
        <w:jc w:val="both"/>
        <w:rPr>
          <w:rFonts w:ascii="Times New Roman" w:hAnsi="Times New Roman" w:cs="Times New Roman"/>
          <w:b/>
          <w:bCs/>
          <w:lang w:val="en-US"/>
        </w:rPr>
      </w:pPr>
    </w:p>
    <w:p w14:paraId="1D62CC88" w14:textId="77777777" w:rsidR="00C960F0" w:rsidRPr="00C960F0" w:rsidRDefault="00C960F0" w:rsidP="00C960F0">
      <w:pPr>
        <w:pStyle w:val="ListParagraph"/>
        <w:numPr>
          <w:ilvl w:val="0"/>
          <w:numId w:val="2"/>
        </w:numPr>
        <w:spacing w:after="0" w:line="360" w:lineRule="auto"/>
        <w:jc w:val="both"/>
        <w:rPr>
          <w:rFonts w:ascii="Times New Roman" w:hAnsi="Times New Roman" w:cs="Times New Roman"/>
          <w:b/>
          <w:bCs/>
          <w:sz w:val="24"/>
          <w:szCs w:val="24"/>
          <w:lang w:val="en-US"/>
        </w:rPr>
      </w:pPr>
      <w:r w:rsidRPr="00C960F0">
        <w:rPr>
          <w:rFonts w:ascii="Times New Roman" w:hAnsi="Times New Roman" w:cs="Times New Roman"/>
          <w:b/>
          <w:bCs/>
          <w:sz w:val="24"/>
          <w:szCs w:val="24"/>
          <w:lang w:val="en-US"/>
        </w:rPr>
        <w:t>Introduction</w:t>
      </w:r>
    </w:p>
    <w:p w14:paraId="724D4EDA" w14:textId="14428CB9" w:rsidR="00C960F0" w:rsidRP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 xml:space="preserve">Today, new types of disease have emerged and become epidemics or even pandemics. For example, we can cite the hemorrhagic fever disease (Ebola) with a notorious outbreak recorded in 2014-2016 in West Africa that affected large urban centers as well as rural areas. And recently the coronavirus, whose first cases were reported in Wuhan, China, on December 31, 2019. We can also mention malaria, cholera and diabetes, among many others. And let's not forget liver disease, particularly cancer linked to hepatocellular carcinoma (HCC), known as the primary liver tumor [1]. These various diseases are often linked to viruses and bacteria. As a result, the perpetual quest for a medicinal solution </w:t>
      </w:r>
      <w:r w:rsidR="00602387">
        <w:rPr>
          <w:rFonts w:ascii="Times New Roman" w:hAnsi="Times New Roman" w:cs="Times New Roman"/>
          <w:lang w:val="en-US"/>
        </w:rPr>
        <w:t>remains still</w:t>
      </w:r>
      <w:r w:rsidRPr="00C960F0">
        <w:rPr>
          <w:rFonts w:ascii="Times New Roman" w:hAnsi="Times New Roman" w:cs="Times New Roman"/>
          <w:lang w:val="en-US"/>
        </w:rPr>
        <w:t xml:space="preserve"> topical. Research could therefore focus on </w:t>
      </w:r>
      <w:r w:rsidRPr="00C960F0">
        <w:rPr>
          <w:rFonts w:ascii="Times New Roman" w:hAnsi="Times New Roman" w:cs="Times New Roman"/>
          <w:lang w:val="en-US"/>
        </w:rPr>
        <w:lastRenderedPageBreak/>
        <w:t>plants. After all, medicinal plants are a source of natural substances and bioactive compounds with a wide range of biological activities [2</w:t>
      </w:r>
      <w:r w:rsidR="00DC7915">
        <w:rPr>
          <w:rFonts w:ascii="Times New Roman" w:hAnsi="Times New Roman" w:cs="Times New Roman"/>
          <w:lang w:val="en-US"/>
        </w:rPr>
        <w:t>-4</w:t>
      </w:r>
      <w:r w:rsidRPr="00C960F0">
        <w:rPr>
          <w:rFonts w:ascii="Times New Roman" w:hAnsi="Times New Roman" w:cs="Times New Roman"/>
          <w:lang w:val="en-US"/>
        </w:rPr>
        <w:t xml:space="preserve">]. </w:t>
      </w:r>
    </w:p>
    <w:p w14:paraId="1AD6EC0C" w14:textId="55E8DCBA" w:rsidR="00C960F0" w:rsidRP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Over the last few decades, the medical profession has become increasingly aware of the therapeutic value of plants for the effective treatment</w:t>
      </w:r>
      <w:r w:rsidR="004A1F35">
        <w:rPr>
          <w:rFonts w:ascii="Times New Roman" w:hAnsi="Times New Roman" w:cs="Times New Roman"/>
          <w:lang w:val="en-US"/>
        </w:rPr>
        <w:t xml:space="preserve"> of a wide range of ailments</w:t>
      </w:r>
      <w:r w:rsidRPr="00C960F0">
        <w:rPr>
          <w:rFonts w:ascii="Times New Roman" w:hAnsi="Times New Roman" w:cs="Times New Roman"/>
          <w:lang w:val="en-US"/>
        </w:rPr>
        <w:t xml:space="preserve">. With this in mind, our research is based on </w:t>
      </w:r>
      <w:proofErr w:type="spellStart"/>
      <w:r w:rsidR="00F81A43">
        <w:rPr>
          <w:rFonts w:ascii="Times New Roman" w:hAnsi="Times New Roman" w:cs="Times New Roman"/>
          <w:i/>
          <w:iCs/>
          <w:lang w:val="en-US"/>
        </w:rPr>
        <w:t>L</w:t>
      </w:r>
      <w:r w:rsidRPr="00C960F0">
        <w:rPr>
          <w:rFonts w:ascii="Times New Roman" w:hAnsi="Times New Roman" w:cs="Times New Roman"/>
          <w:i/>
          <w:iCs/>
          <w:lang w:val="en-US"/>
        </w:rPr>
        <w:t>awsonia</w:t>
      </w:r>
      <w:proofErr w:type="spellEnd"/>
      <w:r w:rsidRPr="00C960F0">
        <w:rPr>
          <w:rFonts w:ascii="Times New Roman" w:hAnsi="Times New Roman" w:cs="Times New Roman"/>
          <w:i/>
          <w:iCs/>
          <w:lang w:val="en-US"/>
        </w:rPr>
        <w:t xml:space="preserve"> </w:t>
      </w:r>
      <w:proofErr w:type="spellStart"/>
      <w:r w:rsidRPr="00C960F0">
        <w:rPr>
          <w:rFonts w:ascii="Times New Roman" w:hAnsi="Times New Roman" w:cs="Times New Roman"/>
          <w:i/>
          <w:iCs/>
          <w:lang w:val="en-US"/>
        </w:rPr>
        <w:t>inermis</w:t>
      </w:r>
      <w:proofErr w:type="spellEnd"/>
      <w:r w:rsidRPr="00C960F0">
        <w:rPr>
          <w:rFonts w:ascii="Times New Roman" w:hAnsi="Times New Roman" w:cs="Times New Roman"/>
          <w:lang w:val="en-US"/>
        </w:rPr>
        <w:t>, a plant cultivate</w:t>
      </w:r>
      <w:r w:rsidR="004A1F35">
        <w:rPr>
          <w:rFonts w:ascii="Times New Roman" w:hAnsi="Times New Roman" w:cs="Times New Roman"/>
          <w:lang w:val="en-US"/>
        </w:rPr>
        <w:t>d in many Senegalese villages [5</w:t>
      </w:r>
      <w:r w:rsidRPr="00C960F0">
        <w:rPr>
          <w:rFonts w:ascii="Times New Roman" w:hAnsi="Times New Roman" w:cs="Times New Roman"/>
          <w:lang w:val="en-US"/>
        </w:rPr>
        <w:t>]. Apart from</w:t>
      </w:r>
      <w:r w:rsidR="00822EFF">
        <w:rPr>
          <w:rFonts w:ascii="Times New Roman" w:hAnsi="Times New Roman" w:cs="Times New Roman"/>
          <w:lang w:val="en-US"/>
        </w:rPr>
        <w:t xml:space="preserve"> its high coloring potential</w:t>
      </w:r>
      <w:r w:rsidR="008658E7">
        <w:rPr>
          <w:rFonts w:ascii="Times New Roman" w:hAnsi="Times New Roman" w:cs="Times New Roman"/>
          <w:lang w:val="en-US"/>
        </w:rPr>
        <w:t xml:space="preserve"> </w:t>
      </w:r>
      <w:r w:rsidR="004A1F35">
        <w:rPr>
          <w:rFonts w:ascii="Times New Roman" w:hAnsi="Times New Roman" w:cs="Times New Roman"/>
          <w:lang w:val="en-US"/>
        </w:rPr>
        <w:t>[6</w:t>
      </w:r>
      <w:r w:rsidR="008658E7" w:rsidRPr="00C960F0">
        <w:rPr>
          <w:rFonts w:ascii="Times New Roman" w:hAnsi="Times New Roman" w:cs="Times New Roman"/>
          <w:lang w:val="en-US"/>
        </w:rPr>
        <w:t>]</w:t>
      </w:r>
      <w:r w:rsidRPr="00C960F0">
        <w:rPr>
          <w:rFonts w:ascii="Times New Roman" w:hAnsi="Times New Roman" w:cs="Times New Roman"/>
          <w:lang w:val="en-US"/>
        </w:rPr>
        <w:t>, this plant is rich in bioactive compounds in its various parts [</w:t>
      </w:r>
      <w:r w:rsidR="004A1F35">
        <w:rPr>
          <w:rFonts w:ascii="Times New Roman" w:hAnsi="Times New Roman" w:cs="Times New Roman"/>
          <w:lang w:val="en-US"/>
        </w:rPr>
        <w:t>7</w:t>
      </w:r>
      <w:r w:rsidR="00822EFF">
        <w:rPr>
          <w:rFonts w:ascii="Times New Roman" w:hAnsi="Times New Roman" w:cs="Times New Roman"/>
          <w:lang w:val="en-US"/>
        </w:rPr>
        <w:t xml:space="preserve">, </w:t>
      </w:r>
      <w:r w:rsidR="004A1F35">
        <w:rPr>
          <w:rFonts w:ascii="Times New Roman" w:hAnsi="Times New Roman" w:cs="Times New Roman"/>
          <w:lang w:val="en-US"/>
        </w:rPr>
        <w:t>8</w:t>
      </w:r>
      <w:r w:rsidRPr="00C960F0">
        <w:rPr>
          <w:rFonts w:ascii="Times New Roman" w:hAnsi="Times New Roman" w:cs="Times New Roman"/>
          <w:lang w:val="en-US"/>
        </w:rPr>
        <w:t>]. For it is now considered a valuable source of unique natural products for the development of d</w:t>
      </w:r>
      <w:r w:rsidR="002B16B1">
        <w:rPr>
          <w:rFonts w:ascii="Times New Roman" w:hAnsi="Times New Roman" w:cs="Times New Roman"/>
          <w:lang w:val="en-US"/>
        </w:rPr>
        <w:t>rugs against various diseases [</w:t>
      </w:r>
      <w:r w:rsidR="004A1F35">
        <w:rPr>
          <w:rFonts w:ascii="Times New Roman" w:hAnsi="Times New Roman" w:cs="Times New Roman"/>
          <w:lang w:val="en-US"/>
        </w:rPr>
        <w:t xml:space="preserve">9, </w:t>
      </w:r>
      <w:r w:rsidR="002B16B1">
        <w:rPr>
          <w:rFonts w:ascii="Times New Roman" w:hAnsi="Times New Roman" w:cs="Times New Roman"/>
          <w:lang w:val="en-US"/>
        </w:rPr>
        <w:t>10, 11</w:t>
      </w:r>
      <w:r w:rsidRPr="00C960F0">
        <w:rPr>
          <w:rFonts w:ascii="Times New Roman" w:hAnsi="Times New Roman" w:cs="Times New Roman"/>
          <w:lang w:val="en-US"/>
        </w:rPr>
        <w:t xml:space="preserve">]. This research is divided into three parts, after giving an overview of the plant in question. </w:t>
      </w:r>
    </w:p>
    <w:p w14:paraId="422A3CBC" w14:textId="4124EE37" w:rsidR="00C960F0" w:rsidRP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 xml:space="preserve">First, a phytochemical study to identify secondary metabolites in ethanolic, acetone and hexane extracts of </w:t>
      </w:r>
      <w:proofErr w:type="spellStart"/>
      <w:r w:rsidR="00E76555">
        <w:rPr>
          <w:rFonts w:ascii="Times New Roman" w:hAnsi="Times New Roman" w:cs="Times New Roman"/>
          <w:i/>
          <w:iCs/>
          <w:lang w:val="en-US"/>
        </w:rPr>
        <w:t>L</w:t>
      </w:r>
      <w:r w:rsidRPr="00C960F0">
        <w:rPr>
          <w:rFonts w:ascii="Times New Roman" w:hAnsi="Times New Roman" w:cs="Times New Roman"/>
          <w:i/>
          <w:iCs/>
          <w:lang w:val="en-US"/>
        </w:rPr>
        <w:t>awsonia</w:t>
      </w:r>
      <w:proofErr w:type="spellEnd"/>
      <w:r w:rsidRPr="00C960F0">
        <w:rPr>
          <w:rFonts w:ascii="Times New Roman" w:hAnsi="Times New Roman" w:cs="Times New Roman"/>
          <w:i/>
          <w:iCs/>
          <w:lang w:val="en-US"/>
        </w:rPr>
        <w:t xml:space="preserve"> </w:t>
      </w:r>
      <w:proofErr w:type="spellStart"/>
      <w:r w:rsidRPr="00C960F0">
        <w:rPr>
          <w:rFonts w:ascii="Times New Roman" w:hAnsi="Times New Roman" w:cs="Times New Roman"/>
          <w:i/>
          <w:iCs/>
          <w:lang w:val="en-US"/>
        </w:rPr>
        <w:t>inermis</w:t>
      </w:r>
      <w:proofErr w:type="spellEnd"/>
      <w:r w:rsidRPr="00C960F0">
        <w:rPr>
          <w:rFonts w:ascii="Times New Roman" w:hAnsi="Times New Roman" w:cs="Times New Roman"/>
          <w:lang w:val="en-US"/>
        </w:rPr>
        <w:t xml:space="preserve"> leaves and seeds.</w:t>
      </w:r>
    </w:p>
    <w:p w14:paraId="6968D0DC" w14:textId="6BCA7150" w:rsidR="00C960F0" w:rsidRP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 xml:space="preserve">Then the biological study to evaluate the antioxidant activity of </w:t>
      </w:r>
      <w:proofErr w:type="spellStart"/>
      <w:r w:rsidR="00E76555">
        <w:rPr>
          <w:rFonts w:ascii="Times New Roman" w:hAnsi="Times New Roman" w:cs="Times New Roman"/>
          <w:i/>
          <w:iCs/>
          <w:lang w:val="en-US"/>
        </w:rPr>
        <w:t>L</w:t>
      </w:r>
      <w:r w:rsidRPr="00C960F0">
        <w:rPr>
          <w:rFonts w:ascii="Times New Roman" w:hAnsi="Times New Roman" w:cs="Times New Roman"/>
          <w:i/>
          <w:iCs/>
          <w:lang w:val="en-US"/>
        </w:rPr>
        <w:t>awsonia</w:t>
      </w:r>
      <w:proofErr w:type="spellEnd"/>
      <w:r w:rsidRPr="00C960F0">
        <w:rPr>
          <w:rFonts w:ascii="Times New Roman" w:hAnsi="Times New Roman" w:cs="Times New Roman"/>
          <w:i/>
          <w:iCs/>
          <w:lang w:val="en-US"/>
        </w:rPr>
        <w:t xml:space="preserve"> </w:t>
      </w:r>
      <w:proofErr w:type="spellStart"/>
      <w:r w:rsidRPr="00C960F0">
        <w:rPr>
          <w:rFonts w:ascii="Times New Roman" w:hAnsi="Times New Roman" w:cs="Times New Roman"/>
          <w:i/>
          <w:iCs/>
          <w:lang w:val="en-US"/>
        </w:rPr>
        <w:t>inermis</w:t>
      </w:r>
      <w:proofErr w:type="spellEnd"/>
      <w:r w:rsidRPr="00C960F0">
        <w:rPr>
          <w:rFonts w:ascii="Times New Roman" w:hAnsi="Times New Roman" w:cs="Times New Roman"/>
          <w:lang w:val="en-US"/>
        </w:rPr>
        <w:t xml:space="preserve"> leaf and seed extracts in different solvents (ethanol, acetone and hexane) and the antibacterial activity of acetone leaf and seed extracts on</w:t>
      </w:r>
      <w:r w:rsidRPr="00C960F0">
        <w:rPr>
          <w:rFonts w:ascii="Times New Roman" w:hAnsi="Times New Roman" w:cs="Times New Roman"/>
          <w:i/>
          <w:iCs/>
          <w:lang w:val="en-US"/>
        </w:rPr>
        <w:t xml:space="preserve"> Staphylococcus aureus, Enterococcus faecalis, </w:t>
      </w:r>
      <w:r w:rsidR="00E76555" w:rsidRPr="00C960F0">
        <w:rPr>
          <w:rFonts w:ascii="Times New Roman" w:hAnsi="Times New Roman" w:cs="Times New Roman"/>
          <w:i/>
          <w:iCs/>
          <w:lang w:val="en-US"/>
        </w:rPr>
        <w:t>Escherichia</w:t>
      </w:r>
      <w:r w:rsidRPr="00C960F0">
        <w:rPr>
          <w:rFonts w:ascii="Times New Roman" w:hAnsi="Times New Roman" w:cs="Times New Roman"/>
          <w:i/>
          <w:iCs/>
          <w:lang w:val="en-US"/>
        </w:rPr>
        <w:t xml:space="preserve"> coli </w:t>
      </w:r>
      <w:r w:rsidRPr="00C960F0">
        <w:rPr>
          <w:rFonts w:ascii="Times New Roman" w:hAnsi="Times New Roman" w:cs="Times New Roman"/>
          <w:lang w:val="en-US"/>
        </w:rPr>
        <w:t xml:space="preserve">and </w:t>
      </w:r>
      <w:r w:rsidRPr="00C960F0">
        <w:rPr>
          <w:rFonts w:ascii="Times New Roman" w:hAnsi="Times New Roman" w:cs="Times New Roman"/>
          <w:i/>
          <w:iCs/>
          <w:lang w:val="en-US"/>
        </w:rPr>
        <w:t>Pseudomonas aeruginosa</w:t>
      </w:r>
      <w:r w:rsidRPr="00C960F0">
        <w:rPr>
          <w:rFonts w:ascii="Times New Roman" w:hAnsi="Times New Roman" w:cs="Times New Roman"/>
          <w:lang w:val="en-US"/>
        </w:rPr>
        <w:t>.</w:t>
      </w:r>
    </w:p>
    <w:p w14:paraId="75217C95" w14:textId="77777777" w:rsid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 xml:space="preserve">And finally, the cytotoxic study of ethanolic leaf and seed extracts on Hep3B and Huh7 hepatocellular carcinoma cells and </w:t>
      </w:r>
      <w:proofErr w:type="spellStart"/>
      <w:r w:rsidRPr="00C960F0">
        <w:rPr>
          <w:rFonts w:ascii="Times New Roman" w:hAnsi="Times New Roman" w:cs="Times New Roman"/>
          <w:i/>
          <w:iCs/>
          <w:lang w:val="en-US"/>
        </w:rPr>
        <w:t>HepaRG</w:t>
      </w:r>
      <w:proofErr w:type="spellEnd"/>
      <w:r w:rsidRPr="00C960F0">
        <w:rPr>
          <w:rFonts w:ascii="Times New Roman" w:hAnsi="Times New Roman" w:cs="Times New Roman"/>
          <w:lang w:val="en-US"/>
        </w:rPr>
        <w:t xml:space="preserve"> hepatoma cells. All this will enable us to compare the activity of leaves and seeds with other works, but above all with each other.</w:t>
      </w:r>
    </w:p>
    <w:p w14:paraId="20B55937" w14:textId="77777777" w:rsidR="00C960F0" w:rsidRPr="00C960F0" w:rsidRDefault="00C960F0" w:rsidP="00C960F0">
      <w:pPr>
        <w:pStyle w:val="ListParagraph"/>
        <w:numPr>
          <w:ilvl w:val="0"/>
          <w:numId w:val="2"/>
        </w:numPr>
        <w:spacing w:after="0" w:line="360" w:lineRule="auto"/>
        <w:jc w:val="both"/>
        <w:rPr>
          <w:rFonts w:ascii="Times New Roman" w:hAnsi="Times New Roman" w:cs="Times New Roman"/>
          <w:b/>
          <w:bCs/>
          <w:lang w:val="en-US"/>
        </w:rPr>
      </w:pPr>
      <w:r w:rsidRPr="00C960F0">
        <w:rPr>
          <w:rFonts w:ascii="Times New Roman" w:hAnsi="Times New Roman" w:cs="Times New Roman"/>
          <w:b/>
          <w:bCs/>
          <w:lang w:val="en-US"/>
        </w:rPr>
        <w:t>Botanical description</w:t>
      </w:r>
    </w:p>
    <w:p w14:paraId="682C5AD6" w14:textId="5711062D" w:rsidR="00C960F0" w:rsidRPr="00C960F0" w:rsidRDefault="00533E42" w:rsidP="00C960F0">
      <w:pPr>
        <w:spacing w:line="360" w:lineRule="auto"/>
        <w:jc w:val="both"/>
        <w:rPr>
          <w:rFonts w:ascii="Times New Roman" w:hAnsi="Times New Roman" w:cs="Times New Roman"/>
          <w:lang w:val="en-US"/>
        </w:rPr>
      </w:pPr>
      <w:r>
        <w:rPr>
          <w:rFonts w:ascii="Times New Roman" w:hAnsi="Times New Roman" w:cs="Times New Roman"/>
          <w:lang w:val="en-US"/>
        </w:rPr>
        <w:t xml:space="preserve">There are several </w:t>
      </w:r>
      <w:r w:rsidRPr="00C960F0">
        <w:rPr>
          <w:rFonts w:ascii="Times New Roman" w:hAnsi="Times New Roman" w:cs="Times New Roman"/>
          <w:lang w:val="en-US"/>
        </w:rPr>
        <w:t>synonyms</w:t>
      </w:r>
      <w:r>
        <w:rPr>
          <w:rFonts w:ascii="Times New Roman" w:hAnsi="Times New Roman" w:cs="Times New Roman"/>
          <w:lang w:val="en-US"/>
        </w:rPr>
        <w:t xml:space="preserve"> for the expression</w:t>
      </w:r>
      <w:r w:rsidRPr="00C960F0">
        <w:rPr>
          <w:rFonts w:ascii="Times New Roman" w:hAnsi="Times New Roman" w:cs="Times New Roman"/>
          <w:lang w:val="en-US"/>
        </w:rPr>
        <w:t>:</w:t>
      </w:r>
      <w:r>
        <w:rPr>
          <w:rFonts w:ascii="Times New Roman" w:hAnsi="Times New Roman" w:cs="Times New Roman"/>
          <w:lang w:val="en-US"/>
        </w:rPr>
        <w:t xml:space="preserve"> </w:t>
      </w:r>
      <w:proofErr w:type="spellStart"/>
      <w:r w:rsidR="00C960F0" w:rsidRPr="00C960F0">
        <w:rPr>
          <w:rFonts w:ascii="Times New Roman" w:hAnsi="Times New Roman" w:cs="Times New Roman"/>
          <w:i/>
          <w:iCs/>
          <w:lang w:val="en-US"/>
        </w:rPr>
        <w:t>Lawsonia</w:t>
      </w:r>
      <w:proofErr w:type="spellEnd"/>
      <w:r w:rsidR="00C960F0" w:rsidRPr="00C960F0">
        <w:rPr>
          <w:rFonts w:ascii="Times New Roman" w:hAnsi="Times New Roman" w:cs="Times New Roman"/>
          <w:i/>
          <w:iCs/>
          <w:lang w:val="en-US"/>
        </w:rPr>
        <w:t xml:space="preserve"> </w:t>
      </w:r>
      <w:proofErr w:type="spellStart"/>
      <w:r w:rsidR="00C960F0" w:rsidRPr="00C960F0">
        <w:rPr>
          <w:rFonts w:ascii="Times New Roman" w:hAnsi="Times New Roman" w:cs="Times New Roman"/>
          <w:i/>
          <w:iCs/>
          <w:lang w:val="en-US"/>
        </w:rPr>
        <w:t>inermis</w:t>
      </w:r>
      <w:proofErr w:type="spellEnd"/>
      <w:r>
        <w:rPr>
          <w:rFonts w:ascii="Times New Roman" w:hAnsi="Times New Roman" w:cs="Times New Roman"/>
          <w:i/>
          <w:iCs/>
          <w:lang w:val="en-US"/>
        </w:rPr>
        <w:t>.</w:t>
      </w:r>
      <w:r w:rsidR="00C960F0" w:rsidRPr="00C960F0">
        <w:rPr>
          <w:rFonts w:ascii="Times New Roman" w:hAnsi="Times New Roman" w:cs="Times New Roman"/>
          <w:lang w:val="en-US"/>
        </w:rPr>
        <w:t xml:space="preserve"> </w:t>
      </w:r>
      <w:r w:rsidR="00C960F0" w:rsidRPr="00C960F0">
        <w:rPr>
          <w:rFonts w:ascii="Times New Roman" w:hAnsi="Times New Roman" w:cs="Times New Roman"/>
          <w:i/>
          <w:iCs/>
          <w:lang w:val="en-US"/>
        </w:rPr>
        <w:t xml:space="preserve">L. falcata </w:t>
      </w:r>
      <w:proofErr w:type="spellStart"/>
      <w:r w:rsidR="00C960F0" w:rsidRPr="00C960F0">
        <w:rPr>
          <w:rFonts w:ascii="Times New Roman" w:hAnsi="Times New Roman" w:cs="Times New Roman"/>
          <w:i/>
          <w:iCs/>
          <w:lang w:val="en-US"/>
        </w:rPr>
        <w:t>lour</w:t>
      </w:r>
      <w:proofErr w:type="spellEnd"/>
      <w:r w:rsidR="002B16B1">
        <w:rPr>
          <w:rFonts w:ascii="Times New Roman" w:hAnsi="Times New Roman" w:cs="Times New Roman"/>
          <w:lang w:val="en-US"/>
        </w:rPr>
        <w:t xml:space="preserve"> [12</w:t>
      </w:r>
      <w:r w:rsidR="00C960F0" w:rsidRPr="00C960F0">
        <w:rPr>
          <w:rFonts w:ascii="Times New Roman" w:hAnsi="Times New Roman" w:cs="Times New Roman"/>
          <w:lang w:val="en-US"/>
        </w:rPr>
        <w:t xml:space="preserve">], </w:t>
      </w:r>
      <w:proofErr w:type="spellStart"/>
      <w:r w:rsidR="00C960F0" w:rsidRPr="00C960F0">
        <w:rPr>
          <w:rFonts w:ascii="Times New Roman" w:hAnsi="Times New Roman" w:cs="Times New Roman"/>
          <w:i/>
          <w:iCs/>
          <w:lang w:val="en-US"/>
        </w:rPr>
        <w:t>lawsonia</w:t>
      </w:r>
      <w:proofErr w:type="spellEnd"/>
      <w:r w:rsidR="00C960F0" w:rsidRPr="00C960F0">
        <w:rPr>
          <w:rFonts w:ascii="Times New Roman" w:hAnsi="Times New Roman" w:cs="Times New Roman"/>
          <w:i/>
          <w:iCs/>
          <w:lang w:val="en-US"/>
        </w:rPr>
        <w:t xml:space="preserve"> </w:t>
      </w:r>
      <w:proofErr w:type="spellStart"/>
      <w:r w:rsidR="00C960F0" w:rsidRPr="00C960F0">
        <w:rPr>
          <w:rFonts w:ascii="Times New Roman" w:hAnsi="Times New Roman" w:cs="Times New Roman"/>
          <w:i/>
          <w:iCs/>
          <w:lang w:val="en-US"/>
        </w:rPr>
        <w:t>purpurealame</w:t>
      </w:r>
      <w:proofErr w:type="spellEnd"/>
      <w:r w:rsidR="00C960F0" w:rsidRPr="00C960F0">
        <w:rPr>
          <w:rFonts w:ascii="Times New Roman" w:hAnsi="Times New Roman" w:cs="Times New Roman"/>
          <w:i/>
          <w:iCs/>
          <w:lang w:val="en-US"/>
        </w:rPr>
        <w:t xml:space="preserve">, </w:t>
      </w:r>
      <w:proofErr w:type="spellStart"/>
      <w:r w:rsidR="00C960F0" w:rsidRPr="00C960F0">
        <w:rPr>
          <w:rFonts w:ascii="Times New Roman" w:hAnsi="Times New Roman" w:cs="Times New Roman"/>
          <w:i/>
          <w:iCs/>
          <w:lang w:val="en-US"/>
        </w:rPr>
        <w:t>alcanna</w:t>
      </w:r>
      <w:proofErr w:type="spellEnd"/>
      <w:r w:rsidR="00C960F0" w:rsidRPr="00C960F0">
        <w:rPr>
          <w:rFonts w:ascii="Times New Roman" w:hAnsi="Times New Roman" w:cs="Times New Roman"/>
          <w:i/>
          <w:iCs/>
          <w:lang w:val="en-US"/>
        </w:rPr>
        <w:t xml:space="preserve"> spinosa, </w:t>
      </w:r>
      <w:proofErr w:type="spellStart"/>
      <w:r w:rsidR="00C960F0" w:rsidRPr="00C960F0">
        <w:rPr>
          <w:rFonts w:ascii="Times New Roman" w:hAnsi="Times New Roman" w:cs="Times New Roman"/>
          <w:i/>
          <w:iCs/>
          <w:lang w:val="en-US"/>
        </w:rPr>
        <w:t>casearia</w:t>
      </w:r>
      <w:proofErr w:type="spellEnd"/>
      <w:r w:rsidR="00C960F0" w:rsidRPr="00C960F0">
        <w:rPr>
          <w:rFonts w:ascii="Times New Roman" w:hAnsi="Times New Roman" w:cs="Times New Roman"/>
          <w:i/>
          <w:iCs/>
          <w:lang w:val="en-US"/>
        </w:rPr>
        <w:t xml:space="preserve"> multiflora, </w:t>
      </w:r>
      <w:proofErr w:type="spellStart"/>
      <w:r w:rsidR="00C960F0" w:rsidRPr="00C960F0">
        <w:rPr>
          <w:rFonts w:ascii="Times New Roman" w:hAnsi="Times New Roman" w:cs="Times New Roman"/>
          <w:i/>
          <w:iCs/>
          <w:lang w:val="en-US"/>
        </w:rPr>
        <w:t>lawsonia</w:t>
      </w:r>
      <w:proofErr w:type="spellEnd"/>
      <w:r w:rsidR="00C960F0" w:rsidRPr="00C960F0">
        <w:rPr>
          <w:rFonts w:ascii="Times New Roman" w:hAnsi="Times New Roman" w:cs="Times New Roman"/>
          <w:i/>
          <w:iCs/>
          <w:lang w:val="en-US"/>
        </w:rPr>
        <w:t xml:space="preserve"> </w:t>
      </w:r>
      <w:proofErr w:type="spellStart"/>
      <w:r w:rsidR="00C960F0" w:rsidRPr="00C960F0">
        <w:rPr>
          <w:rFonts w:ascii="Times New Roman" w:hAnsi="Times New Roman" w:cs="Times New Roman"/>
          <w:i/>
          <w:iCs/>
          <w:lang w:val="en-US"/>
        </w:rPr>
        <w:t>inermis</w:t>
      </w:r>
      <w:proofErr w:type="spellEnd"/>
      <w:r w:rsidR="00C960F0" w:rsidRPr="00C960F0">
        <w:rPr>
          <w:rFonts w:ascii="Times New Roman" w:hAnsi="Times New Roman" w:cs="Times New Roman"/>
          <w:i/>
          <w:iCs/>
          <w:lang w:val="en-US"/>
        </w:rPr>
        <w:t xml:space="preserve"> </w:t>
      </w:r>
      <w:proofErr w:type="spellStart"/>
      <w:r w:rsidR="00C960F0" w:rsidRPr="00C960F0">
        <w:rPr>
          <w:rFonts w:ascii="Times New Roman" w:hAnsi="Times New Roman" w:cs="Times New Roman"/>
          <w:i/>
          <w:iCs/>
          <w:lang w:val="en-US"/>
        </w:rPr>
        <w:t>speciosa</w:t>
      </w:r>
      <w:proofErr w:type="spellEnd"/>
      <w:r w:rsidR="00C960F0" w:rsidRPr="00C960F0">
        <w:rPr>
          <w:rFonts w:ascii="Times New Roman" w:hAnsi="Times New Roman" w:cs="Times New Roman"/>
          <w:i/>
          <w:iCs/>
          <w:lang w:val="en-US"/>
        </w:rPr>
        <w:t xml:space="preserve"> and </w:t>
      </w:r>
      <w:proofErr w:type="spellStart"/>
      <w:r w:rsidR="00C960F0" w:rsidRPr="00C960F0">
        <w:rPr>
          <w:rFonts w:ascii="Times New Roman" w:hAnsi="Times New Roman" w:cs="Times New Roman"/>
          <w:i/>
          <w:iCs/>
          <w:lang w:val="en-US"/>
        </w:rPr>
        <w:t>lawsonia</w:t>
      </w:r>
      <w:proofErr w:type="spellEnd"/>
      <w:r w:rsidR="00C960F0" w:rsidRPr="00C960F0">
        <w:rPr>
          <w:rFonts w:ascii="Times New Roman" w:hAnsi="Times New Roman" w:cs="Times New Roman"/>
          <w:i/>
          <w:iCs/>
          <w:lang w:val="en-US"/>
        </w:rPr>
        <w:t xml:space="preserve"> </w:t>
      </w:r>
      <w:proofErr w:type="spellStart"/>
      <w:r w:rsidR="00C960F0" w:rsidRPr="00C960F0">
        <w:rPr>
          <w:rFonts w:ascii="Times New Roman" w:hAnsi="Times New Roman" w:cs="Times New Roman"/>
          <w:i/>
          <w:iCs/>
          <w:lang w:val="en-US"/>
        </w:rPr>
        <w:t>inermis</w:t>
      </w:r>
      <w:proofErr w:type="spellEnd"/>
      <w:r w:rsidR="00C960F0" w:rsidRPr="00C960F0">
        <w:rPr>
          <w:rFonts w:ascii="Times New Roman" w:hAnsi="Times New Roman" w:cs="Times New Roman"/>
          <w:i/>
          <w:iCs/>
          <w:lang w:val="en-US"/>
        </w:rPr>
        <w:t xml:space="preserve"> spinosa</w:t>
      </w:r>
      <w:r w:rsidR="002B16B1">
        <w:rPr>
          <w:rFonts w:ascii="Times New Roman" w:hAnsi="Times New Roman" w:cs="Times New Roman"/>
          <w:lang w:val="en-US"/>
        </w:rPr>
        <w:t xml:space="preserve"> [13</w:t>
      </w:r>
      <w:r w:rsidR="00C960F0" w:rsidRPr="00C960F0">
        <w:rPr>
          <w:rFonts w:ascii="Times New Roman" w:hAnsi="Times New Roman" w:cs="Times New Roman"/>
          <w:lang w:val="en-US"/>
        </w:rPr>
        <w:t xml:space="preserve">]. The </w:t>
      </w:r>
      <w:proofErr w:type="spellStart"/>
      <w:r w:rsidR="00C960F0" w:rsidRPr="00C960F0">
        <w:rPr>
          <w:rFonts w:ascii="Times New Roman" w:hAnsi="Times New Roman" w:cs="Times New Roman"/>
          <w:lang w:val="en-US"/>
        </w:rPr>
        <w:t>Wolofs</w:t>
      </w:r>
      <w:proofErr w:type="spellEnd"/>
      <w:r w:rsidR="00C960F0" w:rsidRPr="00C960F0">
        <w:rPr>
          <w:rFonts w:ascii="Times New Roman" w:hAnsi="Times New Roman" w:cs="Times New Roman"/>
          <w:lang w:val="en-US"/>
        </w:rPr>
        <w:t xml:space="preserve"> call it </w:t>
      </w:r>
      <w:proofErr w:type="spellStart"/>
      <w:r w:rsidR="00C960F0" w:rsidRPr="00C960F0">
        <w:rPr>
          <w:rFonts w:ascii="Times New Roman" w:hAnsi="Times New Roman" w:cs="Times New Roman"/>
          <w:lang w:val="en-US"/>
        </w:rPr>
        <w:t>fouden</w:t>
      </w:r>
      <w:proofErr w:type="spellEnd"/>
      <w:r w:rsidR="00C960F0" w:rsidRPr="00C960F0">
        <w:rPr>
          <w:rFonts w:ascii="Times New Roman" w:hAnsi="Times New Roman" w:cs="Times New Roman"/>
          <w:lang w:val="en-US"/>
        </w:rPr>
        <w:t xml:space="preserve">, the </w:t>
      </w:r>
      <w:proofErr w:type="spellStart"/>
      <w:r w:rsidR="00C960F0" w:rsidRPr="00C960F0">
        <w:rPr>
          <w:rFonts w:ascii="Times New Roman" w:hAnsi="Times New Roman" w:cs="Times New Roman"/>
          <w:lang w:val="en-US"/>
        </w:rPr>
        <w:t>Bambaras</w:t>
      </w:r>
      <w:proofErr w:type="spellEnd"/>
      <w:r w:rsidR="00C960F0" w:rsidRPr="00C960F0">
        <w:rPr>
          <w:rFonts w:ascii="Times New Roman" w:hAnsi="Times New Roman" w:cs="Times New Roman"/>
          <w:lang w:val="en-US"/>
        </w:rPr>
        <w:t xml:space="preserve"> call it </w:t>
      </w:r>
      <w:proofErr w:type="spellStart"/>
      <w:r w:rsidR="00C960F0" w:rsidRPr="00C960F0">
        <w:rPr>
          <w:rFonts w:ascii="Times New Roman" w:hAnsi="Times New Roman" w:cs="Times New Roman"/>
          <w:lang w:val="en-US"/>
        </w:rPr>
        <w:t>dabé</w:t>
      </w:r>
      <w:proofErr w:type="spellEnd"/>
      <w:r w:rsidR="00C960F0" w:rsidRPr="00C960F0">
        <w:rPr>
          <w:rFonts w:ascii="Times New Roman" w:hAnsi="Times New Roman" w:cs="Times New Roman"/>
          <w:lang w:val="en-US"/>
        </w:rPr>
        <w:t xml:space="preserve"> </w:t>
      </w:r>
      <w:proofErr w:type="spellStart"/>
      <w:r w:rsidR="00C960F0" w:rsidRPr="00C960F0">
        <w:rPr>
          <w:rFonts w:ascii="Times New Roman" w:hAnsi="Times New Roman" w:cs="Times New Roman"/>
          <w:lang w:val="en-US"/>
        </w:rPr>
        <w:t>débi</w:t>
      </w:r>
      <w:proofErr w:type="spellEnd"/>
      <w:r w:rsidR="00C960F0" w:rsidRPr="00C960F0">
        <w:rPr>
          <w:rFonts w:ascii="Times New Roman" w:hAnsi="Times New Roman" w:cs="Times New Roman"/>
          <w:lang w:val="en-US"/>
        </w:rPr>
        <w:t xml:space="preserve"> or </w:t>
      </w:r>
      <w:proofErr w:type="spellStart"/>
      <w:r w:rsidR="00C960F0" w:rsidRPr="00C960F0">
        <w:rPr>
          <w:rFonts w:ascii="Times New Roman" w:hAnsi="Times New Roman" w:cs="Times New Roman"/>
          <w:lang w:val="en-US"/>
        </w:rPr>
        <w:t>débé</w:t>
      </w:r>
      <w:proofErr w:type="spellEnd"/>
      <w:r w:rsidR="00C960F0" w:rsidRPr="00C960F0">
        <w:rPr>
          <w:rFonts w:ascii="Times New Roman" w:hAnsi="Times New Roman" w:cs="Times New Roman"/>
          <w:lang w:val="en-US"/>
        </w:rPr>
        <w:t xml:space="preserve"> and the </w:t>
      </w:r>
      <w:proofErr w:type="spellStart"/>
      <w:r w:rsidR="00C960F0" w:rsidRPr="00C960F0">
        <w:rPr>
          <w:rFonts w:ascii="Times New Roman" w:hAnsi="Times New Roman" w:cs="Times New Roman"/>
          <w:lang w:val="en-US"/>
        </w:rPr>
        <w:t>Sereres</w:t>
      </w:r>
      <w:proofErr w:type="spellEnd"/>
      <w:r w:rsidR="00C960F0" w:rsidRPr="00C960F0">
        <w:rPr>
          <w:rFonts w:ascii="Times New Roman" w:hAnsi="Times New Roman" w:cs="Times New Roman"/>
          <w:lang w:val="en-US"/>
        </w:rPr>
        <w:t xml:space="preserve"> call it </w:t>
      </w:r>
      <w:proofErr w:type="spellStart"/>
      <w:r w:rsidR="00C960F0" w:rsidRPr="00C960F0">
        <w:rPr>
          <w:rFonts w:ascii="Times New Roman" w:hAnsi="Times New Roman" w:cs="Times New Roman"/>
          <w:lang w:val="en-US"/>
        </w:rPr>
        <w:t>fuden</w:t>
      </w:r>
      <w:proofErr w:type="spellEnd"/>
      <w:r w:rsidR="00C960F0" w:rsidRPr="00C960F0">
        <w:rPr>
          <w:rFonts w:ascii="Times New Roman" w:hAnsi="Times New Roman" w:cs="Times New Roman"/>
          <w:lang w:val="en-US"/>
        </w:rPr>
        <w:t xml:space="preserve"> or </w:t>
      </w:r>
      <w:proofErr w:type="spellStart"/>
      <w:r w:rsidR="00C960F0" w:rsidRPr="00C960F0">
        <w:rPr>
          <w:rFonts w:ascii="Times New Roman" w:hAnsi="Times New Roman" w:cs="Times New Roman"/>
          <w:lang w:val="en-US"/>
        </w:rPr>
        <w:t>fudand</w:t>
      </w:r>
      <w:proofErr w:type="spellEnd"/>
      <w:r w:rsidR="00C960F0" w:rsidRPr="00C960F0">
        <w:rPr>
          <w:rFonts w:ascii="Times New Roman" w:hAnsi="Times New Roman" w:cs="Times New Roman"/>
          <w:lang w:val="en-US"/>
        </w:rPr>
        <w:t xml:space="preserve">, while the </w:t>
      </w:r>
      <w:proofErr w:type="spellStart"/>
      <w:r w:rsidR="00C960F0" w:rsidRPr="00C960F0">
        <w:rPr>
          <w:rFonts w:ascii="Times New Roman" w:hAnsi="Times New Roman" w:cs="Times New Roman"/>
          <w:lang w:val="en-US"/>
        </w:rPr>
        <w:t>D</w:t>
      </w:r>
      <w:r w:rsidR="002B16B1">
        <w:rPr>
          <w:rFonts w:ascii="Times New Roman" w:hAnsi="Times New Roman" w:cs="Times New Roman"/>
          <w:lang w:val="en-US"/>
        </w:rPr>
        <w:t>iolas</w:t>
      </w:r>
      <w:proofErr w:type="spellEnd"/>
      <w:r w:rsidR="002B16B1">
        <w:rPr>
          <w:rFonts w:ascii="Times New Roman" w:hAnsi="Times New Roman" w:cs="Times New Roman"/>
          <w:lang w:val="en-US"/>
        </w:rPr>
        <w:t xml:space="preserve"> call it </w:t>
      </w:r>
      <w:proofErr w:type="spellStart"/>
      <w:r w:rsidR="002B16B1">
        <w:rPr>
          <w:rFonts w:ascii="Times New Roman" w:hAnsi="Times New Roman" w:cs="Times New Roman"/>
          <w:lang w:val="en-US"/>
        </w:rPr>
        <w:t>fudal</w:t>
      </w:r>
      <w:proofErr w:type="spellEnd"/>
      <w:r w:rsidR="002B16B1">
        <w:rPr>
          <w:rFonts w:ascii="Times New Roman" w:hAnsi="Times New Roman" w:cs="Times New Roman"/>
          <w:lang w:val="en-US"/>
        </w:rPr>
        <w:t xml:space="preserve"> or </w:t>
      </w:r>
      <w:proofErr w:type="spellStart"/>
      <w:r w:rsidR="002B16B1">
        <w:rPr>
          <w:rFonts w:ascii="Times New Roman" w:hAnsi="Times New Roman" w:cs="Times New Roman"/>
          <w:lang w:val="en-US"/>
        </w:rPr>
        <w:t>dudol</w:t>
      </w:r>
      <w:proofErr w:type="spellEnd"/>
      <w:r w:rsidR="002B16B1">
        <w:rPr>
          <w:rFonts w:ascii="Times New Roman" w:hAnsi="Times New Roman" w:cs="Times New Roman"/>
          <w:lang w:val="en-US"/>
        </w:rPr>
        <w:t xml:space="preserve"> [14</w:t>
      </w:r>
      <w:r w:rsidR="00C960F0" w:rsidRPr="00C960F0">
        <w:rPr>
          <w:rFonts w:ascii="Times New Roman" w:hAnsi="Times New Roman" w:cs="Times New Roman"/>
          <w:lang w:val="en-US"/>
        </w:rPr>
        <w:t xml:space="preserve">]. And its taxonomic classification can be broken down as follows: it belongs to the </w:t>
      </w:r>
      <w:proofErr w:type="spellStart"/>
      <w:r w:rsidR="00C960F0" w:rsidRPr="00C960F0">
        <w:rPr>
          <w:rFonts w:ascii="Times New Roman" w:hAnsi="Times New Roman" w:cs="Times New Roman"/>
          <w:lang w:val="en-US"/>
        </w:rPr>
        <w:t>Lythraceaes</w:t>
      </w:r>
      <w:proofErr w:type="spellEnd"/>
      <w:r w:rsidR="00C960F0" w:rsidRPr="00C960F0">
        <w:rPr>
          <w:rFonts w:ascii="Times New Roman" w:hAnsi="Times New Roman" w:cs="Times New Roman"/>
          <w:lang w:val="en-US"/>
        </w:rPr>
        <w:t xml:space="preserve"> family </w:t>
      </w:r>
      <w:r w:rsidR="00C960F0" w:rsidRPr="0002520C">
        <w:rPr>
          <w:rFonts w:ascii="Times New Roman" w:hAnsi="Times New Roman" w:cs="Times New Roman"/>
          <w:i/>
          <w:iCs/>
          <w:lang w:val="en-US"/>
        </w:rPr>
        <w:t xml:space="preserve">(phylum: </w:t>
      </w:r>
      <w:proofErr w:type="spellStart"/>
      <w:r w:rsidR="00C960F0" w:rsidRPr="0002520C">
        <w:rPr>
          <w:rFonts w:ascii="Times New Roman" w:hAnsi="Times New Roman" w:cs="Times New Roman"/>
          <w:i/>
          <w:iCs/>
          <w:lang w:val="en-US"/>
        </w:rPr>
        <w:t>spermatophyta</w:t>
      </w:r>
      <w:proofErr w:type="spellEnd"/>
      <w:r w:rsidR="00C960F0" w:rsidRPr="0002520C">
        <w:rPr>
          <w:rFonts w:ascii="Times New Roman" w:hAnsi="Times New Roman" w:cs="Times New Roman"/>
          <w:i/>
          <w:iCs/>
          <w:lang w:val="en-US"/>
        </w:rPr>
        <w:t xml:space="preserve">, class: </w:t>
      </w:r>
      <w:proofErr w:type="spellStart"/>
      <w:r w:rsidR="00C960F0" w:rsidRPr="0002520C">
        <w:rPr>
          <w:rFonts w:ascii="Times New Roman" w:hAnsi="Times New Roman" w:cs="Times New Roman"/>
          <w:i/>
          <w:iCs/>
          <w:lang w:val="en-US"/>
        </w:rPr>
        <w:t>magnoliopsida</w:t>
      </w:r>
      <w:proofErr w:type="spellEnd"/>
      <w:r w:rsidR="00C960F0" w:rsidRPr="0002520C">
        <w:rPr>
          <w:rFonts w:ascii="Times New Roman" w:hAnsi="Times New Roman" w:cs="Times New Roman"/>
          <w:i/>
          <w:iCs/>
          <w:lang w:val="en-US"/>
        </w:rPr>
        <w:t xml:space="preserve">, genus: </w:t>
      </w:r>
      <w:proofErr w:type="spellStart"/>
      <w:r w:rsidR="00C960F0" w:rsidRPr="0002520C">
        <w:rPr>
          <w:rFonts w:ascii="Times New Roman" w:hAnsi="Times New Roman" w:cs="Times New Roman"/>
          <w:i/>
          <w:iCs/>
          <w:lang w:val="en-US"/>
        </w:rPr>
        <w:t>lawsonia</w:t>
      </w:r>
      <w:proofErr w:type="spellEnd"/>
      <w:r w:rsidR="00C960F0" w:rsidRPr="0002520C">
        <w:rPr>
          <w:rFonts w:ascii="Times New Roman" w:hAnsi="Times New Roman" w:cs="Times New Roman"/>
          <w:i/>
          <w:iCs/>
          <w:lang w:val="en-US"/>
        </w:rPr>
        <w:t xml:space="preserve">, species: </w:t>
      </w:r>
      <w:proofErr w:type="spellStart"/>
      <w:r w:rsidR="00C960F0" w:rsidRPr="0002520C">
        <w:rPr>
          <w:rFonts w:ascii="Times New Roman" w:hAnsi="Times New Roman" w:cs="Times New Roman"/>
          <w:i/>
          <w:iCs/>
          <w:lang w:val="en-US"/>
        </w:rPr>
        <w:t>Lawsonia</w:t>
      </w:r>
      <w:proofErr w:type="spellEnd"/>
      <w:r w:rsidR="00C960F0" w:rsidRPr="0002520C">
        <w:rPr>
          <w:rFonts w:ascii="Times New Roman" w:hAnsi="Times New Roman" w:cs="Times New Roman"/>
          <w:i/>
          <w:iCs/>
          <w:lang w:val="en-US"/>
        </w:rPr>
        <w:t xml:space="preserve"> </w:t>
      </w:r>
      <w:proofErr w:type="spellStart"/>
      <w:r w:rsidR="00C960F0" w:rsidRPr="0002520C">
        <w:rPr>
          <w:rFonts w:ascii="Times New Roman" w:hAnsi="Times New Roman" w:cs="Times New Roman"/>
          <w:i/>
          <w:iCs/>
          <w:lang w:val="en-US"/>
        </w:rPr>
        <w:t>inermis</w:t>
      </w:r>
      <w:proofErr w:type="spellEnd"/>
      <w:r w:rsidR="00C960F0" w:rsidRPr="0002520C">
        <w:rPr>
          <w:rFonts w:ascii="Times New Roman" w:hAnsi="Times New Roman" w:cs="Times New Roman"/>
          <w:i/>
          <w:iCs/>
          <w:lang w:val="en-US"/>
        </w:rPr>
        <w:t xml:space="preserve">, kingdom: plantae, order: </w:t>
      </w:r>
      <w:proofErr w:type="spellStart"/>
      <w:r w:rsidR="00C960F0" w:rsidRPr="0002520C">
        <w:rPr>
          <w:rFonts w:ascii="Times New Roman" w:hAnsi="Times New Roman" w:cs="Times New Roman"/>
          <w:i/>
          <w:iCs/>
          <w:lang w:val="en-US"/>
        </w:rPr>
        <w:t>myrtale</w:t>
      </w:r>
      <w:proofErr w:type="spellEnd"/>
      <w:r w:rsidR="00C960F0" w:rsidRPr="0002520C">
        <w:rPr>
          <w:rFonts w:ascii="Times New Roman" w:hAnsi="Times New Roman" w:cs="Times New Roman"/>
          <w:i/>
          <w:iCs/>
          <w:lang w:val="en-US"/>
        </w:rPr>
        <w:t>)</w:t>
      </w:r>
      <w:r w:rsidR="002B16B1">
        <w:rPr>
          <w:rFonts w:ascii="Times New Roman" w:hAnsi="Times New Roman" w:cs="Times New Roman"/>
          <w:lang w:val="en-US"/>
        </w:rPr>
        <w:t xml:space="preserve"> [15</w:t>
      </w:r>
      <w:r w:rsidR="00DC7915">
        <w:rPr>
          <w:rFonts w:ascii="Times New Roman" w:hAnsi="Times New Roman" w:cs="Times New Roman"/>
          <w:lang w:val="en-US"/>
        </w:rPr>
        <w:t>-25</w:t>
      </w:r>
      <w:r w:rsidR="00C960F0" w:rsidRPr="00C960F0">
        <w:rPr>
          <w:rFonts w:ascii="Times New Roman" w:hAnsi="Times New Roman" w:cs="Times New Roman"/>
          <w:lang w:val="en-US"/>
        </w:rPr>
        <w:t xml:space="preserve">]. </w:t>
      </w:r>
    </w:p>
    <w:p w14:paraId="55B7C1FF" w14:textId="77777777" w:rsidR="00C977BE" w:rsidRPr="00E35EA2" w:rsidRDefault="00C977BE" w:rsidP="00C977BE">
      <w:pPr>
        <w:spacing w:before="120" w:after="120" w:line="360" w:lineRule="auto"/>
        <w:jc w:val="center"/>
        <w:rPr>
          <w:rFonts w:ascii="Times New Roman" w:hAnsi="Times New Roman"/>
          <w:lang w:val="en-US"/>
        </w:rPr>
      </w:pPr>
      <w:r w:rsidRPr="00E35EA2">
        <w:rPr>
          <w:rFonts w:ascii="Times New Roman" w:eastAsia="Times New Roman" w:hAnsi="Times New Roman"/>
          <w:noProof/>
          <w:lang w:val="fr-FR" w:eastAsia="fr-FR"/>
        </w:rPr>
        <w:drawing>
          <wp:inline distT="0" distB="0" distL="0" distR="0" wp14:anchorId="6C4C0C91" wp14:editId="3C8AFDA1">
            <wp:extent cx="2369185" cy="1449705"/>
            <wp:effectExtent l="0" t="0" r="0" b="0"/>
            <wp:docPr id="647056259" name="Image 64705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56259" name="Image 64705625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079" cy="1456896"/>
                    </a:xfrm>
                    <a:prstGeom prst="rect">
                      <a:avLst/>
                    </a:prstGeom>
                  </pic:spPr>
                </pic:pic>
              </a:graphicData>
            </a:graphic>
          </wp:inline>
        </w:drawing>
      </w:r>
      <w:r w:rsidRPr="00E35EA2">
        <w:rPr>
          <w:rFonts w:ascii="Times New Roman" w:hAnsi="Times New Roman"/>
          <w:noProof/>
          <w:sz w:val="32"/>
          <w:lang w:val="fr-FR" w:eastAsia="fr-FR"/>
        </w:rPr>
        <w:drawing>
          <wp:inline distT="0" distB="0" distL="0" distR="0" wp14:anchorId="3B30D325" wp14:editId="5B20FB1F">
            <wp:extent cx="2288540" cy="1441450"/>
            <wp:effectExtent l="0" t="0" r="0" b="6350"/>
            <wp:docPr id="291161192" name="Image 29116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61192" name="Image 29116119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865" cy="1457801"/>
                    </a:xfrm>
                    <a:prstGeom prst="rect">
                      <a:avLst/>
                    </a:prstGeom>
                  </pic:spPr>
                </pic:pic>
              </a:graphicData>
            </a:graphic>
          </wp:inline>
        </w:drawing>
      </w:r>
    </w:p>
    <w:p w14:paraId="059A3B0B" w14:textId="77777777" w:rsidR="00C977BE" w:rsidRPr="00E35EA2" w:rsidRDefault="00E35EA2" w:rsidP="00C977BE">
      <w:pPr>
        <w:pStyle w:val="Caption"/>
        <w:jc w:val="center"/>
        <w:rPr>
          <w:rFonts w:ascii="Times New Roman" w:hAnsi="Times New Roman" w:cs="Times New Roman"/>
          <w:b/>
          <w:bCs/>
          <w:i w:val="0"/>
          <w:color w:val="auto"/>
          <w:sz w:val="24"/>
          <w:lang w:val="en-US"/>
        </w:rPr>
      </w:pPr>
      <w:r w:rsidRPr="00E35EA2">
        <w:rPr>
          <w:rFonts w:ascii="Times New Roman" w:hAnsi="Times New Roman" w:cs="Times New Roman"/>
          <w:b/>
          <w:bCs/>
          <w:i w:val="0"/>
          <w:color w:val="auto"/>
          <w:sz w:val="24"/>
          <w:lang w:val="en-US"/>
        </w:rPr>
        <w:t xml:space="preserve">Photo 1: </w:t>
      </w:r>
      <w:r w:rsidRPr="00E35EA2">
        <w:rPr>
          <w:rFonts w:ascii="Times New Roman" w:hAnsi="Times New Roman" w:cs="Times New Roman"/>
          <w:i w:val="0"/>
          <w:color w:val="auto"/>
          <w:sz w:val="24"/>
          <w:lang w:val="en-US"/>
        </w:rPr>
        <w:t>leaves and seeds</w:t>
      </w:r>
    </w:p>
    <w:p w14:paraId="08D7BB96" w14:textId="77777777" w:rsidR="00C977BE" w:rsidRPr="00C977BE" w:rsidRDefault="00C977BE" w:rsidP="00C977BE">
      <w:pPr>
        <w:pStyle w:val="ListParagraph"/>
        <w:numPr>
          <w:ilvl w:val="0"/>
          <w:numId w:val="2"/>
        </w:numPr>
        <w:spacing w:after="0" w:line="360" w:lineRule="auto"/>
        <w:jc w:val="both"/>
        <w:rPr>
          <w:rFonts w:ascii="Times New Roman" w:hAnsi="Times New Roman" w:cs="Times New Roman"/>
          <w:b/>
          <w:bCs/>
          <w:sz w:val="24"/>
          <w:szCs w:val="24"/>
          <w:lang w:val="en-US"/>
        </w:rPr>
      </w:pPr>
      <w:r w:rsidRPr="00C977BE">
        <w:rPr>
          <w:rFonts w:ascii="Times New Roman" w:hAnsi="Times New Roman" w:cs="Times New Roman"/>
          <w:b/>
          <w:bCs/>
          <w:sz w:val="24"/>
          <w:szCs w:val="24"/>
          <w:lang w:val="en-US"/>
        </w:rPr>
        <w:lastRenderedPageBreak/>
        <w:t>Materials and methods</w:t>
      </w:r>
    </w:p>
    <w:p w14:paraId="574431DF" w14:textId="04FCF7F9" w:rsidR="00C977BE" w:rsidRPr="00C977BE" w:rsidRDefault="00C977BE" w:rsidP="00C977BE">
      <w:pPr>
        <w:pStyle w:val="ListParagraph"/>
        <w:numPr>
          <w:ilvl w:val="1"/>
          <w:numId w:val="2"/>
        </w:numPr>
        <w:spacing w:after="0" w:line="360" w:lineRule="auto"/>
        <w:jc w:val="both"/>
        <w:rPr>
          <w:rFonts w:ascii="Times New Roman" w:hAnsi="Times New Roman" w:cs="Times New Roman"/>
          <w:b/>
          <w:bCs/>
          <w:sz w:val="24"/>
          <w:szCs w:val="24"/>
          <w:lang w:val="en-US"/>
        </w:rPr>
      </w:pPr>
      <w:r w:rsidRPr="00C977BE">
        <w:rPr>
          <w:rFonts w:ascii="Times New Roman" w:hAnsi="Times New Roman" w:cs="Times New Roman"/>
          <w:b/>
          <w:bCs/>
          <w:sz w:val="24"/>
          <w:szCs w:val="24"/>
          <w:lang w:val="en-US"/>
        </w:rPr>
        <w:t xml:space="preserve">Harvesting </w:t>
      </w:r>
      <w:proofErr w:type="spellStart"/>
      <w:r w:rsidR="00590498">
        <w:rPr>
          <w:rFonts w:ascii="Times New Roman" w:hAnsi="Times New Roman" w:cs="Times New Roman"/>
          <w:b/>
          <w:bCs/>
          <w:i/>
          <w:iCs/>
          <w:sz w:val="24"/>
          <w:szCs w:val="24"/>
          <w:lang w:val="en-US"/>
        </w:rPr>
        <w:t>L</w:t>
      </w:r>
      <w:r w:rsidRPr="00C977BE">
        <w:rPr>
          <w:rFonts w:ascii="Times New Roman" w:hAnsi="Times New Roman" w:cs="Times New Roman"/>
          <w:b/>
          <w:bCs/>
          <w:i/>
          <w:iCs/>
          <w:sz w:val="24"/>
          <w:szCs w:val="24"/>
          <w:lang w:val="en-US"/>
        </w:rPr>
        <w:t>awsonia</w:t>
      </w:r>
      <w:proofErr w:type="spellEnd"/>
      <w:r w:rsidRPr="00C977BE">
        <w:rPr>
          <w:rFonts w:ascii="Times New Roman" w:hAnsi="Times New Roman" w:cs="Times New Roman"/>
          <w:b/>
          <w:bCs/>
          <w:i/>
          <w:iCs/>
          <w:sz w:val="24"/>
          <w:szCs w:val="24"/>
          <w:lang w:val="en-US"/>
        </w:rPr>
        <w:t xml:space="preserve"> </w:t>
      </w:r>
      <w:proofErr w:type="spellStart"/>
      <w:r w:rsidRPr="00C977BE">
        <w:rPr>
          <w:rFonts w:ascii="Times New Roman" w:hAnsi="Times New Roman" w:cs="Times New Roman"/>
          <w:b/>
          <w:bCs/>
          <w:i/>
          <w:iCs/>
          <w:sz w:val="24"/>
          <w:szCs w:val="24"/>
          <w:lang w:val="en-US"/>
        </w:rPr>
        <w:t>inermis</w:t>
      </w:r>
      <w:proofErr w:type="spellEnd"/>
      <w:r w:rsidRPr="00C977BE">
        <w:rPr>
          <w:rFonts w:ascii="Times New Roman" w:hAnsi="Times New Roman" w:cs="Times New Roman"/>
          <w:b/>
          <w:bCs/>
          <w:sz w:val="24"/>
          <w:szCs w:val="24"/>
          <w:lang w:val="en-US"/>
        </w:rPr>
        <w:t xml:space="preserve"> leaves and seeds</w:t>
      </w:r>
    </w:p>
    <w:p w14:paraId="6E3A23AE" w14:textId="0F76497A" w:rsidR="00C977BE" w:rsidRPr="00C977BE" w:rsidRDefault="00C977BE" w:rsidP="00C977BE">
      <w:pPr>
        <w:spacing w:line="360" w:lineRule="auto"/>
        <w:jc w:val="both"/>
        <w:rPr>
          <w:rFonts w:ascii="Times New Roman" w:hAnsi="Times New Roman" w:cs="Times New Roman"/>
          <w:lang w:val="en-US"/>
        </w:rPr>
      </w:pPr>
      <w:r w:rsidRPr="00C977BE">
        <w:rPr>
          <w:rFonts w:ascii="Times New Roman" w:hAnsi="Times New Roman" w:cs="Times New Roman"/>
          <w:lang w:val="en-US"/>
        </w:rPr>
        <w:t xml:space="preserve">The leaves and seeds of the plant in question were harvested in one of the districts of </w:t>
      </w:r>
      <w:proofErr w:type="spellStart"/>
      <w:r w:rsidRPr="00C977BE">
        <w:rPr>
          <w:rFonts w:ascii="Times New Roman" w:hAnsi="Times New Roman" w:cs="Times New Roman"/>
          <w:lang w:val="en-US"/>
        </w:rPr>
        <w:t>Tivaouane</w:t>
      </w:r>
      <w:proofErr w:type="spellEnd"/>
      <w:r w:rsidRPr="00C977BE">
        <w:rPr>
          <w:rFonts w:ascii="Times New Roman" w:hAnsi="Times New Roman" w:cs="Times New Roman"/>
          <w:lang w:val="en-US"/>
        </w:rPr>
        <w:t xml:space="preserve"> known as </w:t>
      </w:r>
      <w:proofErr w:type="spellStart"/>
      <w:r w:rsidRPr="00C977BE">
        <w:rPr>
          <w:rFonts w:ascii="Times New Roman" w:hAnsi="Times New Roman" w:cs="Times New Roman"/>
          <w:lang w:val="en-US"/>
        </w:rPr>
        <w:t>Beyti</w:t>
      </w:r>
      <w:proofErr w:type="spellEnd"/>
      <w:r w:rsidRPr="00C977BE">
        <w:rPr>
          <w:rFonts w:ascii="Times New Roman" w:hAnsi="Times New Roman" w:cs="Times New Roman"/>
          <w:lang w:val="en-US"/>
        </w:rPr>
        <w:t xml:space="preserve"> Balla Dia, a former village now attached to the town. The seeds were </w:t>
      </w:r>
      <w:r w:rsidR="00533E42">
        <w:rPr>
          <w:rFonts w:ascii="Times New Roman" w:hAnsi="Times New Roman" w:cs="Times New Roman"/>
          <w:lang w:val="en-US"/>
        </w:rPr>
        <w:t>collect</w:t>
      </w:r>
      <w:r w:rsidRPr="00C977BE">
        <w:rPr>
          <w:rFonts w:ascii="Times New Roman" w:hAnsi="Times New Roman" w:cs="Times New Roman"/>
          <w:lang w:val="en-US"/>
        </w:rPr>
        <w:t xml:space="preserve">ed in October and the leaves in December 2023. Grinding was carried out in the ECOT laboratory </w:t>
      </w:r>
    </w:p>
    <w:p w14:paraId="4777CB16" w14:textId="77777777" w:rsidR="00C977BE" w:rsidRPr="00C977BE" w:rsidRDefault="00C977BE" w:rsidP="00C977BE">
      <w:pPr>
        <w:pStyle w:val="ListParagraph"/>
        <w:numPr>
          <w:ilvl w:val="1"/>
          <w:numId w:val="2"/>
        </w:numPr>
        <w:spacing w:after="0" w:line="360" w:lineRule="auto"/>
        <w:jc w:val="both"/>
        <w:rPr>
          <w:rFonts w:ascii="Times New Roman" w:hAnsi="Times New Roman" w:cs="Times New Roman"/>
          <w:b/>
          <w:bCs/>
          <w:sz w:val="24"/>
          <w:szCs w:val="24"/>
          <w:lang w:val="en-US"/>
        </w:rPr>
      </w:pPr>
      <w:r w:rsidRPr="00C977BE">
        <w:rPr>
          <w:rFonts w:ascii="Times New Roman" w:hAnsi="Times New Roman" w:cs="Times New Roman"/>
          <w:b/>
          <w:bCs/>
          <w:sz w:val="24"/>
          <w:szCs w:val="24"/>
          <w:lang w:val="en-US"/>
        </w:rPr>
        <w:t>Maceration</w:t>
      </w:r>
    </w:p>
    <w:p w14:paraId="59B6F504" w14:textId="4CE0AE35" w:rsidR="00C977BE" w:rsidRPr="0056638F" w:rsidRDefault="00C977BE" w:rsidP="0056638F">
      <w:pPr>
        <w:spacing w:line="360" w:lineRule="auto"/>
        <w:jc w:val="both"/>
        <w:rPr>
          <w:rFonts w:ascii="Times New Roman" w:hAnsi="Times New Roman" w:cs="Times New Roman"/>
          <w:lang w:val="en-US"/>
        </w:rPr>
      </w:pPr>
      <w:r w:rsidRPr="00C977BE">
        <w:rPr>
          <w:rFonts w:ascii="Times New Roman" w:hAnsi="Times New Roman" w:cs="Times New Roman"/>
          <w:lang w:val="en-US"/>
        </w:rPr>
        <w:t xml:space="preserve">For the solvent’s ethanol and acetone, 100 g of seed or leaf powder were </w:t>
      </w:r>
      <w:r w:rsidR="00990D68" w:rsidRPr="00380E56">
        <w:rPr>
          <w:rFonts w:ascii="Times New Roman" w:hAnsi="Times New Roman" w:cs="Times New Roman"/>
          <w:lang w:val="en-US"/>
        </w:rPr>
        <w:t>macerated</w:t>
      </w:r>
      <w:r w:rsidRPr="00380E56">
        <w:rPr>
          <w:rFonts w:ascii="Times New Roman" w:hAnsi="Times New Roman" w:cs="Times New Roman"/>
          <w:lang w:val="en-US"/>
        </w:rPr>
        <w:t xml:space="preserve"> in</w:t>
      </w:r>
      <w:r w:rsidRPr="00C977BE">
        <w:rPr>
          <w:rFonts w:ascii="Times New Roman" w:hAnsi="Times New Roman" w:cs="Times New Roman"/>
          <w:lang w:val="en-US"/>
        </w:rPr>
        <w:t xml:space="preserve"> 250 mL and 200 mL respectively. However, for hexane, 10 g of seed and leaf powder were used in a volume of 50 </w:t>
      </w:r>
      <w:proofErr w:type="spellStart"/>
      <w:r w:rsidRPr="00C977BE">
        <w:rPr>
          <w:rFonts w:ascii="Times New Roman" w:hAnsi="Times New Roman" w:cs="Times New Roman"/>
          <w:lang w:val="en-US"/>
        </w:rPr>
        <w:t>mL.</w:t>
      </w:r>
      <w:proofErr w:type="spellEnd"/>
      <w:r w:rsidRPr="00C977BE">
        <w:rPr>
          <w:rFonts w:ascii="Times New Roman" w:hAnsi="Times New Roman" w:cs="Times New Roman"/>
          <w:lang w:val="en-US"/>
        </w:rPr>
        <w:t xml:space="preserve"> Maceration procedures were virtually identical, lasting 24 hours with magnetic stirring. After filtration under a Büchner, the solvents were evaporated to obtain the noisy extracts, followed by drying in an oven. Antibacterial tests and metabolite detection were </w:t>
      </w:r>
      <w:r w:rsidRPr="0056638F">
        <w:rPr>
          <w:rFonts w:ascii="Times New Roman" w:hAnsi="Times New Roman" w:cs="Times New Roman"/>
          <w:lang w:val="en-US"/>
        </w:rPr>
        <w:t>carried out with these extracts.</w:t>
      </w:r>
    </w:p>
    <w:p w14:paraId="5AE2751D" w14:textId="77777777" w:rsidR="00C977BE" w:rsidRPr="0056638F" w:rsidRDefault="0056638F" w:rsidP="0056638F">
      <w:pPr>
        <w:pStyle w:val="ListParagraph"/>
        <w:numPr>
          <w:ilvl w:val="1"/>
          <w:numId w:val="2"/>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C977BE" w:rsidRPr="0056638F">
        <w:rPr>
          <w:rFonts w:ascii="Times New Roman" w:hAnsi="Times New Roman" w:cs="Times New Roman"/>
          <w:b/>
          <w:bCs/>
          <w:sz w:val="24"/>
          <w:szCs w:val="24"/>
          <w:lang w:val="en-US"/>
        </w:rPr>
        <w:t xml:space="preserve">Chemical screening </w:t>
      </w:r>
    </w:p>
    <w:p w14:paraId="3CB3D17F" w14:textId="77777777" w:rsidR="00F31EA5" w:rsidRPr="00F31EA5" w:rsidRDefault="00C977BE" w:rsidP="00F31EA5">
      <w:pPr>
        <w:spacing w:line="360" w:lineRule="auto"/>
        <w:jc w:val="both"/>
        <w:rPr>
          <w:rFonts w:ascii="Times New Roman" w:hAnsi="Times New Roman" w:cs="Times New Roman"/>
          <w:lang w:val="en-US"/>
        </w:rPr>
      </w:pPr>
      <w:r w:rsidRPr="0056638F">
        <w:rPr>
          <w:rFonts w:ascii="Times New Roman" w:hAnsi="Times New Roman" w:cs="Times New Roman"/>
          <w:lang w:val="en-US"/>
        </w:rPr>
        <w:t>Phytochemical screening reveals the presence of groups of chemical families and metabolites in an extract. We highlighted alkaloids, polyphenols, sterols, terpenes and flavonoids in leaves and seeds using the protoco</w:t>
      </w:r>
      <w:r w:rsidR="007E4AA1">
        <w:rPr>
          <w:rFonts w:ascii="Times New Roman" w:hAnsi="Times New Roman" w:cs="Times New Roman"/>
          <w:lang w:val="en-US"/>
        </w:rPr>
        <w:t>l used by Kallo et al., 2018 [26</w:t>
      </w:r>
      <w:r w:rsidRPr="0056638F">
        <w:rPr>
          <w:rFonts w:ascii="Times New Roman" w:hAnsi="Times New Roman" w:cs="Times New Roman"/>
          <w:lang w:val="en-US"/>
        </w:rPr>
        <w:t xml:space="preserve">] with a few modifications. As for saponin tests, we used the protocol of Yves </w:t>
      </w:r>
      <w:proofErr w:type="spellStart"/>
      <w:r w:rsidRPr="0056638F">
        <w:rPr>
          <w:rFonts w:ascii="Times New Roman" w:hAnsi="Times New Roman" w:cs="Times New Roman"/>
          <w:lang w:val="en-US"/>
        </w:rPr>
        <w:t>Abekro</w:t>
      </w:r>
      <w:proofErr w:type="spellEnd"/>
      <w:r w:rsidRPr="0056638F">
        <w:rPr>
          <w:rFonts w:ascii="Times New Roman" w:hAnsi="Times New Roman" w:cs="Times New Roman"/>
          <w:lang w:val="en-US"/>
        </w:rPr>
        <w:t xml:space="preserve"> et al., 2007, limitin</w:t>
      </w:r>
      <w:r w:rsidR="007E4AA1">
        <w:rPr>
          <w:rFonts w:ascii="Times New Roman" w:hAnsi="Times New Roman" w:cs="Times New Roman"/>
          <w:lang w:val="en-US"/>
        </w:rPr>
        <w:t>g ourselves to the foam test [27</w:t>
      </w:r>
      <w:r w:rsidRPr="0056638F">
        <w:rPr>
          <w:rFonts w:ascii="Times New Roman" w:hAnsi="Times New Roman" w:cs="Times New Roman"/>
          <w:lang w:val="en-US"/>
        </w:rPr>
        <w:t>].</w:t>
      </w:r>
    </w:p>
    <w:p w14:paraId="5978C78E" w14:textId="77777777" w:rsidR="00F31EA5" w:rsidRPr="00F31EA5" w:rsidRDefault="00F31EA5" w:rsidP="00F31EA5">
      <w:pPr>
        <w:pStyle w:val="ListParagraph"/>
        <w:numPr>
          <w:ilvl w:val="1"/>
          <w:numId w:val="2"/>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F31EA5">
        <w:rPr>
          <w:rFonts w:ascii="Times New Roman" w:hAnsi="Times New Roman" w:cs="Times New Roman"/>
          <w:b/>
          <w:bCs/>
          <w:sz w:val="24"/>
          <w:szCs w:val="24"/>
          <w:lang w:val="en-US"/>
        </w:rPr>
        <w:t xml:space="preserve">Biological activity </w:t>
      </w:r>
    </w:p>
    <w:p w14:paraId="098C8B4D" w14:textId="77777777" w:rsidR="00F31EA5" w:rsidRPr="00F31EA5" w:rsidRDefault="00F31EA5" w:rsidP="00F31EA5">
      <w:pPr>
        <w:pStyle w:val="ListParagraph"/>
        <w:numPr>
          <w:ilvl w:val="0"/>
          <w:numId w:val="4"/>
        </w:numPr>
        <w:spacing w:after="0" w:line="360" w:lineRule="auto"/>
        <w:jc w:val="both"/>
        <w:rPr>
          <w:rFonts w:ascii="Times New Roman" w:hAnsi="Times New Roman" w:cs="Times New Roman"/>
          <w:b/>
          <w:bCs/>
          <w:sz w:val="24"/>
          <w:szCs w:val="24"/>
          <w:lang w:val="en-US"/>
        </w:rPr>
      </w:pPr>
      <w:r w:rsidRPr="00F31EA5">
        <w:rPr>
          <w:rFonts w:ascii="Times New Roman" w:hAnsi="Times New Roman" w:cs="Times New Roman"/>
          <w:b/>
          <w:bCs/>
          <w:sz w:val="24"/>
          <w:szCs w:val="24"/>
          <w:lang w:val="en-US"/>
        </w:rPr>
        <w:t>Antioxidant activity tests</w:t>
      </w:r>
    </w:p>
    <w:p w14:paraId="6FC8ADFC" w14:textId="77777777"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lang w:val="en-US"/>
        </w:rPr>
        <w:t>The proto</w:t>
      </w:r>
      <w:r w:rsidR="007E4AA1">
        <w:rPr>
          <w:rFonts w:ascii="Times New Roman" w:hAnsi="Times New Roman" w:cs="Times New Roman"/>
          <w:lang w:val="en-US"/>
        </w:rPr>
        <w:t xml:space="preserve">col of </w:t>
      </w:r>
      <w:proofErr w:type="spellStart"/>
      <w:r w:rsidR="007E4AA1">
        <w:rPr>
          <w:rFonts w:ascii="Times New Roman" w:hAnsi="Times New Roman" w:cs="Times New Roman"/>
          <w:lang w:val="en-US"/>
        </w:rPr>
        <w:t>Bouchenak</w:t>
      </w:r>
      <w:proofErr w:type="spellEnd"/>
      <w:r w:rsidR="007E4AA1">
        <w:rPr>
          <w:rFonts w:ascii="Times New Roman" w:hAnsi="Times New Roman" w:cs="Times New Roman"/>
          <w:lang w:val="en-US"/>
        </w:rPr>
        <w:t xml:space="preserve"> et al, 2020 [28</w:t>
      </w:r>
      <w:r w:rsidRPr="00F31EA5">
        <w:rPr>
          <w:rFonts w:ascii="Times New Roman" w:hAnsi="Times New Roman" w:cs="Times New Roman"/>
          <w:lang w:val="en-US"/>
        </w:rPr>
        <w:t>] was used as a reference for extractions. For each leaf and seed category, a mass (m1) of 1 g is used in 50 mL of solvent.</w:t>
      </w:r>
    </w:p>
    <w:p w14:paraId="00C7926A" w14:textId="77777777"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lang w:val="en-US"/>
        </w:rPr>
        <w:t xml:space="preserve">The DPPH radical was used as it is generally one of the most widely used compounds for rapid and direct assessment of antioxidant activity, due to its stability in radical form and simplicity of analysis. These tests are performed by taking 200 </w:t>
      </w:r>
      <w:r w:rsidRPr="00F31EA5">
        <w:rPr>
          <w:rFonts w:ascii="Times New Roman" w:hAnsi="Times New Roman" w:cs="Times New Roman"/>
        </w:rPr>
        <w:t>μ</w:t>
      </w:r>
      <w:r w:rsidRPr="00F31EA5">
        <w:rPr>
          <w:rFonts w:ascii="Times New Roman" w:hAnsi="Times New Roman" w:cs="Times New Roman"/>
          <w:lang w:val="en-US"/>
        </w:rPr>
        <w:t>L of each dilute solution of the extracts obtained, then adding 3.8 mL of DPPH and incubating for 30 min, followed by an absorbance reading.</w:t>
      </w:r>
    </w:p>
    <w:p w14:paraId="03489559" w14:textId="77777777" w:rsidR="00F31EA5" w:rsidRPr="00F31EA5" w:rsidRDefault="00F31EA5" w:rsidP="00F31EA5">
      <w:pPr>
        <w:pStyle w:val="ListParagraph"/>
        <w:numPr>
          <w:ilvl w:val="0"/>
          <w:numId w:val="4"/>
        </w:numPr>
        <w:spacing w:after="0" w:line="360" w:lineRule="auto"/>
        <w:jc w:val="both"/>
        <w:rPr>
          <w:rFonts w:ascii="Times New Roman" w:hAnsi="Times New Roman" w:cs="Times New Roman"/>
          <w:b/>
          <w:bCs/>
          <w:sz w:val="24"/>
          <w:szCs w:val="24"/>
          <w:lang w:val="en-US"/>
        </w:rPr>
      </w:pPr>
      <w:r w:rsidRPr="00F31EA5">
        <w:rPr>
          <w:rFonts w:ascii="Times New Roman" w:hAnsi="Times New Roman" w:cs="Times New Roman"/>
          <w:b/>
          <w:bCs/>
          <w:sz w:val="24"/>
          <w:szCs w:val="24"/>
          <w:lang w:val="en-US"/>
        </w:rPr>
        <w:t xml:space="preserve">Antibacterial activity tests </w:t>
      </w:r>
    </w:p>
    <w:p w14:paraId="7DADE3DF" w14:textId="500264F5" w:rsidR="00C4289F" w:rsidRDefault="00380E56" w:rsidP="00F31EA5">
      <w:pPr>
        <w:spacing w:line="360" w:lineRule="auto"/>
        <w:jc w:val="both"/>
        <w:rPr>
          <w:rFonts w:ascii="Times New Roman" w:hAnsi="Times New Roman" w:cs="Times New Roman"/>
          <w:lang w:val="en-US"/>
        </w:rPr>
      </w:pPr>
      <w:r>
        <w:rPr>
          <w:rFonts w:ascii="Times New Roman" w:hAnsi="Times New Roman" w:cs="Times New Roman"/>
          <w:lang w:val="en-US"/>
        </w:rPr>
        <w:t>A</w:t>
      </w:r>
      <w:r w:rsidR="00F31EA5" w:rsidRPr="00F31EA5">
        <w:rPr>
          <w:rFonts w:ascii="Times New Roman" w:hAnsi="Times New Roman" w:cs="Times New Roman"/>
          <w:lang w:val="en-US"/>
        </w:rPr>
        <w:t>ntimicrobial activity of the extracts was determined by the diffusion method in Mueller Hinton medium, a widely used medium for antimicr</w:t>
      </w:r>
      <w:r w:rsidR="007E4AA1">
        <w:rPr>
          <w:rFonts w:ascii="Times New Roman" w:hAnsi="Times New Roman" w:cs="Times New Roman"/>
          <w:lang w:val="en-US"/>
        </w:rPr>
        <w:t>obial susceptibility testing [29</w:t>
      </w:r>
      <w:r w:rsidR="00F31EA5" w:rsidRPr="00F31EA5">
        <w:rPr>
          <w:rFonts w:ascii="Times New Roman" w:hAnsi="Times New Roman" w:cs="Times New Roman"/>
          <w:lang w:val="en-US"/>
        </w:rPr>
        <w:t xml:space="preserve">]. Thus, the antibacterial activity of acetone extracts from the leaves and seeds of </w:t>
      </w:r>
      <w:proofErr w:type="spellStart"/>
      <w:r w:rsidR="0010701D" w:rsidRPr="0010701D">
        <w:rPr>
          <w:rFonts w:ascii="Times New Roman" w:hAnsi="Times New Roman" w:cs="Times New Roman"/>
          <w:i/>
          <w:iCs/>
          <w:lang w:val="en-US"/>
        </w:rPr>
        <w:t>L</w:t>
      </w:r>
      <w:r w:rsidR="00F31EA5" w:rsidRPr="0010701D">
        <w:rPr>
          <w:rFonts w:ascii="Times New Roman" w:hAnsi="Times New Roman" w:cs="Times New Roman"/>
          <w:i/>
          <w:iCs/>
          <w:lang w:val="en-US"/>
        </w:rPr>
        <w:t>awsonia</w:t>
      </w:r>
      <w:proofErr w:type="spellEnd"/>
      <w:r w:rsidR="00F31EA5" w:rsidRPr="0010701D">
        <w:rPr>
          <w:rFonts w:ascii="Times New Roman" w:hAnsi="Times New Roman" w:cs="Times New Roman"/>
          <w:i/>
          <w:iCs/>
          <w:lang w:val="en-US"/>
        </w:rPr>
        <w:t xml:space="preserve"> </w:t>
      </w:r>
      <w:proofErr w:type="spellStart"/>
      <w:r w:rsidR="00F31EA5" w:rsidRPr="0010701D">
        <w:rPr>
          <w:rFonts w:ascii="Times New Roman" w:hAnsi="Times New Roman" w:cs="Times New Roman"/>
          <w:i/>
          <w:iCs/>
          <w:lang w:val="en-US"/>
        </w:rPr>
        <w:t>inermis</w:t>
      </w:r>
      <w:proofErr w:type="spellEnd"/>
      <w:r w:rsidR="00F31EA5" w:rsidRPr="00F31EA5">
        <w:rPr>
          <w:rFonts w:ascii="Times New Roman" w:hAnsi="Times New Roman" w:cs="Times New Roman"/>
          <w:lang w:val="en-US"/>
        </w:rPr>
        <w:t xml:space="preserve"> was estimated in terms of the diameter of the zone of inhibition. Strains (</w:t>
      </w:r>
      <w:r w:rsidR="00F31EA5" w:rsidRPr="0010701D">
        <w:rPr>
          <w:rFonts w:ascii="Times New Roman" w:hAnsi="Times New Roman" w:cs="Times New Roman"/>
          <w:i/>
          <w:iCs/>
          <w:lang w:val="en-US"/>
        </w:rPr>
        <w:t>Staphylococcus aureus</w:t>
      </w:r>
      <w:r w:rsidR="00F31EA5" w:rsidRPr="00F31EA5">
        <w:rPr>
          <w:rFonts w:ascii="Times New Roman" w:hAnsi="Times New Roman" w:cs="Times New Roman"/>
          <w:lang w:val="en-US"/>
        </w:rPr>
        <w:t xml:space="preserve"> 29213 ATCC, </w:t>
      </w:r>
      <w:r w:rsidR="00F31EA5" w:rsidRPr="0010701D">
        <w:rPr>
          <w:rFonts w:ascii="Times New Roman" w:hAnsi="Times New Roman" w:cs="Times New Roman"/>
          <w:i/>
          <w:iCs/>
          <w:lang w:val="en-US"/>
        </w:rPr>
        <w:t>Pseudomonas aeruginosa</w:t>
      </w:r>
      <w:r w:rsidR="00F31EA5" w:rsidRPr="00F31EA5">
        <w:rPr>
          <w:rFonts w:ascii="Times New Roman" w:hAnsi="Times New Roman" w:cs="Times New Roman"/>
          <w:lang w:val="en-US"/>
        </w:rPr>
        <w:t xml:space="preserve"> 27853 ATCC and </w:t>
      </w:r>
      <w:r w:rsidR="00F31EA5" w:rsidRPr="0010701D">
        <w:rPr>
          <w:rFonts w:ascii="Times New Roman" w:hAnsi="Times New Roman" w:cs="Times New Roman"/>
          <w:i/>
          <w:iCs/>
          <w:lang w:val="en-US"/>
        </w:rPr>
        <w:t>Enterococcus faecalis</w:t>
      </w:r>
      <w:r w:rsidR="00F31EA5" w:rsidRPr="00F31EA5">
        <w:rPr>
          <w:rFonts w:ascii="Times New Roman" w:hAnsi="Times New Roman" w:cs="Times New Roman"/>
          <w:lang w:val="en-US"/>
        </w:rPr>
        <w:t xml:space="preserve"> 29212 ATCC and </w:t>
      </w:r>
      <w:r w:rsidR="0010701D" w:rsidRPr="0010701D">
        <w:rPr>
          <w:rFonts w:ascii="Times New Roman" w:hAnsi="Times New Roman" w:cs="Times New Roman"/>
          <w:i/>
          <w:iCs/>
          <w:lang w:val="en-US"/>
        </w:rPr>
        <w:t>Escherichia c</w:t>
      </w:r>
      <w:r w:rsidR="00F31EA5" w:rsidRPr="0010701D">
        <w:rPr>
          <w:rFonts w:ascii="Times New Roman" w:hAnsi="Times New Roman" w:cs="Times New Roman"/>
          <w:i/>
          <w:iCs/>
          <w:lang w:val="en-US"/>
        </w:rPr>
        <w:t>oli</w:t>
      </w:r>
      <w:r w:rsidR="00F31EA5" w:rsidRPr="00F31EA5">
        <w:rPr>
          <w:rFonts w:ascii="Times New Roman" w:hAnsi="Times New Roman" w:cs="Times New Roman"/>
          <w:lang w:val="en-US"/>
        </w:rPr>
        <w:t xml:space="preserve"> 25922 ATCC) to prepare 0.5 </w:t>
      </w:r>
      <w:r w:rsidR="0010701D">
        <w:rPr>
          <w:rFonts w:ascii="Times New Roman" w:hAnsi="Times New Roman" w:cs="Times New Roman"/>
          <w:lang w:val="en-US"/>
        </w:rPr>
        <w:t>M</w:t>
      </w:r>
      <w:r w:rsidR="00F31EA5" w:rsidRPr="00F31EA5">
        <w:rPr>
          <w:rFonts w:ascii="Times New Roman" w:hAnsi="Times New Roman" w:cs="Times New Roman"/>
          <w:lang w:val="en-US"/>
        </w:rPr>
        <w:t>ac</w:t>
      </w:r>
      <w:r w:rsidR="0010701D">
        <w:rPr>
          <w:rFonts w:ascii="Times New Roman" w:hAnsi="Times New Roman" w:cs="Times New Roman"/>
          <w:lang w:val="en-US"/>
        </w:rPr>
        <w:t>F</w:t>
      </w:r>
      <w:r w:rsidR="00F31EA5" w:rsidRPr="00F31EA5">
        <w:rPr>
          <w:rFonts w:ascii="Times New Roman" w:hAnsi="Times New Roman" w:cs="Times New Roman"/>
          <w:lang w:val="en-US"/>
        </w:rPr>
        <w:t xml:space="preserve">arland microbial inoculum in tubes </w:t>
      </w:r>
      <w:r w:rsidR="00F31EA5" w:rsidRPr="00F31EA5">
        <w:rPr>
          <w:rFonts w:ascii="Times New Roman" w:hAnsi="Times New Roman" w:cs="Times New Roman"/>
          <w:lang w:val="en-US"/>
        </w:rPr>
        <w:lastRenderedPageBreak/>
        <w:t>containing physiological water. These are then swabbed into petri dishes containing Mueller Hinton agar. Blotting discs impregnated with 30µL of the extracts to be tested are placed in these dishes. They are then incubated in an oven at 37°C for 24 hours. The diameters of the zones of inhibition are read. MICs are determined using initial solutions of 60 mg/mL (FAC and GAC). 100µL of each extract is taken to proceed to a one-half (½) dilution in cascade in order to obtain varied concentration ranges (C1...to C10) according to</w:t>
      </w:r>
      <w:r w:rsidR="007E4AA1">
        <w:rPr>
          <w:rFonts w:ascii="Times New Roman" w:hAnsi="Times New Roman" w:cs="Times New Roman"/>
          <w:lang w:val="en-US"/>
        </w:rPr>
        <w:t xml:space="preserve"> </w:t>
      </w:r>
      <w:proofErr w:type="spellStart"/>
      <w:r w:rsidR="007E4AA1">
        <w:rPr>
          <w:rFonts w:ascii="Times New Roman" w:hAnsi="Times New Roman" w:cs="Times New Roman"/>
          <w:lang w:val="en-US"/>
        </w:rPr>
        <w:t>Hayate</w:t>
      </w:r>
      <w:proofErr w:type="spellEnd"/>
      <w:r w:rsidR="007E4AA1">
        <w:rPr>
          <w:rFonts w:ascii="Times New Roman" w:hAnsi="Times New Roman" w:cs="Times New Roman"/>
          <w:lang w:val="en-US"/>
        </w:rPr>
        <w:t xml:space="preserve"> </w:t>
      </w:r>
      <w:proofErr w:type="spellStart"/>
      <w:r w:rsidR="007E4AA1">
        <w:rPr>
          <w:rFonts w:ascii="Times New Roman" w:hAnsi="Times New Roman" w:cs="Times New Roman"/>
          <w:lang w:val="en-US"/>
        </w:rPr>
        <w:t>Bouharb</w:t>
      </w:r>
      <w:proofErr w:type="spellEnd"/>
      <w:r w:rsidR="007E4AA1">
        <w:rPr>
          <w:rFonts w:ascii="Times New Roman" w:hAnsi="Times New Roman" w:cs="Times New Roman"/>
          <w:lang w:val="en-US"/>
        </w:rPr>
        <w:t xml:space="preserve"> et al., 2014 [30</w:t>
      </w:r>
      <w:r w:rsidR="00F31EA5" w:rsidRPr="00F31EA5">
        <w:rPr>
          <w:rFonts w:ascii="Times New Roman" w:hAnsi="Times New Roman" w:cs="Times New Roman"/>
          <w:lang w:val="en-US"/>
        </w:rPr>
        <w:t>]. A precise and equal volume of each dilution is introduced into a well with 20µL of microbial inoculum. These are then incubated in the oven at 37°C for 24 hours. Finally, the wells that give a clear result are correlated with the negative control (absence of microbial growth) and the wells that give a turbid result are correlated with the positive control (microbial growth), or the latter two were isolated as a control.</w:t>
      </w:r>
    </w:p>
    <w:p w14:paraId="130BDEF5" w14:textId="77777777" w:rsidR="00F31EA5" w:rsidRPr="00F31EA5" w:rsidRDefault="00F31EA5" w:rsidP="00F31EA5">
      <w:pPr>
        <w:pStyle w:val="ListParagraph"/>
        <w:numPr>
          <w:ilvl w:val="0"/>
          <w:numId w:val="4"/>
        </w:numPr>
        <w:spacing w:after="0" w:line="360" w:lineRule="auto"/>
        <w:jc w:val="both"/>
        <w:rPr>
          <w:rFonts w:ascii="Times New Roman" w:hAnsi="Times New Roman" w:cs="Times New Roman"/>
          <w:b/>
          <w:bCs/>
          <w:sz w:val="24"/>
          <w:szCs w:val="24"/>
          <w:lang w:val="en-US"/>
        </w:rPr>
      </w:pPr>
      <w:r w:rsidRPr="00F31EA5">
        <w:rPr>
          <w:rFonts w:ascii="Times New Roman" w:hAnsi="Times New Roman" w:cs="Times New Roman"/>
          <w:b/>
          <w:bCs/>
          <w:sz w:val="24"/>
          <w:szCs w:val="24"/>
          <w:lang w:val="en-US"/>
        </w:rPr>
        <w:t>Viability tests</w:t>
      </w:r>
    </w:p>
    <w:p w14:paraId="49751F51" w14:textId="26F70FFA"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lang w:val="en-US"/>
        </w:rPr>
        <w:t xml:space="preserve">5 g of </w:t>
      </w:r>
      <w:proofErr w:type="spellStart"/>
      <w:r w:rsidR="000F77D1">
        <w:rPr>
          <w:rFonts w:ascii="Times New Roman" w:hAnsi="Times New Roman" w:cs="Times New Roman"/>
          <w:i/>
          <w:iCs/>
          <w:lang w:val="en-US"/>
        </w:rPr>
        <w:t>L</w:t>
      </w:r>
      <w:r w:rsidRPr="00F31EA5">
        <w:rPr>
          <w:rFonts w:ascii="Times New Roman" w:hAnsi="Times New Roman" w:cs="Times New Roman"/>
          <w:i/>
          <w:iCs/>
          <w:lang w:val="en-US"/>
        </w:rPr>
        <w:t>awsonia</w:t>
      </w:r>
      <w:proofErr w:type="spellEnd"/>
      <w:r w:rsidRPr="00F31EA5">
        <w:rPr>
          <w:rFonts w:ascii="Times New Roman" w:hAnsi="Times New Roman" w:cs="Times New Roman"/>
          <w:i/>
          <w:iCs/>
          <w:lang w:val="en-US"/>
        </w:rPr>
        <w:t xml:space="preserve"> </w:t>
      </w:r>
      <w:proofErr w:type="spellStart"/>
      <w:r w:rsidRPr="00F31EA5">
        <w:rPr>
          <w:rFonts w:ascii="Times New Roman" w:hAnsi="Times New Roman" w:cs="Times New Roman"/>
          <w:i/>
          <w:iCs/>
          <w:lang w:val="en-US"/>
        </w:rPr>
        <w:t>inermis</w:t>
      </w:r>
      <w:proofErr w:type="spellEnd"/>
      <w:r w:rsidRPr="00F31EA5">
        <w:rPr>
          <w:rFonts w:ascii="Times New Roman" w:hAnsi="Times New Roman" w:cs="Times New Roman"/>
          <w:i/>
          <w:iCs/>
          <w:lang w:val="en-US"/>
        </w:rPr>
        <w:t xml:space="preserve"> L</w:t>
      </w:r>
      <w:r w:rsidRPr="00F31EA5">
        <w:rPr>
          <w:rFonts w:ascii="Times New Roman" w:hAnsi="Times New Roman" w:cs="Times New Roman"/>
          <w:lang w:val="en-US"/>
        </w:rPr>
        <w:t xml:space="preserve">. (leaves or seeds) were macerated in absolute ethanol (50 mL) for 24 hours. The ethanol extracts were filtered and the filtrate centrifuged (2000 rpm, 10 min) to remove any residual particles. The supernatants were evaporated in a </w:t>
      </w:r>
      <w:proofErr w:type="spellStart"/>
      <w:r w:rsidRPr="00F31EA5">
        <w:rPr>
          <w:rFonts w:ascii="Times New Roman" w:hAnsi="Times New Roman" w:cs="Times New Roman"/>
          <w:lang w:val="en-US"/>
        </w:rPr>
        <w:t>SpeedVac</w:t>
      </w:r>
      <w:proofErr w:type="spellEnd"/>
      <w:r w:rsidRPr="00F31EA5">
        <w:rPr>
          <w:rFonts w:ascii="Times New Roman" w:hAnsi="Times New Roman" w:cs="Times New Roman"/>
          <w:lang w:val="en-US"/>
        </w:rPr>
        <w:t xml:space="preserve"> </w:t>
      </w:r>
      <w:proofErr w:type="spellStart"/>
      <w:r w:rsidRPr="00F31EA5">
        <w:rPr>
          <w:rFonts w:ascii="Times New Roman" w:hAnsi="Times New Roman" w:cs="Times New Roman"/>
          <w:lang w:val="en-US"/>
        </w:rPr>
        <w:t>Vaccum</w:t>
      </w:r>
      <w:proofErr w:type="spellEnd"/>
      <w:r w:rsidRPr="00F31EA5">
        <w:rPr>
          <w:rFonts w:ascii="Times New Roman" w:hAnsi="Times New Roman" w:cs="Times New Roman"/>
          <w:lang w:val="en-US"/>
        </w:rPr>
        <w:t xml:space="preserve"> concentrator at low temperature (&lt; 40°C). Dry extracts were dissolved in DMSO at a concentration of 100 mg/mL, vortexed and stored at -20°C prior to biological evaluation.</w:t>
      </w:r>
    </w:p>
    <w:p w14:paraId="2D3F36C0" w14:textId="77777777"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lang w:val="en-US"/>
        </w:rPr>
        <w:t xml:space="preserve">The </w:t>
      </w:r>
      <w:proofErr w:type="spellStart"/>
      <w:r w:rsidRPr="00F31EA5">
        <w:rPr>
          <w:rFonts w:ascii="Times New Roman" w:hAnsi="Times New Roman" w:cs="Times New Roman"/>
          <w:i/>
          <w:iCs/>
          <w:lang w:val="en-US"/>
        </w:rPr>
        <w:t>HepaRG</w:t>
      </w:r>
      <w:proofErr w:type="spellEnd"/>
      <w:r w:rsidRPr="00F31EA5">
        <w:rPr>
          <w:rFonts w:ascii="Times New Roman" w:hAnsi="Times New Roman" w:cs="Times New Roman"/>
          <w:i/>
          <w:iCs/>
          <w:lang w:val="en-US"/>
        </w:rPr>
        <w:t xml:space="preserve"> </w:t>
      </w:r>
      <w:r w:rsidRPr="00F31EA5">
        <w:rPr>
          <w:rFonts w:ascii="Times New Roman" w:hAnsi="Times New Roman" w:cs="Times New Roman"/>
          <w:lang w:val="en-US"/>
        </w:rPr>
        <w:t xml:space="preserve">undifferentiated cell line was purchased from </w:t>
      </w:r>
      <w:proofErr w:type="spellStart"/>
      <w:r w:rsidRPr="00F31EA5">
        <w:rPr>
          <w:rFonts w:ascii="Times New Roman" w:hAnsi="Times New Roman" w:cs="Times New Roman"/>
          <w:lang w:val="en-US"/>
        </w:rPr>
        <w:t>Biopredic</w:t>
      </w:r>
      <w:proofErr w:type="spellEnd"/>
      <w:r w:rsidRPr="00F31EA5">
        <w:rPr>
          <w:rFonts w:ascii="Times New Roman" w:hAnsi="Times New Roman" w:cs="Times New Roman"/>
          <w:lang w:val="en-US"/>
        </w:rPr>
        <w:t xml:space="preserve"> International. Cells were thawed and cultured in medium composed of Williams E medium supplemented with 10% FBS (Gibco) and L-glutamine (Gibco) for two (2) weeks. To induce differentiation, cells are then cultured in a growth medium consisting of the same medium as above, supplemented with 5 </w:t>
      </w:r>
      <w:proofErr w:type="spellStart"/>
      <w:r w:rsidRPr="00F31EA5">
        <w:rPr>
          <w:rFonts w:ascii="Times New Roman" w:hAnsi="Times New Roman" w:cs="Times New Roman"/>
          <w:lang w:val="en-US"/>
        </w:rPr>
        <w:t>μg</w:t>
      </w:r>
      <w:proofErr w:type="spellEnd"/>
      <w:r w:rsidRPr="00F31EA5">
        <w:rPr>
          <w:rFonts w:ascii="Times New Roman" w:hAnsi="Times New Roman" w:cs="Times New Roman"/>
          <w:lang w:val="en-US"/>
        </w:rPr>
        <w:t xml:space="preserve">/mL insulin and 50 </w:t>
      </w:r>
      <w:proofErr w:type="spellStart"/>
      <w:r w:rsidRPr="00F31EA5">
        <w:rPr>
          <w:rFonts w:ascii="Times New Roman" w:hAnsi="Times New Roman" w:cs="Times New Roman"/>
          <w:lang w:val="en-US"/>
        </w:rPr>
        <w:t>μM</w:t>
      </w:r>
      <w:proofErr w:type="spellEnd"/>
      <w:r w:rsidRPr="00F31EA5">
        <w:rPr>
          <w:rFonts w:ascii="Times New Roman" w:hAnsi="Times New Roman" w:cs="Times New Roman"/>
          <w:lang w:val="en-US"/>
        </w:rPr>
        <w:t xml:space="preserve"> hydrocortisone </w:t>
      </w:r>
      <w:proofErr w:type="spellStart"/>
      <w:r w:rsidRPr="00F31EA5">
        <w:rPr>
          <w:rFonts w:ascii="Times New Roman" w:hAnsi="Times New Roman" w:cs="Times New Roman"/>
          <w:lang w:val="en-US"/>
        </w:rPr>
        <w:t>hemisuccinate</w:t>
      </w:r>
      <w:proofErr w:type="spellEnd"/>
      <w:r w:rsidRPr="00F31EA5">
        <w:rPr>
          <w:rFonts w:ascii="Times New Roman" w:hAnsi="Times New Roman" w:cs="Times New Roman"/>
          <w:lang w:val="en-US"/>
        </w:rPr>
        <w:t xml:space="preserve"> for two (2) weeks, followed by the same medium supplemented with 2% DMSO. This medium is renewed every three (3) days for two (2) weeks to obtain hepatocyte-type cells surrounded by biliary-type cells.</w:t>
      </w:r>
    </w:p>
    <w:p w14:paraId="6D2432CC" w14:textId="77777777"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i/>
          <w:iCs/>
          <w:lang w:val="en-US"/>
        </w:rPr>
        <w:t xml:space="preserve">Hep3B </w:t>
      </w:r>
      <w:r w:rsidRPr="00F31EA5">
        <w:rPr>
          <w:rFonts w:ascii="Times New Roman" w:hAnsi="Times New Roman" w:cs="Times New Roman"/>
          <w:lang w:val="en-US"/>
        </w:rPr>
        <w:t>and</w:t>
      </w:r>
      <w:r w:rsidRPr="00F31EA5">
        <w:rPr>
          <w:rFonts w:ascii="Times New Roman" w:hAnsi="Times New Roman" w:cs="Times New Roman"/>
          <w:i/>
          <w:iCs/>
          <w:lang w:val="en-US"/>
        </w:rPr>
        <w:t xml:space="preserve"> Huh7</w:t>
      </w:r>
      <w:r w:rsidRPr="00F31EA5">
        <w:rPr>
          <w:rFonts w:ascii="Times New Roman" w:hAnsi="Times New Roman" w:cs="Times New Roman"/>
          <w:lang w:val="en-US"/>
        </w:rPr>
        <w:t xml:space="preserve"> human hepatocellular carcinoma cells were cultured in DMEM medium (Gibco) supplemented with 10% FBS (Gibco), L-glutamine (Gibco), sodium pyruvate (Gibco) and non-essential amino acids, then </w:t>
      </w:r>
      <w:proofErr w:type="spellStart"/>
      <w:r w:rsidRPr="00F31EA5">
        <w:rPr>
          <w:rFonts w:ascii="Times New Roman" w:hAnsi="Times New Roman" w:cs="Times New Roman"/>
          <w:lang w:val="en-US"/>
        </w:rPr>
        <w:t>trypsinized</w:t>
      </w:r>
      <w:proofErr w:type="spellEnd"/>
      <w:r w:rsidRPr="00F31EA5">
        <w:rPr>
          <w:rFonts w:ascii="Times New Roman" w:hAnsi="Times New Roman" w:cs="Times New Roman"/>
          <w:lang w:val="en-US"/>
        </w:rPr>
        <w:t xml:space="preserve"> for subculture every three (3) days.</w:t>
      </w:r>
    </w:p>
    <w:p w14:paraId="1A3425F7" w14:textId="1A2FFFD2" w:rsidR="00C4289F"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i/>
          <w:iCs/>
          <w:lang w:val="en-US"/>
        </w:rPr>
        <w:t>Hep3B</w:t>
      </w:r>
      <w:r w:rsidRPr="00F31EA5">
        <w:rPr>
          <w:rFonts w:ascii="Times New Roman" w:hAnsi="Times New Roman" w:cs="Times New Roman"/>
          <w:lang w:val="en-US"/>
        </w:rPr>
        <w:t xml:space="preserve"> (ATCC) or Huh7 (</w:t>
      </w:r>
      <w:proofErr w:type="spellStart"/>
      <w:r w:rsidRPr="00F31EA5">
        <w:rPr>
          <w:rFonts w:ascii="Times New Roman" w:hAnsi="Times New Roman" w:cs="Times New Roman"/>
          <w:lang w:val="en-US"/>
        </w:rPr>
        <w:t>Créative</w:t>
      </w:r>
      <w:proofErr w:type="spellEnd"/>
      <w:r w:rsidRPr="00F31EA5">
        <w:rPr>
          <w:rFonts w:ascii="Times New Roman" w:hAnsi="Times New Roman" w:cs="Times New Roman"/>
          <w:lang w:val="en-US"/>
        </w:rPr>
        <w:t xml:space="preserve"> Biolabs) cells were </w:t>
      </w:r>
      <w:proofErr w:type="spellStart"/>
      <w:r w:rsidRPr="00F31EA5">
        <w:rPr>
          <w:rFonts w:ascii="Times New Roman" w:hAnsi="Times New Roman" w:cs="Times New Roman"/>
          <w:lang w:val="en-US"/>
        </w:rPr>
        <w:t>trypsinized</w:t>
      </w:r>
      <w:proofErr w:type="spellEnd"/>
      <w:r w:rsidRPr="00F31EA5">
        <w:rPr>
          <w:rFonts w:ascii="Times New Roman" w:hAnsi="Times New Roman" w:cs="Times New Roman"/>
          <w:lang w:val="en-US"/>
        </w:rPr>
        <w:t xml:space="preserve"> and seeded in 96-well plates at a density of 5000 cells per well. At the DMSO-supplementation stage, differentiated </w:t>
      </w:r>
      <w:proofErr w:type="spellStart"/>
      <w:r w:rsidRPr="00F31EA5">
        <w:rPr>
          <w:rFonts w:ascii="Times New Roman" w:hAnsi="Times New Roman" w:cs="Times New Roman"/>
          <w:i/>
          <w:iCs/>
          <w:lang w:val="en-US"/>
        </w:rPr>
        <w:t>HepaRG</w:t>
      </w:r>
      <w:proofErr w:type="spellEnd"/>
      <w:r w:rsidRPr="00F31EA5">
        <w:rPr>
          <w:rFonts w:ascii="Times New Roman" w:hAnsi="Times New Roman" w:cs="Times New Roman"/>
          <w:i/>
          <w:iCs/>
          <w:lang w:val="en-US"/>
        </w:rPr>
        <w:t xml:space="preserve"> cells</w:t>
      </w:r>
      <w:r w:rsidRPr="00F31EA5">
        <w:rPr>
          <w:rFonts w:ascii="Times New Roman" w:hAnsi="Times New Roman" w:cs="Times New Roman"/>
          <w:lang w:val="en-US"/>
        </w:rPr>
        <w:t xml:space="preserve"> (72,000 cells per well) were seeded in 96-well plates for two (2) weeks. 24 hours after seeding, hepatocellular carcinoma cells were incubated with each test plant extract </w:t>
      </w:r>
      <w:r w:rsidR="006F274D">
        <w:rPr>
          <w:rFonts w:ascii="Times New Roman" w:hAnsi="Times New Roman" w:cs="Times New Roman"/>
          <w:lang w:val="en-US"/>
        </w:rPr>
        <w:t>from</w:t>
      </w:r>
      <w:r w:rsidRPr="00F31EA5">
        <w:rPr>
          <w:rFonts w:ascii="Times New Roman" w:hAnsi="Times New Roman" w:cs="Times New Roman"/>
          <w:lang w:val="en-US"/>
        </w:rPr>
        <w:t xml:space="preserve"> a concentration range of 0 to 200 </w:t>
      </w:r>
      <w:proofErr w:type="spellStart"/>
      <w:r w:rsidRPr="00F31EA5">
        <w:rPr>
          <w:rFonts w:ascii="Times New Roman" w:hAnsi="Times New Roman" w:cs="Times New Roman"/>
          <w:lang w:val="en-US"/>
        </w:rPr>
        <w:t>μg</w:t>
      </w:r>
      <w:proofErr w:type="spellEnd"/>
      <w:r w:rsidRPr="00F31EA5">
        <w:rPr>
          <w:rFonts w:ascii="Times New Roman" w:hAnsi="Times New Roman" w:cs="Times New Roman"/>
          <w:lang w:val="en-US"/>
        </w:rPr>
        <w:t>/m</w:t>
      </w:r>
      <w:r w:rsidR="00E425C3">
        <w:rPr>
          <w:rFonts w:ascii="Times New Roman" w:hAnsi="Times New Roman" w:cs="Times New Roman"/>
          <w:lang w:val="en-US"/>
        </w:rPr>
        <w:t xml:space="preserve">L </w:t>
      </w:r>
      <w:r w:rsidRPr="00F31EA5">
        <w:rPr>
          <w:rFonts w:ascii="Times New Roman" w:hAnsi="Times New Roman" w:cs="Times New Roman"/>
          <w:lang w:val="en-US"/>
        </w:rPr>
        <w:t>for three (3) days (</w:t>
      </w:r>
      <w:r w:rsidRPr="00F31EA5">
        <w:rPr>
          <w:rFonts w:ascii="Times New Roman" w:hAnsi="Times New Roman" w:cs="Times New Roman"/>
          <w:i/>
          <w:iCs/>
          <w:lang w:val="en-US"/>
        </w:rPr>
        <w:t xml:space="preserve">Hep3B </w:t>
      </w:r>
      <w:r w:rsidRPr="00F31EA5">
        <w:rPr>
          <w:rFonts w:ascii="Times New Roman" w:hAnsi="Times New Roman" w:cs="Times New Roman"/>
          <w:lang w:val="en-US"/>
        </w:rPr>
        <w:t>and</w:t>
      </w:r>
      <w:r w:rsidRPr="00F31EA5">
        <w:rPr>
          <w:rFonts w:ascii="Times New Roman" w:hAnsi="Times New Roman" w:cs="Times New Roman"/>
          <w:i/>
          <w:iCs/>
          <w:lang w:val="en-US"/>
        </w:rPr>
        <w:t xml:space="preserve"> Huh7 cells</w:t>
      </w:r>
      <w:r w:rsidRPr="00F31EA5">
        <w:rPr>
          <w:rFonts w:ascii="Times New Roman" w:hAnsi="Times New Roman" w:cs="Times New Roman"/>
          <w:lang w:val="en-US"/>
        </w:rPr>
        <w:t>) or five (5) days (</w:t>
      </w:r>
      <w:proofErr w:type="spellStart"/>
      <w:r w:rsidRPr="00F31EA5">
        <w:rPr>
          <w:rFonts w:ascii="Times New Roman" w:hAnsi="Times New Roman" w:cs="Times New Roman"/>
          <w:i/>
          <w:iCs/>
          <w:lang w:val="en-US"/>
        </w:rPr>
        <w:t>HepaRG</w:t>
      </w:r>
      <w:proofErr w:type="spellEnd"/>
      <w:r w:rsidRPr="00F31EA5">
        <w:rPr>
          <w:rFonts w:ascii="Times New Roman" w:hAnsi="Times New Roman" w:cs="Times New Roman"/>
          <w:i/>
          <w:iCs/>
          <w:lang w:val="en-US"/>
        </w:rPr>
        <w:t xml:space="preserve"> cells</w:t>
      </w:r>
      <w:r w:rsidRPr="00F31EA5">
        <w:rPr>
          <w:rFonts w:ascii="Times New Roman" w:hAnsi="Times New Roman" w:cs="Times New Roman"/>
          <w:lang w:val="en-US"/>
        </w:rPr>
        <w:t xml:space="preserve">). Quantification of intracellular ATP was measured by adding 50μL of </w:t>
      </w:r>
      <w:proofErr w:type="spellStart"/>
      <w:r w:rsidRPr="00F31EA5">
        <w:rPr>
          <w:rFonts w:ascii="Times New Roman" w:hAnsi="Times New Roman" w:cs="Times New Roman"/>
          <w:lang w:val="en-US"/>
        </w:rPr>
        <w:t>CellTiter</w:t>
      </w:r>
      <w:proofErr w:type="spellEnd"/>
      <w:r w:rsidRPr="00F31EA5">
        <w:rPr>
          <w:rFonts w:ascii="Times New Roman" w:hAnsi="Times New Roman" w:cs="Times New Roman"/>
          <w:lang w:val="en-US"/>
        </w:rPr>
        <w:t xml:space="preserve">-Glo reagent (Promega). After two (2) min of orbital shaking, 100 </w:t>
      </w:r>
      <w:proofErr w:type="spellStart"/>
      <w:r w:rsidRPr="00F31EA5">
        <w:rPr>
          <w:rFonts w:ascii="Times New Roman" w:hAnsi="Times New Roman" w:cs="Times New Roman"/>
          <w:lang w:val="en-US"/>
        </w:rPr>
        <w:t>μL</w:t>
      </w:r>
      <w:proofErr w:type="spellEnd"/>
      <w:r w:rsidRPr="00F31EA5">
        <w:rPr>
          <w:rFonts w:ascii="Times New Roman" w:hAnsi="Times New Roman" w:cs="Times New Roman"/>
          <w:lang w:val="en-US"/>
        </w:rPr>
        <w:t xml:space="preserve"> of the reaction </w:t>
      </w:r>
      <w:r w:rsidRPr="00F31EA5">
        <w:rPr>
          <w:rFonts w:ascii="Times New Roman" w:hAnsi="Times New Roman" w:cs="Times New Roman"/>
          <w:lang w:val="en-US"/>
        </w:rPr>
        <w:lastRenderedPageBreak/>
        <w:t>well was transferred to an opaque plate for 10 min prior to luminescence quantification (</w:t>
      </w:r>
      <w:proofErr w:type="spellStart"/>
      <w:r w:rsidRPr="00F31EA5">
        <w:rPr>
          <w:rFonts w:ascii="Times New Roman" w:hAnsi="Times New Roman" w:cs="Times New Roman"/>
          <w:lang w:val="en-US"/>
        </w:rPr>
        <w:t>Fluoroskan</w:t>
      </w:r>
      <w:proofErr w:type="spellEnd"/>
      <w:r w:rsidRPr="00F31EA5">
        <w:rPr>
          <w:rFonts w:ascii="Times New Roman" w:hAnsi="Times New Roman" w:cs="Times New Roman"/>
          <w:lang w:val="en-US"/>
        </w:rPr>
        <w:t>, Thermo Scientific). Inhibition of cell viability was calculated relative</w:t>
      </w:r>
      <w:r w:rsidR="006F274D">
        <w:rPr>
          <w:rFonts w:ascii="Times New Roman" w:hAnsi="Times New Roman" w:cs="Times New Roman"/>
          <w:lang w:val="en-US"/>
        </w:rPr>
        <w:t>ly</w:t>
      </w:r>
      <w:r w:rsidRPr="00F31EA5">
        <w:rPr>
          <w:rFonts w:ascii="Times New Roman" w:hAnsi="Times New Roman" w:cs="Times New Roman"/>
          <w:lang w:val="en-US"/>
        </w:rPr>
        <w:t xml:space="preserve"> to control cells treated with 0.1% DMSO. GraphPad prism 6.0 was used to calculate IC50. Experiments were repeated at least three (3) times independently to calculate standard deviations.</w:t>
      </w:r>
    </w:p>
    <w:p w14:paraId="5DA12489" w14:textId="77777777" w:rsidR="0041220B" w:rsidRPr="0041220B" w:rsidRDefault="0041220B" w:rsidP="0041220B">
      <w:pPr>
        <w:pStyle w:val="ListParagraph"/>
        <w:numPr>
          <w:ilvl w:val="0"/>
          <w:numId w:val="2"/>
        </w:numPr>
        <w:spacing w:after="0" w:line="360" w:lineRule="auto"/>
        <w:jc w:val="both"/>
        <w:rPr>
          <w:rFonts w:ascii="Times New Roman" w:hAnsi="Times New Roman" w:cs="Times New Roman"/>
          <w:b/>
          <w:bCs/>
          <w:sz w:val="24"/>
          <w:szCs w:val="24"/>
          <w:lang w:val="en-US"/>
        </w:rPr>
      </w:pPr>
      <w:r w:rsidRPr="0041220B">
        <w:rPr>
          <w:rFonts w:ascii="Times New Roman" w:hAnsi="Times New Roman" w:cs="Times New Roman"/>
          <w:b/>
          <w:bCs/>
          <w:sz w:val="24"/>
          <w:szCs w:val="24"/>
          <w:lang w:val="en-US"/>
        </w:rPr>
        <w:t>Results and discussion</w:t>
      </w:r>
    </w:p>
    <w:p w14:paraId="0A037144" w14:textId="77777777" w:rsidR="0041220B" w:rsidRPr="0041220B" w:rsidRDefault="0041220B" w:rsidP="0041220B">
      <w:pPr>
        <w:pStyle w:val="ListParagraph"/>
        <w:numPr>
          <w:ilvl w:val="1"/>
          <w:numId w:val="2"/>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41220B">
        <w:rPr>
          <w:rFonts w:ascii="Times New Roman" w:hAnsi="Times New Roman" w:cs="Times New Roman"/>
          <w:b/>
          <w:bCs/>
          <w:sz w:val="24"/>
          <w:szCs w:val="24"/>
          <w:lang w:val="en-US"/>
        </w:rPr>
        <w:t>Maceration</w:t>
      </w:r>
    </w:p>
    <w:p w14:paraId="411CFAD8" w14:textId="77777777" w:rsidR="00E35EA2"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lang w:val="en-US"/>
        </w:rPr>
        <w:t xml:space="preserve"> </w:t>
      </w:r>
      <w:r w:rsidRPr="0041220B">
        <w:rPr>
          <w:rFonts w:ascii="Times New Roman" w:hAnsi="Times New Roman" w:cs="Times New Roman"/>
          <w:b/>
          <w:bCs/>
          <w:lang w:val="en-US"/>
        </w:rPr>
        <w:t>Table 1:</w:t>
      </w:r>
      <w:r w:rsidRPr="0041220B">
        <w:rPr>
          <w:rFonts w:ascii="Times New Roman" w:hAnsi="Times New Roman" w:cs="Times New Roman"/>
          <w:lang w:val="en-US"/>
        </w:rPr>
        <w:t xml:space="preserve"> masses of seed and leaf extracts obtained for metabolite and antibacterial activity tests</w:t>
      </w:r>
    </w:p>
    <w:tbl>
      <w:tblPr>
        <w:tblStyle w:val="TableGrid"/>
        <w:tblW w:w="0" w:type="auto"/>
        <w:jc w:val="center"/>
        <w:tblLook w:val="04A0" w:firstRow="1" w:lastRow="0" w:firstColumn="1" w:lastColumn="0" w:noHBand="0" w:noVBand="1"/>
      </w:tblPr>
      <w:tblGrid>
        <w:gridCol w:w="2149"/>
        <w:gridCol w:w="1274"/>
        <w:gridCol w:w="1559"/>
        <w:gridCol w:w="1560"/>
      </w:tblGrid>
      <w:tr w:rsidR="0041220B" w14:paraId="7D10BB85" w14:textId="77777777" w:rsidTr="00E35EA2">
        <w:trPr>
          <w:trHeight w:val="364"/>
          <w:jc w:val="center"/>
        </w:trPr>
        <w:tc>
          <w:tcPr>
            <w:tcW w:w="2149" w:type="dxa"/>
            <w:tcBorders>
              <w:top w:val="single" w:sz="4" w:space="0" w:color="auto"/>
              <w:left w:val="single" w:sz="4" w:space="0" w:color="auto"/>
              <w:bottom w:val="single" w:sz="4" w:space="0" w:color="auto"/>
              <w:right w:val="single" w:sz="4" w:space="0" w:color="auto"/>
            </w:tcBorders>
          </w:tcPr>
          <w:p w14:paraId="0FD012B4" w14:textId="77777777" w:rsidR="0041220B" w:rsidRPr="00E35EA2" w:rsidRDefault="00E35EA2" w:rsidP="00B02975">
            <w:pPr>
              <w:spacing w:line="360" w:lineRule="auto"/>
              <w:jc w:val="center"/>
              <w:rPr>
                <w:rFonts w:ascii="Times New Roman" w:hAnsi="Times New Roman"/>
                <w:b/>
                <w:sz w:val="24"/>
                <w:lang w:val="en-US"/>
              </w:rPr>
            </w:pPr>
            <w:r w:rsidRPr="00E35EA2">
              <w:rPr>
                <w:rFonts w:ascii="Times New Roman" w:hAnsi="Times New Roman" w:cs="Times New Roman"/>
                <w:b/>
                <w:bCs/>
                <w:sz w:val="24"/>
                <w:szCs w:val="24"/>
                <w:lang w:val="en-US"/>
              </w:rPr>
              <w:t>Extract mass</w:t>
            </w:r>
            <w:r w:rsidRPr="00E35EA2">
              <w:rPr>
                <w:rFonts w:ascii="Times New Roman" w:hAnsi="Times New Roman"/>
                <w:b/>
                <w:sz w:val="24"/>
                <w:lang w:val="en-US"/>
              </w:rPr>
              <w:t xml:space="preserve"> </w:t>
            </w:r>
            <w:r w:rsidR="0041220B" w:rsidRPr="00E35EA2">
              <w:rPr>
                <w:rFonts w:ascii="Times New Roman" w:hAnsi="Times New Roman"/>
                <w:b/>
                <w:sz w:val="24"/>
                <w:lang w:val="en-US"/>
              </w:rPr>
              <w:t>(g)</w:t>
            </w:r>
          </w:p>
        </w:tc>
        <w:tc>
          <w:tcPr>
            <w:tcW w:w="1274" w:type="dxa"/>
            <w:tcBorders>
              <w:top w:val="single" w:sz="4" w:space="0" w:color="auto"/>
              <w:left w:val="single" w:sz="4" w:space="0" w:color="auto"/>
              <w:bottom w:val="single" w:sz="4" w:space="0" w:color="auto"/>
              <w:right w:val="single" w:sz="4" w:space="0" w:color="auto"/>
            </w:tcBorders>
          </w:tcPr>
          <w:p w14:paraId="3C6A3BE3" w14:textId="77777777" w:rsidR="0041220B" w:rsidRPr="00E35EA2" w:rsidRDefault="0041220B" w:rsidP="00B02975">
            <w:pPr>
              <w:spacing w:line="360" w:lineRule="auto"/>
              <w:jc w:val="center"/>
              <w:rPr>
                <w:rFonts w:ascii="Times New Roman" w:hAnsi="Times New Roman"/>
                <w:b/>
                <w:sz w:val="24"/>
                <w:szCs w:val="24"/>
                <w:lang w:val="en-US"/>
              </w:rPr>
            </w:pPr>
            <w:r w:rsidRPr="00E35EA2">
              <w:rPr>
                <w:rFonts w:ascii="Times New Roman" w:hAnsi="Times New Roman"/>
                <w:b/>
                <w:sz w:val="24"/>
                <w:lang w:val="en-US"/>
              </w:rPr>
              <w:t>Hexane</w:t>
            </w:r>
          </w:p>
        </w:tc>
        <w:tc>
          <w:tcPr>
            <w:tcW w:w="1559" w:type="dxa"/>
            <w:tcBorders>
              <w:top w:val="single" w:sz="4" w:space="0" w:color="auto"/>
              <w:left w:val="single" w:sz="4" w:space="0" w:color="auto"/>
              <w:bottom w:val="single" w:sz="4" w:space="0" w:color="auto"/>
              <w:right w:val="single" w:sz="4" w:space="0" w:color="auto"/>
            </w:tcBorders>
          </w:tcPr>
          <w:p w14:paraId="52884BA8" w14:textId="77777777" w:rsidR="0041220B" w:rsidRPr="00E35EA2" w:rsidRDefault="0041220B" w:rsidP="00B02975">
            <w:pPr>
              <w:spacing w:line="360" w:lineRule="auto"/>
              <w:jc w:val="center"/>
              <w:rPr>
                <w:rFonts w:ascii="Times New Roman" w:hAnsi="Times New Roman"/>
                <w:b/>
                <w:sz w:val="24"/>
                <w:lang w:val="en-US"/>
              </w:rPr>
            </w:pPr>
            <w:r w:rsidRPr="00E35EA2">
              <w:rPr>
                <w:rFonts w:ascii="Times New Roman" w:hAnsi="Times New Roman"/>
                <w:b/>
                <w:sz w:val="24"/>
                <w:lang w:val="en-US"/>
              </w:rPr>
              <w:t>Ac</w:t>
            </w:r>
            <w:r w:rsidR="00E35EA2" w:rsidRPr="00E35EA2">
              <w:rPr>
                <w:rFonts w:ascii="Times New Roman" w:hAnsi="Times New Roman"/>
                <w:b/>
                <w:sz w:val="24"/>
                <w:lang w:val="en-US"/>
              </w:rPr>
              <w:t>e</w:t>
            </w:r>
            <w:r w:rsidRPr="00E35EA2">
              <w:rPr>
                <w:rFonts w:ascii="Times New Roman" w:hAnsi="Times New Roman"/>
                <w:b/>
                <w:sz w:val="24"/>
                <w:lang w:val="en-US"/>
              </w:rPr>
              <w:t>tone</w:t>
            </w:r>
          </w:p>
        </w:tc>
        <w:tc>
          <w:tcPr>
            <w:tcW w:w="1560" w:type="dxa"/>
            <w:tcBorders>
              <w:top w:val="single" w:sz="4" w:space="0" w:color="auto"/>
              <w:left w:val="single" w:sz="4" w:space="0" w:color="auto"/>
              <w:bottom w:val="single" w:sz="4" w:space="0" w:color="auto"/>
              <w:right w:val="single" w:sz="4" w:space="0" w:color="auto"/>
            </w:tcBorders>
          </w:tcPr>
          <w:p w14:paraId="51CB3DDA" w14:textId="77777777" w:rsidR="0041220B" w:rsidRPr="00E35EA2" w:rsidRDefault="0041220B" w:rsidP="00B02975">
            <w:pPr>
              <w:spacing w:line="360" w:lineRule="auto"/>
              <w:jc w:val="center"/>
              <w:rPr>
                <w:rFonts w:ascii="Times New Roman" w:hAnsi="Times New Roman"/>
                <w:b/>
                <w:sz w:val="24"/>
                <w:lang w:val="en-US"/>
              </w:rPr>
            </w:pPr>
            <w:r w:rsidRPr="00E35EA2">
              <w:rPr>
                <w:rFonts w:ascii="Times New Roman" w:hAnsi="Times New Roman"/>
                <w:b/>
                <w:sz w:val="24"/>
                <w:lang w:val="en-US"/>
              </w:rPr>
              <w:t>Ethanol</w:t>
            </w:r>
          </w:p>
        </w:tc>
      </w:tr>
      <w:tr w:rsidR="0041220B" w14:paraId="67395AF9" w14:textId="77777777" w:rsidTr="00E35EA2">
        <w:trPr>
          <w:trHeight w:val="270"/>
          <w:jc w:val="center"/>
        </w:trPr>
        <w:tc>
          <w:tcPr>
            <w:tcW w:w="2149" w:type="dxa"/>
            <w:tcBorders>
              <w:top w:val="single" w:sz="4" w:space="0" w:color="auto"/>
              <w:left w:val="single" w:sz="4" w:space="0" w:color="auto"/>
              <w:bottom w:val="single" w:sz="4" w:space="0" w:color="auto"/>
              <w:right w:val="single" w:sz="4" w:space="0" w:color="auto"/>
            </w:tcBorders>
          </w:tcPr>
          <w:p w14:paraId="05F6C9AB" w14:textId="77777777" w:rsidR="0041220B" w:rsidRPr="00E35EA2" w:rsidRDefault="0041220B" w:rsidP="00B02975">
            <w:pPr>
              <w:spacing w:line="360" w:lineRule="auto"/>
              <w:jc w:val="center"/>
              <w:rPr>
                <w:rFonts w:ascii="Times New Roman" w:eastAsia="Calibri" w:hAnsi="Times New Roman"/>
                <w:bCs/>
                <w:sz w:val="24"/>
                <w:szCs w:val="24"/>
              </w:rPr>
            </w:pPr>
            <w:r w:rsidRPr="00E35EA2">
              <w:rPr>
                <w:rFonts w:ascii="Times New Roman" w:hAnsi="Times New Roman"/>
                <w:bCs/>
                <w:sz w:val="24"/>
              </w:rPr>
              <w:t>MEF</w:t>
            </w:r>
          </w:p>
        </w:tc>
        <w:tc>
          <w:tcPr>
            <w:tcW w:w="1274" w:type="dxa"/>
            <w:tcBorders>
              <w:top w:val="single" w:sz="4" w:space="0" w:color="auto"/>
              <w:left w:val="single" w:sz="4" w:space="0" w:color="auto"/>
              <w:bottom w:val="single" w:sz="4" w:space="0" w:color="auto"/>
              <w:right w:val="single" w:sz="4" w:space="0" w:color="auto"/>
            </w:tcBorders>
          </w:tcPr>
          <w:p w14:paraId="67A34B68"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0.4221</w:t>
            </w:r>
          </w:p>
        </w:tc>
        <w:tc>
          <w:tcPr>
            <w:tcW w:w="1559" w:type="dxa"/>
            <w:tcBorders>
              <w:top w:val="single" w:sz="4" w:space="0" w:color="auto"/>
              <w:left w:val="single" w:sz="4" w:space="0" w:color="auto"/>
              <w:bottom w:val="single" w:sz="4" w:space="0" w:color="auto"/>
              <w:right w:val="single" w:sz="4" w:space="0" w:color="auto"/>
            </w:tcBorders>
          </w:tcPr>
          <w:p w14:paraId="7E90CE03"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12.21125</w:t>
            </w:r>
          </w:p>
        </w:tc>
        <w:tc>
          <w:tcPr>
            <w:tcW w:w="1560" w:type="dxa"/>
            <w:tcBorders>
              <w:top w:val="single" w:sz="4" w:space="0" w:color="auto"/>
              <w:left w:val="single" w:sz="4" w:space="0" w:color="auto"/>
              <w:bottom w:val="single" w:sz="4" w:space="0" w:color="auto"/>
              <w:right w:val="single" w:sz="4" w:space="0" w:color="auto"/>
            </w:tcBorders>
          </w:tcPr>
          <w:p w14:paraId="143C4540" w14:textId="77777777" w:rsidR="0041220B" w:rsidRPr="00E35EA2" w:rsidRDefault="0041220B" w:rsidP="00B02975">
            <w:pPr>
              <w:spacing w:line="360" w:lineRule="auto"/>
              <w:jc w:val="center"/>
              <w:rPr>
                <w:rFonts w:ascii="Times New Roman" w:hAnsi="Times New Roman"/>
                <w:bCs/>
                <w:sz w:val="24"/>
              </w:rPr>
            </w:pPr>
            <w:r w:rsidRPr="00E35EA2">
              <w:rPr>
                <w:rFonts w:ascii="Times New Roman" w:hAnsi="Times New Roman"/>
                <w:bCs/>
                <w:sz w:val="24"/>
              </w:rPr>
              <w:t>16.209</w:t>
            </w:r>
          </w:p>
        </w:tc>
      </w:tr>
      <w:tr w:rsidR="0041220B" w14:paraId="4B459AE0" w14:textId="77777777" w:rsidTr="00E35EA2">
        <w:trPr>
          <w:trHeight w:val="275"/>
          <w:jc w:val="center"/>
        </w:trPr>
        <w:tc>
          <w:tcPr>
            <w:tcW w:w="2149" w:type="dxa"/>
            <w:tcBorders>
              <w:top w:val="single" w:sz="4" w:space="0" w:color="auto"/>
              <w:left w:val="single" w:sz="4" w:space="0" w:color="auto"/>
              <w:bottom w:val="single" w:sz="4" w:space="0" w:color="auto"/>
              <w:right w:val="single" w:sz="4" w:space="0" w:color="auto"/>
            </w:tcBorders>
          </w:tcPr>
          <w:p w14:paraId="1E64018A"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MEG</w:t>
            </w:r>
          </w:p>
        </w:tc>
        <w:tc>
          <w:tcPr>
            <w:tcW w:w="1274" w:type="dxa"/>
            <w:tcBorders>
              <w:top w:val="single" w:sz="4" w:space="0" w:color="auto"/>
              <w:left w:val="single" w:sz="4" w:space="0" w:color="auto"/>
              <w:bottom w:val="single" w:sz="4" w:space="0" w:color="auto"/>
              <w:right w:val="single" w:sz="4" w:space="0" w:color="auto"/>
            </w:tcBorders>
          </w:tcPr>
          <w:p w14:paraId="7D9BC101"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0.3135</w:t>
            </w:r>
          </w:p>
        </w:tc>
        <w:tc>
          <w:tcPr>
            <w:tcW w:w="1559" w:type="dxa"/>
            <w:tcBorders>
              <w:top w:val="single" w:sz="4" w:space="0" w:color="auto"/>
              <w:left w:val="single" w:sz="4" w:space="0" w:color="auto"/>
              <w:bottom w:val="single" w:sz="4" w:space="0" w:color="auto"/>
              <w:right w:val="single" w:sz="4" w:space="0" w:color="auto"/>
            </w:tcBorders>
          </w:tcPr>
          <w:p w14:paraId="5B483434"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8.9212</w:t>
            </w:r>
          </w:p>
        </w:tc>
        <w:tc>
          <w:tcPr>
            <w:tcW w:w="1560" w:type="dxa"/>
            <w:tcBorders>
              <w:top w:val="single" w:sz="4" w:space="0" w:color="auto"/>
              <w:left w:val="single" w:sz="4" w:space="0" w:color="auto"/>
              <w:bottom w:val="single" w:sz="4" w:space="0" w:color="auto"/>
              <w:right w:val="single" w:sz="4" w:space="0" w:color="auto"/>
            </w:tcBorders>
          </w:tcPr>
          <w:p w14:paraId="7C079E02" w14:textId="77777777" w:rsidR="0041220B" w:rsidRPr="00E35EA2" w:rsidRDefault="0041220B" w:rsidP="00B02975">
            <w:pPr>
              <w:spacing w:line="360" w:lineRule="auto"/>
              <w:jc w:val="center"/>
              <w:rPr>
                <w:rFonts w:ascii="Times New Roman" w:hAnsi="Times New Roman"/>
                <w:bCs/>
                <w:sz w:val="24"/>
              </w:rPr>
            </w:pPr>
            <w:r w:rsidRPr="00E35EA2">
              <w:rPr>
                <w:rFonts w:ascii="Times New Roman" w:hAnsi="Times New Roman"/>
                <w:bCs/>
                <w:sz w:val="24"/>
              </w:rPr>
              <w:t>15.9575</w:t>
            </w:r>
          </w:p>
        </w:tc>
      </w:tr>
      <w:tr w:rsidR="0041220B" w14:paraId="0D152D1D" w14:textId="77777777" w:rsidTr="00E35EA2">
        <w:trPr>
          <w:trHeight w:val="122"/>
          <w:jc w:val="center"/>
        </w:trPr>
        <w:tc>
          <w:tcPr>
            <w:tcW w:w="2149" w:type="dxa"/>
            <w:tcBorders>
              <w:top w:val="single" w:sz="4" w:space="0" w:color="auto"/>
              <w:left w:val="single" w:sz="4" w:space="0" w:color="auto"/>
              <w:bottom w:val="single" w:sz="4" w:space="0" w:color="auto"/>
              <w:right w:val="single" w:sz="4" w:space="0" w:color="auto"/>
            </w:tcBorders>
          </w:tcPr>
          <w:p w14:paraId="48536FCC"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MEMF</w:t>
            </w:r>
          </w:p>
        </w:tc>
        <w:tc>
          <w:tcPr>
            <w:tcW w:w="1274" w:type="dxa"/>
            <w:tcBorders>
              <w:top w:val="single" w:sz="4" w:space="0" w:color="auto"/>
              <w:left w:val="single" w:sz="4" w:space="0" w:color="auto"/>
              <w:bottom w:val="single" w:sz="4" w:space="0" w:color="auto"/>
              <w:right w:val="single" w:sz="4" w:space="0" w:color="auto"/>
            </w:tcBorders>
          </w:tcPr>
          <w:p w14:paraId="43F4B894"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1.1226</w:t>
            </w:r>
          </w:p>
        </w:tc>
        <w:tc>
          <w:tcPr>
            <w:tcW w:w="1559" w:type="dxa"/>
            <w:tcBorders>
              <w:top w:val="single" w:sz="4" w:space="0" w:color="auto"/>
              <w:left w:val="single" w:sz="4" w:space="0" w:color="auto"/>
              <w:bottom w:val="single" w:sz="4" w:space="0" w:color="auto"/>
              <w:right w:val="single" w:sz="4" w:space="0" w:color="auto"/>
            </w:tcBorders>
          </w:tcPr>
          <w:p w14:paraId="1E59ECF2"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11.9596</w:t>
            </w:r>
          </w:p>
        </w:tc>
        <w:tc>
          <w:tcPr>
            <w:tcW w:w="1560" w:type="dxa"/>
            <w:tcBorders>
              <w:top w:val="single" w:sz="4" w:space="0" w:color="auto"/>
              <w:left w:val="single" w:sz="4" w:space="0" w:color="auto"/>
              <w:bottom w:val="single" w:sz="4" w:space="0" w:color="auto"/>
              <w:right w:val="single" w:sz="4" w:space="0" w:color="auto"/>
            </w:tcBorders>
          </w:tcPr>
          <w:p w14:paraId="7AE3B7F5" w14:textId="77777777" w:rsidR="0041220B" w:rsidRPr="00E35EA2" w:rsidRDefault="0041220B" w:rsidP="00B02975">
            <w:pPr>
              <w:spacing w:line="360" w:lineRule="auto"/>
              <w:jc w:val="center"/>
              <w:rPr>
                <w:rFonts w:ascii="Times New Roman" w:hAnsi="Times New Roman"/>
                <w:bCs/>
                <w:sz w:val="24"/>
              </w:rPr>
            </w:pPr>
            <w:r w:rsidRPr="00E35EA2">
              <w:rPr>
                <w:rFonts w:ascii="Times New Roman" w:hAnsi="Times New Roman"/>
                <w:bCs/>
                <w:sz w:val="24"/>
              </w:rPr>
              <w:t>11.1969</w:t>
            </w:r>
          </w:p>
        </w:tc>
      </w:tr>
      <w:tr w:rsidR="0041220B" w14:paraId="6D14F9C1" w14:textId="77777777" w:rsidTr="00E35EA2">
        <w:trPr>
          <w:trHeight w:val="269"/>
          <w:jc w:val="center"/>
        </w:trPr>
        <w:tc>
          <w:tcPr>
            <w:tcW w:w="2149" w:type="dxa"/>
            <w:tcBorders>
              <w:top w:val="single" w:sz="4" w:space="0" w:color="auto"/>
              <w:left w:val="single" w:sz="4" w:space="0" w:color="auto"/>
              <w:bottom w:val="single" w:sz="4" w:space="0" w:color="auto"/>
              <w:right w:val="single" w:sz="4" w:space="0" w:color="auto"/>
            </w:tcBorders>
          </w:tcPr>
          <w:p w14:paraId="007075CD"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MEMG</w:t>
            </w:r>
          </w:p>
        </w:tc>
        <w:tc>
          <w:tcPr>
            <w:tcW w:w="1274" w:type="dxa"/>
            <w:tcBorders>
              <w:top w:val="single" w:sz="4" w:space="0" w:color="auto"/>
              <w:left w:val="single" w:sz="4" w:space="0" w:color="auto"/>
              <w:bottom w:val="single" w:sz="4" w:space="0" w:color="auto"/>
              <w:right w:val="single" w:sz="4" w:space="0" w:color="auto"/>
            </w:tcBorders>
          </w:tcPr>
          <w:p w14:paraId="7563D8CA"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1.9809</w:t>
            </w:r>
          </w:p>
        </w:tc>
        <w:tc>
          <w:tcPr>
            <w:tcW w:w="1559" w:type="dxa"/>
            <w:tcBorders>
              <w:top w:val="single" w:sz="4" w:space="0" w:color="auto"/>
              <w:left w:val="single" w:sz="4" w:space="0" w:color="auto"/>
              <w:bottom w:val="single" w:sz="4" w:space="0" w:color="auto"/>
              <w:right w:val="single" w:sz="4" w:space="0" w:color="auto"/>
            </w:tcBorders>
          </w:tcPr>
          <w:p w14:paraId="1280BABE"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10.2351</w:t>
            </w:r>
          </w:p>
        </w:tc>
        <w:tc>
          <w:tcPr>
            <w:tcW w:w="1560" w:type="dxa"/>
            <w:tcBorders>
              <w:top w:val="single" w:sz="4" w:space="0" w:color="auto"/>
              <w:left w:val="single" w:sz="4" w:space="0" w:color="auto"/>
              <w:bottom w:val="single" w:sz="4" w:space="0" w:color="auto"/>
              <w:right w:val="single" w:sz="4" w:space="0" w:color="auto"/>
            </w:tcBorders>
          </w:tcPr>
          <w:p w14:paraId="6F88C5B1" w14:textId="77777777" w:rsidR="0041220B" w:rsidRPr="00E35EA2" w:rsidRDefault="0041220B" w:rsidP="00B02975">
            <w:pPr>
              <w:spacing w:line="360" w:lineRule="auto"/>
              <w:jc w:val="center"/>
              <w:rPr>
                <w:rFonts w:ascii="Times New Roman" w:hAnsi="Times New Roman"/>
                <w:bCs/>
                <w:sz w:val="24"/>
              </w:rPr>
            </w:pPr>
            <w:r w:rsidRPr="00E35EA2">
              <w:rPr>
                <w:rFonts w:ascii="Times New Roman" w:hAnsi="Times New Roman"/>
                <w:bCs/>
                <w:sz w:val="24"/>
              </w:rPr>
              <w:t>11.759</w:t>
            </w:r>
          </w:p>
        </w:tc>
      </w:tr>
    </w:tbl>
    <w:p w14:paraId="58BE5507" w14:textId="38407E8D" w:rsidR="0041220B" w:rsidRPr="0041220B"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lang w:val="en-US"/>
        </w:rPr>
        <w:t>MEF: leaf extract mas</w:t>
      </w:r>
      <w:r w:rsidR="00DC7915">
        <w:rPr>
          <w:rFonts w:ascii="Times New Roman" w:hAnsi="Times New Roman" w:cs="Times New Roman"/>
          <w:lang w:val="en-US"/>
        </w:rPr>
        <w:t>,</w:t>
      </w:r>
      <w:r w:rsidRPr="0041220B">
        <w:rPr>
          <w:rFonts w:ascii="Times New Roman" w:hAnsi="Times New Roman" w:cs="Times New Roman"/>
          <w:lang w:val="en-US"/>
        </w:rPr>
        <w:t xml:space="preserve"> MEMF: leaf pomace extract mass</w:t>
      </w:r>
      <w:r>
        <w:rPr>
          <w:rFonts w:ascii="Times New Roman" w:hAnsi="Times New Roman" w:cs="Times New Roman"/>
          <w:lang w:val="en-US"/>
        </w:rPr>
        <w:t>,</w:t>
      </w:r>
      <w:r w:rsidRPr="0041220B">
        <w:rPr>
          <w:rFonts w:ascii="Times New Roman" w:hAnsi="Times New Roman" w:cs="Times New Roman"/>
          <w:lang w:val="en-US"/>
        </w:rPr>
        <w:t xml:space="preserve"> MEG: seed extract mass</w:t>
      </w:r>
      <w:r>
        <w:rPr>
          <w:rFonts w:ascii="Times New Roman" w:hAnsi="Times New Roman" w:cs="Times New Roman"/>
          <w:lang w:val="en-US"/>
        </w:rPr>
        <w:t>,</w:t>
      </w:r>
      <w:r w:rsidRPr="0041220B">
        <w:rPr>
          <w:rFonts w:ascii="Times New Roman" w:hAnsi="Times New Roman" w:cs="Times New Roman"/>
          <w:lang w:val="en-US"/>
        </w:rPr>
        <w:t xml:space="preserve"> MEMG: seed pomace extract mass</w:t>
      </w:r>
    </w:p>
    <w:p w14:paraId="18D0C762" w14:textId="21D36ACD" w:rsidR="0041220B"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lang w:val="en-US"/>
        </w:rPr>
        <w:t xml:space="preserve">Most of the mass obtained directly from extracts are greater than those calculated from pomace, not counting those produced with hexane, since the extraction was repeated and the masses used were not the same. </w:t>
      </w:r>
      <w:r w:rsidR="00380E56" w:rsidRPr="0041220B">
        <w:rPr>
          <w:rFonts w:ascii="Times New Roman" w:hAnsi="Times New Roman" w:cs="Times New Roman"/>
          <w:lang w:val="en-US"/>
        </w:rPr>
        <w:t>These masses</w:t>
      </w:r>
      <w:r w:rsidRPr="0041220B">
        <w:rPr>
          <w:rFonts w:ascii="Times New Roman" w:hAnsi="Times New Roman" w:cs="Times New Roman"/>
          <w:lang w:val="en-US"/>
        </w:rPr>
        <w:t xml:space="preserve"> </w:t>
      </w:r>
      <w:r w:rsidR="006F274D">
        <w:rPr>
          <w:rFonts w:ascii="Times New Roman" w:hAnsi="Times New Roman" w:cs="Times New Roman"/>
          <w:lang w:val="en-US"/>
        </w:rPr>
        <w:t xml:space="preserve">can </w:t>
      </w:r>
      <w:r w:rsidRPr="0041220B">
        <w:rPr>
          <w:rFonts w:ascii="Times New Roman" w:hAnsi="Times New Roman" w:cs="Times New Roman"/>
          <w:lang w:val="en-US"/>
        </w:rPr>
        <w:t xml:space="preserve">vary </w:t>
      </w:r>
      <w:r w:rsidR="006F274D">
        <w:rPr>
          <w:rFonts w:ascii="Times New Roman" w:hAnsi="Times New Roman" w:cs="Times New Roman"/>
          <w:lang w:val="en-US"/>
        </w:rPr>
        <w:t>following</w:t>
      </w:r>
      <w:r w:rsidRPr="0041220B">
        <w:rPr>
          <w:rFonts w:ascii="Times New Roman" w:hAnsi="Times New Roman" w:cs="Times New Roman"/>
          <w:lang w:val="en-US"/>
        </w:rPr>
        <w:t xml:space="preserve"> the solvents and volumes use</w:t>
      </w:r>
      <w:r w:rsidR="006F274D">
        <w:rPr>
          <w:rFonts w:ascii="Times New Roman" w:hAnsi="Times New Roman" w:cs="Times New Roman"/>
          <w:lang w:val="en-US"/>
        </w:rPr>
        <w:t xml:space="preserve">d, what may </w:t>
      </w:r>
      <w:r w:rsidRPr="0041220B">
        <w:rPr>
          <w:rFonts w:ascii="Times New Roman" w:hAnsi="Times New Roman" w:cs="Times New Roman"/>
          <w:lang w:val="en-US"/>
        </w:rPr>
        <w:t>influence yields.</w:t>
      </w:r>
    </w:p>
    <w:p w14:paraId="1C7DCC47" w14:textId="77777777" w:rsidR="0041220B" w:rsidRPr="0041220B" w:rsidRDefault="0041220B" w:rsidP="0041220B">
      <w:pPr>
        <w:pStyle w:val="ListParagraph"/>
        <w:numPr>
          <w:ilvl w:val="1"/>
          <w:numId w:val="2"/>
        </w:numPr>
        <w:spacing w:after="0" w:line="360" w:lineRule="auto"/>
        <w:jc w:val="both"/>
        <w:rPr>
          <w:rFonts w:ascii="Times New Roman" w:hAnsi="Times New Roman" w:cs="Times New Roman"/>
          <w:b/>
          <w:bCs/>
          <w:sz w:val="24"/>
          <w:szCs w:val="24"/>
          <w:lang w:val="en-US"/>
        </w:rPr>
      </w:pPr>
      <w:r w:rsidRPr="0041220B">
        <w:rPr>
          <w:rFonts w:ascii="Times New Roman" w:hAnsi="Times New Roman" w:cs="Times New Roman"/>
          <w:b/>
          <w:bCs/>
          <w:sz w:val="24"/>
          <w:szCs w:val="24"/>
          <w:lang w:val="en-US"/>
        </w:rPr>
        <w:t xml:space="preserve"> Chemical screening </w:t>
      </w:r>
    </w:p>
    <w:p w14:paraId="211272D2" w14:textId="77777777" w:rsidR="0041220B" w:rsidRPr="0041220B"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b/>
          <w:bCs/>
          <w:lang w:val="en-US"/>
        </w:rPr>
        <w:t>Table 2:</w:t>
      </w:r>
      <w:r w:rsidRPr="0041220B">
        <w:rPr>
          <w:rFonts w:ascii="Times New Roman" w:hAnsi="Times New Roman" w:cs="Times New Roman"/>
          <w:lang w:val="en-US"/>
        </w:rPr>
        <w:t xml:space="preserve"> results of screening tests carried out on seeds and leaves</w:t>
      </w:r>
    </w:p>
    <w:tbl>
      <w:tblPr>
        <w:tblStyle w:val="TableGrid"/>
        <w:tblW w:w="9498" w:type="dxa"/>
        <w:jc w:val="center"/>
        <w:tblLayout w:type="fixed"/>
        <w:tblLook w:val="04A0" w:firstRow="1" w:lastRow="0" w:firstColumn="1" w:lastColumn="0" w:noHBand="0" w:noVBand="1"/>
      </w:tblPr>
      <w:tblGrid>
        <w:gridCol w:w="1419"/>
        <w:gridCol w:w="1417"/>
        <w:gridCol w:w="1134"/>
        <w:gridCol w:w="1087"/>
        <w:gridCol w:w="1039"/>
        <w:gridCol w:w="1134"/>
        <w:gridCol w:w="1134"/>
        <w:gridCol w:w="1134"/>
      </w:tblGrid>
      <w:tr w:rsidR="0041220B" w:rsidRPr="00B247E7" w14:paraId="682020D0" w14:textId="77777777" w:rsidTr="00C874BC">
        <w:trPr>
          <w:trHeight w:val="589"/>
          <w:jc w:val="center"/>
        </w:trPr>
        <w:tc>
          <w:tcPr>
            <w:tcW w:w="2836" w:type="dxa"/>
            <w:gridSpan w:val="2"/>
            <w:vMerge w:val="restart"/>
            <w:vAlign w:val="center"/>
          </w:tcPr>
          <w:p w14:paraId="5BCBB083"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Metabolite and reagent</w:t>
            </w:r>
          </w:p>
        </w:tc>
        <w:tc>
          <w:tcPr>
            <w:tcW w:w="3260" w:type="dxa"/>
            <w:gridSpan w:val="3"/>
            <w:vAlign w:val="center"/>
          </w:tcPr>
          <w:p w14:paraId="303F83B5"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hAnsi="Times New Roman" w:cs="Times New Roman"/>
                <w:sz w:val="24"/>
                <w:szCs w:val="24"/>
                <w:lang w:val="en-US"/>
              </w:rPr>
              <w:t>Leaves</w:t>
            </w:r>
          </w:p>
        </w:tc>
        <w:tc>
          <w:tcPr>
            <w:tcW w:w="3402" w:type="dxa"/>
            <w:gridSpan w:val="3"/>
            <w:vAlign w:val="center"/>
          </w:tcPr>
          <w:p w14:paraId="0FAC82BC"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hAnsi="Times New Roman" w:cs="Times New Roman"/>
                <w:sz w:val="24"/>
                <w:szCs w:val="24"/>
                <w:lang w:val="en-US"/>
              </w:rPr>
              <w:t>Seeds</w:t>
            </w:r>
          </w:p>
        </w:tc>
      </w:tr>
      <w:tr w:rsidR="0041220B" w:rsidRPr="00B247E7" w14:paraId="46B25D7F" w14:textId="77777777" w:rsidTr="00C874BC">
        <w:trPr>
          <w:trHeight w:val="589"/>
          <w:jc w:val="center"/>
        </w:trPr>
        <w:tc>
          <w:tcPr>
            <w:tcW w:w="2836" w:type="dxa"/>
            <w:gridSpan w:val="2"/>
            <w:vMerge/>
            <w:vAlign w:val="center"/>
          </w:tcPr>
          <w:p w14:paraId="3397C672"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p>
        </w:tc>
        <w:tc>
          <w:tcPr>
            <w:tcW w:w="1134" w:type="dxa"/>
            <w:vAlign w:val="center"/>
          </w:tcPr>
          <w:p w14:paraId="60A4D90E"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Ac</w:t>
            </w:r>
            <w:r w:rsidR="00E35EA2" w:rsidRPr="00B247E7">
              <w:rPr>
                <w:rFonts w:ascii="Times New Roman" w:eastAsia="Calibri" w:hAnsi="Times New Roman" w:cs="Times New Roman"/>
                <w:b/>
                <w:sz w:val="24"/>
                <w:szCs w:val="24"/>
                <w:lang w:val="en-US"/>
              </w:rPr>
              <w:t>e</w:t>
            </w:r>
            <w:r w:rsidRPr="00B247E7">
              <w:rPr>
                <w:rFonts w:ascii="Times New Roman" w:eastAsia="Calibri" w:hAnsi="Times New Roman" w:cs="Times New Roman"/>
                <w:b/>
                <w:sz w:val="24"/>
                <w:szCs w:val="24"/>
                <w:lang w:val="en-US"/>
              </w:rPr>
              <w:t>tone</w:t>
            </w:r>
          </w:p>
        </w:tc>
        <w:tc>
          <w:tcPr>
            <w:tcW w:w="1087" w:type="dxa"/>
            <w:vAlign w:val="center"/>
          </w:tcPr>
          <w:p w14:paraId="2F27DF87"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E</w:t>
            </w:r>
            <w:r w:rsidR="0041220B" w:rsidRPr="00B247E7">
              <w:rPr>
                <w:rFonts w:ascii="Times New Roman" w:eastAsia="Calibri" w:hAnsi="Times New Roman" w:cs="Times New Roman"/>
                <w:b/>
                <w:sz w:val="24"/>
                <w:szCs w:val="24"/>
                <w:lang w:val="en-US"/>
              </w:rPr>
              <w:t>thanol</w:t>
            </w:r>
          </w:p>
        </w:tc>
        <w:tc>
          <w:tcPr>
            <w:tcW w:w="1039" w:type="dxa"/>
            <w:vAlign w:val="center"/>
          </w:tcPr>
          <w:p w14:paraId="27B71809"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Hexane</w:t>
            </w:r>
          </w:p>
          <w:p w14:paraId="3621CA84"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p>
        </w:tc>
        <w:tc>
          <w:tcPr>
            <w:tcW w:w="1134" w:type="dxa"/>
            <w:vAlign w:val="center"/>
          </w:tcPr>
          <w:p w14:paraId="4962FB1A"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Ac</w:t>
            </w:r>
            <w:r w:rsidR="00E35EA2" w:rsidRPr="00B247E7">
              <w:rPr>
                <w:rFonts w:ascii="Times New Roman" w:eastAsia="Calibri" w:hAnsi="Times New Roman" w:cs="Times New Roman"/>
                <w:b/>
                <w:sz w:val="24"/>
                <w:szCs w:val="24"/>
                <w:lang w:val="en-US"/>
              </w:rPr>
              <w:t>e</w:t>
            </w:r>
            <w:r w:rsidRPr="00B247E7">
              <w:rPr>
                <w:rFonts w:ascii="Times New Roman" w:eastAsia="Calibri" w:hAnsi="Times New Roman" w:cs="Times New Roman"/>
                <w:b/>
                <w:sz w:val="24"/>
                <w:szCs w:val="24"/>
                <w:lang w:val="en-US"/>
              </w:rPr>
              <w:t>tone</w:t>
            </w:r>
          </w:p>
        </w:tc>
        <w:tc>
          <w:tcPr>
            <w:tcW w:w="1134" w:type="dxa"/>
            <w:vAlign w:val="center"/>
          </w:tcPr>
          <w:p w14:paraId="7547E36B"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E</w:t>
            </w:r>
            <w:r w:rsidR="0041220B" w:rsidRPr="00B247E7">
              <w:rPr>
                <w:rFonts w:ascii="Times New Roman" w:eastAsia="Calibri" w:hAnsi="Times New Roman" w:cs="Times New Roman"/>
                <w:b/>
                <w:sz w:val="24"/>
                <w:szCs w:val="24"/>
                <w:lang w:val="en-US"/>
              </w:rPr>
              <w:t>thanol</w:t>
            </w:r>
          </w:p>
        </w:tc>
        <w:tc>
          <w:tcPr>
            <w:tcW w:w="1134" w:type="dxa"/>
            <w:vAlign w:val="center"/>
          </w:tcPr>
          <w:p w14:paraId="61EC6AF1"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Hexane</w:t>
            </w:r>
          </w:p>
          <w:p w14:paraId="45CF8F1E"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p>
        </w:tc>
      </w:tr>
      <w:tr w:rsidR="0041220B" w:rsidRPr="00B247E7" w14:paraId="776A28CF" w14:textId="77777777" w:rsidTr="00C874BC">
        <w:trPr>
          <w:trHeight w:val="589"/>
          <w:jc w:val="center"/>
        </w:trPr>
        <w:tc>
          <w:tcPr>
            <w:tcW w:w="1419" w:type="dxa"/>
            <w:vMerge w:val="restart"/>
            <w:vAlign w:val="center"/>
          </w:tcPr>
          <w:p w14:paraId="43B9A4AF" w14:textId="77777777" w:rsidR="00B247E7" w:rsidRPr="00B247E7" w:rsidRDefault="00B247E7" w:rsidP="00C874BC">
            <w:pPr>
              <w:spacing w:line="360" w:lineRule="auto"/>
              <w:jc w:val="center"/>
              <w:rPr>
                <w:rFonts w:ascii="Times New Roman" w:hAnsi="Times New Roman" w:cs="Times New Roman"/>
                <w:lang w:val="en-US"/>
              </w:rPr>
            </w:pPr>
            <w:r w:rsidRPr="00B247E7">
              <w:rPr>
                <w:rFonts w:ascii="Times New Roman" w:hAnsi="Times New Roman" w:cs="Times New Roman"/>
                <w:lang w:val="en-US"/>
              </w:rPr>
              <w:t>Alkaloid</w:t>
            </w:r>
          </w:p>
          <w:p w14:paraId="43EF955B" w14:textId="77777777" w:rsidR="0041220B" w:rsidRPr="00B247E7" w:rsidRDefault="0041220B" w:rsidP="00C874BC">
            <w:pPr>
              <w:tabs>
                <w:tab w:val="left" w:pos="2925"/>
              </w:tabs>
              <w:jc w:val="center"/>
              <w:rPr>
                <w:rFonts w:ascii="Times New Roman" w:eastAsia="Calibri" w:hAnsi="Times New Roman" w:cs="Times New Roman"/>
                <w:b/>
                <w:sz w:val="24"/>
                <w:szCs w:val="24"/>
                <w:highlight w:val="yellow"/>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9419E59" w14:textId="24559E50" w:rsidR="0041220B" w:rsidRPr="00B247E7" w:rsidRDefault="0041220B" w:rsidP="00C874BC">
            <w:pPr>
              <w:jc w:val="center"/>
              <w:rPr>
                <w:rFonts w:ascii="Times New Roman" w:eastAsia="Calibri" w:hAnsi="Times New Roman" w:cs="Times New Roman"/>
                <w:sz w:val="24"/>
                <w:szCs w:val="24"/>
                <w:lang w:val="en-US"/>
              </w:rPr>
            </w:pPr>
            <w:proofErr w:type="spellStart"/>
            <w:r w:rsidRPr="00B247E7">
              <w:rPr>
                <w:rFonts w:ascii="Times New Roman" w:eastAsia="Calibri" w:hAnsi="Times New Roman" w:cs="Times New Roman"/>
                <w:sz w:val="24"/>
                <w:szCs w:val="24"/>
                <w:lang w:val="en-US"/>
              </w:rPr>
              <w:t>Dragendorff</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564917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3E2CCFCE"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39" w:type="dxa"/>
            <w:tcBorders>
              <w:top w:val="single" w:sz="4" w:space="0" w:color="auto"/>
              <w:left w:val="single" w:sz="4" w:space="0" w:color="auto"/>
              <w:bottom w:val="single" w:sz="4" w:space="0" w:color="auto"/>
            </w:tcBorders>
            <w:vAlign w:val="center"/>
          </w:tcPr>
          <w:p w14:paraId="582CE24F"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CF2CDAF"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9C99C60"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6680D4A2"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035EF22D" w14:textId="77777777" w:rsidTr="00C874BC">
        <w:trPr>
          <w:trHeight w:val="589"/>
          <w:jc w:val="center"/>
        </w:trPr>
        <w:tc>
          <w:tcPr>
            <w:tcW w:w="1419" w:type="dxa"/>
            <w:vMerge/>
            <w:vAlign w:val="center"/>
          </w:tcPr>
          <w:p w14:paraId="3EAC84DC" w14:textId="77777777" w:rsidR="0041220B" w:rsidRPr="00B247E7" w:rsidRDefault="0041220B" w:rsidP="00C874BC">
            <w:pPr>
              <w:tabs>
                <w:tab w:val="left" w:pos="2925"/>
              </w:tabs>
              <w:jc w:val="center"/>
              <w:rPr>
                <w:rFonts w:ascii="Times New Roman" w:eastAsia="Calibri" w:hAnsi="Times New Roman" w:cs="Times New Roman"/>
                <w:b/>
                <w:sz w:val="24"/>
                <w:szCs w:val="24"/>
                <w:highlight w:val="yellow"/>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B71C8E8" w14:textId="77777777" w:rsidR="0041220B" w:rsidRPr="00B247E7" w:rsidRDefault="0041220B" w:rsidP="00C874BC">
            <w:pPr>
              <w:jc w:val="center"/>
              <w:rPr>
                <w:rFonts w:ascii="Times New Roman" w:eastAsia="Calibri" w:hAnsi="Times New Roman" w:cs="Times New Roman"/>
                <w:sz w:val="24"/>
                <w:szCs w:val="24"/>
                <w:lang w:val="en-US"/>
              </w:rPr>
            </w:pPr>
            <w:r w:rsidRPr="00B247E7">
              <w:rPr>
                <w:rFonts w:ascii="Times New Roman" w:eastAsia="Calibri" w:hAnsi="Times New Roman" w:cs="Times New Roman"/>
                <w:sz w:val="24"/>
                <w:szCs w:val="24"/>
                <w:lang w:val="en-US"/>
              </w:rPr>
              <w:t>Wagner</w:t>
            </w:r>
          </w:p>
        </w:tc>
        <w:tc>
          <w:tcPr>
            <w:tcW w:w="1134" w:type="dxa"/>
            <w:tcBorders>
              <w:top w:val="single" w:sz="4" w:space="0" w:color="auto"/>
              <w:left w:val="single" w:sz="4" w:space="0" w:color="auto"/>
              <w:bottom w:val="single" w:sz="4" w:space="0" w:color="auto"/>
              <w:right w:val="single" w:sz="4" w:space="0" w:color="auto"/>
            </w:tcBorders>
            <w:vAlign w:val="center"/>
          </w:tcPr>
          <w:p w14:paraId="57355614"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3434296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39" w:type="dxa"/>
            <w:tcBorders>
              <w:top w:val="single" w:sz="4" w:space="0" w:color="auto"/>
              <w:left w:val="single" w:sz="4" w:space="0" w:color="auto"/>
              <w:bottom w:val="single" w:sz="4" w:space="0" w:color="auto"/>
            </w:tcBorders>
            <w:vAlign w:val="center"/>
          </w:tcPr>
          <w:p w14:paraId="502498ED"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70B8D66"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13C389B"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7E544EC6"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0A70BD89" w14:textId="77777777" w:rsidTr="00C874BC">
        <w:trPr>
          <w:trHeight w:val="589"/>
          <w:jc w:val="center"/>
        </w:trPr>
        <w:tc>
          <w:tcPr>
            <w:tcW w:w="1419" w:type="dxa"/>
            <w:vAlign w:val="center"/>
          </w:tcPr>
          <w:p w14:paraId="2282E4F2" w14:textId="27298225"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lang w:val="en-US"/>
              </w:rPr>
              <w:t>Sterol and Terpene</w:t>
            </w:r>
          </w:p>
        </w:tc>
        <w:tc>
          <w:tcPr>
            <w:tcW w:w="1417" w:type="dxa"/>
            <w:tcBorders>
              <w:top w:val="single" w:sz="4" w:space="0" w:color="auto"/>
              <w:left w:val="single" w:sz="4" w:space="0" w:color="auto"/>
              <w:bottom w:val="single" w:sz="4" w:space="0" w:color="auto"/>
              <w:right w:val="single" w:sz="4" w:space="0" w:color="auto"/>
            </w:tcBorders>
            <w:vAlign w:val="center"/>
          </w:tcPr>
          <w:p w14:paraId="1295CE64" w14:textId="03A739E9" w:rsidR="0041220B" w:rsidRPr="00B247E7" w:rsidRDefault="0041220B" w:rsidP="00C874BC">
            <w:pPr>
              <w:jc w:val="center"/>
              <w:rPr>
                <w:rFonts w:ascii="Times New Roman" w:eastAsia="Calibri" w:hAnsi="Times New Roman" w:cs="Times New Roman"/>
                <w:sz w:val="24"/>
                <w:szCs w:val="24"/>
                <w:lang w:val="en-US"/>
              </w:rPr>
            </w:pPr>
            <w:proofErr w:type="spellStart"/>
            <w:r w:rsidRPr="00B247E7">
              <w:rPr>
                <w:rFonts w:ascii="Times New Roman" w:eastAsia="Calibri" w:hAnsi="Times New Roman" w:cs="Times New Roman"/>
                <w:sz w:val="24"/>
                <w:szCs w:val="24"/>
                <w:lang w:val="en-US"/>
              </w:rPr>
              <w:t>Libermann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81B87D4"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73369E0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39" w:type="dxa"/>
            <w:tcBorders>
              <w:top w:val="single" w:sz="4" w:space="0" w:color="auto"/>
              <w:left w:val="single" w:sz="4" w:space="0" w:color="auto"/>
              <w:bottom w:val="single" w:sz="4" w:space="0" w:color="auto"/>
            </w:tcBorders>
            <w:vAlign w:val="center"/>
          </w:tcPr>
          <w:p w14:paraId="1158DCAB"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9163E1A"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55924D8"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tcBorders>
            <w:vAlign w:val="center"/>
          </w:tcPr>
          <w:p w14:paraId="47E72B30"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4C2EE189" w14:textId="77777777" w:rsidTr="00C874BC">
        <w:trPr>
          <w:trHeight w:val="589"/>
          <w:jc w:val="center"/>
        </w:trPr>
        <w:tc>
          <w:tcPr>
            <w:tcW w:w="1419" w:type="dxa"/>
            <w:vAlign w:val="center"/>
          </w:tcPr>
          <w:p w14:paraId="58A9F785" w14:textId="76711FDA"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lang w:val="en-US"/>
              </w:rPr>
              <w:t>Saponin</w:t>
            </w:r>
          </w:p>
        </w:tc>
        <w:tc>
          <w:tcPr>
            <w:tcW w:w="1417" w:type="dxa"/>
            <w:tcBorders>
              <w:top w:val="single" w:sz="4" w:space="0" w:color="auto"/>
              <w:left w:val="single" w:sz="4" w:space="0" w:color="auto"/>
              <w:bottom w:val="single" w:sz="4" w:space="0" w:color="auto"/>
              <w:right w:val="single" w:sz="4" w:space="0" w:color="auto"/>
            </w:tcBorders>
            <w:vAlign w:val="center"/>
          </w:tcPr>
          <w:p w14:paraId="0B898B1A" w14:textId="77777777" w:rsidR="0041220B" w:rsidRPr="00B247E7" w:rsidRDefault="00B247E7" w:rsidP="00C874BC">
            <w:pPr>
              <w:jc w:val="center"/>
              <w:rPr>
                <w:rFonts w:ascii="Times New Roman" w:eastAsia="Calibri" w:hAnsi="Times New Roman" w:cs="Times New Roman"/>
                <w:sz w:val="24"/>
                <w:szCs w:val="24"/>
                <w:lang w:val="en-US"/>
              </w:rPr>
            </w:pPr>
            <w:r w:rsidRPr="00B247E7">
              <w:rPr>
                <w:rFonts w:ascii="Times New Roman" w:eastAsia="Calibri" w:hAnsi="Times New Roman" w:cs="Times New Roman"/>
                <w:sz w:val="24"/>
                <w:szCs w:val="24"/>
                <w:lang w:val="en-US"/>
              </w:rPr>
              <w:t>Distilled water</w:t>
            </w:r>
          </w:p>
        </w:tc>
        <w:tc>
          <w:tcPr>
            <w:tcW w:w="1134" w:type="dxa"/>
            <w:tcBorders>
              <w:top w:val="single" w:sz="4" w:space="0" w:color="auto"/>
              <w:left w:val="single" w:sz="4" w:space="0" w:color="auto"/>
              <w:bottom w:val="single" w:sz="4" w:space="0" w:color="auto"/>
              <w:right w:val="single" w:sz="4" w:space="0" w:color="auto"/>
            </w:tcBorders>
            <w:vAlign w:val="center"/>
          </w:tcPr>
          <w:p w14:paraId="36AA197F"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36A0E7B1"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39" w:type="dxa"/>
            <w:tcBorders>
              <w:top w:val="single" w:sz="4" w:space="0" w:color="auto"/>
              <w:left w:val="single" w:sz="4" w:space="0" w:color="auto"/>
              <w:bottom w:val="single" w:sz="4" w:space="0" w:color="auto"/>
            </w:tcBorders>
            <w:vAlign w:val="center"/>
          </w:tcPr>
          <w:p w14:paraId="55E540E0"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6F6A777"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F83751E"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0130E787"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40474C1D" w14:textId="77777777" w:rsidTr="00C874BC">
        <w:trPr>
          <w:trHeight w:val="589"/>
          <w:jc w:val="center"/>
        </w:trPr>
        <w:tc>
          <w:tcPr>
            <w:tcW w:w="1419" w:type="dxa"/>
            <w:vAlign w:val="center"/>
          </w:tcPr>
          <w:p w14:paraId="37DDD511" w14:textId="1116EF41"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lang w:val="en-US"/>
              </w:rPr>
              <w:t>Polyphenol</w:t>
            </w:r>
          </w:p>
        </w:tc>
        <w:tc>
          <w:tcPr>
            <w:tcW w:w="1417" w:type="dxa"/>
            <w:tcBorders>
              <w:top w:val="single" w:sz="4" w:space="0" w:color="auto"/>
              <w:left w:val="single" w:sz="4" w:space="0" w:color="auto"/>
              <w:bottom w:val="single" w:sz="4" w:space="0" w:color="auto"/>
              <w:right w:val="single" w:sz="4" w:space="0" w:color="auto"/>
            </w:tcBorders>
            <w:vAlign w:val="center"/>
          </w:tcPr>
          <w:p w14:paraId="5443B51B" w14:textId="77777777" w:rsidR="0041220B" w:rsidRPr="00B247E7" w:rsidRDefault="0041220B" w:rsidP="00C874BC">
            <w:pPr>
              <w:jc w:val="center"/>
              <w:rPr>
                <w:rFonts w:ascii="Times New Roman" w:eastAsia="Calibri" w:hAnsi="Times New Roman" w:cs="Times New Roman"/>
                <w:sz w:val="24"/>
                <w:szCs w:val="24"/>
                <w:vertAlign w:val="subscript"/>
                <w:lang w:val="en-US"/>
              </w:rPr>
            </w:pPr>
            <w:r w:rsidRPr="00B247E7">
              <w:rPr>
                <w:rFonts w:ascii="Times New Roman" w:eastAsia="Calibri" w:hAnsi="Times New Roman" w:cs="Times New Roman"/>
                <w:sz w:val="24"/>
                <w:szCs w:val="24"/>
                <w:lang w:val="en-US"/>
              </w:rPr>
              <w:t>F</w:t>
            </w:r>
            <w:r w:rsidRPr="00B247E7">
              <w:rPr>
                <w:rFonts w:ascii="Times New Roman" w:eastAsia="Calibri" w:hAnsi="Times New Roman" w:cs="Times New Roman"/>
                <w:sz w:val="24"/>
                <w:szCs w:val="24"/>
                <w:vertAlign w:val="subscript"/>
                <w:lang w:val="en-US"/>
              </w:rPr>
              <w:t>e</w:t>
            </w:r>
            <w:r w:rsidRPr="00B247E7">
              <w:rPr>
                <w:rFonts w:ascii="Times New Roman" w:eastAsia="Calibri" w:hAnsi="Times New Roman" w:cs="Times New Roman"/>
                <w:sz w:val="24"/>
                <w:szCs w:val="24"/>
                <w:lang w:val="en-US"/>
              </w:rPr>
              <w:t>Cl</w:t>
            </w:r>
            <w:r w:rsidRPr="00B247E7">
              <w:rPr>
                <w:rFonts w:ascii="Times New Roman" w:eastAsia="Calibri" w:hAnsi="Times New Roman" w:cs="Times New Roman"/>
                <w:sz w:val="24"/>
                <w:szCs w:val="24"/>
                <w:vertAlign w:val="subscript"/>
                <w:lang w:val="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487B509"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2538E726"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39" w:type="dxa"/>
            <w:tcBorders>
              <w:top w:val="single" w:sz="4" w:space="0" w:color="auto"/>
              <w:left w:val="single" w:sz="4" w:space="0" w:color="auto"/>
              <w:bottom w:val="single" w:sz="4" w:space="0" w:color="auto"/>
            </w:tcBorders>
            <w:vAlign w:val="center"/>
          </w:tcPr>
          <w:p w14:paraId="13085E38"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31353C6"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781AD11"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24D952B9"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r>
      <w:tr w:rsidR="0041220B" w:rsidRPr="00B247E7" w14:paraId="2F06455F" w14:textId="77777777" w:rsidTr="00C874BC">
        <w:trPr>
          <w:trHeight w:val="589"/>
          <w:jc w:val="center"/>
        </w:trPr>
        <w:tc>
          <w:tcPr>
            <w:tcW w:w="1419" w:type="dxa"/>
            <w:vAlign w:val="center"/>
          </w:tcPr>
          <w:p w14:paraId="4B58FC01" w14:textId="1CFCF12A"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lang w:val="en-US"/>
              </w:rPr>
              <w:t>Condensed tannin</w:t>
            </w:r>
          </w:p>
        </w:tc>
        <w:tc>
          <w:tcPr>
            <w:tcW w:w="1417" w:type="dxa"/>
            <w:tcBorders>
              <w:top w:val="single" w:sz="4" w:space="0" w:color="auto"/>
              <w:left w:val="single" w:sz="4" w:space="0" w:color="auto"/>
              <w:bottom w:val="single" w:sz="4" w:space="0" w:color="auto"/>
              <w:right w:val="single" w:sz="4" w:space="0" w:color="auto"/>
            </w:tcBorders>
            <w:vAlign w:val="center"/>
          </w:tcPr>
          <w:p w14:paraId="2FC89F03" w14:textId="77777777" w:rsidR="0041220B" w:rsidRPr="00B247E7" w:rsidRDefault="00B247E7" w:rsidP="00C874BC">
            <w:pPr>
              <w:jc w:val="center"/>
              <w:rPr>
                <w:rFonts w:ascii="Times New Roman" w:eastAsia="Calibri" w:hAnsi="Times New Roman" w:cs="Times New Roman"/>
                <w:sz w:val="24"/>
                <w:szCs w:val="24"/>
                <w:lang w:val="en-US"/>
              </w:rPr>
            </w:pPr>
            <w:r w:rsidRPr="00B247E7">
              <w:rPr>
                <w:rFonts w:ascii="Times New Roman" w:eastAsia="Calibri" w:hAnsi="Times New Roman" w:cs="Times New Roman"/>
                <w:sz w:val="24"/>
                <w:szCs w:val="24"/>
                <w:lang w:val="en-US"/>
              </w:rPr>
              <w:t>HCl hot</w:t>
            </w:r>
          </w:p>
        </w:tc>
        <w:tc>
          <w:tcPr>
            <w:tcW w:w="1134" w:type="dxa"/>
            <w:tcBorders>
              <w:top w:val="single" w:sz="4" w:space="0" w:color="auto"/>
              <w:left w:val="single" w:sz="4" w:space="0" w:color="auto"/>
              <w:bottom w:val="single" w:sz="4" w:space="0" w:color="auto"/>
              <w:right w:val="single" w:sz="4" w:space="0" w:color="auto"/>
            </w:tcBorders>
            <w:vAlign w:val="center"/>
          </w:tcPr>
          <w:p w14:paraId="3E88F81A"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27A2D84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39" w:type="dxa"/>
            <w:tcBorders>
              <w:top w:val="single" w:sz="4" w:space="0" w:color="auto"/>
              <w:left w:val="single" w:sz="4" w:space="0" w:color="auto"/>
              <w:bottom w:val="single" w:sz="4" w:space="0" w:color="auto"/>
            </w:tcBorders>
            <w:vAlign w:val="center"/>
          </w:tcPr>
          <w:p w14:paraId="2D4F3B83"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3AADAC5"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C978AA9"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3CAF6018"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5E6B72B4" w14:textId="77777777" w:rsidTr="00C874BC">
        <w:trPr>
          <w:trHeight w:val="589"/>
          <w:jc w:val="center"/>
        </w:trPr>
        <w:tc>
          <w:tcPr>
            <w:tcW w:w="1419" w:type="dxa"/>
            <w:vAlign w:val="center"/>
          </w:tcPr>
          <w:p w14:paraId="00072566" w14:textId="60E9429E"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sz w:val="24"/>
                <w:szCs w:val="24"/>
                <w:lang w:val="en-US"/>
              </w:rPr>
              <w:t>Flavonoid</w:t>
            </w:r>
          </w:p>
        </w:tc>
        <w:tc>
          <w:tcPr>
            <w:tcW w:w="1417" w:type="dxa"/>
            <w:tcBorders>
              <w:top w:val="single" w:sz="4" w:space="0" w:color="auto"/>
              <w:left w:val="single" w:sz="4" w:space="0" w:color="auto"/>
              <w:bottom w:val="single" w:sz="4" w:space="0" w:color="auto"/>
              <w:right w:val="single" w:sz="4" w:space="0" w:color="auto"/>
            </w:tcBorders>
            <w:vAlign w:val="center"/>
          </w:tcPr>
          <w:p w14:paraId="2D326CB5" w14:textId="416540C3" w:rsidR="0041220B" w:rsidRPr="00B247E7" w:rsidRDefault="0041220B" w:rsidP="00C874BC">
            <w:pPr>
              <w:jc w:val="center"/>
              <w:rPr>
                <w:rFonts w:ascii="Times New Roman" w:eastAsia="Calibri" w:hAnsi="Times New Roman" w:cs="Times New Roman"/>
                <w:sz w:val="24"/>
                <w:szCs w:val="24"/>
                <w:lang w:val="en-US"/>
              </w:rPr>
            </w:pPr>
            <w:proofErr w:type="spellStart"/>
            <w:r w:rsidRPr="00B247E7">
              <w:rPr>
                <w:rFonts w:ascii="Times New Roman" w:eastAsia="Calibri" w:hAnsi="Times New Roman" w:cs="Times New Roman"/>
                <w:sz w:val="24"/>
                <w:szCs w:val="24"/>
                <w:lang w:val="en-US"/>
              </w:rPr>
              <w:t>Wilstater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2812D82"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30BB757F"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39" w:type="dxa"/>
            <w:tcBorders>
              <w:top w:val="single" w:sz="4" w:space="0" w:color="auto"/>
              <w:left w:val="single" w:sz="4" w:space="0" w:color="auto"/>
              <w:bottom w:val="single" w:sz="4" w:space="0" w:color="auto"/>
            </w:tcBorders>
            <w:vAlign w:val="center"/>
          </w:tcPr>
          <w:p w14:paraId="2297557E"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2B790C7"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7739D92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014C126C"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r>
    </w:tbl>
    <w:p w14:paraId="46C76797" w14:textId="77777777" w:rsidR="00B247E7" w:rsidRDefault="00B247E7" w:rsidP="0041220B">
      <w:pPr>
        <w:spacing w:line="360" w:lineRule="auto"/>
        <w:jc w:val="both"/>
        <w:rPr>
          <w:rFonts w:ascii="Times New Roman" w:hAnsi="Times New Roman" w:cs="Times New Roman"/>
          <w:lang w:val="en-US"/>
        </w:rPr>
      </w:pPr>
    </w:p>
    <w:p w14:paraId="6ADDE013" w14:textId="15AFEFB7" w:rsidR="0041220B"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lang w:val="en-US"/>
        </w:rPr>
        <w:t xml:space="preserve">The richness of </w:t>
      </w:r>
      <w:proofErr w:type="spellStart"/>
      <w:r w:rsidR="00431018">
        <w:rPr>
          <w:rFonts w:ascii="Times New Roman" w:hAnsi="Times New Roman" w:cs="Times New Roman"/>
          <w:i/>
          <w:iCs/>
          <w:lang w:val="en-US"/>
        </w:rPr>
        <w:t>L</w:t>
      </w:r>
      <w:r w:rsidRPr="00B247E7">
        <w:rPr>
          <w:rFonts w:ascii="Times New Roman" w:hAnsi="Times New Roman" w:cs="Times New Roman"/>
          <w:i/>
          <w:iCs/>
          <w:lang w:val="en-US"/>
        </w:rPr>
        <w:t>awsonia</w:t>
      </w:r>
      <w:proofErr w:type="spellEnd"/>
      <w:r w:rsidRPr="00B247E7">
        <w:rPr>
          <w:rFonts w:ascii="Times New Roman" w:hAnsi="Times New Roman" w:cs="Times New Roman"/>
          <w:i/>
          <w:iCs/>
          <w:lang w:val="en-US"/>
        </w:rPr>
        <w:t xml:space="preserve"> </w:t>
      </w:r>
      <w:proofErr w:type="spellStart"/>
      <w:r w:rsidRPr="00B247E7">
        <w:rPr>
          <w:rFonts w:ascii="Times New Roman" w:hAnsi="Times New Roman" w:cs="Times New Roman"/>
          <w:i/>
          <w:iCs/>
          <w:lang w:val="en-US"/>
        </w:rPr>
        <w:t>inermis</w:t>
      </w:r>
      <w:proofErr w:type="spellEnd"/>
      <w:r w:rsidRPr="0041220B">
        <w:rPr>
          <w:rFonts w:ascii="Times New Roman" w:hAnsi="Times New Roman" w:cs="Times New Roman"/>
          <w:lang w:val="en-US"/>
        </w:rPr>
        <w:t xml:space="preserve"> in secondary metabolites is no longer in question. Indeed, several molecules have bee</w:t>
      </w:r>
      <w:r w:rsidR="007E4AA1">
        <w:rPr>
          <w:rFonts w:ascii="Times New Roman" w:hAnsi="Times New Roman" w:cs="Times New Roman"/>
          <w:lang w:val="en-US"/>
        </w:rPr>
        <w:t>n isolated from this plant [31</w:t>
      </w:r>
      <w:r w:rsidRPr="0041220B">
        <w:rPr>
          <w:rFonts w:ascii="Times New Roman" w:hAnsi="Times New Roman" w:cs="Times New Roman"/>
          <w:lang w:val="en-US"/>
        </w:rPr>
        <w:t>]. Ethanol was found to be the solvent that extracted the most metabolites. In the leaves, flavonoids were the metabolites found least frequently, as they were absent in all extracts. We can also learn from these results that, in terms of metabolites, seeds are richer than leaves. Furthermore, it has been reported that seeds are a re</w:t>
      </w:r>
      <w:r w:rsidR="00111388">
        <w:rPr>
          <w:rFonts w:ascii="Times New Roman" w:hAnsi="Times New Roman" w:cs="Times New Roman"/>
          <w:lang w:val="en-US"/>
        </w:rPr>
        <w:t>serve of bi</w:t>
      </w:r>
      <w:r w:rsidR="007E4AA1">
        <w:rPr>
          <w:rFonts w:ascii="Times New Roman" w:hAnsi="Times New Roman" w:cs="Times New Roman"/>
          <w:lang w:val="en-US"/>
        </w:rPr>
        <w:t>oactive potential [32</w:t>
      </w:r>
      <w:r w:rsidRPr="0041220B">
        <w:rPr>
          <w:rFonts w:ascii="Times New Roman" w:hAnsi="Times New Roman" w:cs="Times New Roman"/>
          <w:lang w:val="en-US"/>
        </w:rPr>
        <w:t>].</w:t>
      </w:r>
    </w:p>
    <w:p w14:paraId="5CEA1909" w14:textId="77777777" w:rsidR="0016151E" w:rsidRPr="0016151E" w:rsidRDefault="0016151E" w:rsidP="0016151E">
      <w:pPr>
        <w:pStyle w:val="ListParagraph"/>
        <w:numPr>
          <w:ilvl w:val="1"/>
          <w:numId w:val="2"/>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16151E">
        <w:rPr>
          <w:rFonts w:ascii="Times New Roman" w:hAnsi="Times New Roman" w:cs="Times New Roman"/>
          <w:b/>
          <w:bCs/>
          <w:sz w:val="24"/>
          <w:szCs w:val="24"/>
          <w:lang w:val="en-US"/>
        </w:rPr>
        <w:t>Biological tests</w:t>
      </w:r>
    </w:p>
    <w:p w14:paraId="1BCF49E9" w14:textId="77777777" w:rsidR="0016151E" w:rsidRPr="004A2CEB" w:rsidRDefault="0016151E" w:rsidP="0016151E">
      <w:pPr>
        <w:pStyle w:val="ListParagraph"/>
        <w:numPr>
          <w:ilvl w:val="0"/>
          <w:numId w:val="4"/>
        </w:numPr>
        <w:spacing w:after="0" w:line="360" w:lineRule="auto"/>
        <w:jc w:val="both"/>
        <w:rPr>
          <w:rFonts w:ascii="Times New Roman" w:hAnsi="Times New Roman" w:cs="Times New Roman"/>
          <w:b/>
          <w:bCs/>
          <w:sz w:val="24"/>
          <w:szCs w:val="24"/>
          <w:lang w:val="en-US"/>
        </w:rPr>
      </w:pPr>
      <w:r w:rsidRPr="004A2CEB">
        <w:rPr>
          <w:rFonts w:ascii="Times New Roman" w:hAnsi="Times New Roman" w:cs="Times New Roman"/>
          <w:b/>
          <w:bCs/>
          <w:sz w:val="24"/>
          <w:szCs w:val="24"/>
          <w:lang w:val="en-US"/>
        </w:rPr>
        <w:t>Evaluation of antioxidant activity</w:t>
      </w:r>
    </w:p>
    <w:p w14:paraId="7A5328BD" w14:textId="77777777" w:rsid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b/>
          <w:bCs/>
          <w:lang w:val="en-US"/>
        </w:rPr>
        <w:t>Table 3:</w:t>
      </w:r>
      <w:r w:rsidRPr="0016151E">
        <w:rPr>
          <w:rFonts w:ascii="Times New Roman" w:hAnsi="Times New Roman" w:cs="Times New Roman"/>
          <w:lang w:val="en-US"/>
        </w:rPr>
        <w:t xml:space="preserve"> masses of pomace leaf and seed extracts and yields</w:t>
      </w:r>
      <w:r>
        <w:rPr>
          <w:rFonts w:ascii="Times New Roman" w:hAnsi="Times New Roman" w:cs="Times New Roman"/>
          <w:lang w:val="en-US"/>
        </w:rPr>
        <w:t xml:space="preserve"> </w:t>
      </w:r>
      <w:r w:rsidRPr="0016151E">
        <w:rPr>
          <w:rFonts w:ascii="Times New Roman" w:hAnsi="Times New Roman" w:cs="Times New Roman"/>
          <w:lang w:val="en-US"/>
        </w:rPr>
        <w:t>for antioxidant tests</w:t>
      </w:r>
    </w:p>
    <w:tbl>
      <w:tblPr>
        <w:tblStyle w:val="TableGrid"/>
        <w:tblW w:w="0" w:type="auto"/>
        <w:jc w:val="center"/>
        <w:tblLook w:val="04A0" w:firstRow="1" w:lastRow="0" w:firstColumn="1" w:lastColumn="0" w:noHBand="0" w:noVBand="1"/>
      </w:tblPr>
      <w:tblGrid>
        <w:gridCol w:w="2197"/>
        <w:gridCol w:w="828"/>
        <w:gridCol w:w="992"/>
        <w:gridCol w:w="992"/>
        <w:gridCol w:w="992"/>
        <w:gridCol w:w="851"/>
        <w:gridCol w:w="1134"/>
      </w:tblGrid>
      <w:tr w:rsidR="0016151E" w:rsidRPr="006D1351" w14:paraId="170915EA" w14:textId="77777777" w:rsidTr="00B02975">
        <w:trPr>
          <w:trHeight w:val="226"/>
          <w:jc w:val="center"/>
        </w:trPr>
        <w:tc>
          <w:tcPr>
            <w:tcW w:w="2197" w:type="dxa"/>
          </w:tcPr>
          <w:p w14:paraId="634EC43B" w14:textId="77777777" w:rsidR="0016151E" w:rsidRPr="006D1351" w:rsidRDefault="0016151E" w:rsidP="00B02975">
            <w:pPr>
              <w:spacing w:line="360" w:lineRule="auto"/>
              <w:jc w:val="both"/>
              <w:rPr>
                <w:rFonts w:ascii="Times New Roman" w:hAnsi="Times New Roman" w:cs="Times New Roman"/>
                <w:b/>
                <w:bCs/>
                <w:sz w:val="24"/>
                <w:lang w:val="en-US"/>
              </w:rPr>
            </w:pPr>
            <w:r w:rsidRPr="006D1351">
              <w:rPr>
                <w:rFonts w:ascii="Times New Roman" w:hAnsi="Times New Roman" w:cs="Times New Roman"/>
                <w:b/>
                <w:bCs/>
                <w:sz w:val="24"/>
                <w:lang w:val="en-US"/>
              </w:rPr>
              <w:t>Extra</w:t>
            </w:r>
            <w:r w:rsidR="00B247E7" w:rsidRPr="006D1351">
              <w:rPr>
                <w:rFonts w:ascii="Times New Roman" w:hAnsi="Times New Roman" w:cs="Times New Roman"/>
                <w:b/>
                <w:bCs/>
                <w:sz w:val="24"/>
                <w:lang w:val="en-US"/>
              </w:rPr>
              <w:t>c</w:t>
            </w:r>
            <w:r w:rsidRPr="006D1351">
              <w:rPr>
                <w:rFonts w:ascii="Times New Roman" w:hAnsi="Times New Roman" w:cs="Times New Roman"/>
                <w:b/>
                <w:bCs/>
                <w:sz w:val="24"/>
                <w:lang w:val="en-US"/>
              </w:rPr>
              <w:t>ts</w:t>
            </w:r>
          </w:p>
        </w:tc>
        <w:tc>
          <w:tcPr>
            <w:tcW w:w="828" w:type="dxa"/>
          </w:tcPr>
          <w:p w14:paraId="5FCB0916"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FET</w:t>
            </w:r>
          </w:p>
        </w:tc>
        <w:tc>
          <w:tcPr>
            <w:tcW w:w="992" w:type="dxa"/>
          </w:tcPr>
          <w:p w14:paraId="0B28824A"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GET</w:t>
            </w:r>
          </w:p>
        </w:tc>
        <w:tc>
          <w:tcPr>
            <w:tcW w:w="992" w:type="dxa"/>
          </w:tcPr>
          <w:p w14:paraId="2C1AF693"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FAC</w:t>
            </w:r>
          </w:p>
        </w:tc>
        <w:tc>
          <w:tcPr>
            <w:tcW w:w="992" w:type="dxa"/>
          </w:tcPr>
          <w:p w14:paraId="217226E4"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GAC</w:t>
            </w:r>
          </w:p>
        </w:tc>
        <w:tc>
          <w:tcPr>
            <w:tcW w:w="851" w:type="dxa"/>
          </w:tcPr>
          <w:p w14:paraId="334AC93A"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FHE</w:t>
            </w:r>
          </w:p>
        </w:tc>
        <w:tc>
          <w:tcPr>
            <w:tcW w:w="1134" w:type="dxa"/>
          </w:tcPr>
          <w:p w14:paraId="57168C16"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GHE</w:t>
            </w:r>
          </w:p>
        </w:tc>
      </w:tr>
      <w:tr w:rsidR="0016151E" w:rsidRPr="006D1351" w14:paraId="73911511" w14:textId="77777777" w:rsidTr="00B02975">
        <w:trPr>
          <w:trHeight w:val="230"/>
          <w:jc w:val="center"/>
        </w:trPr>
        <w:tc>
          <w:tcPr>
            <w:tcW w:w="2197" w:type="dxa"/>
          </w:tcPr>
          <w:p w14:paraId="529A7764" w14:textId="77777777" w:rsidR="0016151E" w:rsidRPr="006D1351" w:rsidRDefault="0016151E" w:rsidP="00B02975">
            <w:pPr>
              <w:spacing w:line="360" w:lineRule="auto"/>
              <w:jc w:val="both"/>
              <w:rPr>
                <w:rFonts w:ascii="Times New Roman" w:hAnsi="Times New Roman" w:cs="Times New Roman"/>
                <w:b/>
                <w:bCs/>
                <w:sz w:val="24"/>
                <w:lang w:val="en-US"/>
              </w:rPr>
            </w:pPr>
            <w:r w:rsidRPr="006D1351">
              <w:rPr>
                <w:rFonts w:ascii="Times New Roman" w:hAnsi="Times New Roman" w:cs="Times New Roman"/>
                <w:b/>
                <w:bCs/>
                <w:sz w:val="24"/>
                <w:lang w:val="en-US"/>
              </w:rPr>
              <w:t xml:space="preserve">Mass </w:t>
            </w:r>
            <w:r w:rsidR="006D1351" w:rsidRPr="006D1351">
              <w:rPr>
                <w:rFonts w:ascii="Times New Roman" w:hAnsi="Times New Roman" w:cs="Times New Roman"/>
                <w:b/>
                <w:bCs/>
                <w:sz w:val="24"/>
                <w:lang w:val="en-US"/>
              </w:rPr>
              <w:t>i</w:t>
            </w:r>
            <w:r w:rsidRPr="006D1351">
              <w:rPr>
                <w:rFonts w:ascii="Times New Roman" w:hAnsi="Times New Roman" w:cs="Times New Roman"/>
                <w:b/>
                <w:bCs/>
                <w:sz w:val="24"/>
                <w:lang w:val="en-US"/>
              </w:rPr>
              <w:t>n g</w:t>
            </w:r>
          </w:p>
        </w:tc>
        <w:tc>
          <w:tcPr>
            <w:tcW w:w="828" w:type="dxa"/>
          </w:tcPr>
          <w:p w14:paraId="0AE318D0"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0.64</w:t>
            </w:r>
          </w:p>
        </w:tc>
        <w:tc>
          <w:tcPr>
            <w:tcW w:w="992" w:type="dxa"/>
          </w:tcPr>
          <w:p w14:paraId="453BA31A"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0.82</w:t>
            </w:r>
          </w:p>
        </w:tc>
        <w:tc>
          <w:tcPr>
            <w:tcW w:w="992" w:type="dxa"/>
          </w:tcPr>
          <w:p w14:paraId="1BECF77C"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0.77</w:t>
            </w:r>
          </w:p>
        </w:tc>
        <w:tc>
          <w:tcPr>
            <w:tcW w:w="992" w:type="dxa"/>
          </w:tcPr>
          <w:p w14:paraId="6CDF1E1F"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0.87</w:t>
            </w:r>
          </w:p>
        </w:tc>
        <w:tc>
          <w:tcPr>
            <w:tcW w:w="851" w:type="dxa"/>
          </w:tcPr>
          <w:p w14:paraId="46936F71"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0.95</w:t>
            </w:r>
          </w:p>
        </w:tc>
        <w:tc>
          <w:tcPr>
            <w:tcW w:w="1134" w:type="dxa"/>
          </w:tcPr>
          <w:p w14:paraId="21271659"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0.96</w:t>
            </w:r>
          </w:p>
        </w:tc>
      </w:tr>
      <w:tr w:rsidR="0016151E" w:rsidRPr="006D1351" w14:paraId="161DF821" w14:textId="77777777" w:rsidTr="00B02975">
        <w:trPr>
          <w:trHeight w:val="220"/>
          <w:jc w:val="center"/>
        </w:trPr>
        <w:tc>
          <w:tcPr>
            <w:tcW w:w="2197" w:type="dxa"/>
          </w:tcPr>
          <w:p w14:paraId="1FE22AFC" w14:textId="77777777" w:rsidR="0016151E" w:rsidRPr="006D1351" w:rsidRDefault="006D1351" w:rsidP="00B02975">
            <w:pPr>
              <w:spacing w:line="360" w:lineRule="auto"/>
              <w:jc w:val="both"/>
              <w:rPr>
                <w:rFonts w:ascii="Times New Roman" w:hAnsi="Times New Roman" w:cs="Times New Roman"/>
                <w:b/>
                <w:bCs/>
                <w:sz w:val="24"/>
                <w:lang w:val="en-US"/>
              </w:rPr>
            </w:pPr>
            <w:r w:rsidRPr="006D1351">
              <w:rPr>
                <w:rFonts w:ascii="Times New Roman" w:hAnsi="Times New Roman" w:cs="Times New Roman"/>
                <w:b/>
                <w:bCs/>
                <w:sz w:val="24"/>
                <w:lang w:val="en-US"/>
              </w:rPr>
              <w:t>Yields</w:t>
            </w:r>
            <w:r w:rsidR="0016151E" w:rsidRPr="006D1351">
              <w:rPr>
                <w:rFonts w:ascii="Times New Roman" w:hAnsi="Times New Roman" w:cs="Times New Roman"/>
                <w:b/>
                <w:bCs/>
                <w:sz w:val="24"/>
                <w:lang w:val="en-US"/>
              </w:rPr>
              <w:t xml:space="preserve"> </w:t>
            </w:r>
            <w:r w:rsidRPr="006D1351">
              <w:rPr>
                <w:rFonts w:ascii="Times New Roman" w:hAnsi="Times New Roman" w:cs="Times New Roman"/>
                <w:b/>
                <w:bCs/>
                <w:sz w:val="24"/>
                <w:lang w:val="en-US"/>
              </w:rPr>
              <w:t>in</w:t>
            </w:r>
            <w:r w:rsidR="0016151E" w:rsidRPr="006D1351">
              <w:rPr>
                <w:rFonts w:ascii="Times New Roman" w:hAnsi="Times New Roman" w:cs="Times New Roman"/>
                <w:b/>
                <w:bCs/>
                <w:sz w:val="24"/>
                <w:lang w:val="en-US"/>
              </w:rPr>
              <w:t xml:space="preserve"> %</w:t>
            </w:r>
          </w:p>
        </w:tc>
        <w:tc>
          <w:tcPr>
            <w:tcW w:w="828" w:type="dxa"/>
          </w:tcPr>
          <w:p w14:paraId="4297B820"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33</w:t>
            </w:r>
          </w:p>
        </w:tc>
        <w:tc>
          <w:tcPr>
            <w:tcW w:w="992" w:type="dxa"/>
          </w:tcPr>
          <w:p w14:paraId="517F6E67"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18</w:t>
            </w:r>
          </w:p>
        </w:tc>
        <w:tc>
          <w:tcPr>
            <w:tcW w:w="992" w:type="dxa"/>
          </w:tcPr>
          <w:p w14:paraId="20BB49E6"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23</w:t>
            </w:r>
          </w:p>
        </w:tc>
        <w:tc>
          <w:tcPr>
            <w:tcW w:w="992" w:type="dxa"/>
          </w:tcPr>
          <w:p w14:paraId="4C0EC649"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13</w:t>
            </w:r>
          </w:p>
        </w:tc>
        <w:tc>
          <w:tcPr>
            <w:tcW w:w="851" w:type="dxa"/>
          </w:tcPr>
          <w:p w14:paraId="6DD9AE2A"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5</w:t>
            </w:r>
          </w:p>
        </w:tc>
        <w:tc>
          <w:tcPr>
            <w:tcW w:w="1134" w:type="dxa"/>
          </w:tcPr>
          <w:p w14:paraId="52FB84AE"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4</w:t>
            </w:r>
          </w:p>
        </w:tc>
      </w:tr>
    </w:tbl>
    <w:p w14:paraId="16C4D991" w14:textId="77777777" w:rsidR="0016151E" w:rsidRDefault="0016151E" w:rsidP="0016151E">
      <w:pPr>
        <w:spacing w:line="360" w:lineRule="auto"/>
        <w:jc w:val="both"/>
        <w:rPr>
          <w:rFonts w:ascii="Times New Roman" w:hAnsi="Times New Roman" w:cs="Times New Roman"/>
          <w:lang w:val="en-US"/>
        </w:rPr>
      </w:pPr>
      <w:r>
        <w:rPr>
          <w:rFonts w:ascii="Times New Roman" w:hAnsi="Times New Roman" w:cs="Times New Roman"/>
          <w:lang w:val="en-US"/>
        </w:rPr>
        <w:t>`</w:t>
      </w:r>
    </w:p>
    <w:p w14:paraId="18DB3F68" w14:textId="77777777" w:rsid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lang w:val="en-US"/>
        </w:rPr>
        <w:t>FAC: acetone leaf, GAC: acetone seed, FET: ethanol leaf, GET: ethanol seed, FHE: hexane leaf, GHE: hexane seed.</w:t>
      </w:r>
    </w:p>
    <w:p w14:paraId="2E1C474F" w14:textId="6A7836CA" w:rsidR="0016151E" w:rsidRP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lang w:val="en-US"/>
        </w:rPr>
        <w:t xml:space="preserve">The observation is that yields are proportional to solvent polarity. </w:t>
      </w:r>
      <w:r w:rsidR="006F274D">
        <w:rPr>
          <w:rFonts w:ascii="Times New Roman" w:hAnsi="Times New Roman" w:cs="Times New Roman"/>
          <w:lang w:val="en-US"/>
        </w:rPr>
        <w:t>Greater solvent polarity leads to a higher yield</w:t>
      </w:r>
      <w:r w:rsidRPr="0016151E">
        <w:rPr>
          <w:rFonts w:ascii="Times New Roman" w:hAnsi="Times New Roman" w:cs="Times New Roman"/>
          <w:lang w:val="en-US"/>
        </w:rPr>
        <w:t xml:space="preserve">. </w:t>
      </w:r>
      <w:r w:rsidR="003F0175">
        <w:rPr>
          <w:rFonts w:ascii="Times New Roman" w:hAnsi="Times New Roman" w:cs="Times New Roman"/>
          <w:lang w:val="en-US"/>
        </w:rPr>
        <w:t xml:space="preserve"> </w:t>
      </w:r>
      <w:proofErr w:type="spellStart"/>
      <w:r w:rsidR="003F0175">
        <w:rPr>
          <w:rFonts w:ascii="Times New Roman" w:hAnsi="Times New Roman" w:cs="Times New Roman"/>
          <w:lang w:val="en-US"/>
        </w:rPr>
        <w:t>xs</w:t>
      </w:r>
      <w:proofErr w:type="spellEnd"/>
      <w:r w:rsidRPr="0016151E">
        <w:rPr>
          <w:rFonts w:ascii="Times New Roman" w:hAnsi="Times New Roman" w:cs="Times New Roman"/>
          <w:lang w:val="en-US"/>
        </w:rPr>
        <w:t xml:space="preserve"> Another point to note is that the leaves produced the highest yields compared with the seeds. However, during extraction, it is difficult to collect all the powder after filtration, </w:t>
      </w:r>
      <w:r w:rsidR="00F81F65">
        <w:rPr>
          <w:rFonts w:ascii="Times New Roman" w:hAnsi="Times New Roman" w:cs="Times New Roman"/>
          <w:lang w:val="en-US"/>
        </w:rPr>
        <w:t xml:space="preserve">then </w:t>
      </w:r>
      <w:r w:rsidR="00F81F65" w:rsidRPr="0016151E">
        <w:rPr>
          <w:rFonts w:ascii="Times New Roman" w:hAnsi="Times New Roman" w:cs="Times New Roman"/>
          <w:lang w:val="en-US"/>
        </w:rPr>
        <w:t>the</w:t>
      </w:r>
      <w:r w:rsidRPr="0016151E">
        <w:rPr>
          <w:rFonts w:ascii="Times New Roman" w:hAnsi="Times New Roman" w:cs="Times New Roman"/>
          <w:lang w:val="en-US"/>
        </w:rPr>
        <w:t xml:space="preserve"> yields </w:t>
      </w:r>
      <w:r w:rsidR="00F81F65">
        <w:rPr>
          <w:rFonts w:ascii="Times New Roman" w:hAnsi="Times New Roman" w:cs="Times New Roman"/>
          <w:lang w:val="en-US"/>
        </w:rPr>
        <w:t>reveal</w:t>
      </w:r>
      <w:r w:rsidRPr="0016151E">
        <w:rPr>
          <w:rFonts w:ascii="Times New Roman" w:hAnsi="Times New Roman" w:cs="Times New Roman"/>
          <w:lang w:val="en-US"/>
        </w:rPr>
        <w:t xml:space="preserve"> approximate values.    </w:t>
      </w:r>
    </w:p>
    <w:p w14:paraId="0DE862F7" w14:textId="30FB3CD7" w:rsid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lang w:val="en-US"/>
        </w:rPr>
        <w:t xml:space="preserve">Percentage inhibition (PI) is calculated after obtaining the different absorbances: blank, control and extracts. Their representation as a function of concentration gives the IC50. The IC50 expresses the quantity of antioxidant required to reduce the concentration of the DPPH free radical by 50%. </w:t>
      </w:r>
      <w:r w:rsidR="00FF139B">
        <w:rPr>
          <w:rFonts w:ascii="Times New Roman" w:hAnsi="Times New Roman" w:cs="Times New Roman"/>
          <w:lang w:val="en-US"/>
        </w:rPr>
        <w:t>Antioxidant powder actively increased proportionally with concentration.</w:t>
      </w:r>
      <w:r w:rsidR="002B16B1">
        <w:rPr>
          <w:rFonts w:ascii="Times New Roman" w:hAnsi="Times New Roman" w:cs="Times New Roman"/>
          <w:lang w:val="en-US"/>
        </w:rPr>
        <w:t xml:space="preserve"> </w:t>
      </w:r>
      <w:r w:rsidR="007E4AA1">
        <w:rPr>
          <w:rFonts w:ascii="Times New Roman" w:hAnsi="Times New Roman" w:cs="Times New Roman"/>
          <w:lang w:val="en-US"/>
        </w:rPr>
        <w:t>[33</w:t>
      </w:r>
      <w:r w:rsidRPr="0016151E">
        <w:rPr>
          <w:rFonts w:ascii="Times New Roman" w:hAnsi="Times New Roman" w:cs="Times New Roman"/>
          <w:lang w:val="en-US"/>
        </w:rPr>
        <w:t>].</w:t>
      </w:r>
    </w:p>
    <w:p w14:paraId="2729593A" w14:textId="77777777" w:rsidR="0016151E" w:rsidRDefault="0016151E" w:rsidP="0016151E">
      <w:pPr>
        <w:spacing w:line="360" w:lineRule="auto"/>
        <w:jc w:val="both"/>
        <w:rPr>
          <w:rFonts w:ascii="Times New Roman" w:hAnsi="Times New Roman" w:cs="Times New Roman"/>
          <w:lang w:val="en-US"/>
        </w:rPr>
      </w:pPr>
    </w:p>
    <w:p w14:paraId="7850C216" w14:textId="77777777" w:rsid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b/>
          <w:bCs/>
          <w:lang w:val="en-US"/>
        </w:rPr>
        <w:t>Table 4:</w:t>
      </w:r>
      <w:r w:rsidRPr="0016151E">
        <w:rPr>
          <w:rFonts w:ascii="Times New Roman" w:hAnsi="Times New Roman" w:cs="Times New Roman"/>
          <w:lang w:val="en-US"/>
        </w:rPr>
        <w:t xml:space="preserve"> PI of FET and GET extract of </w:t>
      </w:r>
      <w:proofErr w:type="spellStart"/>
      <w:r w:rsidRPr="0016151E">
        <w:rPr>
          <w:rFonts w:ascii="Times New Roman" w:hAnsi="Times New Roman" w:cs="Times New Roman"/>
          <w:i/>
          <w:iCs/>
          <w:lang w:val="en-US"/>
        </w:rPr>
        <w:t>lowsonia</w:t>
      </w:r>
      <w:proofErr w:type="spellEnd"/>
      <w:r w:rsidRPr="0016151E">
        <w:rPr>
          <w:rFonts w:ascii="Times New Roman" w:hAnsi="Times New Roman" w:cs="Times New Roman"/>
          <w:i/>
          <w:iCs/>
          <w:lang w:val="en-US"/>
        </w:rPr>
        <w:t xml:space="preserve"> </w:t>
      </w:r>
      <w:proofErr w:type="spellStart"/>
      <w:r w:rsidRPr="0016151E">
        <w:rPr>
          <w:rFonts w:ascii="Times New Roman" w:hAnsi="Times New Roman" w:cs="Times New Roman"/>
          <w:i/>
          <w:iCs/>
          <w:lang w:val="en-US"/>
        </w:rPr>
        <w:t>inermis</w:t>
      </w:r>
      <w:proofErr w:type="spellEnd"/>
      <w:r w:rsidRPr="0016151E">
        <w:rPr>
          <w:rFonts w:ascii="Times New Roman" w:hAnsi="Times New Roman" w:cs="Times New Roman"/>
          <w:lang w:val="en-US"/>
        </w:rPr>
        <w:t xml:space="preserve"> as a function of concentration</w:t>
      </w:r>
    </w:p>
    <w:tbl>
      <w:tblPr>
        <w:tblStyle w:val="Grilledutableau1"/>
        <w:tblW w:w="9072" w:type="dxa"/>
        <w:tblInd w:w="137" w:type="dxa"/>
        <w:tblLook w:val="04A0" w:firstRow="1" w:lastRow="0" w:firstColumn="1" w:lastColumn="0" w:noHBand="0" w:noVBand="1"/>
      </w:tblPr>
      <w:tblGrid>
        <w:gridCol w:w="3099"/>
        <w:gridCol w:w="1437"/>
        <w:gridCol w:w="3119"/>
        <w:gridCol w:w="1417"/>
      </w:tblGrid>
      <w:tr w:rsidR="00955C3E" w:rsidRPr="00C418B3" w14:paraId="6F0C56F2" w14:textId="77777777" w:rsidTr="00B02975">
        <w:tc>
          <w:tcPr>
            <w:tcW w:w="3099" w:type="dxa"/>
          </w:tcPr>
          <w:p w14:paraId="4D32B2CA"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Concentration FET (mg/</w:t>
            </w:r>
            <w:proofErr w:type="spellStart"/>
            <w:r w:rsidRPr="006D1351">
              <w:rPr>
                <w:rFonts w:ascii="Times New Roman" w:hAnsi="Times New Roman" w:cs="Times New Roman"/>
                <w:color w:val="000000" w:themeColor="text1"/>
                <w:sz w:val="24"/>
              </w:rPr>
              <w:t>mL</w:t>
            </w:r>
            <w:proofErr w:type="spellEnd"/>
            <w:r w:rsidRPr="006D1351">
              <w:rPr>
                <w:rFonts w:ascii="Times New Roman" w:hAnsi="Times New Roman" w:cs="Times New Roman"/>
                <w:color w:val="000000" w:themeColor="text1"/>
                <w:sz w:val="24"/>
              </w:rPr>
              <w:t>)</w:t>
            </w:r>
          </w:p>
        </w:tc>
        <w:tc>
          <w:tcPr>
            <w:tcW w:w="1437" w:type="dxa"/>
          </w:tcPr>
          <w:p w14:paraId="2D01BF55"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PI FET (%)</w:t>
            </w:r>
          </w:p>
        </w:tc>
        <w:tc>
          <w:tcPr>
            <w:tcW w:w="3119" w:type="dxa"/>
          </w:tcPr>
          <w:p w14:paraId="3715F273"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Concentration GET (mg/</w:t>
            </w:r>
            <w:proofErr w:type="spellStart"/>
            <w:r w:rsidRPr="006D1351">
              <w:rPr>
                <w:rFonts w:ascii="Times New Roman" w:hAnsi="Times New Roman" w:cs="Times New Roman"/>
                <w:color w:val="000000" w:themeColor="text1"/>
                <w:sz w:val="24"/>
              </w:rPr>
              <w:t>mL</w:t>
            </w:r>
            <w:proofErr w:type="spellEnd"/>
            <w:r w:rsidRPr="006D1351">
              <w:rPr>
                <w:rFonts w:ascii="Times New Roman" w:hAnsi="Times New Roman" w:cs="Times New Roman"/>
                <w:color w:val="000000" w:themeColor="text1"/>
                <w:sz w:val="24"/>
              </w:rPr>
              <w:t>)</w:t>
            </w:r>
          </w:p>
        </w:tc>
        <w:tc>
          <w:tcPr>
            <w:tcW w:w="1417" w:type="dxa"/>
          </w:tcPr>
          <w:p w14:paraId="6003060F" w14:textId="77777777" w:rsidR="00955C3E" w:rsidRPr="006D1351" w:rsidRDefault="00955C3E" w:rsidP="00B02975">
            <w:pPr>
              <w:tabs>
                <w:tab w:val="left" w:pos="1635"/>
              </w:tabs>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PI GET (%)</w:t>
            </w:r>
          </w:p>
        </w:tc>
      </w:tr>
      <w:tr w:rsidR="00955C3E" w:rsidRPr="00C418B3" w14:paraId="0D293C2A" w14:textId="77777777" w:rsidTr="00B02975">
        <w:tc>
          <w:tcPr>
            <w:tcW w:w="3099" w:type="dxa"/>
          </w:tcPr>
          <w:p w14:paraId="4770788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0,172</w:t>
            </w:r>
          </w:p>
        </w:tc>
        <w:tc>
          <w:tcPr>
            <w:tcW w:w="1437" w:type="dxa"/>
          </w:tcPr>
          <w:p w14:paraId="40CC9B33"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45,765</w:t>
            </w:r>
          </w:p>
        </w:tc>
        <w:tc>
          <w:tcPr>
            <w:tcW w:w="3119" w:type="dxa"/>
          </w:tcPr>
          <w:p w14:paraId="046ACA4C"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0,032</w:t>
            </w:r>
          </w:p>
        </w:tc>
        <w:tc>
          <w:tcPr>
            <w:tcW w:w="1417" w:type="dxa"/>
          </w:tcPr>
          <w:p w14:paraId="0FDF8620"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45,570</w:t>
            </w:r>
          </w:p>
        </w:tc>
      </w:tr>
      <w:tr w:rsidR="00955C3E" w:rsidRPr="00C418B3" w14:paraId="6702CE90" w14:textId="77777777" w:rsidTr="00B02975">
        <w:tc>
          <w:tcPr>
            <w:tcW w:w="3099" w:type="dxa"/>
          </w:tcPr>
          <w:p w14:paraId="01F5D620"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0,189</w:t>
            </w:r>
          </w:p>
        </w:tc>
        <w:tc>
          <w:tcPr>
            <w:tcW w:w="1437" w:type="dxa"/>
          </w:tcPr>
          <w:p w14:paraId="4F244C50"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50</w:t>
            </w:r>
          </w:p>
        </w:tc>
        <w:tc>
          <w:tcPr>
            <w:tcW w:w="3119" w:type="dxa"/>
          </w:tcPr>
          <w:p w14:paraId="3E9065DE"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0,050</w:t>
            </w:r>
          </w:p>
        </w:tc>
        <w:tc>
          <w:tcPr>
            <w:tcW w:w="1417" w:type="dxa"/>
          </w:tcPr>
          <w:p w14:paraId="44A0C718"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50</w:t>
            </w:r>
          </w:p>
        </w:tc>
      </w:tr>
      <w:tr w:rsidR="00955C3E" w:rsidRPr="00C418B3" w14:paraId="16F9CA28" w14:textId="77777777" w:rsidTr="00B02975">
        <w:tc>
          <w:tcPr>
            <w:tcW w:w="3099" w:type="dxa"/>
          </w:tcPr>
          <w:p w14:paraId="71BB6B43"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0,340</w:t>
            </w:r>
          </w:p>
        </w:tc>
        <w:tc>
          <w:tcPr>
            <w:tcW w:w="1437" w:type="dxa"/>
          </w:tcPr>
          <w:p w14:paraId="3E0EDA5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74,049</w:t>
            </w:r>
          </w:p>
        </w:tc>
        <w:tc>
          <w:tcPr>
            <w:tcW w:w="3119" w:type="dxa"/>
          </w:tcPr>
          <w:p w14:paraId="5ADAC56B"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0,064</w:t>
            </w:r>
          </w:p>
        </w:tc>
        <w:tc>
          <w:tcPr>
            <w:tcW w:w="1417" w:type="dxa"/>
          </w:tcPr>
          <w:p w14:paraId="15D4923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78,137</w:t>
            </w:r>
          </w:p>
        </w:tc>
      </w:tr>
      <w:tr w:rsidR="00955C3E" w:rsidRPr="00C418B3" w14:paraId="3F21B3E2" w14:textId="77777777" w:rsidTr="00B02975">
        <w:tc>
          <w:tcPr>
            <w:tcW w:w="3099" w:type="dxa"/>
          </w:tcPr>
          <w:p w14:paraId="07CD1E4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0,425</w:t>
            </w:r>
          </w:p>
        </w:tc>
        <w:tc>
          <w:tcPr>
            <w:tcW w:w="1437" w:type="dxa"/>
          </w:tcPr>
          <w:p w14:paraId="630F30AE"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87,152</w:t>
            </w:r>
          </w:p>
        </w:tc>
        <w:tc>
          <w:tcPr>
            <w:tcW w:w="3119" w:type="dxa"/>
          </w:tcPr>
          <w:p w14:paraId="58CB677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0,129</w:t>
            </w:r>
          </w:p>
        </w:tc>
        <w:tc>
          <w:tcPr>
            <w:tcW w:w="1417" w:type="dxa"/>
          </w:tcPr>
          <w:p w14:paraId="0E4D1B6C"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95,334</w:t>
            </w:r>
          </w:p>
        </w:tc>
      </w:tr>
      <w:tr w:rsidR="00955C3E" w:rsidRPr="00C418B3" w14:paraId="4158B6C9" w14:textId="77777777" w:rsidTr="00B02975">
        <w:tc>
          <w:tcPr>
            <w:tcW w:w="3099" w:type="dxa"/>
          </w:tcPr>
          <w:p w14:paraId="0AFEC10B"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0,567</w:t>
            </w:r>
          </w:p>
        </w:tc>
        <w:tc>
          <w:tcPr>
            <w:tcW w:w="1437" w:type="dxa"/>
          </w:tcPr>
          <w:p w14:paraId="6A407199"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93,640</w:t>
            </w:r>
          </w:p>
        </w:tc>
        <w:tc>
          <w:tcPr>
            <w:tcW w:w="3119" w:type="dxa"/>
          </w:tcPr>
          <w:p w14:paraId="4552FA09"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0,258</w:t>
            </w:r>
          </w:p>
        </w:tc>
        <w:tc>
          <w:tcPr>
            <w:tcW w:w="1417" w:type="dxa"/>
          </w:tcPr>
          <w:p w14:paraId="1B4F03F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96,293</w:t>
            </w:r>
          </w:p>
        </w:tc>
      </w:tr>
      <w:tr w:rsidR="00955C3E" w:rsidRPr="00C418B3" w14:paraId="4C0605AA" w14:textId="77777777" w:rsidTr="00B02975">
        <w:tc>
          <w:tcPr>
            <w:tcW w:w="3099" w:type="dxa"/>
          </w:tcPr>
          <w:p w14:paraId="03690781"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0,857</w:t>
            </w:r>
          </w:p>
        </w:tc>
        <w:tc>
          <w:tcPr>
            <w:tcW w:w="1437" w:type="dxa"/>
          </w:tcPr>
          <w:p w14:paraId="6F51821A"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94,503</w:t>
            </w:r>
          </w:p>
        </w:tc>
        <w:tc>
          <w:tcPr>
            <w:tcW w:w="3119" w:type="dxa"/>
          </w:tcPr>
          <w:p w14:paraId="24F92006"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0,644</w:t>
            </w:r>
          </w:p>
        </w:tc>
        <w:tc>
          <w:tcPr>
            <w:tcW w:w="1417" w:type="dxa"/>
          </w:tcPr>
          <w:p w14:paraId="044E545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96,932</w:t>
            </w:r>
          </w:p>
        </w:tc>
      </w:tr>
      <w:tr w:rsidR="00955C3E" w:rsidRPr="00C418B3" w14:paraId="237260A4" w14:textId="77777777" w:rsidTr="00B02975">
        <w:tc>
          <w:tcPr>
            <w:tcW w:w="3099" w:type="dxa"/>
          </w:tcPr>
          <w:p w14:paraId="1E141ADC"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1,035</w:t>
            </w:r>
          </w:p>
        </w:tc>
        <w:tc>
          <w:tcPr>
            <w:tcW w:w="1437" w:type="dxa"/>
          </w:tcPr>
          <w:p w14:paraId="04572412"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91, 147</w:t>
            </w:r>
          </w:p>
        </w:tc>
        <w:tc>
          <w:tcPr>
            <w:tcW w:w="3119" w:type="dxa"/>
          </w:tcPr>
          <w:p w14:paraId="1E0F783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3,861</w:t>
            </w:r>
          </w:p>
        </w:tc>
        <w:tc>
          <w:tcPr>
            <w:tcW w:w="1417" w:type="dxa"/>
          </w:tcPr>
          <w:p w14:paraId="5283C03A"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96,612</w:t>
            </w:r>
          </w:p>
        </w:tc>
      </w:tr>
    </w:tbl>
    <w:p w14:paraId="75F238CF" w14:textId="77777777" w:rsidR="0016151E" w:rsidRDefault="0016151E" w:rsidP="0016151E">
      <w:pPr>
        <w:spacing w:line="360" w:lineRule="auto"/>
        <w:jc w:val="both"/>
        <w:rPr>
          <w:rFonts w:ascii="Times New Roman" w:hAnsi="Times New Roman" w:cs="Times New Roman"/>
          <w:lang w:val="en-US"/>
        </w:rPr>
      </w:pPr>
    </w:p>
    <w:p w14:paraId="386C9507" w14:textId="5C32EC24" w:rsidR="00955C3E" w:rsidRPr="00EB7B13" w:rsidRDefault="00EB7B13" w:rsidP="00EB7B13">
      <w:pPr>
        <w:keepNext/>
        <w:spacing w:line="360" w:lineRule="auto"/>
        <w:jc w:val="center"/>
        <w:rPr>
          <w:rFonts w:ascii="Times New Roman" w:hAnsi="Times New Roman" w:cs="Times New Roman"/>
        </w:rPr>
      </w:pPr>
      <w:r>
        <w:rPr>
          <w:noProof/>
          <w:lang w:val="fr-FR" w:eastAsia="fr-FR"/>
        </w:rPr>
        <w:lastRenderedPageBreak/>
        <w:drawing>
          <wp:inline distT="0" distB="0" distL="0" distR="0" wp14:anchorId="33B58556" wp14:editId="55C8F820">
            <wp:extent cx="2811780" cy="2401001"/>
            <wp:effectExtent l="0" t="0" r="7620" b="1841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val="fr-FR" w:eastAsia="fr-FR"/>
        </w:rPr>
        <w:drawing>
          <wp:inline distT="0" distB="0" distL="0" distR="0" wp14:anchorId="19E3D332" wp14:editId="5429EA66">
            <wp:extent cx="2664460" cy="2420188"/>
            <wp:effectExtent l="0" t="0" r="2540" b="1841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E0ECD" w14:textId="289A08A1" w:rsidR="00955C3E" w:rsidRDefault="00955C3E" w:rsidP="00955C3E">
      <w:pPr>
        <w:spacing w:line="360" w:lineRule="auto"/>
        <w:jc w:val="both"/>
        <w:rPr>
          <w:rFonts w:ascii="Times New Roman" w:hAnsi="Times New Roman" w:cs="Times New Roman"/>
          <w:lang w:val="en-US"/>
        </w:rPr>
      </w:pPr>
      <w:r w:rsidRPr="00955C3E">
        <w:rPr>
          <w:rFonts w:ascii="Times New Roman" w:hAnsi="Times New Roman" w:cs="Times New Roman"/>
          <w:b/>
          <w:bCs/>
          <w:lang w:val="en-US"/>
        </w:rPr>
        <w:t>Figure 1:</w:t>
      </w:r>
      <w:r w:rsidRPr="00955C3E">
        <w:rPr>
          <w:rFonts w:ascii="Times New Roman" w:hAnsi="Times New Roman" w:cs="Times New Roman"/>
          <w:lang w:val="en-US"/>
        </w:rPr>
        <w:t xml:space="preserve"> </w:t>
      </w:r>
      <w:r w:rsidR="00C4289F">
        <w:rPr>
          <w:rFonts w:ascii="Times New Roman" w:hAnsi="Times New Roman" w:cs="Times New Roman"/>
          <w:lang w:val="en-US"/>
        </w:rPr>
        <w:t>p</w:t>
      </w:r>
      <w:r w:rsidRPr="00955C3E">
        <w:rPr>
          <w:rFonts w:ascii="Times New Roman" w:hAnsi="Times New Roman" w:cs="Times New Roman"/>
          <w:lang w:val="en-US"/>
        </w:rPr>
        <w:t xml:space="preserve">ercentage inhibition of </w:t>
      </w:r>
      <w:proofErr w:type="spellStart"/>
      <w:r w:rsidR="00431018">
        <w:rPr>
          <w:rFonts w:ascii="Times New Roman" w:hAnsi="Times New Roman" w:cs="Times New Roman"/>
          <w:i/>
          <w:iCs/>
          <w:lang w:val="en-US"/>
        </w:rPr>
        <w:t>l</w:t>
      </w:r>
      <w:r w:rsidRPr="00955C3E">
        <w:rPr>
          <w:rFonts w:ascii="Times New Roman" w:hAnsi="Times New Roman" w:cs="Times New Roman"/>
          <w:i/>
          <w:iCs/>
          <w:lang w:val="en-US"/>
        </w:rPr>
        <w:t>awsonia</w:t>
      </w:r>
      <w:proofErr w:type="spellEnd"/>
      <w:r w:rsidRPr="00955C3E">
        <w:rPr>
          <w:rFonts w:ascii="Times New Roman" w:hAnsi="Times New Roman" w:cs="Times New Roman"/>
          <w:i/>
          <w:iCs/>
          <w:lang w:val="en-US"/>
        </w:rPr>
        <w:t xml:space="preserve"> </w:t>
      </w:r>
      <w:proofErr w:type="spellStart"/>
      <w:r w:rsidRPr="00955C3E">
        <w:rPr>
          <w:rFonts w:ascii="Times New Roman" w:hAnsi="Times New Roman" w:cs="Times New Roman"/>
          <w:i/>
          <w:iCs/>
          <w:lang w:val="en-US"/>
        </w:rPr>
        <w:t>inermis</w:t>
      </w:r>
      <w:proofErr w:type="spellEnd"/>
      <w:r w:rsidRPr="00955C3E">
        <w:rPr>
          <w:rFonts w:ascii="Times New Roman" w:hAnsi="Times New Roman" w:cs="Times New Roman"/>
          <w:lang w:val="en-US"/>
        </w:rPr>
        <w:t xml:space="preserve"> leaf and seed extracts with the solvent ethanol as a function of their concentrations.</w:t>
      </w:r>
    </w:p>
    <w:p w14:paraId="3849E361" w14:textId="77777777" w:rsidR="00EB7B13" w:rsidRPr="00955C3E" w:rsidRDefault="00EB7B13" w:rsidP="00955C3E">
      <w:pPr>
        <w:spacing w:line="360" w:lineRule="auto"/>
        <w:jc w:val="both"/>
        <w:rPr>
          <w:rFonts w:ascii="Times New Roman" w:hAnsi="Times New Roman" w:cs="Times New Roman"/>
          <w:lang w:val="en-US"/>
        </w:rPr>
      </w:pPr>
    </w:p>
    <w:p w14:paraId="06B4A600" w14:textId="77777777" w:rsidR="00955C3E" w:rsidRPr="00955C3E" w:rsidRDefault="00955C3E" w:rsidP="00955C3E">
      <w:pPr>
        <w:spacing w:line="360" w:lineRule="auto"/>
        <w:jc w:val="both"/>
        <w:rPr>
          <w:rFonts w:ascii="Times New Roman" w:hAnsi="Times New Roman" w:cs="Times New Roman"/>
          <w:lang w:val="en-US"/>
        </w:rPr>
      </w:pPr>
      <w:r w:rsidRPr="00955C3E">
        <w:rPr>
          <w:rFonts w:ascii="Times New Roman" w:hAnsi="Times New Roman" w:cs="Times New Roman"/>
          <w:lang w:val="en-US"/>
        </w:rPr>
        <w:t>These graphs show the trend, the linear lines, their correlation coefficients and the shape of the curves showing the percent inhibition of leaf and seed extracts with the solvent ethanol as a function of concentration.</w:t>
      </w:r>
    </w:p>
    <w:p w14:paraId="5B50F496" w14:textId="77777777" w:rsidR="00955C3E" w:rsidRDefault="00955C3E" w:rsidP="00955C3E">
      <w:pPr>
        <w:spacing w:line="360" w:lineRule="auto"/>
        <w:jc w:val="both"/>
        <w:rPr>
          <w:rFonts w:ascii="Times New Roman" w:hAnsi="Times New Roman" w:cs="Times New Roman"/>
          <w:lang w:val="en-US"/>
        </w:rPr>
      </w:pPr>
      <w:r w:rsidRPr="00955C3E">
        <w:rPr>
          <w:rFonts w:ascii="Times New Roman" w:hAnsi="Times New Roman" w:cs="Times New Roman"/>
          <w:b/>
          <w:bCs/>
          <w:lang w:val="en-US"/>
        </w:rPr>
        <w:t>Table 5:</w:t>
      </w:r>
      <w:r w:rsidRPr="00955C3E">
        <w:rPr>
          <w:rFonts w:ascii="Times New Roman" w:hAnsi="Times New Roman" w:cs="Times New Roman"/>
          <w:lang w:val="en-US"/>
        </w:rPr>
        <w:t xml:space="preserve"> PI of FAC and GAC extracts of </w:t>
      </w:r>
      <w:proofErr w:type="spellStart"/>
      <w:r w:rsidRPr="00955C3E">
        <w:rPr>
          <w:rFonts w:ascii="Times New Roman" w:hAnsi="Times New Roman" w:cs="Times New Roman"/>
          <w:i/>
          <w:iCs/>
          <w:lang w:val="en-US"/>
        </w:rPr>
        <w:t>lawsonia</w:t>
      </w:r>
      <w:proofErr w:type="spellEnd"/>
      <w:r w:rsidRPr="00955C3E">
        <w:rPr>
          <w:rFonts w:ascii="Times New Roman" w:hAnsi="Times New Roman" w:cs="Times New Roman"/>
          <w:i/>
          <w:iCs/>
          <w:lang w:val="en-US"/>
        </w:rPr>
        <w:t xml:space="preserve"> </w:t>
      </w:r>
      <w:proofErr w:type="spellStart"/>
      <w:r w:rsidRPr="00955C3E">
        <w:rPr>
          <w:rFonts w:ascii="Times New Roman" w:hAnsi="Times New Roman" w:cs="Times New Roman"/>
          <w:i/>
          <w:iCs/>
          <w:lang w:val="en-US"/>
        </w:rPr>
        <w:t>inermis</w:t>
      </w:r>
      <w:proofErr w:type="spellEnd"/>
      <w:r w:rsidRPr="00955C3E">
        <w:rPr>
          <w:rFonts w:ascii="Times New Roman" w:hAnsi="Times New Roman" w:cs="Times New Roman"/>
          <w:lang w:val="en-US"/>
        </w:rPr>
        <w:t xml:space="preserve"> as a function of concentration</w:t>
      </w:r>
    </w:p>
    <w:tbl>
      <w:tblPr>
        <w:tblStyle w:val="Grilledutableau2"/>
        <w:tblW w:w="9219" w:type="dxa"/>
        <w:jc w:val="center"/>
        <w:tblLayout w:type="fixed"/>
        <w:tblLook w:val="04A0" w:firstRow="1" w:lastRow="0" w:firstColumn="1" w:lastColumn="0" w:noHBand="0" w:noVBand="1"/>
      </w:tblPr>
      <w:tblGrid>
        <w:gridCol w:w="3114"/>
        <w:gridCol w:w="1417"/>
        <w:gridCol w:w="3119"/>
        <w:gridCol w:w="1569"/>
      </w:tblGrid>
      <w:tr w:rsidR="00955C3E" w:rsidRPr="00C418B3" w14:paraId="3AA6F70B" w14:textId="77777777" w:rsidTr="006D1351">
        <w:trPr>
          <w:jc w:val="center"/>
        </w:trPr>
        <w:tc>
          <w:tcPr>
            <w:tcW w:w="3114" w:type="dxa"/>
          </w:tcPr>
          <w:p w14:paraId="4BC40D3C"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Concentration FAC (mg/</w:t>
            </w:r>
            <w:proofErr w:type="spellStart"/>
            <w:r w:rsidRPr="006D1351">
              <w:rPr>
                <w:rFonts w:ascii="Times New Roman" w:hAnsi="Times New Roman" w:cs="Times New Roman"/>
                <w:color w:val="000000" w:themeColor="text1"/>
                <w:sz w:val="24"/>
              </w:rPr>
              <w:t>mL</w:t>
            </w:r>
            <w:proofErr w:type="spellEnd"/>
            <w:r w:rsidRPr="006D1351">
              <w:rPr>
                <w:rFonts w:ascii="Times New Roman" w:hAnsi="Times New Roman" w:cs="Times New Roman"/>
                <w:color w:val="000000" w:themeColor="text1"/>
                <w:sz w:val="24"/>
              </w:rPr>
              <w:t xml:space="preserve">) </w:t>
            </w:r>
          </w:p>
        </w:tc>
        <w:tc>
          <w:tcPr>
            <w:tcW w:w="1417" w:type="dxa"/>
          </w:tcPr>
          <w:p w14:paraId="3B3CA278"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PI FAC (%)</w:t>
            </w:r>
          </w:p>
        </w:tc>
        <w:tc>
          <w:tcPr>
            <w:tcW w:w="3119" w:type="dxa"/>
          </w:tcPr>
          <w:p w14:paraId="2031B01C"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Concentration GAC (mg/</w:t>
            </w:r>
            <w:proofErr w:type="spellStart"/>
            <w:r w:rsidRPr="006D1351">
              <w:rPr>
                <w:rFonts w:ascii="Times New Roman" w:hAnsi="Times New Roman" w:cs="Times New Roman"/>
                <w:color w:val="000000" w:themeColor="text1"/>
                <w:sz w:val="24"/>
              </w:rPr>
              <w:t>mL</w:t>
            </w:r>
            <w:proofErr w:type="spellEnd"/>
            <w:r w:rsidRPr="006D1351">
              <w:rPr>
                <w:rFonts w:ascii="Times New Roman" w:hAnsi="Times New Roman" w:cs="Times New Roman"/>
                <w:color w:val="000000" w:themeColor="text1"/>
                <w:sz w:val="24"/>
              </w:rPr>
              <w:t>)</w:t>
            </w:r>
          </w:p>
        </w:tc>
        <w:tc>
          <w:tcPr>
            <w:tcW w:w="1569" w:type="dxa"/>
          </w:tcPr>
          <w:p w14:paraId="2D3DE5D5"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PI GAC (%)</w:t>
            </w:r>
          </w:p>
        </w:tc>
      </w:tr>
      <w:tr w:rsidR="00955C3E" w:rsidRPr="00C418B3" w14:paraId="7533E6D1" w14:textId="77777777" w:rsidTr="006D1351">
        <w:trPr>
          <w:jc w:val="center"/>
        </w:trPr>
        <w:tc>
          <w:tcPr>
            <w:tcW w:w="3114" w:type="dxa"/>
          </w:tcPr>
          <w:p w14:paraId="3260329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0,129</w:t>
            </w:r>
          </w:p>
        </w:tc>
        <w:tc>
          <w:tcPr>
            <w:tcW w:w="1417" w:type="dxa"/>
          </w:tcPr>
          <w:p w14:paraId="2F81C3A4"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42,985</w:t>
            </w:r>
          </w:p>
        </w:tc>
        <w:tc>
          <w:tcPr>
            <w:tcW w:w="3119" w:type="dxa"/>
          </w:tcPr>
          <w:p w14:paraId="203B3CE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0,042</w:t>
            </w:r>
          </w:p>
        </w:tc>
        <w:tc>
          <w:tcPr>
            <w:tcW w:w="1569" w:type="dxa"/>
          </w:tcPr>
          <w:p w14:paraId="1B9D1B7A"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26,859</w:t>
            </w:r>
          </w:p>
        </w:tc>
      </w:tr>
      <w:tr w:rsidR="00955C3E" w:rsidRPr="00C418B3" w14:paraId="4F50029D" w14:textId="77777777" w:rsidTr="006D1351">
        <w:trPr>
          <w:jc w:val="center"/>
        </w:trPr>
        <w:tc>
          <w:tcPr>
            <w:tcW w:w="3114" w:type="dxa"/>
          </w:tcPr>
          <w:p w14:paraId="632AD569"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0,143</w:t>
            </w:r>
          </w:p>
        </w:tc>
        <w:tc>
          <w:tcPr>
            <w:tcW w:w="1417" w:type="dxa"/>
          </w:tcPr>
          <w:p w14:paraId="7D4A1626"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50</w:t>
            </w:r>
          </w:p>
        </w:tc>
        <w:tc>
          <w:tcPr>
            <w:tcW w:w="3119" w:type="dxa"/>
          </w:tcPr>
          <w:p w14:paraId="1E40BD6C"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0,085</w:t>
            </w:r>
          </w:p>
        </w:tc>
        <w:tc>
          <w:tcPr>
            <w:tcW w:w="1569" w:type="dxa"/>
          </w:tcPr>
          <w:p w14:paraId="34AF9766"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39,467</w:t>
            </w:r>
          </w:p>
        </w:tc>
      </w:tr>
      <w:tr w:rsidR="00955C3E" w:rsidRPr="00C418B3" w14:paraId="10AEA51E" w14:textId="77777777" w:rsidTr="006D1351">
        <w:trPr>
          <w:jc w:val="center"/>
        </w:trPr>
        <w:tc>
          <w:tcPr>
            <w:tcW w:w="3114" w:type="dxa"/>
          </w:tcPr>
          <w:p w14:paraId="4B8123B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0,258</w:t>
            </w:r>
          </w:p>
        </w:tc>
        <w:tc>
          <w:tcPr>
            <w:tcW w:w="1417" w:type="dxa"/>
          </w:tcPr>
          <w:p w14:paraId="344405CA"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73,442</w:t>
            </w:r>
          </w:p>
        </w:tc>
        <w:tc>
          <w:tcPr>
            <w:tcW w:w="3119" w:type="dxa"/>
          </w:tcPr>
          <w:p w14:paraId="309ED5D9"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0,104</w:t>
            </w:r>
          </w:p>
        </w:tc>
        <w:tc>
          <w:tcPr>
            <w:tcW w:w="1569" w:type="dxa"/>
          </w:tcPr>
          <w:p w14:paraId="587EB9E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50</w:t>
            </w:r>
          </w:p>
        </w:tc>
      </w:tr>
      <w:tr w:rsidR="00955C3E" w:rsidRPr="00C418B3" w14:paraId="6B0DB426" w14:textId="77777777" w:rsidTr="006D1351">
        <w:trPr>
          <w:jc w:val="center"/>
        </w:trPr>
        <w:tc>
          <w:tcPr>
            <w:tcW w:w="3114" w:type="dxa"/>
          </w:tcPr>
          <w:p w14:paraId="17012D5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0,322</w:t>
            </w:r>
          </w:p>
        </w:tc>
        <w:tc>
          <w:tcPr>
            <w:tcW w:w="1417" w:type="dxa"/>
          </w:tcPr>
          <w:p w14:paraId="23353A59"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83,477</w:t>
            </w:r>
          </w:p>
        </w:tc>
        <w:tc>
          <w:tcPr>
            <w:tcW w:w="3119" w:type="dxa"/>
          </w:tcPr>
          <w:p w14:paraId="4C0C36B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0,170</w:t>
            </w:r>
          </w:p>
        </w:tc>
        <w:tc>
          <w:tcPr>
            <w:tcW w:w="1569" w:type="dxa"/>
          </w:tcPr>
          <w:p w14:paraId="0B9B9772"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85,657</w:t>
            </w:r>
          </w:p>
        </w:tc>
      </w:tr>
      <w:tr w:rsidR="00955C3E" w:rsidRPr="00C418B3" w14:paraId="284B25FC" w14:textId="77777777" w:rsidTr="006D1351">
        <w:trPr>
          <w:jc w:val="center"/>
        </w:trPr>
        <w:tc>
          <w:tcPr>
            <w:tcW w:w="3114" w:type="dxa"/>
          </w:tcPr>
          <w:p w14:paraId="07C4F771"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0,429</w:t>
            </w:r>
          </w:p>
        </w:tc>
        <w:tc>
          <w:tcPr>
            <w:tcW w:w="1417" w:type="dxa"/>
          </w:tcPr>
          <w:p w14:paraId="2A55513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90,700</w:t>
            </w:r>
          </w:p>
        </w:tc>
        <w:tc>
          <w:tcPr>
            <w:tcW w:w="3119" w:type="dxa"/>
          </w:tcPr>
          <w:p w14:paraId="261A6AE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0,340</w:t>
            </w:r>
          </w:p>
        </w:tc>
        <w:tc>
          <w:tcPr>
            <w:tcW w:w="1569" w:type="dxa"/>
          </w:tcPr>
          <w:p w14:paraId="5E84D0C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93,185</w:t>
            </w:r>
          </w:p>
        </w:tc>
      </w:tr>
      <w:tr w:rsidR="00955C3E" w:rsidRPr="00C418B3" w14:paraId="5610477B" w14:textId="77777777" w:rsidTr="006D1351">
        <w:trPr>
          <w:jc w:val="center"/>
        </w:trPr>
        <w:tc>
          <w:tcPr>
            <w:tcW w:w="3114" w:type="dxa"/>
          </w:tcPr>
          <w:p w14:paraId="65FD026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0,644</w:t>
            </w:r>
          </w:p>
        </w:tc>
        <w:tc>
          <w:tcPr>
            <w:tcW w:w="1417" w:type="dxa"/>
          </w:tcPr>
          <w:p w14:paraId="3651D254"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89,390</w:t>
            </w:r>
          </w:p>
        </w:tc>
        <w:tc>
          <w:tcPr>
            <w:tcW w:w="3119" w:type="dxa"/>
          </w:tcPr>
          <w:p w14:paraId="7BFEC11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0,850</w:t>
            </w:r>
          </w:p>
        </w:tc>
        <w:tc>
          <w:tcPr>
            <w:tcW w:w="1569" w:type="dxa"/>
          </w:tcPr>
          <w:p w14:paraId="7742BB1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95,663</w:t>
            </w:r>
          </w:p>
        </w:tc>
      </w:tr>
      <w:tr w:rsidR="00955C3E" w:rsidRPr="00C418B3" w14:paraId="4BFB2E52" w14:textId="77777777" w:rsidTr="006D1351">
        <w:trPr>
          <w:jc w:val="center"/>
        </w:trPr>
        <w:tc>
          <w:tcPr>
            <w:tcW w:w="3114" w:type="dxa"/>
          </w:tcPr>
          <w:p w14:paraId="499329B3"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1,228</w:t>
            </w:r>
          </w:p>
        </w:tc>
        <w:tc>
          <w:tcPr>
            <w:tcW w:w="1417" w:type="dxa"/>
          </w:tcPr>
          <w:p w14:paraId="2DB3A713"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75,551</w:t>
            </w:r>
          </w:p>
        </w:tc>
        <w:tc>
          <w:tcPr>
            <w:tcW w:w="3119" w:type="dxa"/>
          </w:tcPr>
          <w:p w14:paraId="601D3EB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1,700</w:t>
            </w:r>
          </w:p>
        </w:tc>
        <w:tc>
          <w:tcPr>
            <w:tcW w:w="1569" w:type="dxa"/>
          </w:tcPr>
          <w:p w14:paraId="5CFC093C"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95,260</w:t>
            </w:r>
          </w:p>
        </w:tc>
      </w:tr>
    </w:tbl>
    <w:p w14:paraId="17A8FE0E" w14:textId="77777777" w:rsidR="00A973CE" w:rsidRDefault="00A973CE" w:rsidP="00A973CE">
      <w:pPr>
        <w:spacing w:line="360" w:lineRule="auto"/>
        <w:rPr>
          <w:rFonts w:ascii="Times New Roman" w:hAnsi="Times New Roman" w:cs="Times New Roman"/>
        </w:rPr>
      </w:pPr>
    </w:p>
    <w:p w14:paraId="3A9FEB98" w14:textId="77777777" w:rsidR="00EB7B13" w:rsidRDefault="00EB7B13" w:rsidP="00EB7B13">
      <w:pPr>
        <w:spacing w:line="360" w:lineRule="auto"/>
        <w:jc w:val="both"/>
        <w:rPr>
          <w:rFonts w:ascii="Times New Roman" w:hAnsi="Times New Roman" w:cs="Times New Roman"/>
          <w:lang w:val="en-US"/>
        </w:rPr>
      </w:pPr>
    </w:p>
    <w:p w14:paraId="241DEE3A" w14:textId="77777777" w:rsidR="00EB7B13" w:rsidRPr="00955C3E" w:rsidRDefault="00EB7B13" w:rsidP="00EB7B13">
      <w:pPr>
        <w:spacing w:line="360" w:lineRule="auto"/>
        <w:jc w:val="both"/>
        <w:rPr>
          <w:rFonts w:ascii="Times New Roman" w:hAnsi="Times New Roman" w:cs="Times New Roman"/>
          <w:lang w:val="en-US"/>
        </w:rPr>
      </w:pPr>
    </w:p>
    <w:p w14:paraId="2B48EFE7" w14:textId="77777777" w:rsidR="00EB7B13" w:rsidRDefault="00EB7B13" w:rsidP="00EB7B13">
      <w:pPr>
        <w:spacing w:line="360" w:lineRule="auto"/>
        <w:jc w:val="center"/>
        <w:rPr>
          <w:rFonts w:ascii="Times New Roman" w:hAnsi="Times New Roman" w:cs="Times New Roman"/>
        </w:rPr>
      </w:pPr>
      <w:r>
        <w:rPr>
          <w:noProof/>
          <w:lang w:val="fr-FR" w:eastAsia="fr-FR"/>
        </w:rPr>
        <w:lastRenderedPageBreak/>
        <w:drawing>
          <wp:inline distT="0" distB="0" distL="0" distR="0" wp14:anchorId="2A3963A3" wp14:editId="76B02A1F">
            <wp:extent cx="2712085" cy="2607310"/>
            <wp:effectExtent l="0" t="0" r="12065" b="254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val="fr-FR" w:eastAsia="fr-FR"/>
        </w:rPr>
        <w:drawing>
          <wp:inline distT="0" distB="0" distL="0" distR="0" wp14:anchorId="5F4CD328" wp14:editId="214D94F4">
            <wp:extent cx="2795270" cy="2605405"/>
            <wp:effectExtent l="0" t="0" r="5080" b="444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2839AD" w14:textId="77777777" w:rsidR="00EB7B13" w:rsidRPr="00A973CE" w:rsidRDefault="00EB7B13" w:rsidP="00EB7B13">
      <w:pPr>
        <w:spacing w:line="360" w:lineRule="auto"/>
        <w:jc w:val="both"/>
        <w:rPr>
          <w:rFonts w:ascii="Times New Roman" w:hAnsi="Times New Roman" w:cs="Times New Roman"/>
          <w:lang w:val="en-US"/>
        </w:rPr>
      </w:pPr>
      <w:r w:rsidRPr="00C4289F">
        <w:rPr>
          <w:rFonts w:ascii="Times New Roman" w:hAnsi="Times New Roman" w:cs="Times New Roman"/>
          <w:b/>
          <w:bCs/>
          <w:lang w:val="en-US"/>
        </w:rPr>
        <w:t>Figure 2:</w:t>
      </w:r>
      <w:r w:rsidRPr="00A973CE">
        <w:rPr>
          <w:rFonts w:ascii="Times New Roman" w:hAnsi="Times New Roman" w:cs="Times New Roman"/>
          <w:lang w:val="en-US"/>
        </w:rPr>
        <w:t xml:space="preserve"> PI of leaf and seed extracts of </w:t>
      </w:r>
      <w:proofErr w:type="spellStart"/>
      <w:r w:rsidRPr="00A973CE">
        <w:rPr>
          <w:rFonts w:ascii="Times New Roman" w:hAnsi="Times New Roman" w:cs="Times New Roman"/>
          <w:i/>
          <w:iCs/>
          <w:lang w:val="en-US"/>
        </w:rPr>
        <w:t>lawsonia</w:t>
      </w:r>
      <w:proofErr w:type="spellEnd"/>
      <w:r w:rsidRPr="00A973CE">
        <w:rPr>
          <w:rFonts w:ascii="Times New Roman" w:hAnsi="Times New Roman" w:cs="Times New Roman"/>
          <w:i/>
          <w:iCs/>
          <w:lang w:val="en-US"/>
        </w:rPr>
        <w:t xml:space="preserve"> </w:t>
      </w:r>
      <w:proofErr w:type="spellStart"/>
      <w:r w:rsidRPr="00A973CE">
        <w:rPr>
          <w:rFonts w:ascii="Times New Roman" w:hAnsi="Times New Roman" w:cs="Times New Roman"/>
          <w:i/>
          <w:iCs/>
          <w:lang w:val="en-US"/>
        </w:rPr>
        <w:t>inermis</w:t>
      </w:r>
      <w:proofErr w:type="spellEnd"/>
      <w:r w:rsidRPr="00A973CE">
        <w:rPr>
          <w:rFonts w:ascii="Times New Roman" w:hAnsi="Times New Roman" w:cs="Times New Roman"/>
          <w:lang w:val="en-US"/>
        </w:rPr>
        <w:t xml:space="preserve"> with the solvent acetone as a function of their concentrations</w:t>
      </w:r>
    </w:p>
    <w:p w14:paraId="492712B6" w14:textId="23923249" w:rsidR="00A973CE" w:rsidRPr="00EB7B13" w:rsidRDefault="00A973CE" w:rsidP="00A973CE">
      <w:pPr>
        <w:spacing w:line="360" w:lineRule="auto"/>
        <w:jc w:val="center"/>
        <w:rPr>
          <w:rFonts w:ascii="Times New Roman" w:hAnsi="Times New Roman" w:cs="Times New Roman"/>
          <w:lang w:val="en-US"/>
        </w:rPr>
      </w:pPr>
    </w:p>
    <w:p w14:paraId="7B05AFB9" w14:textId="37ACEEEF" w:rsidR="00A973CE" w:rsidRDefault="00A973CE" w:rsidP="00A973CE">
      <w:pPr>
        <w:spacing w:line="360" w:lineRule="auto"/>
        <w:jc w:val="both"/>
        <w:rPr>
          <w:rFonts w:ascii="Times New Roman" w:hAnsi="Times New Roman" w:cs="Times New Roman"/>
          <w:lang w:val="en-US"/>
        </w:rPr>
      </w:pPr>
      <w:r w:rsidRPr="00C4289F">
        <w:rPr>
          <w:rFonts w:ascii="Times New Roman" w:hAnsi="Times New Roman" w:cs="Times New Roman"/>
          <w:b/>
          <w:bCs/>
          <w:lang w:val="en-US"/>
        </w:rPr>
        <w:t>Figure 2:</w:t>
      </w:r>
      <w:r w:rsidRPr="00A973CE">
        <w:rPr>
          <w:rFonts w:ascii="Times New Roman" w:hAnsi="Times New Roman" w:cs="Times New Roman"/>
          <w:lang w:val="en-US"/>
        </w:rPr>
        <w:t xml:space="preserve"> PI of leaf and seed extracts of </w:t>
      </w:r>
      <w:proofErr w:type="spellStart"/>
      <w:r w:rsidR="00431018">
        <w:rPr>
          <w:rFonts w:ascii="Times New Roman" w:hAnsi="Times New Roman" w:cs="Times New Roman"/>
          <w:i/>
          <w:iCs/>
          <w:lang w:val="en-US"/>
        </w:rPr>
        <w:t>l</w:t>
      </w:r>
      <w:r w:rsidRPr="00A973CE">
        <w:rPr>
          <w:rFonts w:ascii="Times New Roman" w:hAnsi="Times New Roman" w:cs="Times New Roman"/>
          <w:i/>
          <w:iCs/>
          <w:lang w:val="en-US"/>
        </w:rPr>
        <w:t>awsonia</w:t>
      </w:r>
      <w:proofErr w:type="spellEnd"/>
      <w:r w:rsidRPr="00A973CE">
        <w:rPr>
          <w:rFonts w:ascii="Times New Roman" w:hAnsi="Times New Roman" w:cs="Times New Roman"/>
          <w:i/>
          <w:iCs/>
          <w:lang w:val="en-US"/>
        </w:rPr>
        <w:t xml:space="preserve"> </w:t>
      </w:r>
      <w:proofErr w:type="spellStart"/>
      <w:r w:rsidRPr="00A973CE">
        <w:rPr>
          <w:rFonts w:ascii="Times New Roman" w:hAnsi="Times New Roman" w:cs="Times New Roman"/>
          <w:i/>
          <w:iCs/>
          <w:lang w:val="en-US"/>
        </w:rPr>
        <w:t>inermis</w:t>
      </w:r>
      <w:proofErr w:type="spellEnd"/>
      <w:r w:rsidRPr="00A973CE">
        <w:rPr>
          <w:rFonts w:ascii="Times New Roman" w:hAnsi="Times New Roman" w:cs="Times New Roman"/>
          <w:lang w:val="en-US"/>
        </w:rPr>
        <w:t xml:space="preserve"> with the solvent acetone as a function of their concentrations</w:t>
      </w:r>
    </w:p>
    <w:p w14:paraId="243343B8" w14:textId="77777777" w:rsidR="00A973CE" w:rsidRPr="00A973CE" w:rsidRDefault="00A973CE" w:rsidP="00A973CE">
      <w:pPr>
        <w:spacing w:line="360" w:lineRule="auto"/>
        <w:jc w:val="both"/>
        <w:rPr>
          <w:rFonts w:ascii="Times New Roman" w:hAnsi="Times New Roman" w:cs="Times New Roman"/>
          <w:lang w:val="en-US"/>
        </w:rPr>
      </w:pPr>
      <w:r w:rsidRPr="00A973CE">
        <w:rPr>
          <w:rFonts w:ascii="Times New Roman" w:hAnsi="Times New Roman" w:cs="Times New Roman"/>
          <w:lang w:val="en-US"/>
        </w:rPr>
        <w:t xml:space="preserve">These graphs show the trend of the linear lines and their correlation coefficients, and the shape of the curves showing the percent inhibition of leaf and seed extracts with the solvent acetone as a function of concentration. </w:t>
      </w:r>
    </w:p>
    <w:p w14:paraId="5DB9B8E4" w14:textId="77777777" w:rsidR="00A973CE" w:rsidRDefault="00A973CE" w:rsidP="00A973CE">
      <w:pPr>
        <w:spacing w:line="360" w:lineRule="auto"/>
        <w:jc w:val="both"/>
        <w:rPr>
          <w:rFonts w:ascii="Times New Roman" w:hAnsi="Times New Roman" w:cs="Times New Roman"/>
          <w:lang w:val="en-US"/>
        </w:rPr>
      </w:pPr>
      <w:r w:rsidRPr="00A973CE">
        <w:rPr>
          <w:rFonts w:ascii="Times New Roman" w:hAnsi="Times New Roman" w:cs="Times New Roman"/>
          <w:b/>
          <w:bCs/>
          <w:lang w:val="en-US"/>
        </w:rPr>
        <w:t>Table 6:</w:t>
      </w:r>
      <w:r w:rsidRPr="00A973CE">
        <w:rPr>
          <w:rFonts w:ascii="Times New Roman" w:hAnsi="Times New Roman" w:cs="Times New Roman"/>
          <w:lang w:val="en-US"/>
        </w:rPr>
        <w:t xml:space="preserve"> </w:t>
      </w:r>
      <w:r w:rsidR="00C4289F">
        <w:rPr>
          <w:rFonts w:ascii="Times New Roman" w:hAnsi="Times New Roman" w:cs="Times New Roman"/>
          <w:lang w:val="en-US"/>
        </w:rPr>
        <w:t>a</w:t>
      </w:r>
      <w:r w:rsidRPr="00A973CE">
        <w:rPr>
          <w:rFonts w:ascii="Times New Roman" w:hAnsi="Times New Roman" w:cs="Times New Roman"/>
          <w:lang w:val="en-US"/>
        </w:rPr>
        <w:t>ntioxidant capacity of extracts</w:t>
      </w:r>
    </w:p>
    <w:tbl>
      <w:tblPr>
        <w:tblStyle w:val="TableGrid"/>
        <w:tblW w:w="0" w:type="auto"/>
        <w:jc w:val="center"/>
        <w:tblLook w:val="04A0" w:firstRow="1" w:lastRow="0" w:firstColumn="1" w:lastColumn="0" w:noHBand="0" w:noVBand="1"/>
      </w:tblPr>
      <w:tblGrid>
        <w:gridCol w:w="1475"/>
        <w:gridCol w:w="3689"/>
      </w:tblGrid>
      <w:tr w:rsidR="008D4A94" w:rsidRPr="006D1351" w14:paraId="6DFEA8D1" w14:textId="77777777" w:rsidTr="00B02975">
        <w:trPr>
          <w:jc w:val="center"/>
        </w:trPr>
        <w:tc>
          <w:tcPr>
            <w:tcW w:w="1475" w:type="dxa"/>
          </w:tcPr>
          <w:p w14:paraId="38F6F4DF"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Extra</w:t>
            </w:r>
            <w:r w:rsidR="006D1351" w:rsidRPr="006D1351">
              <w:rPr>
                <w:rFonts w:ascii="Times New Roman" w:hAnsi="Times New Roman" w:cs="Times New Roman"/>
                <w:color w:val="000000" w:themeColor="text1"/>
                <w:sz w:val="24"/>
                <w:lang w:val="en-US"/>
              </w:rPr>
              <w:t>c</w:t>
            </w:r>
            <w:r w:rsidRPr="006D1351">
              <w:rPr>
                <w:rFonts w:ascii="Times New Roman" w:hAnsi="Times New Roman" w:cs="Times New Roman"/>
                <w:color w:val="000000" w:themeColor="text1"/>
                <w:sz w:val="24"/>
                <w:lang w:val="en-US"/>
              </w:rPr>
              <w:t>ts</w:t>
            </w:r>
          </w:p>
        </w:tc>
        <w:tc>
          <w:tcPr>
            <w:tcW w:w="3689" w:type="dxa"/>
          </w:tcPr>
          <w:p w14:paraId="751CD405"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 xml:space="preserve"> </w:t>
            </w:r>
            <w:r w:rsidR="006D1351" w:rsidRPr="006D1351">
              <w:rPr>
                <w:rFonts w:ascii="Times New Roman" w:hAnsi="Times New Roman" w:cs="Times New Roman"/>
                <w:color w:val="000000" w:themeColor="text1"/>
                <w:sz w:val="24"/>
                <w:lang w:val="en-US"/>
              </w:rPr>
              <w:t xml:space="preserve">Antioxidant capacity </w:t>
            </w:r>
            <w:r w:rsidRPr="006D1351">
              <w:rPr>
                <w:rFonts w:ascii="Times New Roman" w:hAnsi="Times New Roman" w:cs="Times New Roman"/>
                <w:color w:val="000000" w:themeColor="text1"/>
                <w:sz w:val="24"/>
                <w:lang w:val="en-US"/>
              </w:rPr>
              <w:t>(mg/mL)</w:t>
            </w:r>
          </w:p>
        </w:tc>
      </w:tr>
      <w:tr w:rsidR="008D4A94" w:rsidRPr="006D1351" w14:paraId="24371DF7" w14:textId="77777777" w:rsidTr="00B02975">
        <w:trPr>
          <w:jc w:val="center"/>
        </w:trPr>
        <w:tc>
          <w:tcPr>
            <w:tcW w:w="1475" w:type="dxa"/>
          </w:tcPr>
          <w:p w14:paraId="5D9F546F"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FAC</w:t>
            </w:r>
          </w:p>
        </w:tc>
        <w:tc>
          <w:tcPr>
            <w:tcW w:w="3689" w:type="dxa"/>
          </w:tcPr>
          <w:p w14:paraId="4476FF90"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5.33709091±24.0522847</w:t>
            </w:r>
          </w:p>
        </w:tc>
      </w:tr>
      <w:tr w:rsidR="008D4A94" w:rsidRPr="006D1351" w14:paraId="3BC59C09" w14:textId="77777777" w:rsidTr="00B02975">
        <w:trPr>
          <w:jc w:val="center"/>
        </w:trPr>
        <w:tc>
          <w:tcPr>
            <w:tcW w:w="1475" w:type="dxa"/>
          </w:tcPr>
          <w:p w14:paraId="718560B9"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GAC</w:t>
            </w:r>
          </w:p>
        </w:tc>
        <w:tc>
          <w:tcPr>
            <w:tcW w:w="3689" w:type="dxa"/>
          </w:tcPr>
          <w:p w14:paraId="24DC8ACD"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7.046060606±41.98911049</w:t>
            </w:r>
          </w:p>
        </w:tc>
      </w:tr>
      <w:tr w:rsidR="008D4A94" w:rsidRPr="006D1351" w14:paraId="2742BF78" w14:textId="77777777" w:rsidTr="00B02975">
        <w:trPr>
          <w:jc w:val="center"/>
        </w:trPr>
        <w:tc>
          <w:tcPr>
            <w:tcW w:w="1475" w:type="dxa"/>
          </w:tcPr>
          <w:p w14:paraId="26FFDCA3"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FET</w:t>
            </w:r>
          </w:p>
        </w:tc>
        <w:tc>
          <w:tcPr>
            <w:tcW w:w="3689" w:type="dxa"/>
          </w:tcPr>
          <w:p w14:paraId="40C02B1D"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4.29181818±27.2727273</w:t>
            </w:r>
          </w:p>
        </w:tc>
      </w:tr>
      <w:tr w:rsidR="008D4A94" w:rsidRPr="006D1351" w14:paraId="4BEF7203" w14:textId="77777777" w:rsidTr="00B02975">
        <w:trPr>
          <w:jc w:val="center"/>
        </w:trPr>
        <w:tc>
          <w:tcPr>
            <w:tcW w:w="1475" w:type="dxa"/>
          </w:tcPr>
          <w:p w14:paraId="46B82075"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GET</w:t>
            </w:r>
          </w:p>
        </w:tc>
        <w:tc>
          <w:tcPr>
            <w:tcW w:w="3689" w:type="dxa"/>
          </w:tcPr>
          <w:p w14:paraId="20C1F562"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1.600363636±27.4539434</w:t>
            </w:r>
          </w:p>
        </w:tc>
      </w:tr>
      <w:tr w:rsidR="008D4A94" w:rsidRPr="006D1351" w14:paraId="29F815B5" w14:textId="77777777" w:rsidTr="00B02975">
        <w:trPr>
          <w:jc w:val="center"/>
        </w:trPr>
        <w:tc>
          <w:tcPr>
            <w:tcW w:w="1475" w:type="dxa"/>
          </w:tcPr>
          <w:p w14:paraId="3BF5CCE2"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FHE</w:t>
            </w:r>
          </w:p>
        </w:tc>
        <w:tc>
          <w:tcPr>
            <w:tcW w:w="3689" w:type="dxa"/>
          </w:tcPr>
          <w:p w14:paraId="5FC1D43D"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0.01231212121±3.441762634</w:t>
            </w:r>
          </w:p>
        </w:tc>
      </w:tr>
      <w:tr w:rsidR="008D4A94" w:rsidRPr="006D1351" w14:paraId="72FBAAED" w14:textId="77777777" w:rsidTr="00B02975">
        <w:trPr>
          <w:jc w:val="center"/>
        </w:trPr>
        <w:tc>
          <w:tcPr>
            <w:tcW w:w="1475" w:type="dxa"/>
          </w:tcPr>
          <w:p w14:paraId="2D6589A9"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GHE</w:t>
            </w:r>
          </w:p>
        </w:tc>
        <w:tc>
          <w:tcPr>
            <w:tcW w:w="3689" w:type="dxa"/>
          </w:tcPr>
          <w:p w14:paraId="2B5EE81F"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0.01167575758±2.777318603</w:t>
            </w:r>
          </w:p>
        </w:tc>
      </w:tr>
    </w:tbl>
    <w:p w14:paraId="23E09D72" w14:textId="77777777" w:rsidR="00B53C3C" w:rsidRDefault="00B53C3C" w:rsidP="008D4A94">
      <w:pPr>
        <w:spacing w:line="360" w:lineRule="auto"/>
        <w:jc w:val="both"/>
        <w:rPr>
          <w:rFonts w:ascii="Times New Roman" w:hAnsi="Times New Roman" w:cs="Times New Roman"/>
          <w:b/>
          <w:bCs/>
          <w:color w:val="FF0000"/>
          <w:lang w:val="fr-FR"/>
        </w:rPr>
      </w:pPr>
    </w:p>
    <w:p w14:paraId="167C8B8D" w14:textId="29E07B22" w:rsidR="008D4A94" w:rsidRP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This table shows the significant antioxidant activity of the different extracts, except for those obtained with hexane, which are very low.</w:t>
      </w:r>
    </w:p>
    <w:p w14:paraId="4302629C" w14:textId="77777777" w:rsidR="008D4A94" w:rsidRP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The IC50s of our various extracts are shown in Table 7.</w:t>
      </w:r>
    </w:p>
    <w:p w14:paraId="4D8DD1F6" w14:textId="77777777" w:rsid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b/>
          <w:bCs/>
          <w:lang w:val="en-US"/>
        </w:rPr>
        <w:t>Table 7:</w:t>
      </w:r>
      <w:r w:rsidRPr="008D4A94">
        <w:rPr>
          <w:rFonts w:ascii="Times New Roman" w:hAnsi="Times New Roman" w:cs="Times New Roman"/>
          <w:lang w:val="en-US"/>
        </w:rPr>
        <w:t xml:space="preserve"> IC50 of extracts (mg/mL)</w:t>
      </w:r>
    </w:p>
    <w:tbl>
      <w:tblPr>
        <w:tblStyle w:val="Grilledutableau3"/>
        <w:tblW w:w="0" w:type="auto"/>
        <w:jc w:val="center"/>
        <w:tblLook w:val="04A0" w:firstRow="1" w:lastRow="0" w:firstColumn="1" w:lastColumn="0" w:noHBand="0" w:noVBand="1"/>
      </w:tblPr>
      <w:tblGrid>
        <w:gridCol w:w="1555"/>
        <w:gridCol w:w="1701"/>
      </w:tblGrid>
      <w:tr w:rsidR="008D4A94" w14:paraId="03CF1345" w14:textId="77777777" w:rsidTr="00B02975">
        <w:trPr>
          <w:jc w:val="center"/>
        </w:trPr>
        <w:tc>
          <w:tcPr>
            <w:tcW w:w="1555" w:type="dxa"/>
            <w:tcBorders>
              <w:top w:val="single" w:sz="4" w:space="0" w:color="auto"/>
              <w:left w:val="single" w:sz="4" w:space="0" w:color="auto"/>
              <w:bottom w:val="single" w:sz="4" w:space="0" w:color="auto"/>
              <w:right w:val="single" w:sz="4" w:space="0" w:color="auto"/>
            </w:tcBorders>
          </w:tcPr>
          <w:p w14:paraId="54BCBBA8" w14:textId="77777777" w:rsidR="008D4A94" w:rsidRDefault="008D4A94" w:rsidP="00B02975">
            <w:pPr>
              <w:spacing w:line="360" w:lineRule="auto"/>
              <w:jc w:val="both"/>
              <w:rPr>
                <w:rFonts w:ascii="Times New Roman" w:hAnsi="Times New Roman" w:cs="Times New Roman"/>
                <w:sz w:val="24"/>
              </w:rPr>
            </w:pPr>
            <w:r>
              <w:rPr>
                <w:rFonts w:ascii="Times New Roman" w:hAnsi="Times New Roman" w:cs="Times New Roman"/>
                <w:sz w:val="24"/>
              </w:rPr>
              <w:t>CI50 FET</w:t>
            </w:r>
          </w:p>
        </w:tc>
        <w:tc>
          <w:tcPr>
            <w:tcW w:w="1701" w:type="dxa"/>
            <w:tcBorders>
              <w:top w:val="single" w:sz="4" w:space="0" w:color="auto"/>
              <w:left w:val="single" w:sz="4" w:space="0" w:color="auto"/>
              <w:bottom w:val="single" w:sz="4" w:space="0" w:color="auto"/>
              <w:right w:val="single" w:sz="4" w:space="0" w:color="auto"/>
            </w:tcBorders>
          </w:tcPr>
          <w:p w14:paraId="67780E72" w14:textId="77777777" w:rsidR="008D4A94" w:rsidRPr="00C418B3" w:rsidRDefault="008D4A94" w:rsidP="00B02975">
            <w:pPr>
              <w:spacing w:line="360" w:lineRule="auto"/>
              <w:jc w:val="both"/>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0,189</w:t>
            </w:r>
          </w:p>
        </w:tc>
      </w:tr>
      <w:tr w:rsidR="008D4A94" w14:paraId="6EA4B3C9" w14:textId="77777777" w:rsidTr="00B02975">
        <w:trPr>
          <w:jc w:val="center"/>
        </w:trPr>
        <w:tc>
          <w:tcPr>
            <w:tcW w:w="1555" w:type="dxa"/>
            <w:tcBorders>
              <w:top w:val="single" w:sz="4" w:space="0" w:color="auto"/>
              <w:left w:val="single" w:sz="4" w:space="0" w:color="auto"/>
              <w:bottom w:val="single" w:sz="4" w:space="0" w:color="auto"/>
              <w:right w:val="single" w:sz="4" w:space="0" w:color="auto"/>
            </w:tcBorders>
          </w:tcPr>
          <w:p w14:paraId="3A22E81A" w14:textId="77777777" w:rsidR="008D4A94" w:rsidRDefault="008D4A94" w:rsidP="00B02975">
            <w:pPr>
              <w:spacing w:line="360" w:lineRule="auto"/>
              <w:jc w:val="both"/>
              <w:rPr>
                <w:rFonts w:ascii="Times New Roman" w:hAnsi="Times New Roman" w:cs="Times New Roman"/>
                <w:sz w:val="24"/>
              </w:rPr>
            </w:pPr>
            <w:r>
              <w:rPr>
                <w:rFonts w:ascii="Times New Roman" w:hAnsi="Times New Roman" w:cs="Times New Roman"/>
                <w:sz w:val="24"/>
              </w:rPr>
              <w:t>CI50 GET</w:t>
            </w:r>
          </w:p>
        </w:tc>
        <w:tc>
          <w:tcPr>
            <w:tcW w:w="1701" w:type="dxa"/>
            <w:tcBorders>
              <w:top w:val="single" w:sz="4" w:space="0" w:color="auto"/>
              <w:left w:val="single" w:sz="4" w:space="0" w:color="auto"/>
              <w:bottom w:val="single" w:sz="4" w:space="0" w:color="auto"/>
              <w:right w:val="single" w:sz="4" w:space="0" w:color="auto"/>
            </w:tcBorders>
          </w:tcPr>
          <w:p w14:paraId="682F0376" w14:textId="77777777" w:rsidR="008D4A94" w:rsidRPr="00C418B3" w:rsidRDefault="008D4A94" w:rsidP="00B02975">
            <w:pPr>
              <w:spacing w:line="360" w:lineRule="auto"/>
              <w:jc w:val="both"/>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0,050</w:t>
            </w:r>
          </w:p>
        </w:tc>
      </w:tr>
      <w:tr w:rsidR="008D4A94" w14:paraId="2E427838" w14:textId="77777777" w:rsidTr="00B02975">
        <w:trPr>
          <w:jc w:val="center"/>
        </w:trPr>
        <w:tc>
          <w:tcPr>
            <w:tcW w:w="1555" w:type="dxa"/>
            <w:tcBorders>
              <w:top w:val="single" w:sz="4" w:space="0" w:color="auto"/>
              <w:left w:val="single" w:sz="4" w:space="0" w:color="auto"/>
              <w:bottom w:val="single" w:sz="4" w:space="0" w:color="auto"/>
              <w:right w:val="single" w:sz="4" w:space="0" w:color="auto"/>
            </w:tcBorders>
          </w:tcPr>
          <w:p w14:paraId="3F9211C4" w14:textId="77777777" w:rsidR="008D4A94" w:rsidRDefault="008D4A94" w:rsidP="00B02975">
            <w:pPr>
              <w:spacing w:line="360" w:lineRule="auto"/>
              <w:jc w:val="both"/>
              <w:rPr>
                <w:rFonts w:ascii="Times New Roman" w:hAnsi="Times New Roman" w:cs="Times New Roman"/>
                <w:sz w:val="24"/>
              </w:rPr>
            </w:pPr>
            <w:r>
              <w:rPr>
                <w:rFonts w:ascii="Times New Roman" w:hAnsi="Times New Roman" w:cs="Times New Roman"/>
                <w:sz w:val="24"/>
              </w:rPr>
              <w:t>CI50 FAC</w:t>
            </w:r>
          </w:p>
        </w:tc>
        <w:tc>
          <w:tcPr>
            <w:tcW w:w="1701" w:type="dxa"/>
            <w:tcBorders>
              <w:top w:val="single" w:sz="4" w:space="0" w:color="auto"/>
              <w:left w:val="single" w:sz="4" w:space="0" w:color="auto"/>
              <w:bottom w:val="single" w:sz="4" w:space="0" w:color="auto"/>
              <w:right w:val="single" w:sz="4" w:space="0" w:color="auto"/>
            </w:tcBorders>
          </w:tcPr>
          <w:p w14:paraId="61C06DD5" w14:textId="77777777" w:rsidR="008D4A94" w:rsidRPr="00C418B3" w:rsidRDefault="008D4A94" w:rsidP="00B02975">
            <w:pPr>
              <w:spacing w:line="360" w:lineRule="auto"/>
              <w:jc w:val="both"/>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0,143</w:t>
            </w:r>
          </w:p>
        </w:tc>
      </w:tr>
      <w:tr w:rsidR="008D4A94" w14:paraId="57AD890D" w14:textId="77777777" w:rsidTr="00B02975">
        <w:trPr>
          <w:jc w:val="center"/>
        </w:trPr>
        <w:tc>
          <w:tcPr>
            <w:tcW w:w="1555" w:type="dxa"/>
            <w:tcBorders>
              <w:top w:val="single" w:sz="4" w:space="0" w:color="auto"/>
              <w:left w:val="single" w:sz="4" w:space="0" w:color="auto"/>
              <w:bottom w:val="single" w:sz="4" w:space="0" w:color="auto"/>
              <w:right w:val="single" w:sz="4" w:space="0" w:color="auto"/>
            </w:tcBorders>
          </w:tcPr>
          <w:p w14:paraId="470ACF24" w14:textId="77777777" w:rsidR="008D4A94" w:rsidRDefault="008D4A94" w:rsidP="00B02975">
            <w:pPr>
              <w:spacing w:line="360" w:lineRule="auto"/>
              <w:jc w:val="both"/>
              <w:rPr>
                <w:rFonts w:ascii="Times New Roman" w:hAnsi="Times New Roman" w:cs="Times New Roman"/>
                <w:sz w:val="24"/>
              </w:rPr>
            </w:pPr>
            <w:r>
              <w:rPr>
                <w:rFonts w:ascii="Times New Roman" w:hAnsi="Times New Roman" w:cs="Times New Roman"/>
                <w:sz w:val="24"/>
              </w:rPr>
              <w:t>CI50 GAC</w:t>
            </w:r>
          </w:p>
        </w:tc>
        <w:tc>
          <w:tcPr>
            <w:tcW w:w="1701" w:type="dxa"/>
            <w:tcBorders>
              <w:top w:val="single" w:sz="4" w:space="0" w:color="auto"/>
              <w:left w:val="single" w:sz="4" w:space="0" w:color="auto"/>
              <w:bottom w:val="single" w:sz="4" w:space="0" w:color="auto"/>
              <w:right w:val="single" w:sz="4" w:space="0" w:color="auto"/>
            </w:tcBorders>
          </w:tcPr>
          <w:p w14:paraId="04B966E8" w14:textId="77777777" w:rsidR="008D4A94" w:rsidRPr="00C418B3" w:rsidRDefault="008D4A94" w:rsidP="00B02975">
            <w:pPr>
              <w:spacing w:line="360" w:lineRule="auto"/>
              <w:jc w:val="both"/>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0,104</w:t>
            </w:r>
          </w:p>
        </w:tc>
      </w:tr>
    </w:tbl>
    <w:p w14:paraId="376FAF75" w14:textId="77777777" w:rsidR="008D4A94" w:rsidRDefault="008D4A94" w:rsidP="008D4A94">
      <w:pPr>
        <w:spacing w:line="360" w:lineRule="auto"/>
        <w:jc w:val="both"/>
        <w:rPr>
          <w:rFonts w:ascii="Times New Roman" w:hAnsi="Times New Roman" w:cs="Times New Roman"/>
          <w:lang w:val="en-US"/>
        </w:rPr>
      </w:pPr>
    </w:p>
    <w:p w14:paraId="52AAFF62" w14:textId="77777777" w:rsidR="008D4A94" w:rsidRDefault="008D4A94" w:rsidP="008D4A94">
      <w:pPr>
        <w:spacing w:line="360" w:lineRule="auto"/>
        <w:jc w:val="center"/>
        <w:rPr>
          <w:rFonts w:ascii="Times New Roman" w:hAnsi="Times New Roman" w:cs="Times New Roman"/>
          <w:lang w:val="en-US"/>
        </w:rPr>
      </w:pPr>
      <w:r>
        <w:rPr>
          <w:noProof/>
          <w:lang w:val="fr-FR" w:eastAsia="fr-FR"/>
        </w:rPr>
        <w:drawing>
          <wp:inline distT="0" distB="0" distL="0" distR="0" wp14:anchorId="671A8EE3" wp14:editId="00E87CB3">
            <wp:extent cx="4224020" cy="2089150"/>
            <wp:effectExtent l="0" t="0" r="5080" b="635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B49450" w14:textId="77777777" w:rsidR="006D1351" w:rsidRPr="006D1351" w:rsidRDefault="006D1351" w:rsidP="008D4A94">
      <w:pPr>
        <w:spacing w:line="360" w:lineRule="auto"/>
        <w:jc w:val="both"/>
        <w:rPr>
          <w:rFonts w:ascii="Times New Roman" w:hAnsi="Times New Roman" w:cs="Times New Roman"/>
          <w:b/>
          <w:bCs/>
          <w:color w:val="FF0000"/>
        </w:rPr>
      </w:pPr>
    </w:p>
    <w:p w14:paraId="14AAC17E" w14:textId="77777777" w:rsidR="008D4A94" w:rsidRP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b/>
          <w:bCs/>
          <w:lang w:val="en-US"/>
        </w:rPr>
        <w:t>Figure 3:</w:t>
      </w:r>
      <w:r w:rsidRPr="008D4A94">
        <w:rPr>
          <w:rFonts w:ascii="Times New Roman" w:hAnsi="Times New Roman" w:cs="Times New Roman"/>
          <w:lang w:val="en-US"/>
        </w:rPr>
        <w:t xml:space="preserve"> IC50s for leaf and seed extracts</w:t>
      </w:r>
    </w:p>
    <w:p w14:paraId="75CDBF22" w14:textId="1A89CD33" w:rsid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Our results reinforce the research work carried</w:t>
      </w:r>
      <w:r w:rsidR="007E4AA1">
        <w:rPr>
          <w:rFonts w:ascii="Times New Roman" w:hAnsi="Times New Roman" w:cs="Times New Roman"/>
          <w:lang w:val="en-US"/>
        </w:rPr>
        <w:t xml:space="preserve"> out by </w:t>
      </w:r>
      <w:proofErr w:type="spellStart"/>
      <w:r w:rsidR="007E4AA1">
        <w:rPr>
          <w:rFonts w:ascii="Times New Roman" w:hAnsi="Times New Roman" w:cs="Times New Roman"/>
          <w:lang w:val="en-US"/>
        </w:rPr>
        <w:t>Sousi</w:t>
      </w:r>
      <w:proofErr w:type="spellEnd"/>
      <w:r w:rsidR="007E4AA1">
        <w:rPr>
          <w:rFonts w:ascii="Times New Roman" w:hAnsi="Times New Roman" w:cs="Times New Roman"/>
          <w:lang w:val="en-US"/>
        </w:rPr>
        <w:t xml:space="preserve"> </w:t>
      </w:r>
      <w:proofErr w:type="spellStart"/>
      <w:r w:rsidR="007E4AA1">
        <w:rPr>
          <w:rFonts w:ascii="Times New Roman" w:hAnsi="Times New Roman" w:cs="Times New Roman"/>
          <w:lang w:val="en-US"/>
        </w:rPr>
        <w:t>Chahinez</w:t>
      </w:r>
      <w:proofErr w:type="spellEnd"/>
      <w:r w:rsidR="007E4AA1">
        <w:rPr>
          <w:rFonts w:ascii="Times New Roman" w:hAnsi="Times New Roman" w:cs="Times New Roman"/>
          <w:lang w:val="en-US"/>
        </w:rPr>
        <w:t xml:space="preserve"> et al [33</w:t>
      </w:r>
      <w:r w:rsidRPr="008D4A94">
        <w:rPr>
          <w:rFonts w:ascii="Times New Roman" w:hAnsi="Times New Roman" w:cs="Times New Roman"/>
          <w:lang w:val="en-US"/>
        </w:rPr>
        <w:t xml:space="preserve">]. They used 5 solvents of different polarities to study the free radical scavenging activity of </w:t>
      </w:r>
      <w:proofErr w:type="spellStart"/>
      <w:r w:rsidR="00F00FFE">
        <w:rPr>
          <w:rFonts w:ascii="Times New Roman" w:hAnsi="Times New Roman" w:cs="Times New Roman"/>
          <w:i/>
          <w:iCs/>
          <w:lang w:val="en-US"/>
        </w:rPr>
        <w:t>L</w:t>
      </w:r>
      <w:r w:rsidRPr="00A52EAC">
        <w:rPr>
          <w:rFonts w:ascii="Times New Roman" w:hAnsi="Times New Roman" w:cs="Times New Roman"/>
          <w:i/>
          <w:iCs/>
          <w:lang w:val="en-US"/>
        </w:rPr>
        <w:t>awsonia</w:t>
      </w:r>
      <w:proofErr w:type="spellEnd"/>
      <w:r w:rsidRPr="00A52EAC">
        <w:rPr>
          <w:rFonts w:ascii="Times New Roman" w:hAnsi="Times New Roman" w:cs="Times New Roman"/>
          <w:i/>
          <w:iCs/>
          <w:lang w:val="en-US"/>
        </w:rPr>
        <w:t xml:space="preserve"> </w:t>
      </w:r>
      <w:proofErr w:type="spellStart"/>
      <w:r w:rsidRPr="00A52EAC">
        <w:rPr>
          <w:rFonts w:ascii="Times New Roman" w:hAnsi="Times New Roman" w:cs="Times New Roman"/>
          <w:i/>
          <w:iCs/>
          <w:lang w:val="en-US"/>
        </w:rPr>
        <w:t>inermis</w:t>
      </w:r>
      <w:proofErr w:type="spellEnd"/>
      <w:r w:rsidRPr="008D4A94">
        <w:rPr>
          <w:rFonts w:ascii="Times New Roman" w:hAnsi="Times New Roman" w:cs="Times New Roman"/>
          <w:lang w:val="en-US"/>
        </w:rPr>
        <w:t xml:space="preserve"> leaf extract: water, methanol/water, dichloromethane, ethyl acetate and finally 1-butanol. Added to our 3 solvents, this makes a total of 8 different solvents. Comparing the IC50s of our extracts with those of their research work, we can see that the concentrations of our leaf extracts are better at inhibiting the DPPH radical at 50% than their extracts, except for that produced by ethyl acetate, which has a very high capacity to inhibit the radical at 50%, with an IC50 value of 8.610-6. Added to this is the study c</w:t>
      </w:r>
      <w:r w:rsidR="007E4AA1">
        <w:rPr>
          <w:rFonts w:ascii="Times New Roman" w:hAnsi="Times New Roman" w:cs="Times New Roman"/>
          <w:lang w:val="en-US"/>
        </w:rPr>
        <w:t>arried out by H. ENNEB et al [34</w:t>
      </w:r>
      <w:r w:rsidRPr="008D4A94">
        <w:rPr>
          <w:rFonts w:ascii="Times New Roman" w:hAnsi="Times New Roman" w:cs="Times New Roman"/>
          <w:lang w:val="en-US"/>
        </w:rPr>
        <w:t xml:space="preserve">], which gives us a global overview of antioxidant content in all parts of </w:t>
      </w:r>
      <w:proofErr w:type="spellStart"/>
      <w:r w:rsidR="00F00FFE">
        <w:rPr>
          <w:rFonts w:ascii="Times New Roman" w:hAnsi="Times New Roman" w:cs="Times New Roman"/>
          <w:i/>
          <w:iCs/>
          <w:lang w:val="en-US"/>
        </w:rPr>
        <w:t>L</w:t>
      </w:r>
      <w:r w:rsidRPr="00A52EAC">
        <w:rPr>
          <w:rFonts w:ascii="Times New Roman" w:hAnsi="Times New Roman" w:cs="Times New Roman"/>
          <w:i/>
          <w:iCs/>
          <w:lang w:val="en-US"/>
        </w:rPr>
        <w:t>awsonia</w:t>
      </w:r>
      <w:proofErr w:type="spellEnd"/>
      <w:r w:rsidRPr="00A52EAC">
        <w:rPr>
          <w:rFonts w:ascii="Times New Roman" w:hAnsi="Times New Roman" w:cs="Times New Roman"/>
          <w:i/>
          <w:iCs/>
          <w:lang w:val="en-US"/>
        </w:rPr>
        <w:t xml:space="preserve"> </w:t>
      </w:r>
      <w:proofErr w:type="spellStart"/>
      <w:r w:rsidRPr="00A52EAC">
        <w:rPr>
          <w:rFonts w:ascii="Times New Roman" w:hAnsi="Times New Roman" w:cs="Times New Roman"/>
          <w:i/>
          <w:iCs/>
          <w:lang w:val="en-US"/>
        </w:rPr>
        <w:t>inermis</w:t>
      </w:r>
      <w:proofErr w:type="spellEnd"/>
      <w:r w:rsidRPr="008D4A94">
        <w:rPr>
          <w:rFonts w:ascii="Times New Roman" w:hAnsi="Times New Roman" w:cs="Times New Roman"/>
          <w:lang w:val="en-US"/>
        </w:rPr>
        <w:t xml:space="preserve">. In fact, their research focused on leaves, stems and roots, and the study of our seeds covers all parts of </w:t>
      </w:r>
      <w:proofErr w:type="spellStart"/>
      <w:r w:rsidR="00350AF2">
        <w:rPr>
          <w:rFonts w:ascii="Times New Roman" w:hAnsi="Times New Roman" w:cs="Times New Roman"/>
          <w:i/>
          <w:iCs/>
          <w:lang w:val="en-US"/>
        </w:rPr>
        <w:t>L</w:t>
      </w:r>
      <w:r w:rsidRPr="00A52EAC">
        <w:rPr>
          <w:rFonts w:ascii="Times New Roman" w:hAnsi="Times New Roman" w:cs="Times New Roman"/>
          <w:i/>
          <w:iCs/>
          <w:lang w:val="en-US"/>
        </w:rPr>
        <w:t>awsonia</w:t>
      </w:r>
      <w:proofErr w:type="spellEnd"/>
      <w:r w:rsidRPr="00A52EAC">
        <w:rPr>
          <w:rFonts w:ascii="Times New Roman" w:hAnsi="Times New Roman" w:cs="Times New Roman"/>
          <w:i/>
          <w:iCs/>
          <w:lang w:val="en-US"/>
        </w:rPr>
        <w:t xml:space="preserve"> </w:t>
      </w:r>
      <w:proofErr w:type="spellStart"/>
      <w:r w:rsidRPr="00A52EAC">
        <w:rPr>
          <w:rFonts w:ascii="Times New Roman" w:hAnsi="Times New Roman" w:cs="Times New Roman"/>
          <w:i/>
          <w:iCs/>
          <w:lang w:val="en-US"/>
        </w:rPr>
        <w:t>inermis</w:t>
      </w:r>
      <w:proofErr w:type="spellEnd"/>
      <w:r w:rsidRPr="008D4A94">
        <w:rPr>
          <w:rFonts w:ascii="Times New Roman" w:hAnsi="Times New Roman" w:cs="Times New Roman"/>
          <w:lang w:val="en-US"/>
        </w:rPr>
        <w:t xml:space="preserve">. The result: the </w:t>
      </w:r>
      <w:proofErr w:type="spellStart"/>
      <w:r w:rsidRPr="008D4A94">
        <w:rPr>
          <w:rFonts w:ascii="Times New Roman" w:hAnsi="Times New Roman" w:cs="Times New Roman"/>
          <w:lang w:val="en-US"/>
        </w:rPr>
        <w:t>methanoic</w:t>
      </w:r>
      <w:proofErr w:type="spellEnd"/>
      <w:r w:rsidRPr="008D4A94">
        <w:rPr>
          <w:rFonts w:ascii="Times New Roman" w:hAnsi="Times New Roman" w:cs="Times New Roman"/>
          <w:lang w:val="en-US"/>
        </w:rPr>
        <w:t xml:space="preserve"> extract of the leaves has a greater inhibitory capacity for the DPPH radical, with an IC50 of 25.73 µg/mL, which is twice as high as the activity of our seed extract with ethanol, the latter showing the best activity in our tests. From these analyses, we can draw the conclusion that, taking the whole plant, we could not assert that one part of the plant presents the best activity </w:t>
      </w:r>
      <w:r w:rsidR="003A014E">
        <w:rPr>
          <w:rFonts w:ascii="Times New Roman" w:hAnsi="Times New Roman" w:cs="Times New Roman"/>
          <w:lang w:val="en-US"/>
        </w:rPr>
        <w:t>towards</w:t>
      </w:r>
      <w:r w:rsidRPr="008D4A94">
        <w:rPr>
          <w:rFonts w:ascii="Times New Roman" w:hAnsi="Times New Roman" w:cs="Times New Roman"/>
          <w:lang w:val="en-US"/>
        </w:rPr>
        <w:t xml:space="preserve"> the other. Rather, this parameter could</w:t>
      </w:r>
      <w:r w:rsidR="007E4AA1">
        <w:rPr>
          <w:rFonts w:ascii="Times New Roman" w:hAnsi="Times New Roman" w:cs="Times New Roman"/>
          <w:lang w:val="en-US"/>
        </w:rPr>
        <w:t xml:space="preserve"> be linked to other factors. [35-36</w:t>
      </w:r>
      <w:r w:rsidRPr="008D4A94">
        <w:rPr>
          <w:rFonts w:ascii="Times New Roman" w:hAnsi="Times New Roman" w:cs="Times New Roman"/>
          <w:lang w:val="en-US"/>
        </w:rPr>
        <w:t>].  Such as environmental factors (climate, soil, season...), harvesting area, solvents or extraction.</w:t>
      </w:r>
    </w:p>
    <w:p w14:paraId="712A7CAD" w14:textId="1E3AA397" w:rsid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 xml:space="preserve">To sum up, our research on the antioxidant activity of </w:t>
      </w:r>
      <w:proofErr w:type="spellStart"/>
      <w:r w:rsidR="00350AF2">
        <w:rPr>
          <w:rFonts w:ascii="Times New Roman" w:hAnsi="Times New Roman" w:cs="Times New Roman"/>
          <w:i/>
          <w:iCs/>
          <w:lang w:val="en-US"/>
        </w:rPr>
        <w:t>L</w:t>
      </w:r>
      <w:r w:rsidRPr="00A52EAC">
        <w:rPr>
          <w:rFonts w:ascii="Times New Roman" w:hAnsi="Times New Roman" w:cs="Times New Roman"/>
          <w:i/>
          <w:iCs/>
          <w:lang w:val="en-US"/>
        </w:rPr>
        <w:t>awsonia</w:t>
      </w:r>
      <w:proofErr w:type="spellEnd"/>
      <w:r w:rsidRPr="00A52EAC">
        <w:rPr>
          <w:rFonts w:ascii="Times New Roman" w:hAnsi="Times New Roman" w:cs="Times New Roman"/>
          <w:i/>
          <w:iCs/>
          <w:lang w:val="en-US"/>
        </w:rPr>
        <w:t xml:space="preserve"> </w:t>
      </w:r>
      <w:proofErr w:type="spellStart"/>
      <w:r w:rsidRPr="00A52EAC">
        <w:rPr>
          <w:rFonts w:ascii="Times New Roman" w:hAnsi="Times New Roman" w:cs="Times New Roman"/>
          <w:i/>
          <w:iCs/>
          <w:lang w:val="en-US"/>
        </w:rPr>
        <w:t>inermis</w:t>
      </w:r>
      <w:proofErr w:type="spellEnd"/>
      <w:r w:rsidRPr="008D4A94">
        <w:rPr>
          <w:rFonts w:ascii="Times New Roman" w:hAnsi="Times New Roman" w:cs="Times New Roman"/>
          <w:lang w:val="en-US"/>
        </w:rPr>
        <w:t xml:space="preserve"> seeds and leaves. We can say that the antioxidant capacities recorded in Table 7 gave an insight into the antioxidant activity (the capacity to inhibit the DPPH radical) of our extracts. This is because they enabled us to carry out the anti-radical tests on the extracts with the highest antioxidant capacity, i.e. extracts with acetone and ethanol solvents. Moreover, with the IC50s, we could affirm that the </w:t>
      </w:r>
      <w:r w:rsidRPr="008D4A94">
        <w:rPr>
          <w:rFonts w:ascii="Times New Roman" w:hAnsi="Times New Roman" w:cs="Times New Roman"/>
          <w:lang w:val="en-US"/>
        </w:rPr>
        <w:lastRenderedPageBreak/>
        <w:t>seed extracts provided the best activities for each solvent (ethanol and acetone). Compared with the other extracts, the ethanoic seed extract provided the best activity. Between the leaves, the acetone extract gave the best antioxidant activity. These could be justified by the fact that plants are made up of secondary metabolites, and these include a class of molecules with the power to trap free radicals, but also a class with very important antioxidant characteristics. This is the case of phenolic compounds (fl</w:t>
      </w:r>
      <w:r w:rsidR="007E4AA1">
        <w:rPr>
          <w:rFonts w:ascii="Times New Roman" w:hAnsi="Times New Roman" w:cs="Times New Roman"/>
          <w:lang w:val="en-US"/>
        </w:rPr>
        <w:t>avonoids and phenolic acids) [37</w:t>
      </w:r>
      <w:r w:rsidRPr="008D4A94">
        <w:rPr>
          <w:rFonts w:ascii="Times New Roman" w:hAnsi="Times New Roman" w:cs="Times New Roman"/>
          <w:lang w:val="en-US"/>
        </w:rPr>
        <w:t xml:space="preserve">]. Concentrations of redox-active antioxidants such as carotenoids, tocopherols, </w:t>
      </w:r>
      <w:r w:rsidR="00A52EAC" w:rsidRPr="008D4A94">
        <w:rPr>
          <w:rFonts w:ascii="Times New Roman" w:hAnsi="Times New Roman" w:cs="Times New Roman"/>
          <w:lang w:val="en-US"/>
        </w:rPr>
        <w:t>glutathione</w:t>
      </w:r>
      <w:r w:rsidRPr="008D4A94">
        <w:rPr>
          <w:rFonts w:ascii="Times New Roman" w:hAnsi="Times New Roman" w:cs="Times New Roman"/>
          <w:lang w:val="en-US"/>
        </w:rPr>
        <w:t>, a</w:t>
      </w:r>
      <w:r w:rsidR="007E4AA1">
        <w:rPr>
          <w:rFonts w:ascii="Times New Roman" w:hAnsi="Times New Roman" w:cs="Times New Roman"/>
          <w:lang w:val="en-US"/>
        </w:rPr>
        <w:t>scorbic acid and polyphenols [38</w:t>
      </w:r>
      <w:r w:rsidRPr="008D4A94">
        <w:rPr>
          <w:rFonts w:ascii="Times New Roman" w:hAnsi="Times New Roman" w:cs="Times New Roman"/>
          <w:lang w:val="en-US"/>
        </w:rPr>
        <w:t xml:space="preserve">]. Consequently, our results </w:t>
      </w:r>
      <w:proofErr w:type="gramStart"/>
      <w:r w:rsidRPr="008D4A94">
        <w:rPr>
          <w:rFonts w:ascii="Times New Roman" w:hAnsi="Times New Roman" w:cs="Times New Roman"/>
          <w:lang w:val="en-US"/>
        </w:rPr>
        <w:t>are in agreement</w:t>
      </w:r>
      <w:proofErr w:type="gramEnd"/>
      <w:r w:rsidRPr="008D4A94">
        <w:rPr>
          <w:rFonts w:ascii="Times New Roman" w:hAnsi="Times New Roman" w:cs="Times New Roman"/>
          <w:lang w:val="en-US"/>
        </w:rPr>
        <w:t xml:space="preserve"> with the phytochemical tests we carried out with the leaves and seeds of </w:t>
      </w:r>
      <w:proofErr w:type="spellStart"/>
      <w:r w:rsidR="00350AF2">
        <w:rPr>
          <w:rFonts w:ascii="Times New Roman" w:hAnsi="Times New Roman" w:cs="Times New Roman"/>
          <w:i/>
          <w:iCs/>
          <w:lang w:val="en-US"/>
        </w:rPr>
        <w:t>L</w:t>
      </w:r>
      <w:r w:rsidRPr="008D4A94">
        <w:rPr>
          <w:rFonts w:ascii="Times New Roman" w:hAnsi="Times New Roman" w:cs="Times New Roman"/>
          <w:i/>
          <w:iCs/>
          <w:lang w:val="en-US"/>
        </w:rPr>
        <w:t>awsonia</w:t>
      </w:r>
      <w:proofErr w:type="spellEnd"/>
      <w:r w:rsidRPr="008D4A94">
        <w:rPr>
          <w:rFonts w:ascii="Times New Roman" w:hAnsi="Times New Roman" w:cs="Times New Roman"/>
          <w:i/>
          <w:iCs/>
          <w:lang w:val="en-US"/>
        </w:rPr>
        <w:t xml:space="preserve"> </w:t>
      </w:r>
      <w:proofErr w:type="spellStart"/>
      <w:r w:rsidRPr="008D4A94">
        <w:rPr>
          <w:rFonts w:ascii="Times New Roman" w:hAnsi="Times New Roman" w:cs="Times New Roman"/>
          <w:i/>
          <w:iCs/>
          <w:lang w:val="en-US"/>
        </w:rPr>
        <w:t>inermis</w:t>
      </w:r>
      <w:proofErr w:type="spellEnd"/>
      <w:r w:rsidRPr="008D4A94">
        <w:rPr>
          <w:rFonts w:ascii="Times New Roman" w:hAnsi="Times New Roman" w:cs="Times New Roman"/>
          <w:i/>
          <w:iCs/>
          <w:lang w:val="en-US"/>
        </w:rPr>
        <w:t>.</w:t>
      </w:r>
      <w:r w:rsidRPr="008D4A94">
        <w:rPr>
          <w:rFonts w:ascii="Times New Roman" w:hAnsi="Times New Roman" w:cs="Times New Roman"/>
          <w:lang w:val="en-US"/>
        </w:rPr>
        <w:t xml:space="preserve"> In fact, the seeds contained more metabolites than the leaves.</w:t>
      </w:r>
    </w:p>
    <w:p w14:paraId="05FDE679" w14:textId="77777777" w:rsidR="008D4A94" w:rsidRPr="004A2CEB" w:rsidRDefault="008D4A94" w:rsidP="008D4A94">
      <w:pPr>
        <w:pStyle w:val="ListParagraph"/>
        <w:numPr>
          <w:ilvl w:val="0"/>
          <w:numId w:val="4"/>
        </w:numPr>
        <w:spacing w:after="0" w:line="360" w:lineRule="auto"/>
        <w:jc w:val="both"/>
        <w:rPr>
          <w:rFonts w:ascii="Times New Roman" w:hAnsi="Times New Roman" w:cs="Times New Roman"/>
          <w:b/>
          <w:bCs/>
          <w:sz w:val="24"/>
          <w:szCs w:val="24"/>
          <w:lang w:val="en-US"/>
        </w:rPr>
      </w:pPr>
      <w:r w:rsidRPr="004A2CEB">
        <w:rPr>
          <w:rFonts w:ascii="Times New Roman" w:hAnsi="Times New Roman" w:cs="Times New Roman"/>
          <w:b/>
          <w:bCs/>
          <w:sz w:val="24"/>
          <w:szCs w:val="24"/>
          <w:lang w:val="en-US"/>
        </w:rPr>
        <w:t>Antibacterial activity</w:t>
      </w:r>
    </w:p>
    <w:p w14:paraId="787F598A" w14:textId="77777777" w:rsidR="008D4A94" w:rsidRP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The different bioactive compounds could explain the differences observed in the antibacterial activity of extracts from the sam</w:t>
      </w:r>
      <w:r w:rsidR="007E4AA1">
        <w:rPr>
          <w:rFonts w:ascii="Times New Roman" w:hAnsi="Times New Roman" w:cs="Times New Roman"/>
          <w:lang w:val="en-US"/>
        </w:rPr>
        <w:t>e plant species [39</w:t>
      </w:r>
      <w:r w:rsidRPr="008D4A94">
        <w:rPr>
          <w:rFonts w:ascii="Times New Roman" w:hAnsi="Times New Roman" w:cs="Times New Roman"/>
          <w:lang w:val="en-US"/>
        </w:rPr>
        <w:t xml:space="preserve">]. These tests showed that the extracts had different activities against the three strains, with the exception of FAC against </w:t>
      </w:r>
      <w:r w:rsidRPr="00A52EAC">
        <w:rPr>
          <w:rFonts w:ascii="Times New Roman" w:hAnsi="Times New Roman" w:cs="Times New Roman"/>
          <w:i/>
          <w:iCs/>
          <w:lang w:val="en-US"/>
        </w:rPr>
        <w:t>Staphylococcus</w:t>
      </w:r>
      <w:r w:rsidRPr="008D4A94">
        <w:rPr>
          <w:rFonts w:ascii="Times New Roman" w:hAnsi="Times New Roman" w:cs="Times New Roman"/>
          <w:lang w:val="en-US"/>
        </w:rPr>
        <w:t xml:space="preserve">, but no activity against </w:t>
      </w:r>
      <w:proofErr w:type="spellStart"/>
      <w:r w:rsidRPr="00A52EAC">
        <w:rPr>
          <w:rFonts w:ascii="Times New Roman" w:hAnsi="Times New Roman" w:cs="Times New Roman"/>
          <w:i/>
          <w:iCs/>
          <w:lang w:val="en-US"/>
        </w:rPr>
        <w:t>Echerichia</w:t>
      </w:r>
      <w:proofErr w:type="spellEnd"/>
      <w:r w:rsidRPr="00A52EAC">
        <w:rPr>
          <w:rFonts w:ascii="Times New Roman" w:hAnsi="Times New Roman" w:cs="Times New Roman"/>
          <w:i/>
          <w:iCs/>
          <w:lang w:val="en-US"/>
        </w:rPr>
        <w:t xml:space="preserve"> coli</w:t>
      </w:r>
      <w:r w:rsidRPr="008D4A94">
        <w:rPr>
          <w:rFonts w:ascii="Times New Roman" w:hAnsi="Times New Roman" w:cs="Times New Roman"/>
          <w:lang w:val="en-US"/>
        </w:rPr>
        <w:t xml:space="preserve">. The following table shows the diameters of the zones of inhibition.  </w:t>
      </w:r>
    </w:p>
    <w:p w14:paraId="489AFC11" w14:textId="15A78921" w:rsidR="008D4A94" w:rsidRDefault="008D4A94" w:rsidP="008D4A94">
      <w:pPr>
        <w:spacing w:line="360" w:lineRule="auto"/>
        <w:jc w:val="both"/>
        <w:rPr>
          <w:rFonts w:ascii="Times New Roman" w:hAnsi="Times New Roman" w:cs="Times New Roman"/>
          <w:lang w:val="en-US"/>
        </w:rPr>
      </w:pPr>
      <w:r w:rsidRPr="00A52EAC">
        <w:rPr>
          <w:rFonts w:ascii="Times New Roman" w:hAnsi="Times New Roman" w:cs="Times New Roman"/>
          <w:b/>
          <w:bCs/>
          <w:lang w:val="en-US"/>
        </w:rPr>
        <w:t xml:space="preserve">Table </w:t>
      </w:r>
      <w:r w:rsidR="00BD4560">
        <w:rPr>
          <w:rFonts w:ascii="Times New Roman" w:hAnsi="Times New Roman" w:cs="Times New Roman"/>
          <w:b/>
          <w:bCs/>
          <w:lang w:val="en-US"/>
        </w:rPr>
        <w:t>8</w:t>
      </w:r>
      <w:r w:rsidRPr="00A52EAC">
        <w:rPr>
          <w:rFonts w:ascii="Times New Roman" w:hAnsi="Times New Roman" w:cs="Times New Roman"/>
          <w:b/>
          <w:bCs/>
          <w:lang w:val="en-US"/>
        </w:rPr>
        <w:t>:</w:t>
      </w:r>
      <w:r w:rsidRPr="008D4A94">
        <w:rPr>
          <w:rFonts w:ascii="Times New Roman" w:hAnsi="Times New Roman" w:cs="Times New Roman"/>
          <w:lang w:val="en-US"/>
        </w:rPr>
        <w:t xml:space="preserve"> </w:t>
      </w:r>
      <w:r w:rsidR="00C4289F">
        <w:rPr>
          <w:rFonts w:ascii="Times New Roman" w:hAnsi="Times New Roman" w:cs="Times New Roman"/>
          <w:lang w:val="en-US"/>
        </w:rPr>
        <w:t>i</w:t>
      </w:r>
      <w:r w:rsidRPr="008D4A94">
        <w:rPr>
          <w:rFonts w:ascii="Times New Roman" w:hAnsi="Times New Roman" w:cs="Times New Roman"/>
          <w:lang w:val="en-US"/>
        </w:rPr>
        <w:t>nhibition zone diameters for extracts and control antibiotics</w:t>
      </w:r>
    </w:p>
    <w:tbl>
      <w:tblPr>
        <w:tblStyle w:val="TableGrid"/>
        <w:tblW w:w="0" w:type="auto"/>
        <w:tblLook w:val="04A0" w:firstRow="1" w:lastRow="0" w:firstColumn="1" w:lastColumn="0" w:noHBand="0" w:noVBand="1"/>
      </w:tblPr>
      <w:tblGrid>
        <w:gridCol w:w="1816"/>
        <w:gridCol w:w="1810"/>
        <w:gridCol w:w="1810"/>
        <w:gridCol w:w="1813"/>
        <w:gridCol w:w="1813"/>
      </w:tblGrid>
      <w:tr w:rsidR="00A52EAC" w:rsidRPr="006D1351" w14:paraId="6EA66743" w14:textId="77777777" w:rsidTr="00350AF2">
        <w:trPr>
          <w:trHeight w:val="552"/>
        </w:trPr>
        <w:tc>
          <w:tcPr>
            <w:tcW w:w="1816" w:type="dxa"/>
            <w:vMerge w:val="restart"/>
            <w:vAlign w:val="center"/>
          </w:tcPr>
          <w:p w14:paraId="7CC4F89B" w14:textId="77777777" w:rsidR="00A52EAC" w:rsidRPr="006D1351" w:rsidRDefault="00A52EAC" w:rsidP="00350AF2">
            <w:pPr>
              <w:tabs>
                <w:tab w:val="left" w:pos="1603"/>
              </w:tabs>
              <w:spacing w:line="360" w:lineRule="auto"/>
              <w:jc w:val="center"/>
              <w:rPr>
                <w:rFonts w:ascii="Times New Roman" w:eastAsia="Calibri" w:hAnsi="Times New Roman" w:cs="Times New Roman"/>
                <w:bCs/>
                <w:i/>
                <w:iCs/>
                <w:sz w:val="24"/>
                <w:szCs w:val="24"/>
                <w:lang w:val="en-US"/>
              </w:rPr>
            </w:pPr>
            <w:r w:rsidRPr="006D1351">
              <w:rPr>
                <w:rFonts w:ascii="Times New Roman" w:eastAsia="Calibri" w:hAnsi="Times New Roman" w:cs="Times New Roman"/>
                <w:bCs/>
                <w:i/>
                <w:iCs/>
                <w:sz w:val="24"/>
                <w:szCs w:val="24"/>
                <w:lang w:val="en-US"/>
              </w:rPr>
              <w:t>Pseudomonas aeruginosa</w:t>
            </w:r>
          </w:p>
        </w:tc>
        <w:tc>
          <w:tcPr>
            <w:tcW w:w="3620" w:type="dxa"/>
            <w:gridSpan w:val="2"/>
            <w:vAlign w:val="center"/>
          </w:tcPr>
          <w:p w14:paraId="2B8249BF" w14:textId="77777777" w:rsidR="00A52EAC" w:rsidRPr="004A2CEB" w:rsidRDefault="00A52EAC" w:rsidP="00350AF2">
            <w:pPr>
              <w:tabs>
                <w:tab w:val="left" w:pos="1603"/>
              </w:tabs>
              <w:spacing w:line="360" w:lineRule="auto"/>
              <w:jc w:val="center"/>
              <w:rPr>
                <w:rFonts w:ascii="Times New Roman" w:eastAsia="Calibri" w:hAnsi="Times New Roman" w:cs="Times New Roman"/>
                <w:b/>
                <w:sz w:val="24"/>
                <w:szCs w:val="24"/>
                <w:highlight w:val="yellow"/>
                <w:lang w:val="en-US"/>
              </w:rPr>
            </w:pPr>
            <w:r w:rsidRPr="004A2CEB">
              <w:rPr>
                <w:rFonts w:ascii="Times New Roman" w:eastAsia="Calibri" w:hAnsi="Times New Roman" w:cs="Times New Roman"/>
                <w:b/>
                <w:sz w:val="24"/>
                <w:szCs w:val="24"/>
                <w:lang w:val="en-US"/>
              </w:rPr>
              <w:t>Extra</w:t>
            </w:r>
            <w:r w:rsidR="006D1351" w:rsidRPr="004A2CEB">
              <w:rPr>
                <w:rFonts w:ascii="Times New Roman" w:eastAsia="Calibri" w:hAnsi="Times New Roman" w:cs="Times New Roman"/>
                <w:b/>
                <w:sz w:val="24"/>
                <w:szCs w:val="24"/>
                <w:lang w:val="en-US"/>
              </w:rPr>
              <w:t>c</w:t>
            </w:r>
            <w:r w:rsidRPr="004A2CEB">
              <w:rPr>
                <w:rFonts w:ascii="Times New Roman" w:eastAsia="Calibri" w:hAnsi="Times New Roman" w:cs="Times New Roman"/>
                <w:b/>
                <w:sz w:val="24"/>
                <w:szCs w:val="24"/>
                <w:lang w:val="en-US"/>
              </w:rPr>
              <w:t>ts</w:t>
            </w:r>
          </w:p>
        </w:tc>
        <w:tc>
          <w:tcPr>
            <w:tcW w:w="3626" w:type="dxa"/>
            <w:gridSpan w:val="2"/>
            <w:vAlign w:val="center"/>
          </w:tcPr>
          <w:p w14:paraId="4053EC8B" w14:textId="77777777" w:rsidR="00A52EAC" w:rsidRPr="004A2CEB" w:rsidRDefault="006D1351" w:rsidP="00350AF2">
            <w:pPr>
              <w:tabs>
                <w:tab w:val="left" w:pos="1603"/>
              </w:tabs>
              <w:spacing w:line="360" w:lineRule="auto"/>
              <w:jc w:val="center"/>
              <w:rPr>
                <w:rFonts w:ascii="Times New Roman" w:eastAsia="Calibri" w:hAnsi="Times New Roman" w:cs="Times New Roman"/>
                <w:b/>
                <w:sz w:val="24"/>
                <w:szCs w:val="24"/>
                <w:highlight w:val="yellow"/>
                <w:lang w:val="en-US"/>
              </w:rPr>
            </w:pPr>
            <w:r w:rsidRPr="004A2CEB">
              <w:rPr>
                <w:rFonts w:ascii="Times New Roman" w:eastAsia="Calibri" w:hAnsi="Times New Roman" w:cs="Times New Roman"/>
                <w:b/>
                <w:sz w:val="24"/>
                <w:szCs w:val="24"/>
                <w:lang w:val="en-US"/>
              </w:rPr>
              <w:t>Reference antibiotic</w:t>
            </w:r>
          </w:p>
        </w:tc>
      </w:tr>
      <w:tr w:rsidR="00A52EAC" w:rsidRPr="006D1351" w14:paraId="1DD10ED8" w14:textId="77777777" w:rsidTr="00350AF2">
        <w:trPr>
          <w:trHeight w:val="552"/>
        </w:trPr>
        <w:tc>
          <w:tcPr>
            <w:tcW w:w="1816" w:type="dxa"/>
            <w:vMerge/>
            <w:vAlign w:val="center"/>
          </w:tcPr>
          <w:p w14:paraId="00D45C38" w14:textId="77777777" w:rsidR="00A52EAC" w:rsidRPr="006D1351" w:rsidRDefault="00A52EAC" w:rsidP="00350AF2">
            <w:pPr>
              <w:tabs>
                <w:tab w:val="left" w:pos="1603"/>
              </w:tabs>
              <w:spacing w:line="360" w:lineRule="auto"/>
              <w:jc w:val="center"/>
              <w:rPr>
                <w:rFonts w:ascii="Times New Roman" w:eastAsia="Calibri" w:hAnsi="Times New Roman" w:cs="Times New Roman"/>
                <w:bCs/>
                <w:sz w:val="24"/>
                <w:szCs w:val="24"/>
                <w:lang w:val="en-US"/>
              </w:rPr>
            </w:pPr>
          </w:p>
        </w:tc>
        <w:tc>
          <w:tcPr>
            <w:tcW w:w="1810" w:type="dxa"/>
            <w:vAlign w:val="center"/>
          </w:tcPr>
          <w:p w14:paraId="6DE292F4"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FAC</w:t>
            </w:r>
          </w:p>
        </w:tc>
        <w:tc>
          <w:tcPr>
            <w:tcW w:w="1810" w:type="dxa"/>
            <w:vAlign w:val="center"/>
          </w:tcPr>
          <w:p w14:paraId="282C86D7"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GAC</w:t>
            </w:r>
          </w:p>
        </w:tc>
        <w:tc>
          <w:tcPr>
            <w:tcW w:w="1813" w:type="dxa"/>
            <w:vAlign w:val="center"/>
          </w:tcPr>
          <w:p w14:paraId="4F3DB035"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proofErr w:type="spellStart"/>
            <w:r w:rsidRPr="006D1351">
              <w:rPr>
                <w:rFonts w:ascii="Times New Roman" w:eastAsia="Calibri" w:hAnsi="Times New Roman" w:cs="Times New Roman"/>
                <w:sz w:val="24"/>
                <w:szCs w:val="24"/>
                <w:lang w:val="en-US"/>
              </w:rPr>
              <w:t>Ciprofloxacine</w:t>
            </w:r>
            <w:proofErr w:type="spellEnd"/>
            <w:r w:rsidRPr="006D1351">
              <w:rPr>
                <w:rFonts w:ascii="Times New Roman" w:eastAsia="Calibri" w:hAnsi="Times New Roman" w:cs="Times New Roman"/>
                <w:sz w:val="24"/>
                <w:szCs w:val="24"/>
                <w:lang w:val="en-US"/>
              </w:rPr>
              <w:t xml:space="preserve"> (</w:t>
            </w:r>
            <w:proofErr w:type="spellStart"/>
            <w:r w:rsidRPr="006D1351">
              <w:rPr>
                <w:rFonts w:ascii="Times New Roman" w:eastAsia="Calibri" w:hAnsi="Times New Roman" w:cs="Times New Roman"/>
                <w:sz w:val="24"/>
                <w:szCs w:val="24"/>
                <w:lang w:val="en-US"/>
              </w:rPr>
              <w:t>Cip</w:t>
            </w:r>
            <w:proofErr w:type="spellEnd"/>
            <w:r w:rsidRPr="006D1351">
              <w:rPr>
                <w:rFonts w:ascii="Times New Roman" w:eastAsia="Calibri" w:hAnsi="Times New Roman" w:cs="Times New Roman"/>
                <w:sz w:val="24"/>
                <w:szCs w:val="24"/>
                <w:lang w:val="en-US"/>
              </w:rPr>
              <w:t>)</w:t>
            </w:r>
          </w:p>
        </w:tc>
        <w:tc>
          <w:tcPr>
            <w:tcW w:w="1813" w:type="dxa"/>
            <w:vAlign w:val="center"/>
          </w:tcPr>
          <w:p w14:paraId="0C9DD3BF"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proofErr w:type="spellStart"/>
            <w:r w:rsidRPr="006D1351">
              <w:rPr>
                <w:rFonts w:ascii="Times New Roman" w:eastAsia="Calibri" w:hAnsi="Times New Roman" w:cs="Times New Roman"/>
                <w:sz w:val="24"/>
                <w:szCs w:val="24"/>
                <w:lang w:val="en-US"/>
              </w:rPr>
              <w:t>Amikacine</w:t>
            </w:r>
            <w:proofErr w:type="spellEnd"/>
            <w:r w:rsidRPr="006D1351">
              <w:rPr>
                <w:rFonts w:ascii="Times New Roman" w:eastAsia="Calibri" w:hAnsi="Times New Roman" w:cs="Times New Roman"/>
                <w:sz w:val="24"/>
                <w:szCs w:val="24"/>
                <w:lang w:val="en-US"/>
              </w:rPr>
              <w:t xml:space="preserve"> (Ami)</w:t>
            </w:r>
          </w:p>
        </w:tc>
      </w:tr>
      <w:tr w:rsidR="00A52EAC" w:rsidRPr="006D1351" w14:paraId="6E0E7A47" w14:textId="77777777" w:rsidTr="00350AF2">
        <w:trPr>
          <w:trHeight w:val="552"/>
        </w:trPr>
        <w:tc>
          <w:tcPr>
            <w:tcW w:w="1816" w:type="dxa"/>
            <w:vAlign w:val="center"/>
          </w:tcPr>
          <w:p w14:paraId="783340BE" w14:textId="77777777" w:rsidR="00A52EAC" w:rsidRPr="006D1351" w:rsidRDefault="006D1351" w:rsidP="00350AF2">
            <w:pPr>
              <w:tabs>
                <w:tab w:val="left" w:pos="1603"/>
              </w:tabs>
              <w:spacing w:line="360" w:lineRule="auto"/>
              <w:jc w:val="center"/>
              <w:rPr>
                <w:rFonts w:ascii="Times New Roman" w:eastAsia="Calibri" w:hAnsi="Times New Roman" w:cs="Times New Roman"/>
                <w:bCs/>
                <w:sz w:val="24"/>
                <w:szCs w:val="24"/>
                <w:lang w:val="en-US"/>
              </w:rPr>
            </w:pPr>
            <w:r w:rsidRPr="006D1351">
              <w:rPr>
                <w:rFonts w:ascii="Times New Roman" w:eastAsia="Calibri" w:hAnsi="Times New Roman" w:cs="Times New Roman"/>
                <w:bCs/>
                <w:sz w:val="24"/>
                <w:szCs w:val="24"/>
                <w:lang w:val="en-US"/>
              </w:rPr>
              <w:t xml:space="preserve">Inhibition diameter </w:t>
            </w:r>
            <w:r w:rsidR="00A52EAC" w:rsidRPr="006D1351">
              <w:rPr>
                <w:rFonts w:ascii="Times New Roman" w:eastAsia="Calibri" w:hAnsi="Times New Roman" w:cs="Times New Roman"/>
                <w:bCs/>
                <w:sz w:val="24"/>
                <w:szCs w:val="24"/>
                <w:lang w:val="en-US"/>
              </w:rPr>
              <w:t>(mm)</w:t>
            </w:r>
          </w:p>
        </w:tc>
        <w:tc>
          <w:tcPr>
            <w:tcW w:w="1810" w:type="dxa"/>
            <w:vAlign w:val="center"/>
          </w:tcPr>
          <w:p w14:paraId="6147B5C7"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08</w:t>
            </w:r>
          </w:p>
        </w:tc>
        <w:tc>
          <w:tcPr>
            <w:tcW w:w="1810" w:type="dxa"/>
            <w:vAlign w:val="center"/>
          </w:tcPr>
          <w:p w14:paraId="17157DC5"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12</w:t>
            </w:r>
          </w:p>
        </w:tc>
        <w:tc>
          <w:tcPr>
            <w:tcW w:w="1813" w:type="dxa"/>
            <w:vAlign w:val="center"/>
          </w:tcPr>
          <w:p w14:paraId="2E86A650"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25</w:t>
            </w:r>
          </w:p>
        </w:tc>
        <w:tc>
          <w:tcPr>
            <w:tcW w:w="1813" w:type="dxa"/>
            <w:vAlign w:val="center"/>
          </w:tcPr>
          <w:p w14:paraId="7EA72A4B"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20</w:t>
            </w:r>
          </w:p>
        </w:tc>
      </w:tr>
      <w:tr w:rsidR="00A52EAC" w:rsidRPr="006D1351" w14:paraId="6AD69E6B" w14:textId="77777777" w:rsidTr="00350AF2">
        <w:trPr>
          <w:trHeight w:val="552"/>
        </w:trPr>
        <w:tc>
          <w:tcPr>
            <w:tcW w:w="1812" w:type="dxa"/>
            <w:vMerge w:val="restart"/>
            <w:vAlign w:val="center"/>
          </w:tcPr>
          <w:p w14:paraId="3C75D986" w14:textId="77777777" w:rsidR="00A52EAC" w:rsidRPr="006D1351" w:rsidRDefault="00A52EAC" w:rsidP="00350AF2">
            <w:pPr>
              <w:tabs>
                <w:tab w:val="left" w:pos="1603"/>
              </w:tabs>
              <w:spacing w:line="360" w:lineRule="auto"/>
              <w:jc w:val="center"/>
              <w:rPr>
                <w:rFonts w:ascii="Times New Roman" w:eastAsia="Calibri" w:hAnsi="Times New Roman" w:cs="Times New Roman"/>
                <w:bCs/>
                <w:i/>
                <w:iCs/>
                <w:sz w:val="24"/>
                <w:szCs w:val="24"/>
                <w:lang w:val="en-US"/>
              </w:rPr>
            </w:pPr>
            <w:proofErr w:type="spellStart"/>
            <w:r w:rsidRPr="006D1351">
              <w:rPr>
                <w:rFonts w:ascii="Times New Roman" w:eastAsia="Calibri" w:hAnsi="Times New Roman" w:cs="Times New Roman"/>
                <w:bCs/>
                <w:i/>
                <w:iCs/>
                <w:sz w:val="24"/>
                <w:szCs w:val="24"/>
                <w:lang w:val="en-US"/>
              </w:rPr>
              <w:t>Enterorococcus</w:t>
            </w:r>
            <w:proofErr w:type="spellEnd"/>
            <w:r w:rsidRPr="006D1351">
              <w:rPr>
                <w:rFonts w:ascii="Times New Roman" w:eastAsia="Calibri" w:hAnsi="Times New Roman" w:cs="Times New Roman"/>
                <w:bCs/>
                <w:i/>
                <w:iCs/>
                <w:sz w:val="24"/>
                <w:szCs w:val="24"/>
                <w:lang w:val="en-US"/>
              </w:rPr>
              <w:t xml:space="preserve"> faecalis</w:t>
            </w:r>
          </w:p>
        </w:tc>
        <w:tc>
          <w:tcPr>
            <w:tcW w:w="3624" w:type="dxa"/>
            <w:gridSpan w:val="2"/>
            <w:vAlign w:val="center"/>
          </w:tcPr>
          <w:p w14:paraId="1026BA88"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Extra</w:t>
            </w:r>
            <w:r w:rsidR="006D1351" w:rsidRPr="006D1351">
              <w:rPr>
                <w:rFonts w:ascii="Times New Roman" w:eastAsia="Calibri" w:hAnsi="Times New Roman" w:cs="Times New Roman"/>
                <w:sz w:val="24"/>
                <w:szCs w:val="24"/>
                <w:lang w:val="en-US"/>
              </w:rPr>
              <w:t>c</w:t>
            </w:r>
            <w:r w:rsidRPr="006D1351">
              <w:rPr>
                <w:rFonts w:ascii="Times New Roman" w:eastAsia="Calibri" w:hAnsi="Times New Roman" w:cs="Times New Roman"/>
                <w:sz w:val="24"/>
                <w:szCs w:val="24"/>
                <w:lang w:val="en-US"/>
              </w:rPr>
              <w:t>ts</w:t>
            </w:r>
          </w:p>
        </w:tc>
        <w:tc>
          <w:tcPr>
            <w:tcW w:w="3626" w:type="dxa"/>
            <w:gridSpan w:val="2"/>
            <w:vAlign w:val="center"/>
          </w:tcPr>
          <w:p w14:paraId="38CEA682" w14:textId="77777777" w:rsidR="00A52EAC" w:rsidRPr="006D1351" w:rsidRDefault="006D1351"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Reference antibiotic</w:t>
            </w:r>
          </w:p>
        </w:tc>
      </w:tr>
      <w:tr w:rsidR="00A52EAC" w:rsidRPr="006D1351" w14:paraId="50A2261D" w14:textId="77777777" w:rsidTr="00350AF2">
        <w:trPr>
          <w:trHeight w:val="552"/>
        </w:trPr>
        <w:tc>
          <w:tcPr>
            <w:tcW w:w="1812" w:type="dxa"/>
            <w:vMerge/>
            <w:vAlign w:val="center"/>
          </w:tcPr>
          <w:p w14:paraId="46885CDE" w14:textId="77777777" w:rsidR="00A52EAC" w:rsidRPr="006D1351" w:rsidRDefault="00A52EAC" w:rsidP="00350AF2">
            <w:pPr>
              <w:tabs>
                <w:tab w:val="left" w:pos="1603"/>
              </w:tabs>
              <w:spacing w:line="360" w:lineRule="auto"/>
              <w:jc w:val="center"/>
              <w:rPr>
                <w:rFonts w:ascii="Times New Roman" w:eastAsia="Calibri" w:hAnsi="Times New Roman" w:cs="Times New Roman"/>
                <w:bCs/>
                <w:sz w:val="24"/>
                <w:szCs w:val="24"/>
                <w:lang w:val="en-US"/>
              </w:rPr>
            </w:pPr>
          </w:p>
        </w:tc>
        <w:tc>
          <w:tcPr>
            <w:tcW w:w="1812" w:type="dxa"/>
            <w:vAlign w:val="center"/>
          </w:tcPr>
          <w:p w14:paraId="785F7CFF"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FAC</w:t>
            </w:r>
          </w:p>
        </w:tc>
        <w:tc>
          <w:tcPr>
            <w:tcW w:w="1812" w:type="dxa"/>
            <w:vAlign w:val="center"/>
          </w:tcPr>
          <w:p w14:paraId="024B465D"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GAC</w:t>
            </w:r>
          </w:p>
        </w:tc>
        <w:tc>
          <w:tcPr>
            <w:tcW w:w="1813" w:type="dxa"/>
            <w:vAlign w:val="center"/>
          </w:tcPr>
          <w:p w14:paraId="1CD71DDA" w14:textId="4AA289E8"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proofErr w:type="spellStart"/>
            <w:r w:rsidRPr="006D1351">
              <w:rPr>
                <w:rFonts w:ascii="Times New Roman" w:eastAsia="Calibri" w:hAnsi="Times New Roman" w:cs="Times New Roman"/>
                <w:sz w:val="24"/>
                <w:szCs w:val="24"/>
                <w:lang w:val="en-US"/>
              </w:rPr>
              <w:t>Ciprofloxacine</w:t>
            </w:r>
            <w:proofErr w:type="spellEnd"/>
            <w:r w:rsidRPr="006D1351">
              <w:rPr>
                <w:rFonts w:ascii="Times New Roman" w:eastAsia="Calibri" w:hAnsi="Times New Roman" w:cs="Times New Roman"/>
                <w:sz w:val="24"/>
                <w:szCs w:val="24"/>
                <w:lang w:val="en-US"/>
              </w:rPr>
              <w:t xml:space="preserve"> (</w:t>
            </w:r>
            <w:proofErr w:type="spellStart"/>
            <w:r w:rsidRPr="006D1351">
              <w:rPr>
                <w:rFonts w:ascii="Times New Roman" w:eastAsia="Calibri" w:hAnsi="Times New Roman" w:cs="Times New Roman"/>
                <w:sz w:val="24"/>
                <w:szCs w:val="24"/>
                <w:lang w:val="en-US"/>
              </w:rPr>
              <w:t>Cip</w:t>
            </w:r>
            <w:proofErr w:type="spellEnd"/>
            <w:r w:rsidRPr="006D1351">
              <w:rPr>
                <w:rFonts w:ascii="Times New Roman" w:eastAsia="Calibri" w:hAnsi="Times New Roman" w:cs="Times New Roman"/>
                <w:sz w:val="24"/>
                <w:szCs w:val="24"/>
                <w:lang w:val="en-US"/>
              </w:rPr>
              <w:t>)</w:t>
            </w:r>
          </w:p>
        </w:tc>
        <w:tc>
          <w:tcPr>
            <w:tcW w:w="1813" w:type="dxa"/>
            <w:vAlign w:val="center"/>
          </w:tcPr>
          <w:p w14:paraId="03A0F34B"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proofErr w:type="spellStart"/>
            <w:r w:rsidRPr="006D1351">
              <w:rPr>
                <w:rFonts w:ascii="Times New Roman" w:eastAsia="Calibri" w:hAnsi="Times New Roman" w:cs="Times New Roman"/>
                <w:iCs/>
                <w:sz w:val="24"/>
                <w:szCs w:val="24"/>
                <w:lang w:val="en-US"/>
              </w:rPr>
              <w:t>Vancomycine</w:t>
            </w:r>
            <w:proofErr w:type="spellEnd"/>
            <w:r w:rsidRPr="006D1351">
              <w:rPr>
                <w:rFonts w:ascii="Times New Roman" w:eastAsia="Calibri" w:hAnsi="Times New Roman" w:cs="Times New Roman"/>
                <w:sz w:val="24"/>
                <w:szCs w:val="24"/>
                <w:lang w:val="en-US"/>
              </w:rPr>
              <w:t xml:space="preserve"> (Van)</w:t>
            </w:r>
          </w:p>
        </w:tc>
      </w:tr>
      <w:tr w:rsidR="00A52EAC" w:rsidRPr="006D1351" w14:paraId="429A056C" w14:textId="77777777" w:rsidTr="00350AF2">
        <w:trPr>
          <w:trHeight w:val="552"/>
        </w:trPr>
        <w:tc>
          <w:tcPr>
            <w:tcW w:w="1812" w:type="dxa"/>
            <w:vAlign w:val="center"/>
          </w:tcPr>
          <w:p w14:paraId="779D0444" w14:textId="77777777" w:rsidR="00A52EAC" w:rsidRPr="006D1351" w:rsidRDefault="006D1351" w:rsidP="00350AF2">
            <w:pPr>
              <w:tabs>
                <w:tab w:val="left" w:pos="1603"/>
              </w:tabs>
              <w:spacing w:line="360" w:lineRule="auto"/>
              <w:jc w:val="center"/>
              <w:rPr>
                <w:rFonts w:ascii="Times New Roman" w:eastAsia="Calibri" w:hAnsi="Times New Roman" w:cs="Times New Roman"/>
                <w:bCs/>
                <w:sz w:val="24"/>
                <w:szCs w:val="24"/>
                <w:lang w:val="en-US"/>
              </w:rPr>
            </w:pPr>
            <w:r w:rsidRPr="006D1351">
              <w:rPr>
                <w:rFonts w:ascii="Times New Roman" w:eastAsia="Calibri" w:hAnsi="Times New Roman" w:cs="Times New Roman"/>
                <w:bCs/>
                <w:sz w:val="24"/>
                <w:szCs w:val="24"/>
                <w:lang w:val="en-US"/>
              </w:rPr>
              <w:t xml:space="preserve">Inhibition diameter </w:t>
            </w:r>
            <w:r w:rsidR="00A52EAC" w:rsidRPr="006D1351">
              <w:rPr>
                <w:rFonts w:ascii="Times New Roman" w:eastAsia="Calibri" w:hAnsi="Times New Roman" w:cs="Times New Roman"/>
                <w:bCs/>
                <w:sz w:val="24"/>
                <w:szCs w:val="24"/>
                <w:lang w:val="en-US"/>
              </w:rPr>
              <w:t>(mm)</w:t>
            </w:r>
          </w:p>
        </w:tc>
        <w:tc>
          <w:tcPr>
            <w:tcW w:w="1812" w:type="dxa"/>
            <w:vAlign w:val="center"/>
          </w:tcPr>
          <w:p w14:paraId="5DB9ADD2"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08</w:t>
            </w:r>
          </w:p>
        </w:tc>
        <w:tc>
          <w:tcPr>
            <w:tcW w:w="1812" w:type="dxa"/>
            <w:vAlign w:val="center"/>
          </w:tcPr>
          <w:p w14:paraId="374E3AB7"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19</w:t>
            </w:r>
          </w:p>
        </w:tc>
        <w:tc>
          <w:tcPr>
            <w:tcW w:w="1813" w:type="dxa"/>
            <w:vAlign w:val="center"/>
          </w:tcPr>
          <w:p w14:paraId="4F2F47C2"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24</w:t>
            </w:r>
          </w:p>
        </w:tc>
        <w:tc>
          <w:tcPr>
            <w:tcW w:w="1813" w:type="dxa"/>
            <w:vAlign w:val="center"/>
          </w:tcPr>
          <w:p w14:paraId="63E0D00A"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15</w:t>
            </w:r>
          </w:p>
        </w:tc>
      </w:tr>
      <w:tr w:rsidR="00A52EAC" w:rsidRPr="006D1351" w14:paraId="58E56631" w14:textId="77777777" w:rsidTr="00350AF2">
        <w:tc>
          <w:tcPr>
            <w:tcW w:w="1812" w:type="dxa"/>
            <w:vMerge w:val="restart"/>
            <w:vAlign w:val="center"/>
          </w:tcPr>
          <w:p w14:paraId="29CEC864" w14:textId="77777777" w:rsidR="00A52EAC" w:rsidRPr="006D1351" w:rsidRDefault="00A52EAC" w:rsidP="00350AF2">
            <w:pPr>
              <w:spacing w:line="360" w:lineRule="auto"/>
              <w:jc w:val="center"/>
              <w:rPr>
                <w:rFonts w:ascii="Times New Roman" w:eastAsia="Calibri" w:hAnsi="Times New Roman" w:cs="Times New Roman"/>
                <w:bCs/>
                <w:i/>
                <w:iCs/>
                <w:sz w:val="24"/>
                <w:szCs w:val="24"/>
                <w:lang w:val="en-US"/>
              </w:rPr>
            </w:pPr>
            <w:proofErr w:type="spellStart"/>
            <w:r w:rsidRPr="006D1351">
              <w:rPr>
                <w:rFonts w:ascii="Times New Roman" w:hAnsi="Times New Roman" w:cs="Times New Roman"/>
                <w:bCs/>
                <w:i/>
                <w:iCs/>
                <w:sz w:val="24"/>
                <w:szCs w:val="24"/>
                <w:lang w:val="en-US"/>
              </w:rPr>
              <w:t>Echerichia</w:t>
            </w:r>
            <w:proofErr w:type="spellEnd"/>
            <w:r w:rsidRPr="006D1351">
              <w:rPr>
                <w:rFonts w:ascii="Times New Roman" w:hAnsi="Times New Roman" w:cs="Times New Roman"/>
                <w:bCs/>
                <w:i/>
                <w:iCs/>
                <w:sz w:val="24"/>
                <w:szCs w:val="24"/>
                <w:lang w:val="en-US"/>
              </w:rPr>
              <w:t xml:space="preserve"> coli</w:t>
            </w:r>
          </w:p>
        </w:tc>
        <w:tc>
          <w:tcPr>
            <w:tcW w:w="3620" w:type="dxa"/>
            <w:gridSpan w:val="2"/>
            <w:vAlign w:val="center"/>
          </w:tcPr>
          <w:p w14:paraId="7CEA7B17"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Extra</w:t>
            </w:r>
            <w:r w:rsidR="006D1351" w:rsidRPr="006D1351">
              <w:rPr>
                <w:rFonts w:ascii="Times New Roman" w:eastAsia="Calibri" w:hAnsi="Times New Roman" w:cs="Times New Roman"/>
                <w:sz w:val="24"/>
                <w:szCs w:val="24"/>
                <w:lang w:val="en-US"/>
              </w:rPr>
              <w:t>c</w:t>
            </w:r>
            <w:r w:rsidRPr="006D1351">
              <w:rPr>
                <w:rFonts w:ascii="Times New Roman" w:eastAsia="Calibri" w:hAnsi="Times New Roman" w:cs="Times New Roman"/>
                <w:sz w:val="24"/>
                <w:szCs w:val="24"/>
                <w:lang w:val="en-US"/>
              </w:rPr>
              <w:t>ts</w:t>
            </w:r>
          </w:p>
        </w:tc>
        <w:tc>
          <w:tcPr>
            <w:tcW w:w="3626" w:type="dxa"/>
            <w:gridSpan w:val="2"/>
            <w:vAlign w:val="center"/>
          </w:tcPr>
          <w:p w14:paraId="4A812E98" w14:textId="77777777" w:rsidR="00A52EAC" w:rsidRPr="006D1351" w:rsidRDefault="006D1351"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Reference antibiotic</w:t>
            </w:r>
          </w:p>
        </w:tc>
      </w:tr>
      <w:tr w:rsidR="00A52EAC" w:rsidRPr="006D1351" w14:paraId="016BA81E" w14:textId="77777777" w:rsidTr="00350AF2">
        <w:tc>
          <w:tcPr>
            <w:tcW w:w="1816" w:type="dxa"/>
            <w:vMerge/>
            <w:vAlign w:val="center"/>
          </w:tcPr>
          <w:p w14:paraId="738E51FF" w14:textId="77777777" w:rsidR="00A52EAC" w:rsidRPr="006D1351" w:rsidRDefault="00A52EAC" w:rsidP="00350AF2">
            <w:pPr>
              <w:spacing w:line="360" w:lineRule="auto"/>
              <w:jc w:val="center"/>
              <w:rPr>
                <w:rFonts w:ascii="Times New Roman" w:eastAsia="Calibri" w:hAnsi="Times New Roman" w:cs="Times New Roman"/>
                <w:bCs/>
                <w:iCs/>
                <w:sz w:val="24"/>
                <w:szCs w:val="24"/>
                <w:lang w:val="en-US"/>
              </w:rPr>
            </w:pPr>
          </w:p>
        </w:tc>
        <w:tc>
          <w:tcPr>
            <w:tcW w:w="1810" w:type="dxa"/>
            <w:vAlign w:val="center"/>
          </w:tcPr>
          <w:p w14:paraId="35EC8891"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FAC</w:t>
            </w:r>
          </w:p>
        </w:tc>
        <w:tc>
          <w:tcPr>
            <w:tcW w:w="1810" w:type="dxa"/>
            <w:vAlign w:val="center"/>
          </w:tcPr>
          <w:p w14:paraId="4E3FEFED"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GAC</w:t>
            </w:r>
          </w:p>
        </w:tc>
        <w:tc>
          <w:tcPr>
            <w:tcW w:w="1813" w:type="dxa"/>
            <w:vAlign w:val="center"/>
          </w:tcPr>
          <w:p w14:paraId="05E43B5B" w14:textId="58917002" w:rsidR="00A52EAC" w:rsidRPr="006D1351" w:rsidRDefault="00A52EAC" w:rsidP="00350AF2">
            <w:pPr>
              <w:spacing w:line="360" w:lineRule="auto"/>
              <w:jc w:val="center"/>
              <w:rPr>
                <w:rFonts w:ascii="Times New Roman" w:eastAsia="Calibri" w:hAnsi="Times New Roman" w:cs="Times New Roman"/>
                <w:iCs/>
                <w:sz w:val="24"/>
                <w:szCs w:val="24"/>
                <w:lang w:val="en-US"/>
              </w:rPr>
            </w:pPr>
            <w:proofErr w:type="spellStart"/>
            <w:r w:rsidRPr="006D1351">
              <w:rPr>
                <w:rFonts w:ascii="Times New Roman" w:eastAsia="Calibri" w:hAnsi="Times New Roman" w:cs="Times New Roman"/>
                <w:sz w:val="24"/>
                <w:szCs w:val="24"/>
                <w:lang w:val="en-US"/>
              </w:rPr>
              <w:t>Ciprofloxacine</w:t>
            </w:r>
            <w:proofErr w:type="spellEnd"/>
          </w:p>
        </w:tc>
        <w:tc>
          <w:tcPr>
            <w:tcW w:w="1813" w:type="dxa"/>
            <w:vAlign w:val="center"/>
          </w:tcPr>
          <w:p w14:paraId="1FC5C6E3" w14:textId="5E82D7B0"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Ceftriaxone</w:t>
            </w:r>
          </w:p>
        </w:tc>
      </w:tr>
      <w:tr w:rsidR="00A52EAC" w:rsidRPr="006D1351" w14:paraId="59648738" w14:textId="77777777" w:rsidTr="00350AF2">
        <w:tc>
          <w:tcPr>
            <w:tcW w:w="1816" w:type="dxa"/>
            <w:vAlign w:val="center"/>
          </w:tcPr>
          <w:p w14:paraId="1A1D3C7A" w14:textId="77777777" w:rsidR="00A52EAC" w:rsidRPr="006D1351" w:rsidRDefault="006D1351" w:rsidP="00350AF2">
            <w:pPr>
              <w:spacing w:line="360" w:lineRule="auto"/>
              <w:jc w:val="center"/>
              <w:rPr>
                <w:rFonts w:ascii="Times New Roman" w:eastAsia="Calibri" w:hAnsi="Times New Roman" w:cs="Times New Roman"/>
                <w:bCs/>
                <w:iCs/>
                <w:sz w:val="24"/>
                <w:szCs w:val="24"/>
                <w:lang w:val="en-US"/>
              </w:rPr>
            </w:pPr>
            <w:r w:rsidRPr="006D1351">
              <w:rPr>
                <w:rFonts w:ascii="Times New Roman" w:eastAsia="Calibri" w:hAnsi="Times New Roman" w:cs="Times New Roman"/>
                <w:bCs/>
                <w:sz w:val="24"/>
                <w:szCs w:val="24"/>
                <w:lang w:val="en-US"/>
              </w:rPr>
              <w:t xml:space="preserve">Inhibition diameter </w:t>
            </w:r>
            <w:r w:rsidR="00A52EAC" w:rsidRPr="006D1351">
              <w:rPr>
                <w:rFonts w:ascii="Times New Roman" w:eastAsia="Calibri" w:hAnsi="Times New Roman" w:cs="Times New Roman"/>
                <w:bCs/>
                <w:sz w:val="24"/>
                <w:szCs w:val="24"/>
                <w:lang w:val="en-US"/>
              </w:rPr>
              <w:t>(mm)</w:t>
            </w:r>
          </w:p>
        </w:tc>
        <w:tc>
          <w:tcPr>
            <w:tcW w:w="1810" w:type="dxa"/>
            <w:vAlign w:val="center"/>
          </w:tcPr>
          <w:p w14:paraId="6EA5C2ED"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w:t>
            </w:r>
          </w:p>
        </w:tc>
        <w:tc>
          <w:tcPr>
            <w:tcW w:w="1810" w:type="dxa"/>
            <w:vAlign w:val="center"/>
          </w:tcPr>
          <w:p w14:paraId="6833E2B0"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w:t>
            </w:r>
          </w:p>
        </w:tc>
        <w:tc>
          <w:tcPr>
            <w:tcW w:w="1813" w:type="dxa"/>
            <w:vAlign w:val="center"/>
          </w:tcPr>
          <w:p w14:paraId="298C616A"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30</w:t>
            </w:r>
          </w:p>
        </w:tc>
        <w:tc>
          <w:tcPr>
            <w:tcW w:w="1813" w:type="dxa"/>
            <w:vAlign w:val="center"/>
          </w:tcPr>
          <w:p w14:paraId="0981F36E"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28</w:t>
            </w:r>
          </w:p>
        </w:tc>
      </w:tr>
      <w:tr w:rsidR="00A52EAC" w:rsidRPr="006D1351" w14:paraId="59BC8E41" w14:textId="77777777" w:rsidTr="00350AF2">
        <w:tc>
          <w:tcPr>
            <w:tcW w:w="1812" w:type="dxa"/>
            <w:vMerge w:val="restart"/>
            <w:vAlign w:val="center"/>
          </w:tcPr>
          <w:p w14:paraId="00A45B65" w14:textId="77777777" w:rsidR="00A52EAC" w:rsidRPr="006D1351" w:rsidRDefault="00A52EAC" w:rsidP="00350AF2">
            <w:pPr>
              <w:spacing w:line="360" w:lineRule="auto"/>
              <w:jc w:val="center"/>
              <w:rPr>
                <w:rFonts w:ascii="Times New Roman" w:eastAsia="Calibri" w:hAnsi="Times New Roman" w:cs="Times New Roman"/>
                <w:bCs/>
                <w:i/>
                <w:sz w:val="24"/>
                <w:szCs w:val="24"/>
                <w:lang w:val="en-US"/>
              </w:rPr>
            </w:pPr>
            <w:r w:rsidRPr="006D1351">
              <w:rPr>
                <w:rFonts w:ascii="Times New Roman" w:eastAsia="Calibri" w:hAnsi="Times New Roman" w:cs="Times New Roman"/>
                <w:bCs/>
                <w:i/>
                <w:sz w:val="24"/>
                <w:szCs w:val="24"/>
                <w:lang w:val="en-US"/>
              </w:rPr>
              <w:t>Staphylococcus aureus</w:t>
            </w:r>
          </w:p>
        </w:tc>
        <w:tc>
          <w:tcPr>
            <w:tcW w:w="3620" w:type="dxa"/>
            <w:gridSpan w:val="2"/>
            <w:vAlign w:val="center"/>
          </w:tcPr>
          <w:p w14:paraId="3C52E252"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Extra</w:t>
            </w:r>
            <w:r w:rsidR="006D1351" w:rsidRPr="006D1351">
              <w:rPr>
                <w:rFonts w:ascii="Times New Roman" w:eastAsia="Calibri" w:hAnsi="Times New Roman" w:cs="Times New Roman"/>
                <w:sz w:val="24"/>
                <w:szCs w:val="24"/>
                <w:lang w:val="en-US"/>
              </w:rPr>
              <w:t>c</w:t>
            </w:r>
            <w:r w:rsidRPr="006D1351">
              <w:rPr>
                <w:rFonts w:ascii="Times New Roman" w:eastAsia="Calibri" w:hAnsi="Times New Roman" w:cs="Times New Roman"/>
                <w:sz w:val="24"/>
                <w:szCs w:val="24"/>
                <w:lang w:val="en-US"/>
              </w:rPr>
              <w:t>ts</w:t>
            </w:r>
          </w:p>
        </w:tc>
        <w:tc>
          <w:tcPr>
            <w:tcW w:w="3626" w:type="dxa"/>
            <w:gridSpan w:val="2"/>
            <w:vAlign w:val="center"/>
          </w:tcPr>
          <w:p w14:paraId="52C13935" w14:textId="77777777" w:rsidR="00A52EAC" w:rsidRPr="006D1351" w:rsidRDefault="006D1351"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Reference antibiotic</w:t>
            </w:r>
          </w:p>
        </w:tc>
      </w:tr>
      <w:tr w:rsidR="00A52EAC" w:rsidRPr="006D1351" w14:paraId="2218E7DC" w14:textId="77777777" w:rsidTr="00350AF2">
        <w:tc>
          <w:tcPr>
            <w:tcW w:w="1816" w:type="dxa"/>
            <w:vMerge/>
            <w:vAlign w:val="center"/>
          </w:tcPr>
          <w:p w14:paraId="31AA31F3" w14:textId="77777777" w:rsidR="00A52EAC" w:rsidRPr="006D1351" w:rsidRDefault="00A52EAC" w:rsidP="00350AF2">
            <w:pPr>
              <w:spacing w:line="360" w:lineRule="auto"/>
              <w:jc w:val="center"/>
              <w:rPr>
                <w:rFonts w:ascii="Times New Roman" w:eastAsia="Calibri" w:hAnsi="Times New Roman" w:cs="Times New Roman"/>
                <w:bCs/>
                <w:iCs/>
                <w:sz w:val="24"/>
                <w:szCs w:val="24"/>
                <w:lang w:val="en-US"/>
              </w:rPr>
            </w:pPr>
          </w:p>
        </w:tc>
        <w:tc>
          <w:tcPr>
            <w:tcW w:w="1810" w:type="dxa"/>
            <w:vAlign w:val="center"/>
          </w:tcPr>
          <w:p w14:paraId="694B050D"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FAC</w:t>
            </w:r>
          </w:p>
        </w:tc>
        <w:tc>
          <w:tcPr>
            <w:tcW w:w="1810" w:type="dxa"/>
            <w:vAlign w:val="center"/>
          </w:tcPr>
          <w:p w14:paraId="7E0DB263"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GAC</w:t>
            </w:r>
          </w:p>
        </w:tc>
        <w:tc>
          <w:tcPr>
            <w:tcW w:w="1813" w:type="dxa"/>
            <w:vAlign w:val="center"/>
          </w:tcPr>
          <w:p w14:paraId="6E818B07"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proofErr w:type="spellStart"/>
            <w:r w:rsidRPr="006D1351">
              <w:rPr>
                <w:rFonts w:ascii="Times New Roman" w:eastAsia="Calibri" w:hAnsi="Times New Roman" w:cs="Times New Roman"/>
                <w:iCs/>
                <w:sz w:val="24"/>
                <w:szCs w:val="24"/>
                <w:lang w:val="en-US"/>
              </w:rPr>
              <w:t>Vancomycine</w:t>
            </w:r>
            <w:proofErr w:type="spellEnd"/>
            <w:r w:rsidRPr="006D1351">
              <w:rPr>
                <w:rFonts w:ascii="Times New Roman" w:eastAsia="Calibri" w:hAnsi="Times New Roman" w:cs="Times New Roman"/>
                <w:iCs/>
                <w:sz w:val="24"/>
                <w:szCs w:val="24"/>
                <w:lang w:val="en-US"/>
              </w:rPr>
              <w:t xml:space="preserve"> (Van)</w:t>
            </w:r>
          </w:p>
        </w:tc>
        <w:tc>
          <w:tcPr>
            <w:tcW w:w="1813" w:type="dxa"/>
            <w:vAlign w:val="center"/>
          </w:tcPr>
          <w:p w14:paraId="7ABF908A"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proofErr w:type="spellStart"/>
            <w:r w:rsidRPr="006D1351">
              <w:rPr>
                <w:rFonts w:ascii="Times New Roman" w:eastAsia="Calibri" w:hAnsi="Times New Roman" w:cs="Times New Roman"/>
                <w:iCs/>
                <w:sz w:val="24"/>
                <w:szCs w:val="24"/>
                <w:lang w:val="en-US"/>
              </w:rPr>
              <w:t>Erythromycine</w:t>
            </w:r>
            <w:proofErr w:type="spellEnd"/>
            <w:r w:rsidRPr="006D1351">
              <w:rPr>
                <w:rFonts w:ascii="Times New Roman" w:eastAsia="Calibri" w:hAnsi="Times New Roman" w:cs="Times New Roman"/>
                <w:iCs/>
                <w:sz w:val="24"/>
                <w:szCs w:val="24"/>
                <w:lang w:val="en-US"/>
              </w:rPr>
              <w:t xml:space="preserve"> (</w:t>
            </w:r>
            <w:proofErr w:type="spellStart"/>
            <w:r w:rsidRPr="006D1351">
              <w:rPr>
                <w:rFonts w:ascii="Times New Roman" w:eastAsia="Calibri" w:hAnsi="Times New Roman" w:cs="Times New Roman"/>
                <w:iCs/>
                <w:sz w:val="24"/>
                <w:szCs w:val="24"/>
                <w:lang w:val="en-US"/>
              </w:rPr>
              <w:t>Ery</w:t>
            </w:r>
            <w:proofErr w:type="spellEnd"/>
            <w:r w:rsidRPr="006D1351">
              <w:rPr>
                <w:rFonts w:ascii="Times New Roman" w:eastAsia="Calibri" w:hAnsi="Times New Roman" w:cs="Times New Roman"/>
                <w:iCs/>
                <w:sz w:val="24"/>
                <w:szCs w:val="24"/>
                <w:lang w:val="en-US"/>
              </w:rPr>
              <w:t>)</w:t>
            </w:r>
          </w:p>
        </w:tc>
      </w:tr>
      <w:tr w:rsidR="00A52EAC" w:rsidRPr="006D1351" w14:paraId="05ACD338" w14:textId="77777777" w:rsidTr="00350AF2">
        <w:tc>
          <w:tcPr>
            <w:tcW w:w="1816" w:type="dxa"/>
            <w:vAlign w:val="center"/>
          </w:tcPr>
          <w:p w14:paraId="3083A1CA" w14:textId="77777777" w:rsidR="00A52EAC" w:rsidRPr="006D1351" w:rsidRDefault="006D1351" w:rsidP="00350AF2">
            <w:pPr>
              <w:spacing w:line="360" w:lineRule="auto"/>
              <w:jc w:val="center"/>
              <w:rPr>
                <w:rFonts w:ascii="Times New Roman" w:eastAsia="Calibri" w:hAnsi="Times New Roman" w:cs="Times New Roman"/>
                <w:bCs/>
                <w:iCs/>
                <w:sz w:val="24"/>
                <w:szCs w:val="24"/>
                <w:lang w:val="en-US"/>
              </w:rPr>
            </w:pPr>
            <w:r w:rsidRPr="006D1351">
              <w:rPr>
                <w:rFonts w:ascii="Times New Roman" w:eastAsia="Calibri" w:hAnsi="Times New Roman" w:cs="Times New Roman"/>
                <w:bCs/>
                <w:sz w:val="24"/>
                <w:szCs w:val="24"/>
                <w:lang w:val="en-US"/>
              </w:rPr>
              <w:t>Inhibition diameter (mm)</w:t>
            </w:r>
          </w:p>
        </w:tc>
        <w:tc>
          <w:tcPr>
            <w:tcW w:w="1810" w:type="dxa"/>
            <w:vAlign w:val="center"/>
          </w:tcPr>
          <w:p w14:paraId="44E28512"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w:t>
            </w:r>
          </w:p>
        </w:tc>
        <w:tc>
          <w:tcPr>
            <w:tcW w:w="1810" w:type="dxa"/>
            <w:vAlign w:val="center"/>
          </w:tcPr>
          <w:p w14:paraId="4117D057"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12</w:t>
            </w:r>
          </w:p>
        </w:tc>
        <w:tc>
          <w:tcPr>
            <w:tcW w:w="1813" w:type="dxa"/>
            <w:vAlign w:val="center"/>
          </w:tcPr>
          <w:p w14:paraId="49A07A6A"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18</w:t>
            </w:r>
          </w:p>
        </w:tc>
        <w:tc>
          <w:tcPr>
            <w:tcW w:w="1813" w:type="dxa"/>
            <w:vAlign w:val="center"/>
          </w:tcPr>
          <w:p w14:paraId="2C85020F"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25</w:t>
            </w:r>
          </w:p>
        </w:tc>
      </w:tr>
    </w:tbl>
    <w:p w14:paraId="0A73AA17" w14:textId="77777777" w:rsidR="00A52EAC" w:rsidRDefault="00A52EAC" w:rsidP="008D4A94">
      <w:pPr>
        <w:spacing w:line="360" w:lineRule="auto"/>
        <w:jc w:val="both"/>
        <w:rPr>
          <w:rFonts w:ascii="Times New Roman" w:hAnsi="Times New Roman" w:cs="Times New Roman"/>
          <w:lang w:val="en-US"/>
        </w:rPr>
      </w:pPr>
    </w:p>
    <w:p w14:paraId="1250DBD9" w14:textId="77777777" w:rsidR="00A52EAC" w:rsidRDefault="00A52EAC" w:rsidP="00A52EAC">
      <w:pPr>
        <w:spacing w:line="360" w:lineRule="auto"/>
        <w:jc w:val="center"/>
        <w:rPr>
          <w:rFonts w:ascii="Times New Roman" w:hAnsi="Times New Roman" w:cs="Times New Roman"/>
          <w:lang w:val="en-US"/>
        </w:rPr>
      </w:pPr>
      <w:r>
        <w:rPr>
          <w:rFonts w:ascii="Times New Roman" w:eastAsia="Calibri" w:hAnsi="Times New Roman" w:cs="Times New Roman"/>
          <w:noProof/>
          <w:highlight w:val="yellow"/>
          <w:lang w:val="fr-FR" w:eastAsia="fr-FR"/>
        </w:rPr>
        <w:drawing>
          <wp:inline distT="0" distB="0" distL="0" distR="0" wp14:anchorId="64D005E1" wp14:editId="07029AD1">
            <wp:extent cx="4968240" cy="2121535"/>
            <wp:effectExtent l="0" t="0" r="10160" b="1206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BD0A51" w14:textId="2B5F7FB0" w:rsidR="00A52EAC" w:rsidRP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b/>
          <w:bCs/>
          <w:lang w:val="en-US"/>
        </w:rPr>
        <w:t xml:space="preserve">Figure </w:t>
      </w:r>
      <w:r w:rsidR="00BD4560">
        <w:rPr>
          <w:rFonts w:ascii="Times New Roman" w:hAnsi="Times New Roman" w:cs="Times New Roman"/>
          <w:b/>
          <w:bCs/>
          <w:lang w:val="en-US"/>
        </w:rPr>
        <w:t>4</w:t>
      </w:r>
      <w:r w:rsidRPr="00A52EAC">
        <w:rPr>
          <w:rFonts w:ascii="Times New Roman" w:hAnsi="Times New Roman" w:cs="Times New Roman"/>
          <w:b/>
          <w:bCs/>
          <w:lang w:val="en-US"/>
        </w:rPr>
        <w:t>:</w:t>
      </w:r>
      <w:r w:rsidRPr="00A52EAC">
        <w:rPr>
          <w:rFonts w:ascii="Times New Roman" w:hAnsi="Times New Roman" w:cs="Times New Roman"/>
          <w:lang w:val="en-US"/>
        </w:rPr>
        <w:t xml:space="preserve"> </w:t>
      </w:r>
      <w:r w:rsidR="00C4289F">
        <w:rPr>
          <w:rFonts w:ascii="Times New Roman" w:hAnsi="Times New Roman" w:cs="Times New Roman"/>
          <w:lang w:val="en-US"/>
        </w:rPr>
        <w:t>i</w:t>
      </w:r>
      <w:r w:rsidRPr="00A52EAC">
        <w:rPr>
          <w:rFonts w:ascii="Times New Roman" w:hAnsi="Times New Roman" w:cs="Times New Roman"/>
          <w:lang w:val="en-US"/>
        </w:rPr>
        <w:t>nhibition zone diameters for antibiotics and FAC and GAC extracts</w:t>
      </w:r>
    </w:p>
    <w:p w14:paraId="5A41AB8D" w14:textId="77777777" w:rsidR="00A52EAC" w:rsidRP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The analysis that can be made is that, for Enterococcus and Pseudomonas aeruginosa, their inhibition zone diameters are equal (8 mm) for FAC. The same applies to GACs on Staphylococcus and Pseudomonas aeruginosa, with a diameter of 12 mm. The inhibition diameter (19 mm) recorded with Enterococcus faecalis with GAC is greater than those recorded with all other strains. This diameter is even comparable with the control antibiotics (Ami and Van). According to one of the references on zones of inhibition, the zone diameter can be broken down as follows. Extremely sensitive d ≥ 20 mm, very sensitive 15 ≤ d ≤ 19 sensitive 9 ≤ d</w:t>
      </w:r>
      <w:r w:rsidR="007E4AA1">
        <w:rPr>
          <w:rFonts w:ascii="Times New Roman" w:hAnsi="Times New Roman" w:cs="Times New Roman"/>
          <w:lang w:val="en-US"/>
        </w:rPr>
        <w:t xml:space="preserve"> ≤ 14 and insensitive d ≤ 9) [40</w:t>
      </w:r>
      <w:r w:rsidRPr="00A52EAC">
        <w:rPr>
          <w:rFonts w:ascii="Times New Roman" w:hAnsi="Times New Roman" w:cs="Times New Roman"/>
          <w:lang w:val="en-US"/>
        </w:rPr>
        <w:t>] we can conclude that the leaves have just a low sensitivity but the seeds have a medium or eve</w:t>
      </w:r>
      <w:r w:rsidR="007E4AA1">
        <w:rPr>
          <w:rFonts w:ascii="Times New Roman" w:hAnsi="Times New Roman" w:cs="Times New Roman"/>
          <w:lang w:val="en-US"/>
        </w:rPr>
        <w:t>n very sensitive sensitivity [41</w:t>
      </w:r>
      <w:r w:rsidRPr="00A52EAC">
        <w:rPr>
          <w:rFonts w:ascii="Times New Roman" w:hAnsi="Times New Roman" w:cs="Times New Roman"/>
          <w:lang w:val="en-US"/>
        </w:rPr>
        <w:t xml:space="preserve">]. This confirms the antibacterial activity of GAC on </w:t>
      </w:r>
      <w:r w:rsidRPr="00A52EAC">
        <w:rPr>
          <w:rFonts w:ascii="Times New Roman" w:hAnsi="Times New Roman" w:cs="Times New Roman"/>
          <w:i/>
          <w:iCs/>
          <w:lang w:val="en-US"/>
        </w:rPr>
        <w:t xml:space="preserve">Pseudomonas </w:t>
      </w:r>
      <w:proofErr w:type="spellStart"/>
      <w:r w:rsidRPr="00A52EAC">
        <w:rPr>
          <w:rFonts w:ascii="Times New Roman" w:hAnsi="Times New Roman" w:cs="Times New Roman"/>
          <w:i/>
          <w:iCs/>
          <w:lang w:val="en-US"/>
        </w:rPr>
        <w:t>aerigunosa</w:t>
      </w:r>
      <w:proofErr w:type="spellEnd"/>
      <w:r w:rsidRPr="00A52EAC">
        <w:rPr>
          <w:rFonts w:ascii="Times New Roman" w:hAnsi="Times New Roman" w:cs="Times New Roman"/>
          <w:lang w:val="en-US"/>
        </w:rPr>
        <w:t xml:space="preserve">. </w:t>
      </w:r>
    </w:p>
    <w:p w14:paraId="245F302B" w14:textId="77777777" w:rsidR="00A52EAC" w:rsidRP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 xml:space="preserve">No zone of inhibition diameter was recorded with FAC on Staphylococcus. On the other hand, comparison of the GAC inhibition zone diameter (12 mm) with that of the gel composed of </w:t>
      </w:r>
      <w:proofErr w:type="spellStart"/>
      <w:r w:rsidRPr="00A52EAC">
        <w:rPr>
          <w:rFonts w:ascii="Times New Roman" w:hAnsi="Times New Roman" w:cs="Times New Roman"/>
          <w:i/>
          <w:iCs/>
          <w:lang w:val="en-US"/>
        </w:rPr>
        <w:t>lawsonia</w:t>
      </w:r>
      <w:proofErr w:type="spellEnd"/>
      <w:r w:rsidRPr="00A52EAC">
        <w:rPr>
          <w:rFonts w:ascii="Times New Roman" w:hAnsi="Times New Roman" w:cs="Times New Roman"/>
          <w:i/>
          <w:iCs/>
          <w:lang w:val="en-US"/>
        </w:rPr>
        <w:t xml:space="preserve"> </w:t>
      </w:r>
      <w:proofErr w:type="spellStart"/>
      <w:r w:rsidRPr="00A52EAC">
        <w:rPr>
          <w:rFonts w:ascii="Times New Roman" w:hAnsi="Times New Roman" w:cs="Times New Roman"/>
          <w:i/>
          <w:iCs/>
          <w:lang w:val="en-US"/>
        </w:rPr>
        <w:t>inermis</w:t>
      </w:r>
      <w:proofErr w:type="spellEnd"/>
      <w:r w:rsidRPr="00A52EAC">
        <w:rPr>
          <w:rFonts w:ascii="Times New Roman" w:hAnsi="Times New Roman" w:cs="Times New Roman"/>
          <w:lang w:val="en-US"/>
        </w:rPr>
        <w:t xml:space="preserve"> extract and starch glycerol (8 to 10 mm) proves G</w:t>
      </w:r>
      <w:r w:rsidR="00262A4A">
        <w:rPr>
          <w:rFonts w:ascii="Times New Roman" w:hAnsi="Times New Roman" w:cs="Times New Roman"/>
          <w:lang w:val="en-US"/>
        </w:rPr>
        <w:t>AC activity on Staphylococcus [2</w:t>
      </w:r>
      <w:r w:rsidR="007E4AA1">
        <w:rPr>
          <w:rFonts w:ascii="Times New Roman" w:hAnsi="Times New Roman" w:cs="Times New Roman"/>
          <w:lang w:val="en-US"/>
        </w:rPr>
        <w:t>3</w:t>
      </w:r>
      <w:r w:rsidRPr="00A52EAC">
        <w:rPr>
          <w:rFonts w:ascii="Times New Roman" w:hAnsi="Times New Roman" w:cs="Times New Roman"/>
          <w:lang w:val="en-US"/>
        </w:rPr>
        <w:t xml:space="preserve">]. However, a double value was noted at 200 mg/mL concentration and roughly equal to 25 mg/mL concentration with the aqueous lime extract of </w:t>
      </w:r>
      <w:proofErr w:type="spellStart"/>
      <w:r w:rsidRPr="00A52EAC">
        <w:rPr>
          <w:rFonts w:ascii="Times New Roman" w:hAnsi="Times New Roman" w:cs="Times New Roman"/>
          <w:i/>
          <w:iCs/>
          <w:lang w:val="en-US"/>
        </w:rPr>
        <w:t>lawsonia</w:t>
      </w:r>
      <w:proofErr w:type="spellEnd"/>
      <w:r w:rsidRPr="00A52EAC">
        <w:rPr>
          <w:rFonts w:ascii="Times New Roman" w:hAnsi="Times New Roman" w:cs="Times New Roman"/>
          <w:i/>
          <w:iCs/>
          <w:lang w:val="en-US"/>
        </w:rPr>
        <w:t xml:space="preserve"> </w:t>
      </w:r>
      <w:proofErr w:type="spellStart"/>
      <w:r w:rsidRPr="00A52EAC">
        <w:rPr>
          <w:rFonts w:ascii="Times New Roman" w:hAnsi="Times New Roman" w:cs="Times New Roman"/>
          <w:i/>
          <w:iCs/>
          <w:lang w:val="en-US"/>
        </w:rPr>
        <w:t>inermis</w:t>
      </w:r>
      <w:proofErr w:type="spellEnd"/>
      <w:r w:rsidRPr="00A52EAC">
        <w:rPr>
          <w:rFonts w:ascii="Times New Roman" w:hAnsi="Times New Roman" w:cs="Times New Roman"/>
          <w:lang w:val="en-US"/>
        </w:rPr>
        <w:t xml:space="preserve"> on </w:t>
      </w:r>
      <w:proofErr w:type="spellStart"/>
      <w:r w:rsidRPr="00A52EAC">
        <w:rPr>
          <w:rFonts w:ascii="Times New Roman" w:hAnsi="Times New Roman" w:cs="Times New Roman"/>
          <w:i/>
          <w:iCs/>
          <w:lang w:val="en-US"/>
        </w:rPr>
        <w:t>Staphycoccus</w:t>
      </w:r>
      <w:proofErr w:type="spellEnd"/>
      <w:r w:rsidRPr="00A52EAC">
        <w:rPr>
          <w:rFonts w:ascii="Times New Roman" w:hAnsi="Times New Roman" w:cs="Times New Roman"/>
          <w:i/>
          <w:iCs/>
          <w:lang w:val="en-US"/>
        </w:rPr>
        <w:t xml:space="preserve"> aureus</w:t>
      </w:r>
      <w:r w:rsidRPr="00A52EAC">
        <w:rPr>
          <w:rFonts w:ascii="Times New Roman" w:hAnsi="Times New Roman" w:cs="Times New Roman"/>
          <w:lang w:val="en-US"/>
        </w:rPr>
        <w:t>, and a much larger diameter with the e</w:t>
      </w:r>
      <w:r w:rsidR="007E4AA1">
        <w:rPr>
          <w:rFonts w:ascii="Times New Roman" w:hAnsi="Times New Roman" w:cs="Times New Roman"/>
          <w:lang w:val="en-US"/>
        </w:rPr>
        <w:t>thanolic extract (28; 42 mm) [42</w:t>
      </w:r>
      <w:r w:rsidRPr="00A52EAC">
        <w:rPr>
          <w:rFonts w:ascii="Times New Roman" w:hAnsi="Times New Roman" w:cs="Times New Roman"/>
          <w:lang w:val="en-US"/>
        </w:rPr>
        <w:t xml:space="preserve">, </w:t>
      </w:r>
      <w:r w:rsidR="007E4AA1">
        <w:rPr>
          <w:rFonts w:ascii="Times New Roman" w:hAnsi="Times New Roman" w:cs="Times New Roman"/>
          <w:lang w:val="en-US"/>
        </w:rPr>
        <w:t>43</w:t>
      </w:r>
      <w:r w:rsidRPr="00A52EAC">
        <w:rPr>
          <w:rFonts w:ascii="Times New Roman" w:hAnsi="Times New Roman" w:cs="Times New Roman"/>
          <w:lang w:val="en-US"/>
        </w:rPr>
        <w:t xml:space="preserve">]. This suggests that extraction parameters such as solvent polarity, extraction type and method may influence antibacterial activity. </w:t>
      </w:r>
    </w:p>
    <w:p w14:paraId="72C7A355" w14:textId="77777777" w:rsid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 xml:space="preserve">Minimum sensitivity concentrations were then determined and reported in the table below.   </w:t>
      </w:r>
    </w:p>
    <w:p w14:paraId="6FD1D92E" w14:textId="77777777" w:rsidR="00A52EAC" w:rsidRP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lastRenderedPageBreak/>
        <w:t xml:space="preserve">             </w:t>
      </w:r>
    </w:p>
    <w:p w14:paraId="6085A9BA" w14:textId="796709DC" w:rsid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 xml:space="preserve"> </w:t>
      </w:r>
      <w:r w:rsidRPr="00A52EAC">
        <w:rPr>
          <w:rFonts w:ascii="Times New Roman" w:hAnsi="Times New Roman" w:cs="Times New Roman"/>
          <w:b/>
          <w:bCs/>
          <w:lang w:val="en-US"/>
        </w:rPr>
        <w:t xml:space="preserve">Table </w:t>
      </w:r>
      <w:r w:rsidR="00BD4560">
        <w:rPr>
          <w:rFonts w:ascii="Times New Roman" w:hAnsi="Times New Roman" w:cs="Times New Roman"/>
          <w:b/>
          <w:bCs/>
          <w:lang w:val="en-US"/>
        </w:rPr>
        <w:t>9</w:t>
      </w:r>
      <w:r w:rsidRPr="00A52EAC">
        <w:rPr>
          <w:rFonts w:ascii="Times New Roman" w:hAnsi="Times New Roman" w:cs="Times New Roman"/>
          <w:b/>
          <w:bCs/>
          <w:lang w:val="en-US"/>
        </w:rPr>
        <w:t>:</w:t>
      </w:r>
      <w:r w:rsidRPr="00A52EAC">
        <w:rPr>
          <w:rFonts w:ascii="Times New Roman" w:hAnsi="Times New Roman" w:cs="Times New Roman"/>
          <w:lang w:val="en-US"/>
        </w:rPr>
        <w:t xml:space="preserve"> </w:t>
      </w:r>
      <w:r w:rsidR="00C4289F">
        <w:rPr>
          <w:rFonts w:ascii="Times New Roman" w:hAnsi="Times New Roman" w:cs="Times New Roman"/>
          <w:lang w:val="en-US"/>
        </w:rPr>
        <w:t>m</w:t>
      </w:r>
      <w:r w:rsidRPr="00A52EAC">
        <w:rPr>
          <w:rFonts w:ascii="Times New Roman" w:hAnsi="Times New Roman" w:cs="Times New Roman"/>
          <w:lang w:val="en-US"/>
        </w:rPr>
        <w:t xml:space="preserve">inimum inhibitory concentrations (MICs) of acetone extracts and control antibiotics on the three strains   </w:t>
      </w:r>
    </w:p>
    <w:tbl>
      <w:tblPr>
        <w:tblStyle w:val="Grilledutableau11"/>
        <w:tblW w:w="0" w:type="auto"/>
        <w:tblLook w:val="04A0" w:firstRow="1" w:lastRow="0" w:firstColumn="1" w:lastColumn="0" w:noHBand="0" w:noVBand="1"/>
      </w:tblPr>
      <w:tblGrid>
        <w:gridCol w:w="1508"/>
        <w:gridCol w:w="1508"/>
        <w:gridCol w:w="1995"/>
        <w:gridCol w:w="1986"/>
        <w:gridCol w:w="2065"/>
      </w:tblGrid>
      <w:tr w:rsidR="00A52EAC" w:rsidRPr="006D1351" w14:paraId="2887C684" w14:textId="77777777" w:rsidTr="00B02975">
        <w:tc>
          <w:tcPr>
            <w:tcW w:w="3016" w:type="dxa"/>
            <w:gridSpan w:val="2"/>
            <w:tcBorders>
              <w:top w:val="single" w:sz="4" w:space="0" w:color="auto"/>
              <w:left w:val="single" w:sz="4" w:space="0" w:color="auto"/>
              <w:bottom w:val="single" w:sz="4" w:space="0" w:color="auto"/>
              <w:right w:val="single" w:sz="4" w:space="0" w:color="auto"/>
            </w:tcBorders>
          </w:tcPr>
          <w:p w14:paraId="02CD33B1" w14:textId="77777777" w:rsidR="00A52EAC" w:rsidRPr="006D1351" w:rsidRDefault="006D1351" w:rsidP="00B02975">
            <w:pPr>
              <w:jc w:val="center"/>
              <w:rPr>
                <w:rFonts w:ascii="Times New Roman" w:hAnsi="Times New Roman"/>
                <w:b/>
                <w:sz w:val="24"/>
                <w:szCs w:val="24"/>
                <w:lang w:val="en-US"/>
              </w:rPr>
            </w:pPr>
            <w:r w:rsidRPr="006D1351">
              <w:rPr>
                <w:rFonts w:ascii="Times New Roman" w:hAnsi="Times New Roman"/>
                <w:b/>
                <w:sz w:val="24"/>
                <w:szCs w:val="24"/>
                <w:lang w:val="en-US"/>
              </w:rPr>
              <w:t xml:space="preserve">Tested strains </w:t>
            </w:r>
            <w:r w:rsidR="00A52EAC" w:rsidRPr="006D1351">
              <w:rPr>
                <w:rFonts w:ascii="Times New Roman" w:hAnsi="Times New Roman"/>
                <w:b/>
                <w:sz w:val="24"/>
                <w:szCs w:val="24"/>
                <w:lang w:val="en-US"/>
              </w:rPr>
              <w:t>(</w:t>
            </w:r>
            <w:proofErr w:type="spellStart"/>
            <w:r w:rsidR="00A52EAC" w:rsidRPr="006D1351">
              <w:rPr>
                <w:rFonts w:ascii="Times New Roman" w:hAnsi="Times New Roman"/>
                <w:b/>
                <w:sz w:val="24"/>
                <w:szCs w:val="24"/>
                <w:lang w:val="en-US"/>
              </w:rPr>
              <w:t>μg</w:t>
            </w:r>
            <w:proofErr w:type="spellEnd"/>
            <w:r w:rsidR="00A52EAC" w:rsidRPr="006D1351">
              <w:rPr>
                <w:rFonts w:ascii="Times New Roman" w:hAnsi="Times New Roman"/>
                <w:b/>
                <w:sz w:val="24"/>
                <w:szCs w:val="24"/>
                <w:lang w:val="en-US"/>
              </w:rPr>
              <w:t>/mL)</w:t>
            </w:r>
          </w:p>
        </w:tc>
        <w:tc>
          <w:tcPr>
            <w:tcW w:w="1995" w:type="dxa"/>
            <w:tcBorders>
              <w:top w:val="single" w:sz="4" w:space="0" w:color="auto"/>
              <w:left w:val="single" w:sz="4" w:space="0" w:color="auto"/>
              <w:bottom w:val="single" w:sz="4" w:space="0" w:color="auto"/>
              <w:right w:val="single" w:sz="4" w:space="0" w:color="auto"/>
            </w:tcBorders>
          </w:tcPr>
          <w:p w14:paraId="1544CF17" w14:textId="77777777" w:rsidR="00A52EAC" w:rsidRPr="006D1351" w:rsidRDefault="00A52EAC" w:rsidP="00B02975">
            <w:pPr>
              <w:jc w:val="center"/>
              <w:rPr>
                <w:rFonts w:ascii="Times New Roman" w:hAnsi="Times New Roman"/>
                <w:b/>
                <w:i/>
                <w:iCs/>
                <w:sz w:val="24"/>
                <w:szCs w:val="24"/>
                <w:lang w:val="en-US"/>
              </w:rPr>
            </w:pPr>
            <w:r w:rsidRPr="006D1351">
              <w:rPr>
                <w:rFonts w:ascii="Times New Roman" w:hAnsi="Times New Roman"/>
                <w:b/>
                <w:i/>
                <w:iCs/>
                <w:sz w:val="24"/>
                <w:szCs w:val="24"/>
                <w:lang w:val="en-US"/>
              </w:rPr>
              <w:t>Pseudomonas aeruginosa</w:t>
            </w:r>
          </w:p>
        </w:tc>
        <w:tc>
          <w:tcPr>
            <w:tcW w:w="1986" w:type="dxa"/>
            <w:tcBorders>
              <w:top w:val="single" w:sz="4" w:space="0" w:color="auto"/>
              <w:left w:val="single" w:sz="4" w:space="0" w:color="auto"/>
              <w:bottom w:val="single" w:sz="4" w:space="0" w:color="auto"/>
              <w:right w:val="single" w:sz="4" w:space="0" w:color="auto"/>
            </w:tcBorders>
          </w:tcPr>
          <w:p w14:paraId="0BC96B45" w14:textId="77777777" w:rsidR="00A52EAC" w:rsidRPr="006D1351" w:rsidRDefault="00A52EAC" w:rsidP="00B02975">
            <w:pPr>
              <w:jc w:val="center"/>
              <w:rPr>
                <w:rFonts w:ascii="Times New Roman" w:hAnsi="Times New Roman"/>
                <w:b/>
                <w:i/>
                <w:iCs/>
                <w:sz w:val="24"/>
                <w:szCs w:val="24"/>
                <w:lang w:val="en-US"/>
              </w:rPr>
            </w:pPr>
            <w:r w:rsidRPr="006D1351">
              <w:rPr>
                <w:rFonts w:ascii="Times New Roman" w:hAnsi="Times New Roman"/>
                <w:b/>
                <w:i/>
                <w:iCs/>
                <w:sz w:val="24"/>
                <w:szCs w:val="24"/>
                <w:lang w:val="en-US"/>
              </w:rPr>
              <w:t>Enterococcus faecalis</w:t>
            </w:r>
          </w:p>
        </w:tc>
        <w:tc>
          <w:tcPr>
            <w:tcW w:w="2065" w:type="dxa"/>
            <w:tcBorders>
              <w:top w:val="single" w:sz="4" w:space="0" w:color="auto"/>
              <w:left w:val="single" w:sz="4" w:space="0" w:color="auto"/>
              <w:bottom w:val="single" w:sz="4" w:space="0" w:color="auto"/>
              <w:right w:val="single" w:sz="4" w:space="0" w:color="auto"/>
            </w:tcBorders>
          </w:tcPr>
          <w:p w14:paraId="4924EC3D" w14:textId="77777777" w:rsidR="00A52EAC" w:rsidRPr="006D1351" w:rsidRDefault="00A52EAC" w:rsidP="00B02975">
            <w:pPr>
              <w:jc w:val="center"/>
              <w:rPr>
                <w:rFonts w:ascii="Times New Roman" w:hAnsi="Times New Roman"/>
                <w:i/>
                <w:iCs/>
                <w:sz w:val="24"/>
                <w:szCs w:val="24"/>
                <w:lang w:val="en-US"/>
              </w:rPr>
            </w:pPr>
            <w:r w:rsidRPr="006D1351">
              <w:rPr>
                <w:rFonts w:ascii="Times New Roman" w:hAnsi="Times New Roman"/>
                <w:b/>
                <w:i/>
                <w:iCs/>
                <w:sz w:val="24"/>
                <w:szCs w:val="24"/>
                <w:lang w:val="en-US"/>
              </w:rPr>
              <w:t>Staphylococcus aureus</w:t>
            </w:r>
          </w:p>
        </w:tc>
      </w:tr>
      <w:tr w:rsidR="00A52EAC" w:rsidRPr="006D1351" w14:paraId="54BD8C0A"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7BD76E12" w14:textId="77777777" w:rsidR="00A52EAC" w:rsidRPr="006D1351" w:rsidRDefault="00A52EAC" w:rsidP="00B02975">
            <w:pPr>
              <w:jc w:val="both"/>
              <w:rPr>
                <w:rFonts w:ascii="Times New Roman" w:hAnsi="Times New Roman"/>
                <w:sz w:val="24"/>
                <w:szCs w:val="24"/>
                <w:vertAlign w:val="superscript"/>
                <w:lang w:val="en-US"/>
              </w:rPr>
            </w:pPr>
            <w:r w:rsidRPr="006D1351">
              <w:rPr>
                <w:rFonts w:ascii="Times New Roman" w:hAnsi="Times New Roman"/>
                <w:sz w:val="24"/>
                <w:szCs w:val="24"/>
                <w:lang w:val="en-US"/>
              </w:rPr>
              <w:t xml:space="preserve">  C1 = 586</w:t>
            </w:r>
          </w:p>
        </w:tc>
        <w:tc>
          <w:tcPr>
            <w:tcW w:w="1508" w:type="dxa"/>
            <w:tcBorders>
              <w:top w:val="single" w:sz="4" w:space="0" w:color="auto"/>
              <w:left w:val="single" w:sz="4" w:space="0" w:color="auto"/>
              <w:bottom w:val="single" w:sz="4" w:space="0" w:color="auto"/>
              <w:right w:val="single" w:sz="4" w:space="0" w:color="auto"/>
            </w:tcBorders>
          </w:tcPr>
          <w:p w14:paraId="12A6AA9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1EEC2F7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5E5A75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3650CC6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7A47D5AE"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06B23D91"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7EF0A6A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71368A1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45BA4F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AD3614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0985B133"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30DD5BD7" w14:textId="77777777" w:rsidR="00A52EAC" w:rsidRPr="006D1351" w:rsidRDefault="00A52EAC" w:rsidP="00B02975">
            <w:pPr>
              <w:jc w:val="center"/>
              <w:rPr>
                <w:rFonts w:ascii="Times New Roman" w:hAnsi="Times New Roman"/>
                <w:sz w:val="24"/>
                <w:szCs w:val="24"/>
                <w:vertAlign w:val="superscript"/>
                <w:lang w:val="en-US"/>
              </w:rPr>
            </w:pPr>
            <w:r w:rsidRPr="006D1351">
              <w:rPr>
                <w:rFonts w:ascii="Times New Roman" w:hAnsi="Times New Roman"/>
                <w:sz w:val="24"/>
                <w:szCs w:val="24"/>
                <w:lang w:val="en-US"/>
              </w:rPr>
              <w:t>C2 = 1171</w:t>
            </w:r>
          </w:p>
        </w:tc>
        <w:tc>
          <w:tcPr>
            <w:tcW w:w="1508" w:type="dxa"/>
            <w:tcBorders>
              <w:top w:val="single" w:sz="4" w:space="0" w:color="auto"/>
              <w:left w:val="single" w:sz="4" w:space="0" w:color="auto"/>
              <w:bottom w:val="single" w:sz="4" w:space="0" w:color="auto"/>
              <w:right w:val="single" w:sz="4" w:space="0" w:color="auto"/>
            </w:tcBorders>
          </w:tcPr>
          <w:p w14:paraId="371902A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558869D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D50F90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66F5E6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00DF0D9E"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68EB96D7"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3106A17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666DAA5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182C064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6BFA6AC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25A85F8D"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081A183B" w14:textId="77777777" w:rsidR="00A52EAC" w:rsidRPr="006D1351" w:rsidRDefault="00A52EAC" w:rsidP="00B02975">
            <w:pPr>
              <w:jc w:val="center"/>
              <w:rPr>
                <w:rFonts w:ascii="Times New Roman" w:hAnsi="Times New Roman"/>
                <w:sz w:val="24"/>
                <w:szCs w:val="24"/>
                <w:vertAlign w:val="superscript"/>
                <w:lang w:val="en-US"/>
              </w:rPr>
            </w:pPr>
            <w:r w:rsidRPr="006D1351">
              <w:rPr>
                <w:rFonts w:ascii="Times New Roman" w:hAnsi="Times New Roman"/>
                <w:sz w:val="24"/>
                <w:szCs w:val="24"/>
                <w:lang w:val="en-US"/>
              </w:rPr>
              <w:t>C3 = 2338</w:t>
            </w:r>
          </w:p>
        </w:tc>
        <w:tc>
          <w:tcPr>
            <w:tcW w:w="1508" w:type="dxa"/>
            <w:tcBorders>
              <w:top w:val="single" w:sz="4" w:space="0" w:color="auto"/>
              <w:left w:val="single" w:sz="4" w:space="0" w:color="auto"/>
              <w:bottom w:val="single" w:sz="4" w:space="0" w:color="auto"/>
              <w:right w:val="single" w:sz="4" w:space="0" w:color="auto"/>
            </w:tcBorders>
          </w:tcPr>
          <w:p w14:paraId="6C203AE4"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2B802FA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FB114C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7776DA7A"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5FA9EAB5"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476666FC"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3E89A55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4197F11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7D09B37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78368C1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14CD6902"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149E082F" w14:textId="77777777" w:rsidR="00A52EAC" w:rsidRPr="006D1351" w:rsidRDefault="00A52EAC" w:rsidP="00B02975">
            <w:pPr>
              <w:jc w:val="center"/>
              <w:rPr>
                <w:rFonts w:ascii="Times New Roman" w:hAnsi="Times New Roman"/>
                <w:sz w:val="24"/>
                <w:szCs w:val="24"/>
                <w:vertAlign w:val="superscript"/>
                <w:lang w:val="en-US"/>
              </w:rPr>
            </w:pPr>
            <w:r w:rsidRPr="006D1351">
              <w:rPr>
                <w:rFonts w:ascii="Times New Roman" w:hAnsi="Times New Roman"/>
                <w:sz w:val="24"/>
                <w:szCs w:val="24"/>
                <w:lang w:val="en-US"/>
              </w:rPr>
              <w:t>C4 = 4688</w:t>
            </w:r>
          </w:p>
        </w:tc>
        <w:tc>
          <w:tcPr>
            <w:tcW w:w="1508" w:type="dxa"/>
            <w:tcBorders>
              <w:top w:val="single" w:sz="4" w:space="0" w:color="auto"/>
              <w:left w:val="single" w:sz="4" w:space="0" w:color="auto"/>
              <w:bottom w:val="single" w:sz="4" w:space="0" w:color="auto"/>
              <w:right w:val="single" w:sz="4" w:space="0" w:color="auto"/>
            </w:tcBorders>
          </w:tcPr>
          <w:p w14:paraId="0DACB22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353BCCDA"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22E87A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E1633C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455A55B2"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2742340A"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31D333F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0E7D0D0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E6A9DC3"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0B332D3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5714F4D7"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359668C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C5 = 9375</w:t>
            </w:r>
          </w:p>
        </w:tc>
        <w:tc>
          <w:tcPr>
            <w:tcW w:w="1508" w:type="dxa"/>
            <w:tcBorders>
              <w:top w:val="single" w:sz="4" w:space="0" w:color="auto"/>
              <w:left w:val="single" w:sz="4" w:space="0" w:color="auto"/>
              <w:bottom w:val="single" w:sz="4" w:space="0" w:color="auto"/>
              <w:right w:val="single" w:sz="4" w:space="0" w:color="auto"/>
            </w:tcBorders>
          </w:tcPr>
          <w:p w14:paraId="663E6F5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0442164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765E5C9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1D12034A"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09D6F264"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5A01B678"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0EC1F5A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41FAF71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3E70AB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61941AD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7F2EEE8B"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161DADF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C6=18750</w:t>
            </w:r>
          </w:p>
        </w:tc>
        <w:tc>
          <w:tcPr>
            <w:tcW w:w="1508" w:type="dxa"/>
            <w:tcBorders>
              <w:top w:val="single" w:sz="4" w:space="0" w:color="auto"/>
              <w:left w:val="single" w:sz="4" w:space="0" w:color="auto"/>
              <w:bottom w:val="single" w:sz="4" w:space="0" w:color="auto"/>
              <w:right w:val="single" w:sz="4" w:space="0" w:color="auto"/>
            </w:tcBorders>
          </w:tcPr>
          <w:p w14:paraId="0BA782B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344EAA3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48E4732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7F23102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73A444BF"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468256FD"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114FF19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42F3105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01C7543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6F7988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69A2D6DF"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7FEE36F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C7=375.10</w:t>
            </w:r>
            <w:r w:rsidRPr="006D1351">
              <w:rPr>
                <w:rFonts w:ascii="Times New Roman" w:hAnsi="Times New Roman"/>
                <w:sz w:val="24"/>
                <w:szCs w:val="24"/>
                <w:vertAlign w:val="superscript"/>
                <w:lang w:val="en-US"/>
              </w:rPr>
              <w:t>2</w:t>
            </w:r>
          </w:p>
        </w:tc>
        <w:tc>
          <w:tcPr>
            <w:tcW w:w="1508" w:type="dxa"/>
            <w:tcBorders>
              <w:top w:val="single" w:sz="4" w:space="0" w:color="auto"/>
              <w:left w:val="single" w:sz="4" w:space="0" w:color="auto"/>
              <w:bottom w:val="single" w:sz="4" w:space="0" w:color="auto"/>
              <w:right w:val="single" w:sz="4" w:space="0" w:color="auto"/>
            </w:tcBorders>
          </w:tcPr>
          <w:p w14:paraId="70BF8B0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7F448724"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030171E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697C890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7F64CA74"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271A125D"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2E3F3C1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4AF15B6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284C73D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18047E0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63024B89"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58B7CF8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C8 = 75.10</w:t>
            </w:r>
            <w:r w:rsidRPr="006D1351">
              <w:rPr>
                <w:rFonts w:ascii="Times New Roman" w:hAnsi="Times New Roman"/>
                <w:sz w:val="24"/>
                <w:szCs w:val="24"/>
                <w:vertAlign w:val="superscript"/>
                <w:lang w:val="en-US"/>
              </w:rPr>
              <w:t>3</w:t>
            </w:r>
          </w:p>
        </w:tc>
        <w:tc>
          <w:tcPr>
            <w:tcW w:w="1508" w:type="dxa"/>
            <w:tcBorders>
              <w:top w:val="single" w:sz="4" w:space="0" w:color="auto"/>
              <w:left w:val="single" w:sz="4" w:space="0" w:color="auto"/>
              <w:bottom w:val="single" w:sz="4" w:space="0" w:color="auto"/>
              <w:right w:val="single" w:sz="4" w:space="0" w:color="auto"/>
            </w:tcBorders>
          </w:tcPr>
          <w:p w14:paraId="1EA0826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0EB64FA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031B7F8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0F85C8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6E1F0C9E"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6A18A2DB"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4E2C8E7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1E623C1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39A7A4B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6F676F2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5BFBBCC9"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3833FC1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C9 = 15.10</w:t>
            </w:r>
            <w:r w:rsidRPr="006D1351">
              <w:rPr>
                <w:rFonts w:ascii="Times New Roman" w:hAnsi="Times New Roman"/>
                <w:sz w:val="24"/>
                <w:szCs w:val="24"/>
                <w:vertAlign w:val="superscript"/>
                <w:lang w:val="en-US"/>
              </w:rPr>
              <w:t>4</w:t>
            </w:r>
          </w:p>
        </w:tc>
        <w:tc>
          <w:tcPr>
            <w:tcW w:w="1508" w:type="dxa"/>
            <w:tcBorders>
              <w:top w:val="single" w:sz="4" w:space="0" w:color="auto"/>
              <w:left w:val="single" w:sz="4" w:space="0" w:color="auto"/>
              <w:bottom w:val="single" w:sz="4" w:space="0" w:color="auto"/>
              <w:right w:val="single" w:sz="4" w:space="0" w:color="auto"/>
            </w:tcBorders>
          </w:tcPr>
          <w:p w14:paraId="3D5BC1F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042D345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53DC10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3D21FD3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1F9A3082"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63863F63"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303AA70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5526D79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4E29951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2C49A05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05CCFAEF"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7943B674"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C10 = 3.10</w:t>
            </w:r>
            <w:r w:rsidRPr="006D1351">
              <w:rPr>
                <w:rFonts w:ascii="Times New Roman" w:hAnsi="Times New Roman"/>
                <w:sz w:val="24"/>
                <w:szCs w:val="24"/>
                <w:vertAlign w:val="superscript"/>
                <w:lang w:val="en-US"/>
              </w:rPr>
              <w:t>5</w:t>
            </w:r>
          </w:p>
        </w:tc>
        <w:tc>
          <w:tcPr>
            <w:tcW w:w="1508" w:type="dxa"/>
            <w:tcBorders>
              <w:top w:val="single" w:sz="4" w:space="0" w:color="auto"/>
              <w:left w:val="single" w:sz="4" w:space="0" w:color="auto"/>
              <w:bottom w:val="single" w:sz="4" w:space="0" w:color="auto"/>
              <w:right w:val="single" w:sz="4" w:space="0" w:color="auto"/>
            </w:tcBorders>
          </w:tcPr>
          <w:p w14:paraId="35BB681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71942B9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C5A2543"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095465A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1AA2B702"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23C363F0"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19DDC21C"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6B6C706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3A22180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48FFDBD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10126ECB" w14:textId="77777777" w:rsidTr="00B02975">
        <w:tc>
          <w:tcPr>
            <w:tcW w:w="3016" w:type="dxa"/>
            <w:gridSpan w:val="2"/>
            <w:tcBorders>
              <w:top w:val="single" w:sz="4" w:space="0" w:color="auto"/>
              <w:left w:val="single" w:sz="4" w:space="0" w:color="auto"/>
              <w:bottom w:val="single" w:sz="4" w:space="0" w:color="auto"/>
              <w:right w:val="single" w:sz="4" w:space="0" w:color="auto"/>
            </w:tcBorders>
          </w:tcPr>
          <w:p w14:paraId="6F5375A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T+</w:t>
            </w:r>
          </w:p>
        </w:tc>
        <w:tc>
          <w:tcPr>
            <w:tcW w:w="1995" w:type="dxa"/>
            <w:tcBorders>
              <w:top w:val="single" w:sz="4" w:space="0" w:color="auto"/>
              <w:left w:val="single" w:sz="4" w:space="0" w:color="auto"/>
              <w:bottom w:val="single" w:sz="4" w:space="0" w:color="auto"/>
              <w:right w:val="single" w:sz="4" w:space="0" w:color="auto"/>
            </w:tcBorders>
          </w:tcPr>
          <w:p w14:paraId="6FD5952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FC710CA"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42DC14B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473644F2" w14:textId="77777777" w:rsidTr="00B02975">
        <w:tc>
          <w:tcPr>
            <w:tcW w:w="3016" w:type="dxa"/>
            <w:gridSpan w:val="2"/>
            <w:tcBorders>
              <w:top w:val="single" w:sz="4" w:space="0" w:color="auto"/>
              <w:left w:val="single" w:sz="4" w:space="0" w:color="auto"/>
              <w:bottom w:val="single" w:sz="4" w:space="0" w:color="auto"/>
              <w:right w:val="single" w:sz="4" w:space="0" w:color="auto"/>
            </w:tcBorders>
          </w:tcPr>
          <w:p w14:paraId="2E3126D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T-</w:t>
            </w:r>
          </w:p>
        </w:tc>
        <w:tc>
          <w:tcPr>
            <w:tcW w:w="1995" w:type="dxa"/>
            <w:tcBorders>
              <w:top w:val="single" w:sz="4" w:space="0" w:color="auto"/>
              <w:left w:val="single" w:sz="4" w:space="0" w:color="auto"/>
              <w:bottom w:val="single" w:sz="4" w:space="0" w:color="auto"/>
              <w:right w:val="single" w:sz="4" w:space="0" w:color="auto"/>
            </w:tcBorders>
          </w:tcPr>
          <w:p w14:paraId="2EAB7EF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04337FF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46BFCD5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bl>
    <w:p w14:paraId="07FFE1CB" w14:textId="77777777" w:rsidR="00A52EAC" w:rsidRDefault="00A52EAC" w:rsidP="00A52EAC">
      <w:pPr>
        <w:spacing w:line="360" w:lineRule="auto"/>
        <w:jc w:val="both"/>
        <w:rPr>
          <w:rFonts w:ascii="Times New Roman" w:hAnsi="Times New Roman" w:cs="Times New Roman"/>
          <w:lang w:val="en-US"/>
        </w:rPr>
      </w:pPr>
    </w:p>
    <w:p w14:paraId="292E186C" w14:textId="5DB6DBE9" w:rsidR="00C4289F"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 xml:space="preserve">At C3 = 2338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 xml:space="preserve">/mL, we counted the MIC of </w:t>
      </w:r>
      <w:r w:rsidRPr="00EB1C0F">
        <w:rPr>
          <w:rFonts w:ascii="Times New Roman" w:hAnsi="Times New Roman" w:cs="Times New Roman"/>
          <w:i/>
          <w:iCs/>
          <w:lang w:val="en-US"/>
        </w:rPr>
        <w:t xml:space="preserve">Pseudomonas </w:t>
      </w:r>
      <w:proofErr w:type="spellStart"/>
      <w:r w:rsidRPr="00EB1C0F">
        <w:rPr>
          <w:rFonts w:ascii="Times New Roman" w:hAnsi="Times New Roman" w:cs="Times New Roman"/>
          <w:i/>
          <w:iCs/>
          <w:lang w:val="en-US"/>
        </w:rPr>
        <w:t>aerogunosa</w:t>
      </w:r>
      <w:proofErr w:type="spellEnd"/>
      <w:r w:rsidRPr="00A52EAC">
        <w:rPr>
          <w:rFonts w:ascii="Times New Roman" w:hAnsi="Times New Roman" w:cs="Times New Roman"/>
          <w:lang w:val="en-US"/>
        </w:rPr>
        <w:t xml:space="preserve"> with leaf extract and C7 = 375.102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 xml:space="preserve">/mL for seeds, for Enterococcus faecalis the MIC was spotted at C8 = 75.103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 xml:space="preserve">/mL with leaves and at C9 = 15.104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 xml:space="preserve">/mL for seeds and the MIC of </w:t>
      </w:r>
      <w:proofErr w:type="spellStart"/>
      <w:r w:rsidRPr="00EB1C0F">
        <w:rPr>
          <w:rFonts w:ascii="Times New Roman" w:hAnsi="Times New Roman" w:cs="Times New Roman"/>
          <w:i/>
          <w:iCs/>
          <w:lang w:val="en-US"/>
        </w:rPr>
        <w:t>Saphylococcus</w:t>
      </w:r>
      <w:proofErr w:type="spellEnd"/>
      <w:r w:rsidRPr="00A52EAC">
        <w:rPr>
          <w:rFonts w:ascii="Times New Roman" w:hAnsi="Times New Roman" w:cs="Times New Roman"/>
          <w:lang w:val="en-US"/>
        </w:rPr>
        <w:t xml:space="preserve"> is lastly C10 = 3.105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w:t>
      </w:r>
      <w:proofErr w:type="spellStart"/>
      <w:r w:rsidRPr="00A52EAC">
        <w:rPr>
          <w:rFonts w:ascii="Times New Roman" w:hAnsi="Times New Roman" w:cs="Times New Roman"/>
          <w:lang w:val="en-US"/>
        </w:rPr>
        <w:t>mL.</w:t>
      </w:r>
      <w:proofErr w:type="spellEnd"/>
      <w:r w:rsidRPr="00A52EAC">
        <w:rPr>
          <w:rFonts w:ascii="Times New Roman" w:hAnsi="Times New Roman" w:cs="Times New Roman"/>
          <w:lang w:val="en-US"/>
        </w:rPr>
        <w:t xml:space="preserve"> Given these MICs, we can say that they are independent of the diameters of the inhibition zones. This is because the GAC extract shows the largest inhibition diameters, while the FAC extract shows the highest MICs.  </w:t>
      </w:r>
    </w:p>
    <w:p w14:paraId="686BAF3D" w14:textId="77777777" w:rsidR="00A52EAC" w:rsidRPr="007337EB" w:rsidRDefault="00A52EAC" w:rsidP="007337EB">
      <w:pPr>
        <w:pStyle w:val="ListParagraph"/>
        <w:numPr>
          <w:ilvl w:val="0"/>
          <w:numId w:val="4"/>
        </w:numPr>
        <w:spacing w:after="0" w:line="360" w:lineRule="auto"/>
        <w:jc w:val="both"/>
        <w:rPr>
          <w:rFonts w:ascii="Times New Roman" w:hAnsi="Times New Roman" w:cs="Times New Roman"/>
          <w:b/>
          <w:bCs/>
          <w:sz w:val="24"/>
          <w:szCs w:val="24"/>
          <w:lang w:val="en-US"/>
        </w:rPr>
      </w:pPr>
      <w:r w:rsidRPr="007337EB">
        <w:rPr>
          <w:rFonts w:ascii="Times New Roman" w:hAnsi="Times New Roman" w:cs="Times New Roman"/>
          <w:b/>
          <w:bCs/>
          <w:sz w:val="24"/>
          <w:szCs w:val="24"/>
          <w:lang w:val="en-US"/>
        </w:rPr>
        <w:t>Viability tests</w:t>
      </w:r>
    </w:p>
    <w:p w14:paraId="062EA65C" w14:textId="4F31E348" w:rsidR="00A52EAC" w:rsidRDefault="00A52EAC" w:rsidP="007337EB">
      <w:pPr>
        <w:spacing w:line="360" w:lineRule="auto"/>
        <w:jc w:val="both"/>
        <w:rPr>
          <w:rFonts w:ascii="Times New Roman" w:hAnsi="Times New Roman" w:cs="Times New Roman"/>
          <w:lang w:val="en-US"/>
        </w:rPr>
      </w:pPr>
      <w:r w:rsidRPr="007337EB">
        <w:rPr>
          <w:rFonts w:ascii="Times New Roman" w:hAnsi="Times New Roman" w:cs="Times New Roman"/>
          <w:b/>
          <w:bCs/>
          <w:lang w:val="en-US"/>
        </w:rPr>
        <w:t xml:space="preserve">Table </w:t>
      </w:r>
      <w:r w:rsidR="00BD4560">
        <w:rPr>
          <w:rFonts w:ascii="Times New Roman" w:hAnsi="Times New Roman" w:cs="Times New Roman"/>
          <w:b/>
          <w:bCs/>
          <w:lang w:val="en-US"/>
        </w:rPr>
        <w:t>10</w:t>
      </w:r>
      <w:r w:rsidRPr="007337EB">
        <w:rPr>
          <w:rFonts w:ascii="Times New Roman" w:hAnsi="Times New Roman" w:cs="Times New Roman"/>
          <w:b/>
          <w:bCs/>
          <w:lang w:val="en-US"/>
        </w:rPr>
        <w:t>:</w:t>
      </w:r>
      <w:r w:rsidRPr="007337EB">
        <w:rPr>
          <w:rFonts w:ascii="Times New Roman" w:hAnsi="Times New Roman" w:cs="Times New Roman"/>
          <w:lang w:val="en-US"/>
        </w:rPr>
        <w:t xml:space="preserve"> Results of cell viability tests with FET and GET extracts</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527"/>
        <w:gridCol w:w="1450"/>
        <w:gridCol w:w="1276"/>
        <w:gridCol w:w="1175"/>
        <w:gridCol w:w="1300"/>
      </w:tblGrid>
      <w:tr w:rsidR="007337EB" w:rsidRPr="006D1351" w14:paraId="4AF495A4" w14:textId="77777777" w:rsidTr="00B02975">
        <w:trPr>
          <w:trHeight w:val="320"/>
          <w:jc w:val="center"/>
        </w:trPr>
        <w:tc>
          <w:tcPr>
            <w:tcW w:w="1833" w:type="dxa"/>
            <w:noWrap/>
            <w:vAlign w:val="bottom"/>
          </w:tcPr>
          <w:p w14:paraId="46B0B9D0" w14:textId="77777777" w:rsidR="007337EB" w:rsidRPr="006D1351" w:rsidRDefault="007337EB" w:rsidP="00B02975">
            <w:pPr>
              <w:jc w:val="both"/>
              <w:rPr>
                <w:rFonts w:ascii="Times New Roman" w:hAnsi="Times New Roman" w:cs="Times New Roman"/>
                <w:b/>
                <w:bCs/>
                <w:lang w:val="en-US"/>
              </w:rPr>
            </w:pPr>
            <w:r w:rsidRPr="006D1351">
              <w:rPr>
                <w:rFonts w:ascii="Times New Roman" w:hAnsi="Times New Roman" w:cs="Times New Roman"/>
                <w:b/>
                <w:bCs/>
                <w:lang w:val="en-US"/>
              </w:rPr>
              <w:t>IC</w:t>
            </w:r>
            <w:r w:rsidRPr="006D1351">
              <w:rPr>
                <w:rFonts w:ascii="Times New Roman" w:hAnsi="Times New Roman" w:cs="Times New Roman"/>
                <w:b/>
                <w:bCs/>
                <w:vertAlign w:val="subscript"/>
                <w:lang w:val="en-US"/>
              </w:rPr>
              <w:t>50</w:t>
            </w:r>
            <w:r w:rsidRPr="006D1351">
              <w:rPr>
                <w:rFonts w:ascii="Times New Roman" w:hAnsi="Times New Roman" w:cs="Times New Roman"/>
                <w:b/>
                <w:bCs/>
                <w:lang w:val="en-US"/>
              </w:rPr>
              <w:t xml:space="preserve"> (µg/mL)</w:t>
            </w:r>
          </w:p>
        </w:tc>
        <w:tc>
          <w:tcPr>
            <w:tcW w:w="1527" w:type="dxa"/>
            <w:noWrap/>
            <w:vAlign w:val="bottom"/>
          </w:tcPr>
          <w:p w14:paraId="04D548B7"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 xml:space="preserve">HUH7 </w:t>
            </w:r>
          </w:p>
        </w:tc>
        <w:tc>
          <w:tcPr>
            <w:tcW w:w="1450" w:type="dxa"/>
            <w:noWrap/>
            <w:vAlign w:val="bottom"/>
          </w:tcPr>
          <w:p w14:paraId="05535A64"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Hep3B</w:t>
            </w:r>
          </w:p>
        </w:tc>
        <w:tc>
          <w:tcPr>
            <w:tcW w:w="1276" w:type="dxa"/>
            <w:noWrap/>
            <w:vAlign w:val="bottom"/>
          </w:tcPr>
          <w:p w14:paraId="69BF73DC"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HEPA-RG</w:t>
            </w:r>
          </w:p>
        </w:tc>
        <w:tc>
          <w:tcPr>
            <w:tcW w:w="1175" w:type="dxa"/>
            <w:noWrap/>
            <w:vAlign w:val="bottom"/>
          </w:tcPr>
          <w:p w14:paraId="70CCAE56"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SI HUH7</w:t>
            </w:r>
          </w:p>
        </w:tc>
        <w:tc>
          <w:tcPr>
            <w:tcW w:w="1300" w:type="dxa"/>
            <w:noWrap/>
            <w:vAlign w:val="bottom"/>
          </w:tcPr>
          <w:p w14:paraId="77491D43"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SI Hep3B</w:t>
            </w:r>
          </w:p>
        </w:tc>
      </w:tr>
      <w:tr w:rsidR="007337EB" w:rsidRPr="006D1351" w14:paraId="32D3D6D0" w14:textId="77777777" w:rsidTr="00B02975">
        <w:trPr>
          <w:trHeight w:val="300"/>
          <w:jc w:val="center"/>
        </w:trPr>
        <w:tc>
          <w:tcPr>
            <w:tcW w:w="1833" w:type="dxa"/>
            <w:noWrap/>
            <w:vAlign w:val="bottom"/>
          </w:tcPr>
          <w:p w14:paraId="241D89A0" w14:textId="77777777" w:rsidR="007337EB" w:rsidRPr="006D1351" w:rsidRDefault="007337EB" w:rsidP="00B02975">
            <w:pPr>
              <w:jc w:val="both"/>
              <w:rPr>
                <w:rFonts w:ascii="Times New Roman" w:hAnsi="Times New Roman" w:cs="Times New Roman"/>
                <w:b/>
                <w:bCs/>
                <w:lang w:val="en-US"/>
              </w:rPr>
            </w:pPr>
            <w:r w:rsidRPr="006D1351">
              <w:rPr>
                <w:rFonts w:ascii="Times New Roman" w:hAnsi="Times New Roman" w:cs="Times New Roman"/>
                <w:b/>
                <w:bCs/>
                <w:lang w:val="en-US"/>
              </w:rPr>
              <w:t>FET</w:t>
            </w:r>
          </w:p>
        </w:tc>
        <w:tc>
          <w:tcPr>
            <w:tcW w:w="1527" w:type="dxa"/>
            <w:noWrap/>
            <w:vAlign w:val="bottom"/>
          </w:tcPr>
          <w:p w14:paraId="1C3578D3"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70.04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5.2</w:t>
            </w:r>
          </w:p>
        </w:tc>
        <w:tc>
          <w:tcPr>
            <w:tcW w:w="1450" w:type="dxa"/>
            <w:noWrap/>
            <w:vAlign w:val="bottom"/>
          </w:tcPr>
          <w:p w14:paraId="4A68E4E2"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62.29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8.8</w:t>
            </w:r>
          </w:p>
        </w:tc>
        <w:tc>
          <w:tcPr>
            <w:tcW w:w="1276" w:type="dxa"/>
            <w:noWrap/>
            <w:vAlign w:val="bottom"/>
          </w:tcPr>
          <w:p w14:paraId="35218EB7"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&gt; 150</w:t>
            </w:r>
          </w:p>
        </w:tc>
        <w:tc>
          <w:tcPr>
            <w:tcW w:w="1175" w:type="dxa"/>
            <w:noWrap/>
            <w:vAlign w:val="bottom"/>
          </w:tcPr>
          <w:p w14:paraId="636CC970"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 &gt; 2.1</w:t>
            </w:r>
          </w:p>
        </w:tc>
        <w:tc>
          <w:tcPr>
            <w:tcW w:w="1300" w:type="dxa"/>
            <w:noWrap/>
            <w:vAlign w:val="bottom"/>
          </w:tcPr>
          <w:p w14:paraId="5F78A80D"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 &gt; 2.4</w:t>
            </w:r>
          </w:p>
        </w:tc>
      </w:tr>
      <w:tr w:rsidR="007337EB" w:rsidRPr="006D1351" w14:paraId="0E5DB110" w14:textId="77777777" w:rsidTr="00B02975">
        <w:trPr>
          <w:trHeight w:val="300"/>
          <w:jc w:val="center"/>
        </w:trPr>
        <w:tc>
          <w:tcPr>
            <w:tcW w:w="1833" w:type="dxa"/>
            <w:noWrap/>
            <w:vAlign w:val="bottom"/>
          </w:tcPr>
          <w:p w14:paraId="03E4A61C" w14:textId="77777777" w:rsidR="007337EB" w:rsidRPr="006D1351" w:rsidRDefault="007337EB" w:rsidP="00B02975">
            <w:pPr>
              <w:jc w:val="both"/>
              <w:rPr>
                <w:rFonts w:ascii="Times New Roman" w:hAnsi="Times New Roman" w:cs="Times New Roman"/>
                <w:b/>
                <w:bCs/>
                <w:lang w:val="en-US"/>
              </w:rPr>
            </w:pPr>
            <w:r w:rsidRPr="006D1351">
              <w:rPr>
                <w:rFonts w:ascii="Times New Roman" w:hAnsi="Times New Roman" w:cs="Times New Roman"/>
                <w:b/>
                <w:bCs/>
                <w:lang w:val="en-US"/>
              </w:rPr>
              <w:t>GET</w:t>
            </w:r>
          </w:p>
        </w:tc>
        <w:tc>
          <w:tcPr>
            <w:tcW w:w="1527" w:type="dxa"/>
            <w:noWrap/>
            <w:vAlign w:val="bottom"/>
          </w:tcPr>
          <w:p w14:paraId="75C52AA7"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37.60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3.9    </w:t>
            </w:r>
          </w:p>
        </w:tc>
        <w:tc>
          <w:tcPr>
            <w:tcW w:w="1450" w:type="dxa"/>
            <w:noWrap/>
            <w:vAlign w:val="bottom"/>
          </w:tcPr>
          <w:p w14:paraId="2802487F"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51.64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2.1</w:t>
            </w:r>
          </w:p>
        </w:tc>
        <w:tc>
          <w:tcPr>
            <w:tcW w:w="1276" w:type="dxa"/>
            <w:noWrap/>
            <w:vAlign w:val="bottom"/>
          </w:tcPr>
          <w:p w14:paraId="7AA4057A"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87.29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7.5</w:t>
            </w:r>
          </w:p>
        </w:tc>
        <w:tc>
          <w:tcPr>
            <w:tcW w:w="1175" w:type="dxa"/>
            <w:noWrap/>
            <w:vAlign w:val="bottom"/>
          </w:tcPr>
          <w:p w14:paraId="01731542"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2.3</w:t>
            </w:r>
          </w:p>
        </w:tc>
        <w:tc>
          <w:tcPr>
            <w:tcW w:w="1300" w:type="dxa"/>
            <w:noWrap/>
            <w:vAlign w:val="bottom"/>
          </w:tcPr>
          <w:p w14:paraId="370322E0"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1.7</w:t>
            </w:r>
          </w:p>
        </w:tc>
      </w:tr>
      <w:tr w:rsidR="007337EB" w:rsidRPr="006D1351" w14:paraId="0031ECAB" w14:textId="77777777" w:rsidTr="00B02975">
        <w:trPr>
          <w:trHeight w:val="300"/>
          <w:jc w:val="center"/>
        </w:trPr>
        <w:tc>
          <w:tcPr>
            <w:tcW w:w="1833" w:type="dxa"/>
            <w:noWrap/>
            <w:vAlign w:val="bottom"/>
          </w:tcPr>
          <w:p w14:paraId="3B5E6EE8"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Sorafenib</w:t>
            </w:r>
          </w:p>
        </w:tc>
        <w:tc>
          <w:tcPr>
            <w:tcW w:w="1527" w:type="dxa"/>
            <w:noWrap/>
            <w:vAlign w:val="bottom"/>
          </w:tcPr>
          <w:p w14:paraId="30D187AF"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1.49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0.8</w:t>
            </w:r>
          </w:p>
        </w:tc>
        <w:tc>
          <w:tcPr>
            <w:tcW w:w="1450" w:type="dxa"/>
            <w:noWrap/>
            <w:vAlign w:val="bottom"/>
          </w:tcPr>
          <w:p w14:paraId="714F1066"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2.1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1.5</w:t>
            </w:r>
          </w:p>
        </w:tc>
        <w:tc>
          <w:tcPr>
            <w:tcW w:w="1276" w:type="dxa"/>
            <w:noWrap/>
            <w:vAlign w:val="bottom"/>
          </w:tcPr>
          <w:p w14:paraId="0135125E"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NT</w:t>
            </w:r>
          </w:p>
        </w:tc>
        <w:tc>
          <w:tcPr>
            <w:tcW w:w="1175" w:type="dxa"/>
            <w:noWrap/>
            <w:vAlign w:val="bottom"/>
          </w:tcPr>
          <w:p w14:paraId="6C0E569E"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NT</w:t>
            </w:r>
          </w:p>
        </w:tc>
        <w:tc>
          <w:tcPr>
            <w:tcW w:w="1300" w:type="dxa"/>
            <w:noWrap/>
            <w:vAlign w:val="bottom"/>
          </w:tcPr>
          <w:p w14:paraId="7D1DED9F"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NT</w:t>
            </w:r>
          </w:p>
        </w:tc>
      </w:tr>
      <w:tr w:rsidR="007337EB" w:rsidRPr="006D1351" w14:paraId="774B4842" w14:textId="77777777" w:rsidTr="006D1351">
        <w:trPr>
          <w:trHeight w:val="45"/>
          <w:jc w:val="center"/>
        </w:trPr>
        <w:tc>
          <w:tcPr>
            <w:tcW w:w="1833" w:type="dxa"/>
            <w:noWrap/>
            <w:vAlign w:val="bottom"/>
          </w:tcPr>
          <w:p w14:paraId="165111FF"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Aflatoxin B1</w:t>
            </w:r>
          </w:p>
        </w:tc>
        <w:tc>
          <w:tcPr>
            <w:tcW w:w="1527" w:type="dxa"/>
            <w:noWrap/>
            <w:vAlign w:val="bottom"/>
          </w:tcPr>
          <w:p w14:paraId="3F2C2E1E"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NA</w:t>
            </w:r>
          </w:p>
        </w:tc>
        <w:tc>
          <w:tcPr>
            <w:tcW w:w="1450" w:type="dxa"/>
            <w:noWrap/>
            <w:vAlign w:val="bottom"/>
          </w:tcPr>
          <w:p w14:paraId="1CF20BE0"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NA</w:t>
            </w:r>
          </w:p>
        </w:tc>
        <w:tc>
          <w:tcPr>
            <w:tcW w:w="1276" w:type="dxa"/>
            <w:noWrap/>
            <w:vAlign w:val="bottom"/>
          </w:tcPr>
          <w:p w14:paraId="0CBE474D"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14.2 ± 2.8</w:t>
            </w:r>
          </w:p>
        </w:tc>
        <w:tc>
          <w:tcPr>
            <w:tcW w:w="1175" w:type="dxa"/>
            <w:noWrap/>
            <w:vAlign w:val="bottom"/>
          </w:tcPr>
          <w:p w14:paraId="7AC20DEA"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NA</w:t>
            </w:r>
          </w:p>
        </w:tc>
        <w:tc>
          <w:tcPr>
            <w:tcW w:w="1300" w:type="dxa"/>
            <w:noWrap/>
            <w:vAlign w:val="bottom"/>
          </w:tcPr>
          <w:p w14:paraId="019CCC03"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NA</w:t>
            </w:r>
          </w:p>
        </w:tc>
      </w:tr>
    </w:tbl>
    <w:p w14:paraId="1E1FFC86" w14:textId="77777777" w:rsidR="007337EB" w:rsidRDefault="007337EB" w:rsidP="007337EB">
      <w:pPr>
        <w:spacing w:line="360" w:lineRule="auto"/>
        <w:jc w:val="both"/>
        <w:rPr>
          <w:rFonts w:ascii="Times New Roman" w:hAnsi="Times New Roman" w:cs="Times New Roman"/>
          <w:lang w:val="en-US"/>
        </w:rPr>
      </w:pPr>
    </w:p>
    <w:p w14:paraId="4C2758F3" w14:textId="77777777" w:rsidR="00EB1C0F" w:rsidRPr="00EB1C0F" w:rsidRDefault="00EB1C0F" w:rsidP="00EB1C0F">
      <w:pPr>
        <w:spacing w:line="360" w:lineRule="auto"/>
        <w:jc w:val="both"/>
        <w:rPr>
          <w:rFonts w:ascii="Times New Roman" w:hAnsi="Times New Roman" w:cs="Times New Roman"/>
          <w:lang w:val="en-US"/>
        </w:rPr>
      </w:pPr>
      <w:r w:rsidRPr="00EB1C0F">
        <w:rPr>
          <w:rFonts w:ascii="Times New Roman" w:hAnsi="Times New Roman" w:cs="Times New Roman"/>
          <w:lang w:val="en-US"/>
        </w:rPr>
        <w:lastRenderedPageBreak/>
        <w:t xml:space="preserve">FET: </w:t>
      </w:r>
      <w:proofErr w:type="spellStart"/>
      <w:r w:rsidRPr="00EB1C0F">
        <w:rPr>
          <w:rFonts w:ascii="Times New Roman" w:hAnsi="Times New Roman" w:cs="Times New Roman"/>
          <w:i/>
          <w:iCs/>
          <w:lang w:val="en-US"/>
        </w:rPr>
        <w:t>lawsonia</w:t>
      </w:r>
      <w:proofErr w:type="spellEnd"/>
      <w:r w:rsidRPr="00EB1C0F">
        <w:rPr>
          <w:rFonts w:ascii="Times New Roman" w:hAnsi="Times New Roman" w:cs="Times New Roman"/>
          <w:i/>
          <w:iCs/>
          <w:lang w:val="en-US"/>
        </w:rPr>
        <w:t xml:space="preserve"> </w:t>
      </w:r>
      <w:proofErr w:type="spellStart"/>
      <w:r w:rsidRPr="00EB1C0F">
        <w:rPr>
          <w:rFonts w:ascii="Times New Roman" w:hAnsi="Times New Roman" w:cs="Times New Roman"/>
          <w:i/>
          <w:iCs/>
          <w:lang w:val="en-US"/>
        </w:rPr>
        <w:t>inermis</w:t>
      </w:r>
      <w:proofErr w:type="spellEnd"/>
      <w:r w:rsidRPr="00EB1C0F">
        <w:rPr>
          <w:rFonts w:ascii="Times New Roman" w:hAnsi="Times New Roman" w:cs="Times New Roman"/>
          <w:lang w:val="en-US"/>
        </w:rPr>
        <w:t xml:space="preserve"> ethanol leaf extract; GET: </w:t>
      </w:r>
      <w:proofErr w:type="spellStart"/>
      <w:r w:rsidRPr="00EB1C0F">
        <w:rPr>
          <w:rFonts w:ascii="Times New Roman" w:hAnsi="Times New Roman" w:cs="Times New Roman"/>
          <w:i/>
          <w:iCs/>
          <w:lang w:val="en-US"/>
        </w:rPr>
        <w:t>lawsonia</w:t>
      </w:r>
      <w:proofErr w:type="spellEnd"/>
      <w:r w:rsidRPr="00EB1C0F">
        <w:rPr>
          <w:rFonts w:ascii="Times New Roman" w:hAnsi="Times New Roman" w:cs="Times New Roman"/>
          <w:i/>
          <w:iCs/>
          <w:lang w:val="en-US"/>
        </w:rPr>
        <w:t xml:space="preserve"> </w:t>
      </w:r>
      <w:proofErr w:type="spellStart"/>
      <w:r w:rsidRPr="00EB1C0F">
        <w:rPr>
          <w:rFonts w:ascii="Times New Roman" w:hAnsi="Times New Roman" w:cs="Times New Roman"/>
          <w:i/>
          <w:iCs/>
          <w:lang w:val="en-US"/>
        </w:rPr>
        <w:t>inermis</w:t>
      </w:r>
      <w:proofErr w:type="spellEnd"/>
      <w:r w:rsidRPr="00EB1C0F">
        <w:rPr>
          <w:rFonts w:ascii="Times New Roman" w:hAnsi="Times New Roman" w:cs="Times New Roman"/>
          <w:lang w:val="en-US"/>
        </w:rPr>
        <w:t xml:space="preserve"> ethanol seed extract; SI: selectivity index; NT: not tested; NA: not active.</w:t>
      </w:r>
    </w:p>
    <w:p w14:paraId="1C8C4BEE" w14:textId="77777777" w:rsidR="00EB1C0F" w:rsidRPr="00EB1C0F" w:rsidRDefault="00EB1C0F" w:rsidP="00EB1C0F">
      <w:pPr>
        <w:spacing w:line="360" w:lineRule="auto"/>
        <w:jc w:val="both"/>
        <w:rPr>
          <w:rFonts w:ascii="Times New Roman" w:hAnsi="Times New Roman" w:cs="Times New Roman"/>
          <w:lang w:val="en-US"/>
        </w:rPr>
      </w:pPr>
      <w:r w:rsidRPr="00EB1C0F">
        <w:rPr>
          <w:rFonts w:ascii="Times New Roman" w:hAnsi="Times New Roman" w:cs="Times New Roman"/>
          <w:lang w:val="en-US"/>
        </w:rPr>
        <w:t>For SI, a value of 2 indicates high selectivity of the extract on cancer cells. It is calculated by the ratio of the IC50 value of treatments of no</w:t>
      </w:r>
      <w:r w:rsidR="007E4AA1">
        <w:rPr>
          <w:rFonts w:ascii="Times New Roman" w:hAnsi="Times New Roman" w:cs="Times New Roman"/>
          <w:lang w:val="en-US"/>
        </w:rPr>
        <w:t>n-tumor cells by tumor cells [44</w:t>
      </w:r>
      <w:r w:rsidRPr="00EB1C0F">
        <w:rPr>
          <w:rFonts w:ascii="Times New Roman" w:hAnsi="Times New Roman" w:cs="Times New Roman"/>
          <w:lang w:val="en-US"/>
        </w:rPr>
        <w:t xml:space="preserve">]. The leaves and seeds of </w:t>
      </w:r>
      <w:proofErr w:type="spellStart"/>
      <w:r w:rsidRPr="00EB1C0F">
        <w:rPr>
          <w:rFonts w:ascii="Times New Roman" w:hAnsi="Times New Roman" w:cs="Times New Roman"/>
          <w:i/>
          <w:iCs/>
          <w:lang w:val="en-US"/>
        </w:rPr>
        <w:t>lawsonia</w:t>
      </w:r>
      <w:proofErr w:type="spellEnd"/>
      <w:r w:rsidRPr="00EB1C0F">
        <w:rPr>
          <w:rFonts w:ascii="Times New Roman" w:hAnsi="Times New Roman" w:cs="Times New Roman"/>
          <w:i/>
          <w:iCs/>
          <w:lang w:val="en-US"/>
        </w:rPr>
        <w:t xml:space="preserve"> </w:t>
      </w:r>
      <w:proofErr w:type="spellStart"/>
      <w:r w:rsidRPr="00EB1C0F">
        <w:rPr>
          <w:rFonts w:ascii="Times New Roman" w:hAnsi="Times New Roman" w:cs="Times New Roman"/>
          <w:i/>
          <w:iCs/>
          <w:lang w:val="en-US"/>
        </w:rPr>
        <w:t>inermis</w:t>
      </w:r>
      <w:proofErr w:type="spellEnd"/>
      <w:r w:rsidRPr="00EB1C0F">
        <w:rPr>
          <w:rFonts w:ascii="Times New Roman" w:hAnsi="Times New Roman" w:cs="Times New Roman"/>
          <w:lang w:val="en-US"/>
        </w:rPr>
        <w:t xml:space="preserve"> therefore show good selectivity on </w:t>
      </w:r>
      <w:r w:rsidRPr="00EB1C0F">
        <w:rPr>
          <w:rFonts w:ascii="Times New Roman" w:hAnsi="Times New Roman" w:cs="Times New Roman"/>
          <w:i/>
          <w:iCs/>
          <w:lang w:val="en-US"/>
        </w:rPr>
        <w:t xml:space="preserve">Hep3B </w:t>
      </w:r>
      <w:r w:rsidRPr="00EB1C0F">
        <w:rPr>
          <w:rFonts w:ascii="Times New Roman" w:hAnsi="Times New Roman" w:cs="Times New Roman"/>
          <w:lang w:val="en-US"/>
        </w:rPr>
        <w:t>and Huh7 tumor cells. The SI ranged from 1.7 to 2.4.</w:t>
      </w:r>
    </w:p>
    <w:p w14:paraId="4D49A148" w14:textId="77777777" w:rsidR="00EB1C0F" w:rsidRDefault="00EB1C0F" w:rsidP="00EB1C0F">
      <w:pPr>
        <w:spacing w:line="360" w:lineRule="auto"/>
        <w:jc w:val="both"/>
        <w:rPr>
          <w:rFonts w:ascii="Times New Roman" w:hAnsi="Times New Roman" w:cs="Times New Roman"/>
          <w:lang w:val="en-US"/>
        </w:rPr>
      </w:pPr>
      <w:r w:rsidRPr="00EB1C0F">
        <w:rPr>
          <w:rFonts w:ascii="Times New Roman" w:hAnsi="Times New Roman" w:cs="Times New Roman"/>
          <w:lang w:val="en-US"/>
        </w:rPr>
        <w:t xml:space="preserve">These results also showed that among the extracts used for cell viability, for all cells (Huh7, Hep3B,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lang w:val="en-US"/>
        </w:rPr>
        <w:t xml:space="preserve">) the inhibition of viability was greater with the GET seed extract than with the FET leaf extract. In addition, inhibition was greater in </w:t>
      </w:r>
      <w:r w:rsidRPr="00EB1C0F">
        <w:rPr>
          <w:rFonts w:ascii="Times New Roman" w:hAnsi="Times New Roman" w:cs="Times New Roman"/>
          <w:i/>
          <w:iCs/>
          <w:lang w:val="en-US"/>
        </w:rPr>
        <w:t xml:space="preserve">Huh7 </w:t>
      </w:r>
      <w:r w:rsidRPr="00EB1C0F">
        <w:rPr>
          <w:rFonts w:ascii="Times New Roman" w:hAnsi="Times New Roman" w:cs="Times New Roman"/>
          <w:lang w:val="en-US"/>
        </w:rPr>
        <w:t>and</w:t>
      </w:r>
      <w:r w:rsidRPr="00EB1C0F">
        <w:rPr>
          <w:rFonts w:ascii="Times New Roman" w:hAnsi="Times New Roman" w:cs="Times New Roman"/>
          <w:i/>
          <w:iCs/>
          <w:lang w:val="en-US"/>
        </w:rPr>
        <w:t xml:space="preserve"> Hep3B cells</w:t>
      </w:r>
      <w:r w:rsidRPr="00EB1C0F">
        <w:rPr>
          <w:rFonts w:ascii="Times New Roman" w:hAnsi="Times New Roman" w:cs="Times New Roman"/>
          <w:lang w:val="en-US"/>
        </w:rPr>
        <w:t>, with IC50 values of 37.60 and 51.64</w:t>
      </w:r>
      <w:r>
        <w:rPr>
          <w:rFonts w:ascii="Times New Roman" w:hAnsi="Times New Roman" w:cs="Times New Roman"/>
        </w:rPr>
        <w:sym w:font="Symbol" w:char="F0B1"/>
      </w:r>
      <w:r w:rsidRPr="00EB1C0F">
        <w:rPr>
          <w:rFonts w:ascii="Times New Roman" w:hAnsi="Times New Roman" w:cs="Times New Roman"/>
          <w:lang w:val="en-US"/>
        </w:rPr>
        <w:t xml:space="preserve"> 2.1 µg/mL respectively. The latter value is not far from the value given in the table summarizing the plants found in New Caledonia that have been tested on certain cancers. This IC50 value is 48.03 µg/mL and a much smaller value was also mentioned (13.4 µg/mL). In the document from which we derived the above information, extracts were also tested on the Huh7 hepatocellular carcinoma cell line, and most of the IC50s obtained are much smaller than our results, only one of which was marked NA (not active). Apart from values above 20, the value closest to our best percentage is 19</w:t>
      </w:r>
      <w:r>
        <w:rPr>
          <w:rFonts w:ascii="Times New Roman" w:hAnsi="Times New Roman" w:cs="Times New Roman"/>
        </w:rPr>
        <w:sym w:font="Symbol" w:char="F0B1"/>
      </w:r>
      <w:r w:rsidRPr="00EB1C0F">
        <w:rPr>
          <w:rFonts w:ascii="Times New Roman" w:hAnsi="Times New Roman" w:cs="Times New Roman"/>
          <w:lang w:val="en-US"/>
        </w:rPr>
        <w:t>0.5, about 2 times more inhibito</w:t>
      </w:r>
      <w:r w:rsidR="007E4AA1">
        <w:rPr>
          <w:rFonts w:ascii="Times New Roman" w:hAnsi="Times New Roman" w:cs="Times New Roman"/>
          <w:lang w:val="en-US"/>
        </w:rPr>
        <w:t>ry than our extracts on Huh7 [45</w:t>
      </w:r>
      <w:r w:rsidRPr="00EB1C0F">
        <w:rPr>
          <w:rFonts w:ascii="Times New Roman" w:hAnsi="Times New Roman" w:cs="Times New Roman"/>
          <w:lang w:val="en-US"/>
        </w:rPr>
        <w:t>]. All the sorafenib inhibition tests on hepatocellular carcinoma cells (</w:t>
      </w:r>
      <w:r w:rsidRPr="00EB1C0F">
        <w:rPr>
          <w:rFonts w:ascii="Times New Roman" w:hAnsi="Times New Roman" w:cs="Times New Roman"/>
          <w:i/>
          <w:iCs/>
          <w:lang w:val="en-US"/>
        </w:rPr>
        <w:t>Hep3B and Huh7</w:t>
      </w:r>
      <w:r w:rsidRPr="00EB1C0F">
        <w:rPr>
          <w:rFonts w:ascii="Times New Roman" w:hAnsi="Times New Roman" w:cs="Times New Roman"/>
          <w:lang w:val="en-US"/>
        </w:rPr>
        <w:t xml:space="preserve">) and on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i/>
          <w:iCs/>
          <w:lang w:val="en-US"/>
        </w:rPr>
        <w:t xml:space="preserve"> </w:t>
      </w:r>
      <w:r w:rsidRPr="00EB1C0F">
        <w:rPr>
          <w:rFonts w:ascii="Times New Roman" w:hAnsi="Times New Roman" w:cs="Times New Roman"/>
          <w:lang w:val="en-US"/>
        </w:rPr>
        <w:t>cells showed a major difference compared with all our extracts. This may explain why it is selected for the treatment of liver-related diseases, in particular to reduce the tumor volume of hepatocellular carcinoma (HCC) tumors in a xenograft model (</w:t>
      </w:r>
      <w:r w:rsidRPr="00EB1C0F">
        <w:rPr>
          <w:rFonts w:ascii="Times New Roman" w:hAnsi="Times New Roman" w:cs="Times New Roman"/>
          <w:i/>
          <w:iCs/>
          <w:lang w:val="en-US"/>
        </w:rPr>
        <w:t>Hep3B</w:t>
      </w:r>
      <w:r w:rsidR="007E4AA1">
        <w:rPr>
          <w:rFonts w:ascii="Times New Roman" w:hAnsi="Times New Roman" w:cs="Times New Roman"/>
          <w:lang w:val="en-US"/>
        </w:rPr>
        <w:t>) [46</w:t>
      </w:r>
      <w:r w:rsidRPr="00EB1C0F">
        <w:rPr>
          <w:rFonts w:ascii="Times New Roman" w:hAnsi="Times New Roman" w:cs="Times New Roman"/>
          <w:lang w:val="en-US"/>
        </w:rPr>
        <w:t>]. This is not the case for aflatoxin, which is not active (NA) on hepatocellular carcinoma cells (Hep3B and Huh7) and this explains why it may be involved in or even cause certain liver abnormalities. In fact, aflatoxin can cause liver cancer in humans simply by consuming cultures contaminated</w:t>
      </w:r>
      <w:r w:rsidR="007E4AA1">
        <w:rPr>
          <w:rFonts w:ascii="Times New Roman" w:hAnsi="Times New Roman" w:cs="Times New Roman"/>
          <w:lang w:val="en-US"/>
        </w:rPr>
        <w:t xml:space="preserve"> with it, even at low levels [47</w:t>
      </w:r>
      <w:r w:rsidRPr="00EB1C0F">
        <w:rPr>
          <w:rFonts w:ascii="Times New Roman" w:hAnsi="Times New Roman" w:cs="Times New Roman"/>
          <w:lang w:val="en-US"/>
        </w:rPr>
        <w:t xml:space="preserve">]. Finally, with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lang w:val="en-US"/>
        </w:rPr>
        <w:t xml:space="preserve">, this is not the case with the previous analysis and therefore aflatoxin is not the cause of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lang w:val="en-US"/>
        </w:rPr>
        <w:t>-related tumors, which even explains the strong inhibition recorded IC50 =14.2 µg/</w:t>
      </w:r>
      <w:proofErr w:type="spellStart"/>
      <w:r w:rsidRPr="00EB1C0F">
        <w:rPr>
          <w:rFonts w:ascii="Times New Roman" w:hAnsi="Times New Roman" w:cs="Times New Roman"/>
          <w:lang w:val="en-US"/>
        </w:rPr>
        <w:t>mL.</w:t>
      </w:r>
      <w:proofErr w:type="spellEnd"/>
    </w:p>
    <w:p w14:paraId="1CBD2D5C" w14:textId="77777777" w:rsidR="00EB1C0F" w:rsidRPr="00EB1C0F" w:rsidRDefault="00EB1C0F" w:rsidP="00EB1C0F">
      <w:pPr>
        <w:pStyle w:val="ListParagraph"/>
        <w:numPr>
          <w:ilvl w:val="0"/>
          <w:numId w:val="2"/>
        </w:numPr>
        <w:spacing w:after="0" w:line="360" w:lineRule="auto"/>
        <w:jc w:val="both"/>
        <w:rPr>
          <w:rFonts w:ascii="Times New Roman" w:hAnsi="Times New Roman" w:cs="Times New Roman"/>
          <w:b/>
          <w:bCs/>
          <w:sz w:val="24"/>
          <w:szCs w:val="24"/>
          <w:lang w:val="en-US"/>
        </w:rPr>
      </w:pPr>
      <w:r w:rsidRPr="00EB1C0F">
        <w:rPr>
          <w:rFonts w:ascii="Times New Roman" w:hAnsi="Times New Roman" w:cs="Times New Roman"/>
          <w:b/>
          <w:bCs/>
          <w:sz w:val="24"/>
          <w:szCs w:val="24"/>
          <w:lang w:val="en-US"/>
        </w:rPr>
        <w:t>Conclusion</w:t>
      </w:r>
    </w:p>
    <w:p w14:paraId="2081F2F9" w14:textId="4A6FA093" w:rsidR="00EB1C0F" w:rsidRDefault="00EB1C0F" w:rsidP="00EB1C0F">
      <w:pPr>
        <w:spacing w:line="360" w:lineRule="auto"/>
        <w:jc w:val="both"/>
        <w:rPr>
          <w:rFonts w:ascii="Times New Roman" w:hAnsi="Times New Roman" w:cs="Times New Roman"/>
          <w:lang w:val="en-US"/>
        </w:rPr>
      </w:pPr>
      <w:r w:rsidRPr="00EB1C0F">
        <w:rPr>
          <w:rFonts w:ascii="Times New Roman" w:hAnsi="Times New Roman" w:cs="Times New Roman"/>
          <w:lang w:val="en-US"/>
        </w:rPr>
        <w:t>Th</w:t>
      </w:r>
      <w:r w:rsidR="003A014E">
        <w:rPr>
          <w:rFonts w:ascii="Times New Roman" w:hAnsi="Times New Roman" w:cs="Times New Roman"/>
          <w:lang w:val="en-US"/>
        </w:rPr>
        <w:t>ese findings have revealed several noteworthy that warrant further investigation</w:t>
      </w:r>
      <w:r w:rsidRPr="00EB1C0F">
        <w:rPr>
          <w:rFonts w:ascii="Times New Roman" w:hAnsi="Times New Roman" w:cs="Times New Roman"/>
          <w:lang w:val="en-US"/>
        </w:rPr>
        <w:t xml:space="preserve">. </w:t>
      </w:r>
      <w:r w:rsidR="00B86439">
        <w:rPr>
          <w:rFonts w:ascii="Times New Roman" w:hAnsi="Times New Roman" w:cs="Times New Roman"/>
          <w:lang w:val="en-US"/>
        </w:rPr>
        <w:t xml:space="preserve">Seeds have consistently showed the highest efficacy among the various samples tested. </w:t>
      </w:r>
      <w:r w:rsidR="003A014E">
        <w:rPr>
          <w:rFonts w:ascii="Times New Roman" w:hAnsi="Times New Roman" w:cs="Times New Roman"/>
          <w:lang w:val="en-US"/>
        </w:rPr>
        <w:t>As far as</w:t>
      </w:r>
      <w:r w:rsidRPr="00EB1C0F">
        <w:rPr>
          <w:rFonts w:ascii="Times New Roman" w:hAnsi="Times New Roman" w:cs="Times New Roman"/>
          <w:lang w:val="en-US"/>
        </w:rPr>
        <w:t xml:space="preserve"> the metabolite test</w:t>
      </w:r>
      <w:r w:rsidR="003A014E">
        <w:rPr>
          <w:rFonts w:ascii="Times New Roman" w:hAnsi="Times New Roman" w:cs="Times New Roman"/>
          <w:lang w:val="en-US"/>
        </w:rPr>
        <w:t xml:space="preserve"> is concerned</w:t>
      </w:r>
      <w:r w:rsidRPr="00EB1C0F">
        <w:rPr>
          <w:rFonts w:ascii="Times New Roman" w:hAnsi="Times New Roman" w:cs="Times New Roman"/>
          <w:lang w:val="en-US"/>
        </w:rPr>
        <w:t>,</w:t>
      </w:r>
      <w:r w:rsidR="00480CA3">
        <w:rPr>
          <w:rFonts w:ascii="Times New Roman" w:hAnsi="Times New Roman" w:cs="Times New Roman"/>
          <w:lang w:val="en-US"/>
        </w:rPr>
        <w:t xml:space="preserve"> seeds stood out in the metabolite test, producing both the highest metabolite concentration and the most significant biological effects across the same solvents. </w:t>
      </w:r>
      <w:r w:rsidRPr="00EB1C0F">
        <w:rPr>
          <w:rFonts w:ascii="Times New Roman" w:hAnsi="Times New Roman" w:cs="Times New Roman"/>
          <w:lang w:val="en-US"/>
        </w:rPr>
        <w:t xml:space="preserve"> (antioxidant and antibacterial). </w:t>
      </w:r>
      <w:r w:rsidR="00480CA3">
        <w:rPr>
          <w:rFonts w:ascii="Times New Roman" w:hAnsi="Times New Roman" w:cs="Times New Roman"/>
          <w:lang w:val="en-US"/>
        </w:rPr>
        <w:t>A similar trend</w:t>
      </w:r>
      <w:r w:rsidR="0057440E">
        <w:rPr>
          <w:rFonts w:ascii="Times New Roman" w:hAnsi="Times New Roman" w:cs="Times New Roman"/>
          <w:lang w:val="en-US"/>
        </w:rPr>
        <w:t xml:space="preserve"> was observed</w:t>
      </w:r>
      <w:r w:rsidRPr="00EB1C0F">
        <w:rPr>
          <w:rFonts w:ascii="Times New Roman" w:hAnsi="Times New Roman" w:cs="Times New Roman"/>
          <w:lang w:val="en-US"/>
        </w:rPr>
        <w:t xml:space="preserve"> </w:t>
      </w:r>
      <w:r w:rsidR="0057440E">
        <w:rPr>
          <w:rFonts w:ascii="Times New Roman" w:hAnsi="Times New Roman" w:cs="Times New Roman"/>
          <w:lang w:val="en-US"/>
        </w:rPr>
        <w:t>in</w:t>
      </w:r>
      <w:r w:rsidRPr="00EB1C0F">
        <w:rPr>
          <w:rFonts w:ascii="Times New Roman" w:hAnsi="Times New Roman" w:cs="Times New Roman"/>
          <w:lang w:val="en-US"/>
        </w:rPr>
        <w:t xml:space="preserve"> cytotoxicity. </w:t>
      </w:r>
      <w:r w:rsidR="0057440E">
        <w:rPr>
          <w:rFonts w:ascii="Times New Roman" w:hAnsi="Times New Roman" w:cs="Times New Roman"/>
          <w:lang w:val="en-US"/>
        </w:rPr>
        <w:t xml:space="preserve">Further investigation into their toxicity appears mandatory to evaluate their suitability for medicinal </w:t>
      </w:r>
      <w:r w:rsidR="0057440E">
        <w:rPr>
          <w:rFonts w:ascii="Times New Roman" w:hAnsi="Times New Roman" w:cs="Times New Roman"/>
          <w:lang w:val="en-US"/>
        </w:rPr>
        <w:lastRenderedPageBreak/>
        <w:t>applications</w:t>
      </w:r>
      <w:r w:rsidRPr="00EB1C0F">
        <w:rPr>
          <w:rFonts w:ascii="Times New Roman" w:hAnsi="Times New Roman" w:cs="Times New Roman"/>
          <w:lang w:val="en-US"/>
        </w:rPr>
        <w:t xml:space="preserve">, in particular for the treatment of diseases linked to the various strains we studied, with the exception of </w:t>
      </w:r>
      <w:proofErr w:type="spellStart"/>
      <w:r w:rsidRPr="00EB1C0F">
        <w:rPr>
          <w:rFonts w:ascii="Times New Roman" w:hAnsi="Times New Roman" w:cs="Times New Roman"/>
          <w:i/>
          <w:iCs/>
          <w:lang w:val="en-US"/>
        </w:rPr>
        <w:t>Echerichia</w:t>
      </w:r>
      <w:proofErr w:type="spellEnd"/>
      <w:r w:rsidRPr="00EB1C0F">
        <w:rPr>
          <w:rFonts w:ascii="Times New Roman" w:hAnsi="Times New Roman" w:cs="Times New Roman"/>
          <w:i/>
          <w:iCs/>
          <w:lang w:val="en-US"/>
        </w:rPr>
        <w:t xml:space="preserve"> coli</w:t>
      </w:r>
      <w:r w:rsidRPr="00EB1C0F">
        <w:rPr>
          <w:rFonts w:ascii="Times New Roman" w:hAnsi="Times New Roman" w:cs="Times New Roman"/>
          <w:lang w:val="en-US"/>
        </w:rPr>
        <w:t xml:space="preserve">, but also for hepatitis cancers linked to the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i/>
          <w:iCs/>
          <w:lang w:val="en-US"/>
        </w:rPr>
        <w:t xml:space="preserve"> </w:t>
      </w:r>
      <w:r w:rsidRPr="00EB1C0F">
        <w:rPr>
          <w:rFonts w:ascii="Times New Roman" w:hAnsi="Times New Roman" w:cs="Times New Roman"/>
          <w:lang w:val="en-US"/>
        </w:rPr>
        <w:t xml:space="preserve">hepatoma cells and Hep3B and Huh7 hepatocellular carcinoma. Despite the high selectivity values and cytotoxicity activity, the efficacy of seeds is limited compared with sorafenib. Finally, </w:t>
      </w:r>
      <w:r w:rsidR="0057440E">
        <w:rPr>
          <w:rFonts w:ascii="Times New Roman" w:hAnsi="Times New Roman" w:cs="Times New Roman"/>
          <w:lang w:val="en-US"/>
        </w:rPr>
        <w:t xml:space="preserve">consistent with existing literature, the remarkable value of the seeds does not preclude the biochemical richness of the leaves </w:t>
      </w:r>
      <w:r w:rsidRPr="00EB1C0F">
        <w:rPr>
          <w:rFonts w:ascii="Times New Roman" w:hAnsi="Times New Roman" w:cs="Times New Roman"/>
          <w:lang w:val="en-US"/>
        </w:rPr>
        <w:t xml:space="preserve">of </w:t>
      </w:r>
      <w:proofErr w:type="spellStart"/>
      <w:r>
        <w:rPr>
          <w:rFonts w:ascii="Times New Roman" w:hAnsi="Times New Roman" w:cs="Times New Roman"/>
          <w:i/>
          <w:iCs/>
          <w:lang w:val="en-US"/>
        </w:rPr>
        <w:t>l</w:t>
      </w:r>
      <w:r w:rsidRPr="00EB1C0F">
        <w:rPr>
          <w:rFonts w:ascii="Times New Roman" w:hAnsi="Times New Roman" w:cs="Times New Roman"/>
          <w:i/>
          <w:iCs/>
          <w:lang w:val="en-US"/>
        </w:rPr>
        <w:t>awsonia</w:t>
      </w:r>
      <w:proofErr w:type="spellEnd"/>
      <w:r w:rsidRPr="00EB1C0F">
        <w:rPr>
          <w:rFonts w:ascii="Times New Roman" w:hAnsi="Times New Roman" w:cs="Times New Roman"/>
          <w:i/>
          <w:iCs/>
          <w:lang w:val="en-US"/>
        </w:rPr>
        <w:t xml:space="preserve"> </w:t>
      </w:r>
      <w:proofErr w:type="spellStart"/>
      <w:r w:rsidRPr="00EB1C0F">
        <w:rPr>
          <w:rFonts w:ascii="Times New Roman" w:hAnsi="Times New Roman" w:cs="Times New Roman"/>
          <w:i/>
          <w:iCs/>
          <w:lang w:val="en-US"/>
        </w:rPr>
        <w:t>inermis</w:t>
      </w:r>
      <w:proofErr w:type="spellEnd"/>
      <w:r w:rsidRPr="00EB1C0F">
        <w:rPr>
          <w:rFonts w:ascii="Times New Roman" w:hAnsi="Times New Roman" w:cs="Times New Roman"/>
          <w:lang w:val="en-US"/>
        </w:rPr>
        <w:t>.</w:t>
      </w:r>
    </w:p>
    <w:p w14:paraId="590993FB" w14:textId="77777777" w:rsidR="00BD4560" w:rsidRDefault="00BD4560" w:rsidP="00BD4560">
      <w:pPr>
        <w:pStyle w:val="ListParagraph"/>
        <w:spacing w:line="360" w:lineRule="auto"/>
        <w:rPr>
          <w:rFonts w:ascii="Times New Roman" w:eastAsia="Times New Roman" w:hAnsi="Times New Roman" w:cs="Times New Roman"/>
          <w:snapToGrid w:val="0"/>
          <w:color w:val="000000"/>
          <w:sz w:val="24"/>
          <w:szCs w:val="24"/>
          <w:lang w:val="en-IN" w:bidi="en-US"/>
        </w:rPr>
      </w:pPr>
    </w:p>
    <w:p w14:paraId="3452F80D" w14:textId="7774DB2F" w:rsidR="001E4055" w:rsidRPr="006D1351" w:rsidRDefault="001E4055" w:rsidP="00BD4560">
      <w:pPr>
        <w:pStyle w:val="ListParagraph"/>
        <w:spacing w:line="360" w:lineRule="auto"/>
        <w:rPr>
          <w:rFonts w:ascii="Times New Roman" w:hAnsi="Times New Roman" w:cs="Times New Roman"/>
          <w:b/>
          <w:sz w:val="24"/>
          <w:szCs w:val="24"/>
          <w:lang w:val="en-US"/>
        </w:rPr>
      </w:pPr>
      <w:r w:rsidRPr="006D1351">
        <w:rPr>
          <w:rFonts w:ascii="Times New Roman" w:hAnsi="Times New Roman" w:cs="Times New Roman"/>
          <w:b/>
          <w:sz w:val="24"/>
          <w:szCs w:val="24"/>
          <w:lang w:val="en-US"/>
        </w:rPr>
        <w:t xml:space="preserve">References </w:t>
      </w:r>
    </w:p>
    <w:p w14:paraId="157EE985"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1. </w:t>
      </w:r>
      <w:proofErr w:type="spellStart"/>
      <w:r w:rsidRPr="007A3B41">
        <w:rPr>
          <w:rFonts w:ascii="Times New Roman" w:hAnsi="Times New Roman" w:cs="Times New Roman"/>
          <w:bCs/>
        </w:rPr>
        <w:t>Drs</w:t>
      </w:r>
      <w:proofErr w:type="spellEnd"/>
      <w:r w:rsidRPr="007A3B41">
        <w:rPr>
          <w:rFonts w:ascii="Times New Roman" w:hAnsi="Times New Roman" w:cs="Times New Roman"/>
          <w:bCs/>
        </w:rPr>
        <w:t xml:space="preserve">. Nicolas Goossens et al., </w:t>
      </w:r>
      <w:proofErr w:type="spellStart"/>
      <w:r w:rsidRPr="007A3B41">
        <w:rPr>
          <w:rFonts w:ascii="Times New Roman" w:hAnsi="Times New Roman" w:cs="Times New Roman"/>
          <w:bCs/>
        </w:rPr>
        <w:t>Hepatocellular</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Carcinoma</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New Management </w:t>
      </w:r>
      <w:proofErr w:type="spellStart"/>
      <w:r w:rsidRPr="007A3B41">
        <w:rPr>
          <w:rFonts w:ascii="Times New Roman" w:hAnsi="Times New Roman" w:cs="Times New Roman"/>
          <w:bCs/>
        </w:rPr>
        <w:t>Recommendations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Rev</w:t>
      </w:r>
      <w:proofErr w:type="spellEnd"/>
      <w:r w:rsidRPr="007A3B41">
        <w:rPr>
          <w:rFonts w:ascii="Times New Roman" w:hAnsi="Times New Roman" w:cs="Times New Roman"/>
          <w:bCs/>
        </w:rPr>
        <w:t xml:space="preserve"> Med </w:t>
      </w:r>
      <w:proofErr w:type="gramStart"/>
      <w:r w:rsidRPr="007A3B41">
        <w:rPr>
          <w:rFonts w:ascii="Times New Roman" w:hAnsi="Times New Roman" w:cs="Times New Roman"/>
          <w:bCs/>
        </w:rPr>
        <w:t>Suisse:</w:t>
      </w:r>
      <w:proofErr w:type="gramEnd"/>
      <w:r w:rsidRPr="007A3B41">
        <w:rPr>
          <w:rFonts w:ascii="Times New Roman" w:hAnsi="Times New Roman" w:cs="Times New Roman"/>
          <w:bCs/>
        </w:rPr>
        <w:t xml:space="preserve"> 2018; 14: 1508-11.</w:t>
      </w:r>
    </w:p>
    <w:p w14:paraId="40D1503C"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 Farah </w:t>
      </w:r>
      <w:proofErr w:type="spellStart"/>
      <w:r w:rsidRPr="007A3B41">
        <w:rPr>
          <w:rFonts w:ascii="Times New Roman" w:hAnsi="Times New Roman" w:cs="Times New Roman"/>
          <w:bCs/>
        </w:rPr>
        <w:t>Haddouchi</w:t>
      </w:r>
      <w:proofErr w:type="spellEnd"/>
      <w:r w:rsidRPr="007A3B41">
        <w:rPr>
          <w:rFonts w:ascii="Times New Roman" w:hAnsi="Times New Roman" w:cs="Times New Roman"/>
          <w:bCs/>
        </w:rPr>
        <w:t xml:space="preserve"> et al., Evaluation of the </w:t>
      </w:r>
      <w:proofErr w:type="spellStart"/>
      <w:r w:rsidRPr="007A3B41">
        <w:rPr>
          <w:rFonts w:ascii="Times New Roman" w:hAnsi="Times New Roman" w:cs="Times New Roman"/>
          <w:bCs/>
        </w:rPr>
        <w:t>Antimicrobial</w:t>
      </w:r>
      <w:proofErr w:type="spellEnd"/>
      <w:r w:rsidRPr="007A3B41">
        <w:rPr>
          <w:rFonts w:ascii="Times New Roman" w:hAnsi="Times New Roman" w:cs="Times New Roman"/>
          <w:bCs/>
        </w:rPr>
        <w:t xml:space="preserve"> Activity of </w:t>
      </w:r>
      <w:proofErr w:type="spellStart"/>
      <w:r w:rsidRPr="007A3B41">
        <w:rPr>
          <w:rFonts w:ascii="Times New Roman" w:hAnsi="Times New Roman" w:cs="Times New Roman"/>
          <w:bCs/>
        </w:rPr>
        <w:t>Different</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Extracts</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Helichrysum</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Stoechs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Subsp</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rupestre</w:t>
      </w:r>
      <w:proofErr w:type="gramEnd"/>
      <w:r w:rsidRPr="007A3B41">
        <w:rPr>
          <w:rFonts w:ascii="Times New Roman" w:hAnsi="Times New Roman" w:cs="Times New Roman"/>
          <w:bCs/>
        </w:rPr>
        <w:t xml:space="preserve">. Bulletin of the Royal Society of Cork </w:t>
      </w:r>
      <w:proofErr w:type="gramStart"/>
      <w:r w:rsidRPr="007A3B41">
        <w:rPr>
          <w:rFonts w:ascii="Times New Roman" w:hAnsi="Times New Roman" w:cs="Times New Roman"/>
          <w:bCs/>
        </w:rPr>
        <w:t>Sciences:</w:t>
      </w:r>
      <w:proofErr w:type="gramEnd"/>
      <w:r w:rsidRPr="007A3B41">
        <w:rPr>
          <w:rFonts w:ascii="Times New Roman" w:hAnsi="Times New Roman" w:cs="Times New Roman"/>
          <w:bCs/>
        </w:rPr>
        <w:t xml:space="preserve"> 2016; 85: 152-159.</w:t>
      </w:r>
    </w:p>
    <w:p w14:paraId="38FFDB20"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 </w:t>
      </w:r>
      <w:proofErr w:type="spellStart"/>
      <w:r w:rsidRPr="007A3B41">
        <w:rPr>
          <w:rFonts w:ascii="Times New Roman" w:hAnsi="Times New Roman" w:cs="Times New Roman"/>
          <w:bCs/>
        </w:rPr>
        <w:t>Khenfer</w:t>
      </w:r>
      <w:proofErr w:type="spellEnd"/>
      <w:r w:rsidRPr="007A3B41">
        <w:rPr>
          <w:rFonts w:ascii="Times New Roman" w:hAnsi="Times New Roman" w:cs="Times New Roman"/>
          <w:bCs/>
        </w:rPr>
        <w:t xml:space="preserve"> Siham et al., </w:t>
      </w:r>
      <w:proofErr w:type="spellStart"/>
      <w:r w:rsidRPr="007A3B41">
        <w:rPr>
          <w:rFonts w:ascii="Times New Roman" w:hAnsi="Times New Roman" w:cs="Times New Roman"/>
          <w:bCs/>
        </w:rPr>
        <w:t>Optimization</w:t>
      </w:r>
      <w:proofErr w:type="spellEnd"/>
      <w:r w:rsidRPr="007A3B41">
        <w:rPr>
          <w:rFonts w:ascii="Times New Roman" w:hAnsi="Times New Roman" w:cs="Times New Roman"/>
          <w:bCs/>
        </w:rPr>
        <w:t xml:space="preserve"> of Extraction Conditions for </w:t>
      </w:r>
      <w:proofErr w:type="spellStart"/>
      <w:r w:rsidRPr="007A3B41">
        <w:rPr>
          <w:rFonts w:ascii="Times New Roman" w:hAnsi="Times New Roman" w:cs="Times New Roman"/>
          <w:bCs/>
        </w:rPr>
        <w:t>Phenolic</w:t>
      </w:r>
      <w:proofErr w:type="spellEnd"/>
      <w:r w:rsidRPr="007A3B41">
        <w:rPr>
          <w:rFonts w:ascii="Times New Roman" w:hAnsi="Times New Roman" w:cs="Times New Roman"/>
          <w:bCs/>
        </w:rPr>
        <w:t xml:space="preserve"> Compounds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a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Plant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the </w:t>
      </w:r>
      <w:proofErr w:type="spellStart"/>
      <w:r w:rsidRPr="007A3B41">
        <w:rPr>
          <w:rFonts w:ascii="Times New Roman" w:hAnsi="Times New Roman" w:cs="Times New Roman"/>
          <w:bCs/>
        </w:rPr>
        <w:t>Southern</w:t>
      </w:r>
      <w:proofErr w:type="spellEnd"/>
      <w:r w:rsidRPr="007A3B41">
        <w:rPr>
          <w:rFonts w:ascii="Times New Roman" w:hAnsi="Times New Roman" w:cs="Times New Roman"/>
          <w:bCs/>
        </w:rPr>
        <w:t xml:space="preserve"> Sahara </w:t>
      </w:r>
      <w:proofErr w:type="spellStart"/>
      <w:r w:rsidRPr="007A3B41">
        <w:rPr>
          <w:rFonts w:ascii="Times New Roman" w:hAnsi="Times New Roman" w:cs="Times New Roman"/>
          <w:bCs/>
        </w:rPr>
        <w:t>Region</w:t>
      </w:r>
      <w:proofErr w:type="spellEnd"/>
      <w:r w:rsidRPr="007A3B41">
        <w:rPr>
          <w:rFonts w:ascii="Times New Roman" w:hAnsi="Times New Roman" w:cs="Times New Roman"/>
          <w:bCs/>
        </w:rPr>
        <w:t xml:space="preserve"> of Algeria. Dissertation. </w:t>
      </w:r>
      <w:proofErr w:type="spellStart"/>
      <w:r w:rsidRPr="007A3B41">
        <w:rPr>
          <w:rFonts w:ascii="Times New Roman" w:hAnsi="Times New Roman" w:cs="Times New Roman"/>
          <w:bCs/>
        </w:rPr>
        <w:t>Biology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Applied</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Biochemistry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Kasdi</w:t>
      </w:r>
      <w:proofErr w:type="spellEnd"/>
      <w:r w:rsidRPr="007A3B41">
        <w:rPr>
          <w:rFonts w:ascii="Times New Roman" w:hAnsi="Times New Roman" w:cs="Times New Roman"/>
          <w:bCs/>
        </w:rPr>
        <w:t xml:space="preserve"> Mer Bah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Ouargla:</w:t>
      </w:r>
      <w:proofErr w:type="gramEnd"/>
      <w:r w:rsidRPr="007A3B41">
        <w:rPr>
          <w:rFonts w:ascii="Times New Roman" w:hAnsi="Times New Roman" w:cs="Times New Roman"/>
          <w:bCs/>
        </w:rPr>
        <w:t xml:space="preserve"> 2016; p. 1.</w:t>
      </w:r>
    </w:p>
    <w:p w14:paraId="4A861F7C"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4. Jean-Baptiste Galle et al., </w:t>
      </w:r>
      <w:proofErr w:type="spellStart"/>
      <w:r w:rsidRPr="007A3B41">
        <w:rPr>
          <w:rFonts w:ascii="Times New Roman" w:hAnsi="Times New Roman" w:cs="Times New Roman"/>
          <w:bCs/>
        </w:rPr>
        <w:t>Some</w:t>
      </w:r>
      <w:proofErr w:type="spellEnd"/>
      <w:r w:rsidRPr="007A3B41">
        <w:rPr>
          <w:rFonts w:ascii="Times New Roman" w:hAnsi="Times New Roman" w:cs="Times New Roman"/>
          <w:bCs/>
        </w:rPr>
        <w:t xml:space="preserve"> Plants </w:t>
      </w:r>
      <w:proofErr w:type="spellStart"/>
      <w:r w:rsidRPr="007A3B41">
        <w:rPr>
          <w:rFonts w:ascii="Times New Roman" w:hAnsi="Times New Roman" w:cs="Times New Roman"/>
          <w:bCs/>
        </w:rPr>
        <w:t>Used</w:t>
      </w:r>
      <w:proofErr w:type="spellEnd"/>
      <w:r w:rsidRPr="007A3B41">
        <w:rPr>
          <w:rFonts w:ascii="Times New Roman" w:hAnsi="Times New Roman" w:cs="Times New Roman"/>
          <w:bCs/>
        </w:rPr>
        <w:t xml:space="preserve"> in </w:t>
      </w:r>
      <w:proofErr w:type="spellStart"/>
      <w:r w:rsidRPr="007A3B41">
        <w:rPr>
          <w:rFonts w:ascii="Times New Roman" w:hAnsi="Times New Roman" w:cs="Times New Roman"/>
          <w:bCs/>
        </w:rPr>
        <w:t>Southwestern</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Madagascar:</w:t>
      </w:r>
      <w:proofErr w:type="gramEnd"/>
      <w:r w:rsidRPr="007A3B41">
        <w:rPr>
          <w:rFonts w:ascii="Times New Roman" w:hAnsi="Times New Roman" w:cs="Times New Roman"/>
          <w:bCs/>
        </w:rPr>
        <w:t xml:space="preserve"> </w:t>
      </w:r>
      <w:proofErr w:type="spellStart"/>
      <w:r w:rsidRPr="007A3B41">
        <w:rPr>
          <w:rFonts w:ascii="Times New Roman" w:hAnsi="Times New Roman" w:cs="Times New Roman"/>
          <w:bCs/>
        </w:rPr>
        <w:t>Ethnobotany</w:t>
      </w:r>
      <w:proofErr w:type="spellEnd"/>
      <w:r w:rsidRPr="007A3B41">
        <w:rPr>
          <w:rFonts w:ascii="Times New Roman" w:hAnsi="Times New Roman" w:cs="Times New Roman"/>
          <w:bCs/>
        </w:rPr>
        <w:t xml:space="preserve"> and Scientific </w:t>
      </w:r>
      <w:proofErr w:type="spellStart"/>
      <w:r w:rsidRPr="007A3B41">
        <w:rPr>
          <w:rFonts w:ascii="Times New Roman" w:hAnsi="Times New Roman" w:cs="Times New Roman"/>
          <w:bCs/>
        </w:rPr>
        <w:t>Monographs</w:t>
      </w:r>
      <w:proofErr w:type="spellEnd"/>
      <w:r w:rsidRPr="007A3B41">
        <w:rPr>
          <w:rFonts w:ascii="Times New Roman" w:hAnsi="Times New Roman" w:cs="Times New Roman"/>
          <w:bCs/>
        </w:rPr>
        <w:t xml:space="preserve">. World Garden </w:t>
      </w:r>
      <w:proofErr w:type="gramStart"/>
      <w:r w:rsidRPr="007A3B41">
        <w:rPr>
          <w:rFonts w:ascii="Times New Roman" w:hAnsi="Times New Roman" w:cs="Times New Roman"/>
          <w:bCs/>
        </w:rPr>
        <w:t>Edition:</w:t>
      </w:r>
      <w:proofErr w:type="gramEnd"/>
      <w:r w:rsidRPr="007A3B41">
        <w:rPr>
          <w:rFonts w:ascii="Times New Roman" w:hAnsi="Times New Roman" w:cs="Times New Roman"/>
          <w:bCs/>
        </w:rPr>
        <w:t xml:space="preserve"> 2015; p. 2.</w:t>
      </w:r>
    </w:p>
    <w:p w14:paraId="1672AF1E"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5. New </w:t>
      </w:r>
      <w:proofErr w:type="spellStart"/>
      <w:r w:rsidRPr="007A3B41">
        <w:rPr>
          <w:rFonts w:ascii="Times New Roman" w:hAnsi="Times New Roman" w:cs="Times New Roman"/>
          <w:bCs/>
        </w:rPr>
        <w:t>Illustrious</w:t>
      </w:r>
      <w:proofErr w:type="spellEnd"/>
      <w:r w:rsidRPr="007A3B41">
        <w:rPr>
          <w:rFonts w:ascii="Times New Roman" w:hAnsi="Times New Roman" w:cs="Times New Roman"/>
          <w:bCs/>
        </w:rPr>
        <w:t xml:space="preserve"> Flora of </w:t>
      </w:r>
      <w:proofErr w:type="spellStart"/>
      <w:r w:rsidRPr="007A3B41">
        <w:rPr>
          <w:rFonts w:ascii="Times New Roman" w:hAnsi="Times New Roman" w:cs="Times New Roman"/>
          <w:bCs/>
        </w:rPr>
        <w:t>Senegal</w:t>
      </w:r>
      <w:proofErr w:type="spellEnd"/>
      <w:r w:rsidRPr="007A3B41">
        <w:rPr>
          <w:rFonts w:ascii="Times New Roman" w:hAnsi="Times New Roman" w:cs="Times New Roman"/>
          <w:bCs/>
        </w:rPr>
        <w:t>. (</w:t>
      </w:r>
      <w:proofErr w:type="spellStart"/>
      <w:r w:rsidRPr="007A3B41">
        <w:rPr>
          <w:rFonts w:ascii="Times New Roman" w:hAnsi="Times New Roman" w:cs="Times New Roman"/>
          <w:bCs/>
        </w:rPr>
        <w:t>Monocotyledon</w:t>
      </w:r>
      <w:proofErr w:type="spellEnd"/>
      <w:r w:rsidRPr="007A3B41">
        <w:rPr>
          <w:rFonts w:ascii="Times New Roman" w:hAnsi="Times New Roman" w:cs="Times New Roman"/>
          <w:bCs/>
        </w:rPr>
        <w:t xml:space="preserve"> Volumes IX and X). 1271-1269.</w:t>
      </w:r>
    </w:p>
    <w:p w14:paraId="48B4C7EC"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6. A.B. </w:t>
      </w:r>
      <w:proofErr w:type="spellStart"/>
      <w:r w:rsidRPr="007A3B41">
        <w:rPr>
          <w:rFonts w:ascii="Times New Roman" w:hAnsi="Times New Roman" w:cs="Times New Roman"/>
          <w:bCs/>
        </w:rPr>
        <w:t>Madiélé</w:t>
      </w:r>
      <w:proofErr w:type="spellEnd"/>
      <w:r w:rsidRPr="007A3B41">
        <w:rPr>
          <w:rFonts w:ascii="Times New Roman" w:hAnsi="Times New Roman" w:cs="Times New Roman"/>
          <w:bCs/>
        </w:rPr>
        <w:t xml:space="preserve"> MABIKA et al., </w:t>
      </w:r>
      <w:proofErr w:type="spellStart"/>
      <w:r w:rsidRPr="007A3B41">
        <w:rPr>
          <w:rFonts w:ascii="Times New Roman" w:hAnsi="Times New Roman" w:cs="Times New Roman"/>
          <w:bCs/>
        </w:rPr>
        <w:t>Dye</w:t>
      </w:r>
      <w:proofErr w:type="spellEnd"/>
      <w:r w:rsidRPr="007A3B41">
        <w:rPr>
          <w:rFonts w:ascii="Times New Roman" w:hAnsi="Times New Roman" w:cs="Times New Roman"/>
          <w:bCs/>
        </w:rPr>
        <w:t xml:space="preserve"> Plants of Central </w:t>
      </w:r>
      <w:proofErr w:type="spellStart"/>
      <w:proofErr w:type="gramStart"/>
      <w:r w:rsidRPr="007A3B41">
        <w:rPr>
          <w:rFonts w:ascii="Times New Roman" w:hAnsi="Times New Roman" w:cs="Times New Roman"/>
          <w:bCs/>
        </w:rPr>
        <w:t>Africa</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An </w:t>
      </w:r>
      <w:proofErr w:type="spellStart"/>
      <w:r w:rsidRPr="007A3B41">
        <w:rPr>
          <w:rFonts w:ascii="Times New Roman" w:hAnsi="Times New Roman" w:cs="Times New Roman"/>
          <w:bCs/>
        </w:rPr>
        <w:t>Ethnobotanical</w:t>
      </w:r>
      <w:proofErr w:type="spellEnd"/>
      <w:r w:rsidRPr="007A3B41">
        <w:rPr>
          <w:rFonts w:ascii="Times New Roman" w:hAnsi="Times New Roman" w:cs="Times New Roman"/>
          <w:bCs/>
        </w:rPr>
        <w:t xml:space="preserve"> Survey and </w:t>
      </w:r>
      <w:proofErr w:type="spellStart"/>
      <w:r w:rsidRPr="007A3B41">
        <w:rPr>
          <w:rFonts w:ascii="Times New Roman" w:hAnsi="Times New Roman" w:cs="Times New Roman"/>
          <w:bCs/>
        </w:rPr>
        <w:t>Phytochemical</w:t>
      </w:r>
      <w:proofErr w:type="spellEnd"/>
      <w:r w:rsidRPr="007A3B41">
        <w:rPr>
          <w:rFonts w:ascii="Times New Roman" w:hAnsi="Times New Roman" w:cs="Times New Roman"/>
          <w:bCs/>
        </w:rPr>
        <w:t xml:space="preserve"> Screening. J. </w:t>
      </w:r>
      <w:proofErr w:type="spellStart"/>
      <w:r w:rsidRPr="007A3B41">
        <w:rPr>
          <w:rFonts w:ascii="Times New Roman" w:hAnsi="Times New Roman" w:cs="Times New Roman"/>
          <w:bCs/>
        </w:rPr>
        <w:t>Appl</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Biosci</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2013; 67: 5236-5251.</w:t>
      </w:r>
    </w:p>
    <w:p w14:paraId="5A668126"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7. Amina MOUTAWALLI et al., The </w:t>
      </w:r>
      <w:proofErr w:type="spellStart"/>
      <w:r w:rsidRPr="007A3B41">
        <w:rPr>
          <w:rFonts w:ascii="Times New Roman" w:hAnsi="Times New Roman" w:cs="Times New Roman"/>
          <w:bCs/>
        </w:rPr>
        <w:t>Biological</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Pharmacologic</w:t>
      </w:r>
      <w:proofErr w:type="spellEnd"/>
      <w:r w:rsidRPr="007A3B41">
        <w:rPr>
          <w:rFonts w:ascii="Times New Roman" w:hAnsi="Times New Roman" w:cs="Times New Roman"/>
          <w:bCs/>
        </w:rPr>
        <w:t xml:space="preserve"> Actions of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L. </w:t>
      </w:r>
      <w:proofErr w:type="spellStart"/>
      <w:r w:rsidRPr="007A3B41">
        <w:rPr>
          <w:rFonts w:ascii="Times New Roman" w:hAnsi="Times New Roman" w:cs="Times New Roman"/>
          <w:bCs/>
        </w:rPr>
        <w:t>Phytomedicine</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Plus:</w:t>
      </w:r>
      <w:proofErr w:type="gramEnd"/>
      <w:r w:rsidRPr="007A3B41">
        <w:rPr>
          <w:rFonts w:ascii="Times New Roman" w:hAnsi="Times New Roman" w:cs="Times New Roman"/>
          <w:bCs/>
        </w:rPr>
        <w:t xml:space="preserve"> 2023; 3; 100468</w:t>
      </w:r>
    </w:p>
    <w:p w14:paraId="29757588"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8. Tan et al., </w:t>
      </w:r>
      <w:proofErr w:type="spellStart"/>
      <w:r w:rsidRPr="007A3B41">
        <w:rPr>
          <w:rFonts w:ascii="Times New Roman" w:hAnsi="Times New Roman" w:cs="Times New Roman"/>
          <w:bCs/>
        </w:rPr>
        <w:t>Effect</w:t>
      </w:r>
      <w:proofErr w:type="spellEnd"/>
      <w:r w:rsidRPr="007A3B41">
        <w:rPr>
          <w:rFonts w:ascii="Times New Roman" w:hAnsi="Times New Roman" w:cs="Times New Roman"/>
          <w:bCs/>
        </w:rPr>
        <w:t xml:space="preserve"> of Extraction Solvent System, Duration, and </w:t>
      </w:r>
      <w:proofErr w:type="spellStart"/>
      <w:r w:rsidRPr="007A3B41">
        <w:rPr>
          <w:rFonts w:ascii="Times New Roman" w:hAnsi="Times New Roman" w:cs="Times New Roman"/>
          <w:bCs/>
        </w:rPr>
        <w:t>Temperature</w:t>
      </w:r>
      <w:proofErr w:type="spellEnd"/>
      <w:r w:rsidRPr="007A3B41">
        <w:rPr>
          <w:rFonts w:ascii="Times New Roman" w:hAnsi="Times New Roman" w:cs="Times New Roman"/>
          <w:bCs/>
        </w:rPr>
        <w:t xml:space="preserve"> on the Total </w:t>
      </w:r>
      <w:proofErr w:type="spellStart"/>
      <w:r w:rsidRPr="007A3B41">
        <w:rPr>
          <w:rFonts w:ascii="Times New Roman" w:hAnsi="Times New Roman" w:cs="Times New Roman"/>
          <w:bCs/>
        </w:rPr>
        <w:t>Phenolic</w:t>
      </w:r>
      <w:proofErr w:type="spellEnd"/>
      <w:r w:rsidRPr="007A3B41">
        <w:rPr>
          <w:rFonts w:ascii="Times New Roman" w:hAnsi="Times New Roman" w:cs="Times New Roman"/>
          <w:bCs/>
        </w:rPr>
        <w:t xml:space="preserve"> Content of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Stems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International Food </w:t>
      </w:r>
      <w:proofErr w:type="spellStart"/>
      <w:r w:rsidRPr="007A3B41">
        <w:rPr>
          <w:rFonts w:ascii="Times New Roman" w:hAnsi="Times New Roman" w:cs="Times New Roman"/>
          <w:bCs/>
        </w:rPr>
        <w:t>Research</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Journal:</w:t>
      </w:r>
      <w:proofErr w:type="gramEnd"/>
      <w:r w:rsidRPr="007A3B41">
        <w:rPr>
          <w:rFonts w:ascii="Times New Roman" w:hAnsi="Times New Roman" w:cs="Times New Roman"/>
          <w:bCs/>
        </w:rPr>
        <w:t xml:space="preserve"> 2013; 20 (6): 3117-3123. 9. Majid </w:t>
      </w:r>
      <w:proofErr w:type="spellStart"/>
      <w:r w:rsidRPr="007A3B41">
        <w:rPr>
          <w:rFonts w:ascii="Times New Roman" w:hAnsi="Times New Roman" w:cs="Times New Roman"/>
          <w:bCs/>
        </w:rPr>
        <w:t>Balaei</w:t>
      </w:r>
      <w:proofErr w:type="spellEnd"/>
      <w:r w:rsidRPr="007A3B41">
        <w:rPr>
          <w:rFonts w:ascii="Times New Roman" w:hAnsi="Times New Roman" w:cs="Times New Roman"/>
          <w:bCs/>
        </w:rPr>
        <w:t xml:space="preserve">-KAHNAMOIE et al., </w:t>
      </w:r>
      <w:proofErr w:type="spellStart"/>
      <w:r w:rsidRPr="007A3B41">
        <w:rPr>
          <w:rFonts w:ascii="Times New Roman" w:hAnsi="Times New Roman" w:cs="Times New Roman"/>
          <w:bCs/>
        </w:rPr>
        <w:t>Phytochemical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Analysis</w:t>
      </w:r>
      <w:proofErr w:type="spellEnd"/>
      <w:r w:rsidRPr="007A3B41">
        <w:rPr>
          <w:rFonts w:ascii="Times New Roman" w:hAnsi="Times New Roman" w:cs="Times New Roman"/>
          <w:bCs/>
        </w:rPr>
        <w:t xml:space="preserve"> and Evaluation of the </w:t>
      </w:r>
      <w:proofErr w:type="spellStart"/>
      <w:r w:rsidRPr="007A3B41">
        <w:rPr>
          <w:rFonts w:ascii="Times New Roman" w:hAnsi="Times New Roman" w:cs="Times New Roman"/>
          <w:bCs/>
        </w:rPr>
        <w:t>Biological</w:t>
      </w:r>
      <w:proofErr w:type="spellEnd"/>
      <w:r w:rsidRPr="007A3B41">
        <w:rPr>
          <w:rFonts w:ascii="Times New Roman" w:hAnsi="Times New Roman" w:cs="Times New Roman"/>
          <w:bCs/>
        </w:rPr>
        <w:t xml:space="preserve"> Activity of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Seeds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Related</w:t>
      </w:r>
      <w:proofErr w:type="spellEnd"/>
      <w:r w:rsidRPr="007A3B41">
        <w:rPr>
          <w:rFonts w:ascii="Times New Roman" w:hAnsi="Times New Roman" w:cs="Times New Roman"/>
          <w:bCs/>
        </w:rPr>
        <w:t xml:space="preserve"> to </w:t>
      </w:r>
      <w:proofErr w:type="spellStart"/>
      <w:r w:rsidRPr="007A3B41">
        <w:rPr>
          <w:rFonts w:ascii="Times New Roman" w:hAnsi="Times New Roman" w:cs="Times New Roman"/>
          <w:bCs/>
        </w:rPr>
        <w:t>Alzheimer's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Disease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Hidawi</w:t>
      </w:r>
      <w:proofErr w:type="spellEnd"/>
      <w:r w:rsidRPr="007A3B41">
        <w:rPr>
          <w:rFonts w:ascii="Times New Roman" w:hAnsi="Times New Roman" w:cs="Times New Roman"/>
          <w:bCs/>
        </w:rPr>
        <w:t>. Evidence-</w:t>
      </w:r>
      <w:proofErr w:type="spellStart"/>
      <w:r w:rsidRPr="007A3B41">
        <w:rPr>
          <w:rFonts w:ascii="Times New Roman" w:hAnsi="Times New Roman" w:cs="Times New Roman"/>
          <w:bCs/>
        </w:rPr>
        <w:t>Based</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Complementary</w:t>
      </w:r>
      <w:proofErr w:type="spellEnd"/>
      <w:r w:rsidRPr="007A3B41">
        <w:rPr>
          <w:rFonts w:ascii="Times New Roman" w:hAnsi="Times New Roman" w:cs="Times New Roman"/>
          <w:bCs/>
        </w:rPr>
        <w:t xml:space="preserve"> and Alternative </w:t>
      </w:r>
      <w:proofErr w:type="spellStart"/>
      <w:proofErr w:type="gramStart"/>
      <w:r w:rsidRPr="007A3B41">
        <w:rPr>
          <w:rFonts w:ascii="Times New Roman" w:hAnsi="Times New Roman" w:cs="Times New Roman"/>
          <w:bCs/>
        </w:rPr>
        <w:t>Medicine</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2021; 2021: 1-10. 10. </w:t>
      </w:r>
      <w:proofErr w:type="spellStart"/>
      <w:r w:rsidRPr="007A3B41">
        <w:rPr>
          <w:rFonts w:ascii="Times New Roman" w:hAnsi="Times New Roman" w:cs="Times New Roman"/>
          <w:bCs/>
        </w:rPr>
        <w:t>Gagandeep</w:t>
      </w:r>
      <w:proofErr w:type="spellEnd"/>
      <w:r w:rsidRPr="007A3B41">
        <w:rPr>
          <w:rFonts w:ascii="Times New Roman" w:hAnsi="Times New Roman" w:cs="Times New Roman"/>
          <w:bCs/>
        </w:rPr>
        <w:t xml:space="preserve"> CHAUDHARY et al.,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Inermis</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A </w:t>
      </w:r>
      <w:proofErr w:type="spellStart"/>
      <w:r w:rsidRPr="007A3B41">
        <w:rPr>
          <w:rFonts w:ascii="Times New Roman" w:hAnsi="Times New Roman" w:cs="Times New Roman"/>
          <w:bCs/>
        </w:rPr>
        <w:t>Phytopharmacological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Review</w:t>
      </w:r>
      <w:proofErr w:type="spellEnd"/>
      <w:r w:rsidRPr="007A3B41">
        <w:rPr>
          <w:rFonts w:ascii="Times New Roman" w:hAnsi="Times New Roman" w:cs="Times New Roman"/>
          <w:bCs/>
        </w:rPr>
        <w:t>: 2010; 2(2): 91-98. 11. Hamid El-</w:t>
      </w:r>
      <w:proofErr w:type="spellStart"/>
      <w:r w:rsidRPr="007A3B41">
        <w:rPr>
          <w:rFonts w:ascii="Times New Roman" w:hAnsi="Times New Roman" w:cs="Times New Roman"/>
          <w:bCs/>
        </w:rPr>
        <w:t>haoud</w:t>
      </w:r>
      <w:proofErr w:type="spellEnd"/>
      <w:r w:rsidRPr="007A3B41">
        <w:rPr>
          <w:rFonts w:ascii="Times New Roman" w:hAnsi="Times New Roman" w:cs="Times New Roman"/>
          <w:bCs/>
        </w:rPr>
        <w:t xml:space="preserve">, et al., </w:t>
      </w:r>
      <w:proofErr w:type="spellStart"/>
      <w:r w:rsidRPr="007A3B41">
        <w:rPr>
          <w:rFonts w:ascii="Times New Roman" w:hAnsi="Times New Roman" w:cs="Times New Roman"/>
          <w:bCs/>
        </w:rPr>
        <w:t>Phytochemical</w:t>
      </w:r>
      <w:proofErr w:type="spellEnd"/>
      <w:r w:rsidRPr="007A3B41">
        <w:rPr>
          <w:rFonts w:ascii="Times New Roman" w:hAnsi="Times New Roman" w:cs="Times New Roman"/>
          <w:bCs/>
        </w:rPr>
        <w:t xml:space="preserve"> Screening of a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Plant. </w:t>
      </w:r>
      <w:proofErr w:type="spellStart"/>
      <w:r w:rsidRPr="007A3B41">
        <w:rPr>
          <w:rFonts w:ascii="Times New Roman" w:hAnsi="Times New Roman" w:cs="Times New Roman"/>
          <w:bCs/>
        </w:rPr>
        <w:t>Mentha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Spicata</w:t>
      </w:r>
      <w:proofErr w:type="spellEnd"/>
      <w:r w:rsidRPr="007A3B41">
        <w:rPr>
          <w:rFonts w:ascii="Times New Roman" w:hAnsi="Times New Roman" w:cs="Times New Roman"/>
          <w:bCs/>
        </w:rPr>
        <w:t xml:space="preserve"> L. Am. J. Innov. </w:t>
      </w:r>
      <w:proofErr w:type="spellStart"/>
      <w:r w:rsidRPr="007A3B41">
        <w:rPr>
          <w:rFonts w:ascii="Times New Roman" w:hAnsi="Times New Roman" w:cs="Times New Roman"/>
          <w:bCs/>
        </w:rPr>
        <w:t>Res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Appl</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Sci</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2018; 7(4): 226-233. 12. </w:t>
      </w:r>
      <w:proofErr w:type="spellStart"/>
      <w:r w:rsidRPr="007A3B41">
        <w:rPr>
          <w:rFonts w:ascii="Times New Roman" w:hAnsi="Times New Roman" w:cs="Times New Roman"/>
          <w:bCs/>
        </w:rPr>
        <w:t>Benziwa</w:t>
      </w:r>
      <w:proofErr w:type="spellEnd"/>
      <w:r w:rsidRPr="007A3B41">
        <w:rPr>
          <w:rFonts w:ascii="Times New Roman" w:hAnsi="Times New Roman" w:cs="Times New Roman"/>
          <w:bCs/>
        </w:rPr>
        <w:t xml:space="preserve"> Nathalie JONSHONE et al., </w:t>
      </w:r>
      <w:proofErr w:type="spellStart"/>
      <w:r w:rsidRPr="007A3B41">
        <w:rPr>
          <w:rFonts w:ascii="Times New Roman" w:hAnsi="Times New Roman" w:cs="Times New Roman"/>
          <w:bCs/>
        </w:rPr>
        <w:t>Study</w:t>
      </w:r>
      <w:proofErr w:type="spellEnd"/>
      <w:r w:rsidRPr="007A3B41">
        <w:rPr>
          <w:rFonts w:ascii="Times New Roman" w:hAnsi="Times New Roman" w:cs="Times New Roman"/>
          <w:bCs/>
        </w:rPr>
        <w:t xml:space="preserve"> of the Germination of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L. Under </w:t>
      </w:r>
      <w:proofErr w:type="spellStart"/>
      <w:r w:rsidRPr="007A3B41">
        <w:rPr>
          <w:rFonts w:ascii="Times New Roman" w:hAnsi="Times New Roman" w:cs="Times New Roman"/>
          <w:bCs/>
        </w:rPr>
        <w:t>Different</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Abiotic</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Constraints</w:t>
      </w:r>
      <w:proofErr w:type="spellEnd"/>
      <w:r w:rsidRPr="007A3B41">
        <w:rPr>
          <w:rFonts w:ascii="Times New Roman" w:hAnsi="Times New Roman" w:cs="Times New Roman"/>
          <w:bCs/>
        </w:rPr>
        <w:t xml:space="preserve">. Int. J. Biol. </w:t>
      </w:r>
      <w:proofErr w:type="spellStart"/>
      <w:r w:rsidRPr="007A3B41">
        <w:rPr>
          <w:rFonts w:ascii="Times New Roman" w:hAnsi="Times New Roman" w:cs="Times New Roman"/>
          <w:bCs/>
        </w:rPr>
        <w:t>Chem</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Sci</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2019; 13(2): 745-758</w:t>
      </w:r>
    </w:p>
    <w:p w14:paraId="1A2ABD5F"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lastRenderedPageBreak/>
        <w:t xml:space="preserve">13. Ali </w:t>
      </w:r>
      <w:proofErr w:type="spellStart"/>
      <w:r w:rsidRPr="007A3B41">
        <w:rPr>
          <w:rFonts w:ascii="Times New Roman" w:hAnsi="Times New Roman" w:cs="Times New Roman"/>
          <w:bCs/>
        </w:rPr>
        <w:t>Esmail</w:t>
      </w:r>
      <w:proofErr w:type="spellEnd"/>
      <w:r w:rsidRPr="007A3B41">
        <w:rPr>
          <w:rFonts w:ascii="Times New Roman" w:hAnsi="Times New Roman" w:cs="Times New Roman"/>
          <w:bCs/>
        </w:rPr>
        <w:t xml:space="preserve"> AL-</w:t>
      </w:r>
      <w:proofErr w:type="gramStart"/>
      <w:r w:rsidRPr="007A3B41">
        <w:rPr>
          <w:rFonts w:ascii="Times New Roman" w:hAnsi="Times New Roman" w:cs="Times New Roman"/>
          <w:bCs/>
        </w:rPr>
        <w:t>SNAFI:</w:t>
      </w:r>
      <w:proofErr w:type="gramEnd"/>
      <w:r w:rsidRPr="007A3B41">
        <w:rPr>
          <w:rFonts w:ascii="Times New Roman" w:hAnsi="Times New Roman" w:cs="Times New Roman"/>
          <w:bCs/>
        </w:rPr>
        <w:t xml:space="preserve"> A </w:t>
      </w:r>
      <w:proofErr w:type="spellStart"/>
      <w:r w:rsidRPr="007A3B41">
        <w:rPr>
          <w:rFonts w:ascii="Times New Roman" w:hAnsi="Times New Roman" w:cs="Times New Roman"/>
          <w:bCs/>
        </w:rPr>
        <w:t>review</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w:t>
      </w:r>
      <w:proofErr w:type="spellEnd"/>
      <w:r w:rsidRPr="007A3B41">
        <w:rPr>
          <w:rFonts w:ascii="Times New Roman" w:hAnsi="Times New Roman" w:cs="Times New Roman"/>
          <w:bCs/>
        </w:rPr>
        <w:t xml:space="preserve"> plant </w:t>
      </w:r>
      <w:proofErr w:type="spellStart"/>
      <w:r w:rsidRPr="007A3B41">
        <w:rPr>
          <w:rFonts w:ascii="Times New Roman" w:hAnsi="Times New Roman" w:cs="Times New Roman"/>
          <w:bCs/>
        </w:rPr>
        <w:t>with</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potential</w:t>
      </w:r>
      <w:proofErr w:type="spellEnd"/>
      <w:r w:rsidRPr="007A3B41">
        <w:rPr>
          <w:rFonts w:ascii="Times New Roman" w:hAnsi="Times New Roman" w:cs="Times New Roman"/>
          <w:bCs/>
        </w:rPr>
        <w:t xml:space="preserve">. International Journal of Pharmaceutical </w:t>
      </w:r>
      <w:proofErr w:type="spellStart"/>
      <w:proofErr w:type="gramStart"/>
      <w:r w:rsidRPr="007A3B41">
        <w:rPr>
          <w:rFonts w:ascii="Times New Roman" w:hAnsi="Times New Roman" w:cs="Times New Roman"/>
          <w:bCs/>
        </w:rPr>
        <w:t>Research</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2013; 11(5): 0975-7066.</w:t>
      </w:r>
    </w:p>
    <w:p w14:paraId="74AFAC9E"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14. Marcel MBADJI. Domestication of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a tropical </w:t>
      </w:r>
      <w:proofErr w:type="spellStart"/>
      <w:r w:rsidRPr="007A3B41">
        <w:rPr>
          <w:rFonts w:ascii="Times New Roman" w:hAnsi="Times New Roman" w:cs="Times New Roman"/>
          <w:bCs/>
        </w:rPr>
        <w:t>woody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dye</w:t>
      </w:r>
      <w:proofErr w:type="spellEnd"/>
      <w:r w:rsidRPr="007A3B41">
        <w:rPr>
          <w:rFonts w:ascii="Times New Roman" w:hAnsi="Times New Roman" w:cs="Times New Roman"/>
          <w:bCs/>
        </w:rPr>
        <w:t xml:space="preserve"> plant, by plant propagation. </w:t>
      </w:r>
      <w:proofErr w:type="spellStart"/>
      <w:r w:rsidRPr="007A3B41">
        <w:rPr>
          <w:rFonts w:ascii="Times New Roman" w:hAnsi="Times New Roman" w:cs="Times New Roman"/>
          <w:bCs/>
        </w:rPr>
        <w:t>Department</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Biology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Faculty</w:t>
      </w:r>
      <w:proofErr w:type="spellEnd"/>
      <w:r w:rsidRPr="007A3B41">
        <w:rPr>
          <w:rFonts w:ascii="Times New Roman" w:hAnsi="Times New Roman" w:cs="Times New Roman"/>
          <w:bCs/>
        </w:rPr>
        <w:t xml:space="preserve"> of Science and </w:t>
      </w:r>
      <w:proofErr w:type="spellStart"/>
      <w:r w:rsidRPr="007A3B41">
        <w:rPr>
          <w:rFonts w:ascii="Times New Roman" w:hAnsi="Times New Roman" w:cs="Times New Roman"/>
          <w:bCs/>
        </w:rPr>
        <w:t>Technology</w:t>
      </w:r>
      <w:proofErr w:type="spellEnd"/>
      <w:r w:rsidRPr="007A3B41">
        <w:rPr>
          <w:rFonts w:ascii="Times New Roman" w:hAnsi="Times New Roman" w:cs="Times New Roman"/>
          <w:bCs/>
        </w:rPr>
        <w:t xml:space="preserve">. Cheikh Anta Diop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of </w:t>
      </w:r>
      <w:proofErr w:type="gramStart"/>
      <w:r w:rsidRPr="007A3B41">
        <w:rPr>
          <w:rFonts w:ascii="Times New Roman" w:hAnsi="Times New Roman" w:cs="Times New Roman"/>
          <w:bCs/>
        </w:rPr>
        <w:t>Dakar:</w:t>
      </w:r>
      <w:proofErr w:type="gramEnd"/>
      <w:r w:rsidRPr="007A3B41">
        <w:rPr>
          <w:rFonts w:ascii="Times New Roman" w:hAnsi="Times New Roman" w:cs="Times New Roman"/>
          <w:bCs/>
        </w:rPr>
        <w:t xml:space="preserve"> 2006.</w:t>
      </w:r>
    </w:p>
    <w:p w14:paraId="127E11B4"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15. Amrani NESRI et al., Biocide control trial </w:t>
      </w:r>
      <w:proofErr w:type="spellStart"/>
      <w:r w:rsidRPr="007A3B41">
        <w:rPr>
          <w:rFonts w:ascii="Times New Roman" w:hAnsi="Times New Roman" w:cs="Times New Roman"/>
          <w:bCs/>
        </w:rPr>
        <w:t>against</w:t>
      </w:r>
      <w:proofErr w:type="spellEnd"/>
      <w:r w:rsidRPr="007A3B41">
        <w:rPr>
          <w:rFonts w:ascii="Times New Roman" w:hAnsi="Times New Roman" w:cs="Times New Roman"/>
          <w:bCs/>
        </w:rPr>
        <w:t xml:space="preserve"> a </w:t>
      </w:r>
      <w:proofErr w:type="spellStart"/>
      <w:r w:rsidRPr="007A3B41">
        <w:rPr>
          <w:rFonts w:ascii="Times New Roman" w:hAnsi="Times New Roman" w:cs="Times New Roman"/>
          <w:bCs/>
        </w:rPr>
        <w:t>pest</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foodstuffs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stored</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under</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controlled</w:t>
      </w:r>
      <w:proofErr w:type="spellEnd"/>
      <w:r w:rsidRPr="007A3B41">
        <w:rPr>
          <w:rFonts w:ascii="Times New Roman" w:hAnsi="Times New Roman" w:cs="Times New Roman"/>
          <w:bCs/>
        </w:rPr>
        <w:t xml:space="preserve"> conditions. Dissertation. </w:t>
      </w:r>
      <w:proofErr w:type="spellStart"/>
      <w:r w:rsidRPr="007A3B41">
        <w:rPr>
          <w:rFonts w:ascii="Times New Roman" w:hAnsi="Times New Roman" w:cs="Times New Roman"/>
          <w:bCs/>
        </w:rPr>
        <w:t>Parasitology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Faculty</w:t>
      </w:r>
      <w:proofErr w:type="spellEnd"/>
      <w:r w:rsidRPr="007A3B41">
        <w:rPr>
          <w:rFonts w:ascii="Times New Roman" w:hAnsi="Times New Roman" w:cs="Times New Roman"/>
          <w:bCs/>
        </w:rPr>
        <w:t xml:space="preserve"> of Natural and Life Sciences. Blida-1 </w:t>
      </w:r>
      <w:proofErr w:type="spellStart"/>
      <w:proofErr w:type="gramStart"/>
      <w:r w:rsidRPr="007A3B41">
        <w:rPr>
          <w:rFonts w:ascii="Times New Roman" w:hAnsi="Times New Roman" w:cs="Times New Roman"/>
          <w:bCs/>
        </w:rPr>
        <w:t>University</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2020; p. 28.</w:t>
      </w:r>
    </w:p>
    <w:p w14:paraId="0979D3E0"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16. </w:t>
      </w:r>
      <w:proofErr w:type="spellStart"/>
      <w:r w:rsidRPr="007A3B41">
        <w:rPr>
          <w:rFonts w:ascii="Times New Roman" w:hAnsi="Times New Roman" w:cs="Times New Roman"/>
          <w:bCs/>
        </w:rPr>
        <w:t>Ranarijaona</w:t>
      </w:r>
      <w:proofErr w:type="spellEnd"/>
      <w:r w:rsidRPr="007A3B41">
        <w:rPr>
          <w:rFonts w:ascii="Times New Roman" w:hAnsi="Times New Roman" w:cs="Times New Roman"/>
          <w:bCs/>
        </w:rPr>
        <w:t xml:space="preserve"> HERY </w:t>
      </w:r>
      <w:proofErr w:type="spellStart"/>
      <w:r w:rsidRPr="007A3B41">
        <w:rPr>
          <w:rFonts w:ascii="Times New Roman" w:hAnsi="Times New Roman" w:cs="Times New Roman"/>
          <w:bCs/>
        </w:rPr>
        <w:t>Lisy</w:t>
      </w:r>
      <w:proofErr w:type="spellEnd"/>
      <w:r w:rsidRPr="007A3B41">
        <w:rPr>
          <w:rFonts w:ascii="Times New Roman" w:hAnsi="Times New Roman" w:cs="Times New Roman"/>
          <w:bCs/>
        </w:rPr>
        <w:t xml:space="preserve"> TIANA et al., The </w:t>
      </w:r>
      <w:proofErr w:type="spellStart"/>
      <w:r w:rsidRPr="007A3B41">
        <w:rPr>
          <w:rFonts w:ascii="Times New Roman" w:hAnsi="Times New Roman" w:cs="Times New Roman"/>
          <w:bCs/>
        </w:rPr>
        <w:t>most</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renowned</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traditional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magical</w:t>
      </w:r>
      <w:proofErr w:type="spellEnd"/>
      <w:r w:rsidRPr="007A3B41">
        <w:rPr>
          <w:rFonts w:ascii="Times New Roman" w:hAnsi="Times New Roman" w:cs="Times New Roman"/>
          <w:bCs/>
        </w:rPr>
        <w:t xml:space="preserve"> plants of the </w:t>
      </w:r>
      <w:proofErr w:type="spellStart"/>
      <w:r w:rsidRPr="007A3B41">
        <w:rPr>
          <w:rFonts w:ascii="Times New Roman" w:hAnsi="Times New Roman" w:cs="Times New Roman"/>
          <w:bCs/>
        </w:rPr>
        <w:t>women</w:t>
      </w:r>
      <w:proofErr w:type="spellEnd"/>
      <w:r w:rsidRPr="007A3B41">
        <w:rPr>
          <w:rFonts w:ascii="Times New Roman" w:hAnsi="Times New Roman" w:cs="Times New Roman"/>
          <w:bCs/>
        </w:rPr>
        <w:t xml:space="preserve"> of the city of Mahajanga. Mahajanga </w:t>
      </w:r>
      <w:proofErr w:type="gramStart"/>
      <w:r w:rsidRPr="007A3B41">
        <w:rPr>
          <w:rFonts w:ascii="Times New Roman" w:hAnsi="Times New Roman" w:cs="Times New Roman"/>
          <w:bCs/>
        </w:rPr>
        <w:t>Madagascar:</w:t>
      </w:r>
      <w:proofErr w:type="gramEnd"/>
      <w:r w:rsidRPr="007A3B41">
        <w:rPr>
          <w:rFonts w:ascii="Times New Roman" w:hAnsi="Times New Roman" w:cs="Times New Roman"/>
          <w:bCs/>
        </w:rPr>
        <w:t xml:space="preserve"> 2012; (401); p9.</w:t>
      </w:r>
    </w:p>
    <w:p w14:paraId="21C1F5AB"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17. K. GHEDIRA et al.,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L. </w:t>
      </w:r>
      <w:proofErr w:type="spellStart"/>
      <w:r w:rsidRPr="007A3B41">
        <w:rPr>
          <w:rFonts w:ascii="Times New Roman" w:hAnsi="Times New Roman" w:cs="Times New Roman"/>
          <w:bCs/>
        </w:rPr>
        <w:t>lytheraceae</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Phytotherapy</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2017; 15: 85-90.</w:t>
      </w:r>
    </w:p>
    <w:p w14:paraId="28FA6AED"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18. </w:t>
      </w:r>
      <w:proofErr w:type="spellStart"/>
      <w:r w:rsidRPr="007A3B41">
        <w:rPr>
          <w:rFonts w:ascii="Times New Roman" w:hAnsi="Times New Roman" w:cs="Times New Roman"/>
          <w:bCs/>
        </w:rPr>
        <w:t>Benyahkem</w:t>
      </w:r>
      <w:proofErr w:type="spellEnd"/>
      <w:r w:rsidRPr="007A3B41">
        <w:rPr>
          <w:rFonts w:ascii="Times New Roman" w:hAnsi="Times New Roman" w:cs="Times New Roman"/>
          <w:bCs/>
        </w:rPr>
        <w:t xml:space="preserve"> Meriem </w:t>
      </w:r>
      <w:proofErr w:type="spellStart"/>
      <w:r w:rsidRPr="007A3B41">
        <w:rPr>
          <w:rFonts w:ascii="Times New Roman" w:hAnsi="Times New Roman" w:cs="Times New Roman"/>
          <w:bCs/>
        </w:rPr>
        <w:t>Lamri</w:t>
      </w:r>
      <w:proofErr w:type="spellEnd"/>
      <w:r w:rsidRPr="007A3B41">
        <w:rPr>
          <w:rFonts w:ascii="Times New Roman" w:hAnsi="Times New Roman" w:cs="Times New Roman"/>
          <w:bCs/>
        </w:rPr>
        <w:t xml:space="preserve"> KHAOULA. Contribution to the </w:t>
      </w:r>
      <w:proofErr w:type="spellStart"/>
      <w:r w:rsidRPr="007A3B41">
        <w:rPr>
          <w:rFonts w:ascii="Times New Roman" w:hAnsi="Times New Roman" w:cs="Times New Roman"/>
          <w:bCs/>
        </w:rPr>
        <w:t>antioxidant</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activity</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phenolic</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extracts</w:t>
      </w:r>
      <w:proofErr w:type="spellEnd"/>
      <w:r w:rsidRPr="007A3B41">
        <w:rPr>
          <w:rFonts w:ascii="Times New Roman" w:hAnsi="Times New Roman" w:cs="Times New Roman"/>
          <w:bCs/>
        </w:rPr>
        <w:t xml:space="preserve"> of the </w:t>
      </w:r>
      <w:proofErr w:type="spellStart"/>
      <w:r w:rsidRPr="007A3B41">
        <w:rPr>
          <w:rFonts w:ascii="Times New Roman" w:hAnsi="Times New Roman" w:cs="Times New Roman"/>
          <w:bCs/>
        </w:rPr>
        <w:t>three</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species</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w:t>
      </w:r>
      <w:proofErr w:type="spellStart"/>
      <w:r w:rsidRPr="007A3B41">
        <w:rPr>
          <w:rFonts w:ascii="Times New Roman" w:hAnsi="Times New Roman" w:cs="Times New Roman"/>
          <w:bCs/>
        </w:rPr>
        <w:t>Punica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granatum</w:t>
      </w:r>
      <w:proofErr w:type="spellEnd"/>
      <w:r w:rsidRPr="007A3B41">
        <w:rPr>
          <w:rFonts w:ascii="Times New Roman" w:hAnsi="Times New Roman" w:cs="Times New Roman"/>
          <w:bCs/>
        </w:rPr>
        <w:t xml:space="preserve"> L. (</w:t>
      </w:r>
      <w:proofErr w:type="spellStart"/>
      <w:r w:rsidRPr="007A3B41">
        <w:rPr>
          <w:rFonts w:ascii="Times New Roman" w:hAnsi="Times New Roman" w:cs="Times New Roman"/>
          <w:bCs/>
        </w:rPr>
        <w:t>pomegranate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Zea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may</w:t>
      </w:r>
      <w:proofErr w:type="spellEnd"/>
      <w:r w:rsidRPr="007A3B41">
        <w:rPr>
          <w:rFonts w:ascii="Times New Roman" w:hAnsi="Times New Roman" w:cs="Times New Roman"/>
          <w:bCs/>
        </w:rPr>
        <w:t xml:space="preserve"> L. (Corn);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L.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Dissertation. </w:t>
      </w:r>
      <w:proofErr w:type="spellStart"/>
      <w:r w:rsidRPr="007A3B41">
        <w:rPr>
          <w:rFonts w:ascii="Times New Roman" w:hAnsi="Times New Roman" w:cs="Times New Roman"/>
          <w:bCs/>
        </w:rPr>
        <w:t>Department</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Biological</w:t>
      </w:r>
      <w:proofErr w:type="spellEnd"/>
      <w:r w:rsidRPr="007A3B41">
        <w:rPr>
          <w:rFonts w:ascii="Times New Roman" w:hAnsi="Times New Roman" w:cs="Times New Roman"/>
          <w:bCs/>
        </w:rPr>
        <w:t xml:space="preserve"> Sciences. </w:t>
      </w:r>
      <w:proofErr w:type="spellStart"/>
      <w:r w:rsidRPr="007A3B41">
        <w:rPr>
          <w:rFonts w:ascii="Times New Roman" w:hAnsi="Times New Roman" w:cs="Times New Roman"/>
          <w:bCs/>
        </w:rPr>
        <w:t>Faculty</w:t>
      </w:r>
      <w:proofErr w:type="spellEnd"/>
      <w:r w:rsidRPr="007A3B41">
        <w:rPr>
          <w:rFonts w:ascii="Times New Roman" w:hAnsi="Times New Roman" w:cs="Times New Roman"/>
          <w:bCs/>
        </w:rPr>
        <w:t xml:space="preserve"> of Natural and Life Sciences. </w:t>
      </w:r>
      <w:proofErr w:type="spellStart"/>
      <w:r w:rsidRPr="007A3B41">
        <w:rPr>
          <w:rFonts w:ascii="Times New Roman" w:hAnsi="Times New Roman" w:cs="Times New Roman"/>
          <w:bCs/>
        </w:rPr>
        <w:t>Kasdi</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Merbah</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or </w:t>
      </w:r>
      <w:proofErr w:type="spellStart"/>
      <w:r w:rsidRPr="007A3B41">
        <w:rPr>
          <w:rFonts w:ascii="Times New Roman" w:hAnsi="Times New Roman" w:cs="Times New Roman"/>
          <w:bCs/>
        </w:rPr>
        <w:t>Argla</w:t>
      </w:r>
      <w:proofErr w:type="spellEnd"/>
      <w:proofErr w:type="gramStart"/>
      <w:r w:rsidRPr="007A3B41">
        <w:rPr>
          <w:rFonts w:ascii="Times New Roman" w:hAnsi="Times New Roman" w:cs="Times New Roman"/>
          <w:bCs/>
        </w:rPr>
        <w:t>.:</w:t>
      </w:r>
      <w:proofErr w:type="gramEnd"/>
      <w:r w:rsidRPr="007A3B41">
        <w:rPr>
          <w:rFonts w:ascii="Times New Roman" w:hAnsi="Times New Roman" w:cs="Times New Roman"/>
          <w:bCs/>
        </w:rPr>
        <w:t xml:space="preserve"> 2017; p31.</w:t>
      </w:r>
    </w:p>
    <w:p w14:paraId="29E4DCB7"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19. ORWAL and al., </w:t>
      </w:r>
      <w:proofErr w:type="spellStart"/>
      <w:r w:rsidRPr="007A3B41">
        <w:rPr>
          <w:rFonts w:ascii="Times New Roman" w:hAnsi="Times New Roman" w:cs="Times New Roman"/>
          <w:bCs/>
        </w:rPr>
        <w:t>Agrophorestry</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database</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w:t>
      </w:r>
      <w:proofErr w:type="spellStart"/>
      <w:r w:rsidRPr="007A3B41">
        <w:rPr>
          <w:rFonts w:ascii="Times New Roman" w:hAnsi="Times New Roman" w:cs="Times New Roman"/>
          <w:bCs/>
        </w:rPr>
        <w:t>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tree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reference</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selection</w:t>
      </w:r>
      <w:proofErr w:type="spellEnd"/>
      <w:r w:rsidRPr="007A3B41">
        <w:rPr>
          <w:rFonts w:ascii="Times New Roman" w:hAnsi="Times New Roman" w:cs="Times New Roman"/>
          <w:bCs/>
        </w:rPr>
        <w:t xml:space="preserve"> guide version 2009; 4.0 (http://www//worldagroforestry.org/af/treedb/).</w:t>
      </w:r>
    </w:p>
    <w:p w14:paraId="4BF4316C"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20. </w:t>
      </w:r>
      <w:proofErr w:type="spellStart"/>
      <w:r w:rsidRPr="007A3B41">
        <w:rPr>
          <w:rFonts w:ascii="Times New Roman" w:hAnsi="Times New Roman" w:cs="Times New Roman"/>
          <w:bCs/>
        </w:rPr>
        <w:t>Gagandeep</w:t>
      </w:r>
      <w:proofErr w:type="spellEnd"/>
      <w:r w:rsidRPr="007A3B41">
        <w:rPr>
          <w:rFonts w:ascii="Times New Roman" w:hAnsi="Times New Roman" w:cs="Times New Roman"/>
          <w:bCs/>
        </w:rPr>
        <w:t xml:space="preserve"> CHAUDHARY et al.,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L. A </w:t>
      </w:r>
      <w:proofErr w:type="spellStart"/>
      <w:r w:rsidRPr="007A3B41">
        <w:rPr>
          <w:rFonts w:ascii="Times New Roman" w:hAnsi="Times New Roman" w:cs="Times New Roman"/>
          <w:bCs/>
        </w:rPr>
        <w:t>Phytopharmacological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Review</w:t>
      </w:r>
      <w:proofErr w:type="spellEnd"/>
      <w:r w:rsidRPr="007A3B41">
        <w:rPr>
          <w:rFonts w:ascii="Times New Roman" w:hAnsi="Times New Roman" w:cs="Times New Roman"/>
          <w:bCs/>
        </w:rPr>
        <w:t xml:space="preserve">. International journal of Pharmaceutical Sciences and Drug </w:t>
      </w:r>
      <w:proofErr w:type="spellStart"/>
      <w:proofErr w:type="gramStart"/>
      <w:r w:rsidRPr="007A3B41">
        <w:rPr>
          <w:rFonts w:ascii="Times New Roman" w:hAnsi="Times New Roman" w:cs="Times New Roman"/>
          <w:bCs/>
        </w:rPr>
        <w:t>Research</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2010; 2(2): 91-98.</w:t>
      </w:r>
    </w:p>
    <w:p w14:paraId="7218C703"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21. </w:t>
      </w:r>
      <w:proofErr w:type="spellStart"/>
      <w:r w:rsidRPr="007A3B41">
        <w:rPr>
          <w:rFonts w:ascii="Times New Roman" w:hAnsi="Times New Roman" w:cs="Times New Roman"/>
          <w:bCs/>
        </w:rPr>
        <w:t>Aarbi</w:t>
      </w:r>
      <w:proofErr w:type="spellEnd"/>
      <w:r w:rsidRPr="007A3B41">
        <w:rPr>
          <w:rFonts w:ascii="Times New Roman" w:hAnsi="Times New Roman" w:cs="Times New Roman"/>
          <w:bCs/>
        </w:rPr>
        <w:t xml:space="preserve">. A and al., Agricultural know-how in the practice of </w:t>
      </w:r>
      <w:proofErr w:type="spellStart"/>
      <w:r w:rsidRPr="007A3B41">
        <w:rPr>
          <w:rFonts w:ascii="Times New Roman" w:hAnsi="Times New Roman" w:cs="Times New Roman"/>
          <w:bCs/>
        </w:rPr>
        <w:t>growing</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alba)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Zribet</w:t>
      </w:r>
      <w:proofErr w:type="spellEnd"/>
      <w:r w:rsidRPr="007A3B41">
        <w:rPr>
          <w:rFonts w:ascii="Times New Roman" w:hAnsi="Times New Roman" w:cs="Times New Roman"/>
          <w:bCs/>
        </w:rPr>
        <w:t xml:space="preserve"> El Oued (</w:t>
      </w:r>
      <w:proofErr w:type="spellStart"/>
      <w:r w:rsidRPr="007A3B41">
        <w:rPr>
          <w:rFonts w:ascii="Times New Roman" w:hAnsi="Times New Roman" w:cs="Times New Roman"/>
          <w:bCs/>
        </w:rPr>
        <w:t>Zribya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in the Biskra </w:t>
      </w:r>
      <w:proofErr w:type="spellStart"/>
      <w:r w:rsidRPr="007A3B41">
        <w:rPr>
          <w:rFonts w:ascii="Times New Roman" w:hAnsi="Times New Roman" w:cs="Times New Roman"/>
          <w:bCs/>
        </w:rPr>
        <w:t>region</w:t>
      </w:r>
      <w:proofErr w:type="spellEnd"/>
      <w:r w:rsidRPr="007A3B41">
        <w:rPr>
          <w:rFonts w:ascii="Times New Roman" w:hAnsi="Times New Roman" w:cs="Times New Roman"/>
          <w:bCs/>
        </w:rPr>
        <w:t xml:space="preserve">. Agriculture </w:t>
      </w:r>
      <w:proofErr w:type="spellStart"/>
      <w:proofErr w:type="gramStart"/>
      <w:r w:rsidRPr="007A3B41">
        <w:rPr>
          <w:rFonts w:ascii="Times New Roman" w:hAnsi="Times New Roman" w:cs="Times New Roman"/>
          <w:bCs/>
        </w:rPr>
        <w:t>Review</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2016; 1:139-145.</w:t>
      </w:r>
    </w:p>
    <w:p w14:paraId="3B97A292"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22. H. S. Muhammad and S. Muhammad. The use of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linn</w:t>
      </w:r>
      <w:proofErr w:type="spellEnd"/>
      <w:r w:rsidRPr="007A3B41">
        <w:rPr>
          <w:rFonts w:ascii="Times New Roman" w:hAnsi="Times New Roman" w:cs="Times New Roman"/>
          <w:bCs/>
        </w:rPr>
        <w:t>.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in the management of </w:t>
      </w:r>
      <w:proofErr w:type="spellStart"/>
      <w:r w:rsidRPr="007A3B41">
        <w:rPr>
          <w:rFonts w:ascii="Times New Roman" w:hAnsi="Times New Roman" w:cs="Times New Roman"/>
          <w:bCs/>
        </w:rPr>
        <w:t>burn</w:t>
      </w:r>
      <w:proofErr w:type="spellEnd"/>
      <w:r w:rsidRPr="007A3B41">
        <w:rPr>
          <w:rFonts w:ascii="Times New Roman" w:hAnsi="Times New Roman" w:cs="Times New Roman"/>
          <w:bCs/>
        </w:rPr>
        <w:t xml:space="preserve"> infections. </w:t>
      </w:r>
      <w:proofErr w:type="spellStart"/>
      <w:r w:rsidRPr="007A3B41">
        <w:rPr>
          <w:rFonts w:ascii="Times New Roman" w:hAnsi="Times New Roman" w:cs="Times New Roman"/>
          <w:bCs/>
        </w:rPr>
        <w:t>African</w:t>
      </w:r>
      <w:proofErr w:type="spellEnd"/>
      <w:r w:rsidRPr="007A3B41">
        <w:rPr>
          <w:rFonts w:ascii="Times New Roman" w:hAnsi="Times New Roman" w:cs="Times New Roman"/>
          <w:bCs/>
        </w:rPr>
        <w:t xml:space="preserve"> Journal of </w:t>
      </w:r>
      <w:proofErr w:type="spellStart"/>
      <w:proofErr w:type="gramStart"/>
      <w:r w:rsidRPr="007A3B41">
        <w:rPr>
          <w:rFonts w:ascii="Times New Roman" w:hAnsi="Times New Roman" w:cs="Times New Roman"/>
          <w:bCs/>
        </w:rPr>
        <w:t>Biotechnology</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2005; 4 (9): 934-937.</w:t>
      </w:r>
    </w:p>
    <w:p w14:paraId="434484D8"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23. </w:t>
      </w:r>
      <w:proofErr w:type="spellStart"/>
      <w:r w:rsidRPr="007A3B41">
        <w:rPr>
          <w:rFonts w:ascii="Times New Roman" w:hAnsi="Times New Roman" w:cs="Times New Roman"/>
          <w:bCs/>
        </w:rPr>
        <w:t>Houakaf</w:t>
      </w:r>
      <w:proofErr w:type="spellEnd"/>
      <w:r w:rsidRPr="007A3B41">
        <w:rPr>
          <w:rFonts w:ascii="Times New Roman" w:hAnsi="Times New Roman" w:cs="Times New Roman"/>
          <w:bCs/>
        </w:rPr>
        <w:t xml:space="preserve"> HANINE. </w:t>
      </w:r>
      <w:proofErr w:type="spellStart"/>
      <w:r w:rsidRPr="007A3B41">
        <w:rPr>
          <w:rFonts w:ascii="Times New Roman" w:hAnsi="Times New Roman" w:cs="Times New Roman"/>
          <w:bCs/>
        </w:rPr>
        <w:t>Herbal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Preparations</w:t>
      </w:r>
      <w:proofErr w:type="spellEnd"/>
      <w:r w:rsidRPr="007A3B41">
        <w:rPr>
          <w:rFonts w:ascii="Times New Roman" w:hAnsi="Times New Roman" w:cs="Times New Roman"/>
          <w:bCs/>
        </w:rPr>
        <w:t>. Dissertation. Pharmaceutical Chemistry. Mouhamed Boudiaf-</w:t>
      </w:r>
      <w:proofErr w:type="spellStart"/>
      <w:r w:rsidRPr="007A3B41">
        <w:rPr>
          <w:rFonts w:ascii="Times New Roman" w:hAnsi="Times New Roman" w:cs="Times New Roman"/>
          <w:bCs/>
        </w:rPr>
        <w:t>M’Sila</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University</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2023; p. 30.</w:t>
      </w:r>
    </w:p>
    <w:p w14:paraId="36A92916"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24. </w:t>
      </w:r>
      <w:proofErr w:type="spellStart"/>
      <w:r w:rsidRPr="007A3B41">
        <w:rPr>
          <w:rFonts w:ascii="Times New Roman" w:hAnsi="Times New Roman" w:cs="Times New Roman"/>
          <w:bCs/>
        </w:rPr>
        <w:t>Aouamri</w:t>
      </w:r>
      <w:proofErr w:type="spellEnd"/>
      <w:r w:rsidRPr="007A3B41">
        <w:rPr>
          <w:rFonts w:ascii="Times New Roman" w:hAnsi="Times New Roman" w:cs="Times New Roman"/>
          <w:bCs/>
        </w:rPr>
        <w:t xml:space="preserve"> SALIMA et al., </w:t>
      </w:r>
      <w:proofErr w:type="spellStart"/>
      <w:r w:rsidRPr="007A3B41">
        <w:rPr>
          <w:rFonts w:ascii="Times New Roman" w:hAnsi="Times New Roman" w:cs="Times New Roman"/>
          <w:bCs/>
        </w:rPr>
        <w:t>Gastroduodenal</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Ulcer</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w:t>
      </w:r>
      <w:proofErr w:type="spellStart"/>
      <w:r w:rsidRPr="007A3B41">
        <w:rPr>
          <w:rFonts w:ascii="Times New Roman" w:hAnsi="Times New Roman" w:cs="Times New Roman"/>
          <w:bCs/>
        </w:rPr>
        <w:t>Traditional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Phytotherapeutic</w:t>
      </w:r>
      <w:proofErr w:type="spellEnd"/>
      <w:r w:rsidRPr="007A3B41">
        <w:rPr>
          <w:rFonts w:ascii="Times New Roman" w:hAnsi="Times New Roman" w:cs="Times New Roman"/>
          <w:bCs/>
        </w:rPr>
        <w:t xml:space="preserve"> Aspects. Dissertation. </w:t>
      </w:r>
      <w:proofErr w:type="spellStart"/>
      <w:r w:rsidRPr="007A3B41">
        <w:rPr>
          <w:rFonts w:ascii="Times New Roman" w:hAnsi="Times New Roman" w:cs="Times New Roman"/>
          <w:bCs/>
        </w:rPr>
        <w:t>Applied</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Immunology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Biology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of Guelma, </w:t>
      </w:r>
      <w:proofErr w:type="gramStart"/>
      <w:r w:rsidRPr="007A3B41">
        <w:rPr>
          <w:rFonts w:ascii="Times New Roman" w:hAnsi="Times New Roman" w:cs="Times New Roman"/>
          <w:bCs/>
        </w:rPr>
        <w:t>Algeria:</w:t>
      </w:r>
      <w:proofErr w:type="gramEnd"/>
      <w:r w:rsidRPr="007A3B41">
        <w:rPr>
          <w:rFonts w:ascii="Times New Roman" w:hAnsi="Times New Roman" w:cs="Times New Roman"/>
          <w:bCs/>
        </w:rPr>
        <w:t xml:space="preserve"> 2020; p. 34.</w:t>
      </w:r>
    </w:p>
    <w:p w14:paraId="129A09EF"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25. Denis LEMORDANT et al., </w:t>
      </w:r>
      <w:proofErr w:type="spellStart"/>
      <w:r w:rsidRPr="007A3B41">
        <w:rPr>
          <w:rFonts w:ascii="Times New Roman" w:hAnsi="Times New Roman" w:cs="Times New Roman"/>
          <w:bCs/>
        </w:rPr>
        <w:t>Traditional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Uses and </w:t>
      </w:r>
      <w:proofErr w:type="spellStart"/>
      <w:r w:rsidRPr="007A3B41">
        <w:rPr>
          <w:rFonts w:ascii="Times New Roman" w:hAnsi="Times New Roman" w:cs="Times New Roman"/>
          <w:bCs/>
        </w:rPr>
        <w:t>Pharmacological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Properties</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L. </w:t>
      </w:r>
      <w:proofErr w:type="spellStart"/>
      <w:r w:rsidRPr="007A3B41">
        <w:rPr>
          <w:rFonts w:ascii="Times New Roman" w:hAnsi="Times New Roman" w:cs="Times New Roman"/>
          <w:bCs/>
        </w:rPr>
        <w:t>Lytheraceae</w:t>
      </w:r>
      <w:proofErr w:type="spellEnd"/>
      <w:r w:rsidRPr="007A3B41">
        <w:rPr>
          <w:rFonts w:ascii="Times New Roman" w:hAnsi="Times New Roman" w:cs="Times New Roman"/>
          <w:bCs/>
        </w:rPr>
        <w:t xml:space="preserve">. Journal of </w:t>
      </w:r>
      <w:proofErr w:type="spellStart"/>
      <w:r w:rsidRPr="007A3B41">
        <w:rPr>
          <w:rFonts w:ascii="Times New Roman" w:hAnsi="Times New Roman" w:cs="Times New Roman"/>
          <w:bCs/>
        </w:rPr>
        <w:t>Agric</w:t>
      </w:r>
      <w:proofErr w:type="spellEnd"/>
      <w:r w:rsidRPr="007A3B41">
        <w:rPr>
          <w:rFonts w:ascii="Times New Roman" w:hAnsi="Times New Roman" w:cs="Times New Roman"/>
          <w:bCs/>
        </w:rPr>
        <w:t xml:space="preserve">. Trad. and Boa. </w:t>
      </w:r>
      <w:proofErr w:type="spellStart"/>
      <w:r w:rsidRPr="007A3B41">
        <w:rPr>
          <w:rFonts w:ascii="Times New Roman" w:hAnsi="Times New Roman" w:cs="Times New Roman"/>
          <w:bCs/>
        </w:rPr>
        <w:t>Appl</w:t>
      </w:r>
      <w:proofErr w:type="spellEnd"/>
      <w:r w:rsidRPr="007A3B41">
        <w:rPr>
          <w:rFonts w:ascii="Times New Roman" w:hAnsi="Times New Roman" w:cs="Times New Roman"/>
          <w:bCs/>
        </w:rPr>
        <w:t xml:space="preserve">., XXX. </w:t>
      </w:r>
      <w:proofErr w:type="gramStart"/>
      <w:r w:rsidRPr="007A3B41">
        <w:rPr>
          <w:rFonts w:ascii="Times New Roman" w:hAnsi="Times New Roman" w:cs="Times New Roman"/>
          <w:bCs/>
        </w:rPr>
        <w:t>1:</w:t>
      </w:r>
      <w:proofErr w:type="gramEnd"/>
      <w:r w:rsidRPr="007A3B41">
        <w:rPr>
          <w:rFonts w:ascii="Times New Roman" w:hAnsi="Times New Roman" w:cs="Times New Roman"/>
          <w:bCs/>
        </w:rPr>
        <w:t xml:space="preserve"> 1983; 69-89.</w:t>
      </w:r>
    </w:p>
    <w:p w14:paraId="3A7BE09A"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lastRenderedPageBreak/>
        <w:t xml:space="preserve">26. M. </w:t>
      </w:r>
      <w:proofErr w:type="spellStart"/>
      <w:r w:rsidRPr="007A3B41">
        <w:rPr>
          <w:rFonts w:ascii="Times New Roman" w:hAnsi="Times New Roman" w:cs="Times New Roman"/>
          <w:bCs/>
        </w:rPr>
        <w:t>Souley</w:t>
      </w:r>
      <w:proofErr w:type="spellEnd"/>
      <w:r w:rsidRPr="007A3B41">
        <w:rPr>
          <w:rFonts w:ascii="Times New Roman" w:hAnsi="Times New Roman" w:cs="Times New Roman"/>
          <w:bCs/>
        </w:rPr>
        <w:t xml:space="preserve"> KALLO et al., </w:t>
      </w:r>
      <w:proofErr w:type="spellStart"/>
      <w:r w:rsidRPr="007A3B41">
        <w:rPr>
          <w:rFonts w:ascii="Times New Roman" w:hAnsi="Times New Roman" w:cs="Times New Roman"/>
          <w:bCs/>
        </w:rPr>
        <w:t>Ethnobotanical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survey</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phytochemical</w:t>
      </w:r>
      <w:proofErr w:type="spellEnd"/>
      <w:r w:rsidRPr="007A3B41">
        <w:rPr>
          <w:rFonts w:ascii="Times New Roman" w:hAnsi="Times New Roman" w:cs="Times New Roman"/>
          <w:bCs/>
        </w:rPr>
        <w:t xml:space="preserve"> screening of </w:t>
      </w:r>
      <w:proofErr w:type="spellStart"/>
      <w:r w:rsidRPr="007A3B41">
        <w:rPr>
          <w:rFonts w:ascii="Times New Roman" w:hAnsi="Times New Roman" w:cs="Times New Roman"/>
          <w:bCs/>
        </w:rPr>
        <w:t>some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dye</w:t>
      </w:r>
      <w:proofErr w:type="spellEnd"/>
      <w:r w:rsidRPr="007A3B41">
        <w:rPr>
          <w:rFonts w:ascii="Times New Roman" w:hAnsi="Times New Roman" w:cs="Times New Roman"/>
          <w:bCs/>
        </w:rPr>
        <w:t xml:space="preserve"> plants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Niger for </w:t>
      </w:r>
      <w:proofErr w:type="spellStart"/>
      <w:r w:rsidRPr="007A3B41">
        <w:rPr>
          <w:rFonts w:ascii="Times New Roman" w:hAnsi="Times New Roman" w:cs="Times New Roman"/>
          <w:bCs/>
        </w:rPr>
        <w:t>solar</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energy</w:t>
      </w:r>
      <w:proofErr w:type="spellEnd"/>
      <w:r w:rsidRPr="007A3B41">
        <w:rPr>
          <w:rFonts w:ascii="Times New Roman" w:hAnsi="Times New Roman" w:cs="Times New Roman"/>
          <w:bCs/>
        </w:rPr>
        <w:t xml:space="preserve"> use. Int. J. Biol. </w:t>
      </w:r>
      <w:proofErr w:type="spellStart"/>
      <w:r w:rsidRPr="007A3B41">
        <w:rPr>
          <w:rFonts w:ascii="Times New Roman" w:hAnsi="Times New Roman" w:cs="Times New Roman"/>
          <w:bCs/>
        </w:rPr>
        <w:t>Chem</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Sci</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2018; 12(2): 867-883.</w:t>
      </w:r>
    </w:p>
    <w:p w14:paraId="3D64586D"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27. Yves Alain BEKRO et al., </w:t>
      </w:r>
      <w:proofErr w:type="spellStart"/>
      <w:r w:rsidRPr="007A3B41">
        <w:rPr>
          <w:rFonts w:ascii="Times New Roman" w:hAnsi="Times New Roman" w:cs="Times New Roman"/>
          <w:bCs/>
        </w:rPr>
        <w:t>Ethnobotanical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study</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phytochemical</w:t>
      </w:r>
      <w:proofErr w:type="spellEnd"/>
      <w:r w:rsidRPr="007A3B41">
        <w:rPr>
          <w:rFonts w:ascii="Times New Roman" w:hAnsi="Times New Roman" w:cs="Times New Roman"/>
          <w:bCs/>
        </w:rPr>
        <w:t xml:space="preserve"> screening of </w:t>
      </w:r>
      <w:proofErr w:type="spellStart"/>
      <w:r w:rsidRPr="007A3B41">
        <w:rPr>
          <w:rFonts w:ascii="Times New Roman" w:hAnsi="Times New Roman" w:cs="Times New Roman"/>
          <w:bCs/>
        </w:rPr>
        <w:t>Caesalpinia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benthamiana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Baill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Herend</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and</w:t>
      </w:r>
      <w:proofErr w:type="gramEnd"/>
      <w:r w:rsidRPr="007A3B41">
        <w:rPr>
          <w:rFonts w:ascii="Times New Roman" w:hAnsi="Times New Roman" w:cs="Times New Roman"/>
          <w:bCs/>
        </w:rPr>
        <w:t xml:space="preserve"> </w:t>
      </w:r>
      <w:proofErr w:type="spellStart"/>
      <w:r w:rsidRPr="007A3B41">
        <w:rPr>
          <w:rFonts w:ascii="Times New Roman" w:hAnsi="Times New Roman" w:cs="Times New Roman"/>
          <w:bCs/>
        </w:rPr>
        <w:t>Zarucchi</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Caesalpiniaceae</w:t>
      </w:r>
      <w:proofErr w:type="spellEnd"/>
      <w:r w:rsidRPr="007A3B41">
        <w:rPr>
          <w:rFonts w:ascii="Times New Roman" w:hAnsi="Times New Roman" w:cs="Times New Roman"/>
          <w:bCs/>
        </w:rPr>
        <w:t xml:space="preserve">). Science et </w:t>
      </w:r>
      <w:proofErr w:type="gramStart"/>
      <w:r w:rsidRPr="007A3B41">
        <w:rPr>
          <w:rFonts w:ascii="Times New Roman" w:hAnsi="Times New Roman" w:cs="Times New Roman"/>
          <w:bCs/>
        </w:rPr>
        <w:t>nature:</w:t>
      </w:r>
      <w:proofErr w:type="gramEnd"/>
      <w:r w:rsidRPr="007A3B41">
        <w:rPr>
          <w:rFonts w:ascii="Times New Roman" w:hAnsi="Times New Roman" w:cs="Times New Roman"/>
          <w:bCs/>
        </w:rPr>
        <w:t xml:space="preserve"> 2007; 4(2): 217-225</w:t>
      </w:r>
    </w:p>
    <w:p w14:paraId="71BC23D1" w14:textId="2E0B3B0C"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28. BOUCHENAK et al., </w:t>
      </w:r>
      <w:proofErr w:type="spellStart"/>
      <w:r w:rsidRPr="007A3B41">
        <w:rPr>
          <w:rFonts w:ascii="Times New Roman" w:hAnsi="Times New Roman" w:cs="Times New Roman"/>
          <w:bCs/>
        </w:rPr>
        <w:t>Phytochemical</w:t>
      </w:r>
      <w:proofErr w:type="spellEnd"/>
      <w:r w:rsidRPr="007A3B41">
        <w:rPr>
          <w:rFonts w:ascii="Times New Roman" w:hAnsi="Times New Roman" w:cs="Times New Roman"/>
          <w:bCs/>
        </w:rPr>
        <w:t xml:space="preserve"> screening and</w:t>
      </w:r>
      <w:r w:rsidRPr="007A3B41">
        <w:rPr>
          <w:bCs/>
        </w:rPr>
        <w:t xml:space="preserve"> </w:t>
      </w:r>
      <w:r w:rsidRPr="007A3B41">
        <w:rPr>
          <w:rFonts w:ascii="Times New Roman" w:hAnsi="Times New Roman" w:cs="Times New Roman"/>
          <w:bCs/>
        </w:rPr>
        <w:t xml:space="preserve">Evaluation of the </w:t>
      </w:r>
      <w:proofErr w:type="spellStart"/>
      <w:r w:rsidRPr="007A3B41">
        <w:rPr>
          <w:rFonts w:ascii="Times New Roman" w:hAnsi="Times New Roman" w:cs="Times New Roman"/>
          <w:bCs/>
        </w:rPr>
        <w:t>antioxidant</w:t>
      </w:r>
      <w:proofErr w:type="spellEnd"/>
      <w:r w:rsidRPr="007A3B41">
        <w:rPr>
          <w:rFonts w:ascii="Times New Roman" w:hAnsi="Times New Roman" w:cs="Times New Roman"/>
          <w:bCs/>
        </w:rPr>
        <w:t xml:space="preserve"> power of </w:t>
      </w:r>
      <w:proofErr w:type="spellStart"/>
      <w:r w:rsidRPr="007A3B41">
        <w:rPr>
          <w:rFonts w:ascii="Times New Roman" w:hAnsi="Times New Roman" w:cs="Times New Roman"/>
          <w:bCs/>
        </w:rPr>
        <w:t>Myrtus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communis</w:t>
      </w:r>
      <w:proofErr w:type="spellEnd"/>
      <w:r w:rsidRPr="007A3B41">
        <w:rPr>
          <w:rFonts w:ascii="Times New Roman" w:hAnsi="Times New Roman" w:cs="Times New Roman"/>
          <w:bCs/>
        </w:rPr>
        <w:t xml:space="preserve"> L. and Rhamnus </w:t>
      </w:r>
      <w:proofErr w:type="spellStart"/>
      <w:r w:rsidRPr="007A3B41">
        <w:rPr>
          <w:rFonts w:ascii="Times New Roman" w:hAnsi="Times New Roman" w:cs="Times New Roman"/>
          <w:bCs/>
        </w:rPr>
        <w:t>aleternus</w:t>
      </w:r>
      <w:proofErr w:type="spellEnd"/>
      <w:r w:rsidRPr="007A3B41">
        <w:rPr>
          <w:rFonts w:ascii="Times New Roman" w:hAnsi="Times New Roman" w:cs="Times New Roman"/>
          <w:bCs/>
        </w:rPr>
        <w:t xml:space="preserve"> L. </w:t>
      </w:r>
      <w:proofErr w:type="spellStart"/>
      <w:r w:rsidRPr="007A3B41">
        <w:rPr>
          <w:rFonts w:ascii="Times New Roman" w:hAnsi="Times New Roman" w:cs="Times New Roman"/>
          <w:bCs/>
        </w:rPr>
        <w:t>leaves</w:t>
      </w:r>
      <w:proofErr w:type="spellEnd"/>
      <w:r w:rsidRPr="007A3B41">
        <w:rPr>
          <w:rFonts w:ascii="Times New Roman" w:hAnsi="Times New Roman" w:cs="Times New Roman"/>
          <w:bCs/>
        </w:rPr>
        <w:t xml:space="preserve">. Revu </w:t>
      </w:r>
      <w:proofErr w:type="spellStart"/>
      <w:proofErr w:type="gramStart"/>
      <w:r w:rsidRPr="007A3B41">
        <w:rPr>
          <w:rFonts w:ascii="Times New Roman" w:hAnsi="Times New Roman" w:cs="Times New Roman"/>
          <w:bCs/>
        </w:rPr>
        <w:t>Agrobiologia</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2020; 10(1): 1749-61.</w:t>
      </w:r>
    </w:p>
    <w:p w14:paraId="59B6F246"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29. SACCHETTI et al., Comparative </w:t>
      </w:r>
      <w:proofErr w:type="spellStart"/>
      <w:r w:rsidRPr="007A3B41">
        <w:rPr>
          <w:rFonts w:ascii="Times New Roman" w:hAnsi="Times New Roman" w:cs="Times New Roman"/>
          <w:bCs/>
        </w:rPr>
        <w:t>evaluation</w:t>
      </w:r>
      <w:proofErr w:type="spellEnd"/>
      <w:r w:rsidRPr="007A3B41">
        <w:rPr>
          <w:rFonts w:ascii="Times New Roman" w:hAnsi="Times New Roman" w:cs="Times New Roman"/>
          <w:bCs/>
        </w:rPr>
        <w:t xml:space="preserve"> of 11 essential </w:t>
      </w:r>
      <w:proofErr w:type="spellStart"/>
      <w:r w:rsidRPr="007A3B41">
        <w:rPr>
          <w:rFonts w:ascii="Times New Roman" w:hAnsi="Times New Roman" w:cs="Times New Roman"/>
          <w:bCs/>
        </w:rPr>
        <w:t>oils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with</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antioxidant</w:t>
      </w:r>
      <w:proofErr w:type="spellEnd"/>
      <w:r w:rsidRPr="007A3B41">
        <w:rPr>
          <w:rFonts w:ascii="Times New Roman" w:hAnsi="Times New Roman" w:cs="Times New Roman"/>
          <w:bCs/>
        </w:rPr>
        <w:t xml:space="preserve">, anti-radical, and </w:t>
      </w:r>
      <w:proofErr w:type="spellStart"/>
      <w:r w:rsidRPr="007A3B41">
        <w:rPr>
          <w:rFonts w:ascii="Times New Roman" w:hAnsi="Times New Roman" w:cs="Times New Roman"/>
          <w:bCs/>
        </w:rPr>
        <w:t>antimicrobial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functions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seeds</w:t>
      </w:r>
      <w:proofErr w:type="spellEnd"/>
      <w:r w:rsidRPr="007A3B41">
        <w:rPr>
          <w:rFonts w:ascii="Times New Roman" w:hAnsi="Times New Roman" w:cs="Times New Roman"/>
          <w:bCs/>
        </w:rPr>
        <w:t xml:space="preserve">. Food </w:t>
      </w:r>
      <w:proofErr w:type="gramStart"/>
      <w:r w:rsidRPr="007A3B41">
        <w:rPr>
          <w:rFonts w:ascii="Times New Roman" w:hAnsi="Times New Roman" w:cs="Times New Roman"/>
          <w:bCs/>
        </w:rPr>
        <w:t>Chemistry:</w:t>
      </w:r>
      <w:proofErr w:type="gramEnd"/>
      <w:r w:rsidRPr="007A3B41">
        <w:rPr>
          <w:rFonts w:ascii="Times New Roman" w:hAnsi="Times New Roman" w:cs="Times New Roman"/>
          <w:bCs/>
        </w:rPr>
        <w:t xml:space="preserve"> 2005; 91; 4: 621-632</w:t>
      </w:r>
    </w:p>
    <w:p w14:paraId="5A795041"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30. BOUHARB et al., </w:t>
      </w:r>
      <w:proofErr w:type="spellStart"/>
      <w:r w:rsidRPr="007A3B41">
        <w:rPr>
          <w:rFonts w:ascii="Times New Roman" w:hAnsi="Times New Roman" w:cs="Times New Roman"/>
          <w:bCs/>
        </w:rPr>
        <w:t>Selection</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some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plants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Zerhoun (central Morocco) for </w:t>
      </w:r>
      <w:proofErr w:type="spellStart"/>
      <w:r w:rsidRPr="007A3B41">
        <w:rPr>
          <w:rFonts w:ascii="Times New Roman" w:hAnsi="Times New Roman" w:cs="Times New Roman"/>
          <w:bCs/>
        </w:rPr>
        <w:t>antibacterial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activity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against</w:t>
      </w:r>
      <w:proofErr w:type="spellEnd"/>
      <w:r w:rsidRPr="007A3B41">
        <w:rPr>
          <w:rFonts w:ascii="Times New Roman" w:hAnsi="Times New Roman" w:cs="Times New Roman"/>
          <w:bCs/>
        </w:rPr>
        <w:t xml:space="preserve"> Pseudomonas </w:t>
      </w:r>
      <w:proofErr w:type="spellStart"/>
      <w:r w:rsidRPr="007A3B41">
        <w:rPr>
          <w:rFonts w:ascii="Times New Roman" w:hAnsi="Times New Roman" w:cs="Times New Roman"/>
          <w:bCs/>
        </w:rPr>
        <w:t>aeruginosa</w:t>
      </w:r>
      <w:proofErr w:type="spellEnd"/>
      <w:r w:rsidRPr="007A3B41">
        <w:rPr>
          <w:rFonts w:ascii="Times New Roman" w:hAnsi="Times New Roman" w:cs="Times New Roman"/>
          <w:bCs/>
        </w:rPr>
        <w:t xml:space="preserve">. J. App. </w:t>
      </w:r>
      <w:proofErr w:type="spellStart"/>
      <w:proofErr w:type="gramStart"/>
      <w:r w:rsidRPr="007A3B41">
        <w:rPr>
          <w:rFonts w:ascii="Times New Roman" w:hAnsi="Times New Roman" w:cs="Times New Roman"/>
          <w:bCs/>
        </w:rPr>
        <w:t>Biosci</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2014; 78: 6685-6693.</w:t>
      </w:r>
    </w:p>
    <w:p w14:paraId="7B08ABDF"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31. HSEINI et al., </w:t>
      </w:r>
      <w:proofErr w:type="spellStart"/>
      <w:r w:rsidRPr="007A3B41">
        <w:rPr>
          <w:rFonts w:ascii="Times New Roman" w:hAnsi="Times New Roman" w:cs="Times New Roman"/>
          <w:bCs/>
        </w:rPr>
        <w:t>Ethnobotanical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study</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flora in the Rabat </w:t>
      </w:r>
      <w:proofErr w:type="spellStart"/>
      <w:r w:rsidRPr="007A3B41">
        <w:rPr>
          <w:rFonts w:ascii="Times New Roman" w:hAnsi="Times New Roman" w:cs="Times New Roman"/>
          <w:bCs/>
        </w:rPr>
        <w:t>region</w:t>
      </w:r>
      <w:proofErr w:type="spellEnd"/>
      <w:r w:rsidRPr="007A3B41">
        <w:rPr>
          <w:rFonts w:ascii="Times New Roman" w:hAnsi="Times New Roman" w:cs="Times New Roman"/>
          <w:bCs/>
        </w:rPr>
        <w:t xml:space="preserve"> (Western Morocco). </w:t>
      </w:r>
      <w:proofErr w:type="spellStart"/>
      <w:proofErr w:type="gramStart"/>
      <w:r w:rsidRPr="007A3B41">
        <w:rPr>
          <w:rFonts w:ascii="Times New Roman" w:hAnsi="Times New Roman" w:cs="Times New Roman"/>
          <w:bCs/>
        </w:rPr>
        <w:t>Lazoroa</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2007; 28: 79-93.</w:t>
      </w:r>
    </w:p>
    <w:p w14:paraId="16B6772F"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32. </w:t>
      </w:r>
      <w:proofErr w:type="spellStart"/>
      <w:r w:rsidRPr="007A3B41">
        <w:rPr>
          <w:rFonts w:ascii="Times New Roman" w:hAnsi="Times New Roman" w:cs="Times New Roman"/>
          <w:bCs/>
        </w:rPr>
        <w:t>Nadjat</w:t>
      </w:r>
      <w:proofErr w:type="spellEnd"/>
      <w:r w:rsidRPr="007A3B41">
        <w:rPr>
          <w:rFonts w:ascii="Times New Roman" w:hAnsi="Times New Roman" w:cs="Times New Roman"/>
          <w:bCs/>
        </w:rPr>
        <w:t xml:space="preserve"> GOUHARAH et al., </w:t>
      </w:r>
      <w:proofErr w:type="spellStart"/>
      <w:r w:rsidRPr="007A3B41">
        <w:rPr>
          <w:rFonts w:ascii="Times New Roman" w:hAnsi="Times New Roman" w:cs="Times New Roman"/>
          <w:bCs/>
        </w:rPr>
        <w:t>Retrospective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study</w:t>
      </w:r>
      <w:proofErr w:type="spellEnd"/>
      <w:r w:rsidRPr="007A3B41">
        <w:rPr>
          <w:rFonts w:ascii="Times New Roman" w:hAnsi="Times New Roman" w:cs="Times New Roman"/>
          <w:bCs/>
        </w:rPr>
        <w:t xml:space="preserve"> on the </w:t>
      </w:r>
      <w:proofErr w:type="spellStart"/>
      <w:r w:rsidRPr="007A3B41">
        <w:rPr>
          <w:rFonts w:ascii="Times New Roman" w:hAnsi="Times New Roman" w:cs="Times New Roman"/>
          <w:bCs/>
        </w:rPr>
        <w:t>antioxidant</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antibacterial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activities</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extracts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two</w:t>
      </w:r>
      <w:proofErr w:type="spellEnd"/>
      <w:r w:rsidRPr="007A3B41">
        <w:rPr>
          <w:rFonts w:ascii="Times New Roman" w:hAnsi="Times New Roman" w:cs="Times New Roman"/>
          <w:bCs/>
        </w:rPr>
        <w:t xml:space="preserve"> plants of the </w:t>
      </w:r>
      <w:proofErr w:type="spellStart"/>
      <w:r w:rsidRPr="007A3B41">
        <w:rPr>
          <w:rFonts w:ascii="Times New Roman" w:hAnsi="Times New Roman" w:cs="Times New Roman"/>
          <w:bCs/>
        </w:rPr>
        <w:t>Lythraceae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family</w:t>
      </w:r>
      <w:proofErr w:type="spellEnd"/>
      <w:r w:rsidRPr="007A3B41">
        <w:rPr>
          <w:rFonts w:ascii="Times New Roman" w:hAnsi="Times New Roman" w:cs="Times New Roman"/>
          <w:bCs/>
        </w:rPr>
        <w:t xml:space="preserve">. Dissertation. Plant </w:t>
      </w:r>
      <w:proofErr w:type="spellStart"/>
      <w:r w:rsidRPr="007A3B41">
        <w:rPr>
          <w:rFonts w:ascii="Times New Roman" w:hAnsi="Times New Roman" w:cs="Times New Roman"/>
          <w:bCs/>
        </w:rPr>
        <w:t>biotechnology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Kasdi</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Merbah</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Ouargla:</w:t>
      </w:r>
      <w:proofErr w:type="gramEnd"/>
      <w:r w:rsidRPr="007A3B41">
        <w:rPr>
          <w:rFonts w:ascii="Times New Roman" w:hAnsi="Times New Roman" w:cs="Times New Roman"/>
          <w:bCs/>
        </w:rPr>
        <w:t xml:space="preserve"> 2020; p. 21</w:t>
      </w:r>
    </w:p>
    <w:p w14:paraId="71071293"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33. Ms. Soussi CHAHINEZ et al., Evaluation of the </w:t>
      </w:r>
      <w:proofErr w:type="spellStart"/>
      <w:r w:rsidRPr="007A3B41">
        <w:rPr>
          <w:rFonts w:ascii="Times New Roman" w:hAnsi="Times New Roman" w:cs="Times New Roman"/>
          <w:bCs/>
        </w:rPr>
        <w:t>antioxidant</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activity</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physicochemical</w:t>
      </w:r>
      <w:proofErr w:type="spellEnd"/>
      <w:r w:rsidRPr="007A3B41">
        <w:rPr>
          <w:rFonts w:ascii="Times New Roman" w:hAnsi="Times New Roman" w:cs="Times New Roman"/>
          <w:bCs/>
        </w:rPr>
        <w:t xml:space="preserve"> composition of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leaf</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extracts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Dissertation. </w:t>
      </w:r>
      <w:proofErr w:type="spellStart"/>
      <w:r w:rsidRPr="007A3B41">
        <w:rPr>
          <w:rFonts w:ascii="Times New Roman" w:hAnsi="Times New Roman" w:cs="Times New Roman"/>
          <w:bCs/>
        </w:rPr>
        <w:t>Biochemistry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Department</w:t>
      </w:r>
      <w:proofErr w:type="spellEnd"/>
      <w:r w:rsidRPr="007A3B41">
        <w:rPr>
          <w:rFonts w:ascii="Times New Roman" w:hAnsi="Times New Roman" w:cs="Times New Roman"/>
          <w:bCs/>
        </w:rPr>
        <w:t xml:space="preserve"> of Natural Life Sciences. Belhadj Bouchaib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of Ain </w:t>
      </w:r>
      <w:proofErr w:type="spellStart"/>
      <w:r w:rsidRPr="007A3B41">
        <w:rPr>
          <w:rFonts w:ascii="Times New Roman" w:hAnsi="Times New Roman" w:cs="Times New Roman"/>
          <w:bCs/>
        </w:rPr>
        <w:t>Temouchant</w:t>
      </w:r>
      <w:proofErr w:type="spellEnd"/>
      <w:r w:rsidRPr="007A3B41">
        <w:rPr>
          <w:rFonts w:ascii="Times New Roman" w:hAnsi="Times New Roman" w:cs="Times New Roman"/>
          <w:bCs/>
        </w:rPr>
        <w:t xml:space="preserve">, Algerian </w:t>
      </w:r>
      <w:proofErr w:type="gramStart"/>
      <w:r w:rsidRPr="007A3B41">
        <w:rPr>
          <w:rFonts w:ascii="Times New Roman" w:hAnsi="Times New Roman" w:cs="Times New Roman"/>
          <w:bCs/>
        </w:rPr>
        <w:t>Republic:</w:t>
      </w:r>
      <w:proofErr w:type="gramEnd"/>
      <w:r w:rsidRPr="007A3B41">
        <w:rPr>
          <w:rFonts w:ascii="Times New Roman" w:hAnsi="Times New Roman" w:cs="Times New Roman"/>
          <w:bCs/>
        </w:rPr>
        <w:t xml:space="preserve"> 2019; p. 27-40.</w:t>
      </w:r>
    </w:p>
    <w:p w14:paraId="37607CB3"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34. H. ENNEB et al., </w:t>
      </w:r>
      <w:proofErr w:type="spellStart"/>
      <w:r w:rsidRPr="007A3B41">
        <w:rPr>
          <w:rFonts w:ascii="Times New Roman" w:hAnsi="Times New Roman" w:cs="Times New Roman"/>
          <w:bCs/>
        </w:rPr>
        <w:t>Comparison</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phenolic</w:t>
      </w:r>
      <w:proofErr w:type="spellEnd"/>
      <w:r w:rsidRPr="007A3B41">
        <w:rPr>
          <w:rFonts w:ascii="Times New Roman" w:hAnsi="Times New Roman" w:cs="Times New Roman"/>
          <w:bCs/>
        </w:rPr>
        <w:t xml:space="preserve"> compounds and the </w:t>
      </w:r>
      <w:proofErr w:type="spellStart"/>
      <w:r w:rsidRPr="007A3B41">
        <w:rPr>
          <w:rFonts w:ascii="Times New Roman" w:hAnsi="Times New Roman" w:cs="Times New Roman"/>
          <w:bCs/>
        </w:rPr>
        <w:t>antioxidant</w:t>
      </w:r>
      <w:proofErr w:type="spellEnd"/>
      <w:r w:rsidRPr="007A3B41">
        <w:rPr>
          <w:rFonts w:ascii="Times New Roman" w:hAnsi="Times New Roman" w:cs="Times New Roman"/>
          <w:bCs/>
        </w:rPr>
        <w:t xml:space="preserve"> power of the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plant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L.). Journal of New Sciences, Agriculture and </w:t>
      </w:r>
      <w:proofErr w:type="spellStart"/>
      <w:proofErr w:type="gramStart"/>
      <w:r w:rsidRPr="007A3B41">
        <w:rPr>
          <w:rFonts w:ascii="Times New Roman" w:hAnsi="Times New Roman" w:cs="Times New Roman"/>
          <w:bCs/>
        </w:rPr>
        <w:t>Biotechnology</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2015; 20(2): 788-793.</w:t>
      </w:r>
    </w:p>
    <w:p w14:paraId="0B9CBD11"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35. </w:t>
      </w:r>
      <w:proofErr w:type="spellStart"/>
      <w:r w:rsidRPr="007A3B41">
        <w:rPr>
          <w:rFonts w:ascii="Times New Roman" w:hAnsi="Times New Roman" w:cs="Times New Roman"/>
          <w:bCs/>
        </w:rPr>
        <w:t>Rhita</w:t>
      </w:r>
      <w:proofErr w:type="spellEnd"/>
      <w:r w:rsidRPr="007A3B41">
        <w:rPr>
          <w:rFonts w:ascii="Times New Roman" w:hAnsi="Times New Roman" w:cs="Times New Roman"/>
          <w:bCs/>
        </w:rPr>
        <w:t xml:space="preserve"> ZBADI et al., </w:t>
      </w:r>
      <w:proofErr w:type="spellStart"/>
      <w:r w:rsidRPr="007A3B41">
        <w:rPr>
          <w:rFonts w:ascii="Times New Roman" w:hAnsi="Times New Roman" w:cs="Times New Roman"/>
          <w:bCs/>
        </w:rPr>
        <w:t>Oxidative</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Stress:</w:t>
      </w:r>
      <w:proofErr w:type="gramEnd"/>
      <w:r w:rsidRPr="007A3B41">
        <w:rPr>
          <w:rFonts w:ascii="Times New Roman" w:hAnsi="Times New Roman" w:cs="Times New Roman"/>
          <w:bCs/>
        </w:rPr>
        <w:t xml:space="preserve"> Evaluation of the </w:t>
      </w:r>
      <w:proofErr w:type="spellStart"/>
      <w:r w:rsidRPr="007A3B41">
        <w:rPr>
          <w:rFonts w:ascii="Times New Roman" w:hAnsi="Times New Roman" w:cs="Times New Roman"/>
          <w:bCs/>
        </w:rPr>
        <w:t>Antioxidant</w:t>
      </w:r>
      <w:proofErr w:type="spellEnd"/>
      <w:r w:rsidRPr="007A3B41">
        <w:rPr>
          <w:rFonts w:ascii="Times New Roman" w:hAnsi="Times New Roman" w:cs="Times New Roman"/>
          <w:bCs/>
        </w:rPr>
        <w:t xml:space="preserve"> Power of </w:t>
      </w:r>
      <w:proofErr w:type="spellStart"/>
      <w:r w:rsidRPr="007A3B41">
        <w:rPr>
          <w:rFonts w:ascii="Times New Roman" w:hAnsi="Times New Roman" w:cs="Times New Roman"/>
          <w:bCs/>
        </w:rPr>
        <w:t>Some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Plants. </w:t>
      </w:r>
      <w:proofErr w:type="spellStart"/>
      <w:r w:rsidRPr="007A3B41">
        <w:rPr>
          <w:rFonts w:ascii="Times New Roman" w:hAnsi="Times New Roman" w:cs="Times New Roman"/>
          <w:bCs/>
        </w:rPr>
        <w:t>Therapeutic</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Medicine</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2018; 24(2): 134-41.</w:t>
      </w:r>
    </w:p>
    <w:p w14:paraId="170DE715"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36. </w:t>
      </w:r>
      <w:proofErr w:type="spellStart"/>
      <w:r w:rsidRPr="007A3B41">
        <w:rPr>
          <w:rFonts w:ascii="Times New Roman" w:hAnsi="Times New Roman" w:cs="Times New Roman"/>
          <w:bCs/>
        </w:rPr>
        <w:t>Kobbi</w:t>
      </w:r>
      <w:proofErr w:type="spellEnd"/>
      <w:r w:rsidRPr="007A3B41">
        <w:rPr>
          <w:rFonts w:ascii="Times New Roman" w:hAnsi="Times New Roman" w:cs="Times New Roman"/>
          <w:bCs/>
        </w:rPr>
        <w:t xml:space="preserve"> CHAHINEZ et al., Contribution to the Relationship </w:t>
      </w:r>
      <w:proofErr w:type="spellStart"/>
      <w:r w:rsidRPr="007A3B41">
        <w:rPr>
          <w:rFonts w:ascii="Times New Roman" w:hAnsi="Times New Roman" w:cs="Times New Roman"/>
          <w:bCs/>
        </w:rPr>
        <w:t>between</w:t>
      </w:r>
      <w:proofErr w:type="spellEnd"/>
      <w:r w:rsidRPr="007A3B41">
        <w:rPr>
          <w:rFonts w:ascii="Times New Roman" w:hAnsi="Times New Roman" w:cs="Times New Roman"/>
          <w:bCs/>
        </w:rPr>
        <w:t xml:space="preserve"> Chemical Structure and </w:t>
      </w:r>
      <w:proofErr w:type="spellStart"/>
      <w:r w:rsidRPr="007A3B41">
        <w:rPr>
          <w:rFonts w:ascii="Times New Roman" w:hAnsi="Times New Roman" w:cs="Times New Roman"/>
          <w:bCs/>
        </w:rPr>
        <w:t>Antioxidant</w:t>
      </w:r>
      <w:proofErr w:type="spellEnd"/>
      <w:r w:rsidRPr="007A3B41">
        <w:rPr>
          <w:rFonts w:ascii="Times New Roman" w:hAnsi="Times New Roman" w:cs="Times New Roman"/>
          <w:bCs/>
        </w:rPr>
        <w:t xml:space="preserve"> Activity. Dissertation. </w:t>
      </w:r>
      <w:proofErr w:type="spellStart"/>
      <w:r w:rsidRPr="007A3B41">
        <w:rPr>
          <w:rFonts w:ascii="Times New Roman" w:hAnsi="Times New Roman" w:cs="Times New Roman"/>
          <w:bCs/>
        </w:rPr>
        <w:t>Applied</w:t>
      </w:r>
      <w:proofErr w:type="spellEnd"/>
      <w:r w:rsidRPr="007A3B41">
        <w:rPr>
          <w:rFonts w:ascii="Times New Roman" w:hAnsi="Times New Roman" w:cs="Times New Roman"/>
          <w:bCs/>
        </w:rPr>
        <w:t xml:space="preserve"> Chemistry. Saad </w:t>
      </w:r>
      <w:proofErr w:type="spellStart"/>
      <w:r w:rsidRPr="007A3B41">
        <w:rPr>
          <w:rFonts w:ascii="Times New Roman" w:hAnsi="Times New Roman" w:cs="Times New Roman"/>
          <w:bCs/>
        </w:rPr>
        <w:t>Dahleb</w:t>
      </w:r>
      <w:proofErr w:type="spellEnd"/>
      <w:r w:rsidRPr="007A3B41">
        <w:rPr>
          <w:rFonts w:ascii="Times New Roman" w:hAnsi="Times New Roman" w:cs="Times New Roman"/>
          <w:bCs/>
        </w:rPr>
        <w:t xml:space="preserve"> Blida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Algeria:</w:t>
      </w:r>
      <w:proofErr w:type="gramEnd"/>
      <w:r w:rsidRPr="007A3B41">
        <w:rPr>
          <w:rFonts w:ascii="Times New Roman" w:hAnsi="Times New Roman" w:cs="Times New Roman"/>
          <w:bCs/>
        </w:rPr>
        <w:t xml:space="preserve"> 2019; p. 13.</w:t>
      </w:r>
    </w:p>
    <w:p w14:paraId="0B66C30F"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37. SEGHIRI RAMDANE. </w:t>
      </w:r>
      <w:proofErr w:type="spellStart"/>
      <w:r w:rsidRPr="007A3B41">
        <w:rPr>
          <w:rFonts w:ascii="Times New Roman" w:hAnsi="Times New Roman" w:cs="Times New Roman"/>
          <w:bCs/>
        </w:rPr>
        <w:t>Research</w:t>
      </w:r>
      <w:proofErr w:type="spellEnd"/>
      <w:r w:rsidRPr="007A3B41">
        <w:rPr>
          <w:rFonts w:ascii="Times New Roman" w:hAnsi="Times New Roman" w:cs="Times New Roman"/>
          <w:bCs/>
        </w:rPr>
        <w:t xml:space="preserve"> and Structural </w:t>
      </w:r>
      <w:proofErr w:type="spellStart"/>
      <w:r w:rsidRPr="007A3B41">
        <w:rPr>
          <w:rFonts w:ascii="Times New Roman" w:hAnsi="Times New Roman" w:cs="Times New Roman"/>
          <w:bCs/>
        </w:rPr>
        <w:t>Determination</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Secondary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Metabolites</w:t>
      </w:r>
      <w:proofErr w:type="spellEnd"/>
      <w:r w:rsidRPr="007A3B41">
        <w:rPr>
          <w:rFonts w:ascii="Times New Roman" w:hAnsi="Times New Roman" w:cs="Times New Roman"/>
          <w:bCs/>
        </w:rPr>
        <w:t xml:space="preserve"> of the </w:t>
      </w:r>
      <w:proofErr w:type="spellStart"/>
      <w:r w:rsidRPr="007A3B41">
        <w:rPr>
          <w:rFonts w:ascii="Times New Roman" w:hAnsi="Times New Roman" w:cs="Times New Roman"/>
          <w:bCs/>
        </w:rPr>
        <w:t>Centaurea</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Genus</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C. </w:t>
      </w:r>
      <w:proofErr w:type="spellStart"/>
      <w:r w:rsidRPr="007A3B41">
        <w:rPr>
          <w:rFonts w:ascii="Times New Roman" w:hAnsi="Times New Roman" w:cs="Times New Roman"/>
          <w:bCs/>
        </w:rPr>
        <w:t>africana</w:t>
      </w:r>
      <w:proofErr w:type="spellEnd"/>
      <w:r w:rsidRPr="007A3B41">
        <w:rPr>
          <w:rFonts w:ascii="Times New Roman" w:hAnsi="Times New Roman" w:cs="Times New Roman"/>
          <w:bCs/>
        </w:rPr>
        <w:t xml:space="preserve"> C. </w:t>
      </w:r>
      <w:proofErr w:type="spellStart"/>
      <w:r w:rsidRPr="007A3B41">
        <w:rPr>
          <w:rFonts w:ascii="Times New Roman" w:hAnsi="Times New Roman" w:cs="Times New Roman"/>
          <w:bCs/>
        </w:rPr>
        <w:t>nicaencis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Thesis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Phytochemistry</w:t>
      </w:r>
      <w:proofErr w:type="spellEnd"/>
      <w:r w:rsidRPr="007A3B41">
        <w:rPr>
          <w:rFonts w:ascii="Times New Roman" w:hAnsi="Times New Roman" w:cs="Times New Roman"/>
          <w:bCs/>
        </w:rPr>
        <w:t xml:space="preserve"> Option. </w:t>
      </w:r>
      <w:proofErr w:type="spellStart"/>
      <w:r w:rsidRPr="007A3B41">
        <w:rPr>
          <w:rFonts w:ascii="Times New Roman" w:hAnsi="Times New Roman" w:cs="Times New Roman"/>
          <w:bCs/>
        </w:rPr>
        <w:t>Mentouri</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Constatine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Algeria:</w:t>
      </w:r>
      <w:proofErr w:type="gramEnd"/>
      <w:r w:rsidRPr="007A3B41">
        <w:rPr>
          <w:rFonts w:ascii="Times New Roman" w:hAnsi="Times New Roman" w:cs="Times New Roman"/>
          <w:bCs/>
        </w:rPr>
        <w:t xml:space="preserve"> 2017</w:t>
      </w:r>
    </w:p>
    <w:p w14:paraId="0055D34C"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lastRenderedPageBreak/>
        <w:t xml:space="preserve">38. </w:t>
      </w:r>
      <w:proofErr w:type="spellStart"/>
      <w:r w:rsidRPr="007A3B41">
        <w:rPr>
          <w:rFonts w:ascii="Times New Roman" w:hAnsi="Times New Roman" w:cs="Times New Roman"/>
          <w:bCs/>
        </w:rPr>
        <w:t>Imene</w:t>
      </w:r>
      <w:proofErr w:type="spellEnd"/>
      <w:r w:rsidRPr="007A3B41">
        <w:rPr>
          <w:rFonts w:ascii="Times New Roman" w:hAnsi="Times New Roman" w:cs="Times New Roman"/>
          <w:bCs/>
        </w:rPr>
        <w:t xml:space="preserve"> SAIDI. </w:t>
      </w:r>
      <w:proofErr w:type="spellStart"/>
      <w:r w:rsidRPr="007A3B41">
        <w:rPr>
          <w:rFonts w:ascii="Times New Roman" w:hAnsi="Times New Roman" w:cs="Times New Roman"/>
          <w:bCs/>
        </w:rPr>
        <w:t>Characterization</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valorization</w:t>
      </w:r>
      <w:proofErr w:type="spellEnd"/>
      <w:r w:rsidRPr="007A3B41">
        <w:rPr>
          <w:rFonts w:ascii="Times New Roman" w:hAnsi="Times New Roman" w:cs="Times New Roman"/>
          <w:bCs/>
        </w:rPr>
        <w:t xml:space="preserve"> of a plant of the </w:t>
      </w:r>
      <w:proofErr w:type="spellStart"/>
      <w:r w:rsidRPr="007A3B41">
        <w:rPr>
          <w:rFonts w:ascii="Times New Roman" w:hAnsi="Times New Roman" w:cs="Times New Roman"/>
          <w:bCs/>
        </w:rPr>
        <w:t>Fabaceae</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family</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w:t>
      </w:r>
      <w:proofErr w:type="spellStart"/>
      <w:r w:rsidRPr="007A3B41">
        <w:rPr>
          <w:rFonts w:ascii="Times New Roman" w:hAnsi="Times New Roman" w:cs="Times New Roman"/>
          <w:bCs/>
        </w:rPr>
        <w:t>Gleditsia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Triacanthos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the Sidi Bel </w:t>
      </w:r>
      <w:proofErr w:type="spellStart"/>
      <w:r w:rsidRPr="007A3B41">
        <w:rPr>
          <w:rFonts w:ascii="Times New Roman" w:hAnsi="Times New Roman" w:cs="Times New Roman"/>
          <w:bCs/>
        </w:rPr>
        <w:t>Abbès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region</w:t>
      </w:r>
      <w:proofErr w:type="spellEnd"/>
      <w:r w:rsidRPr="007A3B41">
        <w:rPr>
          <w:rFonts w:ascii="Times New Roman" w:hAnsi="Times New Roman" w:cs="Times New Roman"/>
          <w:bCs/>
        </w:rPr>
        <w:t xml:space="preserve">. Extraction of bioactive substances. </w:t>
      </w:r>
      <w:proofErr w:type="spellStart"/>
      <w:r w:rsidRPr="007A3B41">
        <w:rPr>
          <w:rFonts w:ascii="Times New Roman" w:hAnsi="Times New Roman" w:cs="Times New Roman"/>
          <w:bCs/>
        </w:rPr>
        <w:t>Thesis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Biology</w:t>
      </w:r>
      <w:proofErr w:type="spellEnd"/>
      <w:r w:rsidRPr="007A3B41">
        <w:rPr>
          <w:rFonts w:ascii="Times New Roman" w:hAnsi="Times New Roman" w:cs="Times New Roman"/>
          <w:bCs/>
        </w:rPr>
        <w:t xml:space="preserve"> Sciences. Djilali </w:t>
      </w:r>
      <w:proofErr w:type="spellStart"/>
      <w:r w:rsidRPr="007A3B41">
        <w:rPr>
          <w:rFonts w:ascii="Times New Roman" w:hAnsi="Times New Roman" w:cs="Times New Roman"/>
          <w:bCs/>
        </w:rPr>
        <w:t>Liabés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Sidi Bel </w:t>
      </w:r>
      <w:proofErr w:type="gramStart"/>
      <w:r w:rsidRPr="007A3B41">
        <w:rPr>
          <w:rFonts w:ascii="Times New Roman" w:hAnsi="Times New Roman" w:cs="Times New Roman"/>
          <w:bCs/>
        </w:rPr>
        <w:t>Abbés:</w:t>
      </w:r>
      <w:proofErr w:type="gramEnd"/>
      <w:r w:rsidRPr="007A3B41">
        <w:rPr>
          <w:rFonts w:ascii="Times New Roman" w:hAnsi="Times New Roman" w:cs="Times New Roman"/>
          <w:bCs/>
        </w:rPr>
        <w:t xml:space="preserve"> 2019; p. 20.</w:t>
      </w:r>
    </w:p>
    <w:p w14:paraId="7797AA9A"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39. </w:t>
      </w:r>
      <w:proofErr w:type="spellStart"/>
      <w:r w:rsidRPr="007A3B41">
        <w:rPr>
          <w:rFonts w:ascii="Times New Roman" w:hAnsi="Times New Roman" w:cs="Times New Roman"/>
          <w:bCs/>
        </w:rPr>
        <w:t>Hettab</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Benhassane</w:t>
      </w:r>
      <w:proofErr w:type="spellEnd"/>
      <w:r w:rsidRPr="007A3B41">
        <w:rPr>
          <w:rFonts w:ascii="Times New Roman" w:hAnsi="Times New Roman" w:cs="Times New Roman"/>
          <w:bCs/>
        </w:rPr>
        <w:t xml:space="preserve"> HAFIZA. Evaluation of the </w:t>
      </w:r>
      <w:proofErr w:type="spellStart"/>
      <w:r w:rsidRPr="007A3B41">
        <w:rPr>
          <w:rFonts w:ascii="Times New Roman" w:hAnsi="Times New Roman" w:cs="Times New Roman"/>
          <w:bCs/>
        </w:rPr>
        <w:t>antimicrobial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potential</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harvested</w:t>
      </w:r>
      <w:proofErr w:type="spellEnd"/>
      <w:r w:rsidRPr="007A3B41">
        <w:rPr>
          <w:rFonts w:ascii="Times New Roman" w:hAnsi="Times New Roman" w:cs="Times New Roman"/>
          <w:bCs/>
        </w:rPr>
        <w:t xml:space="preserve"> in the Touat and Tidikelt </w:t>
      </w:r>
      <w:proofErr w:type="spellStart"/>
      <w:r w:rsidRPr="007A3B41">
        <w:rPr>
          <w:rFonts w:ascii="Times New Roman" w:hAnsi="Times New Roman" w:cs="Times New Roman"/>
          <w:bCs/>
        </w:rPr>
        <w:t>regions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Thesis</w:t>
      </w:r>
      <w:proofErr w:type="spellEnd"/>
      <w:r w:rsidRPr="007A3B41">
        <w:rPr>
          <w:rFonts w:ascii="Times New Roman" w:hAnsi="Times New Roman" w:cs="Times New Roman"/>
          <w:bCs/>
        </w:rPr>
        <w:t xml:space="preserve">. Ahmed </w:t>
      </w:r>
      <w:proofErr w:type="spellStart"/>
      <w:r w:rsidRPr="007A3B41">
        <w:rPr>
          <w:rFonts w:ascii="Times New Roman" w:hAnsi="Times New Roman" w:cs="Times New Roman"/>
          <w:bCs/>
        </w:rPr>
        <w:t>Draia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Adrar-</w:t>
      </w:r>
      <w:proofErr w:type="gramStart"/>
      <w:r w:rsidRPr="007A3B41">
        <w:rPr>
          <w:rFonts w:ascii="Times New Roman" w:hAnsi="Times New Roman" w:cs="Times New Roman"/>
          <w:bCs/>
        </w:rPr>
        <w:t>Algeria:</w:t>
      </w:r>
      <w:proofErr w:type="gramEnd"/>
      <w:r w:rsidRPr="007A3B41">
        <w:rPr>
          <w:rFonts w:ascii="Times New Roman" w:hAnsi="Times New Roman" w:cs="Times New Roman"/>
          <w:bCs/>
        </w:rPr>
        <w:t xml:space="preserve"> 2018; p. 43.</w:t>
      </w:r>
    </w:p>
    <w:p w14:paraId="1078C54B"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40. Valentin </w:t>
      </w:r>
      <w:proofErr w:type="spellStart"/>
      <w:r w:rsidRPr="007A3B41">
        <w:rPr>
          <w:rFonts w:ascii="Times New Roman" w:hAnsi="Times New Roman" w:cs="Times New Roman"/>
          <w:bCs/>
        </w:rPr>
        <w:t>Bashige</w:t>
      </w:r>
      <w:proofErr w:type="spellEnd"/>
      <w:r w:rsidRPr="007A3B41">
        <w:rPr>
          <w:rFonts w:ascii="Times New Roman" w:hAnsi="Times New Roman" w:cs="Times New Roman"/>
          <w:bCs/>
        </w:rPr>
        <w:t xml:space="preserve"> CHIRIBAGULA. </w:t>
      </w:r>
      <w:proofErr w:type="spellStart"/>
      <w:r w:rsidRPr="007A3B41">
        <w:rPr>
          <w:rFonts w:ascii="Times New Roman" w:hAnsi="Times New Roman" w:cs="Times New Roman"/>
          <w:bCs/>
        </w:rPr>
        <w:t>Phytochemical</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pharmacological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ethnobotany</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antimalarial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medicinal</w:t>
      </w:r>
      <w:proofErr w:type="spellEnd"/>
      <w:r w:rsidRPr="007A3B41">
        <w:rPr>
          <w:rFonts w:ascii="Times New Roman" w:hAnsi="Times New Roman" w:cs="Times New Roman"/>
          <w:bCs/>
        </w:rPr>
        <w:t xml:space="preserve"> plants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Bukavu:</w:t>
      </w:r>
      <w:proofErr w:type="gramEnd"/>
      <w:r w:rsidRPr="007A3B41">
        <w:rPr>
          <w:rFonts w:ascii="Times New Roman" w:hAnsi="Times New Roman" w:cs="Times New Roman"/>
          <w:bCs/>
        </w:rPr>
        <w:t xml:space="preserve"> major </w:t>
      </w:r>
      <w:proofErr w:type="spellStart"/>
      <w:r w:rsidRPr="007A3B41">
        <w:rPr>
          <w:rFonts w:ascii="Times New Roman" w:hAnsi="Times New Roman" w:cs="Times New Roman"/>
          <w:bCs/>
        </w:rPr>
        <w:t>interest</w:t>
      </w:r>
      <w:proofErr w:type="spellEnd"/>
      <w:r w:rsidRPr="007A3B41">
        <w:rPr>
          <w:rFonts w:ascii="Times New Roman" w:hAnsi="Times New Roman" w:cs="Times New Roman"/>
          <w:bCs/>
        </w:rPr>
        <w:t xml:space="preserve"> of Dialium </w:t>
      </w:r>
      <w:proofErr w:type="spellStart"/>
      <w:r w:rsidRPr="007A3B41">
        <w:rPr>
          <w:rFonts w:ascii="Times New Roman" w:hAnsi="Times New Roman" w:cs="Times New Roman"/>
          <w:bCs/>
        </w:rPr>
        <w:t>angolense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Welw</w:t>
      </w:r>
      <w:proofErr w:type="spellEnd"/>
      <w:r w:rsidRPr="007A3B41">
        <w:rPr>
          <w:rFonts w:ascii="Times New Roman" w:hAnsi="Times New Roman" w:cs="Times New Roman"/>
          <w:bCs/>
        </w:rPr>
        <w:t xml:space="preserve"> ex </w:t>
      </w:r>
      <w:proofErr w:type="spellStart"/>
      <w:r w:rsidRPr="007A3B41">
        <w:rPr>
          <w:rFonts w:ascii="Times New Roman" w:hAnsi="Times New Roman" w:cs="Times New Roman"/>
          <w:bCs/>
        </w:rPr>
        <w:t>Oliv</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Fabaceae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Thesis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Faculty</w:t>
      </w:r>
      <w:proofErr w:type="spellEnd"/>
      <w:r w:rsidRPr="007A3B41">
        <w:rPr>
          <w:rFonts w:ascii="Times New Roman" w:hAnsi="Times New Roman" w:cs="Times New Roman"/>
          <w:bCs/>
        </w:rPr>
        <w:t xml:space="preserve"> of Pharmaceutical Sciences,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of </w:t>
      </w:r>
      <w:proofErr w:type="gramStart"/>
      <w:r w:rsidRPr="007A3B41">
        <w:rPr>
          <w:rFonts w:ascii="Times New Roman" w:hAnsi="Times New Roman" w:cs="Times New Roman"/>
          <w:bCs/>
        </w:rPr>
        <w:t>Lubumbashi:</w:t>
      </w:r>
      <w:proofErr w:type="gramEnd"/>
      <w:r w:rsidRPr="007A3B41">
        <w:rPr>
          <w:rFonts w:ascii="Times New Roman" w:hAnsi="Times New Roman" w:cs="Times New Roman"/>
          <w:bCs/>
        </w:rPr>
        <w:t xml:space="preserve"> 2020; p66</w:t>
      </w:r>
    </w:p>
    <w:p w14:paraId="04358CF7"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41. Aicha </w:t>
      </w:r>
      <w:proofErr w:type="spellStart"/>
      <w:r w:rsidRPr="007A3B41">
        <w:rPr>
          <w:rFonts w:ascii="Times New Roman" w:hAnsi="Times New Roman" w:cs="Times New Roman"/>
          <w:bCs/>
        </w:rPr>
        <w:t>Lattab</w:t>
      </w:r>
      <w:proofErr w:type="spellEnd"/>
      <w:r w:rsidRPr="007A3B41">
        <w:rPr>
          <w:rFonts w:ascii="Times New Roman" w:hAnsi="Times New Roman" w:cs="Times New Roman"/>
          <w:bCs/>
        </w:rPr>
        <w:t xml:space="preserve"> et al., </w:t>
      </w:r>
      <w:proofErr w:type="spellStart"/>
      <w:r w:rsidRPr="007A3B41">
        <w:rPr>
          <w:rFonts w:ascii="Times New Roman" w:hAnsi="Times New Roman" w:cs="Times New Roman"/>
          <w:bCs/>
        </w:rPr>
        <w:t>Antibacterial</w:t>
      </w:r>
      <w:proofErr w:type="spellEnd"/>
      <w:r w:rsidRPr="007A3B41">
        <w:rPr>
          <w:rFonts w:ascii="Times New Roman" w:hAnsi="Times New Roman" w:cs="Times New Roman"/>
          <w:bCs/>
        </w:rPr>
        <w:t xml:space="preserve"> Activity and Anti-Biofilm Formation of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Extracts</w:t>
      </w:r>
      <w:proofErr w:type="spellEnd"/>
      <w:r w:rsidRPr="007A3B41">
        <w:rPr>
          <w:rFonts w:ascii="Times New Roman" w:hAnsi="Times New Roman" w:cs="Times New Roman"/>
          <w:bCs/>
        </w:rPr>
        <w:t xml:space="preserve"> Against Pseudomonas </w:t>
      </w:r>
      <w:proofErr w:type="spellStart"/>
      <w:r w:rsidRPr="007A3B41">
        <w:rPr>
          <w:rFonts w:ascii="Times New Roman" w:hAnsi="Times New Roman" w:cs="Times New Roman"/>
          <w:bCs/>
        </w:rPr>
        <w:t>aeruginosa</w:t>
      </w:r>
      <w:proofErr w:type="spellEnd"/>
      <w:r w:rsidRPr="007A3B41">
        <w:rPr>
          <w:rFonts w:ascii="Times New Roman" w:hAnsi="Times New Roman" w:cs="Times New Roman"/>
          <w:bCs/>
        </w:rPr>
        <w:t xml:space="preserve">. J. App. Environ. Bio. </w:t>
      </w:r>
      <w:proofErr w:type="spellStart"/>
      <w:proofErr w:type="gramStart"/>
      <w:r w:rsidRPr="007A3B41">
        <w:rPr>
          <w:rFonts w:ascii="Times New Roman" w:hAnsi="Times New Roman" w:cs="Times New Roman"/>
          <w:bCs/>
        </w:rPr>
        <w:t>Sci</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2017;7(5):92-104.</w:t>
      </w:r>
    </w:p>
    <w:p w14:paraId="156D947C"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42. Abbas </w:t>
      </w:r>
      <w:proofErr w:type="spellStart"/>
      <w:r w:rsidRPr="007A3B41">
        <w:rPr>
          <w:rFonts w:ascii="Times New Roman" w:hAnsi="Times New Roman" w:cs="Times New Roman"/>
          <w:bCs/>
        </w:rPr>
        <w:t>Yaseen</w:t>
      </w:r>
      <w:proofErr w:type="spellEnd"/>
      <w:r w:rsidRPr="007A3B41">
        <w:rPr>
          <w:rFonts w:ascii="Times New Roman" w:hAnsi="Times New Roman" w:cs="Times New Roman"/>
          <w:bCs/>
        </w:rPr>
        <w:t xml:space="preserve"> Hassan et al., </w:t>
      </w:r>
      <w:proofErr w:type="spellStart"/>
      <w:r w:rsidRPr="007A3B41">
        <w:rPr>
          <w:rFonts w:ascii="Times New Roman" w:hAnsi="Times New Roman" w:cs="Times New Roman"/>
          <w:bCs/>
        </w:rPr>
        <w:t>Antimicrobial</w:t>
      </w:r>
      <w:proofErr w:type="spellEnd"/>
      <w:r w:rsidRPr="007A3B41">
        <w:rPr>
          <w:rFonts w:ascii="Times New Roman" w:hAnsi="Times New Roman" w:cs="Times New Roman"/>
          <w:bCs/>
        </w:rPr>
        <w:t xml:space="preserve"> Activity of </w:t>
      </w:r>
      <w:proofErr w:type="spellStart"/>
      <w:r w:rsidRPr="007A3B41">
        <w:rPr>
          <w:rFonts w:ascii="Times New Roman" w:hAnsi="Times New Roman" w:cs="Times New Roman"/>
          <w:bCs/>
        </w:rPr>
        <w:t>Clinical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Extracts</w:t>
      </w:r>
      <w:proofErr w:type="spellEnd"/>
      <w:r w:rsidRPr="007A3B41">
        <w:rPr>
          <w:rFonts w:ascii="Times New Roman" w:hAnsi="Times New Roman" w:cs="Times New Roman"/>
          <w:bCs/>
        </w:rPr>
        <w:t xml:space="preserve"> of Loranthus europaeus L. and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Against </w:t>
      </w:r>
      <w:proofErr w:type="spellStart"/>
      <w:r w:rsidRPr="007A3B41">
        <w:rPr>
          <w:rFonts w:ascii="Times New Roman" w:hAnsi="Times New Roman" w:cs="Times New Roman"/>
          <w:bCs/>
        </w:rPr>
        <w:t>Methicillin-Resistant</w:t>
      </w:r>
      <w:proofErr w:type="spellEnd"/>
      <w:r w:rsidRPr="007A3B41">
        <w:rPr>
          <w:rFonts w:ascii="Times New Roman" w:hAnsi="Times New Roman" w:cs="Times New Roman"/>
          <w:bCs/>
        </w:rPr>
        <w:t xml:space="preserve"> Staphylococcus aureus </w:t>
      </w:r>
      <w:proofErr w:type="spellStart"/>
      <w:r w:rsidRPr="007A3B41">
        <w:rPr>
          <w:rFonts w:ascii="Times New Roman" w:hAnsi="Times New Roman" w:cs="Times New Roman"/>
          <w:bCs/>
        </w:rPr>
        <w:t>From</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Inflammatory</w:t>
      </w:r>
      <w:proofErr w:type="spellEnd"/>
      <w:r w:rsidRPr="007A3B41">
        <w:rPr>
          <w:rFonts w:ascii="Times New Roman" w:hAnsi="Times New Roman" w:cs="Times New Roman"/>
          <w:bCs/>
        </w:rPr>
        <w:t xml:space="preserve"> Infections. </w:t>
      </w:r>
      <w:proofErr w:type="spellStart"/>
      <w:r w:rsidRPr="007A3B41">
        <w:rPr>
          <w:rFonts w:ascii="Times New Roman" w:hAnsi="Times New Roman" w:cs="Times New Roman"/>
          <w:bCs/>
        </w:rPr>
        <w:t>Tikrit</w:t>
      </w:r>
      <w:proofErr w:type="spellEnd"/>
      <w:r w:rsidRPr="007A3B41">
        <w:rPr>
          <w:rFonts w:ascii="Times New Roman" w:hAnsi="Times New Roman" w:cs="Times New Roman"/>
          <w:bCs/>
        </w:rPr>
        <w:t xml:space="preserve"> Journal of Pure </w:t>
      </w:r>
      <w:proofErr w:type="gramStart"/>
      <w:r w:rsidRPr="007A3B41">
        <w:rPr>
          <w:rFonts w:ascii="Times New Roman" w:hAnsi="Times New Roman" w:cs="Times New Roman"/>
          <w:bCs/>
        </w:rPr>
        <w:t>Science:</w:t>
      </w:r>
      <w:proofErr w:type="gramEnd"/>
      <w:r w:rsidRPr="007A3B41">
        <w:rPr>
          <w:rFonts w:ascii="Times New Roman" w:hAnsi="Times New Roman" w:cs="Times New Roman"/>
          <w:bCs/>
        </w:rPr>
        <w:t xml:space="preserve"> 2018;23(6).</w:t>
      </w:r>
    </w:p>
    <w:p w14:paraId="27E607BB"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43. J. A. </w:t>
      </w:r>
      <w:proofErr w:type="spellStart"/>
      <w:r w:rsidRPr="007A3B41">
        <w:rPr>
          <w:rFonts w:ascii="Times New Roman" w:hAnsi="Times New Roman" w:cs="Times New Roman"/>
          <w:bCs/>
        </w:rPr>
        <w:t>Amilia</w:t>
      </w:r>
      <w:proofErr w:type="spellEnd"/>
      <w:r w:rsidRPr="007A3B41">
        <w:rPr>
          <w:rFonts w:ascii="Times New Roman" w:hAnsi="Times New Roman" w:cs="Times New Roman"/>
          <w:bCs/>
        </w:rPr>
        <w:t xml:space="preserve"> Elizabeth. </w:t>
      </w:r>
      <w:proofErr w:type="spellStart"/>
      <w:r w:rsidRPr="007A3B41">
        <w:rPr>
          <w:rFonts w:ascii="Times New Roman" w:hAnsi="Times New Roman" w:cs="Times New Roman"/>
          <w:bCs/>
        </w:rPr>
        <w:t>Antibacterial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Efficacy</w:t>
      </w:r>
      <w:proofErr w:type="spellEnd"/>
      <w:r w:rsidRPr="007A3B41">
        <w:rPr>
          <w:rFonts w:ascii="Times New Roman" w:hAnsi="Times New Roman" w:cs="Times New Roman"/>
          <w:bCs/>
        </w:rPr>
        <w:t xml:space="preserve"> of </w:t>
      </w:r>
      <w:proofErr w:type="spellStart"/>
      <w:r w:rsidRPr="007A3B41">
        <w:rPr>
          <w:rFonts w:ascii="Times New Roman" w:hAnsi="Times New Roman" w:cs="Times New Roman"/>
          <w:bCs/>
        </w:rPr>
        <w:t>Lawsonia</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inermis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Henna</w:t>
      </w:r>
      <w:proofErr w:type="spellEnd"/>
      <w:r w:rsidRPr="007A3B41">
        <w:rPr>
          <w:rFonts w:ascii="Times New Roman" w:hAnsi="Times New Roman" w:cs="Times New Roman"/>
          <w:bCs/>
        </w:rPr>
        <w:t xml:space="preserve">) Against the </w:t>
      </w:r>
      <w:proofErr w:type="spellStart"/>
      <w:r w:rsidRPr="007A3B41">
        <w:rPr>
          <w:rFonts w:ascii="Times New Roman" w:hAnsi="Times New Roman" w:cs="Times New Roman"/>
          <w:bCs/>
        </w:rPr>
        <w:t>Predominant</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Endodontic</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Pathogen</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Anterococcus</w:t>
      </w:r>
      <w:proofErr w:type="spellEnd"/>
      <w:r w:rsidRPr="007A3B41">
        <w:rPr>
          <w:rFonts w:ascii="Times New Roman" w:hAnsi="Times New Roman" w:cs="Times New Roman"/>
          <w:bCs/>
        </w:rPr>
        <w:t xml:space="preserve"> faecalis). In Vitro </w:t>
      </w:r>
      <w:proofErr w:type="spellStart"/>
      <w:r w:rsidRPr="007A3B41">
        <w:rPr>
          <w:rFonts w:ascii="Times New Roman" w:hAnsi="Times New Roman" w:cs="Times New Roman"/>
          <w:bCs/>
        </w:rPr>
        <w:t>Antimicrobial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Assay</w:t>
      </w:r>
      <w:proofErr w:type="spellEnd"/>
      <w:r w:rsidRPr="007A3B41">
        <w:rPr>
          <w:rFonts w:ascii="Times New Roman" w:hAnsi="Times New Roman" w:cs="Times New Roman"/>
          <w:bCs/>
        </w:rPr>
        <w:t xml:space="preserve">. </w:t>
      </w:r>
      <w:proofErr w:type="spellStart"/>
      <w:proofErr w:type="gramStart"/>
      <w:r w:rsidRPr="007A3B41">
        <w:rPr>
          <w:rFonts w:ascii="Times New Roman" w:hAnsi="Times New Roman" w:cs="Times New Roman"/>
          <w:bCs/>
        </w:rPr>
        <w:t>Biomedicine</w:t>
      </w:r>
      <w:proofErr w:type="spellEnd"/>
      <w:r w:rsidRPr="007A3B41">
        <w:rPr>
          <w:rFonts w:ascii="Times New Roman" w:hAnsi="Times New Roman" w:cs="Times New Roman"/>
          <w:bCs/>
        </w:rPr>
        <w:t>:</w:t>
      </w:r>
      <w:proofErr w:type="gramEnd"/>
      <w:r w:rsidRPr="007A3B41">
        <w:rPr>
          <w:rFonts w:ascii="Times New Roman" w:hAnsi="Times New Roman" w:cs="Times New Roman"/>
          <w:bCs/>
        </w:rPr>
        <w:t xml:space="preserve"> 2022; 42(2): 40-404.</w:t>
      </w:r>
    </w:p>
    <w:p w14:paraId="3EC34AA1"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44. Catarina </w:t>
      </w:r>
      <w:proofErr w:type="spellStart"/>
      <w:r w:rsidRPr="007A3B41">
        <w:rPr>
          <w:rFonts w:ascii="Times New Roman" w:hAnsi="Times New Roman" w:cs="Times New Roman"/>
          <w:bCs/>
        </w:rPr>
        <w:t>Canario</w:t>
      </w:r>
      <w:proofErr w:type="spellEnd"/>
      <w:r w:rsidRPr="007A3B41">
        <w:rPr>
          <w:rFonts w:ascii="Times New Roman" w:hAnsi="Times New Roman" w:cs="Times New Roman"/>
          <w:bCs/>
        </w:rPr>
        <w:t xml:space="preserve"> et al., Estrone </w:t>
      </w:r>
      <w:proofErr w:type="spellStart"/>
      <w:r w:rsidRPr="007A3B41">
        <w:rPr>
          <w:rFonts w:ascii="Times New Roman" w:hAnsi="Times New Roman" w:cs="Times New Roman"/>
          <w:bCs/>
        </w:rPr>
        <w:t>Derivatives</w:t>
      </w:r>
      <w:proofErr w:type="spellEnd"/>
      <w:r w:rsidRPr="007A3B41">
        <w:rPr>
          <w:rFonts w:ascii="Times New Roman" w:hAnsi="Times New Roman" w:cs="Times New Roman"/>
          <w:bCs/>
        </w:rPr>
        <w:t xml:space="preserve"> as </w:t>
      </w:r>
      <w:proofErr w:type="spellStart"/>
      <w:r w:rsidRPr="007A3B41">
        <w:rPr>
          <w:rFonts w:ascii="Times New Roman" w:hAnsi="Times New Roman" w:cs="Times New Roman"/>
          <w:bCs/>
        </w:rPr>
        <w:t>Potential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Antiproliferative</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Agents:</w:t>
      </w:r>
      <w:proofErr w:type="gramEnd"/>
      <w:r w:rsidRPr="007A3B41">
        <w:rPr>
          <w:rFonts w:ascii="Times New Roman" w:hAnsi="Times New Roman" w:cs="Times New Roman"/>
          <w:bCs/>
        </w:rPr>
        <w:t xml:space="preserve"> </w:t>
      </w:r>
      <w:proofErr w:type="spellStart"/>
      <w:r w:rsidRPr="007A3B41">
        <w:rPr>
          <w:rFonts w:ascii="Times New Roman" w:hAnsi="Times New Roman" w:cs="Times New Roman"/>
          <w:bCs/>
        </w:rPr>
        <w:t>Synthesis</w:t>
      </w:r>
      <w:proofErr w:type="spellEnd"/>
      <w:r w:rsidRPr="007A3B41">
        <w:rPr>
          <w:rFonts w:ascii="Times New Roman" w:hAnsi="Times New Roman" w:cs="Times New Roman"/>
          <w:bCs/>
        </w:rPr>
        <w:t xml:space="preserve">, In Vitro </w:t>
      </w:r>
      <w:proofErr w:type="spellStart"/>
      <w:r w:rsidRPr="007A3B41">
        <w:rPr>
          <w:rFonts w:ascii="Times New Roman" w:hAnsi="Times New Roman" w:cs="Times New Roman"/>
          <w:bCs/>
        </w:rPr>
        <w:t>Biological</w:t>
      </w:r>
      <w:proofErr w:type="spellEnd"/>
      <w:r w:rsidRPr="007A3B41">
        <w:rPr>
          <w:rFonts w:ascii="Times New Roman" w:hAnsi="Times New Roman" w:cs="Times New Roman"/>
          <w:bCs/>
        </w:rPr>
        <w:t xml:space="preserve"> Evaluation, and Docking </w:t>
      </w:r>
      <w:proofErr w:type="spellStart"/>
      <w:r w:rsidRPr="007A3B41">
        <w:rPr>
          <w:rFonts w:ascii="Times New Roman" w:hAnsi="Times New Roman" w:cs="Times New Roman"/>
          <w:bCs/>
        </w:rPr>
        <w:t>Studies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Proceedings</w:t>
      </w:r>
      <w:proofErr w:type="spellEnd"/>
      <w:r w:rsidRPr="007A3B41">
        <w:rPr>
          <w:rFonts w:ascii="Times New Roman" w:hAnsi="Times New Roman" w:cs="Times New Roman"/>
          <w:bCs/>
        </w:rPr>
        <w:t xml:space="preserve">. </w:t>
      </w:r>
      <w:proofErr w:type="gramStart"/>
      <w:r w:rsidRPr="007A3B41">
        <w:rPr>
          <w:rFonts w:ascii="Times New Roman" w:hAnsi="Times New Roman" w:cs="Times New Roman"/>
          <w:bCs/>
        </w:rPr>
        <w:t>Chemistry:</w:t>
      </w:r>
      <w:proofErr w:type="gramEnd"/>
      <w:r w:rsidRPr="007A3B41">
        <w:rPr>
          <w:rFonts w:ascii="Times New Roman" w:hAnsi="Times New Roman" w:cs="Times New Roman"/>
          <w:bCs/>
        </w:rPr>
        <w:t xml:space="preserve"> 2020; 23(2): 201-217.</w:t>
      </w:r>
    </w:p>
    <w:p w14:paraId="6512D715"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45. Charlotte </w:t>
      </w:r>
      <w:proofErr w:type="spellStart"/>
      <w:r w:rsidRPr="007A3B41">
        <w:rPr>
          <w:rFonts w:ascii="Times New Roman" w:hAnsi="Times New Roman" w:cs="Times New Roman"/>
          <w:bCs/>
        </w:rPr>
        <w:t>Thieury</w:t>
      </w:r>
      <w:proofErr w:type="spellEnd"/>
      <w:r w:rsidRPr="007A3B41">
        <w:rPr>
          <w:rFonts w:ascii="Times New Roman" w:hAnsi="Times New Roman" w:cs="Times New Roman"/>
          <w:bCs/>
        </w:rPr>
        <w:t xml:space="preserve">. Anticancer </w:t>
      </w:r>
      <w:proofErr w:type="spellStart"/>
      <w:r w:rsidRPr="007A3B41">
        <w:rPr>
          <w:rFonts w:ascii="Times New Roman" w:hAnsi="Times New Roman" w:cs="Times New Roman"/>
          <w:bCs/>
        </w:rPr>
        <w:t>Drugs</w:t>
      </w:r>
      <w:proofErr w:type="spellEnd"/>
      <w:r w:rsidRPr="007A3B41">
        <w:rPr>
          <w:rFonts w:ascii="Times New Roman" w:hAnsi="Times New Roman" w:cs="Times New Roman"/>
          <w:bCs/>
        </w:rPr>
        <w:t xml:space="preserve"> in Global </w:t>
      </w:r>
      <w:proofErr w:type="spellStart"/>
      <w:r w:rsidRPr="007A3B41">
        <w:rPr>
          <w:rFonts w:ascii="Times New Roman" w:hAnsi="Times New Roman" w:cs="Times New Roman"/>
          <w:bCs/>
        </w:rPr>
        <w:t>Biodiversity</w:t>
      </w:r>
      <w:proofErr w:type="spellEnd"/>
      <w:r w:rsidRPr="007A3B41">
        <w:rPr>
          <w:rFonts w:ascii="Times New Roman" w:hAnsi="Times New Roman" w:cs="Times New Roman"/>
          <w:bCs/>
        </w:rPr>
        <w:t xml:space="preserve"> and in New Caledonia. Pharmaceutical Sciences.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of Caen </w:t>
      </w:r>
      <w:proofErr w:type="gramStart"/>
      <w:r w:rsidRPr="007A3B41">
        <w:rPr>
          <w:rFonts w:ascii="Times New Roman" w:hAnsi="Times New Roman" w:cs="Times New Roman"/>
          <w:bCs/>
        </w:rPr>
        <w:t>Normandy:</w:t>
      </w:r>
      <w:proofErr w:type="gramEnd"/>
      <w:r w:rsidRPr="007A3B41">
        <w:rPr>
          <w:rFonts w:ascii="Times New Roman" w:hAnsi="Times New Roman" w:cs="Times New Roman"/>
          <w:bCs/>
        </w:rPr>
        <w:t xml:space="preserve"> 2017; p. 78-90.</w:t>
      </w:r>
    </w:p>
    <w:p w14:paraId="1ED21D3E" w14:textId="77777777" w:rsidR="007A3B41" w:rsidRPr="007A3B41" w:rsidRDefault="007A3B41" w:rsidP="007A3B41">
      <w:pPr>
        <w:spacing w:line="360" w:lineRule="auto"/>
        <w:ind w:left="360"/>
        <w:jc w:val="both"/>
        <w:rPr>
          <w:rFonts w:ascii="Times New Roman" w:hAnsi="Times New Roman" w:cs="Times New Roman"/>
          <w:bCs/>
        </w:rPr>
      </w:pPr>
      <w:r w:rsidRPr="007A3B41">
        <w:rPr>
          <w:rFonts w:ascii="Times New Roman" w:hAnsi="Times New Roman" w:cs="Times New Roman"/>
          <w:bCs/>
        </w:rPr>
        <w:t xml:space="preserve">46. Elise </w:t>
      </w:r>
      <w:proofErr w:type="spellStart"/>
      <w:r w:rsidRPr="007A3B41">
        <w:rPr>
          <w:rFonts w:ascii="Times New Roman" w:hAnsi="Times New Roman" w:cs="Times New Roman"/>
          <w:bCs/>
        </w:rPr>
        <w:t>Vene</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Development</w:t>
      </w:r>
      <w:proofErr w:type="spellEnd"/>
      <w:r w:rsidRPr="007A3B41">
        <w:rPr>
          <w:rFonts w:ascii="Times New Roman" w:hAnsi="Times New Roman" w:cs="Times New Roman"/>
          <w:bCs/>
        </w:rPr>
        <w:t xml:space="preserve"> and Evaluation of </w:t>
      </w:r>
      <w:proofErr w:type="gramStart"/>
      <w:r w:rsidRPr="007A3B41">
        <w:rPr>
          <w:rFonts w:ascii="Times New Roman" w:hAnsi="Times New Roman" w:cs="Times New Roman"/>
          <w:bCs/>
        </w:rPr>
        <w:t>Poly(</w:t>
      </w:r>
      <w:proofErr w:type="spellStart"/>
      <w:proofErr w:type="gramEnd"/>
      <w:r w:rsidRPr="007A3B41">
        <w:rPr>
          <w:rFonts w:ascii="Times New Roman" w:hAnsi="Times New Roman" w:cs="Times New Roman"/>
          <w:bCs/>
        </w:rPr>
        <w:t>Malic</w:t>
      </w:r>
      <w:proofErr w:type="spellEnd"/>
      <w:r w:rsidRPr="007A3B41">
        <w:rPr>
          <w:rFonts w:ascii="Times New Roman" w:hAnsi="Times New Roman" w:cs="Times New Roman"/>
          <w:bCs/>
        </w:rPr>
        <w:t xml:space="preserve"> Acid)-</w:t>
      </w:r>
      <w:proofErr w:type="spellStart"/>
      <w:r w:rsidRPr="007A3B41">
        <w:rPr>
          <w:rFonts w:ascii="Times New Roman" w:hAnsi="Times New Roman" w:cs="Times New Roman"/>
          <w:bCs/>
        </w:rPr>
        <w:t>Derived</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Nanoparticles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Targeting</w:t>
      </w:r>
      <w:proofErr w:type="spellEnd"/>
      <w:r w:rsidRPr="007A3B41">
        <w:rPr>
          <w:rFonts w:ascii="Times New Roman" w:hAnsi="Times New Roman" w:cs="Times New Roman"/>
          <w:bCs/>
        </w:rPr>
        <w:t xml:space="preserve"> Human </w:t>
      </w:r>
      <w:proofErr w:type="spellStart"/>
      <w:r w:rsidRPr="007A3B41">
        <w:rPr>
          <w:rFonts w:ascii="Times New Roman" w:hAnsi="Times New Roman" w:cs="Times New Roman"/>
          <w:bCs/>
        </w:rPr>
        <w:t>Liver</w:t>
      </w:r>
      <w:proofErr w:type="spellEnd"/>
      <w:r w:rsidRPr="007A3B41">
        <w:rPr>
          <w:rFonts w:ascii="Times New Roman" w:hAnsi="Times New Roman" w:cs="Times New Roman"/>
          <w:bCs/>
        </w:rPr>
        <w:t xml:space="preserve"> Cancer </w:t>
      </w:r>
      <w:proofErr w:type="spellStart"/>
      <w:r w:rsidRPr="007A3B41">
        <w:rPr>
          <w:rFonts w:ascii="Times New Roman" w:hAnsi="Times New Roman" w:cs="Times New Roman"/>
          <w:bCs/>
        </w:rPr>
        <w:t>Cells</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Thesis</w:t>
      </w:r>
      <w:proofErr w:type="spellEnd"/>
      <w:r w:rsidRPr="007A3B41">
        <w:rPr>
          <w:rFonts w:ascii="Times New Roman" w:hAnsi="Times New Roman" w:cs="Times New Roman"/>
          <w:bCs/>
        </w:rPr>
        <w:t xml:space="preserve">. Hospital and </w:t>
      </w:r>
      <w:proofErr w:type="spellStart"/>
      <w:r w:rsidRPr="007A3B41">
        <w:rPr>
          <w:rFonts w:ascii="Times New Roman" w:hAnsi="Times New Roman" w:cs="Times New Roman"/>
          <w:bCs/>
        </w:rPr>
        <w:t>Practical</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Pharmacy</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University</w:t>
      </w:r>
      <w:proofErr w:type="spellEnd"/>
      <w:r w:rsidRPr="007A3B41">
        <w:rPr>
          <w:rFonts w:ascii="Times New Roman" w:hAnsi="Times New Roman" w:cs="Times New Roman"/>
          <w:bCs/>
        </w:rPr>
        <w:t xml:space="preserve"> of Rennes </w:t>
      </w:r>
      <w:proofErr w:type="gramStart"/>
      <w:r w:rsidRPr="007A3B41">
        <w:rPr>
          <w:rFonts w:ascii="Times New Roman" w:hAnsi="Times New Roman" w:cs="Times New Roman"/>
          <w:bCs/>
        </w:rPr>
        <w:t>1:</w:t>
      </w:r>
      <w:proofErr w:type="gramEnd"/>
      <w:r w:rsidRPr="007A3B41">
        <w:rPr>
          <w:rFonts w:ascii="Times New Roman" w:hAnsi="Times New Roman" w:cs="Times New Roman"/>
          <w:bCs/>
        </w:rPr>
        <w:t xml:space="preserve"> 2016; p. 65.</w:t>
      </w:r>
    </w:p>
    <w:p w14:paraId="7E2F7070" w14:textId="7DB89A7A" w:rsidR="001E4055" w:rsidRPr="007A3B41" w:rsidRDefault="007A3B41" w:rsidP="007A3B41">
      <w:pPr>
        <w:spacing w:line="360" w:lineRule="auto"/>
        <w:ind w:left="360"/>
        <w:jc w:val="both"/>
        <w:rPr>
          <w:rFonts w:ascii="Times New Roman" w:hAnsi="Times New Roman" w:cs="Times New Roman"/>
          <w:bCs/>
          <w:color w:val="000000" w:themeColor="text1"/>
          <w:vertAlign w:val="subscript"/>
        </w:rPr>
      </w:pPr>
      <w:r w:rsidRPr="007A3B41">
        <w:rPr>
          <w:rFonts w:ascii="Times New Roman" w:hAnsi="Times New Roman" w:cs="Times New Roman"/>
          <w:bCs/>
        </w:rPr>
        <w:t xml:space="preserve">47. </w:t>
      </w:r>
      <w:proofErr w:type="spellStart"/>
      <w:r w:rsidRPr="007A3B41">
        <w:rPr>
          <w:rFonts w:ascii="Times New Roman" w:hAnsi="Times New Roman" w:cs="Times New Roman"/>
          <w:bCs/>
        </w:rPr>
        <w:t>Patchimaporn</w:t>
      </w:r>
      <w:proofErr w:type="spellEnd"/>
      <w:r w:rsidRPr="007A3B41">
        <w:rPr>
          <w:rFonts w:ascii="Times New Roman" w:hAnsi="Times New Roman" w:cs="Times New Roman"/>
          <w:bCs/>
        </w:rPr>
        <w:t xml:space="preserve"> UDOMKUN et al., Innovative technologies for </w:t>
      </w:r>
      <w:proofErr w:type="spellStart"/>
      <w:r w:rsidRPr="007A3B41">
        <w:rPr>
          <w:rFonts w:ascii="Times New Roman" w:hAnsi="Times New Roman" w:cs="Times New Roman"/>
          <w:bCs/>
        </w:rPr>
        <w:t>managing</w:t>
      </w:r>
      <w:proofErr w:type="spellEnd"/>
      <w:r w:rsidRPr="007A3B41">
        <w:rPr>
          <w:rFonts w:ascii="Times New Roman" w:hAnsi="Times New Roman" w:cs="Times New Roman"/>
          <w:bCs/>
        </w:rPr>
        <w:t xml:space="preserve"> </w:t>
      </w:r>
      <w:proofErr w:type="spellStart"/>
      <w:r w:rsidRPr="007A3B41">
        <w:rPr>
          <w:rFonts w:ascii="Times New Roman" w:hAnsi="Times New Roman" w:cs="Times New Roman"/>
          <w:bCs/>
        </w:rPr>
        <w:t>aflatoxins</w:t>
      </w:r>
      <w:proofErr w:type="spellEnd"/>
      <w:r w:rsidRPr="007A3B41">
        <w:rPr>
          <w:rFonts w:ascii="Times New Roman" w:hAnsi="Times New Roman" w:cs="Times New Roman"/>
          <w:bCs/>
        </w:rPr>
        <w:t xml:space="preserve"> in </w:t>
      </w:r>
      <w:proofErr w:type="spellStart"/>
      <w:r w:rsidRPr="007A3B41">
        <w:rPr>
          <w:rFonts w:ascii="Times New Roman" w:hAnsi="Times New Roman" w:cs="Times New Roman"/>
          <w:bCs/>
        </w:rPr>
        <w:t>food</w:t>
      </w:r>
      <w:proofErr w:type="spellEnd"/>
      <w:r w:rsidRPr="007A3B41">
        <w:rPr>
          <w:rFonts w:ascii="Times New Roman" w:hAnsi="Times New Roman" w:cs="Times New Roman"/>
          <w:bCs/>
        </w:rPr>
        <w:t xml:space="preserve"> and </w:t>
      </w:r>
      <w:proofErr w:type="spellStart"/>
      <w:r w:rsidRPr="007A3B41">
        <w:rPr>
          <w:rFonts w:ascii="Times New Roman" w:hAnsi="Times New Roman" w:cs="Times New Roman"/>
          <w:bCs/>
        </w:rPr>
        <w:t>feed</w:t>
      </w:r>
      <w:proofErr w:type="spellEnd"/>
      <w:r w:rsidRPr="007A3B41">
        <w:rPr>
          <w:rFonts w:ascii="Times New Roman" w:hAnsi="Times New Roman" w:cs="Times New Roman"/>
          <w:bCs/>
        </w:rPr>
        <w:t xml:space="preserve"> and the </w:t>
      </w:r>
      <w:proofErr w:type="spellStart"/>
      <w:r w:rsidRPr="007A3B41">
        <w:rPr>
          <w:rFonts w:ascii="Times New Roman" w:hAnsi="Times New Roman" w:cs="Times New Roman"/>
          <w:bCs/>
        </w:rPr>
        <w:t>cost-effectiveness</w:t>
      </w:r>
      <w:proofErr w:type="spellEnd"/>
      <w:r w:rsidRPr="007A3B41">
        <w:rPr>
          <w:rFonts w:ascii="Times New Roman" w:hAnsi="Times New Roman" w:cs="Times New Roman"/>
          <w:bCs/>
        </w:rPr>
        <w:t xml:space="preserve"> of application - a </w:t>
      </w:r>
      <w:proofErr w:type="spellStart"/>
      <w:r w:rsidRPr="007A3B41">
        <w:rPr>
          <w:rFonts w:ascii="Times New Roman" w:hAnsi="Times New Roman" w:cs="Times New Roman"/>
          <w:bCs/>
        </w:rPr>
        <w:t>review</w:t>
      </w:r>
      <w:proofErr w:type="spellEnd"/>
      <w:r w:rsidRPr="007A3B41">
        <w:rPr>
          <w:rFonts w:ascii="Times New Roman" w:hAnsi="Times New Roman" w:cs="Times New Roman"/>
          <w:bCs/>
        </w:rPr>
        <w:t xml:space="preserve">. Food </w:t>
      </w:r>
      <w:proofErr w:type="gramStart"/>
      <w:r w:rsidRPr="007A3B41">
        <w:rPr>
          <w:rFonts w:ascii="Times New Roman" w:hAnsi="Times New Roman" w:cs="Times New Roman"/>
          <w:bCs/>
        </w:rPr>
        <w:t>Control:</w:t>
      </w:r>
      <w:proofErr w:type="gramEnd"/>
      <w:r w:rsidRPr="007A3B41">
        <w:rPr>
          <w:rFonts w:ascii="Times New Roman" w:hAnsi="Times New Roman" w:cs="Times New Roman"/>
          <w:bCs/>
        </w:rPr>
        <w:t xml:space="preserve"> 2017; 76: 127-139.</w:t>
      </w:r>
    </w:p>
    <w:p w14:paraId="0B6E5FAF" w14:textId="522CD5A1" w:rsidR="001E4055" w:rsidRDefault="001E4055" w:rsidP="00EB1C0F">
      <w:pPr>
        <w:spacing w:line="360" w:lineRule="auto"/>
        <w:jc w:val="both"/>
        <w:rPr>
          <w:rFonts w:ascii="Times New Roman" w:hAnsi="Times New Roman" w:cs="Times New Roman"/>
          <w:b/>
          <w:color w:val="FF0000"/>
        </w:rPr>
      </w:pPr>
    </w:p>
    <w:p w14:paraId="1D0C5F87" w14:textId="7EB96FF1" w:rsidR="0056225C" w:rsidRDefault="0056225C" w:rsidP="00EB1C0F">
      <w:pPr>
        <w:spacing w:line="360" w:lineRule="auto"/>
        <w:jc w:val="both"/>
        <w:rPr>
          <w:rFonts w:ascii="Times New Roman" w:hAnsi="Times New Roman" w:cs="Times New Roman"/>
          <w:b/>
          <w:color w:val="FF0000"/>
        </w:rPr>
      </w:pPr>
    </w:p>
    <w:p w14:paraId="2B086FB5" w14:textId="77777777" w:rsidR="0056225C" w:rsidRDefault="0056225C" w:rsidP="00EB1C0F">
      <w:pPr>
        <w:spacing w:line="360" w:lineRule="auto"/>
        <w:jc w:val="both"/>
        <w:rPr>
          <w:rFonts w:ascii="Times New Roman" w:hAnsi="Times New Roman" w:cs="Times New Roman"/>
          <w:b/>
          <w:color w:val="FF0000"/>
        </w:rPr>
      </w:pPr>
    </w:p>
    <w:p w14:paraId="55FA52F7" w14:textId="7F4DB38E" w:rsidR="0056225C" w:rsidRPr="00B4624E" w:rsidRDefault="0056225C" w:rsidP="00EB1C0F">
      <w:pPr>
        <w:spacing w:line="360" w:lineRule="auto"/>
        <w:jc w:val="both"/>
        <w:rPr>
          <w:rFonts w:ascii="Times New Roman" w:hAnsi="Times New Roman" w:cs="Times New Roman"/>
          <w:lang w:val="en-US"/>
        </w:rPr>
      </w:pPr>
    </w:p>
    <w:p w14:paraId="62EE4904" w14:textId="77777777" w:rsidR="0056225C" w:rsidRPr="00B4624E" w:rsidRDefault="0056225C" w:rsidP="00EB1C0F">
      <w:pPr>
        <w:spacing w:line="360" w:lineRule="auto"/>
        <w:jc w:val="both"/>
        <w:rPr>
          <w:rFonts w:ascii="Times New Roman" w:hAnsi="Times New Roman" w:cs="Times New Roman"/>
          <w:lang w:val="en-US"/>
        </w:rPr>
      </w:pPr>
    </w:p>
    <w:sectPr w:rsidR="0056225C" w:rsidRPr="00B4624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01AE" w14:textId="77777777" w:rsidR="004A04E5" w:rsidRDefault="004A04E5" w:rsidP="00B4624E">
      <w:r>
        <w:separator/>
      </w:r>
    </w:p>
  </w:endnote>
  <w:endnote w:type="continuationSeparator" w:id="0">
    <w:p w14:paraId="0734D83B" w14:textId="77777777" w:rsidR="004A04E5" w:rsidRDefault="004A04E5" w:rsidP="00B4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
    <w:altName w:val="MS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5116" w14:textId="77777777" w:rsidR="00D52D39" w:rsidRDefault="00D5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5323" w14:textId="77777777" w:rsidR="00D52D39" w:rsidRDefault="00D52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37F4" w14:textId="77777777" w:rsidR="00D52D39" w:rsidRDefault="00D5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62FFF" w14:textId="77777777" w:rsidR="004A04E5" w:rsidRDefault="004A04E5" w:rsidP="00B4624E">
      <w:r>
        <w:separator/>
      </w:r>
    </w:p>
  </w:footnote>
  <w:footnote w:type="continuationSeparator" w:id="0">
    <w:p w14:paraId="601309D6" w14:textId="77777777" w:rsidR="004A04E5" w:rsidRDefault="004A04E5" w:rsidP="00B4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1588" w14:textId="22CAAFA8" w:rsidR="00D52D39" w:rsidRDefault="00D52D39">
    <w:pPr>
      <w:pStyle w:val="Header"/>
    </w:pPr>
    <w:r>
      <w:rPr>
        <w:noProof/>
      </w:rPr>
      <w:pict w14:anchorId="4047E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20351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4FC8" w14:textId="53405713" w:rsidR="00D52D39" w:rsidRDefault="00D52D39">
    <w:pPr>
      <w:pStyle w:val="Header"/>
    </w:pPr>
    <w:r>
      <w:rPr>
        <w:noProof/>
      </w:rPr>
      <w:pict w14:anchorId="72EEE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20351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DD29" w14:textId="1C4A6265" w:rsidR="00D52D39" w:rsidRDefault="00D52D39">
    <w:pPr>
      <w:pStyle w:val="Header"/>
    </w:pPr>
    <w:r>
      <w:rPr>
        <w:noProof/>
      </w:rPr>
      <w:pict w14:anchorId="5C7F5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20351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29C3"/>
    <w:multiLevelType w:val="multilevel"/>
    <w:tmpl w:val="0FE629C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F70F1F"/>
    <w:multiLevelType w:val="multilevel"/>
    <w:tmpl w:val="0B9E066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313C048A"/>
    <w:multiLevelType w:val="multilevel"/>
    <w:tmpl w:val="763EABE4"/>
    <w:lvl w:ilvl="0">
      <w:start w:val="1"/>
      <w:numFmt w:val="decimal"/>
      <w:lvlText w:val="%1."/>
      <w:lvlJc w:val="left"/>
      <w:pPr>
        <w:ind w:left="720" w:hanging="360"/>
      </w:pPr>
      <w:rPr>
        <w:b/>
        <w:i w:val="0"/>
        <w:color w:val="000000" w:themeColor="text1"/>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622D52"/>
    <w:multiLevelType w:val="multilevel"/>
    <w:tmpl w:val="FEB037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5E7E0C"/>
    <w:multiLevelType w:val="hybridMultilevel"/>
    <w:tmpl w:val="E9E8E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B05D5"/>
    <w:multiLevelType w:val="multilevel"/>
    <w:tmpl w:val="43323D46"/>
    <w:lvl w:ilvl="0">
      <w:start w:val="1"/>
      <w:numFmt w:val="bullet"/>
      <w:lvlText w:val=""/>
      <w:lvlJc w:val="left"/>
      <w:pPr>
        <w:ind w:left="720" w:hanging="360"/>
      </w:pPr>
      <w:rPr>
        <w:rFonts w:ascii="Symbol" w:hAnsi="Symbol" w:hint="default"/>
        <w:b/>
        <w:i w:val="0"/>
        <w:color w:val="000000" w:themeColor="text1"/>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B779B6"/>
    <w:multiLevelType w:val="hybridMultilevel"/>
    <w:tmpl w:val="6324E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09"/>
    <w:rsid w:val="00001CA9"/>
    <w:rsid w:val="0002520C"/>
    <w:rsid w:val="00031FAA"/>
    <w:rsid w:val="000348AD"/>
    <w:rsid w:val="000831DE"/>
    <w:rsid w:val="00095E6C"/>
    <w:rsid w:val="000B3F2E"/>
    <w:rsid w:val="000C71E0"/>
    <w:rsid w:val="000F73A0"/>
    <w:rsid w:val="000F77D1"/>
    <w:rsid w:val="0010701D"/>
    <w:rsid w:val="00110D42"/>
    <w:rsid w:val="00111388"/>
    <w:rsid w:val="00130D2D"/>
    <w:rsid w:val="0013106B"/>
    <w:rsid w:val="00147AED"/>
    <w:rsid w:val="0016151E"/>
    <w:rsid w:val="00176D53"/>
    <w:rsid w:val="001E4055"/>
    <w:rsid w:val="001E6FBA"/>
    <w:rsid w:val="001F4BC7"/>
    <w:rsid w:val="00262A4A"/>
    <w:rsid w:val="00267ADF"/>
    <w:rsid w:val="002A375A"/>
    <w:rsid w:val="002B0CBC"/>
    <w:rsid w:val="002B16B1"/>
    <w:rsid w:val="002D2465"/>
    <w:rsid w:val="0030492F"/>
    <w:rsid w:val="00350AF2"/>
    <w:rsid w:val="0035336A"/>
    <w:rsid w:val="00367DE5"/>
    <w:rsid w:val="00380E56"/>
    <w:rsid w:val="00385947"/>
    <w:rsid w:val="003A014E"/>
    <w:rsid w:val="003B36E0"/>
    <w:rsid w:val="003C5AAB"/>
    <w:rsid w:val="003F0175"/>
    <w:rsid w:val="00401311"/>
    <w:rsid w:val="0041220B"/>
    <w:rsid w:val="00417A5D"/>
    <w:rsid w:val="00417BAD"/>
    <w:rsid w:val="00431018"/>
    <w:rsid w:val="00452E0C"/>
    <w:rsid w:val="00470BE9"/>
    <w:rsid w:val="00480CA3"/>
    <w:rsid w:val="00482861"/>
    <w:rsid w:val="004A04E5"/>
    <w:rsid w:val="004A1F35"/>
    <w:rsid w:val="004A2CEB"/>
    <w:rsid w:val="004E5A78"/>
    <w:rsid w:val="004F060E"/>
    <w:rsid w:val="004F46D3"/>
    <w:rsid w:val="00506194"/>
    <w:rsid w:val="00530821"/>
    <w:rsid w:val="00533E42"/>
    <w:rsid w:val="0055184A"/>
    <w:rsid w:val="0056225C"/>
    <w:rsid w:val="0056638F"/>
    <w:rsid w:val="0057440E"/>
    <w:rsid w:val="00590498"/>
    <w:rsid w:val="005D5ED0"/>
    <w:rsid w:val="005D6925"/>
    <w:rsid w:val="00602387"/>
    <w:rsid w:val="00643831"/>
    <w:rsid w:val="006455DC"/>
    <w:rsid w:val="00657459"/>
    <w:rsid w:val="00674150"/>
    <w:rsid w:val="006B0F91"/>
    <w:rsid w:val="006B4075"/>
    <w:rsid w:val="006D1351"/>
    <w:rsid w:val="006E7C71"/>
    <w:rsid w:val="006F274D"/>
    <w:rsid w:val="0070425F"/>
    <w:rsid w:val="007337EB"/>
    <w:rsid w:val="00763D71"/>
    <w:rsid w:val="00790258"/>
    <w:rsid w:val="00790409"/>
    <w:rsid w:val="007A3B41"/>
    <w:rsid w:val="007B1145"/>
    <w:rsid w:val="007B5043"/>
    <w:rsid w:val="007B5D13"/>
    <w:rsid w:val="007C655D"/>
    <w:rsid w:val="007E4AA1"/>
    <w:rsid w:val="007F2C65"/>
    <w:rsid w:val="008026BD"/>
    <w:rsid w:val="00822EFF"/>
    <w:rsid w:val="00841A1B"/>
    <w:rsid w:val="008658E7"/>
    <w:rsid w:val="00876686"/>
    <w:rsid w:val="008D0FA0"/>
    <w:rsid w:val="008D4A94"/>
    <w:rsid w:val="008D6835"/>
    <w:rsid w:val="008F0FEF"/>
    <w:rsid w:val="00955C3E"/>
    <w:rsid w:val="009903ED"/>
    <w:rsid w:val="00990D68"/>
    <w:rsid w:val="009B000F"/>
    <w:rsid w:val="009C0FD0"/>
    <w:rsid w:val="009D1B3D"/>
    <w:rsid w:val="00A1310E"/>
    <w:rsid w:val="00A260B5"/>
    <w:rsid w:val="00A52EAC"/>
    <w:rsid w:val="00A73FE9"/>
    <w:rsid w:val="00A80CE8"/>
    <w:rsid w:val="00A973CE"/>
    <w:rsid w:val="00AA6A64"/>
    <w:rsid w:val="00AB698B"/>
    <w:rsid w:val="00AD404E"/>
    <w:rsid w:val="00AF508C"/>
    <w:rsid w:val="00B02975"/>
    <w:rsid w:val="00B13E9B"/>
    <w:rsid w:val="00B2062A"/>
    <w:rsid w:val="00B247E7"/>
    <w:rsid w:val="00B353C6"/>
    <w:rsid w:val="00B4624E"/>
    <w:rsid w:val="00B53C3C"/>
    <w:rsid w:val="00B72BCE"/>
    <w:rsid w:val="00B86439"/>
    <w:rsid w:val="00BB5B41"/>
    <w:rsid w:val="00BB743A"/>
    <w:rsid w:val="00BC029F"/>
    <w:rsid w:val="00BD4560"/>
    <w:rsid w:val="00BE2E05"/>
    <w:rsid w:val="00C1285C"/>
    <w:rsid w:val="00C404AF"/>
    <w:rsid w:val="00C4289F"/>
    <w:rsid w:val="00C72AED"/>
    <w:rsid w:val="00C85A90"/>
    <w:rsid w:val="00C874BC"/>
    <w:rsid w:val="00C960F0"/>
    <w:rsid w:val="00C977BE"/>
    <w:rsid w:val="00CB4175"/>
    <w:rsid w:val="00CD06F5"/>
    <w:rsid w:val="00CD24A2"/>
    <w:rsid w:val="00D06F1F"/>
    <w:rsid w:val="00D12A2B"/>
    <w:rsid w:val="00D52D39"/>
    <w:rsid w:val="00D921F7"/>
    <w:rsid w:val="00D9415C"/>
    <w:rsid w:val="00DA4BD8"/>
    <w:rsid w:val="00DC7915"/>
    <w:rsid w:val="00E054AF"/>
    <w:rsid w:val="00E35EA2"/>
    <w:rsid w:val="00E425C3"/>
    <w:rsid w:val="00E465A8"/>
    <w:rsid w:val="00E76555"/>
    <w:rsid w:val="00E9704D"/>
    <w:rsid w:val="00EB1C0F"/>
    <w:rsid w:val="00EB7B13"/>
    <w:rsid w:val="00ED0F2A"/>
    <w:rsid w:val="00EE6AD1"/>
    <w:rsid w:val="00EF42D3"/>
    <w:rsid w:val="00F00FFE"/>
    <w:rsid w:val="00F03754"/>
    <w:rsid w:val="00F21E3A"/>
    <w:rsid w:val="00F231C0"/>
    <w:rsid w:val="00F31EA5"/>
    <w:rsid w:val="00F328B6"/>
    <w:rsid w:val="00F60B89"/>
    <w:rsid w:val="00F81A43"/>
    <w:rsid w:val="00F81F65"/>
    <w:rsid w:val="00F87AB6"/>
    <w:rsid w:val="00FC1373"/>
    <w:rsid w:val="00FD380F"/>
    <w:rsid w:val="00FF139B"/>
    <w:rsid w:val="00FF40C3"/>
  </w:rsids>
  <m:mathPr>
    <m:mathFont m:val="Cambria Math"/>
    <m:brkBin m:val="before"/>
    <m:brkBinSub m:val="--"/>
    <m:smallFrac m:val="0"/>
    <m:dispDef/>
    <m:lMargin m:val="0"/>
    <m:rMargin m:val="0"/>
    <m:defJc m:val="centerGroup"/>
    <m:wrapIndent m:val="1440"/>
    <m:intLim m:val="subSup"/>
    <m:naryLim m:val="undOvr"/>
  </m:mathPr>
  <w:themeFontLang w:val="fr-S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CB09C0"/>
  <w15:chartTrackingRefBased/>
  <w15:docId w15:val="{04D169A1-2D81-5140-B3C6-071AB5DB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67ADF"/>
    <w:pPr>
      <w:spacing w:before="100" w:beforeAutospacing="1" w:after="100" w:afterAutospacing="1"/>
      <w:outlineLvl w:val="1"/>
    </w:pPr>
    <w:rPr>
      <w:rFonts w:ascii="Times New Roman" w:eastAsia="Times New Roman" w:hAnsi="Times New Roman" w:cs="Times New Roman"/>
      <w:b/>
      <w:bCs/>
      <w:kern w:val="0"/>
      <w:sz w:val="36"/>
      <w:szCs w:val="36"/>
      <w:lang w:val="fr-FR"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unhideWhenUsed/>
    <w:qFormat/>
    <w:rsid w:val="00790409"/>
    <w:rPr>
      <w:color w:val="0000FF"/>
      <w:u w:val="single"/>
    </w:rPr>
  </w:style>
  <w:style w:type="paragraph" w:styleId="ListParagraph">
    <w:name w:val="List Paragraph"/>
    <w:basedOn w:val="Normal"/>
    <w:uiPriority w:val="34"/>
    <w:qFormat/>
    <w:rsid w:val="00790409"/>
    <w:pPr>
      <w:spacing w:after="160" w:line="259" w:lineRule="auto"/>
      <w:ind w:left="720"/>
      <w:contextualSpacing/>
    </w:pPr>
    <w:rPr>
      <w:kern w:val="0"/>
      <w:sz w:val="22"/>
      <w:szCs w:val="22"/>
      <w:lang w:val="fr-FR"/>
      <w14:ligatures w14:val="none"/>
    </w:rPr>
  </w:style>
  <w:style w:type="character" w:styleId="FollowedHyperlink">
    <w:name w:val="FollowedHyperlink"/>
    <w:basedOn w:val="DefaultParagraphFont"/>
    <w:uiPriority w:val="99"/>
    <w:semiHidden/>
    <w:unhideWhenUsed/>
    <w:rsid w:val="00790409"/>
    <w:rPr>
      <w:color w:val="954F72" w:themeColor="followedHyperlink"/>
      <w:u w:val="single"/>
    </w:rPr>
  </w:style>
  <w:style w:type="paragraph" w:styleId="Caption">
    <w:name w:val="caption"/>
    <w:basedOn w:val="Normal"/>
    <w:next w:val="Normal"/>
    <w:autoRedefine/>
    <w:uiPriority w:val="35"/>
    <w:unhideWhenUsed/>
    <w:qFormat/>
    <w:rsid w:val="00C977BE"/>
    <w:pPr>
      <w:spacing w:after="200"/>
    </w:pPr>
    <w:rPr>
      <w:i/>
      <w:iCs/>
      <w:color w:val="44546A" w:themeColor="text2"/>
      <w:kern w:val="0"/>
      <w:sz w:val="18"/>
      <w:szCs w:val="18"/>
      <w:lang w:val="fr-FR"/>
      <w14:ligatures w14:val="none"/>
    </w:rPr>
  </w:style>
  <w:style w:type="table" w:styleId="TableGrid">
    <w:name w:val="Table Grid"/>
    <w:basedOn w:val="TableNormal"/>
    <w:uiPriority w:val="39"/>
    <w:qFormat/>
    <w:rsid w:val="0041220B"/>
    <w:rPr>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autoRedefine/>
    <w:uiPriority w:val="39"/>
    <w:rsid w:val="00955C3E"/>
    <w:rPr>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39"/>
    <w:qFormat/>
    <w:rsid w:val="00955C3E"/>
    <w:rPr>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uiPriority w:val="39"/>
    <w:qFormat/>
    <w:rsid w:val="00A973CE"/>
    <w:rPr>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autoRedefine/>
    <w:uiPriority w:val="39"/>
    <w:rsid w:val="00A52EAC"/>
    <w:rPr>
      <w:rFonts w:ascii="Calibri" w:eastAsia="Calibri"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029F"/>
    <w:rPr>
      <w:i/>
      <w:iCs/>
    </w:rPr>
  </w:style>
  <w:style w:type="paragraph" w:customStyle="1" w:styleId="MDPI62BackMatter">
    <w:name w:val="MDPI_6.2_BackMatter"/>
    <w:qFormat/>
    <w:rsid w:val="00BC029F"/>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character" w:customStyle="1" w:styleId="apple-converted-space">
    <w:name w:val="apple-converted-space"/>
    <w:basedOn w:val="DefaultParagraphFont"/>
    <w:rsid w:val="00BC029F"/>
  </w:style>
  <w:style w:type="character" w:customStyle="1" w:styleId="Heading2Char">
    <w:name w:val="Heading 2 Char"/>
    <w:basedOn w:val="DefaultParagraphFont"/>
    <w:link w:val="Heading2"/>
    <w:uiPriority w:val="9"/>
    <w:rsid w:val="00267ADF"/>
    <w:rPr>
      <w:rFonts w:ascii="Times New Roman" w:eastAsia="Times New Roman" w:hAnsi="Times New Roman" w:cs="Times New Roman"/>
      <w:b/>
      <w:bCs/>
      <w:kern w:val="0"/>
      <w:sz w:val="36"/>
      <w:szCs w:val="36"/>
      <w:lang w:val="fr-FR" w:eastAsia="fr-FR"/>
      <w14:ligatures w14:val="none"/>
    </w:rPr>
  </w:style>
  <w:style w:type="character" w:customStyle="1" w:styleId="anchor-text">
    <w:name w:val="anchor-text"/>
    <w:basedOn w:val="DefaultParagraphFont"/>
    <w:rsid w:val="00267ADF"/>
  </w:style>
  <w:style w:type="paragraph" w:styleId="Header">
    <w:name w:val="header"/>
    <w:basedOn w:val="Normal"/>
    <w:link w:val="HeaderChar"/>
    <w:uiPriority w:val="99"/>
    <w:unhideWhenUsed/>
    <w:rsid w:val="00B4624E"/>
    <w:pPr>
      <w:tabs>
        <w:tab w:val="center" w:pos="4536"/>
        <w:tab w:val="right" w:pos="9072"/>
      </w:tabs>
    </w:pPr>
  </w:style>
  <w:style w:type="character" w:customStyle="1" w:styleId="HeaderChar">
    <w:name w:val="Header Char"/>
    <w:basedOn w:val="DefaultParagraphFont"/>
    <w:link w:val="Header"/>
    <w:uiPriority w:val="99"/>
    <w:rsid w:val="00B4624E"/>
  </w:style>
  <w:style w:type="paragraph" w:styleId="Footer">
    <w:name w:val="footer"/>
    <w:basedOn w:val="Normal"/>
    <w:link w:val="FooterChar"/>
    <w:uiPriority w:val="99"/>
    <w:unhideWhenUsed/>
    <w:rsid w:val="00B4624E"/>
    <w:pPr>
      <w:tabs>
        <w:tab w:val="center" w:pos="4536"/>
        <w:tab w:val="right" w:pos="9072"/>
      </w:tabs>
    </w:pPr>
  </w:style>
  <w:style w:type="character" w:customStyle="1" w:styleId="FooterChar">
    <w:name w:val="Footer Char"/>
    <w:basedOn w:val="DefaultParagraphFont"/>
    <w:link w:val="Footer"/>
    <w:uiPriority w:val="99"/>
    <w:rsid w:val="00B4624E"/>
  </w:style>
  <w:style w:type="character" w:styleId="UnresolvedMention">
    <w:name w:val="Unresolved Mention"/>
    <w:basedOn w:val="DefaultParagraphFont"/>
    <w:uiPriority w:val="99"/>
    <w:semiHidden/>
    <w:unhideWhenUsed/>
    <w:rsid w:val="00BD4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33258">
      <w:bodyDiv w:val="1"/>
      <w:marLeft w:val="0"/>
      <w:marRight w:val="0"/>
      <w:marTop w:val="0"/>
      <w:marBottom w:val="0"/>
      <w:divBdr>
        <w:top w:val="none" w:sz="0" w:space="0" w:color="auto"/>
        <w:left w:val="none" w:sz="0" w:space="0" w:color="auto"/>
        <w:bottom w:val="none" w:sz="0" w:space="0" w:color="auto"/>
        <w:right w:val="none" w:sz="0" w:space="0" w:color="auto"/>
      </w:divBdr>
    </w:div>
    <w:div w:id="1194923090">
      <w:bodyDiv w:val="1"/>
      <w:marLeft w:val="0"/>
      <w:marRight w:val="0"/>
      <w:marTop w:val="0"/>
      <w:marBottom w:val="0"/>
      <w:divBdr>
        <w:top w:val="none" w:sz="0" w:space="0" w:color="auto"/>
        <w:left w:val="none" w:sz="0" w:space="0" w:color="auto"/>
        <w:bottom w:val="none" w:sz="0" w:space="0" w:color="auto"/>
        <w:right w:val="none" w:sz="0" w:space="0" w:color="auto"/>
      </w:divBdr>
    </w:div>
    <w:div w:id="15753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a:t>FET</a:t>
            </a: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Feuil1!$R$22</c:f>
              <c:strCache>
                <c:ptCount val="1"/>
                <c:pt idx="0">
                  <c:v>Moyenne_I</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trendlineLbl>
          </c:trendline>
          <c:cat>
            <c:numRef>
              <c:f>Feuil1!$K$23:$K$28</c:f>
              <c:numCache>
                <c:formatCode>0.000</c:formatCode>
                <c:ptCount val="6"/>
                <c:pt idx="0">
                  <c:v>0.16997076023391799</c:v>
                </c:pt>
                <c:pt idx="1">
                  <c:v>0.33994152046783599</c:v>
                </c:pt>
                <c:pt idx="2">
                  <c:v>0.42492690058479499</c:v>
                </c:pt>
                <c:pt idx="3">
                  <c:v>0.56656920077972694</c:v>
                </c:pt>
                <c:pt idx="4">
                  <c:v>0.84985380116958997</c:v>
                </c:pt>
                <c:pt idx="5">
                  <c:v>1.0353070175438599</c:v>
                </c:pt>
              </c:numCache>
            </c:numRef>
          </c:cat>
          <c:val>
            <c:numRef>
              <c:f>Feuil1!$R$23:$R$28</c:f>
              <c:numCache>
                <c:formatCode>0.000</c:formatCode>
                <c:ptCount val="6"/>
                <c:pt idx="0">
                  <c:v>45.765420262064502</c:v>
                </c:pt>
                <c:pt idx="1">
                  <c:v>74.0492170022371</c:v>
                </c:pt>
                <c:pt idx="2">
                  <c:v>87.152444870565702</c:v>
                </c:pt>
                <c:pt idx="3">
                  <c:v>93.640140620006406</c:v>
                </c:pt>
                <c:pt idx="4">
                  <c:v>94.5030361137743</c:v>
                </c:pt>
                <c:pt idx="5">
                  <c:v>91.147331415787704</c:v>
                </c:pt>
              </c:numCache>
            </c:numRef>
          </c:val>
          <c:smooth val="0"/>
          <c:extLst>
            <c:ext xmlns:c16="http://schemas.microsoft.com/office/drawing/2014/chart" uri="{C3380CC4-5D6E-409C-BE32-E72D297353CC}">
              <c16:uniqueId val="{00000002-24CE-4582-8FAF-493792E52A99}"/>
            </c:ext>
          </c:extLst>
        </c:ser>
        <c:dLbls>
          <c:showLegendKey val="0"/>
          <c:showVal val="0"/>
          <c:showCatName val="0"/>
          <c:showSerName val="0"/>
          <c:showPercent val="0"/>
          <c:showBubbleSize val="0"/>
        </c:dLbls>
        <c:smooth val="0"/>
        <c:axId val="273378232"/>
        <c:axId val="273375880"/>
      </c:lineChart>
      <c:catAx>
        <c:axId val="273378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Concentration</a:t>
                </a:r>
                <a:r>
                  <a:rPr lang="fr-FR" sz="1200" baseline="0">
                    <a:solidFill>
                      <a:sysClr val="windowText" lastClr="000000"/>
                    </a:solidFill>
                    <a:latin typeface="Times New Roman" panose="02020603050405020304" pitchFamily="18" charset="0"/>
                    <a:cs typeface="Times New Roman" panose="02020603050405020304" pitchFamily="18" charset="0"/>
                  </a:rPr>
                  <a:t> FET (mg/mL</a:t>
                </a:r>
                <a:r>
                  <a:rPr lang="fr-FR" baseline="0"/>
                  <a:t>)</a:t>
                </a:r>
                <a:endParaRPr lang="fr-FR"/>
              </a:p>
            </c:rich>
          </c:tx>
          <c:overlay val="0"/>
          <c:spPr>
            <a:noFill/>
            <a:ln>
              <a:noFill/>
            </a:ln>
            <a:effectLst/>
          </c:spPr>
          <c:txPr>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273375880"/>
        <c:crosses val="autoZero"/>
        <c:auto val="1"/>
        <c:lblAlgn val="ctr"/>
        <c:lblOffset val="100"/>
        <c:noMultiLvlLbl val="1"/>
      </c:catAx>
      <c:valAx>
        <c:axId val="273375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baseline="0">
                    <a:solidFill>
                      <a:sysClr val="windowText" lastClr="000000"/>
                    </a:solidFill>
                    <a:latin typeface="Times New Roman" panose="02020603050405020304" pitchFamily="18" charset="0"/>
                    <a:cs typeface="Times New Roman" panose="02020603050405020304" pitchFamily="18" charset="0"/>
                  </a:rPr>
                  <a:t>Percentage d'inhibition FET (%)</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27337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a:t>GET</a:t>
            </a: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Feuil1!$R$48</c:f>
              <c:strCache>
                <c:ptCount val="1"/>
                <c:pt idx="0">
                  <c:v>Moyenne_I</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trendlineLbl>
          </c:trendline>
          <c:cat>
            <c:numRef>
              <c:f>Feuil1!$K$49:$K$54</c:f>
              <c:numCache>
                <c:formatCode>0.000</c:formatCode>
                <c:ptCount val="6"/>
                <c:pt idx="0">
                  <c:v>3.2187499999999994E-2</c:v>
                </c:pt>
                <c:pt idx="1">
                  <c:v>6.4374999999999988E-2</c:v>
                </c:pt>
                <c:pt idx="2">
                  <c:v>0.12874999999999998</c:v>
                </c:pt>
                <c:pt idx="3">
                  <c:v>0.25749999999999995</c:v>
                </c:pt>
                <c:pt idx="4">
                  <c:v>0.64374999999999982</c:v>
                </c:pt>
                <c:pt idx="5">
                  <c:v>3.8605263157894729</c:v>
                </c:pt>
              </c:numCache>
            </c:numRef>
          </c:cat>
          <c:val>
            <c:numRef>
              <c:f>Feuil1!$R$49:$R$54</c:f>
              <c:numCache>
                <c:formatCode>0.000</c:formatCode>
                <c:ptCount val="6"/>
                <c:pt idx="0">
                  <c:v>45.509747523170319</c:v>
                </c:pt>
                <c:pt idx="1">
                  <c:v>78.136784915308382</c:v>
                </c:pt>
                <c:pt idx="2">
                  <c:v>95.333972515180548</c:v>
                </c:pt>
                <c:pt idx="3">
                  <c:v>96.292745286033849</c:v>
                </c:pt>
                <c:pt idx="4">
                  <c:v>96.931927133269383</c:v>
                </c:pt>
                <c:pt idx="5">
                  <c:v>96.612336209651616</c:v>
                </c:pt>
              </c:numCache>
            </c:numRef>
          </c:val>
          <c:smooth val="0"/>
          <c:extLst>
            <c:ext xmlns:c16="http://schemas.microsoft.com/office/drawing/2014/chart" uri="{C3380CC4-5D6E-409C-BE32-E72D297353CC}">
              <c16:uniqueId val="{00000001-BC39-41A3-A800-FA8F93150BAB}"/>
            </c:ext>
          </c:extLst>
        </c:ser>
        <c:dLbls>
          <c:showLegendKey val="0"/>
          <c:showVal val="0"/>
          <c:showCatName val="0"/>
          <c:showSerName val="0"/>
          <c:showPercent val="0"/>
          <c:showBubbleSize val="0"/>
        </c:dLbls>
        <c:smooth val="0"/>
        <c:axId val="273376272"/>
        <c:axId val="273377448"/>
      </c:lineChart>
      <c:catAx>
        <c:axId val="273376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Concentration</a:t>
                </a:r>
                <a:r>
                  <a:rPr lang="fr-FR" sz="1200" baseline="0">
                    <a:solidFill>
                      <a:sysClr val="windowText" lastClr="000000"/>
                    </a:solidFill>
                    <a:latin typeface="Times New Roman" panose="02020603050405020304" pitchFamily="18" charset="0"/>
                    <a:cs typeface="Times New Roman" panose="02020603050405020304" pitchFamily="18" charset="0"/>
                  </a:rPr>
                  <a:t> GET(mg/mL</a:t>
                </a:r>
                <a:r>
                  <a:rPr lang="fr-FR" sz="1200" baseline="0">
                    <a:latin typeface="Times New Roman" panose="02020603050405020304" pitchFamily="18" charset="0"/>
                    <a:cs typeface="Times New Roman" panose="02020603050405020304" pitchFamily="18" charset="0"/>
                  </a:rPr>
                  <a:t>)</a:t>
                </a:r>
                <a:endParaRPr lang="fr-FR" sz="1200">
                  <a:latin typeface="Times New Roman" panose="02020603050405020304" pitchFamily="18" charset="0"/>
                  <a:cs typeface="Times New Roman" panose="02020603050405020304" pitchFamily="18" charset="0"/>
                </a:endParaRPr>
              </a:p>
            </c:rich>
          </c:tx>
          <c:layout>
            <c:manualLayout>
              <c:xMode val="edge"/>
              <c:yMode val="edge"/>
              <c:x val="0.30586272640610107"/>
              <c:y val="0.86681033146899666"/>
            </c:manualLayout>
          </c:layout>
          <c:overlay val="0"/>
          <c:spPr>
            <a:noFill/>
            <a:ln>
              <a:noFill/>
            </a:ln>
            <a:effectLst/>
          </c:spPr>
          <c:txPr>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273377448"/>
        <c:crosses val="autoZero"/>
        <c:auto val="1"/>
        <c:lblAlgn val="ctr"/>
        <c:lblOffset val="100"/>
        <c:noMultiLvlLbl val="1"/>
      </c:catAx>
      <c:valAx>
        <c:axId val="273377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Percentage</a:t>
                </a:r>
                <a:r>
                  <a:rPr lang="fr-FR" sz="1200" baseline="0">
                    <a:solidFill>
                      <a:sysClr val="windowText" lastClr="000000"/>
                    </a:solidFill>
                    <a:latin typeface="Times New Roman" panose="02020603050405020304" pitchFamily="18" charset="0"/>
                    <a:cs typeface="Times New Roman" panose="02020603050405020304" pitchFamily="18" charset="0"/>
                  </a:rPr>
                  <a:t> d'inhibition GET </a:t>
                </a:r>
                <a:r>
                  <a:rPr lang="fr-FR" sz="1200" baseline="0">
                    <a:latin typeface="Times New Roman" panose="02020603050405020304" pitchFamily="18" charset="0"/>
                    <a:cs typeface="Times New Roman" panose="02020603050405020304" pitchFamily="18" charset="0"/>
                  </a:rPr>
                  <a:t>(%)</a:t>
                </a:r>
                <a:endParaRPr lang="fr-FR"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27337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a:t>FAC</a:t>
            </a: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Feuil1!$R$35</c:f>
              <c:strCache>
                <c:ptCount val="1"/>
                <c:pt idx="0">
                  <c:v>Moyenne_I</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trendlineLbl>
          </c:trendline>
          <c:cat>
            <c:numRef>
              <c:f>Feuil1!$K$36:$K$41</c:f>
              <c:numCache>
                <c:formatCode>0.000</c:formatCode>
                <c:ptCount val="6"/>
                <c:pt idx="0">
                  <c:v>0.12875</c:v>
                </c:pt>
                <c:pt idx="1">
                  <c:v>0.25750000000000001</c:v>
                </c:pt>
                <c:pt idx="2">
                  <c:v>0.32187500000000002</c:v>
                </c:pt>
                <c:pt idx="3">
                  <c:v>0.42916666666666697</c:v>
                </c:pt>
                <c:pt idx="4">
                  <c:v>0.64375000000000004</c:v>
                </c:pt>
                <c:pt idx="5">
                  <c:v>1.2875000000000001</c:v>
                </c:pt>
              </c:numCache>
            </c:numRef>
          </c:cat>
          <c:val>
            <c:numRef>
              <c:f>Feuil1!$R$36:$R$41</c:f>
              <c:numCache>
                <c:formatCode>0.000</c:formatCode>
                <c:ptCount val="6"/>
                <c:pt idx="0">
                  <c:v>42.9849792265899</c:v>
                </c:pt>
                <c:pt idx="1">
                  <c:v>73.441994247363297</c:v>
                </c:pt>
                <c:pt idx="2">
                  <c:v>83.477149248961297</c:v>
                </c:pt>
                <c:pt idx="3">
                  <c:v>90.699904122722899</c:v>
                </c:pt>
                <c:pt idx="4">
                  <c:v>89.38958133589</c:v>
                </c:pt>
                <c:pt idx="5">
                  <c:v>75.551294343240599</c:v>
                </c:pt>
              </c:numCache>
            </c:numRef>
          </c:val>
          <c:smooth val="0"/>
          <c:extLst>
            <c:ext xmlns:c16="http://schemas.microsoft.com/office/drawing/2014/chart" uri="{C3380CC4-5D6E-409C-BE32-E72D297353CC}">
              <c16:uniqueId val="{00000001-4EED-4C4C-B9CB-984358C9D495}"/>
            </c:ext>
          </c:extLst>
        </c:ser>
        <c:dLbls>
          <c:showLegendKey val="0"/>
          <c:showVal val="0"/>
          <c:showCatName val="0"/>
          <c:showSerName val="0"/>
          <c:showPercent val="0"/>
          <c:showBubbleSize val="0"/>
        </c:dLbls>
        <c:smooth val="0"/>
        <c:axId val="273377840"/>
        <c:axId val="273378624"/>
      </c:lineChart>
      <c:catAx>
        <c:axId val="273377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Concentration</a:t>
                </a:r>
                <a:r>
                  <a:rPr lang="fr-FR" sz="1200" baseline="0">
                    <a:solidFill>
                      <a:sysClr val="windowText" lastClr="000000"/>
                    </a:solidFill>
                    <a:latin typeface="Times New Roman" panose="02020603050405020304" pitchFamily="18" charset="0"/>
                    <a:cs typeface="Times New Roman" panose="02020603050405020304" pitchFamily="18" charset="0"/>
                  </a:rPr>
                  <a:t> FAC (mg/mL)</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273378624"/>
        <c:crosses val="autoZero"/>
        <c:auto val="1"/>
        <c:lblAlgn val="ctr"/>
        <c:lblOffset val="100"/>
        <c:noMultiLvlLbl val="1"/>
      </c:catAx>
      <c:valAx>
        <c:axId val="273378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Percentage</a:t>
                </a:r>
                <a:r>
                  <a:rPr lang="fr-FR" sz="1200" baseline="0">
                    <a:solidFill>
                      <a:sysClr val="windowText" lastClr="000000"/>
                    </a:solidFill>
                    <a:latin typeface="Times New Roman" panose="02020603050405020304" pitchFamily="18" charset="0"/>
                    <a:cs typeface="Times New Roman" panose="02020603050405020304" pitchFamily="18" charset="0"/>
                  </a:rPr>
                  <a:t> inhibition FAC (%)</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273377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a:t>GAC</a:t>
            </a: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Feuil1!$R$9</c:f>
              <c:strCache>
                <c:ptCount val="1"/>
                <c:pt idx="0">
                  <c:v>Moyenne_I</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trendlineLbl>
          </c:trendline>
          <c:cat>
            <c:numRef>
              <c:f>Feuil1!$K$10:$K$15</c:f>
              <c:numCache>
                <c:formatCode>0.000</c:formatCode>
                <c:ptCount val="6"/>
                <c:pt idx="0">
                  <c:v>4.2492690058479499E-2</c:v>
                </c:pt>
                <c:pt idx="1">
                  <c:v>8.4985380116958997E-2</c:v>
                </c:pt>
                <c:pt idx="2">
                  <c:v>0.16997076023391799</c:v>
                </c:pt>
                <c:pt idx="3">
                  <c:v>0.33994152046783599</c:v>
                </c:pt>
                <c:pt idx="4">
                  <c:v>0.84985380116958997</c:v>
                </c:pt>
                <c:pt idx="5">
                  <c:v>1.6997076023391799</c:v>
                </c:pt>
              </c:numCache>
            </c:numRef>
          </c:cat>
          <c:val>
            <c:numRef>
              <c:f>Feuil1!$R$10:$R$15</c:f>
              <c:numCache>
                <c:formatCode>0.000</c:formatCode>
                <c:ptCount val="6"/>
                <c:pt idx="0">
                  <c:v>26.858736059479501</c:v>
                </c:pt>
                <c:pt idx="1">
                  <c:v>39.467162329615903</c:v>
                </c:pt>
                <c:pt idx="2">
                  <c:v>85.6567534076828</c:v>
                </c:pt>
                <c:pt idx="3">
                  <c:v>93.184634448574997</c:v>
                </c:pt>
                <c:pt idx="4">
                  <c:v>95.662949194547707</c:v>
                </c:pt>
                <c:pt idx="5">
                  <c:v>95.260223048327106</c:v>
                </c:pt>
              </c:numCache>
            </c:numRef>
          </c:val>
          <c:smooth val="0"/>
          <c:extLst>
            <c:ext xmlns:c16="http://schemas.microsoft.com/office/drawing/2014/chart" uri="{C3380CC4-5D6E-409C-BE32-E72D297353CC}">
              <c16:uniqueId val="{00000001-99F9-4968-BE33-9F0166B47D38}"/>
            </c:ext>
          </c:extLst>
        </c:ser>
        <c:dLbls>
          <c:showLegendKey val="0"/>
          <c:showVal val="0"/>
          <c:showCatName val="0"/>
          <c:showSerName val="0"/>
          <c:showPercent val="0"/>
          <c:showBubbleSize val="0"/>
        </c:dLbls>
        <c:smooth val="0"/>
        <c:axId val="311455360"/>
        <c:axId val="311454576"/>
      </c:lineChart>
      <c:catAx>
        <c:axId val="311455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Concentration</a:t>
                </a:r>
                <a:r>
                  <a:rPr lang="fr-FR" sz="1200" baseline="0">
                    <a:solidFill>
                      <a:sysClr val="windowText" lastClr="000000"/>
                    </a:solidFill>
                    <a:latin typeface="Times New Roman" panose="02020603050405020304" pitchFamily="18" charset="0"/>
                    <a:cs typeface="Times New Roman" panose="02020603050405020304" pitchFamily="18" charset="0"/>
                  </a:rPr>
                  <a:t> GAC (mg/mL)</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311454576"/>
        <c:crosses val="autoZero"/>
        <c:auto val="1"/>
        <c:lblAlgn val="ctr"/>
        <c:lblOffset val="100"/>
        <c:noMultiLvlLbl val="1"/>
      </c:catAx>
      <c:valAx>
        <c:axId val="311454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Percentage</a:t>
                </a:r>
                <a:r>
                  <a:rPr lang="fr-FR" sz="1200" baseline="0">
                    <a:solidFill>
                      <a:sysClr val="windowText" lastClr="000000"/>
                    </a:solidFill>
                    <a:latin typeface="Times New Roman" panose="02020603050405020304" pitchFamily="18" charset="0"/>
                    <a:cs typeface="Times New Roman" panose="02020603050405020304" pitchFamily="18" charset="0"/>
                  </a:rPr>
                  <a:t> inhibition GAC (%)</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31145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fr-FR"/>
              <a:t>IC50</a:t>
            </a:r>
            <a:r>
              <a:rPr lang="fr-FR" baseline="0"/>
              <a:t> diagram for different extracts</a:t>
            </a:r>
            <a:endParaRPr lang="fr-F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0"/>
        <c:ser>
          <c:idx val="0"/>
          <c:order val="0"/>
          <c:tx>
            <c:strRef>
              <c:f>Feuil1!$B$1</c:f>
              <c:strCache>
                <c:ptCount val="1"/>
                <c:pt idx="0">
                  <c:v>Feuille</c:v>
                </c:pt>
              </c:strCache>
            </c:strRef>
          </c:tx>
          <c:spPr>
            <a:solidFill>
              <a:schemeClr val="accent1"/>
            </a:solidFill>
            <a:ln>
              <a:noFill/>
            </a:ln>
            <a:effectLst/>
          </c:spPr>
          <c:invertIfNegative val="0"/>
          <c:cat>
            <c:strRef>
              <c:f>Feuil1!$A$2:$A$5</c:f>
              <c:strCache>
                <c:ptCount val="2"/>
                <c:pt idx="0">
                  <c:v>FET, GET</c:v>
                </c:pt>
                <c:pt idx="1">
                  <c:v>FAC, GAC</c:v>
                </c:pt>
              </c:strCache>
            </c:strRef>
          </c:cat>
          <c:val>
            <c:numRef>
              <c:f>Feuil1!$B$2:$B$5</c:f>
              <c:numCache>
                <c:formatCode>General</c:formatCode>
                <c:ptCount val="4"/>
                <c:pt idx="0">
                  <c:v>0.18909999999999999</c:v>
                </c:pt>
                <c:pt idx="1">
                  <c:v>0.14299999999999999</c:v>
                </c:pt>
              </c:numCache>
            </c:numRef>
          </c:val>
          <c:extLst>
            <c:ext xmlns:c16="http://schemas.microsoft.com/office/drawing/2014/chart" uri="{C3380CC4-5D6E-409C-BE32-E72D297353CC}">
              <c16:uniqueId val="{00000000-EF8D-5F4B-A874-098961A42A1E}"/>
            </c:ext>
          </c:extLst>
        </c:ser>
        <c:ser>
          <c:idx val="1"/>
          <c:order val="1"/>
          <c:tx>
            <c:strRef>
              <c:f>Feuil1!$C$1</c:f>
              <c:strCache>
                <c:ptCount val="1"/>
                <c:pt idx="0">
                  <c:v>Graine</c:v>
                </c:pt>
              </c:strCache>
            </c:strRef>
          </c:tx>
          <c:spPr>
            <a:solidFill>
              <a:schemeClr val="accent2"/>
            </a:solidFill>
            <a:ln>
              <a:noFill/>
            </a:ln>
            <a:effectLst/>
          </c:spPr>
          <c:invertIfNegative val="0"/>
          <c:cat>
            <c:strRef>
              <c:f>Feuil1!$A$2:$A$5</c:f>
              <c:strCache>
                <c:ptCount val="2"/>
                <c:pt idx="0">
                  <c:v>FET, GET</c:v>
                </c:pt>
                <c:pt idx="1">
                  <c:v>FAC, GAC</c:v>
                </c:pt>
              </c:strCache>
            </c:strRef>
          </c:cat>
          <c:val>
            <c:numRef>
              <c:f>Feuil1!$C$2:$C$5</c:f>
              <c:numCache>
                <c:formatCode>General</c:formatCode>
                <c:ptCount val="4"/>
                <c:pt idx="0">
                  <c:v>0.05</c:v>
                </c:pt>
                <c:pt idx="1">
                  <c:v>0.104</c:v>
                </c:pt>
              </c:numCache>
            </c:numRef>
          </c:val>
          <c:extLst>
            <c:ext xmlns:c16="http://schemas.microsoft.com/office/drawing/2014/chart" uri="{C3380CC4-5D6E-409C-BE32-E72D297353CC}">
              <c16:uniqueId val="{00000001-EF8D-5F4B-A874-098961A42A1E}"/>
            </c:ext>
          </c:extLst>
        </c:ser>
        <c:ser>
          <c:idx val="2"/>
          <c:order val="2"/>
          <c:tx>
            <c:strRef>
              <c:f>Feuil1!$D$1</c:f>
              <c:strCache>
                <c:ptCount val="1"/>
                <c:pt idx="0">
                  <c:v>Colonne1</c:v>
                </c:pt>
              </c:strCache>
            </c:strRef>
          </c:tx>
          <c:spPr>
            <a:solidFill>
              <a:schemeClr val="accent3"/>
            </a:solidFill>
            <a:ln>
              <a:noFill/>
            </a:ln>
            <a:effectLst/>
          </c:spPr>
          <c:invertIfNegative val="0"/>
          <c:cat>
            <c:strRef>
              <c:f>Feuil1!$A$2:$A$5</c:f>
              <c:strCache>
                <c:ptCount val="2"/>
                <c:pt idx="0">
                  <c:v>FET, GET</c:v>
                </c:pt>
                <c:pt idx="1">
                  <c:v>FAC, GAC</c:v>
                </c:pt>
              </c:strCache>
            </c:strRef>
          </c:cat>
          <c:val>
            <c:numRef>
              <c:f>Feuil1!$D$2:$D$5</c:f>
              <c:numCache>
                <c:formatCode>General</c:formatCode>
                <c:ptCount val="4"/>
              </c:numCache>
            </c:numRef>
          </c:val>
          <c:extLst>
            <c:ext xmlns:c16="http://schemas.microsoft.com/office/drawing/2014/chart" uri="{C3380CC4-5D6E-409C-BE32-E72D297353CC}">
              <c16:uniqueId val="{00000002-EF8D-5F4B-A874-098961A42A1E}"/>
            </c:ext>
          </c:extLst>
        </c:ser>
        <c:dLbls>
          <c:showLegendKey val="0"/>
          <c:showVal val="0"/>
          <c:showCatName val="0"/>
          <c:showSerName val="0"/>
          <c:showPercent val="0"/>
          <c:showBubbleSize val="0"/>
        </c:dLbls>
        <c:gapWidth val="219"/>
        <c:overlap val="-27"/>
        <c:axId val="311456536"/>
        <c:axId val="311456928"/>
      </c:barChart>
      <c:catAx>
        <c:axId val="31145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11456928"/>
        <c:crosses val="autoZero"/>
        <c:auto val="1"/>
        <c:lblAlgn val="ctr"/>
        <c:lblOffset val="100"/>
        <c:noMultiLvlLbl val="0"/>
      </c:catAx>
      <c:valAx>
        <c:axId val="31145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1145653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latin typeface="Times New Roman" panose="02020603050405020304" charset="0"/>
          <a:cs typeface="Times New Roman" panose="0202060305040502030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fr-FR"/>
              <a:t>Diameter</a:t>
            </a:r>
            <a:r>
              <a:rPr lang="fr-FR" baseline="0"/>
              <a:t> of inhibition zones of extracts and antibiotics against strains</a:t>
            </a:r>
            <a:endParaRPr lang="fr-F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53356520619"/>
          <c:y val="0.28243041005686897"/>
          <c:w val="0.80947256976313497"/>
          <c:h val="0.399860007023217"/>
        </c:manualLayout>
      </c:layout>
      <c:barChart>
        <c:barDir val="col"/>
        <c:grouping val="clustered"/>
        <c:varyColors val="0"/>
        <c:ser>
          <c:idx val="0"/>
          <c:order val="0"/>
          <c:tx>
            <c:strRef>
              <c:f>Feuil1!$B$1</c:f>
              <c:strCache>
                <c:ptCount val="1"/>
                <c:pt idx="0">
                  <c:v>P.aerogunosa</c:v>
                </c:pt>
              </c:strCache>
            </c:strRef>
          </c:tx>
          <c:spPr>
            <a:solidFill>
              <a:schemeClr val="accent1"/>
            </a:solidFill>
            <a:ln>
              <a:noFill/>
            </a:ln>
            <a:effectLst/>
          </c:spPr>
          <c:invertIfNegative val="0"/>
          <c:cat>
            <c:strRef>
              <c:f>Feuil1!$A$2:$A$5</c:f>
              <c:strCache>
                <c:ptCount val="4"/>
                <c:pt idx="0">
                  <c:v>FAC</c:v>
                </c:pt>
                <c:pt idx="1">
                  <c:v>GAT</c:v>
                </c:pt>
                <c:pt idx="2">
                  <c:v>AMI  ou TAN ouVAN </c:v>
                </c:pt>
                <c:pt idx="3">
                  <c:v>CIP ou ERY</c:v>
                </c:pt>
              </c:strCache>
            </c:strRef>
          </c:cat>
          <c:val>
            <c:numRef>
              <c:f>Feuil1!$B$2:$B$5</c:f>
              <c:numCache>
                <c:formatCode>General</c:formatCode>
                <c:ptCount val="4"/>
                <c:pt idx="0">
                  <c:v>8</c:v>
                </c:pt>
                <c:pt idx="1">
                  <c:v>12</c:v>
                </c:pt>
                <c:pt idx="2">
                  <c:v>20</c:v>
                </c:pt>
                <c:pt idx="3">
                  <c:v>25</c:v>
                </c:pt>
              </c:numCache>
            </c:numRef>
          </c:val>
          <c:extLst>
            <c:ext xmlns:c16="http://schemas.microsoft.com/office/drawing/2014/chart" uri="{C3380CC4-5D6E-409C-BE32-E72D297353CC}">
              <c16:uniqueId val="{00000000-5601-1D49-8512-5538FA9CE8B3}"/>
            </c:ext>
          </c:extLst>
        </c:ser>
        <c:ser>
          <c:idx val="1"/>
          <c:order val="1"/>
          <c:tx>
            <c:strRef>
              <c:f>Feuil1!$C$1</c:f>
              <c:strCache>
                <c:ptCount val="1"/>
                <c:pt idx="0">
                  <c:v>E.faécalis</c:v>
                </c:pt>
              </c:strCache>
            </c:strRef>
          </c:tx>
          <c:spPr>
            <a:solidFill>
              <a:schemeClr val="accent2"/>
            </a:solidFill>
            <a:ln>
              <a:noFill/>
            </a:ln>
            <a:effectLst/>
          </c:spPr>
          <c:invertIfNegative val="0"/>
          <c:cat>
            <c:strRef>
              <c:f>Feuil1!$A$2:$A$5</c:f>
              <c:strCache>
                <c:ptCount val="4"/>
                <c:pt idx="0">
                  <c:v>FAC</c:v>
                </c:pt>
                <c:pt idx="1">
                  <c:v>GAT</c:v>
                </c:pt>
                <c:pt idx="2">
                  <c:v>AMI  ou TAN ouVAN </c:v>
                </c:pt>
                <c:pt idx="3">
                  <c:v>CIP ou ERY</c:v>
                </c:pt>
              </c:strCache>
            </c:strRef>
          </c:cat>
          <c:val>
            <c:numRef>
              <c:f>Feuil1!$C$2:$C$5</c:f>
              <c:numCache>
                <c:formatCode>General</c:formatCode>
                <c:ptCount val="4"/>
                <c:pt idx="0">
                  <c:v>8</c:v>
                </c:pt>
                <c:pt idx="1">
                  <c:v>19</c:v>
                </c:pt>
                <c:pt idx="2">
                  <c:v>15</c:v>
                </c:pt>
                <c:pt idx="3">
                  <c:v>24</c:v>
                </c:pt>
              </c:numCache>
            </c:numRef>
          </c:val>
          <c:extLst>
            <c:ext xmlns:c16="http://schemas.microsoft.com/office/drawing/2014/chart" uri="{C3380CC4-5D6E-409C-BE32-E72D297353CC}">
              <c16:uniqueId val="{00000001-5601-1D49-8512-5538FA9CE8B3}"/>
            </c:ext>
          </c:extLst>
        </c:ser>
        <c:ser>
          <c:idx val="2"/>
          <c:order val="2"/>
          <c:tx>
            <c:strRef>
              <c:f>Feuil1!$D$1</c:f>
              <c:strCache>
                <c:ptCount val="1"/>
                <c:pt idx="0">
                  <c:v>Staphylococcus</c:v>
                </c:pt>
              </c:strCache>
            </c:strRef>
          </c:tx>
          <c:spPr>
            <a:solidFill>
              <a:schemeClr val="accent3"/>
            </a:solidFill>
            <a:ln>
              <a:noFill/>
            </a:ln>
            <a:effectLst/>
          </c:spPr>
          <c:invertIfNegative val="0"/>
          <c:cat>
            <c:strRef>
              <c:f>Feuil1!$A$2:$A$5</c:f>
              <c:strCache>
                <c:ptCount val="4"/>
                <c:pt idx="0">
                  <c:v>FAC</c:v>
                </c:pt>
                <c:pt idx="1">
                  <c:v>GAT</c:v>
                </c:pt>
                <c:pt idx="2">
                  <c:v>AMI  ou TAN ouVAN </c:v>
                </c:pt>
                <c:pt idx="3">
                  <c:v>CIP ou ERY</c:v>
                </c:pt>
              </c:strCache>
            </c:strRef>
          </c:cat>
          <c:val>
            <c:numRef>
              <c:f>Feuil1!$D$2:$D$5</c:f>
              <c:numCache>
                <c:formatCode>General</c:formatCode>
                <c:ptCount val="4"/>
                <c:pt idx="0">
                  <c:v>0</c:v>
                </c:pt>
                <c:pt idx="1">
                  <c:v>12</c:v>
                </c:pt>
                <c:pt idx="2">
                  <c:v>18</c:v>
                </c:pt>
                <c:pt idx="3">
                  <c:v>25</c:v>
                </c:pt>
              </c:numCache>
            </c:numRef>
          </c:val>
          <c:extLst>
            <c:ext xmlns:c16="http://schemas.microsoft.com/office/drawing/2014/chart" uri="{C3380CC4-5D6E-409C-BE32-E72D297353CC}">
              <c16:uniqueId val="{00000002-5601-1D49-8512-5538FA9CE8B3}"/>
            </c:ext>
          </c:extLst>
        </c:ser>
        <c:dLbls>
          <c:showLegendKey val="0"/>
          <c:showVal val="0"/>
          <c:showCatName val="0"/>
          <c:showSerName val="0"/>
          <c:showPercent val="0"/>
          <c:showBubbleSize val="0"/>
        </c:dLbls>
        <c:gapWidth val="150"/>
        <c:axId val="311454968"/>
        <c:axId val="311457320"/>
      </c:barChart>
      <c:catAx>
        <c:axId val="311454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311457320"/>
        <c:crosses val="autoZero"/>
        <c:auto val="1"/>
        <c:lblAlgn val="ctr"/>
        <c:lblOffset val="100"/>
        <c:noMultiLvlLbl val="0"/>
      </c:catAx>
      <c:valAx>
        <c:axId val="311457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311454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TotalTime>
  <Pages>18</Pages>
  <Words>5124</Words>
  <Characters>29212</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11</cp:revision>
  <dcterms:created xsi:type="dcterms:W3CDTF">2025-05-22T21:55:00Z</dcterms:created>
  <dcterms:modified xsi:type="dcterms:W3CDTF">2025-06-04T10:49:00Z</dcterms:modified>
</cp:coreProperties>
</file>