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75C7" w14:textId="77777777" w:rsidR="00AD230B" w:rsidRPr="00AD230B" w:rsidRDefault="00AD230B" w:rsidP="00AD230B">
      <w:pPr>
        <w:spacing w:line="360" w:lineRule="auto"/>
        <w:jc w:val="center"/>
        <w:rPr>
          <w:b/>
          <w:bCs/>
          <w:i/>
          <w:iCs/>
          <w:color w:val="000000" w:themeColor="text1"/>
          <w:u w:val="single"/>
        </w:rPr>
      </w:pPr>
      <w:bookmarkStart w:id="0" w:name="_Hlk197727444"/>
      <w:bookmarkStart w:id="1" w:name="_Hlk197783074"/>
      <w:r w:rsidRPr="00AD230B">
        <w:rPr>
          <w:b/>
          <w:bCs/>
          <w:i/>
          <w:iCs/>
          <w:color w:val="000000" w:themeColor="text1"/>
          <w:u w:val="single"/>
        </w:rPr>
        <w:t>Original Research Article</w:t>
      </w:r>
    </w:p>
    <w:p w14:paraId="41971739" w14:textId="1D916BB9" w:rsidR="00BA223E" w:rsidRPr="008333BC" w:rsidRDefault="00851F43" w:rsidP="008333BC">
      <w:pPr>
        <w:spacing w:line="360" w:lineRule="auto"/>
        <w:jc w:val="center"/>
        <w:rPr>
          <w:b/>
          <w:bCs/>
          <w:color w:val="000000" w:themeColor="text1"/>
        </w:rPr>
      </w:pPr>
      <w:r w:rsidRPr="008333BC">
        <w:rPr>
          <w:b/>
          <w:bCs/>
          <w:color w:val="000000" w:themeColor="text1"/>
        </w:rPr>
        <w:t>Environmental Surveillance of Antimicrobial Resistance Among Selected Gram-Negative Bacteria in Industrial Waste Water</w:t>
      </w:r>
    </w:p>
    <w:p w14:paraId="01EA6B7E" w14:textId="77777777" w:rsidR="009D6D7F" w:rsidRPr="00B86581" w:rsidRDefault="009D6D7F" w:rsidP="00B86581">
      <w:pPr>
        <w:rPr>
          <w:b/>
          <w:bCs/>
          <w:color w:val="000000" w:themeColor="text1"/>
          <w:sz w:val="22"/>
          <w:szCs w:val="22"/>
        </w:rPr>
      </w:pPr>
    </w:p>
    <w:p w14:paraId="06BAA43D" w14:textId="77777777" w:rsidR="00BF5B60" w:rsidRPr="00E84412" w:rsidRDefault="00BF5B60" w:rsidP="005E11C6">
      <w:pPr>
        <w:jc w:val="both"/>
        <w:rPr>
          <w:b/>
          <w:bCs/>
          <w:sz w:val="22"/>
          <w:szCs w:val="22"/>
        </w:rPr>
      </w:pPr>
    </w:p>
    <w:p w14:paraId="4363FC38" w14:textId="60C21938" w:rsidR="00BA223E" w:rsidRPr="000316F5" w:rsidRDefault="00630638" w:rsidP="00BF6299">
      <w:pPr>
        <w:rPr>
          <w:b/>
          <w:bCs/>
          <w:color w:val="000000" w:themeColor="text1"/>
          <w:sz w:val="22"/>
          <w:szCs w:val="22"/>
        </w:rPr>
      </w:pPr>
      <w:r w:rsidRPr="000316F5">
        <w:rPr>
          <w:b/>
          <w:bCs/>
          <w:color w:val="000000" w:themeColor="text1"/>
          <w:sz w:val="22"/>
          <w:szCs w:val="22"/>
        </w:rPr>
        <w:t>ABSTRACT</w:t>
      </w:r>
    </w:p>
    <w:p w14:paraId="09523C68" w14:textId="14DFB0AA" w:rsidR="00630638" w:rsidRPr="000316F5" w:rsidRDefault="00274C27" w:rsidP="005E11C6">
      <w:pPr>
        <w:jc w:val="both"/>
        <w:rPr>
          <w:color w:val="000000" w:themeColor="text1"/>
          <w:sz w:val="22"/>
          <w:szCs w:val="22"/>
        </w:rPr>
      </w:pPr>
      <w:r w:rsidRPr="000316F5">
        <w:rPr>
          <w:color w:val="000000" w:themeColor="text1"/>
          <w:sz w:val="22"/>
          <w:szCs w:val="22"/>
        </w:rPr>
        <w:t>The e</w:t>
      </w:r>
      <w:r w:rsidR="00630638" w:rsidRPr="000316F5">
        <w:rPr>
          <w:color w:val="000000" w:themeColor="text1"/>
          <w:sz w:val="22"/>
          <w:szCs w:val="22"/>
        </w:rPr>
        <w:t>nvironmental disper</w:t>
      </w:r>
      <w:r w:rsidRPr="000316F5">
        <w:rPr>
          <w:color w:val="000000" w:themeColor="text1"/>
          <w:sz w:val="22"/>
          <w:szCs w:val="22"/>
        </w:rPr>
        <w:t xml:space="preserve">sal of antimicrobial resistant </w:t>
      </w:r>
      <w:r w:rsidR="00630638" w:rsidRPr="000316F5">
        <w:rPr>
          <w:color w:val="000000" w:themeColor="text1"/>
          <w:sz w:val="22"/>
          <w:szCs w:val="22"/>
        </w:rPr>
        <w:t>bacteria</w:t>
      </w:r>
      <w:r w:rsidR="008333BC" w:rsidRPr="000316F5">
        <w:rPr>
          <w:color w:val="000000" w:themeColor="text1"/>
          <w:sz w:val="22"/>
          <w:szCs w:val="22"/>
        </w:rPr>
        <w:t xml:space="preserve"> (ARB) and </w:t>
      </w:r>
      <w:r w:rsidR="00630638" w:rsidRPr="000316F5">
        <w:rPr>
          <w:color w:val="000000" w:themeColor="text1"/>
          <w:sz w:val="22"/>
          <w:szCs w:val="22"/>
        </w:rPr>
        <w:t xml:space="preserve">antimicrobial resistance genes </w:t>
      </w:r>
      <w:r w:rsidR="0049599F" w:rsidRPr="000316F5">
        <w:rPr>
          <w:color w:val="000000" w:themeColor="text1"/>
          <w:sz w:val="22"/>
          <w:szCs w:val="22"/>
        </w:rPr>
        <w:t xml:space="preserve">(ARGs) </w:t>
      </w:r>
      <w:r w:rsidRPr="000316F5">
        <w:rPr>
          <w:color w:val="000000" w:themeColor="text1"/>
          <w:sz w:val="22"/>
          <w:szCs w:val="22"/>
        </w:rPr>
        <w:t xml:space="preserve">represents an increasing global public </w:t>
      </w:r>
      <w:r w:rsidR="00B06728">
        <w:rPr>
          <w:color w:val="000000" w:themeColor="text1"/>
          <w:sz w:val="22"/>
          <w:szCs w:val="22"/>
        </w:rPr>
        <w:t xml:space="preserve">health </w:t>
      </w:r>
      <w:r w:rsidRPr="000316F5">
        <w:rPr>
          <w:color w:val="000000" w:themeColor="text1"/>
          <w:sz w:val="22"/>
          <w:szCs w:val="22"/>
        </w:rPr>
        <w:t>concern particularly i</w:t>
      </w:r>
      <w:r w:rsidR="00C51F55">
        <w:rPr>
          <w:color w:val="000000" w:themeColor="text1"/>
          <w:sz w:val="22"/>
          <w:szCs w:val="22"/>
        </w:rPr>
        <w:t>n low and middle-</w:t>
      </w:r>
      <w:r w:rsidRPr="000316F5">
        <w:rPr>
          <w:color w:val="000000" w:themeColor="text1"/>
          <w:sz w:val="22"/>
          <w:szCs w:val="22"/>
        </w:rPr>
        <w:t xml:space="preserve">income countries where </w:t>
      </w:r>
      <w:r w:rsidR="00A70CAB" w:rsidRPr="000316F5">
        <w:rPr>
          <w:color w:val="000000" w:themeColor="text1"/>
          <w:sz w:val="22"/>
          <w:szCs w:val="22"/>
        </w:rPr>
        <w:t>ind</w:t>
      </w:r>
      <w:r w:rsidR="00EF406E" w:rsidRPr="000316F5">
        <w:rPr>
          <w:color w:val="000000" w:themeColor="text1"/>
          <w:sz w:val="22"/>
          <w:szCs w:val="22"/>
        </w:rPr>
        <w:t>ustrial waste water management</w:t>
      </w:r>
      <w:r w:rsidRPr="000316F5">
        <w:rPr>
          <w:color w:val="000000" w:themeColor="text1"/>
          <w:sz w:val="22"/>
          <w:szCs w:val="22"/>
        </w:rPr>
        <w:t xml:space="preserve"> remains inadequate</w:t>
      </w:r>
      <w:r w:rsidR="00EF406E" w:rsidRPr="000316F5">
        <w:rPr>
          <w:color w:val="000000" w:themeColor="text1"/>
          <w:sz w:val="22"/>
          <w:szCs w:val="22"/>
        </w:rPr>
        <w:t xml:space="preserve">. </w:t>
      </w:r>
      <w:r w:rsidR="00A70CAB" w:rsidRPr="000316F5">
        <w:rPr>
          <w:color w:val="000000" w:themeColor="text1"/>
          <w:sz w:val="22"/>
          <w:szCs w:val="22"/>
        </w:rPr>
        <w:t xml:space="preserve">Industrial waste water serves as </w:t>
      </w:r>
      <w:r w:rsidRPr="000316F5">
        <w:rPr>
          <w:color w:val="000000" w:themeColor="text1"/>
          <w:sz w:val="22"/>
          <w:szCs w:val="22"/>
        </w:rPr>
        <w:t>a reservoir</w:t>
      </w:r>
      <w:r w:rsidR="00A70CAB" w:rsidRPr="000316F5">
        <w:rPr>
          <w:color w:val="000000" w:themeColor="text1"/>
          <w:sz w:val="22"/>
          <w:szCs w:val="22"/>
        </w:rPr>
        <w:t xml:space="preserve"> of </w:t>
      </w:r>
      <w:r w:rsidRPr="000316F5">
        <w:rPr>
          <w:color w:val="000000" w:themeColor="text1"/>
          <w:sz w:val="22"/>
          <w:szCs w:val="22"/>
        </w:rPr>
        <w:t xml:space="preserve">antimicrobial resistant </w:t>
      </w:r>
      <w:r w:rsidR="00A70CAB" w:rsidRPr="000316F5">
        <w:rPr>
          <w:color w:val="000000" w:themeColor="text1"/>
          <w:sz w:val="22"/>
          <w:szCs w:val="22"/>
        </w:rPr>
        <w:t>microorgani</w:t>
      </w:r>
      <w:r w:rsidRPr="000316F5">
        <w:rPr>
          <w:color w:val="000000" w:themeColor="text1"/>
          <w:sz w:val="22"/>
          <w:szCs w:val="22"/>
        </w:rPr>
        <w:t xml:space="preserve">sms facilitating the </w:t>
      </w:r>
      <w:r w:rsidR="00A70CAB" w:rsidRPr="000316F5">
        <w:rPr>
          <w:color w:val="000000" w:themeColor="text1"/>
          <w:sz w:val="22"/>
          <w:szCs w:val="22"/>
        </w:rPr>
        <w:t xml:space="preserve">transfer of resistance </w:t>
      </w:r>
      <w:r w:rsidR="004D0892" w:rsidRPr="000316F5">
        <w:rPr>
          <w:color w:val="000000" w:themeColor="text1"/>
          <w:sz w:val="22"/>
          <w:szCs w:val="22"/>
        </w:rPr>
        <w:t>tr</w:t>
      </w:r>
      <w:r w:rsidRPr="000316F5">
        <w:rPr>
          <w:color w:val="000000" w:themeColor="text1"/>
          <w:sz w:val="22"/>
          <w:szCs w:val="22"/>
        </w:rPr>
        <w:t xml:space="preserve">aits within </w:t>
      </w:r>
      <w:r w:rsidR="004D0892" w:rsidRPr="000316F5">
        <w:rPr>
          <w:color w:val="000000" w:themeColor="text1"/>
          <w:sz w:val="22"/>
          <w:szCs w:val="22"/>
        </w:rPr>
        <w:t>na</w:t>
      </w:r>
      <w:r w:rsidRPr="000316F5">
        <w:rPr>
          <w:color w:val="000000" w:themeColor="text1"/>
          <w:sz w:val="22"/>
          <w:szCs w:val="22"/>
        </w:rPr>
        <w:t xml:space="preserve">tural ecosystems and ultimately to human populations through </w:t>
      </w:r>
      <w:r w:rsidR="00AD754E" w:rsidRPr="000316F5">
        <w:rPr>
          <w:color w:val="000000" w:themeColor="text1"/>
          <w:sz w:val="22"/>
          <w:szCs w:val="22"/>
        </w:rPr>
        <w:t xml:space="preserve">direct contact, </w:t>
      </w:r>
      <w:r w:rsidRPr="000316F5">
        <w:rPr>
          <w:color w:val="000000" w:themeColor="text1"/>
          <w:sz w:val="22"/>
          <w:szCs w:val="22"/>
        </w:rPr>
        <w:t xml:space="preserve">the </w:t>
      </w:r>
      <w:r w:rsidR="00AD754E" w:rsidRPr="000316F5">
        <w:rPr>
          <w:color w:val="000000" w:themeColor="text1"/>
          <w:sz w:val="22"/>
          <w:szCs w:val="22"/>
        </w:rPr>
        <w:t xml:space="preserve">food chain or </w:t>
      </w:r>
      <w:r w:rsidR="004D0892" w:rsidRPr="000316F5">
        <w:rPr>
          <w:color w:val="000000" w:themeColor="text1"/>
          <w:sz w:val="22"/>
          <w:szCs w:val="22"/>
        </w:rPr>
        <w:t xml:space="preserve">through </w:t>
      </w:r>
      <w:r w:rsidRPr="000316F5">
        <w:rPr>
          <w:color w:val="000000" w:themeColor="text1"/>
          <w:sz w:val="22"/>
          <w:szCs w:val="22"/>
        </w:rPr>
        <w:t xml:space="preserve">contaminated </w:t>
      </w:r>
      <w:r w:rsidR="004D0892" w:rsidRPr="000316F5">
        <w:rPr>
          <w:color w:val="000000" w:themeColor="text1"/>
          <w:sz w:val="22"/>
          <w:szCs w:val="22"/>
        </w:rPr>
        <w:t>water</w:t>
      </w:r>
      <w:r w:rsidRPr="000316F5">
        <w:rPr>
          <w:color w:val="000000" w:themeColor="text1"/>
          <w:sz w:val="22"/>
          <w:szCs w:val="22"/>
        </w:rPr>
        <w:t xml:space="preserve"> sources</w:t>
      </w:r>
      <w:r w:rsidR="004D0892" w:rsidRPr="000316F5">
        <w:rPr>
          <w:color w:val="000000" w:themeColor="text1"/>
          <w:sz w:val="22"/>
          <w:szCs w:val="22"/>
        </w:rPr>
        <w:t xml:space="preserve">. </w:t>
      </w:r>
      <w:r w:rsidR="00B71332" w:rsidRPr="000316F5">
        <w:rPr>
          <w:color w:val="000000" w:themeColor="text1"/>
          <w:sz w:val="22"/>
          <w:szCs w:val="22"/>
        </w:rPr>
        <w:t>This study examined the occurrence of antimicrobial</w:t>
      </w:r>
      <w:r w:rsidR="004D0892" w:rsidRPr="000316F5">
        <w:rPr>
          <w:color w:val="000000" w:themeColor="text1"/>
          <w:sz w:val="22"/>
          <w:szCs w:val="22"/>
        </w:rPr>
        <w:t xml:space="preserve"> resistant bacteria in industrial waste water and evaluate</w:t>
      </w:r>
      <w:r w:rsidR="000C3973" w:rsidRPr="000316F5">
        <w:rPr>
          <w:color w:val="000000" w:themeColor="text1"/>
          <w:sz w:val="22"/>
          <w:szCs w:val="22"/>
        </w:rPr>
        <w:t>d</w:t>
      </w:r>
      <w:r w:rsidR="004D0892" w:rsidRPr="000316F5">
        <w:rPr>
          <w:color w:val="000000" w:themeColor="text1"/>
          <w:sz w:val="22"/>
          <w:szCs w:val="22"/>
        </w:rPr>
        <w:t xml:space="preserve"> their s</w:t>
      </w:r>
      <w:r w:rsidR="00DB3641" w:rsidRPr="000316F5">
        <w:rPr>
          <w:color w:val="000000" w:themeColor="text1"/>
          <w:sz w:val="22"/>
          <w:szCs w:val="22"/>
        </w:rPr>
        <w:t xml:space="preserve">ensitivity profiles to </w:t>
      </w:r>
      <w:r w:rsidR="00B71332" w:rsidRPr="000316F5">
        <w:rPr>
          <w:color w:val="000000" w:themeColor="text1"/>
          <w:sz w:val="22"/>
          <w:szCs w:val="22"/>
        </w:rPr>
        <w:t xml:space="preserve">commonly used </w:t>
      </w:r>
      <w:r w:rsidR="00DB3641" w:rsidRPr="000316F5">
        <w:rPr>
          <w:color w:val="000000" w:themeColor="text1"/>
          <w:sz w:val="22"/>
          <w:szCs w:val="22"/>
        </w:rPr>
        <w:t>antib</w:t>
      </w:r>
      <w:r w:rsidR="00B71332" w:rsidRPr="000316F5">
        <w:rPr>
          <w:color w:val="000000" w:themeColor="text1"/>
          <w:sz w:val="22"/>
          <w:szCs w:val="22"/>
        </w:rPr>
        <w:t xml:space="preserve">iotics. A total of </w:t>
      </w:r>
      <w:r w:rsidR="00DB3641" w:rsidRPr="000316F5">
        <w:rPr>
          <w:color w:val="000000" w:themeColor="text1"/>
          <w:sz w:val="22"/>
          <w:szCs w:val="22"/>
        </w:rPr>
        <w:t xml:space="preserve">101 bacterial isolates </w:t>
      </w:r>
      <w:r w:rsidR="00B71332" w:rsidRPr="000316F5">
        <w:rPr>
          <w:color w:val="000000" w:themeColor="text1"/>
          <w:sz w:val="22"/>
          <w:szCs w:val="22"/>
        </w:rPr>
        <w:t xml:space="preserve">were recovered from the samples including </w:t>
      </w:r>
      <w:r w:rsidR="00DB3641" w:rsidRPr="000316F5">
        <w:rPr>
          <w:i/>
          <w:iCs/>
          <w:color w:val="000000" w:themeColor="text1"/>
          <w:sz w:val="22"/>
          <w:szCs w:val="22"/>
        </w:rPr>
        <w:t>Klebsiella spp</w:t>
      </w:r>
      <w:r w:rsidR="00AD754E" w:rsidRPr="000316F5">
        <w:rPr>
          <w:color w:val="000000" w:themeColor="text1"/>
          <w:sz w:val="22"/>
          <w:szCs w:val="22"/>
        </w:rPr>
        <w:t xml:space="preserve">. </w:t>
      </w:r>
      <w:r w:rsidR="00DB3641" w:rsidRPr="000316F5">
        <w:rPr>
          <w:color w:val="000000" w:themeColor="text1"/>
          <w:sz w:val="22"/>
          <w:szCs w:val="22"/>
        </w:rPr>
        <w:t>(37.6</w:t>
      </w:r>
      <w:r w:rsidR="00DB3641" w:rsidRPr="000316F5">
        <w:rPr>
          <w:i/>
          <w:iCs/>
          <w:color w:val="000000" w:themeColor="text1"/>
          <w:sz w:val="22"/>
          <w:szCs w:val="22"/>
        </w:rPr>
        <w:t>%), Escherichia coli</w:t>
      </w:r>
      <w:r w:rsidR="00DB3641" w:rsidRPr="000316F5">
        <w:rPr>
          <w:color w:val="000000" w:themeColor="text1"/>
          <w:sz w:val="22"/>
          <w:szCs w:val="22"/>
        </w:rPr>
        <w:t xml:space="preserve"> (36.6%) and </w:t>
      </w:r>
      <w:r w:rsidR="00DB3641" w:rsidRPr="000316F5">
        <w:rPr>
          <w:i/>
          <w:iCs/>
          <w:color w:val="000000" w:themeColor="text1"/>
          <w:sz w:val="22"/>
          <w:szCs w:val="22"/>
        </w:rPr>
        <w:t>Pseudomonas spp</w:t>
      </w:r>
      <w:r w:rsidR="00AD754E" w:rsidRPr="000316F5">
        <w:rPr>
          <w:i/>
          <w:iCs/>
          <w:color w:val="000000" w:themeColor="text1"/>
          <w:sz w:val="22"/>
          <w:szCs w:val="22"/>
        </w:rPr>
        <w:t>.</w:t>
      </w:r>
      <w:r w:rsidR="00DB3641" w:rsidRPr="000316F5">
        <w:rPr>
          <w:color w:val="000000" w:themeColor="text1"/>
          <w:sz w:val="22"/>
          <w:szCs w:val="22"/>
        </w:rPr>
        <w:t xml:space="preserve"> (25.7%). </w:t>
      </w:r>
      <w:r w:rsidR="00B71332" w:rsidRPr="000316F5">
        <w:rPr>
          <w:color w:val="000000" w:themeColor="text1"/>
          <w:sz w:val="22"/>
          <w:szCs w:val="22"/>
        </w:rPr>
        <w:t xml:space="preserve">Antimicrobial sensitivity profiles were determined using the disc diffusion method against ten commonly used </w:t>
      </w:r>
      <w:r w:rsidR="00DB3641" w:rsidRPr="000316F5">
        <w:rPr>
          <w:color w:val="000000" w:themeColor="text1"/>
          <w:sz w:val="22"/>
          <w:szCs w:val="22"/>
        </w:rPr>
        <w:t xml:space="preserve">antibiotics </w:t>
      </w:r>
      <w:r w:rsidR="00BD567B" w:rsidRPr="000316F5">
        <w:rPr>
          <w:color w:val="000000" w:themeColor="text1"/>
          <w:sz w:val="22"/>
          <w:szCs w:val="22"/>
        </w:rPr>
        <w:t xml:space="preserve">including ampicillin, ciprofloxacin, ceftriaxone, levofloxacin and gentamicin. </w:t>
      </w:r>
      <w:r w:rsidR="00B71332" w:rsidRPr="000316F5">
        <w:rPr>
          <w:color w:val="000000" w:themeColor="text1"/>
          <w:sz w:val="22"/>
          <w:szCs w:val="22"/>
        </w:rPr>
        <w:t>High resistance was observed to ampicillin (88.1%), trimethoprim/sulfamethoxazole (54.4%), and tetracycline (45.5%).</w:t>
      </w:r>
      <w:r w:rsidR="000316F5" w:rsidRPr="000316F5">
        <w:rPr>
          <w:color w:val="000000" w:themeColor="text1"/>
          <w:sz w:val="22"/>
          <w:szCs w:val="22"/>
        </w:rPr>
        <w:t xml:space="preserve"> Moderate resistance was observed to ceftriaxone (45.5%) and ciprofloxacin (22.7%) while the </w:t>
      </w:r>
      <w:r w:rsidR="00BD567B" w:rsidRPr="000316F5">
        <w:rPr>
          <w:color w:val="000000" w:themeColor="text1"/>
          <w:sz w:val="22"/>
          <w:szCs w:val="22"/>
        </w:rPr>
        <w:t xml:space="preserve">lowest resistance </w:t>
      </w:r>
      <w:r w:rsidR="000316F5" w:rsidRPr="000316F5">
        <w:rPr>
          <w:color w:val="000000" w:themeColor="text1"/>
          <w:sz w:val="22"/>
          <w:szCs w:val="22"/>
        </w:rPr>
        <w:t xml:space="preserve">rates were recorded for </w:t>
      </w:r>
      <w:r w:rsidR="00BD567B" w:rsidRPr="000316F5">
        <w:rPr>
          <w:color w:val="000000" w:themeColor="text1"/>
          <w:sz w:val="22"/>
          <w:szCs w:val="22"/>
        </w:rPr>
        <w:t>levofloxaci</w:t>
      </w:r>
      <w:r w:rsidR="000316F5" w:rsidRPr="000316F5">
        <w:rPr>
          <w:color w:val="000000" w:themeColor="text1"/>
          <w:sz w:val="22"/>
          <w:szCs w:val="22"/>
        </w:rPr>
        <w:t xml:space="preserve">n (9.9%) and gentamicin (8.9%). </w:t>
      </w:r>
      <w:r w:rsidR="00BD567B" w:rsidRPr="000316F5">
        <w:rPr>
          <w:i/>
          <w:iCs/>
          <w:color w:val="000000" w:themeColor="text1"/>
          <w:sz w:val="22"/>
          <w:szCs w:val="22"/>
        </w:rPr>
        <w:t>Pseudomonas spp</w:t>
      </w:r>
      <w:r w:rsidR="00C07808" w:rsidRPr="000316F5">
        <w:rPr>
          <w:i/>
          <w:iCs/>
          <w:color w:val="000000" w:themeColor="text1"/>
          <w:sz w:val="22"/>
          <w:szCs w:val="22"/>
        </w:rPr>
        <w:t>.</w:t>
      </w:r>
      <w:r w:rsidR="00BD567B" w:rsidRPr="000316F5">
        <w:rPr>
          <w:i/>
          <w:iCs/>
          <w:color w:val="000000" w:themeColor="text1"/>
          <w:sz w:val="22"/>
          <w:szCs w:val="22"/>
        </w:rPr>
        <w:t xml:space="preserve"> </w:t>
      </w:r>
      <w:r w:rsidR="000316F5" w:rsidRPr="000316F5">
        <w:rPr>
          <w:color w:val="000000" w:themeColor="text1"/>
          <w:sz w:val="22"/>
          <w:szCs w:val="22"/>
        </w:rPr>
        <w:t xml:space="preserve">exhibited </w:t>
      </w:r>
      <w:r w:rsidR="00BD567B" w:rsidRPr="000316F5">
        <w:rPr>
          <w:color w:val="000000" w:themeColor="text1"/>
          <w:sz w:val="22"/>
          <w:szCs w:val="22"/>
        </w:rPr>
        <w:t xml:space="preserve">100% resistance to </w:t>
      </w:r>
      <w:r w:rsidR="000316F5" w:rsidRPr="000316F5">
        <w:rPr>
          <w:color w:val="000000" w:themeColor="text1"/>
          <w:sz w:val="22"/>
          <w:szCs w:val="22"/>
        </w:rPr>
        <w:t xml:space="preserve">both </w:t>
      </w:r>
      <w:r w:rsidR="00BD567B" w:rsidRPr="000316F5">
        <w:rPr>
          <w:color w:val="000000" w:themeColor="text1"/>
          <w:sz w:val="22"/>
          <w:szCs w:val="22"/>
        </w:rPr>
        <w:t xml:space="preserve">trimethoprim/sulfamethoxazole and tetracycline. </w:t>
      </w:r>
      <w:r w:rsidR="00F553D8" w:rsidRPr="000316F5">
        <w:rPr>
          <w:color w:val="000000" w:themeColor="text1"/>
          <w:sz w:val="22"/>
          <w:szCs w:val="22"/>
        </w:rPr>
        <w:t>Multidrug resistance</w:t>
      </w:r>
      <w:r w:rsidR="000316F5" w:rsidRPr="000316F5">
        <w:rPr>
          <w:color w:val="000000" w:themeColor="text1"/>
          <w:sz w:val="22"/>
          <w:szCs w:val="22"/>
        </w:rPr>
        <w:t xml:space="preserve"> being defined as resistance to </w:t>
      </w:r>
      <w:r w:rsidR="00F553D8" w:rsidRPr="000316F5">
        <w:rPr>
          <w:color w:val="000000" w:themeColor="text1"/>
          <w:sz w:val="22"/>
          <w:szCs w:val="22"/>
        </w:rPr>
        <w:t xml:space="preserve">more </w:t>
      </w:r>
      <w:r w:rsidR="00B86581" w:rsidRPr="000316F5">
        <w:rPr>
          <w:color w:val="000000" w:themeColor="text1"/>
          <w:sz w:val="22"/>
          <w:szCs w:val="22"/>
        </w:rPr>
        <w:t>than</w:t>
      </w:r>
      <w:r w:rsidR="00F553D8" w:rsidRPr="000316F5">
        <w:rPr>
          <w:color w:val="000000" w:themeColor="text1"/>
          <w:sz w:val="22"/>
          <w:szCs w:val="22"/>
        </w:rPr>
        <w:t xml:space="preserve"> three classe</w:t>
      </w:r>
      <w:r w:rsidR="000316F5" w:rsidRPr="000316F5">
        <w:rPr>
          <w:color w:val="000000" w:themeColor="text1"/>
          <w:sz w:val="22"/>
          <w:szCs w:val="22"/>
        </w:rPr>
        <w:t xml:space="preserve">s of antibiotics was notably </w:t>
      </w:r>
      <w:r w:rsidR="00F553D8" w:rsidRPr="000316F5">
        <w:rPr>
          <w:color w:val="000000" w:themeColor="text1"/>
          <w:sz w:val="22"/>
          <w:szCs w:val="22"/>
        </w:rPr>
        <w:t xml:space="preserve">high among </w:t>
      </w:r>
      <w:r w:rsidR="00F553D8" w:rsidRPr="000316F5">
        <w:rPr>
          <w:i/>
          <w:iCs/>
          <w:color w:val="000000" w:themeColor="text1"/>
          <w:sz w:val="22"/>
          <w:szCs w:val="22"/>
        </w:rPr>
        <w:t>Klebsiella spp</w:t>
      </w:r>
      <w:r w:rsidR="00C07808" w:rsidRPr="000316F5">
        <w:rPr>
          <w:i/>
          <w:iCs/>
          <w:color w:val="000000" w:themeColor="text1"/>
          <w:sz w:val="22"/>
          <w:szCs w:val="22"/>
        </w:rPr>
        <w:t>.</w:t>
      </w:r>
      <w:r w:rsidR="00F553D8" w:rsidRPr="000316F5">
        <w:rPr>
          <w:color w:val="000000" w:themeColor="text1"/>
          <w:sz w:val="22"/>
          <w:szCs w:val="22"/>
        </w:rPr>
        <w:t xml:space="preserve"> (47.4%) and also </w:t>
      </w:r>
      <w:r w:rsidR="00F553D8" w:rsidRPr="000316F5">
        <w:rPr>
          <w:i/>
          <w:iCs/>
          <w:color w:val="000000" w:themeColor="text1"/>
          <w:sz w:val="22"/>
          <w:szCs w:val="22"/>
        </w:rPr>
        <w:t>Escherichia coli</w:t>
      </w:r>
      <w:r w:rsidR="000316F5" w:rsidRPr="000316F5">
        <w:rPr>
          <w:color w:val="000000" w:themeColor="text1"/>
          <w:sz w:val="22"/>
          <w:szCs w:val="22"/>
        </w:rPr>
        <w:t xml:space="preserve"> (29.7%). </w:t>
      </w:r>
      <w:r w:rsidR="00F553D8" w:rsidRPr="000316F5">
        <w:rPr>
          <w:color w:val="000000" w:themeColor="text1"/>
          <w:sz w:val="22"/>
          <w:szCs w:val="22"/>
        </w:rPr>
        <w:t>The</w:t>
      </w:r>
      <w:r w:rsidR="00C07808" w:rsidRPr="000316F5">
        <w:rPr>
          <w:color w:val="000000" w:themeColor="text1"/>
          <w:sz w:val="22"/>
          <w:szCs w:val="22"/>
        </w:rPr>
        <w:t>se findings are consistent with global reports that document perseverance</w:t>
      </w:r>
      <w:r w:rsidR="00F553D8" w:rsidRPr="000316F5">
        <w:rPr>
          <w:color w:val="000000" w:themeColor="text1"/>
          <w:sz w:val="22"/>
          <w:szCs w:val="22"/>
        </w:rPr>
        <w:t xml:space="preserve"> of antimicrobial resistance bacteria in aquatic environments exposed to industrial contamination. </w:t>
      </w:r>
      <w:r w:rsidR="00C07808" w:rsidRPr="000316F5">
        <w:rPr>
          <w:color w:val="000000" w:themeColor="text1"/>
          <w:sz w:val="22"/>
          <w:szCs w:val="22"/>
        </w:rPr>
        <w:t>This study highlight</w:t>
      </w:r>
      <w:r w:rsidR="00162057" w:rsidRPr="000316F5">
        <w:rPr>
          <w:color w:val="000000" w:themeColor="text1"/>
          <w:sz w:val="22"/>
          <w:szCs w:val="22"/>
        </w:rPr>
        <w:t xml:space="preserve">s </w:t>
      </w:r>
      <w:r w:rsidR="00C07808" w:rsidRPr="000316F5">
        <w:rPr>
          <w:color w:val="000000" w:themeColor="text1"/>
          <w:sz w:val="22"/>
          <w:szCs w:val="22"/>
        </w:rPr>
        <w:t xml:space="preserve">the </w:t>
      </w:r>
      <w:r w:rsidR="00162057" w:rsidRPr="000316F5">
        <w:rPr>
          <w:color w:val="000000" w:themeColor="text1"/>
          <w:sz w:val="22"/>
          <w:szCs w:val="22"/>
        </w:rPr>
        <w:t>role of indus</w:t>
      </w:r>
      <w:r w:rsidR="00C07808" w:rsidRPr="000316F5">
        <w:rPr>
          <w:color w:val="000000" w:themeColor="text1"/>
          <w:sz w:val="22"/>
          <w:szCs w:val="22"/>
        </w:rPr>
        <w:t xml:space="preserve">trial waste water as a significant </w:t>
      </w:r>
      <w:r w:rsidR="00162057" w:rsidRPr="000316F5">
        <w:rPr>
          <w:color w:val="000000" w:themeColor="text1"/>
          <w:sz w:val="22"/>
          <w:szCs w:val="22"/>
        </w:rPr>
        <w:t xml:space="preserve">reservoir of multidrug resistant bacteria and underscores </w:t>
      </w:r>
      <w:r w:rsidR="00C07808" w:rsidRPr="000316F5">
        <w:rPr>
          <w:color w:val="000000" w:themeColor="text1"/>
          <w:sz w:val="22"/>
          <w:szCs w:val="22"/>
        </w:rPr>
        <w:t xml:space="preserve">the </w:t>
      </w:r>
      <w:r w:rsidR="00162057" w:rsidRPr="000316F5">
        <w:rPr>
          <w:color w:val="000000" w:themeColor="text1"/>
          <w:sz w:val="22"/>
          <w:szCs w:val="22"/>
        </w:rPr>
        <w:t xml:space="preserve">urgent </w:t>
      </w:r>
      <w:r w:rsidR="009E3E93" w:rsidRPr="000316F5">
        <w:rPr>
          <w:color w:val="000000" w:themeColor="text1"/>
          <w:sz w:val="22"/>
          <w:szCs w:val="22"/>
        </w:rPr>
        <w:t xml:space="preserve">need for </w:t>
      </w:r>
      <w:r w:rsidR="00162057" w:rsidRPr="000316F5">
        <w:rPr>
          <w:color w:val="000000" w:themeColor="text1"/>
          <w:sz w:val="22"/>
          <w:szCs w:val="22"/>
        </w:rPr>
        <w:t xml:space="preserve">waste </w:t>
      </w:r>
      <w:r w:rsidR="009E3E93" w:rsidRPr="000316F5">
        <w:rPr>
          <w:color w:val="000000" w:themeColor="text1"/>
          <w:sz w:val="22"/>
          <w:szCs w:val="22"/>
        </w:rPr>
        <w:t xml:space="preserve">water </w:t>
      </w:r>
      <w:r w:rsidR="00162057" w:rsidRPr="000316F5">
        <w:rPr>
          <w:color w:val="000000" w:themeColor="text1"/>
          <w:sz w:val="22"/>
          <w:szCs w:val="22"/>
        </w:rPr>
        <w:t xml:space="preserve">treatment and </w:t>
      </w:r>
      <w:r w:rsidR="009E3E93" w:rsidRPr="000316F5">
        <w:rPr>
          <w:color w:val="000000" w:themeColor="text1"/>
          <w:sz w:val="22"/>
          <w:szCs w:val="22"/>
        </w:rPr>
        <w:t xml:space="preserve">the integration of </w:t>
      </w:r>
      <w:r w:rsidR="00162057" w:rsidRPr="000316F5">
        <w:rPr>
          <w:color w:val="000000" w:themeColor="text1"/>
          <w:sz w:val="22"/>
          <w:szCs w:val="22"/>
        </w:rPr>
        <w:t>antimicrobial stewardship in</w:t>
      </w:r>
      <w:r w:rsidR="009E3E93" w:rsidRPr="000316F5">
        <w:rPr>
          <w:color w:val="000000" w:themeColor="text1"/>
          <w:sz w:val="22"/>
          <w:szCs w:val="22"/>
        </w:rPr>
        <w:t>to</w:t>
      </w:r>
      <w:r w:rsidR="00162057" w:rsidRPr="000316F5">
        <w:rPr>
          <w:color w:val="000000" w:themeColor="text1"/>
          <w:sz w:val="22"/>
          <w:szCs w:val="22"/>
        </w:rPr>
        <w:t xml:space="preserve"> </w:t>
      </w:r>
      <w:r w:rsidR="009E3E93" w:rsidRPr="000316F5">
        <w:rPr>
          <w:color w:val="000000" w:themeColor="text1"/>
          <w:sz w:val="22"/>
          <w:szCs w:val="22"/>
        </w:rPr>
        <w:t xml:space="preserve">both </w:t>
      </w:r>
      <w:r w:rsidR="00162057" w:rsidRPr="000316F5">
        <w:rPr>
          <w:color w:val="000000" w:themeColor="text1"/>
          <w:sz w:val="22"/>
          <w:szCs w:val="22"/>
        </w:rPr>
        <w:t>public h</w:t>
      </w:r>
      <w:r w:rsidR="009E3E93" w:rsidRPr="000316F5">
        <w:rPr>
          <w:color w:val="000000" w:themeColor="text1"/>
          <w:sz w:val="22"/>
          <w:szCs w:val="22"/>
        </w:rPr>
        <w:t>ealth and environmental policy frameworks. The h</w:t>
      </w:r>
      <w:r w:rsidR="00162057" w:rsidRPr="000316F5">
        <w:rPr>
          <w:color w:val="000000" w:themeColor="text1"/>
          <w:sz w:val="22"/>
          <w:szCs w:val="22"/>
        </w:rPr>
        <w:t>igh resistanc</w:t>
      </w:r>
      <w:r w:rsidR="009E3E93" w:rsidRPr="000316F5">
        <w:rPr>
          <w:color w:val="000000" w:themeColor="text1"/>
          <w:sz w:val="22"/>
          <w:szCs w:val="22"/>
        </w:rPr>
        <w:t xml:space="preserve">e levels detected especially with </w:t>
      </w:r>
      <w:r w:rsidR="00162057" w:rsidRPr="000316F5">
        <w:rPr>
          <w:color w:val="000000" w:themeColor="text1"/>
          <w:sz w:val="22"/>
          <w:szCs w:val="22"/>
        </w:rPr>
        <w:t>the fr</w:t>
      </w:r>
      <w:r w:rsidR="009E3E93" w:rsidRPr="000316F5">
        <w:rPr>
          <w:color w:val="000000" w:themeColor="text1"/>
          <w:sz w:val="22"/>
          <w:szCs w:val="22"/>
        </w:rPr>
        <w:t xml:space="preserve">equently dispensed antibiotics, </w:t>
      </w:r>
      <w:r w:rsidR="00162057" w:rsidRPr="000316F5">
        <w:rPr>
          <w:color w:val="000000" w:themeColor="text1"/>
          <w:sz w:val="22"/>
          <w:szCs w:val="22"/>
        </w:rPr>
        <w:t>highlights the probable</w:t>
      </w:r>
      <w:r w:rsidR="00466E4C" w:rsidRPr="000316F5">
        <w:rPr>
          <w:color w:val="000000" w:themeColor="text1"/>
          <w:sz w:val="22"/>
          <w:szCs w:val="22"/>
        </w:rPr>
        <w:t xml:space="preserve"> health risk</w:t>
      </w:r>
      <w:r w:rsidR="009E3E93" w:rsidRPr="000316F5">
        <w:rPr>
          <w:color w:val="000000" w:themeColor="text1"/>
          <w:sz w:val="22"/>
          <w:szCs w:val="22"/>
        </w:rPr>
        <w:t xml:space="preserve">s posed </w:t>
      </w:r>
      <w:r w:rsidR="00466E4C" w:rsidRPr="000316F5">
        <w:rPr>
          <w:color w:val="000000" w:themeColor="text1"/>
          <w:sz w:val="22"/>
          <w:szCs w:val="22"/>
        </w:rPr>
        <w:t xml:space="preserve">by environmental exposure to </w:t>
      </w:r>
      <w:r w:rsidR="009E3E93" w:rsidRPr="000316F5">
        <w:rPr>
          <w:color w:val="000000" w:themeColor="text1"/>
          <w:sz w:val="22"/>
          <w:szCs w:val="22"/>
        </w:rPr>
        <w:t xml:space="preserve">untreated </w:t>
      </w:r>
      <w:r w:rsidR="00EF406E" w:rsidRPr="000316F5">
        <w:rPr>
          <w:color w:val="000000" w:themeColor="text1"/>
          <w:sz w:val="22"/>
          <w:szCs w:val="22"/>
        </w:rPr>
        <w:t xml:space="preserve">or partially treated </w:t>
      </w:r>
      <w:r w:rsidR="00466E4C" w:rsidRPr="000316F5">
        <w:rPr>
          <w:color w:val="000000" w:themeColor="text1"/>
          <w:sz w:val="22"/>
          <w:szCs w:val="22"/>
        </w:rPr>
        <w:t>industrial discharges.</w:t>
      </w:r>
    </w:p>
    <w:p w14:paraId="42FA2671" w14:textId="0D3FFD08" w:rsidR="00BA223E" w:rsidRPr="00C51F55" w:rsidRDefault="000316F5" w:rsidP="005E11C6">
      <w:pPr>
        <w:jc w:val="both"/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</w:pPr>
      <w:r w:rsidRPr="00C51F55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</w:rPr>
        <w:t>Key</w:t>
      </w:r>
      <w:r w:rsidR="00353F87" w:rsidRPr="00C51F55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</w:rPr>
        <w:t>words:</w:t>
      </w:r>
      <w:r w:rsidR="00353F87" w:rsidRPr="00C51F55">
        <w:rPr>
          <w:rFonts w:eastAsia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B2FF2">
        <w:rPr>
          <w:rFonts w:eastAsiaTheme="minorHAnsi"/>
          <w:color w:val="000000" w:themeColor="text1"/>
          <w:sz w:val="22"/>
          <w:szCs w:val="22"/>
          <w:shd w:val="clear" w:color="auto" w:fill="FFFFFF"/>
        </w:rPr>
        <w:t xml:space="preserve">Antibiotics, </w:t>
      </w:r>
      <w:r w:rsidR="00C51F55" w:rsidRPr="00C51F55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Antimicrobial resistant bacteria</w:t>
      </w:r>
      <w:r w:rsidR="000C3973" w:rsidRPr="00C51F55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B2FF2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 xml:space="preserve">antimicrobial resistance genes, </w:t>
      </w:r>
      <w:r w:rsidR="00FD29E4" w:rsidRPr="00C51F55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 xml:space="preserve">environmental surveillance, </w:t>
      </w:r>
      <w:r w:rsidR="000C3973" w:rsidRPr="00C51F55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i</w:t>
      </w:r>
      <w:r w:rsidR="00353F87" w:rsidRPr="00C51F55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ndustrial waste water</w:t>
      </w:r>
      <w:r w:rsidR="00C51F55" w:rsidRPr="00C51F55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,</w:t>
      </w:r>
      <w:r w:rsidR="00C51F55" w:rsidRPr="00C51F55">
        <w:rPr>
          <w:color w:val="000000" w:themeColor="text1"/>
          <w:sz w:val="22"/>
          <w:szCs w:val="22"/>
        </w:rPr>
        <w:t xml:space="preserve"> </w:t>
      </w:r>
      <w:r w:rsidR="00BF6299">
        <w:rPr>
          <w:i/>
          <w:color w:val="000000" w:themeColor="text1"/>
          <w:sz w:val="22"/>
          <w:szCs w:val="22"/>
        </w:rPr>
        <w:t>i</w:t>
      </w:r>
      <w:r w:rsidR="00EB2FF2" w:rsidRPr="00EB2FF2">
        <w:rPr>
          <w:i/>
          <w:color w:val="000000" w:themeColor="text1"/>
          <w:sz w:val="22"/>
          <w:szCs w:val="22"/>
        </w:rPr>
        <w:t>solates</w:t>
      </w:r>
      <w:r w:rsidR="00EB2FF2">
        <w:rPr>
          <w:color w:val="000000" w:themeColor="text1"/>
          <w:sz w:val="22"/>
          <w:szCs w:val="22"/>
        </w:rPr>
        <w:t xml:space="preserve">, </w:t>
      </w:r>
      <w:r w:rsidR="00EB2FF2" w:rsidRPr="00EB2FF2">
        <w:rPr>
          <w:i/>
          <w:color w:val="000000" w:themeColor="text1"/>
          <w:sz w:val="22"/>
          <w:szCs w:val="22"/>
        </w:rPr>
        <w:t>m</w:t>
      </w:r>
      <w:r w:rsidR="00EB2FF2">
        <w:rPr>
          <w:i/>
          <w:color w:val="000000" w:themeColor="text1"/>
          <w:sz w:val="22"/>
          <w:szCs w:val="22"/>
        </w:rPr>
        <w:t xml:space="preserve">ultidrug </w:t>
      </w:r>
      <w:r w:rsidR="00C51F55" w:rsidRPr="00EB2FF2">
        <w:rPr>
          <w:i/>
          <w:color w:val="000000" w:themeColor="text1"/>
          <w:sz w:val="22"/>
          <w:szCs w:val="22"/>
        </w:rPr>
        <w:t>resistance</w:t>
      </w:r>
      <w:r w:rsidR="00C51F55" w:rsidRPr="00C51F55">
        <w:rPr>
          <w:i/>
          <w:color w:val="000000" w:themeColor="text1"/>
          <w:sz w:val="22"/>
          <w:szCs w:val="22"/>
        </w:rPr>
        <w:t>, reservoir</w:t>
      </w:r>
    </w:p>
    <w:bookmarkEnd w:id="0"/>
    <w:p w14:paraId="55D43606" w14:textId="5BCAA21C" w:rsidR="008C5578" w:rsidRPr="00E84412" w:rsidRDefault="000C3973" w:rsidP="00BF6299">
      <w:pPr>
        <w:rPr>
          <w:rFonts w:eastAsia="TimesNewRomanPSMT"/>
          <w:b/>
          <w:bCs/>
          <w:color w:val="000000" w:themeColor="text1"/>
          <w:sz w:val="22"/>
          <w:szCs w:val="22"/>
        </w:rPr>
      </w:pPr>
      <w:r>
        <w:rPr>
          <w:rFonts w:eastAsia="TimesNewRomanPSMT"/>
          <w:b/>
          <w:bCs/>
          <w:color w:val="000000" w:themeColor="text1"/>
          <w:sz w:val="22"/>
          <w:szCs w:val="22"/>
        </w:rPr>
        <w:t xml:space="preserve">1. </w:t>
      </w:r>
      <w:r w:rsidR="008C5578" w:rsidRPr="00E84412">
        <w:rPr>
          <w:rFonts w:eastAsia="TimesNewRomanPSMT"/>
          <w:b/>
          <w:bCs/>
          <w:color w:val="000000" w:themeColor="text1"/>
          <w:sz w:val="22"/>
          <w:szCs w:val="22"/>
        </w:rPr>
        <w:t>INTRODUCTION</w:t>
      </w:r>
    </w:p>
    <w:p w14:paraId="0AF2DC63" w14:textId="71448785" w:rsidR="00ED2A84" w:rsidRPr="0036109F" w:rsidRDefault="0072320E" w:rsidP="00ED2A84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6109F">
        <w:rPr>
          <w:color w:val="000000" w:themeColor="text1"/>
          <w:sz w:val="22"/>
          <w:szCs w:val="22"/>
        </w:rPr>
        <w:t>Antimicrobial resistant bacteria (ARB) and antimicrobial resista</w:t>
      </w:r>
      <w:r w:rsidR="00EA5F6D" w:rsidRPr="0036109F">
        <w:rPr>
          <w:color w:val="000000" w:themeColor="text1"/>
          <w:sz w:val="22"/>
          <w:szCs w:val="22"/>
        </w:rPr>
        <w:t xml:space="preserve">nce genes (ARGs) have emerged as significant </w:t>
      </w:r>
      <w:r w:rsidRPr="0036109F">
        <w:rPr>
          <w:color w:val="000000" w:themeColor="text1"/>
          <w:sz w:val="22"/>
          <w:szCs w:val="22"/>
        </w:rPr>
        <w:t>environmental threat</w:t>
      </w:r>
      <w:r w:rsidR="00EA5F6D" w:rsidRPr="0036109F">
        <w:rPr>
          <w:color w:val="000000" w:themeColor="text1"/>
          <w:sz w:val="22"/>
          <w:szCs w:val="22"/>
        </w:rPr>
        <w:t xml:space="preserve">s posing serious risks to both human health and </w:t>
      </w:r>
      <w:r w:rsidRPr="0036109F">
        <w:rPr>
          <w:color w:val="000000" w:themeColor="text1"/>
          <w:sz w:val="22"/>
          <w:szCs w:val="22"/>
        </w:rPr>
        <w:t>ecological balance (</w:t>
      </w:r>
      <w:proofErr w:type="spellStart"/>
      <w:r w:rsidRPr="0036109F">
        <w:rPr>
          <w:color w:val="000000" w:themeColor="text1"/>
          <w:sz w:val="22"/>
          <w:szCs w:val="22"/>
        </w:rPr>
        <w:t>Karkman</w:t>
      </w:r>
      <w:proofErr w:type="spellEnd"/>
      <w:r w:rsidRPr="0036109F">
        <w:rPr>
          <w:color w:val="000000" w:themeColor="text1"/>
          <w:sz w:val="22"/>
          <w:szCs w:val="22"/>
        </w:rPr>
        <w:t xml:space="preserve"> et al., 2020; </w:t>
      </w:r>
      <w:r w:rsidR="003D53EC" w:rsidRPr="0036109F">
        <w:rPr>
          <w:color w:val="000000" w:themeColor="text1"/>
          <w:sz w:val="22"/>
          <w:szCs w:val="22"/>
          <w:shd w:val="clear" w:color="auto" w:fill="FFFFFF"/>
        </w:rPr>
        <w:t>Peterson, E., &amp; Kaur, P. 2018</w:t>
      </w:r>
      <w:r w:rsidRPr="0036109F">
        <w:rPr>
          <w:color w:val="000000" w:themeColor="text1"/>
          <w:sz w:val="22"/>
          <w:szCs w:val="22"/>
        </w:rPr>
        <w:t xml:space="preserve">). Municipal and industrial waste water </w:t>
      </w:r>
      <w:r w:rsidR="00EA5F6D" w:rsidRPr="0036109F">
        <w:rPr>
          <w:color w:val="000000" w:themeColor="text1"/>
          <w:sz w:val="22"/>
          <w:szCs w:val="22"/>
        </w:rPr>
        <w:t xml:space="preserve">discharges play a critical role in disseminating </w:t>
      </w:r>
      <w:r w:rsidRPr="0036109F">
        <w:rPr>
          <w:color w:val="000000" w:themeColor="text1"/>
          <w:sz w:val="22"/>
          <w:szCs w:val="22"/>
        </w:rPr>
        <w:t>r</w:t>
      </w:r>
      <w:r w:rsidR="00EA5F6D" w:rsidRPr="0036109F">
        <w:rPr>
          <w:color w:val="000000" w:themeColor="text1"/>
          <w:sz w:val="22"/>
          <w:szCs w:val="22"/>
        </w:rPr>
        <w:t xml:space="preserve">esistance determinants within </w:t>
      </w:r>
      <w:r w:rsidRPr="0036109F">
        <w:rPr>
          <w:color w:val="000000" w:themeColor="text1"/>
          <w:sz w:val="22"/>
          <w:szCs w:val="22"/>
        </w:rPr>
        <w:t>aquatic ecosystem</w:t>
      </w:r>
      <w:r w:rsidR="00EA5F6D" w:rsidRPr="0036109F">
        <w:rPr>
          <w:color w:val="000000" w:themeColor="text1"/>
          <w:sz w:val="22"/>
          <w:szCs w:val="22"/>
        </w:rPr>
        <w:t>s</w:t>
      </w:r>
      <w:r w:rsidRPr="0036109F">
        <w:rPr>
          <w:color w:val="000000" w:themeColor="text1"/>
          <w:sz w:val="22"/>
          <w:szCs w:val="22"/>
        </w:rPr>
        <w:t xml:space="preserve">. Waste water from chemical and </w:t>
      </w:r>
      <w:r w:rsidR="00EA5F6D" w:rsidRPr="0036109F">
        <w:rPr>
          <w:color w:val="000000" w:themeColor="text1"/>
          <w:sz w:val="22"/>
          <w:szCs w:val="22"/>
        </w:rPr>
        <w:t xml:space="preserve">pharmaceutical industries often contain elevated concentrations of </w:t>
      </w:r>
      <w:r w:rsidRPr="0036109F">
        <w:rPr>
          <w:color w:val="000000" w:themeColor="text1"/>
          <w:sz w:val="22"/>
          <w:szCs w:val="22"/>
        </w:rPr>
        <w:t>antibiotic</w:t>
      </w:r>
      <w:r w:rsidR="00EA5F6D" w:rsidRPr="0036109F">
        <w:rPr>
          <w:color w:val="000000" w:themeColor="text1"/>
          <w:sz w:val="22"/>
          <w:szCs w:val="22"/>
        </w:rPr>
        <w:t>s</w:t>
      </w:r>
      <w:r w:rsidRPr="0036109F">
        <w:rPr>
          <w:color w:val="000000" w:themeColor="text1"/>
          <w:sz w:val="22"/>
          <w:szCs w:val="22"/>
        </w:rPr>
        <w:t xml:space="preserve"> </w:t>
      </w:r>
      <w:r w:rsidR="00EA5F6D" w:rsidRPr="0036109F">
        <w:rPr>
          <w:color w:val="000000" w:themeColor="text1"/>
          <w:sz w:val="22"/>
          <w:szCs w:val="22"/>
        </w:rPr>
        <w:t xml:space="preserve">and resistance genes thereby intensifying selective pressure on </w:t>
      </w:r>
      <w:r w:rsidRPr="0036109F">
        <w:rPr>
          <w:color w:val="000000" w:themeColor="text1"/>
          <w:sz w:val="22"/>
          <w:szCs w:val="22"/>
        </w:rPr>
        <w:t xml:space="preserve">environmental microbial communities (Larsson et al., 2022; </w:t>
      </w:r>
      <w:r w:rsidR="008B0677" w:rsidRPr="0036109F">
        <w:rPr>
          <w:color w:val="000000" w:themeColor="text1"/>
          <w:sz w:val="22"/>
          <w:szCs w:val="22"/>
          <w:shd w:val="clear" w:color="auto" w:fill="FFFFFF"/>
        </w:rPr>
        <w:t xml:space="preserve">Wang, et al., 2022). </w:t>
      </w:r>
      <w:r w:rsidR="00EA5F6D" w:rsidRPr="0036109F">
        <w:rPr>
          <w:color w:val="000000" w:themeColor="text1"/>
          <w:sz w:val="22"/>
          <w:szCs w:val="22"/>
        </w:rPr>
        <w:t>Aquatic systems c</w:t>
      </w:r>
      <w:r w:rsidRPr="0036109F">
        <w:rPr>
          <w:color w:val="000000" w:themeColor="text1"/>
          <w:sz w:val="22"/>
          <w:szCs w:val="22"/>
        </w:rPr>
        <w:t xml:space="preserve">ontaminated </w:t>
      </w:r>
      <w:r w:rsidR="00EA5F6D" w:rsidRPr="0036109F">
        <w:rPr>
          <w:color w:val="000000" w:themeColor="text1"/>
          <w:sz w:val="22"/>
          <w:szCs w:val="22"/>
        </w:rPr>
        <w:t>with antimicrobials serves</w:t>
      </w:r>
      <w:r w:rsidRPr="0036109F">
        <w:rPr>
          <w:color w:val="000000" w:themeColor="text1"/>
          <w:sz w:val="22"/>
          <w:szCs w:val="22"/>
        </w:rPr>
        <w:t xml:space="preserve"> as reservoirs of antimicrobial resistance genes</w:t>
      </w:r>
      <w:r w:rsidR="00EA5F6D" w:rsidRPr="0036109F">
        <w:rPr>
          <w:color w:val="000000" w:themeColor="text1"/>
          <w:sz w:val="22"/>
          <w:szCs w:val="22"/>
        </w:rPr>
        <w:t xml:space="preserve"> facilitating </w:t>
      </w:r>
      <w:r w:rsidRPr="0036109F">
        <w:rPr>
          <w:color w:val="000000" w:themeColor="text1"/>
          <w:sz w:val="22"/>
          <w:szCs w:val="22"/>
        </w:rPr>
        <w:t>ho</w:t>
      </w:r>
      <w:r w:rsidR="00E956A9" w:rsidRPr="0036109F">
        <w:rPr>
          <w:color w:val="000000" w:themeColor="text1"/>
          <w:sz w:val="22"/>
          <w:szCs w:val="22"/>
        </w:rPr>
        <w:t xml:space="preserve">rizontal gene transfer and promoting the spread </w:t>
      </w:r>
      <w:r w:rsidRPr="0036109F">
        <w:rPr>
          <w:color w:val="000000" w:themeColor="text1"/>
          <w:sz w:val="22"/>
          <w:szCs w:val="22"/>
        </w:rPr>
        <w:t>of res</w:t>
      </w:r>
      <w:r w:rsidR="00E956A9" w:rsidRPr="0036109F">
        <w:rPr>
          <w:color w:val="000000" w:themeColor="text1"/>
          <w:sz w:val="22"/>
          <w:szCs w:val="22"/>
        </w:rPr>
        <w:t>istance bacterial traits among</w:t>
      </w:r>
      <w:r w:rsidRPr="0036109F">
        <w:rPr>
          <w:color w:val="000000" w:themeColor="text1"/>
          <w:sz w:val="22"/>
          <w:szCs w:val="22"/>
        </w:rPr>
        <w:t xml:space="preserve"> </w:t>
      </w:r>
      <w:r w:rsidR="00E956A9" w:rsidRPr="0036109F">
        <w:rPr>
          <w:color w:val="000000" w:themeColor="text1"/>
          <w:sz w:val="22"/>
          <w:szCs w:val="22"/>
        </w:rPr>
        <w:t xml:space="preserve">both </w:t>
      </w:r>
      <w:r w:rsidRPr="0036109F">
        <w:rPr>
          <w:color w:val="000000" w:themeColor="text1"/>
          <w:sz w:val="22"/>
          <w:szCs w:val="22"/>
        </w:rPr>
        <w:t>environmental and pathogenic bacteria (</w:t>
      </w:r>
      <w:proofErr w:type="spellStart"/>
      <w:r w:rsidR="008B0677" w:rsidRPr="0036109F">
        <w:rPr>
          <w:color w:val="000000" w:themeColor="text1"/>
          <w:sz w:val="22"/>
          <w:szCs w:val="22"/>
          <w:shd w:val="clear" w:color="auto" w:fill="FFFFFF"/>
        </w:rPr>
        <w:t>Kairigo</w:t>
      </w:r>
      <w:proofErr w:type="spellEnd"/>
      <w:r w:rsidR="008B0677" w:rsidRPr="0036109F">
        <w:rPr>
          <w:color w:val="000000" w:themeColor="text1"/>
          <w:sz w:val="22"/>
          <w:szCs w:val="22"/>
          <w:shd w:val="clear" w:color="auto" w:fill="FFFFFF"/>
        </w:rPr>
        <w:t>,</w:t>
      </w:r>
      <w:r w:rsidR="00F0480D" w:rsidRPr="0036109F">
        <w:rPr>
          <w:color w:val="000000" w:themeColor="text1"/>
          <w:sz w:val="22"/>
          <w:szCs w:val="22"/>
          <w:shd w:val="clear" w:color="auto" w:fill="FFFFFF"/>
        </w:rPr>
        <w:t xml:space="preserve"> et al., </w:t>
      </w:r>
      <w:r w:rsidR="008B0677" w:rsidRPr="0036109F">
        <w:rPr>
          <w:color w:val="000000" w:themeColor="text1"/>
          <w:sz w:val="22"/>
          <w:szCs w:val="22"/>
          <w:shd w:val="clear" w:color="auto" w:fill="FFFFFF"/>
        </w:rPr>
        <w:t xml:space="preserve">2020). </w:t>
      </w:r>
      <w:r w:rsidR="00E956A9" w:rsidRPr="0036109F">
        <w:rPr>
          <w:color w:val="000000" w:themeColor="text1"/>
          <w:sz w:val="22"/>
          <w:szCs w:val="22"/>
        </w:rPr>
        <w:t xml:space="preserve">The </w:t>
      </w:r>
      <w:r w:rsidRPr="0036109F">
        <w:rPr>
          <w:color w:val="000000" w:themeColor="text1"/>
          <w:sz w:val="22"/>
          <w:szCs w:val="22"/>
        </w:rPr>
        <w:t>environment</w:t>
      </w:r>
      <w:r w:rsidR="00E956A9" w:rsidRPr="0036109F">
        <w:rPr>
          <w:color w:val="000000" w:themeColor="text1"/>
          <w:sz w:val="22"/>
          <w:szCs w:val="22"/>
        </w:rPr>
        <w:t xml:space="preserve"> not only harbors naturally occurring resistance genes </w:t>
      </w:r>
      <w:r w:rsidRPr="0036109F">
        <w:rPr>
          <w:color w:val="000000" w:themeColor="text1"/>
          <w:sz w:val="22"/>
          <w:szCs w:val="22"/>
        </w:rPr>
        <w:t xml:space="preserve">but </w:t>
      </w:r>
      <w:r w:rsidR="00E956A9" w:rsidRPr="0036109F">
        <w:rPr>
          <w:color w:val="000000" w:themeColor="text1"/>
          <w:sz w:val="22"/>
          <w:szCs w:val="22"/>
        </w:rPr>
        <w:t xml:space="preserve">also promotes their transmission to clinically relevant </w:t>
      </w:r>
      <w:r w:rsidRPr="0036109F">
        <w:rPr>
          <w:color w:val="000000" w:themeColor="text1"/>
          <w:sz w:val="22"/>
          <w:szCs w:val="22"/>
        </w:rPr>
        <w:t>bacteria</w:t>
      </w:r>
      <w:r w:rsidR="00E956A9" w:rsidRPr="0036109F">
        <w:rPr>
          <w:color w:val="000000" w:themeColor="text1"/>
          <w:sz w:val="22"/>
          <w:szCs w:val="22"/>
        </w:rPr>
        <w:t>l strains</w:t>
      </w:r>
      <w:r w:rsidR="0036109F" w:rsidRPr="0036109F">
        <w:rPr>
          <w:color w:val="000000" w:themeColor="text1"/>
          <w:sz w:val="22"/>
          <w:szCs w:val="22"/>
        </w:rPr>
        <w:t xml:space="preserve"> (Hendriksen et al., 2019 &amp; </w:t>
      </w:r>
      <w:r w:rsidR="00ED2A84" w:rsidRPr="0036109F">
        <w:rPr>
          <w:color w:val="000000" w:themeColor="text1"/>
          <w:sz w:val="22"/>
          <w:szCs w:val="22"/>
          <w:shd w:val="clear" w:color="auto" w:fill="FFFFFF"/>
        </w:rPr>
        <w:t xml:space="preserve">Hanna, et al., 2023). </w:t>
      </w:r>
      <w:r w:rsidR="009D1572" w:rsidRPr="0036109F">
        <w:rPr>
          <w:color w:val="000000" w:themeColor="text1"/>
          <w:sz w:val="22"/>
          <w:szCs w:val="22"/>
        </w:rPr>
        <w:t>The a</w:t>
      </w:r>
      <w:r w:rsidRPr="0036109F">
        <w:rPr>
          <w:color w:val="000000" w:themeColor="text1"/>
          <w:sz w:val="22"/>
          <w:szCs w:val="22"/>
        </w:rPr>
        <w:t>ccumulation of antibiotics in the env</w:t>
      </w:r>
      <w:r w:rsidR="009D1572" w:rsidRPr="0036109F">
        <w:rPr>
          <w:color w:val="000000" w:themeColor="text1"/>
          <w:sz w:val="22"/>
          <w:szCs w:val="22"/>
        </w:rPr>
        <w:t xml:space="preserve">ironment resulting from </w:t>
      </w:r>
      <w:r w:rsidRPr="0036109F">
        <w:rPr>
          <w:color w:val="000000" w:themeColor="text1"/>
          <w:sz w:val="22"/>
          <w:szCs w:val="22"/>
        </w:rPr>
        <w:t>industrial discha</w:t>
      </w:r>
      <w:r w:rsidR="00E956A9" w:rsidRPr="0036109F">
        <w:rPr>
          <w:color w:val="000000" w:themeColor="text1"/>
          <w:sz w:val="22"/>
          <w:szCs w:val="22"/>
        </w:rPr>
        <w:t xml:space="preserve">rges, inappropriate disposal and </w:t>
      </w:r>
      <w:r w:rsidRPr="0036109F">
        <w:rPr>
          <w:color w:val="000000" w:themeColor="text1"/>
          <w:sz w:val="22"/>
          <w:szCs w:val="22"/>
        </w:rPr>
        <w:t xml:space="preserve">agricultural runoff </w:t>
      </w:r>
      <w:r w:rsidR="00E956A9" w:rsidRPr="0036109F">
        <w:rPr>
          <w:color w:val="000000" w:themeColor="text1"/>
          <w:sz w:val="22"/>
          <w:szCs w:val="22"/>
        </w:rPr>
        <w:t xml:space="preserve">drives </w:t>
      </w:r>
      <w:r w:rsidR="009D1572" w:rsidRPr="0036109F">
        <w:rPr>
          <w:color w:val="000000" w:themeColor="text1"/>
          <w:sz w:val="22"/>
          <w:szCs w:val="22"/>
        </w:rPr>
        <w:t>the emergence of adaptive re</w:t>
      </w:r>
      <w:r w:rsidR="00E956A9" w:rsidRPr="0036109F">
        <w:rPr>
          <w:color w:val="000000" w:themeColor="text1"/>
          <w:sz w:val="22"/>
          <w:szCs w:val="22"/>
        </w:rPr>
        <w:t xml:space="preserve">sistance mechanisms in previously </w:t>
      </w:r>
      <w:r w:rsidR="009D1572" w:rsidRPr="0036109F">
        <w:rPr>
          <w:color w:val="000000" w:themeColor="text1"/>
          <w:sz w:val="22"/>
          <w:szCs w:val="22"/>
        </w:rPr>
        <w:t xml:space="preserve">antibiotic sensitive bacterial populations, frequently involving mobile genetic elements such as </w:t>
      </w:r>
      <w:proofErr w:type="spellStart"/>
      <w:r w:rsidR="009D1572" w:rsidRPr="0036109F">
        <w:rPr>
          <w:color w:val="000000" w:themeColor="text1"/>
          <w:sz w:val="22"/>
          <w:szCs w:val="22"/>
        </w:rPr>
        <w:t>integrons</w:t>
      </w:r>
      <w:proofErr w:type="spellEnd"/>
      <w:r w:rsidR="009D1572" w:rsidRPr="0036109F">
        <w:rPr>
          <w:color w:val="000000" w:themeColor="text1"/>
          <w:sz w:val="22"/>
          <w:szCs w:val="22"/>
        </w:rPr>
        <w:t xml:space="preserve"> and plasmids </w:t>
      </w:r>
      <w:r w:rsidR="00E956A9" w:rsidRPr="0036109F">
        <w:rPr>
          <w:color w:val="000000" w:themeColor="text1"/>
          <w:sz w:val="22"/>
          <w:szCs w:val="22"/>
        </w:rPr>
        <w:t xml:space="preserve">(Zhang et al., 2021). The detection </w:t>
      </w:r>
      <w:r w:rsidRPr="0036109F">
        <w:rPr>
          <w:color w:val="000000" w:themeColor="text1"/>
          <w:sz w:val="22"/>
          <w:szCs w:val="22"/>
        </w:rPr>
        <w:t>of pha</w:t>
      </w:r>
      <w:r w:rsidR="00E956A9" w:rsidRPr="0036109F">
        <w:rPr>
          <w:color w:val="000000" w:themeColor="text1"/>
          <w:sz w:val="22"/>
          <w:szCs w:val="22"/>
        </w:rPr>
        <w:t xml:space="preserve">rmaceutical compounds including </w:t>
      </w:r>
      <w:r w:rsidRPr="0036109F">
        <w:rPr>
          <w:color w:val="000000" w:themeColor="text1"/>
          <w:sz w:val="22"/>
          <w:szCs w:val="22"/>
        </w:rPr>
        <w:t>antibiotics in wate</w:t>
      </w:r>
      <w:r w:rsidR="00E956A9" w:rsidRPr="0036109F">
        <w:rPr>
          <w:color w:val="000000" w:themeColor="text1"/>
          <w:sz w:val="22"/>
          <w:szCs w:val="22"/>
        </w:rPr>
        <w:t xml:space="preserve">r and soil samples has heightened </w:t>
      </w:r>
      <w:r w:rsidRPr="0036109F">
        <w:rPr>
          <w:color w:val="000000" w:themeColor="text1"/>
          <w:sz w:val="22"/>
          <w:szCs w:val="22"/>
        </w:rPr>
        <w:t>global concern</w:t>
      </w:r>
      <w:r w:rsidR="00E956A9" w:rsidRPr="0036109F">
        <w:rPr>
          <w:color w:val="000000" w:themeColor="text1"/>
          <w:sz w:val="22"/>
          <w:szCs w:val="22"/>
        </w:rPr>
        <w:t xml:space="preserve"> prompting intensified environmental surveillance</w:t>
      </w:r>
      <w:r w:rsidRPr="0036109F">
        <w:rPr>
          <w:color w:val="000000" w:themeColor="text1"/>
          <w:sz w:val="22"/>
          <w:szCs w:val="22"/>
        </w:rPr>
        <w:t xml:space="preserve">. </w:t>
      </w:r>
      <w:r w:rsidR="00E956A9" w:rsidRPr="0036109F">
        <w:rPr>
          <w:color w:val="000000" w:themeColor="text1"/>
          <w:sz w:val="22"/>
          <w:szCs w:val="22"/>
        </w:rPr>
        <w:t xml:space="preserve">Recent studies </w:t>
      </w:r>
      <w:r w:rsidR="00EE46C5" w:rsidRPr="0036109F">
        <w:rPr>
          <w:color w:val="000000" w:themeColor="text1"/>
          <w:sz w:val="22"/>
          <w:szCs w:val="22"/>
        </w:rPr>
        <w:t xml:space="preserve">have consistently reported the widespread presence of these compounds across diverse ecosystems </w:t>
      </w:r>
      <w:r w:rsidRPr="0036109F">
        <w:rPr>
          <w:color w:val="000000" w:themeColor="text1"/>
          <w:sz w:val="22"/>
          <w:szCs w:val="22"/>
        </w:rPr>
        <w:t>(</w:t>
      </w:r>
      <w:r w:rsidR="00E8317E" w:rsidRPr="0036109F">
        <w:rPr>
          <w:color w:val="000000" w:themeColor="text1"/>
          <w:sz w:val="22"/>
          <w:szCs w:val="22"/>
          <w:shd w:val="clear" w:color="auto" w:fill="FFFFFF"/>
        </w:rPr>
        <w:t xml:space="preserve">Wang, et al., 2021). </w:t>
      </w:r>
      <w:r w:rsidR="00EE46C5" w:rsidRPr="0036109F">
        <w:rPr>
          <w:color w:val="000000" w:themeColor="text1"/>
          <w:sz w:val="22"/>
          <w:szCs w:val="22"/>
        </w:rPr>
        <w:t xml:space="preserve">Waste water treatment facilities particularly those associated with pharmaceutical manufacturing have been identified as hotspots for the emergence and </w:t>
      </w:r>
      <w:r w:rsidR="00EE46C5" w:rsidRPr="0036109F">
        <w:rPr>
          <w:color w:val="000000" w:themeColor="text1"/>
          <w:sz w:val="22"/>
          <w:szCs w:val="22"/>
        </w:rPr>
        <w:lastRenderedPageBreak/>
        <w:t>dissemination of multidrug resistant bacteria (</w:t>
      </w:r>
      <w:r w:rsidR="008B0677" w:rsidRPr="0036109F">
        <w:rPr>
          <w:color w:val="000000" w:themeColor="text1"/>
          <w:sz w:val="22"/>
          <w:szCs w:val="22"/>
          <w:shd w:val="clear" w:color="auto" w:fill="FFFFFF"/>
        </w:rPr>
        <w:t>Shen, et al., 2023</w:t>
      </w:r>
      <w:r w:rsidR="0049599F" w:rsidRPr="0036109F">
        <w:rPr>
          <w:color w:val="000000" w:themeColor="text1"/>
          <w:sz w:val="22"/>
          <w:szCs w:val="22"/>
          <w:shd w:val="clear" w:color="auto" w:fill="FFFFFF"/>
        </w:rPr>
        <w:t>)</w:t>
      </w:r>
      <w:r w:rsidR="008B0677" w:rsidRPr="0036109F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EE46C5" w:rsidRPr="0036109F">
        <w:rPr>
          <w:color w:val="000000" w:themeColor="text1"/>
          <w:sz w:val="22"/>
          <w:szCs w:val="22"/>
        </w:rPr>
        <w:t>Once released i</w:t>
      </w:r>
      <w:r w:rsidRPr="0036109F">
        <w:rPr>
          <w:color w:val="000000" w:themeColor="text1"/>
          <w:sz w:val="22"/>
          <w:szCs w:val="22"/>
        </w:rPr>
        <w:t>nto terrestri</w:t>
      </w:r>
      <w:r w:rsidR="00EE46C5" w:rsidRPr="0036109F">
        <w:rPr>
          <w:color w:val="000000" w:themeColor="text1"/>
          <w:sz w:val="22"/>
          <w:szCs w:val="22"/>
        </w:rPr>
        <w:t xml:space="preserve">al and aquatic ecosystems, these bacteria contribute to the expansion of the environmental </w:t>
      </w:r>
      <w:proofErr w:type="spellStart"/>
      <w:r w:rsidR="00EE46C5" w:rsidRPr="0036109F">
        <w:rPr>
          <w:color w:val="000000" w:themeColor="text1"/>
          <w:sz w:val="22"/>
          <w:szCs w:val="22"/>
        </w:rPr>
        <w:t>resistome</w:t>
      </w:r>
      <w:proofErr w:type="spellEnd"/>
      <w:r w:rsidR="00EE46C5" w:rsidRPr="0036109F">
        <w:rPr>
          <w:color w:val="000000" w:themeColor="text1"/>
          <w:sz w:val="22"/>
          <w:szCs w:val="22"/>
        </w:rPr>
        <w:t xml:space="preserve"> and facilitate the transfer of </w:t>
      </w:r>
      <w:r w:rsidRPr="0036109F">
        <w:rPr>
          <w:color w:val="000000" w:themeColor="text1"/>
          <w:sz w:val="22"/>
          <w:szCs w:val="22"/>
        </w:rPr>
        <w:t>antimicrobial resistance genes to pathogenic bacterial species aggravating public health concerns (</w:t>
      </w:r>
      <w:r w:rsidR="00F0480D" w:rsidRPr="0036109F">
        <w:rPr>
          <w:color w:val="000000" w:themeColor="text1"/>
          <w:sz w:val="22"/>
          <w:szCs w:val="22"/>
          <w:shd w:val="clear" w:color="auto" w:fill="FFFFFF"/>
        </w:rPr>
        <w:t>Peterson, E., &amp; Kaur, P. 2018).</w:t>
      </w:r>
    </w:p>
    <w:p w14:paraId="41D7E234" w14:textId="7E13FD71" w:rsidR="00ED2A84" w:rsidRPr="0036109F" w:rsidRDefault="00EE46C5" w:rsidP="009D1572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6109F">
        <w:rPr>
          <w:color w:val="000000" w:themeColor="text1"/>
          <w:sz w:val="22"/>
          <w:szCs w:val="22"/>
        </w:rPr>
        <w:t xml:space="preserve">Comparative </w:t>
      </w:r>
      <w:r w:rsidR="0072320E" w:rsidRPr="0036109F">
        <w:rPr>
          <w:color w:val="000000" w:themeColor="text1"/>
          <w:sz w:val="22"/>
          <w:szCs w:val="22"/>
        </w:rPr>
        <w:t>stu</w:t>
      </w:r>
      <w:r w:rsidRPr="0036109F">
        <w:rPr>
          <w:color w:val="000000" w:themeColor="text1"/>
          <w:sz w:val="22"/>
          <w:szCs w:val="22"/>
        </w:rPr>
        <w:t xml:space="preserve">dies have shown significantly higher loads </w:t>
      </w:r>
      <w:r w:rsidR="0072320E" w:rsidRPr="0036109F">
        <w:rPr>
          <w:color w:val="000000" w:themeColor="text1"/>
          <w:sz w:val="22"/>
          <w:szCs w:val="22"/>
        </w:rPr>
        <w:t xml:space="preserve">of antimicrobial resistance bacteria in </w:t>
      </w:r>
      <w:r w:rsidRPr="0036109F">
        <w:rPr>
          <w:color w:val="000000" w:themeColor="text1"/>
          <w:sz w:val="22"/>
          <w:szCs w:val="22"/>
        </w:rPr>
        <w:t xml:space="preserve">polluted versus unpolluted environments highlighting </w:t>
      </w:r>
      <w:r w:rsidR="0072320E" w:rsidRPr="0036109F">
        <w:rPr>
          <w:color w:val="000000" w:themeColor="text1"/>
          <w:sz w:val="22"/>
          <w:szCs w:val="22"/>
        </w:rPr>
        <w:t>anthropogenic activities as significant drivers of environmental antimicrobial resistance (</w:t>
      </w:r>
      <w:r w:rsidR="00F0480D" w:rsidRPr="0036109F">
        <w:rPr>
          <w:color w:val="000000" w:themeColor="text1"/>
          <w:sz w:val="22"/>
          <w:szCs w:val="22"/>
          <w:shd w:val="clear" w:color="auto" w:fill="FFFFFF"/>
        </w:rPr>
        <w:t>Stanton, et al., 2022).</w:t>
      </w:r>
      <w:r w:rsidR="00F0480D" w:rsidRPr="0036109F">
        <w:rPr>
          <w:color w:val="000000" w:themeColor="text1"/>
          <w:sz w:val="22"/>
          <w:szCs w:val="22"/>
        </w:rPr>
        <w:t xml:space="preserve"> </w:t>
      </w:r>
      <w:r w:rsidRPr="0036109F">
        <w:rPr>
          <w:color w:val="000000" w:themeColor="text1"/>
          <w:sz w:val="22"/>
          <w:szCs w:val="22"/>
        </w:rPr>
        <w:t>E</w:t>
      </w:r>
      <w:r w:rsidR="0072320E" w:rsidRPr="0036109F">
        <w:rPr>
          <w:color w:val="000000" w:themeColor="text1"/>
          <w:sz w:val="22"/>
          <w:szCs w:val="22"/>
        </w:rPr>
        <w:t>nvironment</w:t>
      </w:r>
      <w:r w:rsidRPr="0036109F">
        <w:rPr>
          <w:color w:val="000000" w:themeColor="text1"/>
          <w:sz w:val="22"/>
          <w:szCs w:val="22"/>
        </w:rPr>
        <w:t xml:space="preserve">al bacteria adapted to diverse </w:t>
      </w:r>
      <w:r w:rsidR="0072320E" w:rsidRPr="0036109F">
        <w:rPr>
          <w:color w:val="000000" w:themeColor="text1"/>
          <w:sz w:val="22"/>
          <w:szCs w:val="22"/>
        </w:rPr>
        <w:t>ecological condi</w:t>
      </w:r>
      <w:r w:rsidRPr="0036109F">
        <w:rPr>
          <w:color w:val="000000" w:themeColor="text1"/>
          <w:sz w:val="22"/>
          <w:szCs w:val="22"/>
        </w:rPr>
        <w:t xml:space="preserve">tions act as vectors for the dissemination of </w:t>
      </w:r>
      <w:r w:rsidR="0072320E" w:rsidRPr="0036109F">
        <w:rPr>
          <w:color w:val="000000" w:themeColor="text1"/>
          <w:sz w:val="22"/>
          <w:szCs w:val="22"/>
        </w:rPr>
        <w:t xml:space="preserve">resistance genes </w:t>
      </w:r>
      <w:r w:rsidRPr="0036109F">
        <w:rPr>
          <w:color w:val="000000" w:themeColor="text1"/>
          <w:sz w:val="22"/>
          <w:szCs w:val="22"/>
        </w:rPr>
        <w:t xml:space="preserve">either </w:t>
      </w:r>
      <w:r w:rsidR="0072320E" w:rsidRPr="0036109F">
        <w:rPr>
          <w:color w:val="000000" w:themeColor="text1"/>
          <w:sz w:val="22"/>
          <w:szCs w:val="22"/>
        </w:rPr>
        <w:t>d</w:t>
      </w:r>
      <w:r w:rsidR="00ED2A84" w:rsidRPr="0036109F">
        <w:rPr>
          <w:color w:val="000000" w:themeColor="text1"/>
          <w:sz w:val="22"/>
          <w:szCs w:val="22"/>
        </w:rPr>
        <w:t xml:space="preserve">irectly or through food chains. </w:t>
      </w:r>
      <w:r w:rsidR="00E85C32" w:rsidRPr="0036109F">
        <w:rPr>
          <w:color w:val="000000" w:themeColor="text1"/>
          <w:sz w:val="22"/>
          <w:szCs w:val="22"/>
        </w:rPr>
        <w:t xml:space="preserve">Existence </w:t>
      </w:r>
      <w:r w:rsidR="0072320E" w:rsidRPr="0036109F">
        <w:rPr>
          <w:color w:val="000000" w:themeColor="text1"/>
          <w:sz w:val="22"/>
          <w:szCs w:val="22"/>
        </w:rPr>
        <w:t>of antimi</w:t>
      </w:r>
      <w:r w:rsidR="00E85C32" w:rsidRPr="0036109F">
        <w:rPr>
          <w:color w:val="000000" w:themeColor="text1"/>
          <w:sz w:val="22"/>
          <w:szCs w:val="22"/>
        </w:rPr>
        <w:t xml:space="preserve">crobial resistance genes in </w:t>
      </w:r>
      <w:r w:rsidR="0072320E" w:rsidRPr="0036109F">
        <w:rPr>
          <w:color w:val="000000" w:themeColor="text1"/>
          <w:sz w:val="22"/>
          <w:szCs w:val="22"/>
        </w:rPr>
        <w:t>environmental bacteria intensifies the chances of gene exchange among clinic</w:t>
      </w:r>
      <w:r w:rsidR="00E85C32" w:rsidRPr="0036109F">
        <w:rPr>
          <w:color w:val="000000" w:themeColor="text1"/>
          <w:sz w:val="22"/>
          <w:szCs w:val="22"/>
        </w:rPr>
        <w:t xml:space="preserve">ally related pathogens thereby escalating </w:t>
      </w:r>
      <w:r w:rsidR="0072320E" w:rsidRPr="0036109F">
        <w:rPr>
          <w:color w:val="000000" w:themeColor="text1"/>
          <w:sz w:val="22"/>
          <w:szCs w:val="22"/>
        </w:rPr>
        <w:t>public health risk</w:t>
      </w:r>
      <w:r w:rsidR="00E85C32" w:rsidRPr="0036109F">
        <w:rPr>
          <w:color w:val="000000" w:themeColor="text1"/>
          <w:sz w:val="22"/>
          <w:szCs w:val="22"/>
        </w:rPr>
        <w:t>s</w:t>
      </w:r>
      <w:r w:rsidR="0072320E" w:rsidRPr="0036109F">
        <w:rPr>
          <w:color w:val="000000" w:themeColor="text1"/>
          <w:sz w:val="22"/>
          <w:szCs w:val="22"/>
        </w:rPr>
        <w:t xml:space="preserve"> (</w:t>
      </w:r>
      <w:r w:rsidR="003D53EC" w:rsidRPr="0036109F">
        <w:rPr>
          <w:color w:val="000000" w:themeColor="text1"/>
          <w:sz w:val="22"/>
          <w:szCs w:val="22"/>
          <w:shd w:val="clear" w:color="auto" w:fill="FFFFFF"/>
        </w:rPr>
        <w:t xml:space="preserve">Sharma, et al., 2024). </w:t>
      </w:r>
      <w:r w:rsidR="00E4414C" w:rsidRPr="0036109F">
        <w:rPr>
          <w:color w:val="000000" w:themeColor="text1"/>
          <w:sz w:val="22"/>
          <w:szCs w:val="22"/>
        </w:rPr>
        <w:t>Improper discharge</w:t>
      </w:r>
      <w:r w:rsidR="0072320E" w:rsidRPr="0036109F">
        <w:rPr>
          <w:color w:val="000000" w:themeColor="text1"/>
          <w:sz w:val="22"/>
          <w:szCs w:val="22"/>
        </w:rPr>
        <w:t xml:space="preserve"> </w:t>
      </w:r>
      <w:r w:rsidR="00E4414C" w:rsidRPr="0036109F">
        <w:rPr>
          <w:color w:val="000000" w:themeColor="text1"/>
          <w:sz w:val="22"/>
          <w:szCs w:val="22"/>
        </w:rPr>
        <w:t xml:space="preserve">of untreated or inadequately treated industrial waste water contributes </w:t>
      </w:r>
      <w:r w:rsidR="0072320E" w:rsidRPr="0036109F">
        <w:rPr>
          <w:color w:val="000000" w:themeColor="text1"/>
          <w:sz w:val="22"/>
          <w:szCs w:val="22"/>
        </w:rPr>
        <w:t>to environmental degradation</w:t>
      </w:r>
      <w:r w:rsidR="00E4414C" w:rsidRPr="0036109F">
        <w:rPr>
          <w:color w:val="000000" w:themeColor="text1"/>
          <w:sz w:val="22"/>
          <w:szCs w:val="22"/>
        </w:rPr>
        <w:t xml:space="preserve"> leading to the contamination of </w:t>
      </w:r>
      <w:r w:rsidR="0072320E" w:rsidRPr="0036109F">
        <w:rPr>
          <w:color w:val="000000" w:themeColor="text1"/>
          <w:sz w:val="22"/>
          <w:szCs w:val="22"/>
        </w:rPr>
        <w:t>ground an</w:t>
      </w:r>
      <w:r w:rsidR="00E4414C" w:rsidRPr="0036109F">
        <w:rPr>
          <w:color w:val="000000" w:themeColor="text1"/>
          <w:sz w:val="22"/>
          <w:szCs w:val="22"/>
        </w:rPr>
        <w:t xml:space="preserve">d surface water and the introduction of pathogenic microorganisms into human populations </w:t>
      </w:r>
      <w:r w:rsidR="0072320E" w:rsidRPr="0036109F">
        <w:rPr>
          <w:color w:val="000000" w:themeColor="text1"/>
          <w:sz w:val="22"/>
          <w:szCs w:val="22"/>
        </w:rPr>
        <w:t>(</w:t>
      </w:r>
      <w:r w:rsidR="00C74264" w:rsidRPr="0036109F">
        <w:rPr>
          <w:color w:val="000000" w:themeColor="text1"/>
          <w:sz w:val="22"/>
          <w:szCs w:val="22"/>
          <w:shd w:val="clear" w:color="auto" w:fill="FFFFFF"/>
        </w:rPr>
        <w:t xml:space="preserve">Lorenzo, M., &amp; </w:t>
      </w:r>
      <w:r w:rsidR="00ED2A84" w:rsidRPr="0036109F">
        <w:rPr>
          <w:color w:val="000000" w:themeColor="text1"/>
          <w:sz w:val="22"/>
          <w:szCs w:val="22"/>
          <w:shd w:val="clear" w:color="auto" w:fill="FFFFFF"/>
        </w:rPr>
        <w:t>Pico</w:t>
      </w:r>
      <w:r w:rsidR="00C74264" w:rsidRPr="0036109F">
        <w:rPr>
          <w:color w:val="000000" w:themeColor="text1"/>
          <w:sz w:val="22"/>
          <w:szCs w:val="22"/>
          <w:shd w:val="clear" w:color="auto" w:fill="FFFFFF"/>
        </w:rPr>
        <w:t>, Y. 2019)</w:t>
      </w:r>
      <w:r w:rsidR="00ED2A84" w:rsidRPr="0036109F">
        <w:rPr>
          <w:color w:val="000000" w:themeColor="text1"/>
          <w:sz w:val="22"/>
          <w:szCs w:val="22"/>
        </w:rPr>
        <w:t>.</w:t>
      </w:r>
      <w:r w:rsidR="00E4414C" w:rsidRPr="0036109F">
        <w:rPr>
          <w:color w:val="000000" w:themeColor="text1"/>
          <w:sz w:val="22"/>
          <w:szCs w:val="22"/>
        </w:rPr>
        <w:t xml:space="preserve">Through </w:t>
      </w:r>
      <w:r w:rsidR="0072320E" w:rsidRPr="0036109F">
        <w:rPr>
          <w:color w:val="000000" w:themeColor="text1"/>
          <w:sz w:val="22"/>
          <w:szCs w:val="22"/>
        </w:rPr>
        <w:t xml:space="preserve">bioaccumulation </w:t>
      </w:r>
      <w:r w:rsidR="00E4414C" w:rsidRPr="0036109F">
        <w:rPr>
          <w:color w:val="000000" w:themeColor="text1"/>
          <w:sz w:val="22"/>
          <w:szCs w:val="22"/>
        </w:rPr>
        <w:t>in th</w:t>
      </w:r>
      <w:r w:rsidR="0036109F" w:rsidRPr="0036109F">
        <w:rPr>
          <w:color w:val="000000" w:themeColor="text1"/>
          <w:sz w:val="22"/>
          <w:szCs w:val="22"/>
        </w:rPr>
        <w:t xml:space="preserve">e food chain, </w:t>
      </w:r>
      <w:r w:rsidR="00E4414C" w:rsidRPr="0036109F">
        <w:rPr>
          <w:color w:val="000000" w:themeColor="text1"/>
          <w:sz w:val="22"/>
          <w:szCs w:val="22"/>
        </w:rPr>
        <w:t xml:space="preserve">humans are increasingly exposed to </w:t>
      </w:r>
      <w:r w:rsidR="0072320E" w:rsidRPr="0036109F">
        <w:rPr>
          <w:color w:val="000000" w:themeColor="text1"/>
          <w:sz w:val="22"/>
          <w:szCs w:val="22"/>
        </w:rPr>
        <w:t xml:space="preserve">resistance microorganisms and antimicrobial resistance </w:t>
      </w:r>
      <w:r w:rsidR="00E4414C" w:rsidRPr="0036109F">
        <w:rPr>
          <w:color w:val="000000" w:themeColor="text1"/>
          <w:sz w:val="22"/>
          <w:szCs w:val="22"/>
        </w:rPr>
        <w:t xml:space="preserve">bacteria </w:t>
      </w:r>
      <w:r w:rsidR="00ED2A84" w:rsidRPr="0036109F">
        <w:rPr>
          <w:color w:val="000000" w:themeColor="text1"/>
          <w:sz w:val="22"/>
          <w:szCs w:val="22"/>
        </w:rPr>
        <w:t>resulting</w:t>
      </w:r>
      <w:r w:rsidR="00E4414C" w:rsidRPr="0036109F">
        <w:rPr>
          <w:color w:val="000000" w:themeColor="text1"/>
          <w:sz w:val="22"/>
          <w:szCs w:val="22"/>
        </w:rPr>
        <w:t xml:space="preserve"> </w:t>
      </w:r>
      <w:r w:rsidR="00ED2A84" w:rsidRPr="0036109F">
        <w:rPr>
          <w:color w:val="000000" w:themeColor="text1"/>
          <w:sz w:val="22"/>
          <w:szCs w:val="22"/>
        </w:rPr>
        <w:t xml:space="preserve">in </w:t>
      </w:r>
      <w:r w:rsidR="0072320E" w:rsidRPr="0036109F">
        <w:rPr>
          <w:color w:val="000000" w:themeColor="text1"/>
          <w:sz w:val="22"/>
          <w:szCs w:val="22"/>
        </w:rPr>
        <w:t>infections</w:t>
      </w:r>
      <w:r w:rsidR="00ED2A84" w:rsidRPr="0036109F">
        <w:rPr>
          <w:color w:val="000000" w:themeColor="text1"/>
          <w:sz w:val="22"/>
          <w:szCs w:val="22"/>
        </w:rPr>
        <w:t xml:space="preserve"> that are more difficult to </w:t>
      </w:r>
      <w:r w:rsidR="0072320E" w:rsidRPr="0036109F">
        <w:rPr>
          <w:color w:val="000000" w:themeColor="text1"/>
          <w:sz w:val="22"/>
          <w:szCs w:val="22"/>
        </w:rPr>
        <w:t xml:space="preserve">treat </w:t>
      </w:r>
      <w:r w:rsidR="00ED2A84" w:rsidRPr="0036109F">
        <w:rPr>
          <w:color w:val="000000" w:themeColor="text1"/>
          <w:sz w:val="22"/>
          <w:szCs w:val="22"/>
        </w:rPr>
        <w:t xml:space="preserve">and control </w:t>
      </w:r>
      <w:r w:rsidR="0072320E" w:rsidRPr="0036109F">
        <w:rPr>
          <w:color w:val="000000" w:themeColor="text1"/>
          <w:sz w:val="22"/>
          <w:szCs w:val="22"/>
        </w:rPr>
        <w:t>(</w:t>
      </w:r>
      <w:r w:rsidR="00C74264" w:rsidRPr="0036109F">
        <w:rPr>
          <w:color w:val="000000" w:themeColor="text1"/>
          <w:sz w:val="22"/>
          <w:szCs w:val="22"/>
          <w:shd w:val="clear" w:color="auto" w:fill="FFFFFF"/>
        </w:rPr>
        <w:t>Lee, et al., 2020)</w:t>
      </w:r>
      <w:r w:rsidR="00C07DE5" w:rsidRPr="0036109F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ED2A84" w:rsidRPr="0036109F">
        <w:rPr>
          <w:color w:val="000000" w:themeColor="text1"/>
          <w:sz w:val="22"/>
          <w:szCs w:val="22"/>
        </w:rPr>
        <w:t xml:space="preserve">The rise of </w:t>
      </w:r>
      <w:r w:rsidR="0072320E" w:rsidRPr="0036109F">
        <w:rPr>
          <w:color w:val="000000" w:themeColor="text1"/>
          <w:sz w:val="22"/>
          <w:szCs w:val="22"/>
        </w:rPr>
        <w:t>antimicrobi</w:t>
      </w:r>
      <w:r w:rsidR="00ED2A84" w:rsidRPr="0036109F">
        <w:rPr>
          <w:color w:val="000000" w:themeColor="text1"/>
          <w:sz w:val="22"/>
          <w:szCs w:val="22"/>
        </w:rPr>
        <w:t xml:space="preserve">al resistance pathogens particularly </w:t>
      </w:r>
      <w:r w:rsidR="0072320E" w:rsidRPr="0036109F">
        <w:rPr>
          <w:color w:val="000000" w:themeColor="text1"/>
          <w:sz w:val="22"/>
          <w:szCs w:val="22"/>
        </w:rPr>
        <w:t xml:space="preserve">enteric </w:t>
      </w:r>
      <w:r w:rsidR="00ED2A84" w:rsidRPr="0036109F">
        <w:rPr>
          <w:color w:val="000000" w:themeColor="text1"/>
          <w:sz w:val="22"/>
          <w:szCs w:val="22"/>
        </w:rPr>
        <w:t xml:space="preserve">bacteria </w:t>
      </w:r>
      <w:r w:rsidR="0072320E" w:rsidRPr="0036109F">
        <w:rPr>
          <w:color w:val="000000" w:themeColor="text1"/>
          <w:sz w:val="22"/>
          <w:szCs w:val="22"/>
        </w:rPr>
        <w:t>in environ</w:t>
      </w:r>
      <w:r w:rsidR="00ED2A84" w:rsidRPr="0036109F">
        <w:rPr>
          <w:color w:val="000000" w:themeColor="text1"/>
          <w:sz w:val="22"/>
          <w:szCs w:val="22"/>
        </w:rPr>
        <w:t xml:space="preserve">mental samples from low-income </w:t>
      </w:r>
      <w:r w:rsidR="0072320E" w:rsidRPr="0036109F">
        <w:rPr>
          <w:color w:val="000000" w:themeColor="text1"/>
          <w:sz w:val="22"/>
          <w:szCs w:val="22"/>
        </w:rPr>
        <w:t xml:space="preserve">countries </w:t>
      </w:r>
      <w:r w:rsidR="00ED2A84" w:rsidRPr="0036109F">
        <w:rPr>
          <w:color w:val="000000" w:themeColor="text1"/>
          <w:sz w:val="22"/>
          <w:szCs w:val="22"/>
        </w:rPr>
        <w:t xml:space="preserve">is a growing concern often attributed to insufficient infrastructure and limited public awareness </w:t>
      </w:r>
      <w:r w:rsidR="0072320E" w:rsidRPr="0036109F">
        <w:rPr>
          <w:color w:val="000000" w:themeColor="text1"/>
          <w:sz w:val="22"/>
          <w:szCs w:val="22"/>
        </w:rPr>
        <w:t>(</w:t>
      </w:r>
      <w:r w:rsidR="0036109F" w:rsidRPr="0036109F">
        <w:rPr>
          <w:color w:val="000000" w:themeColor="text1"/>
          <w:sz w:val="22"/>
          <w:szCs w:val="22"/>
          <w:shd w:val="clear" w:color="auto" w:fill="FFFFFF"/>
        </w:rPr>
        <w:t xml:space="preserve">Hanna </w:t>
      </w:r>
      <w:r w:rsidR="00792777" w:rsidRPr="0036109F">
        <w:rPr>
          <w:color w:val="000000" w:themeColor="text1"/>
          <w:sz w:val="22"/>
          <w:szCs w:val="22"/>
          <w:shd w:val="clear" w:color="auto" w:fill="FFFFFF"/>
        </w:rPr>
        <w:t xml:space="preserve">et al., 2023). </w:t>
      </w:r>
      <w:r w:rsidR="00ED2A84" w:rsidRPr="0036109F">
        <w:rPr>
          <w:rStyle w:val="Strong"/>
          <w:b w:val="0"/>
          <w:color w:val="000000" w:themeColor="text1"/>
          <w:sz w:val="22"/>
          <w:szCs w:val="22"/>
        </w:rPr>
        <w:t>The widespread and often indiscriminate use of antibiotics in both clinical and non-clinical settings has been strongly linked to the dissemination and persistence of resistance</w:t>
      </w:r>
      <w:r w:rsidR="00ED2A84" w:rsidRPr="0036109F">
        <w:rPr>
          <w:color w:val="000000" w:themeColor="text1"/>
          <w:sz w:val="22"/>
          <w:szCs w:val="22"/>
        </w:rPr>
        <w:t xml:space="preserve"> (Mutua et al., 2023). </w:t>
      </w:r>
      <w:r w:rsidR="00ED2A84" w:rsidRPr="0036109F">
        <w:rPr>
          <w:rStyle w:val="Strong"/>
          <w:b w:val="0"/>
          <w:color w:val="000000" w:themeColor="text1"/>
          <w:sz w:val="22"/>
          <w:szCs w:val="22"/>
        </w:rPr>
        <w:t>Chronic overexposure to antimicrobials fosters the selection of resistant bacterial strains, ultimately reducing treatment efficacy and contributing to increased morbidity, mortality, and healthcare costs</w:t>
      </w:r>
      <w:r w:rsidR="00ED2A84" w:rsidRPr="0036109F">
        <w:rPr>
          <w:b/>
          <w:color w:val="000000" w:themeColor="text1"/>
          <w:sz w:val="22"/>
          <w:szCs w:val="22"/>
        </w:rPr>
        <w:t xml:space="preserve"> </w:t>
      </w:r>
      <w:r w:rsidR="00ED2A84" w:rsidRPr="0036109F">
        <w:rPr>
          <w:color w:val="000000" w:themeColor="text1"/>
          <w:sz w:val="22"/>
          <w:szCs w:val="22"/>
        </w:rPr>
        <w:t>(</w:t>
      </w:r>
      <w:proofErr w:type="spellStart"/>
      <w:r w:rsidR="00ED2A84" w:rsidRPr="0036109F">
        <w:rPr>
          <w:color w:val="000000" w:themeColor="text1"/>
          <w:sz w:val="22"/>
          <w:szCs w:val="22"/>
        </w:rPr>
        <w:t>Pormohammad</w:t>
      </w:r>
      <w:proofErr w:type="spellEnd"/>
      <w:r w:rsidR="00ED2A84" w:rsidRPr="0036109F">
        <w:rPr>
          <w:color w:val="000000" w:themeColor="text1"/>
          <w:sz w:val="22"/>
          <w:szCs w:val="22"/>
        </w:rPr>
        <w:t xml:space="preserve"> et al., 2019).</w:t>
      </w:r>
    </w:p>
    <w:p w14:paraId="6E3E44BE" w14:textId="5BE5DB08" w:rsidR="009D1572" w:rsidRPr="009D1572" w:rsidRDefault="009D1572" w:rsidP="009D1572">
      <w:pPr>
        <w:jc w:val="both"/>
        <w:rPr>
          <w:color w:val="000000" w:themeColor="text1"/>
          <w:sz w:val="22"/>
          <w:szCs w:val="22"/>
        </w:rPr>
      </w:pPr>
    </w:p>
    <w:p w14:paraId="4084F4D1" w14:textId="562680ED" w:rsidR="0072320E" w:rsidRPr="00E411D3" w:rsidRDefault="000E1497" w:rsidP="00BF6299">
      <w:pPr>
        <w:rPr>
          <w:rFonts w:eastAsia="TimesNewRomanPSMT"/>
          <w:b/>
          <w:bCs/>
          <w:color w:val="000000" w:themeColor="text1"/>
          <w:sz w:val="22"/>
          <w:szCs w:val="22"/>
        </w:rPr>
      </w:pPr>
      <w:r w:rsidRPr="00E411D3">
        <w:rPr>
          <w:rFonts w:eastAsia="TimesNewRomanPSMT"/>
          <w:b/>
          <w:bCs/>
          <w:color w:val="000000" w:themeColor="text1"/>
          <w:sz w:val="22"/>
          <w:szCs w:val="22"/>
        </w:rPr>
        <w:t xml:space="preserve">2. </w:t>
      </w:r>
      <w:r w:rsidR="00C07DE5" w:rsidRPr="00E411D3">
        <w:rPr>
          <w:rFonts w:eastAsia="TimesNewRomanPSMT"/>
          <w:b/>
          <w:bCs/>
          <w:color w:val="000000" w:themeColor="text1"/>
          <w:sz w:val="22"/>
          <w:szCs w:val="22"/>
        </w:rPr>
        <w:t>MATERIALS AND METHODS</w:t>
      </w:r>
    </w:p>
    <w:p w14:paraId="63B2544C" w14:textId="77777777" w:rsidR="0072320E" w:rsidRPr="00E411D3" w:rsidRDefault="0072320E" w:rsidP="005E11C6">
      <w:pPr>
        <w:jc w:val="both"/>
        <w:rPr>
          <w:rFonts w:eastAsia="TimesNewRomanPSMT"/>
          <w:color w:val="000000" w:themeColor="text1"/>
          <w:sz w:val="22"/>
          <w:szCs w:val="22"/>
        </w:rPr>
      </w:pPr>
    </w:p>
    <w:p w14:paraId="6CADCFCD" w14:textId="7EE6F7C2" w:rsidR="00ED2A84" w:rsidRPr="00ED2A84" w:rsidRDefault="00E91A4D" w:rsidP="005E11C6">
      <w:pPr>
        <w:jc w:val="both"/>
        <w:rPr>
          <w:b/>
          <w:bCs/>
          <w:color w:val="000000" w:themeColor="text1"/>
          <w:sz w:val="22"/>
          <w:szCs w:val="22"/>
        </w:rPr>
      </w:pPr>
      <w:r w:rsidRPr="00ED2A84">
        <w:rPr>
          <w:color w:val="000000" w:themeColor="text1"/>
          <w:sz w:val="22"/>
          <w:szCs w:val="22"/>
        </w:rPr>
        <w:t xml:space="preserve">The study </w:t>
      </w:r>
      <w:r w:rsidR="003942B1" w:rsidRPr="00ED2A84">
        <w:rPr>
          <w:color w:val="000000" w:themeColor="text1"/>
          <w:sz w:val="22"/>
          <w:szCs w:val="22"/>
        </w:rPr>
        <w:t>was conducted in</w:t>
      </w:r>
      <w:r w:rsidR="00E06500" w:rsidRPr="00ED2A84">
        <w:rPr>
          <w:color w:val="000000" w:themeColor="text1"/>
          <w:sz w:val="22"/>
          <w:szCs w:val="22"/>
        </w:rPr>
        <w:t xml:space="preserve"> Nairo</w:t>
      </w:r>
      <w:r w:rsidRPr="00ED2A84">
        <w:rPr>
          <w:color w:val="000000" w:themeColor="text1"/>
          <w:sz w:val="22"/>
          <w:szCs w:val="22"/>
        </w:rPr>
        <w:t>bi County, Kenya. I</w:t>
      </w:r>
      <w:r w:rsidR="00382672" w:rsidRPr="00ED2A84">
        <w:rPr>
          <w:color w:val="000000" w:themeColor="text1"/>
          <w:sz w:val="22"/>
          <w:szCs w:val="22"/>
        </w:rPr>
        <w:t xml:space="preserve">ndustrial </w:t>
      </w:r>
      <w:r w:rsidRPr="00ED2A84">
        <w:rPr>
          <w:color w:val="000000" w:themeColor="text1"/>
          <w:sz w:val="22"/>
          <w:szCs w:val="22"/>
        </w:rPr>
        <w:t xml:space="preserve">waste </w:t>
      </w:r>
      <w:r w:rsidR="0049599F" w:rsidRPr="00ED2A84">
        <w:rPr>
          <w:color w:val="000000" w:themeColor="text1"/>
          <w:sz w:val="22"/>
          <w:szCs w:val="22"/>
        </w:rPr>
        <w:t xml:space="preserve">water </w:t>
      </w:r>
      <w:r w:rsidRPr="00ED2A84">
        <w:rPr>
          <w:color w:val="000000" w:themeColor="text1"/>
          <w:sz w:val="22"/>
          <w:szCs w:val="22"/>
        </w:rPr>
        <w:t xml:space="preserve">samples were collected using a cross-section study design employing a systematic sampling approach across selected sites within </w:t>
      </w:r>
      <w:r w:rsidR="00E06500" w:rsidRPr="00ED2A84">
        <w:rPr>
          <w:color w:val="000000" w:themeColor="text1"/>
          <w:sz w:val="22"/>
          <w:szCs w:val="22"/>
        </w:rPr>
        <w:t>the study area.</w:t>
      </w:r>
    </w:p>
    <w:p w14:paraId="7DBBBEFD" w14:textId="77777777" w:rsidR="00ED2A84" w:rsidRPr="00ED2A84" w:rsidRDefault="00ED2A84" w:rsidP="005E11C6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DA648DE" w14:textId="0645C82B" w:rsidR="00E91A4D" w:rsidRPr="00ED2A84" w:rsidRDefault="00A57B03" w:rsidP="00BF6299">
      <w:pPr>
        <w:rPr>
          <w:b/>
          <w:bCs/>
          <w:color w:val="000000" w:themeColor="text1"/>
          <w:sz w:val="22"/>
          <w:szCs w:val="22"/>
        </w:rPr>
      </w:pPr>
      <w:r w:rsidRPr="00ED2A84">
        <w:rPr>
          <w:b/>
          <w:bCs/>
          <w:color w:val="000000" w:themeColor="text1"/>
          <w:sz w:val="22"/>
          <w:szCs w:val="22"/>
        </w:rPr>
        <w:t>Sample C</w:t>
      </w:r>
      <w:r w:rsidR="00F50D47" w:rsidRPr="00ED2A84">
        <w:rPr>
          <w:b/>
          <w:bCs/>
          <w:color w:val="000000" w:themeColor="text1"/>
          <w:sz w:val="22"/>
          <w:szCs w:val="22"/>
        </w:rPr>
        <w:t>ollection</w:t>
      </w:r>
    </w:p>
    <w:p w14:paraId="7289E8D9" w14:textId="220E4DDE" w:rsidR="0049599F" w:rsidRPr="00ED2A84" w:rsidRDefault="00183425" w:rsidP="005E11C6">
      <w:pPr>
        <w:jc w:val="both"/>
        <w:rPr>
          <w:color w:val="000000" w:themeColor="text1"/>
          <w:sz w:val="22"/>
          <w:szCs w:val="22"/>
        </w:rPr>
      </w:pPr>
      <w:r w:rsidRPr="00ED2A84">
        <w:rPr>
          <w:color w:val="000000" w:themeColor="text1"/>
          <w:sz w:val="22"/>
          <w:szCs w:val="22"/>
        </w:rPr>
        <w:t>Waste</w:t>
      </w:r>
      <w:r w:rsidR="009D1572" w:rsidRPr="00ED2A84">
        <w:rPr>
          <w:color w:val="000000" w:themeColor="text1"/>
          <w:sz w:val="22"/>
          <w:szCs w:val="22"/>
        </w:rPr>
        <w:t xml:space="preserve"> </w:t>
      </w:r>
      <w:r w:rsidRPr="00ED2A84">
        <w:rPr>
          <w:color w:val="000000" w:themeColor="text1"/>
          <w:sz w:val="22"/>
          <w:szCs w:val="22"/>
        </w:rPr>
        <w:t>water samples for this study were collected from the Industrial Area in Nairobi, Kenya. Sampling was performed aseptically using sterile 10 ml screw-cap bottles. The samples were immediately stored in an icebox and transported under cold chain conditions to the bacteriology laboratory for microbiological analysis.</w:t>
      </w:r>
    </w:p>
    <w:p w14:paraId="41298521" w14:textId="3B4C1503" w:rsidR="006E5D3C" w:rsidRPr="00B319D5" w:rsidRDefault="00A57B03" w:rsidP="00BF6299">
      <w:pPr>
        <w:rPr>
          <w:b/>
          <w:bCs/>
          <w:color w:val="000000" w:themeColor="text1"/>
          <w:sz w:val="22"/>
          <w:szCs w:val="22"/>
        </w:rPr>
      </w:pPr>
      <w:r w:rsidRPr="00B319D5">
        <w:rPr>
          <w:b/>
          <w:bCs/>
          <w:color w:val="000000" w:themeColor="text1"/>
          <w:sz w:val="22"/>
          <w:szCs w:val="22"/>
        </w:rPr>
        <w:t>Bacteria Isolation from W</w:t>
      </w:r>
      <w:r w:rsidR="006E5D3C" w:rsidRPr="00B319D5">
        <w:rPr>
          <w:b/>
          <w:bCs/>
          <w:color w:val="000000" w:themeColor="text1"/>
          <w:sz w:val="22"/>
          <w:szCs w:val="22"/>
        </w:rPr>
        <w:t xml:space="preserve">aste </w:t>
      </w:r>
      <w:r w:rsidRPr="00B319D5">
        <w:rPr>
          <w:b/>
          <w:bCs/>
          <w:color w:val="000000" w:themeColor="text1"/>
          <w:sz w:val="22"/>
          <w:szCs w:val="22"/>
        </w:rPr>
        <w:t>W</w:t>
      </w:r>
      <w:r w:rsidR="0049599F" w:rsidRPr="00B319D5">
        <w:rPr>
          <w:b/>
          <w:bCs/>
          <w:color w:val="000000" w:themeColor="text1"/>
          <w:sz w:val="22"/>
          <w:szCs w:val="22"/>
        </w:rPr>
        <w:t>ater</w:t>
      </w:r>
    </w:p>
    <w:p w14:paraId="09EAC2C1" w14:textId="567E193C" w:rsidR="00183425" w:rsidRPr="00B319D5" w:rsidRDefault="00183425" w:rsidP="00183425">
      <w:pPr>
        <w:jc w:val="both"/>
        <w:rPr>
          <w:color w:val="000000" w:themeColor="text1"/>
          <w:sz w:val="22"/>
          <w:szCs w:val="22"/>
        </w:rPr>
      </w:pPr>
      <w:r w:rsidRPr="00B319D5">
        <w:rPr>
          <w:color w:val="000000" w:themeColor="text1"/>
          <w:sz w:val="22"/>
          <w:szCs w:val="22"/>
        </w:rPr>
        <w:t>Bacterial isolation was performed using the serial dilution technique with sterile distilled water. A sample suspension was prepared by mixing the wastewater effluent with sterile distilled water and subsequently diluted in tenfold series from 10⁻¹ to 10⁻⁵. From each dilution, 0.1 ml was aseptically pipetted and spread onto nutrient agar plates (</w:t>
      </w:r>
      <w:proofErr w:type="spellStart"/>
      <w:r w:rsidRPr="00B319D5">
        <w:rPr>
          <w:color w:val="000000" w:themeColor="text1"/>
          <w:sz w:val="22"/>
          <w:szCs w:val="22"/>
        </w:rPr>
        <w:t>HiMedia</w:t>
      </w:r>
      <w:proofErr w:type="spellEnd"/>
      <w:r w:rsidRPr="00B319D5">
        <w:rPr>
          <w:color w:val="000000" w:themeColor="text1"/>
          <w:sz w:val="22"/>
          <w:szCs w:val="22"/>
        </w:rPr>
        <w:t xml:space="preserve"> Laboratories, India) using a sterile glass spreader. The inoculated plates were incubated at 37 °C for 18–24 hours, following the method des</w:t>
      </w:r>
      <w:r w:rsidR="00177A07">
        <w:rPr>
          <w:color w:val="000000" w:themeColor="text1"/>
          <w:sz w:val="22"/>
          <w:szCs w:val="22"/>
        </w:rPr>
        <w:t>cribed by Shukla and Sahu (2021</w:t>
      </w:r>
      <w:r w:rsidRPr="00B319D5">
        <w:rPr>
          <w:color w:val="000000" w:themeColor="text1"/>
          <w:sz w:val="22"/>
          <w:szCs w:val="22"/>
        </w:rPr>
        <w:t>). After incubation, discrete bacterial colonies were selected and sub cultured onto MacConkey agar and Mannitol salt agar for further characterization.</w:t>
      </w:r>
    </w:p>
    <w:p w14:paraId="326437C2" w14:textId="5B590F43" w:rsidR="00657A3B" w:rsidRPr="00B319D5" w:rsidRDefault="00657A3B" w:rsidP="005E11C6">
      <w:pPr>
        <w:jc w:val="both"/>
        <w:rPr>
          <w:b/>
          <w:bCs/>
          <w:color w:val="000000" w:themeColor="text1"/>
          <w:sz w:val="22"/>
          <w:szCs w:val="22"/>
        </w:rPr>
      </w:pPr>
    </w:p>
    <w:p w14:paraId="339B9E20" w14:textId="1BC64B23" w:rsidR="00D80DC6" w:rsidRPr="00B319D5" w:rsidRDefault="00A57B03" w:rsidP="00BF6299">
      <w:pPr>
        <w:rPr>
          <w:b/>
          <w:bCs/>
          <w:color w:val="000000" w:themeColor="text1"/>
          <w:sz w:val="22"/>
          <w:szCs w:val="22"/>
        </w:rPr>
      </w:pPr>
      <w:r w:rsidRPr="00B319D5">
        <w:rPr>
          <w:b/>
          <w:bCs/>
          <w:color w:val="000000" w:themeColor="text1"/>
          <w:sz w:val="22"/>
          <w:szCs w:val="22"/>
        </w:rPr>
        <w:t>Identification of I</w:t>
      </w:r>
      <w:r w:rsidR="00D80DC6" w:rsidRPr="00B319D5">
        <w:rPr>
          <w:b/>
          <w:bCs/>
          <w:color w:val="000000" w:themeColor="text1"/>
          <w:sz w:val="22"/>
          <w:szCs w:val="22"/>
        </w:rPr>
        <w:t>so</w:t>
      </w:r>
      <w:r w:rsidRPr="00B319D5">
        <w:rPr>
          <w:b/>
          <w:bCs/>
          <w:color w:val="000000" w:themeColor="text1"/>
          <w:sz w:val="22"/>
          <w:szCs w:val="22"/>
        </w:rPr>
        <w:t>lated Bacteria S</w:t>
      </w:r>
      <w:r w:rsidR="00D80DC6" w:rsidRPr="00B319D5">
        <w:rPr>
          <w:b/>
          <w:bCs/>
          <w:color w:val="000000" w:themeColor="text1"/>
          <w:sz w:val="22"/>
          <w:szCs w:val="22"/>
        </w:rPr>
        <w:t>pecies</w:t>
      </w:r>
    </w:p>
    <w:p w14:paraId="2C75D5A3" w14:textId="3F919C84" w:rsidR="00183425" w:rsidRPr="00B319D5" w:rsidRDefault="00183425" w:rsidP="00183425">
      <w:pPr>
        <w:jc w:val="both"/>
        <w:rPr>
          <w:color w:val="000000" w:themeColor="text1"/>
          <w:sz w:val="22"/>
          <w:szCs w:val="22"/>
        </w:rPr>
      </w:pPr>
      <w:r w:rsidRPr="00B319D5">
        <w:rPr>
          <w:color w:val="000000" w:themeColor="text1"/>
          <w:sz w:val="22"/>
          <w:szCs w:val="22"/>
        </w:rPr>
        <w:t>Bacterial cell morphology was initially characterized using Gram staining. Subsequent identification of Gram-negative isolates was performed using the API® 20E identification system (BioMérieux, France) in accordance with the manufacturer's instructions. All isolates were preserved in tryptic soy broth supplemented with 10% glycerol and stored at −80 °C for further analysis.</w:t>
      </w:r>
    </w:p>
    <w:p w14:paraId="1148EB38" w14:textId="437785E9" w:rsidR="0049599F" w:rsidRPr="00B319D5" w:rsidRDefault="0049599F" w:rsidP="005E11C6">
      <w:pPr>
        <w:jc w:val="both"/>
        <w:rPr>
          <w:rFonts w:eastAsia="MinionPro-Capt"/>
          <w:color w:val="000000" w:themeColor="text1"/>
          <w:sz w:val="22"/>
          <w:szCs w:val="22"/>
        </w:rPr>
      </w:pPr>
    </w:p>
    <w:p w14:paraId="46EA83ED" w14:textId="65D87096" w:rsidR="00C101E3" w:rsidRPr="00B319D5" w:rsidRDefault="00C101E3" w:rsidP="00BF6299">
      <w:pPr>
        <w:rPr>
          <w:b/>
          <w:bCs/>
          <w:color w:val="000000" w:themeColor="text1"/>
          <w:sz w:val="22"/>
          <w:szCs w:val="22"/>
        </w:rPr>
      </w:pPr>
      <w:r w:rsidRPr="00B319D5">
        <w:rPr>
          <w:b/>
          <w:bCs/>
          <w:color w:val="000000" w:themeColor="text1"/>
          <w:sz w:val="22"/>
          <w:szCs w:val="22"/>
        </w:rPr>
        <w:t xml:space="preserve">Antibiotic </w:t>
      </w:r>
      <w:r w:rsidR="00A57B03" w:rsidRPr="00B319D5">
        <w:rPr>
          <w:b/>
          <w:bCs/>
          <w:color w:val="000000" w:themeColor="text1"/>
          <w:sz w:val="22"/>
          <w:szCs w:val="22"/>
        </w:rPr>
        <w:t>S</w:t>
      </w:r>
      <w:r w:rsidR="00220A9D" w:rsidRPr="00B319D5">
        <w:rPr>
          <w:b/>
          <w:bCs/>
          <w:color w:val="000000" w:themeColor="text1"/>
          <w:sz w:val="22"/>
          <w:szCs w:val="22"/>
        </w:rPr>
        <w:t>usceptibility</w:t>
      </w:r>
      <w:r w:rsidR="00A57B03" w:rsidRPr="00B319D5">
        <w:rPr>
          <w:b/>
          <w:bCs/>
          <w:color w:val="000000" w:themeColor="text1"/>
          <w:sz w:val="22"/>
          <w:szCs w:val="22"/>
        </w:rPr>
        <w:t xml:space="preserve"> T</w:t>
      </w:r>
      <w:r w:rsidRPr="00B319D5">
        <w:rPr>
          <w:b/>
          <w:bCs/>
          <w:color w:val="000000" w:themeColor="text1"/>
          <w:sz w:val="22"/>
          <w:szCs w:val="22"/>
        </w:rPr>
        <w:t>est</w:t>
      </w:r>
      <w:r w:rsidR="00220A9D" w:rsidRPr="00B319D5">
        <w:rPr>
          <w:b/>
          <w:bCs/>
          <w:color w:val="000000" w:themeColor="text1"/>
          <w:sz w:val="22"/>
          <w:szCs w:val="22"/>
        </w:rPr>
        <w:t>ing</w:t>
      </w:r>
    </w:p>
    <w:p w14:paraId="2BF28715" w14:textId="5E2811DC" w:rsidR="001B3585" w:rsidRPr="00B319D5" w:rsidRDefault="001B3585" w:rsidP="001B3585">
      <w:pPr>
        <w:jc w:val="both"/>
        <w:rPr>
          <w:color w:val="000000" w:themeColor="text1"/>
          <w:sz w:val="22"/>
          <w:szCs w:val="22"/>
        </w:rPr>
      </w:pPr>
      <w:r w:rsidRPr="00B319D5">
        <w:rPr>
          <w:color w:val="000000" w:themeColor="text1"/>
          <w:sz w:val="22"/>
          <w:szCs w:val="22"/>
        </w:rPr>
        <w:t>Antibiotic susceptibility testing was carried out using the disk diffusion method on Mueller Hinton agar plates</w:t>
      </w:r>
      <w:r w:rsidR="00B319D5" w:rsidRPr="00B319D5">
        <w:rPr>
          <w:color w:val="000000" w:themeColor="text1"/>
          <w:sz w:val="22"/>
          <w:szCs w:val="22"/>
        </w:rPr>
        <w:t xml:space="preserve"> (</w:t>
      </w:r>
      <w:proofErr w:type="spellStart"/>
      <w:r w:rsidR="00B319D5" w:rsidRPr="00B319D5">
        <w:rPr>
          <w:color w:val="000000" w:themeColor="text1"/>
          <w:sz w:val="22"/>
          <w:szCs w:val="22"/>
        </w:rPr>
        <w:t>HiMedia</w:t>
      </w:r>
      <w:proofErr w:type="spellEnd"/>
      <w:r w:rsidR="00B319D5" w:rsidRPr="00B319D5">
        <w:rPr>
          <w:color w:val="000000" w:themeColor="text1"/>
          <w:sz w:val="22"/>
          <w:szCs w:val="22"/>
        </w:rPr>
        <w:t xml:space="preserve"> Laboratories, India) </w:t>
      </w:r>
      <w:r w:rsidRPr="00B319D5">
        <w:rPr>
          <w:color w:val="000000" w:themeColor="text1"/>
          <w:sz w:val="22"/>
          <w:szCs w:val="22"/>
        </w:rPr>
        <w:t xml:space="preserve">following standard protocols. The antibiotics </w:t>
      </w:r>
      <w:r w:rsidR="00E411D3" w:rsidRPr="00B319D5">
        <w:rPr>
          <w:color w:val="000000" w:themeColor="text1"/>
          <w:sz w:val="22"/>
          <w:szCs w:val="22"/>
        </w:rPr>
        <w:t>tested included A</w:t>
      </w:r>
      <w:r w:rsidRPr="00B319D5">
        <w:rPr>
          <w:color w:val="000000" w:themeColor="text1"/>
          <w:sz w:val="22"/>
          <w:szCs w:val="22"/>
        </w:rPr>
        <w:t>mpicillin (10 m</w:t>
      </w:r>
      <w:r w:rsidR="00E411D3" w:rsidRPr="00B319D5">
        <w:rPr>
          <w:color w:val="000000" w:themeColor="text1"/>
          <w:sz w:val="22"/>
          <w:szCs w:val="22"/>
        </w:rPr>
        <w:t>g), Tetracycline (30 mg), Amoxicillin (30 mg), Gentamicin (10 mg), Cefepim</w:t>
      </w:r>
      <w:r w:rsidR="0036109F" w:rsidRPr="00B319D5">
        <w:rPr>
          <w:color w:val="000000" w:themeColor="text1"/>
          <w:sz w:val="22"/>
          <w:szCs w:val="22"/>
        </w:rPr>
        <w:t xml:space="preserve">e (30 mg), Ceftriaxone </w:t>
      </w:r>
      <w:r w:rsidR="0036109F" w:rsidRPr="00B319D5">
        <w:rPr>
          <w:color w:val="000000" w:themeColor="text1"/>
          <w:sz w:val="22"/>
          <w:szCs w:val="22"/>
        </w:rPr>
        <w:lastRenderedPageBreak/>
        <w:t xml:space="preserve">(30 mg), Imipenem </w:t>
      </w:r>
      <w:r w:rsidRPr="00B319D5">
        <w:rPr>
          <w:color w:val="000000" w:themeColor="text1"/>
          <w:sz w:val="22"/>
          <w:szCs w:val="22"/>
        </w:rPr>
        <w:t>(10 m</w:t>
      </w:r>
      <w:r w:rsidR="00E411D3" w:rsidRPr="00B319D5">
        <w:rPr>
          <w:color w:val="000000" w:themeColor="text1"/>
          <w:sz w:val="22"/>
          <w:szCs w:val="22"/>
        </w:rPr>
        <w:t>g), L</w:t>
      </w:r>
      <w:r w:rsidRPr="00B319D5">
        <w:rPr>
          <w:color w:val="000000" w:themeColor="text1"/>
          <w:sz w:val="22"/>
          <w:szCs w:val="22"/>
        </w:rPr>
        <w:t>evofloxacin (30 mg), Ciprofloxacin (5 mg), and Sul</w:t>
      </w:r>
      <w:r w:rsidR="00E411D3" w:rsidRPr="00B319D5">
        <w:rPr>
          <w:color w:val="000000" w:themeColor="text1"/>
          <w:sz w:val="22"/>
          <w:szCs w:val="22"/>
        </w:rPr>
        <w:t>famethoxazole/T</w:t>
      </w:r>
      <w:r w:rsidRPr="00B319D5">
        <w:rPr>
          <w:color w:val="000000" w:themeColor="text1"/>
          <w:sz w:val="22"/>
          <w:szCs w:val="22"/>
        </w:rPr>
        <w:t>rimethoprim (25 mg) (Oxoid Ltd., United Kingdom). Pure bacterial colonies were inocu</w:t>
      </w:r>
      <w:r w:rsidR="00B319D5" w:rsidRPr="00B319D5">
        <w:rPr>
          <w:color w:val="000000" w:themeColor="text1"/>
          <w:sz w:val="22"/>
          <w:szCs w:val="22"/>
        </w:rPr>
        <w:t xml:space="preserve">lated onto Mueller–Hinton agar </w:t>
      </w:r>
      <w:r w:rsidRPr="00B319D5">
        <w:rPr>
          <w:color w:val="000000" w:themeColor="text1"/>
          <w:sz w:val="22"/>
          <w:szCs w:val="22"/>
        </w:rPr>
        <w:t>and antibiotic discs were aseptically placed on the surface. Plates were incubated at 37 °C for 18–24 hours. Zones of inhibition diameter were measured in millimeters and interpreted according to the Clinical and Laboratory Standards Institute (CL</w:t>
      </w:r>
      <w:r w:rsidR="00BD470C">
        <w:rPr>
          <w:color w:val="000000" w:themeColor="text1"/>
          <w:sz w:val="22"/>
          <w:szCs w:val="22"/>
        </w:rPr>
        <w:t>SI) guidelines</w:t>
      </w:r>
      <w:r w:rsidRPr="00B319D5">
        <w:rPr>
          <w:color w:val="000000" w:themeColor="text1"/>
          <w:sz w:val="22"/>
          <w:szCs w:val="22"/>
        </w:rPr>
        <w:t xml:space="preserve">. For quality assurance of media and antibiotic discs, </w:t>
      </w:r>
      <w:r w:rsidRPr="00B319D5">
        <w:rPr>
          <w:rStyle w:val="Emphasis"/>
          <w:color w:val="000000" w:themeColor="text1"/>
          <w:sz w:val="22"/>
          <w:szCs w:val="22"/>
        </w:rPr>
        <w:t>Escherichia coli</w:t>
      </w:r>
      <w:r w:rsidRPr="00B319D5">
        <w:rPr>
          <w:color w:val="000000" w:themeColor="text1"/>
          <w:sz w:val="22"/>
          <w:szCs w:val="22"/>
        </w:rPr>
        <w:t xml:space="preserve"> ATCC 25922 and </w:t>
      </w:r>
      <w:r w:rsidRPr="00B319D5">
        <w:rPr>
          <w:rStyle w:val="Emphasis"/>
          <w:color w:val="000000" w:themeColor="text1"/>
          <w:sz w:val="22"/>
          <w:szCs w:val="22"/>
        </w:rPr>
        <w:t>Staphylococcus aureus</w:t>
      </w:r>
      <w:r w:rsidRPr="00B319D5">
        <w:rPr>
          <w:color w:val="000000" w:themeColor="text1"/>
          <w:sz w:val="22"/>
          <w:szCs w:val="22"/>
        </w:rPr>
        <w:t xml:space="preserve"> ATCC 29213 (American Type Culture Collectio</w:t>
      </w:r>
      <w:r w:rsidR="00B319D5" w:rsidRPr="00B319D5">
        <w:rPr>
          <w:color w:val="000000" w:themeColor="text1"/>
          <w:sz w:val="22"/>
          <w:szCs w:val="22"/>
        </w:rPr>
        <w:t>n) were used.</w:t>
      </w:r>
    </w:p>
    <w:p w14:paraId="57A62698" w14:textId="4C16A9F3" w:rsidR="001C7654" w:rsidRPr="00B319D5" w:rsidRDefault="001C7654" w:rsidP="005E11C6">
      <w:pPr>
        <w:jc w:val="both"/>
        <w:rPr>
          <w:color w:val="000000" w:themeColor="text1"/>
          <w:sz w:val="22"/>
          <w:szCs w:val="22"/>
        </w:rPr>
      </w:pPr>
    </w:p>
    <w:p w14:paraId="4CE7E28F" w14:textId="77777777" w:rsidR="001B3585" w:rsidRPr="00B319D5" w:rsidRDefault="00733A0C" w:rsidP="00BF6299">
      <w:pPr>
        <w:rPr>
          <w:rFonts w:eastAsiaTheme="minorHAnsi"/>
          <w:b/>
          <w:bCs/>
          <w:color w:val="000000" w:themeColor="text1"/>
          <w:sz w:val="22"/>
          <w:szCs w:val="22"/>
        </w:rPr>
      </w:pPr>
      <w:r w:rsidRPr="00B319D5">
        <w:rPr>
          <w:rFonts w:eastAsiaTheme="minorHAnsi"/>
          <w:b/>
          <w:bCs/>
          <w:color w:val="000000" w:themeColor="text1"/>
          <w:sz w:val="22"/>
          <w:szCs w:val="22"/>
        </w:rPr>
        <w:t>Statistical A</w:t>
      </w:r>
      <w:r w:rsidR="00353F87" w:rsidRPr="00B319D5">
        <w:rPr>
          <w:rFonts w:eastAsiaTheme="minorHAnsi"/>
          <w:b/>
          <w:bCs/>
          <w:color w:val="000000" w:themeColor="text1"/>
          <w:sz w:val="22"/>
          <w:szCs w:val="22"/>
        </w:rPr>
        <w:t xml:space="preserve">nalysis </w:t>
      </w:r>
    </w:p>
    <w:p w14:paraId="2E524211" w14:textId="5F0DB32F" w:rsidR="00353F87" w:rsidRPr="00B319D5" w:rsidRDefault="00AF4518" w:rsidP="001B3585">
      <w:pPr>
        <w:jc w:val="both"/>
        <w:rPr>
          <w:rFonts w:eastAsiaTheme="minorHAnsi"/>
          <w:color w:val="000000" w:themeColor="text1"/>
          <w:sz w:val="22"/>
          <w:szCs w:val="22"/>
        </w:rPr>
      </w:pPr>
      <w:r w:rsidRPr="00B319D5">
        <w:rPr>
          <w:rFonts w:eastAsiaTheme="minorHAnsi"/>
          <w:color w:val="000000" w:themeColor="text1"/>
          <w:sz w:val="22"/>
          <w:szCs w:val="22"/>
        </w:rPr>
        <w:t xml:space="preserve">Data were documented using WHO-NET software and Microsoft Excel, both secured with password protection to ensure confidentiality. Findings were presented using bar graphs. </w:t>
      </w:r>
    </w:p>
    <w:p w14:paraId="2F6F4726" w14:textId="77777777" w:rsidR="001B3585" w:rsidRPr="00B319D5" w:rsidRDefault="001B3585" w:rsidP="001B3585">
      <w:pPr>
        <w:jc w:val="both"/>
        <w:rPr>
          <w:rFonts w:eastAsiaTheme="minorHAnsi"/>
          <w:b/>
          <w:bCs/>
          <w:color w:val="000000" w:themeColor="text1"/>
          <w:sz w:val="22"/>
          <w:szCs w:val="22"/>
        </w:rPr>
      </w:pPr>
    </w:p>
    <w:p w14:paraId="71CC253B" w14:textId="77777777" w:rsidR="00353F87" w:rsidRPr="00E411D3" w:rsidRDefault="00353F87" w:rsidP="005E11C6">
      <w:pPr>
        <w:jc w:val="both"/>
        <w:rPr>
          <w:color w:val="000000" w:themeColor="text1"/>
          <w:sz w:val="22"/>
          <w:szCs w:val="22"/>
        </w:rPr>
      </w:pPr>
    </w:p>
    <w:p w14:paraId="4FBA4ED6" w14:textId="2887CE51" w:rsidR="00612528" w:rsidRPr="00785C6E" w:rsidRDefault="005E72AC" w:rsidP="00BF6299">
      <w:pPr>
        <w:rPr>
          <w:b/>
          <w:bCs/>
          <w:color w:val="000000" w:themeColor="text1"/>
          <w:sz w:val="22"/>
          <w:szCs w:val="22"/>
        </w:rPr>
      </w:pPr>
      <w:r w:rsidRPr="00785C6E">
        <w:rPr>
          <w:b/>
          <w:bCs/>
          <w:color w:val="000000" w:themeColor="text1"/>
          <w:sz w:val="22"/>
          <w:szCs w:val="22"/>
        </w:rPr>
        <w:t xml:space="preserve">3. </w:t>
      </w:r>
      <w:r w:rsidR="008C369F" w:rsidRPr="00785C6E">
        <w:rPr>
          <w:b/>
          <w:bCs/>
          <w:color w:val="000000" w:themeColor="text1"/>
          <w:sz w:val="22"/>
          <w:szCs w:val="22"/>
        </w:rPr>
        <w:t>R</w:t>
      </w:r>
      <w:r w:rsidR="0049599F" w:rsidRPr="00785C6E">
        <w:rPr>
          <w:b/>
          <w:bCs/>
          <w:color w:val="000000" w:themeColor="text1"/>
          <w:sz w:val="22"/>
          <w:szCs w:val="22"/>
        </w:rPr>
        <w:t>ESULTS</w:t>
      </w:r>
    </w:p>
    <w:p w14:paraId="4971F6EA" w14:textId="77777777" w:rsidR="00657A3B" w:rsidRPr="00785C6E" w:rsidRDefault="00657A3B" w:rsidP="005E11C6">
      <w:pPr>
        <w:jc w:val="both"/>
        <w:rPr>
          <w:b/>
          <w:bCs/>
          <w:color w:val="000000" w:themeColor="text1"/>
          <w:sz w:val="22"/>
          <w:szCs w:val="22"/>
        </w:rPr>
      </w:pPr>
    </w:p>
    <w:p w14:paraId="0920CA0A" w14:textId="614F559F" w:rsidR="00657A3B" w:rsidRPr="00785C6E" w:rsidRDefault="005E72AC" w:rsidP="00BF6299">
      <w:pPr>
        <w:rPr>
          <w:b/>
          <w:bCs/>
          <w:color w:val="000000" w:themeColor="text1"/>
          <w:sz w:val="22"/>
          <w:szCs w:val="22"/>
        </w:rPr>
      </w:pPr>
      <w:r w:rsidRPr="00785C6E">
        <w:rPr>
          <w:b/>
          <w:bCs/>
          <w:color w:val="000000" w:themeColor="text1"/>
          <w:sz w:val="22"/>
          <w:szCs w:val="22"/>
        </w:rPr>
        <w:t xml:space="preserve">3.1 </w:t>
      </w:r>
      <w:r w:rsidR="00657A3B" w:rsidRPr="00785C6E">
        <w:rPr>
          <w:b/>
          <w:bCs/>
          <w:color w:val="000000" w:themeColor="text1"/>
          <w:sz w:val="22"/>
          <w:szCs w:val="22"/>
        </w:rPr>
        <w:t>Antimicrobial Patterns</w:t>
      </w:r>
    </w:p>
    <w:p w14:paraId="7531FE13" w14:textId="285A82A4" w:rsidR="00537CE3" w:rsidRPr="00785C6E" w:rsidRDefault="00657A3B" w:rsidP="00E411D3">
      <w:pPr>
        <w:jc w:val="both"/>
        <w:rPr>
          <w:i/>
          <w:iCs/>
          <w:color w:val="000000" w:themeColor="text1"/>
          <w:sz w:val="22"/>
          <w:szCs w:val="22"/>
          <w:shd w:val="clear" w:color="auto" w:fill="FFFFFF"/>
        </w:rPr>
      </w:pPr>
      <w:r w:rsidRPr="00785C6E">
        <w:rPr>
          <w:color w:val="000000" w:themeColor="text1"/>
          <w:sz w:val="22"/>
          <w:szCs w:val="22"/>
          <w:shd w:val="clear" w:color="auto" w:fill="FFFFFF"/>
        </w:rPr>
        <w:t xml:space="preserve">A total pf </w:t>
      </w:r>
      <w:r w:rsidR="008A6185" w:rsidRPr="00785C6E">
        <w:rPr>
          <w:color w:val="000000" w:themeColor="text1"/>
          <w:sz w:val="22"/>
          <w:szCs w:val="22"/>
          <w:shd w:val="clear" w:color="auto" w:fill="FFFFFF"/>
        </w:rPr>
        <w:t xml:space="preserve">101 bacterial isolates </w:t>
      </w:r>
      <w:r w:rsidRPr="00785C6E">
        <w:rPr>
          <w:color w:val="000000" w:themeColor="text1"/>
          <w:sz w:val="22"/>
          <w:szCs w:val="22"/>
          <w:shd w:val="clear" w:color="auto" w:fill="FFFFFF"/>
        </w:rPr>
        <w:t>were recovered from waste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 xml:space="preserve"> water samples collected from </w:t>
      </w:r>
      <w:r w:rsidRPr="00785C6E">
        <w:rPr>
          <w:color w:val="000000" w:themeColor="text1"/>
          <w:sz w:val="22"/>
          <w:szCs w:val="22"/>
          <w:shd w:val="clear" w:color="auto" w:fill="FFFFFF"/>
        </w:rPr>
        <w:t>industrial environments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 xml:space="preserve"> in Nairobi. Among these, </w:t>
      </w:r>
      <w:r w:rsidR="008A6185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>Escherichia coli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E72AC" w:rsidRPr="00785C6E">
        <w:rPr>
          <w:iCs/>
          <w:color w:val="000000" w:themeColor="text1"/>
          <w:sz w:val="22"/>
          <w:szCs w:val="22"/>
          <w:shd w:val="clear" w:color="auto" w:fill="FFFFFF"/>
        </w:rPr>
        <w:t>accounted for 37 isolates (36.6%)</w:t>
      </w:r>
      <w:r w:rsidR="008A6185" w:rsidRPr="00785C6E">
        <w:rPr>
          <w:iCs/>
          <w:color w:val="000000" w:themeColor="text1"/>
          <w:sz w:val="22"/>
          <w:szCs w:val="22"/>
          <w:shd w:val="clear" w:color="auto" w:fill="FFFFFF"/>
        </w:rPr>
        <w:t>,</w:t>
      </w:r>
      <w:r w:rsidR="008A6185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Klebsiella spp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5E72AC" w:rsidRPr="00785C6E">
        <w:rPr>
          <w:iCs/>
          <w:color w:val="000000" w:themeColor="text1"/>
          <w:sz w:val="22"/>
          <w:szCs w:val="22"/>
          <w:shd w:val="clear" w:color="auto" w:fill="FFFFFF"/>
        </w:rPr>
        <w:t>for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>38 isolates (37.6%)</w:t>
      </w:r>
      <w:r w:rsidR="008A6185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E72AC" w:rsidRPr="00785C6E">
        <w:rPr>
          <w:iCs/>
          <w:color w:val="000000" w:themeColor="text1"/>
          <w:sz w:val="22"/>
          <w:szCs w:val="22"/>
          <w:shd w:val="clear" w:color="auto" w:fill="FFFFFF"/>
        </w:rPr>
        <w:t>and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Pseudomonas spp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8A6185" w:rsidRPr="00785C6E">
        <w:rPr>
          <w:color w:val="000000" w:themeColor="text1"/>
          <w:sz w:val="22"/>
          <w:szCs w:val="22"/>
          <w:shd w:val="clear" w:color="auto" w:fill="FFFFFF"/>
        </w:rPr>
        <w:t>26 (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>25.7%)</w:t>
      </w:r>
      <w:r w:rsidR="000074F1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="00537CE3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37CE3" w:rsidRPr="00785C6E">
        <w:rPr>
          <w:color w:val="000000" w:themeColor="text1"/>
          <w:sz w:val="22"/>
          <w:szCs w:val="22"/>
        </w:rPr>
        <w:t>All isolates were subjected to antimicrobial susceptibility testing using antibiotic-impregnated discs. The majority of isolates exhibited multidrug resistance (MDR), with the highest resistance observed against Ampicillin (89/101, 88.1%), followed by Cotrimoxazole (55/101</w:t>
      </w:r>
      <w:r w:rsidR="00E411D3" w:rsidRPr="00785C6E">
        <w:rPr>
          <w:color w:val="000000" w:themeColor="text1"/>
          <w:sz w:val="22"/>
          <w:szCs w:val="22"/>
        </w:rPr>
        <w:t>). In contrast, G</w:t>
      </w:r>
      <w:r w:rsidR="00537CE3" w:rsidRPr="00785C6E">
        <w:rPr>
          <w:color w:val="000000" w:themeColor="text1"/>
          <w:sz w:val="22"/>
          <w:szCs w:val="22"/>
        </w:rPr>
        <w:t>entamicin demonstrated the lowest resistance rate (9/101) which may be attributed to its restricted</w:t>
      </w:r>
      <w:r w:rsidR="00785C6E" w:rsidRPr="00785C6E">
        <w:rPr>
          <w:color w:val="000000" w:themeColor="text1"/>
          <w:sz w:val="22"/>
          <w:szCs w:val="22"/>
        </w:rPr>
        <w:t xml:space="preserve"> availability over the counter </w:t>
      </w:r>
      <w:r w:rsidR="00537CE3" w:rsidRPr="00785C6E">
        <w:rPr>
          <w:color w:val="000000" w:themeColor="text1"/>
          <w:sz w:val="22"/>
          <w:szCs w:val="22"/>
        </w:rPr>
        <w:t>reducing the likelihood of misuse compared to commonly accessible oral antimicrobials. Levofloxacin exhibited the highest susceptibility, w</w:t>
      </w:r>
      <w:r w:rsidR="002A721C" w:rsidRPr="00785C6E">
        <w:rPr>
          <w:color w:val="000000" w:themeColor="text1"/>
          <w:sz w:val="22"/>
          <w:szCs w:val="22"/>
        </w:rPr>
        <w:t>ith 82 of the 101 isolates (81.1</w:t>
      </w:r>
      <w:r w:rsidR="00537CE3" w:rsidRPr="00785C6E">
        <w:rPr>
          <w:color w:val="000000" w:themeColor="text1"/>
          <w:sz w:val="22"/>
          <w:szCs w:val="22"/>
        </w:rPr>
        <w:t>%) remaining s</w:t>
      </w:r>
      <w:r w:rsidR="002A721C" w:rsidRPr="00785C6E">
        <w:rPr>
          <w:color w:val="000000" w:themeColor="text1"/>
          <w:sz w:val="22"/>
          <w:szCs w:val="22"/>
        </w:rPr>
        <w:t xml:space="preserve">ensitive to this agent as shown </w:t>
      </w:r>
      <w:r w:rsidR="00537CE3" w:rsidRPr="00785C6E">
        <w:rPr>
          <w:color w:val="000000" w:themeColor="text1"/>
          <w:sz w:val="22"/>
          <w:szCs w:val="22"/>
        </w:rPr>
        <w:t>in Table 1.</w:t>
      </w:r>
    </w:p>
    <w:p w14:paraId="49DAE63C" w14:textId="2B9FF61B" w:rsidR="005E11C6" w:rsidRPr="00785C6E" w:rsidRDefault="005E11C6" w:rsidP="005E11C6">
      <w:pPr>
        <w:jc w:val="both"/>
        <w:rPr>
          <w:rFonts w:eastAsia="Calibri"/>
          <w:bCs/>
          <w:color w:val="000000" w:themeColor="text1"/>
          <w:kern w:val="2"/>
          <w:sz w:val="22"/>
          <w:szCs w:val="22"/>
          <w14:ligatures w14:val="standardContextual"/>
        </w:rPr>
      </w:pPr>
    </w:p>
    <w:p w14:paraId="32B13018" w14:textId="294F0557" w:rsidR="00B319D5" w:rsidRDefault="00B319D5" w:rsidP="005E11C6">
      <w:pPr>
        <w:jc w:val="both"/>
        <w:rPr>
          <w:rFonts w:eastAsia="Calibri"/>
          <w:bCs/>
          <w:color w:val="000000"/>
          <w:kern w:val="2"/>
          <w:sz w:val="22"/>
          <w:szCs w:val="22"/>
          <w14:ligatures w14:val="standardContextual"/>
        </w:rPr>
      </w:pPr>
    </w:p>
    <w:p w14:paraId="578CB27F" w14:textId="4BA88E73" w:rsidR="009F5282" w:rsidRDefault="009F5282" w:rsidP="005E11C6">
      <w:pPr>
        <w:jc w:val="both"/>
        <w:rPr>
          <w:rFonts w:eastAsia="Calibri"/>
          <w:bCs/>
          <w:color w:val="000000"/>
          <w:kern w:val="2"/>
          <w:sz w:val="22"/>
          <w:szCs w:val="22"/>
          <w14:ligatures w14:val="standardContextual"/>
        </w:rPr>
      </w:pPr>
    </w:p>
    <w:p w14:paraId="1C6DA33A" w14:textId="351BAC8E" w:rsidR="009F5282" w:rsidRDefault="009F5282" w:rsidP="005E11C6">
      <w:pPr>
        <w:jc w:val="both"/>
        <w:rPr>
          <w:rFonts w:eastAsia="Calibri"/>
          <w:bCs/>
          <w:color w:val="000000"/>
          <w:kern w:val="2"/>
          <w:sz w:val="22"/>
          <w:szCs w:val="22"/>
          <w14:ligatures w14:val="standardContextual"/>
        </w:rPr>
      </w:pPr>
    </w:p>
    <w:p w14:paraId="01B79E2E" w14:textId="7C3BEEF9" w:rsidR="009F5282" w:rsidRDefault="009F5282" w:rsidP="005E11C6">
      <w:pPr>
        <w:jc w:val="both"/>
        <w:rPr>
          <w:rFonts w:eastAsia="Calibri"/>
          <w:bCs/>
          <w:color w:val="000000"/>
          <w:kern w:val="2"/>
          <w:sz w:val="22"/>
          <w:szCs w:val="22"/>
          <w14:ligatures w14:val="standardContextual"/>
        </w:rPr>
      </w:pPr>
    </w:p>
    <w:p w14:paraId="224BC35E" w14:textId="77777777" w:rsidR="009F5282" w:rsidRPr="00E84412" w:rsidRDefault="009F5282" w:rsidP="005E11C6">
      <w:pPr>
        <w:jc w:val="both"/>
        <w:rPr>
          <w:rFonts w:eastAsia="Calibri"/>
          <w:bCs/>
          <w:color w:val="000000"/>
          <w:kern w:val="2"/>
          <w:sz w:val="22"/>
          <w:szCs w:val="22"/>
          <w14:ligatures w14:val="standardContextual"/>
        </w:rPr>
      </w:pPr>
    </w:p>
    <w:p w14:paraId="416F88B1" w14:textId="01F828AD" w:rsidR="005E11C6" w:rsidRPr="00E84412" w:rsidRDefault="004A4C21" w:rsidP="005E11C6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  <w:r w:rsidRPr="00E84412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Table</w:t>
      </w:r>
      <w:r w:rsidR="00145E0A" w:rsidRPr="00E84412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 1</w:t>
      </w:r>
      <w:r w:rsidR="002A721C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. F</w:t>
      </w:r>
      <w:r w:rsidR="00030985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requency of Antimicrobial Susceptibility L</w:t>
      </w:r>
      <w:r w:rsidRPr="00E84412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evels in</w:t>
      </w:r>
      <w:r w:rsidRPr="00E84412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 xml:space="preserve"> Escherichia coli, Klebsiella</w:t>
      </w:r>
      <w:r w:rsidRPr="00E84412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 and </w:t>
      </w:r>
      <w:r w:rsidRPr="00E84412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>Pseudomonas</w:t>
      </w:r>
      <w:r w:rsidR="00030985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 Bacterial S</w:t>
      </w:r>
      <w:r w:rsidR="002A721C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pecies</w:t>
      </w:r>
    </w:p>
    <w:p w14:paraId="6CA28E5D" w14:textId="6F6DA565" w:rsidR="004A4C21" w:rsidRPr="00E84412" w:rsidRDefault="004A4C21" w:rsidP="005E11C6">
      <w:pPr>
        <w:jc w:val="both"/>
        <w:rPr>
          <w:rFonts w:eastAsia="Calibri"/>
          <w:bCs/>
          <w:color w:val="000000"/>
          <w:kern w:val="2"/>
          <w:sz w:val="22"/>
          <w:szCs w:val="22"/>
          <w14:ligatures w14:val="standardContextual"/>
        </w:rPr>
      </w:pPr>
    </w:p>
    <w:tbl>
      <w:tblPr>
        <w:tblStyle w:val="TableGrid"/>
        <w:tblW w:w="10707" w:type="dxa"/>
        <w:tblInd w:w="-5" w:type="dxa"/>
        <w:tblLook w:val="04A0" w:firstRow="1" w:lastRow="0" w:firstColumn="1" w:lastColumn="0" w:noHBand="0" w:noVBand="1"/>
      </w:tblPr>
      <w:tblGrid>
        <w:gridCol w:w="3131"/>
        <w:gridCol w:w="1001"/>
        <w:gridCol w:w="1123"/>
        <w:gridCol w:w="640"/>
        <w:gridCol w:w="1477"/>
        <w:gridCol w:w="640"/>
        <w:gridCol w:w="1319"/>
        <w:gridCol w:w="640"/>
        <w:gridCol w:w="736"/>
      </w:tblGrid>
      <w:tr w:rsidR="004A4C21" w:rsidRPr="00E84412" w14:paraId="14B9CE37" w14:textId="77777777" w:rsidTr="00E411D3">
        <w:tc>
          <w:tcPr>
            <w:tcW w:w="3131" w:type="dxa"/>
          </w:tcPr>
          <w:p w14:paraId="333C784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</w:tcPr>
          <w:p w14:paraId="31DF0440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Disc Potency</w:t>
            </w:r>
          </w:p>
        </w:tc>
        <w:tc>
          <w:tcPr>
            <w:tcW w:w="1123" w:type="dxa"/>
          </w:tcPr>
          <w:p w14:paraId="53B2D787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Resistant</w:t>
            </w:r>
          </w:p>
        </w:tc>
        <w:tc>
          <w:tcPr>
            <w:tcW w:w="640" w:type="dxa"/>
          </w:tcPr>
          <w:p w14:paraId="0F032C70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</w:tcPr>
          <w:p w14:paraId="07CC88BA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Intermediate</w:t>
            </w:r>
          </w:p>
        </w:tc>
        <w:tc>
          <w:tcPr>
            <w:tcW w:w="640" w:type="dxa"/>
          </w:tcPr>
          <w:p w14:paraId="4CA5F859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</w:tcPr>
          <w:p w14:paraId="163551B1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Susceptible</w:t>
            </w:r>
          </w:p>
        </w:tc>
        <w:tc>
          <w:tcPr>
            <w:tcW w:w="640" w:type="dxa"/>
          </w:tcPr>
          <w:p w14:paraId="168BA13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14:paraId="05B53B8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A4C21" w:rsidRPr="00E84412" w14:paraId="21E1514C" w14:textId="77777777" w:rsidTr="00E411D3">
        <w:tc>
          <w:tcPr>
            <w:tcW w:w="3131" w:type="dxa"/>
          </w:tcPr>
          <w:p w14:paraId="3728C67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Antibiotics</w:t>
            </w:r>
          </w:p>
        </w:tc>
        <w:tc>
          <w:tcPr>
            <w:tcW w:w="1001" w:type="dxa"/>
          </w:tcPr>
          <w:p w14:paraId="325346DC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proofErr w:type="spellStart"/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123" w:type="dxa"/>
          </w:tcPr>
          <w:p w14:paraId="3FD22829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640" w:type="dxa"/>
          </w:tcPr>
          <w:p w14:paraId="7C5B763F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77" w:type="dxa"/>
          </w:tcPr>
          <w:p w14:paraId="5BD4486B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640" w:type="dxa"/>
          </w:tcPr>
          <w:p w14:paraId="79EB22AF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19" w:type="dxa"/>
          </w:tcPr>
          <w:p w14:paraId="4C9E9068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640" w:type="dxa"/>
          </w:tcPr>
          <w:p w14:paraId="7A16B0EE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736" w:type="dxa"/>
          </w:tcPr>
          <w:p w14:paraId="538EA1C8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 xml:space="preserve">Total </w:t>
            </w:r>
          </w:p>
        </w:tc>
      </w:tr>
      <w:tr w:rsidR="004A4C21" w:rsidRPr="00E84412" w14:paraId="49BACB13" w14:textId="77777777" w:rsidTr="00E411D3">
        <w:tc>
          <w:tcPr>
            <w:tcW w:w="3131" w:type="dxa"/>
          </w:tcPr>
          <w:p w14:paraId="5BF889B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Ampicillin </w:t>
            </w:r>
          </w:p>
        </w:tc>
        <w:tc>
          <w:tcPr>
            <w:tcW w:w="1001" w:type="dxa"/>
          </w:tcPr>
          <w:p w14:paraId="68C7A7F6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14:paraId="4E8385F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40" w:type="dxa"/>
          </w:tcPr>
          <w:p w14:paraId="26B67F3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88.1</w:t>
            </w:r>
          </w:p>
        </w:tc>
        <w:tc>
          <w:tcPr>
            <w:tcW w:w="1477" w:type="dxa"/>
          </w:tcPr>
          <w:p w14:paraId="423C175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</w:tcPr>
          <w:p w14:paraId="1657FF5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319" w:type="dxa"/>
          </w:tcPr>
          <w:p w14:paraId="48EC19F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</w:tcPr>
          <w:p w14:paraId="24AD767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736" w:type="dxa"/>
          </w:tcPr>
          <w:p w14:paraId="2DA5B91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03CC48A6" w14:textId="77777777" w:rsidTr="00E411D3">
        <w:tc>
          <w:tcPr>
            <w:tcW w:w="3131" w:type="dxa"/>
          </w:tcPr>
          <w:p w14:paraId="1E0D6D53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Cefuroxime </w:t>
            </w:r>
          </w:p>
        </w:tc>
        <w:tc>
          <w:tcPr>
            <w:tcW w:w="1001" w:type="dxa"/>
          </w:tcPr>
          <w:p w14:paraId="0427BF5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14:paraId="03E3B98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40" w:type="dxa"/>
          </w:tcPr>
          <w:p w14:paraId="5250685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77" w:type="dxa"/>
          </w:tcPr>
          <w:p w14:paraId="71BFFA0B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</w:tcPr>
          <w:p w14:paraId="6CE85E6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14:paraId="297B3AC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40" w:type="dxa"/>
          </w:tcPr>
          <w:p w14:paraId="778A297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36" w:type="dxa"/>
          </w:tcPr>
          <w:p w14:paraId="0A65F09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20B70CAA" w14:textId="77777777" w:rsidTr="00E411D3">
        <w:tc>
          <w:tcPr>
            <w:tcW w:w="3131" w:type="dxa"/>
          </w:tcPr>
          <w:p w14:paraId="4F0BAFB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Ceftriaxone </w:t>
            </w:r>
          </w:p>
        </w:tc>
        <w:tc>
          <w:tcPr>
            <w:tcW w:w="1001" w:type="dxa"/>
          </w:tcPr>
          <w:p w14:paraId="0E60EE2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14:paraId="379D0C8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40" w:type="dxa"/>
          </w:tcPr>
          <w:p w14:paraId="1EF5B5D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1477" w:type="dxa"/>
          </w:tcPr>
          <w:p w14:paraId="534EA29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</w:tcPr>
          <w:p w14:paraId="0ABF993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19" w:type="dxa"/>
          </w:tcPr>
          <w:p w14:paraId="736605E8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40" w:type="dxa"/>
          </w:tcPr>
          <w:p w14:paraId="2BFD8C3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47.5</w:t>
            </w:r>
          </w:p>
        </w:tc>
        <w:tc>
          <w:tcPr>
            <w:tcW w:w="736" w:type="dxa"/>
          </w:tcPr>
          <w:p w14:paraId="38F817D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39E26573" w14:textId="77777777" w:rsidTr="00E411D3">
        <w:tc>
          <w:tcPr>
            <w:tcW w:w="3131" w:type="dxa"/>
          </w:tcPr>
          <w:p w14:paraId="296D97C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Cefepime </w:t>
            </w:r>
          </w:p>
        </w:tc>
        <w:tc>
          <w:tcPr>
            <w:tcW w:w="1001" w:type="dxa"/>
          </w:tcPr>
          <w:p w14:paraId="6C643B6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14:paraId="5C46D7C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" w:type="dxa"/>
          </w:tcPr>
          <w:p w14:paraId="24D09130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1477" w:type="dxa"/>
          </w:tcPr>
          <w:p w14:paraId="705E9223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0" w:type="dxa"/>
          </w:tcPr>
          <w:p w14:paraId="77192F4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18.8</w:t>
            </w:r>
          </w:p>
        </w:tc>
        <w:tc>
          <w:tcPr>
            <w:tcW w:w="1319" w:type="dxa"/>
          </w:tcPr>
          <w:p w14:paraId="1C381D5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40" w:type="dxa"/>
          </w:tcPr>
          <w:p w14:paraId="2FCAB5B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61.3</w:t>
            </w:r>
          </w:p>
        </w:tc>
        <w:tc>
          <w:tcPr>
            <w:tcW w:w="736" w:type="dxa"/>
          </w:tcPr>
          <w:p w14:paraId="0EAA649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3F172BA6" w14:textId="77777777" w:rsidTr="00E411D3">
        <w:tc>
          <w:tcPr>
            <w:tcW w:w="3131" w:type="dxa"/>
          </w:tcPr>
          <w:p w14:paraId="3D5AD02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Imipenem</w:t>
            </w:r>
          </w:p>
        </w:tc>
        <w:tc>
          <w:tcPr>
            <w:tcW w:w="1001" w:type="dxa"/>
          </w:tcPr>
          <w:p w14:paraId="5FEF7CA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14:paraId="018DAD0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</w:tcPr>
          <w:p w14:paraId="33345670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1477" w:type="dxa"/>
          </w:tcPr>
          <w:p w14:paraId="79E4DF8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" w:type="dxa"/>
          </w:tcPr>
          <w:p w14:paraId="5C6119E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1319" w:type="dxa"/>
          </w:tcPr>
          <w:p w14:paraId="142B5D8E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40" w:type="dxa"/>
          </w:tcPr>
          <w:p w14:paraId="5EB0D19F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67.3</w:t>
            </w:r>
          </w:p>
        </w:tc>
        <w:tc>
          <w:tcPr>
            <w:tcW w:w="736" w:type="dxa"/>
          </w:tcPr>
          <w:p w14:paraId="4066B41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21BE635F" w14:textId="77777777" w:rsidTr="00E411D3">
        <w:tc>
          <w:tcPr>
            <w:tcW w:w="3131" w:type="dxa"/>
          </w:tcPr>
          <w:p w14:paraId="76F2449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Gentamicin </w:t>
            </w:r>
          </w:p>
        </w:tc>
        <w:tc>
          <w:tcPr>
            <w:tcW w:w="1001" w:type="dxa"/>
          </w:tcPr>
          <w:p w14:paraId="473F158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14:paraId="5A2A85E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</w:tcPr>
          <w:p w14:paraId="2C5F09C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477" w:type="dxa"/>
          </w:tcPr>
          <w:p w14:paraId="550675C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0" w:type="dxa"/>
          </w:tcPr>
          <w:p w14:paraId="73E20BE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24.7</w:t>
            </w:r>
          </w:p>
        </w:tc>
        <w:tc>
          <w:tcPr>
            <w:tcW w:w="1319" w:type="dxa"/>
          </w:tcPr>
          <w:p w14:paraId="41EF228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40" w:type="dxa"/>
          </w:tcPr>
          <w:p w14:paraId="0E0CD39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66.3</w:t>
            </w:r>
          </w:p>
        </w:tc>
        <w:tc>
          <w:tcPr>
            <w:tcW w:w="736" w:type="dxa"/>
          </w:tcPr>
          <w:p w14:paraId="1D1DF7F6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5AEC7A3A" w14:textId="77777777" w:rsidTr="00E411D3">
        <w:tc>
          <w:tcPr>
            <w:tcW w:w="3131" w:type="dxa"/>
          </w:tcPr>
          <w:p w14:paraId="1FF7068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Ciprofloxacin </w:t>
            </w:r>
          </w:p>
        </w:tc>
        <w:tc>
          <w:tcPr>
            <w:tcW w:w="1001" w:type="dxa"/>
          </w:tcPr>
          <w:p w14:paraId="62C2732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14:paraId="58C7D67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0" w:type="dxa"/>
          </w:tcPr>
          <w:p w14:paraId="057C4BE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22.7</w:t>
            </w:r>
          </w:p>
        </w:tc>
        <w:tc>
          <w:tcPr>
            <w:tcW w:w="1477" w:type="dxa"/>
          </w:tcPr>
          <w:p w14:paraId="0C78DC9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0" w:type="dxa"/>
          </w:tcPr>
          <w:p w14:paraId="13B3A0D8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16.8</w:t>
            </w:r>
          </w:p>
        </w:tc>
        <w:tc>
          <w:tcPr>
            <w:tcW w:w="1319" w:type="dxa"/>
          </w:tcPr>
          <w:p w14:paraId="6D2E27F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40" w:type="dxa"/>
          </w:tcPr>
          <w:p w14:paraId="1EC093C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60.3</w:t>
            </w:r>
          </w:p>
        </w:tc>
        <w:tc>
          <w:tcPr>
            <w:tcW w:w="736" w:type="dxa"/>
          </w:tcPr>
          <w:p w14:paraId="5CF26A7F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1780DD34" w14:textId="77777777" w:rsidTr="00E411D3">
        <w:tc>
          <w:tcPr>
            <w:tcW w:w="3131" w:type="dxa"/>
          </w:tcPr>
          <w:p w14:paraId="3D19F91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Levofloxacin </w:t>
            </w:r>
          </w:p>
        </w:tc>
        <w:tc>
          <w:tcPr>
            <w:tcW w:w="1001" w:type="dxa"/>
          </w:tcPr>
          <w:p w14:paraId="287577B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14:paraId="3D7D8BB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</w:tcPr>
          <w:p w14:paraId="1465606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1477" w:type="dxa"/>
          </w:tcPr>
          <w:p w14:paraId="102FBAAB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</w:tcPr>
          <w:p w14:paraId="1218D98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319" w:type="dxa"/>
          </w:tcPr>
          <w:p w14:paraId="5E5E2513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40" w:type="dxa"/>
          </w:tcPr>
          <w:p w14:paraId="5CC12E9B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81.1</w:t>
            </w:r>
          </w:p>
        </w:tc>
        <w:tc>
          <w:tcPr>
            <w:tcW w:w="736" w:type="dxa"/>
          </w:tcPr>
          <w:p w14:paraId="7A25CEF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7B98EE0D" w14:textId="77777777" w:rsidTr="00E411D3">
        <w:tc>
          <w:tcPr>
            <w:tcW w:w="3131" w:type="dxa"/>
          </w:tcPr>
          <w:p w14:paraId="45B2CBDD" w14:textId="08634729" w:rsidR="004A4C21" w:rsidRPr="00E84412" w:rsidRDefault="00E411D3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Trimethoprim/S</w:t>
            </w:r>
            <w:r w:rsidR="004A4C21" w:rsidRPr="00E84412">
              <w:rPr>
                <w:rFonts w:eastAsia="Calibri"/>
                <w:color w:val="000000"/>
                <w:sz w:val="22"/>
                <w:szCs w:val="22"/>
              </w:rPr>
              <w:t>ulfamethoxazole</w:t>
            </w:r>
          </w:p>
        </w:tc>
        <w:tc>
          <w:tcPr>
            <w:tcW w:w="1001" w:type="dxa"/>
          </w:tcPr>
          <w:p w14:paraId="7743AB0F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3" w:type="dxa"/>
          </w:tcPr>
          <w:p w14:paraId="7A064D1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40" w:type="dxa"/>
          </w:tcPr>
          <w:p w14:paraId="5EC95CA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54.4</w:t>
            </w:r>
          </w:p>
        </w:tc>
        <w:tc>
          <w:tcPr>
            <w:tcW w:w="1477" w:type="dxa"/>
          </w:tcPr>
          <w:p w14:paraId="6DF53E86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</w:tcPr>
          <w:p w14:paraId="746C872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319" w:type="dxa"/>
          </w:tcPr>
          <w:p w14:paraId="028AA3C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40" w:type="dxa"/>
          </w:tcPr>
          <w:p w14:paraId="1BBA392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43.5</w:t>
            </w:r>
          </w:p>
        </w:tc>
        <w:tc>
          <w:tcPr>
            <w:tcW w:w="736" w:type="dxa"/>
          </w:tcPr>
          <w:p w14:paraId="522F4C8F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6AA54E87" w14:textId="77777777" w:rsidTr="00E411D3">
        <w:tc>
          <w:tcPr>
            <w:tcW w:w="3131" w:type="dxa"/>
          </w:tcPr>
          <w:p w14:paraId="34F15C5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Tetracycline </w:t>
            </w:r>
          </w:p>
        </w:tc>
        <w:tc>
          <w:tcPr>
            <w:tcW w:w="1001" w:type="dxa"/>
          </w:tcPr>
          <w:p w14:paraId="2A703393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14:paraId="2D774A3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40" w:type="dxa"/>
          </w:tcPr>
          <w:p w14:paraId="5466380E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1477" w:type="dxa"/>
          </w:tcPr>
          <w:p w14:paraId="70814D6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</w:tcPr>
          <w:p w14:paraId="2B83138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319" w:type="dxa"/>
          </w:tcPr>
          <w:p w14:paraId="5E90006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40" w:type="dxa"/>
          </w:tcPr>
          <w:p w14:paraId="556D10C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51.4</w:t>
            </w:r>
          </w:p>
        </w:tc>
        <w:tc>
          <w:tcPr>
            <w:tcW w:w="736" w:type="dxa"/>
          </w:tcPr>
          <w:p w14:paraId="542A024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</w:tbl>
    <w:p w14:paraId="1AA8CA5A" w14:textId="77777777" w:rsidR="0049599F" w:rsidRDefault="0049599F" w:rsidP="0049599F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</w:p>
    <w:p w14:paraId="30BC3CA8" w14:textId="77777777" w:rsidR="00690EEC" w:rsidRDefault="00690EEC" w:rsidP="0049599F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</w:p>
    <w:p w14:paraId="7B479BD2" w14:textId="65F06532" w:rsidR="00690EEC" w:rsidRPr="00E411D3" w:rsidRDefault="002A721C" w:rsidP="00BF6299">
      <w:pPr>
        <w:rPr>
          <w:rFonts w:eastAsia="Calibri"/>
          <w:b/>
          <w:color w:val="000000" w:themeColor="text1"/>
          <w:kern w:val="2"/>
          <w:sz w:val="22"/>
          <w:szCs w:val="22"/>
          <w14:ligatures w14:val="standardContextual"/>
        </w:rPr>
      </w:pPr>
      <w:r w:rsidRPr="00E411D3">
        <w:rPr>
          <w:rFonts w:eastAsia="Calibri"/>
          <w:b/>
          <w:color w:val="000000" w:themeColor="text1"/>
          <w:kern w:val="2"/>
          <w:sz w:val="22"/>
          <w:szCs w:val="22"/>
          <w14:ligatures w14:val="standardContextual"/>
        </w:rPr>
        <w:lastRenderedPageBreak/>
        <w:t>3.2 Distribution of Antimicrobial Resistance in Different B</w:t>
      </w:r>
      <w:r w:rsidR="00690EEC" w:rsidRPr="00E411D3">
        <w:rPr>
          <w:rFonts w:eastAsia="Calibri"/>
          <w:b/>
          <w:color w:val="000000" w:themeColor="text1"/>
          <w:kern w:val="2"/>
          <w:sz w:val="22"/>
          <w:szCs w:val="22"/>
          <w14:ligatures w14:val="standardContextual"/>
        </w:rPr>
        <w:t>acterial Isolates</w:t>
      </w:r>
    </w:p>
    <w:p w14:paraId="751F356F" w14:textId="0C5A0831" w:rsidR="00612528" w:rsidRDefault="0021508C" w:rsidP="00811C3B">
      <w:pPr>
        <w:ind w:left="11" w:hanging="11"/>
        <w:jc w:val="both"/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</w:pPr>
      <w:r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Resistan</w:t>
      </w:r>
      <w:r w:rsid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ce to A</w:t>
      </w:r>
      <w:r w:rsidR="00315C5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mpicillin was predominantly observed in </w:t>
      </w:r>
      <w:r w:rsidR="00315C5C" w:rsidRPr="00E411D3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>Klebsiella</w:t>
      </w:r>
      <w:r w:rsidR="00315C5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species </w:t>
      </w:r>
      <w:r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followed by </w:t>
      </w:r>
      <w:r w:rsidRPr="00E411D3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>Pseudomonas</w:t>
      </w:r>
      <w:r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species with </w:t>
      </w:r>
      <w:r w:rsidR="00315C5C" w:rsidRPr="00E411D3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>Escherichia coli</w:t>
      </w:r>
      <w:r w:rsidR="00785C6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i</w:t>
      </w:r>
      <w:r w:rsidR="00315C5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solates exhibiting the lowest resistance rates. Notably</w:t>
      </w:r>
      <w:r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, </w:t>
      </w:r>
      <w:r w:rsidRPr="00E411D3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 xml:space="preserve">Pseudomonas </w:t>
      </w:r>
      <w:r w:rsidR="00315C5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species demonstrated </w:t>
      </w:r>
      <w:r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resistance to all antibiotics tested. </w:t>
      </w:r>
      <w:r w:rsidR="00315C5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Overall</w:t>
      </w:r>
      <w:r w:rsidR="00690EE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, all the organisms tested showed moderate resistance to 3</w:t>
      </w:r>
      <w:r w:rsidR="00690EEC" w:rsidRPr="00E411D3">
        <w:rPr>
          <w:rFonts w:eastAsia="Calibri"/>
          <w:color w:val="000000" w:themeColor="text1"/>
          <w:kern w:val="2"/>
          <w:sz w:val="22"/>
          <w:szCs w:val="22"/>
          <w:vertAlign w:val="superscript"/>
          <w14:ligatures w14:val="standardContextual"/>
        </w:rPr>
        <w:t>rd</w:t>
      </w:r>
      <w:r w:rsid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generation Cephalosporins (C</w:t>
      </w:r>
      <w:r w:rsidR="00690EE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efu</w:t>
      </w:r>
      <w:r w:rsid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roxime, C</w:t>
      </w:r>
      <w:r w:rsidR="00315C5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eftriaxone) compared </w:t>
      </w:r>
      <w:r w:rsid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to Fluoroquinolones (C</w:t>
      </w:r>
      <w:r w:rsidR="00690EE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iprofloxacin). The least probable resistance to</w:t>
      </w:r>
      <w:r w:rsid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all the isolates was shown in C</w:t>
      </w:r>
      <w:r w:rsidR="00690EE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arb</w:t>
      </w:r>
      <w:r w:rsid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apenems (I</w:t>
      </w:r>
      <w:r w:rsidR="00315C5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mipenem) as shown in F</w:t>
      </w:r>
      <w:r w:rsidR="00785C6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igure 1</w:t>
      </w:r>
      <w:r w:rsidR="00690EEC" w:rsidRPr="00E411D3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.</w:t>
      </w:r>
    </w:p>
    <w:p w14:paraId="71389854" w14:textId="028FB49F" w:rsidR="00811C3B" w:rsidRPr="00E411D3" w:rsidRDefault="00811C3B" w:rsidP="00811C3B">
      <w:pPr>
        <w:ind w:right="39"/>
        <w:jc w:val="both"/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</w:pPr>
    </w:p>
    <w:p w14:paraId="646D50FB" w14:textId="4A9D52D9" w:rsidR="00612528" w:rsidRPr="00E84412" w:rsidRDefault="000E55F6" w:rsidP="005E11C6">
      <w:pPr>
        <w:jc w:val="both"/>
        <w:rPr>
          <w:color w:val="FF0000"/>
          <w:sz w:val="22"/>
          <w:szCs w:val="22"/>
        </w:rPr>
      </w:pPr>
      <w:r w:rsidRPr="00E84412">
        <w:rPr>
          <w:noProof/>
          <w:sz w:val="22"/>
          <w:szCs w:val="22"/>
        </w:rPr>
        <w:drawing>
          <wp:inline distT="0" distB="0" distL="0" distR="0" wp14:anchorId="10801C9C" wp14:editId="12B49160">
            <wp:extent cx="5924550" cy="36385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A4577C62-2EC6-4B4E-8174-83598C8D05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AFB8D2" w14:textId="77777777" w:rsidR="00E411D3" w:rsidRDefault="00E411D3" w:rsidP="005E11C6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</w:p>
    <w:p w14:paraId="02BE703D" w14:textId="19F76A30" w:rsidR="00E411D3" w:rsidRPr="00811C3B" w:rsidRDefault="00030985" w:rsidP="005E11C6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  <w:r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Fig. </w:t>
      </w:r>
      <w:r w:rsidR="00785C6E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1</w:t>
      </w:r>
      <w:r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. Percentage R</w:t>
      </w:r>
      <w:r w:rsidR="00315C5C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esistance</w:t>
      </w:r>
      <w:r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 of Isolate Bacteria to D</w:t>
      </w:r>
      <w:r w:rsidR="0021508C" w:rsidRPr="00E84412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i</w:t>
      </w:r>
      <w:r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fferent Tested A</w:t>
      </w:r>
      <w:r w:rsidR="00315C5C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ntimicrobials</w:t>
      </w:r>
    </w:p>
    <w:p w14:paraId="5C0C0647" w14:textId="121C9F4F" w:rsidR="001C7654" w:rsidRPr="00177A07" w:rsidRDefault="00B24596" w:rsidP="00BF6299">
      <w:pPr>
        <w:rPr>
          <w:b/>
          <w:bCs/>
          <w:color w:val="000000" w:themeColor="text1"/>
          <w:sz w:val="22"/>
          <w:szCs w:val="22"/>
        </w:rPr>
      </w:pPr>
      <w:r w:rsidRPr="00177A07">
        <w:rPr>
          <w:b/>
          <w:bCs/>
          <w:color w:val="000000" w:themeColor="text1"/>
          <w:sz w:val="22"/>
          <w:szCs w:val="22"/>
        </w:rPr>
        <w:t xml:space="preserve">4. </w:t>
      </w:r>
      <w:r w:rsidR="001C7654" w:rsidRPr="00177A07">
        <w:rPr>
          <w:b/>
          <w:bCs/>
          <w:color w:val="000000" w:themeColor="text1"/>
          <w:sz w:val="22"/>
          <w:szCs w:val="22"/>
        </w:rPr>
        <w:t>DISCUSSION</w:t>
      </w:r>
    </w:p>
    <w:p w14:paraId="6986CB30" w14:textId="38EC9999" w:rsidR="000312AE" w:rsidRPr="00177A07" w:rsidRDefault="001C7654" w:rsidP="000312AE">
      <w:pPr>
        <w:jc w:val="both"/>
        <w:rPr>
          <w:color w:val="000000" w:themeColor="text1"/>
          <w:sz w:val="22"/>
          <w:szCs w:val="22"/>
        </w:rPr>
      </w:pPr>
      <w:r w:rsidRPr="00177A07">
        <w:rPr>
          <w:color w:val="000000" w:themeColor="text1"/>
          <w:sz w:val="22"/>
          <w:szCs w:val="22"/>
        </w:rPr>
        <w:t xml:space="preserve">Industries discharge </w:t>
      </w:r>
      <w:r w:rsidR="00F0619D" w:rsidRPr="00177A07">
        <w:rPr>
          <w:color w:val="000000" w:themeColor="text1"/>
          <w:sz w:val="22"/>
          <w:szCs w:val="22"/>
        </w:rPr>
        <w:t xml:space="preserve">of untreated or partially treated </w:t>
      </w:r>
      <w:r w:rsidRPr="00177A07">
        <w:rPr>
          <w:color w:val="000000" w:themeColor="text1"/>
          <w:sz w:val="22"/>
          <w:szCs w:val="22"/>
        </w:rPr>
        <w:t>waste wate</w:t>
      </w:r>
      <w:r w:rsidR="00F0619D" w:rsidRPr="00177A07">
        <w:rPr>
          <w:color w:val="000000" w:themeColor="text1"/>
          <w:sz w:val="22"/>
          <w:szCs w:val="22"/>
        </w:rPr>
        <w:t>r remains a major source of environmental pollution and poses a significant public health threat</w:t>
      </w:r>
      <w:r w:rsidRPr="00177A07">
        <w:rPr>
          <w:color w:val="000000" w:themeColor="text1"/>
          <w:sz w:val="22"/>
          <w:szCs w:val="22"/>
        </w:rPr>
        <w:t xml:space="preserve">.  </w:t>
      </w:r>
      <w:r w:rsidR="00F0619D" w:rsidRPr="00177A07">
        <w:rPr>
          <w:color w:val="000000" w:themeColor="text1"/>
          <w:sz w:val="22"/>
          <w:szCs w:val="22"/>
        </w:rPr>
        <w:t xml:space="preserve">In this study, a concerning trend of </w:t>
      </w:r>
      <w:r w:rsidRPr="00177A07">
        <w:rPr>
          <w:color w:val="000000" w:themeColor="text1"/>
          <w:sz w:val="22"/>
          <w:szCs w:val="22"/>
        </w:rPr>
        <w:t xml:space="preserve">antimicrobial resistance (AMR) </w:t>
      </w:r>
      <w:r w:rsidR="00F0619D" w:rsidRPr="00177A07">
        <w:rPr>
          <w:color w:val="000000" w:themeColor="text1"/>
          <w:sz w:val="22"/>
          <w:szCs w:val="22"/>
        </w:rPr>
        <w:t xml:space="preserve">was observed among selected Gram-negative bacterial isolates. </w:t>
      </w:r>
      <w:r w:rsidRPr="00177A07">
        <w:rPr>
          <w:color w:val="000000" w:themeColor="text1"/>
          <w:sz w:val="22"/>
          <w:szCs w:val="22"/>
        </w:rPr>
        <w:t xml:space="preserve">Ampicillin </w:t>
      </w:r>
      <w:r w:rsidR="00F0619D" w:rsidRPr="00177A07">
        <w:rPr>
          <w:color w:val="000000" w:themeColor="text1"/>
          <w:sz w:val="22"/>
          <w:szCs w:val="22"/>
        </w:rPr>
        <w:t>exhibited the highest resistance rate with 88.1% of all tested isolates d</w:t>
      </w:r>
      <w:r w:rsidR="00173B45" w:rsidRPr="00177A07">
        <w:rPr>
          <w:color w:val="000000" w:themeColor="text1"/>
          <w:sz w:val="22"/>
          <w:szCs w:val="22"/>
        </w:rPr>
        <w:t>emonstrating non-sensitivity</w:t>
      </w:r>
      <w:r w:rsidR="00F0619D" w:rsidRPr="00177A07">
        <w:rPr>
          <w:color w:val="000000" w:themeColor="text1"/>
          <w:sz w:val="22"/>
          <w:szCs w:val="22"/>
        </w:rPr>
        <w:t xml:space="preserve">. This finding is consistent with a study conducted in North Kerala, India which reported 92.59% ampicillin resistance </w:t>
      </w:r>
      <w:r w:rsidRPr="00177A07">
        <w:rPr>
          <w:color w:val="000000" w:themeColor="text1"/>
          <w:sz w:val="22"/>
          <w:szCs w:val="22"/>
        </w:rPr>
        <w:t xml:space="preserve">to </w:t>
      </w:r>
      <w:r w:rsidRPr="00177A07">
        <w:rPr>
          <w:i/>
          <w:iCs/>
          <w:color w:val="000000" w:themeColor="text1"/>
          <w:sz w:val="22"/>
          <w:szCs w:val="22"/>
        </w:rPr>
        <w:t>Klebsiella pneumoniae</w:t>
      </w:r>
      <w:r w:rsidRPr="00177A07">
        <w:rPr>
          <w:color w:val="000000" w:themeColor="text1"/>
          <w:sz w:val="22"/>
          <w:szCs w:val="22"/>
        </w:rPr>
        <w:t xml:space="preserve"> (</w:t>
      </w:r>
      <w:r w:rsidR="00F0619D" w:rsidRPr="00177A07">
        <w:rPr>
          <w:color w:val="000000" w:themeColor="text1"/>
          <w:sz w:val="22"/>
          <w:szCs w:val="22"/>
          <w:shd w:val="clear" w:color="auto" w:fill="FFFFFF"/>
        </w:rPr>
        <w:t>Kumara et al., 2022) and a similar study in Northe</w:t>
      </w:r>
      <w:r w:rsidR="00B24596" w:rsidRPr="00177A07">
        <w:rPr>
          <w:color w:val="000000" w:themeColor="text1"/>
          <w:sz w:val="22"/>
          <w:szCs w:val="22"/>
          <w:shd w:val="clear" w:color="auto" w:fill="FFFFFF"/>
        </w:rPr>
        <w:t xml:space="preserve">ast Ethiopia </w:t>
      </w:r>
      <w:r w:rsidR="00F0619D" w:rsidRPr="00177A07">
        <w:rPr>
          <w:color w:val="000000" w:themeColor="text1"/>
          <w:sz w:val="22"/>
          <w:szCs w:val="22"/>
          <w:shd w:val="clear" w:color="auto" w:fill="FFFFFF"/>
        </w:rPr>
        <w:t xml:space="preserve">that </w:t>
      </w:r>
      <w:r w:rsidR="00B24596" w:rsidRPr="00177A07">
        <w:rPr>
          <w:color w:val="000000" w:themeColor="text1"/>
          <w:sz w:val="22"/>
          <w:szCs w:val="22"/>
          <w:shd w:val="clear" w:color="auto" w:fill="FFFFFF"/>
        </w:rPr>
        <w:t>reported 93% A</w:t>
      </w:r>
      <w:r w:rsidR="00250C0B" w:rsidRPr="00177A07">
        <w:rPr>
          <w:color w:val="000000" w:themeColor="text1"/>
          <w:sz w:val="22"/>
          <w:szCs w:val="22"/>
          <w:shd w:val="clear" w:color="auto" w:fill="FFFFFF"/>
        </w:rPr>
        <w:t xml:space="preserve">mpicillin resistance (Tilahun, M., </w:t>
      </w:r>
      <w:proofErr w:type="spellStart"/>
      <w:r w:rsidR="00250C0B" w:rsidRPr="00177A07">
        <w:rPr>
          <w:color w:val="000000" w:themeColor="text1"/>
          <w:sz w:val="22"/>
          <w:szCs w:val="22"/>
          <w:shd w:val="clear" w:color="auto" w:fill="FFFFFF"/>
        </w:rPr>
        <w:t>Sharew</w:t>
      </w:r>
      <w:proofErr w:type="spellEnd"/>
      <w:r w:rsidR="00250C0B" w:rsidRPr="00177A07">
        <w:rPr>
          <w:color w:val="000000" w:themeColor="text1"/>
          <w:sz w:val="22"/>
          <w:szCs w:val="22"/>
          <w:shd w:val="clear" w:color="auto" w:fill="FFFFFF"/>
        </w:rPr>
        <w:t xml:space="preserve">, B., &amp; Shibabaw, A. 2024). </w:t>
      </w:r>
      <w:r w:rsidRPr="00177A07">
        <w:rPr>
          <w:color w:val="000000" w:themeColor="text1"/>
          <w:sz w:val="22"/>
          <w:szCs w:val="22"/>
        </w:rPr>
        <w:t>The</w:t>
      </w:r>
      <w:r w:rsidR="002D13AC" w:rsidRPr="00177A07">
        <w:rPr>
          <w:color w:val="000000" w:themeColor="text1"/>
          <w:sz w:val="22"/>
          <w:szCs w:val="22"/>
        </w:rPr>
        <w:t xml:space="preserve"> </w:t>
      </w:r>
      <w:r w:rsidR="00F0619D" w:rsidRPr="00177A07">
        <w:rPr>
          <w:color w:val="000000" w:themeColor="text1"/>
          <w:sz w:val="22"/>
          <w:szCs w:val="22"/>
        </w:rPr>
        <w:t xml:space="preserve">high </w:t>
      </w:r>
      <w:r w:rsidRPr="00177A07">
        <w:rPr>
          <w:color w:val="000000" w:themeColor="text1"/>
          <w:sz w:val="22"/>
          <w:szCs w:val="22"/>
        </w:rPr>
        <w:t xml:space="preserve">resistance </w:t>
      </w:r>
      <w:r w:rsidR="00F0619D" w:rsidRPr="00177A07">
        <w:rPr>
          <w:color w:val="000000" w:themeColor="text1"/>
          <w:sz w:val="22"/>
          <w:szCs w:val="22"/>
        </w:rPr>
        <w:t>rates may be</w:t>
      </w:r>
      <w:r w:rsidRPr="00177A07">
        <w:rPr>
          <w:color w:val="000000" w:themeColor="text1"/>
          <w:sz w:val="22"/>
          <w:szCs w:val="22"/>
        </w:rPr>
        <w:t xml:space="preserve"> attributed to the extensive producti</w:t>
      </w:r>
      <w:r w:rsidR="00F0619D" w:rsidRPr="00177A07">
        <w:rPr>
          <w:color w:val="000000" w:themeColor="text1"/>
          <w:sz w:val="22"/>
          <w:szCs w:val="22"/>
        </w:rPr>
        <w:t xml:space="preserve">on of β-lactamase enzymes particularly </w:t>
      </w:r>
      <w:proofErr w:type="spellStart"/>
      <w:r w:rsidR="00173B45" w:rsidRPr="00177A07">
        <w:rPr>
          <w:color w:val="000000" w:themeColor="text1"/>
          <w:sz w:val="22"/>
          <w:szCs w:val="22"/>
        </w:rPr>
        <w:t>bla</w:t>
      </w:r>
      <w:proofErr w:type="spellEnd"/>
      <w:r w:rsidR="00173B45" w:rsidRPr="00177A07">
        <w:rPr>
          <w:color w:val="000000" w:themeColor="text1"/>
          <w:sz w:val="22"/>
          <w:szCs w:val="22"/>
        </w:rPr>
        <w:t xml:space="preserve"> SHV and </w:t>
      </w:r>
      <w:proofErr w:type="spellStart"/>
      <w:r w:rsidR="00173B45" w:rsidRPr="00177A07">
        <w:rPr>
          <w:color w:val="000000" w:themeColor="text1"/>
          <w:sz w:val="22"/>
          <w:szCs w:val="22"/>
        </w:rPr>
        <w:t>bla</w:t>
      </w:r>
      <w:proofErr w:type="spellEnd"/>
      <w:r w:rsidR="00173B45" w:rsidRPr="00177A07">
        <w:rPr>
          <w:color w:val="000000" w:themeColor="text1"/>
          <w:sz w:val="22"/>
          <w:szCs w:val="22"/>
        </w:rPr>
        <w:t xml:space="preserve"> TEM genes which effectively hydrolyze a</w:t>
      </w:r>
      <w:r w:rsidRPr="00177A07">
        <w:rPr>
          <w:color w:val="000000" w:themeColor="text1"/>
          <w:sz w:val="22"/>
          <w:szCs w:val="22"/>
        </w:rPr>
        <w:t>mpicil</w:t>
      </w:r>
      <w:r w:rsidR="00173B45" w:rsidRPr="00177A07">
        <w:rPr>
          <w:color w:val="000000" w:themeColor="text1"/>
          <w:sz w:val="22"/>
          <w:szCs w:val="22"/>
        </w:rPr>
        <w:t xml:space="preserve">lin. </w:t>
      </w:r>
      <w:r w:rsidR="00E411D3" w:rsidRPr="00177A07">
        <w:rPr>
          <w:color w:val="000000" w:themeColor="text1"/>
          <w:sz w:val="22"/>
          <w:szCs w:val="22"/>
        </w:rPr>
        <w:t>C</w:t>
      </w:r>
      <w:r w:rsidRPr="00177A07">
        <w:rPr>
          <w:color w:val="000000" w:themeColor="text1"/>
          <w:sz w:val="22"/>
          <w:szCs w:val="22"/>
        </w:rPr>
        <w:t>efuro</w:t>
      </w:r>
      <w:r w:rsidR="00173B45" w:rsidRPr="00177A07">
        <w:rPr>
          <w:color w:val="000000" w:themeColor="text1"/>
          <w:sz w:val="22"/>
          <w:szCs w:val="22"/>
        </w:rPr>
        <w:t xml:space="preserve">xime resistance was observed in </w:t>
      </w:r>
      <w:r w:rsidRPr="00177A07">
        <w:rPr>
          <w:color w:val="000000" w:themeColor="text1"/>
          <w:sz w:val="22"/>
          <w:szCs w:val="22"/>
        </w:rPr>
        <w:t xml:space="preserve">39% of </w:t>
      </w:r>
      <w:r w:rsidR="00173B45" w:rsidRPr="00177A07">
        <w:rPr>
          <w:color w:val="000000" w:themeColor="text1"/>
          <w:sz w:val="22"/>
          <w:szCs w:val="22"/>
        </w:rPr>
        <w:t xml:space="preserve">the bacterial isolates with an additional 8% showing </w:t>
      </w:r>
      <w:r w:rsidRPr="00177A07">
        <w:rPr>
          <w:color w:val="000000" w:themeColor="text1"/>
          <w:sz w:val="22"/>
          <w:szCs w:val="22"/>
        </w:rPr>
        <w:t xml:space="preserve">intermediate sensitivity. </w:t>
      </w:r>
      <w:r w:rsidR="00173B45" w:rsidRPr="00177A07">
        <w:rPr>
          <w:color w:val="000000" w:themeColor="text1"/>
          <w:sz w:val="22"/>
          <w:szCs w:val="22"/>
        </w:rPr>
        <w:t xml:space="preserve">These results align with findings from a </w:t>
      </w:r>
      <w:r w:rsidRPr="00177A07">
        <w:rPr>
          <w:color w:val="000000" w:themeColor="text1"/>
          <w:sz w:val="22"/>
          <w:szCs w:val="22"/>
        </w:rPr>
        <w:t xml:space="preserve">study in </w:t>
      </w:r>
      <w:r w:rsidR="00173B45" w:rsidRPr="00177A07">
        <w:rPr>
          <w:color w:val="000000" w:themeColor="text1"/>
          <w:sz w:val="22"/>
          <w:szCs w:val="22"/>
        </w:rPr>
        <w:t xml:space="preserve">Democratic Republic of </w:t>
      </w:r>
      <w:r w:rsidR="0063497D" w:rsidRPr="00177A07">
        <w:rPr>
          <w:color w:val="000000" w:themeColor="text1"/>
          <w:sz w:val="22"/>
          <w:szCs w:val="22"/>
        </w:rPr>
        <w:t>Congo</w:t>
      </w:r>
      <w:r w:rsidR="00173B45" w:rsidRPr="00177A07">
        <w:rPr>
          <w:color w:val="000000" w:themeColor="text1"/>
          <w:sz w:val="22"/>
          <w:szCs w:val="22"/>
        </w:rPr>
        <w:t xml:space="preserve"> where </w:t>
      </w:r>
      <w:r w:rsidRPr="00177A07">
        <w:rPr>
          <w:color w:val="000000" w:themeColor="text1"/>
          <w:sz w:val="22"/>
          <w:szCs w:val="22"/>
        </w:rPr>
        <w:t>5</w:t>
      </w:r>
      <w:r w:rsidR="0063497D" w:rsidRPr="00177A07">
        <w:rPr>
          <w:color w:val="000000" w:themeColor="text1"/>
          <w:sz w:val="22"/>
          <w:szCs w:val="22"/>
        </w:rPr>
        <w:t>0</w:t>
      </w:r>
      <w:r w:rsidR="00E76132" w:rsidRPr="00177A07">
        <w:rPr>
          <w:color w:val="000000" w:themeColor="text1"/>
          <w:sz w:val="22"/>
          <w:szCs w:val="22"/>
        </w:rPr>
        <w:t xml:space="preserve">% </w:t>
      </w:r>
      <w:r w:rsidR="00173B45" w:rsidRPr="00177A07">
        <w:rPr>
          <w:color w:val="000000" w:themeColor="text1"/>
          <w:sz w:val="22"/>
          <w:szCs w:val="22"/>
        </w:rPr>
        <w:t xml:space="preserve">resistance to </w:t>
      </w:r>
      <w:r w:rsidR="00E76132" w:rsidRPr="00177A07">
        <w:rPr>
          <w:color w:val="000000" w:themeColor="text1"/>
          <w:sz w:val="22"/>
          <w:szCs w:val="22"/>
        </w:rPr>
        <w:t>C</w:t>
      </w:r>
      <w:r w:rsidR="00173B45" w:rsidRPr="00177A07">
        <w:rPr>
          <w:color w:val="000000" w:themeColor="text1"/>
          <w:sz w:val="22"/>
          <w:szCs w:val="22"/>
        </w:rPr>
        <w:t xml:space="preserve">efuroxime was reported </w:t>
      </w:r>
      <w:r w:rsidRPr="00177A07">
        <w:rPr>
          <w:color w:val="000000" w:themeColor="text1"/>
          <w:sz w:val="22"/>
          <w:szCs w:val="22"/>
        </w:rPr>
        <w:t xml:space="preserve">among </w:t>
      </w:r>
      <w:r w:rsidRPr="00177A07">
        <w:rPr>
          <w:i/>
          <w:iCs/>
          <w:color w:val="000000" w:themeColor="text1"/>
          <w:sz w:val="22"/>
          <w:szCs w:val="22"/>
        </w:rPr>
        <w:t>Escherichia coli</w:t>
      </w:r>
      <w:r w:rsidRPr="00177A07">
        <w:rPr>
          <w:color w:val="000000" w:themeColor="text1"/>
          <w:sz w:val="22"/>
          <w:szCs w:val="22"/>
        </w:rPr>
        <w:t xml:space="preserve"> and </w:t>
      </w:r>
      <w:r w:rsidRPr="00177A07">
        <w:rPr>
          <w:i/>
          <w:iCs/>
          <w:color w:val="000000" w:themeColor="text1"/>
          <w:sz w:val="22"/>
          <w:szCs w:val="22"/>
        </w:rPr>
        <w:t>Klebsiella spp</w:t>
      </w:r>
      <w:r w:rsidR="00173B45" w:rsidRPr="00177A07">
        <w:rPr>
          <w:i/>
          <w:iCs/>
          <w:color w:val="000000" w:themeColor="text1"/>
          <w:sz w:val="22"/>
          <w:szCs w:val="22"/>
        </w:rPr>
        <w:t>.</w:t>
      </w:r>
      <w:r w:rsidRPr="00177A07">
        <w:rPr>
          <w:color w:val="000000" w:themeColor="text1"/>
          <w:sz w:val="22"/>
          <w:szCs w:val="22"/>
        </w:rPr>
        <w:t xml:space="preserve"> (</w:t>
      </w:r>
      <w:proofErr w:type="spellStart"/>
      <w:r w:rsidR="0063497D" w:rsidRPr="00177A07">
        <w:rPr>
          <w:color w:val="000000" w:themeColor="text1"/>
          <w:sz w:val="22"/>
          <w:szCs w:val="22"/>
          <w:shd w:val="clear" w:color="auto" w:fill="FFFFFF"/>
        </w:rPr>
        <w:t>Mukubwa</w:t>
      </w:r>
      <w:proofErr w:type="spellEnd"/>
      <w:r w:rsidR="0063497D" w:rsidRPr="00177A07">
        <w:rPr>
          <w:color w:val="000000" w:themeColor="text1"/>
          <w:sz w:val="22"/>
          <w:szCs w:val="22"/>
          <w:shd w:val="clear" w:color="auto" w:fill="FFFFFF"/>
        </w:rPr>
        <w:t>, et al., 2023).</w:t>
      </w:r>
      <w:r w:rsidRPr="00177A07">
        <w:rPr>
          <w:color w:val="000000" w:themeColor="text1"/>
          <w:sz w:val="22"/>
          <w:szCs w:val="22"/>
        </w:rPr>
        <w:t xml:space="preserve"> The finding demonstr</w:t>
      </w:r>
      <w:r w:rsidR="00E76132" w:rsidRPr="00177A07">
        <w:rPr>
          <w:color w:val="000000" w:themeColor="text1"/>
          <w:sz w:val="22"/>
          <w:szCs w:val="22"/>
        </w:rPr>
        <w:t>ates sensible effectiveness of C</w:t>
      </w:r>
      <w:r w:rsidRPr="00177A07">
        <w:rPr>
          <w:color w:val="000000" w:themeColor="text1"/>
          <w:sz w:val="22"/>
          <w:szCs w:val="22"/>
        </w:rPr>
        <w:t xml:space="preserve">efuroxime is compromised probably by ESBLs (Extended spectrum β-lactamases). </w:t>
      </w:r>
      <w:r w:rsidR="00173B45" w:rsidRPr="00177A07">
        <w:rPr>
          <w:color w:val="000000" w:themeColor="text1"/>
          <w:sz w:val="22"/>
          <w:szCs w:val="22"/>
        </w:rPr>
        <w:t xml:space="preserve">Ceftriaxone resistance was observed in 45.5% of all </w:t>
      </w:r>
      <w:r w:rsidRPr="00177A07">
        <w:rPr>
          <w:color w:val="000000" w:themeColor="text1"/>
          <w:sz w:val="22"/>
          <w:szCs w:val="22"/>
        </w:rPr>
        <w:t>isolates</w:t>
      </w:r>
      <w:r w:rsidR="00173B45" w:rsidRPr="00177A07">
        <w:rPr>
          <w:color w:val="000000" w:themeColor="text1"/>
          <w:sz w:val="22"/>
          <w:szCs w:val="22"/>
        </w:rPr>
        <w:t xml:space="preserve"> in this study</w:t>
      </w:r>
      <w:r w:rsidRPr="00177A07">
        <w:rPr>
          <w:color w:val="000000" w:themeColor="text1"/>
          <w:sz w:val="22"/>
          <w:szCs w:val="22"/>
        </w:rPr>
        <w:t xml:space="preserve">. </w:t>
      </w:r>
      <w:r w:rsidR="00173B45" w:rsidRPr="00177A07">
        <w:rPr>
          <w:color w:val="000000" w:themeColor="text1"/>
          <w:sz w:val="22"/>
          <w:szCs w:val="22"/>
        </w:rPr>
        <w:t xml:space="preserve">This contrasts with findings from a study in Ethiopia </w:t>
      </w:r>
      <w:r w:rsidRPr="00177A07">
        <w:rPr>
          <w:color w:val="000000" w:themeColor="text1"/>
          <w:sz w:val="22"/>
          <w:szCs w:val="22"/>
        </w:rPr>
        <w:t xml:space="preserve">by </w:t>
      </w:r>
      <w:bookmarkStart w:id="2" w:name="_Hlk197808420"/>
      <w:r w:rsidR="00173B45" w:rsidRPr="00177A07">
        <w:rPr>
          <w:color w:val="000000" w:themeColor="text1"/>
          <w:sz w:val="22"/>
          <w:szCs w:val="22"/>
          <w:shd w:val="clear" w:color="auto" w:fill="FFFFFF"/>
        </w:rPr>
        <w:t>Geleta, et al. (</w:t>
      </w:r>
      <w:bookmarkEnd w:id="2"/>
      <w:r w:rsidR="00173B45" w:rsidRPr="00177A07">
        <w:rPr>
          <w:color w:val="000000" w:themeColor="text1"/>
          <w:sz w:val="22"/>
          <w:szCs w:val="22"/>
          <w:shd w:val="clear" w:color="auto" w:fill="FFFFFF"/>
        </w:rPr>
        <w:t xml:space="preserve">2024) which reported 100% </w:t>
      </w:r>
      <w:r w:rsidR="00545DB1" w:rsidRPr="00177A07">
        <w:rPr>
          <w:color w:val="000000" w:themeColor="text1"/>
          <w:sz w:val="22"/>
          <w:szCs w:val="22"/>
          <w:shd w:val="clear" w:color="auto" w:fill="FFFFFF"/>
        </w:rPr>
        <w:t>resistance to ceftriaxone a</w:t>
      </w:r>
      <w:r w:rsidRPr="00177A07">
        <w:rPr>
          <w:color w:val="000000" w:themeColor="text1"/>
          <w:sz w:val="22"/>
          <w:szCs w:val="22"/>
        </w:rPr>
        <w:t xml:space="preserve">mong </w:t>
      </w:r>
      <w:r w:rsidR="00D004D0" w:rsidRPr="00177A07">
        <w:rPr>
          <w:i/>
          <w:iCs/>
          <w:color w:val="000000" w:themeColor="text1"/>
          <w:sz w:val="22"/>
          <w:szCs w:val="22"/>
        </w:rPr>
        <w:t xml:space="preserve">Klebsiella </w:t>
      </w:r>
      <w:proofErr w:type="spellStart"/>
      <w:r w:rsidR="00D004D0" w:rsidRPr="00177A07">
        <w:rPr>
          <w:i/>
          <w:iCs/>
          <w:color w:val="000000" w:themeColor="text1"/>
          <w:sz w:val="22"/>
          <w:szCs w:val="22"/>
        </w:rPr>
        <w:t>spp</w:t>
      </w:r>
      <w:proofErr w:type="spellEnd"/>
      <w:r w:rsidRPr="00177A07">
        <w:rPr>
          <w:color w:val="000000" w:themeColor="text1"/>
          <w:sz w:val="22"/>
          <w:szCs w:val="22"/>
        </w:rPr>
        <w:t xml:space="preserve"> isolates. </w:t>
      </w:r>
      <w:r w:rsidR="00545DB1" w:rsidRPr="00177A07">
        <w:rPr>
          <w:color w:val="000000" w:themeColor="text1"/>
          <w:sz w:val="22"/>
          <w:szCs w:val="22"/>
        </w:rPr>
        <w:t>Such discrepancies likely reflect differences in the prevalence of extended spectrum beta-lactamase (ESBL) producing organisms and variations in antibiotic usage patterns across regions.</w:t>
      </w:r>
      <w:r w:rsidR="000312AE" w:rsidRPr="00177A07">
        <w:rPr>
          <w:color w:val="000000" w:themeColor="text1"/>
          <w:sz w:val="22"/>
          <w:szCs w:val="22"/>
        </w:rPr>
        <w:t xml:space="preserve"> </w:t>
      </w:r>
      <w:r w:rsidR="00545DB1" w:rsidRPr="00177A07">
        <w:rPr>
          <w:color w:val="000000" w:themeColor="text1"/>
          <w:sz w:val="22"/>
          <w:szCs w:val="22"/>
        </w:rPr>
        <w:t xml:space="preserve">Cefepime demonstrated a </w:t>
      </w:r>
      <w:r w:rsidRPr="00177A07">
        <w:rPr>
          <w:color w:val="000000" w:themeColor="text1"/>
          <w:sz w:val="22"/>
          <w:szCs w:val="22"/>
        </w:rPr>
        <w:t xml:space="preserve">susceptibility </w:t>
      </w:r>
      <w:r w:rsidR="00545DB1" w:rsidRPr="00177A07">
        <w:rPr>
          <w:color w:val="000000" w:themeColor="text1"/>
          <w:sz w:val="22"/>
          <w:szCs w:val="22"/>
        </w:rPr>
        <w:t xml:space="preserve">rate of 61.3% while </w:t>
      </w:r>
      <w:r w:rsidRPr="00177A07">
        <w:rPr>
          <w:color w:val="000000" w:themeColor="text1"/>
          <w:sz w:val="22"/>
          <w:szCs w:val="22"/>
        </w:rPr>
        <w:t>19.8%</w:t>
      </w:r>
      <w:r w:rsidR="00545DB1" w:rsidRPr="00177A07">
        <w:rPr>
          <w:color w:val="000000" w:themeColor="text1"/>
          <w:sz w:val="22"/>
          <w:szCs w:val="22"/>
        </w:rPr>
        <w:t xml:space="preserve"> of isolates were resistant</w:t>
      </w:r>
      <w:r w:rsidRPr="00177A07">
        <w:rPr>
          <w:color w:val="000000" w:themeColor="text1"/>
          <w:sz w:val="22"/>
          <w:szCs w:val="22"/>
        </w:rPr>
        <w:t xml:space="preserve">. </w:t>
      </w:r>
      <w:r w:rsidR="00545DB1" w:rsidRPr="00177A07">
        <w:rPr>
          <w:color w:val="000000" w:themeColor="text1"/>
          <w:sz w:val="22"/>
          <w:szCs w:val="22"/>
        </w:rPr>
        <w:t xml:space="preserve">However, a separate hospital-based study reported 100% resistance to </w:t>
      </w:r>
      <w:r w:rsidR="00545DB1" w:rsidRPr="00177A07">
        <w:rPr>
          <w:color w:val="000000" w:themeColor="text1"/>
          <w:sz w:val="22"/>
          <w:szCs w:val="22"/>
        </w:rPr>
        <w:lastRenderedPageBreak/>
        <w:t xml:space="preserve">cefepime among </w:t>
      </w:r>
      <w:r w:rsidR="00545DB1" w:rsidRPr="00177A07">
        <w:rPr>
          <w:rStyle w:val="Emphasis"/>
          <w:color w:val="000000" w:themeColor="text1"/>
          <w:sz w:val="22"/>
          <w:szCs w:val="22"/>
        </w:rPr>
        <w:t>Pseudomonas</w:t>
      </w:r>
      <w:r w:rsidR="00545DB1" w:rsidRPr="00177A07">
        <w:rPr>
          <w:color w:val="000000" w:themeColor="text1"/>
          <w:sz w:val="22"/>
          <w:szCs w:val="22"/>
        </w:rPr>
        <w:t xml:space="preserve"> spp. suggesting that nosocomial environments may exert greater selective pressure contributing to the emergence of highly resistant strains (Kemal et al., 2025). </w:t>
      </w:r>
      <w:r w:rsidR="00545DB1" w:rsidRPr="00177A07">
        <w:rPr>
          <w:rStyle w:val="Strong"/>
          <w:b w:val="0"/>
          <w:color w:val="000000" w:themeColor="text1"/>
          <w:sz w:val="22"/>
          <w:szCs w:val="22"/>
        </w:rPr>
        <w:t>This underscores the role of healthcare settings as reservoirs and amplifiers of resistant organisms.</w:t>
      </w:r>
      <w:r w:rsidR="000312AE" w:rsidRPr="00177A07">
        <w:rPr>
          <w:color w:val="000000" w:themeColor="text1"/>
          <w:sz w:val="22"/>
          <w:szCs w:val="22"/>
        </w:rPr>
        <w:t xml:space="preserve"> </w:t>
      </w:r>
      <w:r w:rsidR="00545DB1" w:rsidRPr="00177A07">
        <w:rPr>
          <w:color w:val="000000" w:themeColor="text1"/>
          <w:sz w:val="22"/>
          <w:szCs w:val="22"/>
        </w:rPr>
        <w:t xml:space="preserve">Imipenem exhibited relatively low resistance at </w:t>
      </w:r>
      <w:r w:rsidR="008D3A39" w:rsidRPr="00177A07">
        <w:rPr>
          <w:color w:val="000000" w:themeColor="text1"/>
          <w:sz w:val="22"/>
          <w:szCs w:val="22"/>
        </w:rPr>
        <w:t xml:space="preserve">12.8% </w:t>
      </w:r>
      <w:r w:rsidRPr="00177A07">
        <w:rPr>
          <w:color w:val="000000" w:themeColor="text1"/>
          <w:sz w:val="22"/>
          <w:szCs w:val="22"/>
        </w:rPr>
        <w:t xml:space="preserve">with a sensitivity </w:t>
      </w:r>
      <w:r w:rsidR="008D3A39" w:rsidRPr="00177A07">
        <w:rPr>
          <w:color w:val="000000" w:themeColor="text1"/>
          <w:sz w:val="22"/>
          <w:szCs w:val="22"/>
        </w:rPr>
        <w:t xml:space="preserve">rate </w:t>
      </w:r>
      <w:r w:rsidRPr="00177A07">
        <w:rPr>
          <w:color w:val="000000" w:themeColor="text1"/>
          <w:sz w:val="22"/>
          <w:szCs w:val="22"/>
        </w:rPr>
        <w:t xml:space="preserve">of 67.3%. </w:t>
      </w:r>
      <w:r w:rsidR="0049599F" w:rsidRPr="00177A07">
        <w:rPr>
          <w:color w:val="000000" w:themeColor="text1"/>
          <w:sz w:val="22"/>
          <w:szCs w:val="22"/>
        </w:rPr>
        <w:t>T</w:t>
      </w:r>
      <w:r w:rsidR="00E76132" w:rsidRPr="00177A07">
        <w:rPr>
          <w:color w:val="000000" w:themeColor="text1"/>
          <w:sz w:val="22"/>
          <w:szCs w:val="22"/>
        </w:rPr>
        <w:t>he</w:t>
      </w:r>
      <w:r w:rsidR="008D3A39" w:rsidRPr="00177A07">
        <w:rPr>
          <w:color w:val="000000" w:themeColor="text1"/>
          <w:sz w:val="22"/>
          <w:szCs w:val="22"/>
        </w:rPr>
        <w:t xml:space="preserve">se findings are consistent with a study by </w:t>
      </w:r>
      <w:proofErr w:type="spellStart"/>
      <w:r w:rsidR="008D3A39" w:rsidRPr="00177A07">
        <w:rPr>
          <w:color w:val="000000" w:themeColor="text1"/>
          <w:sz w:val="22"/>
          <w:szCs w:val="22"/>
        </w:rPr>
        <w:t>Mukubwa</w:t>
      </w:r>
      <w:proofErr w:type="spellEnd"/>
      <w:r w:rsidR="008D3A39" w:rsidRPr="00177A07">
        <w:rPr>
          <w:color w:val="000000" w:themeColor="text1"/>
          <w:sz w:val="22"/>
          <w:szCs w:val="22"/>
        </w:rPr>
        <w:t xml:space="preserve"> et al. (2023), who reported 13% imipenem resistance among </w:t>
      </w:r>
      <w:r w:rsidR="008D3A39" w:rsidRPr="00177A07">
        <w:rPr>
          <w:rStyle w:val="Emphasis"/>
          <w:color w:val="000000" w:themeColor="text1"/>
          <w:sz w:val="22"/>
          <w:szCs w:val="22"/>
        </w:rPr>
        <w:t>Escherichia coli</w:t>
      </w:r>
      <w:r w:rsidR="008D3A39" w:rsidRPr="00177A07">
        <w:rPr>
          <w:color w:val="000000" w:themeColor="text1"/>
          <w:sz w:val="22"/>
          <w:szCs w:val="22"/>
        </w:rPr>
        <w:t xml:space="preserve"> and </w:t>
      </w:r>
      <w:r w:rsidR="008D3A39" w:rsidRPr="00177A07">
        <w:rPr>
          <w:rStyle w:val="Emphasis"/>
          <w:color w:val="000000" w:themeColor="text1"/>
          <w:sz w:val="22"/>
          <w:szCs w:val="22"/>
        </w:rPr>
        <w:t>Klebsiella</w:t>
      </w:r>
      <w:r w:rsidR="008D3A39" w:rsidRPr="00177A07">
        <w:rPr>
          <w:color w:val="000000" w:themeColor="text1"/>
          <w:sz w:val="22"/>
          <w:szCs w:val="22"/>
        </w:rPr>
        <w:t xml:space="preserve"> spp. isolates. However, considerably higher resistance rates of 56.9% in </w:t>
      </w:r>
      <w:r w:rsidR="008D3A39" w:rsidRPr="00177A07">
        <w:rPr>
          <w:rStyle w:val="Emphasis"/>
          <w:color w:val="000000" w:themeColor="text1"/>
          <w:sz w:val="22"/>
          <w:szCs w:val="22"/>
        </w:rPr>
        <w:t>Klebsiella pneumoniae</w:t>
      </w:r>
      <w:r w:rsidR="008D3A39" w:rsidRPr="00177A07">
        <w:rPr>
          <w:color w:val="000000" w:themeColor="text1"/>
          <w:sz w:val="22"/>
          <w:szCs w:val="22"/>
        </w:rPr>
        <w:t xml:space="preserve"> and 15.6% in </w:t>
      </w:r>
      <w:r w:rsidR="008D3A39" w:rsidRPr="00177A07">
        <w:rPr>
          <w:rStyle w:val="Emphasis"/>
          <w:color w:val="000000" w:themeColor="text1"/>
          <w:sz w:val="22"/>
          <w:szCs w:val="22"/>
        </w:rPr>
        <w:t>Escherichia coli</w:t>
      </w:r>
      <w:r w:rsidR="008D3A39" w:rsidRPr="00177A07">
        <w:rPr>
          <w:color w:val="000000" w:themeColor="text1"/>
          <w:sz w:val="22"/>
          <w:szCs w:val="22"/>
        </w:rPr>
        <w:t xml:space="preserve"> were reported in a study from No</w:t>
      </w:r>
      <w:r w:rsidR="00191DF6" w:rsidRPr="00177A07">
        <w:rPr>
          <w:color w:val="000000" w:themeColor="text1"/>
          <w:sz w:val="22"/>
          <w:szCs w:val="22"/>
        </w:rPr>
        <w:t xml:space="preserve">rth India (Jaggi et al., 2019) </w:t>
      </w:r>
      <w:r w:rsidR="008D3A39" w:rsidRPr="00177A07">
        <w:rPr>
          <w:color w:val="000000" w:themeColor="text1"/>
          <w:sz w:val="22"/>
          <w:szCs w:val="22"/>
        </w:rPr>
        <w:t xml:space="preserve">likely due to the presence of carbapenem producing genes such as New Delhi </w:t>
      </w:r>
      <w:proofErr w:type="spellStart"/>
      <w:r w:rsidR="008D3A39" w:rsidRPr="00177A07">
        <w:rPr>
          <w:color w:val="000000" w:themeColor="text1"/>
          <w:sz w:val="22"/>
          <w:szCs w:val="22"/>
        </w:rPr>
        <w:t>metallo</w:t>
      </w:r>
      <w:proofErr w:type="spellEnd"/>
      <w:r w:rsidR="008D3A39" w:rsidRPr="00177A07">
        <w:rPr>
          <w:color w:val="000000" w:themeColor="text1"/>
          <w:sz w:val="22"/>
          <w:szCs w:val="22"/>
        </w:rPr>
        <w:t>-</w:t>
      </w:r>
      <w:r w:rsidR="008D3A39" w:rsidRPr="00177A07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β-lactamase (</w:t>
      </w:r>
      <w:r w:rsidR="008D3A39" w:rsidRPr="00177A07">
        <w:rPr>
          <w:color w:val="000000" w:themeColor="text1"/>
          <w:sz w:val="22"/>
          <w:szCs w:val="22"/>
        </w:rPr>
        <w:t xml:space="preserve">NDM) and </w:t>
      </w:r>
      <w:r w:rsidR="000060DE" w:rsidRPr="00177A07">
        <w:rPr>
          <w:color w:val="000000" w:themeColor="text1"/>
          <w:sz w:val="22"/>
          <w:szCs w:val="22"/>
        </w:rPr>
        <w:t xml:space="preserve">Klebsiella pneumoniae </w:t>
      </w:r>
      <w:proofErr w:type="spellStart"/>
      <w:r w:rsidR="000060DE" w:rsidRPr="00177A07">
        <w:rPr>
          <w:color w:val="000000" w:themeColor="text1"/>
          <w:sz w:val="22"/>
          <w:szCs w:val="22"/>
        </w:rPr>
        <w:t>carbapenemase</w:t>
      </w:r>
      <w:proofErr w:type="spellEnd"/>
      <w:r w:rsidR="000060DE" w:rsidRPr="00177A07">
        <w:rPr>
          <w:color w:val="000000" w:themeColor="text1"/>
          <w:sz w:val="22"/>
          <w:szCs w:val="22"/>
        </w:rPr>
        <w:t xml:space="preserve"> (</w:t>
      </w:r>
      <w:r w:rsidR="008D3A39" w:rsidRPr="00177A07">
        <w:rPr>
          <w:color w:val="000000" w:themeColor="text1"/>
          <w:sz w:val="22"/>
          <w:szCs w:val="22"/>
        </w:rPr>
        <w:t>KPC</w:t>
      </w:r>
      <w:r w:rsidR="000060DE" w:rsidRPr="00177A07">
        <w:rPr>
          <w:color w:val="000000" w:themeColor="text1"/>
          <w:sz w:val="22"/>
          <w:szCs w:val="22"/>
        </w:rPr>
        <w:t xml:space="preserve">). </w:t>
      </w:r>
      <w:r w:rsidR="008D3A39" w:rsidRPr="00177A07">
        <w:rPr>
          <w:rStyle w:val="Strong"/>
          <w:b w:val="0"/>
          <w:color w:val="000000" w:themeColor="text1"/>
          <w:sz w:val="22"/>
          <w:szCs w:val="22"/>
        </w:rPr>
        <w:t>These enzymes significantly compromise carbapenem efficacy and are a growing concern in the treatment of multidrug-resistant infections.</w:t>
      </w:r>
      <w:r w:rsidR="000312AE" w:rsidRPr="00177A07">
        <w:rPr>
          <w:color w:val="000000" w:themeColor="text1"/>
          <w:sz w:val="22"/>
          <w:szCs w:val="22"/>
        </w:rPr>
        <w:t xml:space="preserve"> </w:t>
      </w:r>
      <w:r w:rsidR="00E76132" w:rsidRPr="00177A07">
        <w:rPr>
          <w:color w:val="000000" w:themeColor="text1"/>
          <w:sz w:val="22"/>
          <w:szCs w:val="22"/>
        </w:rPr>
        <w:t>Gentamicin was the most effective anti</w:t>
      </w:r>
      <w:r w:rsidR="000060DE" w:rsidRPr="00177A07">
        <w:rPr>
          <w:color w:val="000000" w:themeColor="text1"/>
          <w:sz w:val="22"/>
          <w:szCs w:val="22"/>
        </w:rPr>
        <w:t xml:space="preserve">biotic in this study demonstrating </w:t>
      </w:r>
      <w:r w:rsidRPr="00177A07">
        <w:rPr>
          <w:color w:val="000000" w:themeColor="text1"/>
          <w:sz w:val="22"/>
          <w:szCs w:val="22"/>
        </w:rPr>
        <w:t xml:space="preserve">a </w:t>
      </w:r>
      <w:r w:rsidR="000060DE" w:rsidRPr="00177A07">
        <w:rPr>
          <w:color w:val="000000" w:themeColor="text1"/>
          <w:sz w:val="22"/>
          <w:szCs w:val="22"/>
        </w:rPr>
        <w:t xml:space="preserve">low resistance rate of 8.9% among </w:t>
      </w:r>
      <w:r w:rsidRPr="00177A07">
        <w:rPr>
          <w:color w:val="000000" w:themeColor="text1"/>
          <w:sz w:val="22"/>
          <w:szCs w:val="22"/>
        </w:rPr>
        <w:t xml:space="preserve">all the tested isolates. </w:t>
      </w:r>
      <w:r w:rsidR="000060DE" w:rsidRPr="00177A07">
        <w:rPr>
          <w:color w:val="000000" w:themeColor="text1"/>
          <w:sz w:val="22"/>
          <w:szCs w:val="22"/>
        </w:rPr>
        <w:t xml:space="preserve">This </w:t>
      </w:r>
      <w:r w:rsidR="00E76132" w:rsidRPr="00177A07">
        <w:rPr>
          <w:color w:val="000000" w:themeColor="text1"/>
          <w:sz w:val="22"/>
          <w:szCs w:val="22"/>
        </w:rPr>
        <w:t xml:space="preserve">corroborates </w:t>
      </w:r>
      <w:r w:rsidR="00191DF6" w:rsidRPr="00177A07">
        <w:rPr>
          <w:color w:val="000000" w:themeColor="text1"/>
          <w:sz w:val="22"/>
          <w:szCs w:val="22"/>
        </w:rPr>
        <w:t>findings from</w:t>
      </w:r>
      <w:r w:rsidR="00E76132" w:rsidRPr="00177A07">
        <w:rPr>
          <w:color w:val="000000" w:themeColor="text1"/>
          <w:sz w:val="22"/>
          <w:szCs w:val="22"/>
        </w:rPr>
        <w:t xml:space="preserve"> a study in Uganda which </w:t>
      </w:r>
      <w:r w:rsidR="00C742CA" w:rsidRPr="00177A07">
        <w:rPr>
          <w:color w:val="000000" w:themeColor="text1"/>
          <w:sz w:val="22"/>
          <w:szCs w:val="22"/>
        </w:rPr>
        <w:t xml:space="preserve">reported </w:t>
      </w:r>
      <w:r w:rsidR="000060DE" w:rsidRPr="00177A07">
        <w:rPr>
          <w:color w:val="000000" w:themeColor="text1"/>
          <w:sz w:val="22"/>
          <w:szCs w:val="22"/>
        </w:rPr>
        <w:t>a similar g</w:t>
      </w:r>
      <w:r w:rsidR="00C742CA" w:rsidRPr="00177A07">
        <w:rPr>
          <w:color w:val="000000" w:themeColor="text1"/>
          <w:sz w:val="22"/>
          <w:szCs w:val="22"/>
        </w:rPr>
        <w:t>en</w:t>
      </w:r>
      <w:r w:rsidR="00E76132" w:rsidRPr="00177A07">
        <w:rPr>
          <w:color w:val="000000" w:themeColor="text1"/>
          <w:sz w:val="22"/>
          <w:szCs w:val="22"/>
        </w:rPr>
        <w:t>tamicin resistance</w:t>
      </w:r>
      <w:r w:rsidR="00C742CA" w:rsidRPr="00177A07">
        <w:rPr>
          <w:color w:val="000000" w:themeColor="text1"/>
          <w:sz w:val="22"/>
          <w:szCs w:val="22"/>
        </w:rPr>
        <w:t xml:space="preserve"> </w:t>
      </w:r>
      <w:r w:rsidR="00E76132" w:rsidRPr="00177A07">
        <w:rPr>
          <w:color w:val="000000" w:themeColor="text1"/>
          <w:sz w:val="22"/>
          <w:szCs w:val="22"/>
        </w:rPr>
        <w:t xml:space="preserve">rate of 9% </w:t>
      </w:r>
      <w:r w:rsidR="00C742CA" w:rsidRPr="00177A07">
        <w:rPr>
          <w:color w:val="000000" w:themeColor="text1"/>
          <w:sz w:val="22"/>
          <w:szCs w:val="22"/>
        </w:rPr>
        <w:t>(</w:t>
      </w:r>
      <w:bookmarkStart w:id="3" w:name="_Hlk197809438"/>
      <w:proofErr w:type="spellStart"/>
      <w:r w:rsidR="00C742CA" w:rsidRPr="00177A07">
        <w:rPr>
          <w:color w:val="000000" w:themeColor="text1"/>
          <w:sz w:val="22"/>
          <w:szCs w:val="22"/>
          <w:shd w:val="clear" w:color="auto" w:fill="FFFFFF"/>
        </w:rPr>
        <w:t>Abongomera</w:t>
      </w:r>
      <w:proofErr w:type="spellEnd"/>
      <w:r w:rsidR="00C742CA" w:rsidRPr="00177A07">
        <w:rPr>
          <w:color w:val="000000" w:themeColor="text1"/>
          <w:sz w:val="22"/>
          <w:szCs w:val="22"/>
          <w:shd w:val="clear" w:color="auto" w:fill="FFFFFF"/>
        </w:rPr>
        <w:t>, et al., 2021</w:t>
      </w:r>
      <w:bookmarkEnd w:id="3"/>
      <w:r w:rsidR="00C742CA" w:rsidRPr="00177A07">
        <w:rPr>
          <w:color w:val="000000" w:themeColor="text1"/>
          <w:sz w:val="22"/>
          <w:szCs w:val="22"/>
          <w:shd w:val="clear" w:color="auto" w:fill="FFFFFF"/>
        </w:rPr>
        <w:t>).</w:t>
      </w:r>
      <w:r w:rsidR="00C742CA" w:rsidRPr="00177A07">
        <w:rPr>
          <w:color w:val="000000" w:themeColor="text1"/>
          <w:sz w:val="22"/>
          <w:szCs w:val="22"/>
        </w:rPr>
        <w:t xml:space="preserve"> </w:t>
      </w:r>
      <w:r w:rsidR="000060DE" w:rsidRPr="00177A07">
        <w:rPr>
          <w:color w:val="000000" w:themeColor="text1"/>
          <w:sz w:val="22"/>
          <w:szCs w:val="22"/>
        </w:rPr>
        <w:t xml:space="preserve">In contrast, a study in Egypt observed a significantly higher resistance rate of 84.6% </w:t>
      </w:r>
      <w:r w:rsidRPr="00177A07">
        <w:rPr>
          <w:color w:val="000000" w:themeColor="text1"/>
          <w:sz w:val="22"/>
          <w:szCs w:val="22"/>
        </w:rPr>
        <w:t xml:space="preserve">in </w:t>
      </w:r>
      <w:r w:rsidR="005C0B0C" w:rsidRPr="00177A07">
        <w:rPr>
          <w:i/>
          <w:iCs/>
          <w:color w:val="000000" w:themeColor="text1"/>
          <w:sz w:val="22"/>
          <w:szCs w:val="22"/>
        </w:rPr>
        <w:t xml:space="preserve">Klebsiella pneumoniae </w:t>
      </w:r>
      <w:r w:rsidR="000060DE" w:rsidRPr="00177A07">
        <w:rPr>
          <w:color w:val="000000" w:themeColor="text1"/>
          <w:sz w:val="22"/>
          <w:szCs w:val="22"/>
        </w:rPr>
        <w:t xml:space="preserve">isolates </w:t>
      </w:r>
      <w:r w:rsidRPr="00177A07">
        <w:rPr>
          <w:color w:val="000000" w:themeColor="text1"/>
          <w:sz w:val="22"/>
          <w:szCs w:val="22"/>
        </w:rPr>
        <w:t>(</w:t>
      </w:r>
      <w:bookmarkStart w:id="4" w:name="_Hlk197812414"/>
      <w:r w:rsidR="005C0B0C" w:rsidRPr="00177A07">
        <w:rPr>
          <w:color w:val="000000" w:themeColor="text1"/>
          <w:sz w:val="22"/>
          <w:szCs w:val="22"/>
          <w:shd w:val="clear" w:color="auto" w:fill="FFFFFF"/>
        </w:rPr>
        <w:t>Geleta, et al., 2024</w:t>
      </w:r>
      <w:bookmarkEnd w:id="4"/>
      <w:r w:rsidRPr="00177A07">
        <w:rPr>
          <w:color w:val="000000" w:themeColor="text1"/>
          <w:sz w:val="22"/>
          <w:szCs w:val="22"/>
        </w:rPr>
        <w:t>)</w:t>
      </w:r>
      <w:r w:rsidR="000060DE" w:rsidRPr="00177A07">
        <w:rPr>
          <w:color w:val="000000" w:themeColor="text1"/>
          <w:sz w:val="22"/>
          <w:szCs w:val="22"/>
        </w:rPr>
        <w:t xml:space="preserve"> highlighting </w:t>
      </w:r>
      <w:r w:rsidRPr="00177A07">
        <w:rPr>
          <w:color w:val="000000" w:themeColor="text1"/>
          <w:sz w:val="22"/>
          <w:szCs w:val="22"/>
        </w:rPr>
        <w:t>regional disparity in</w:t>
      </w:r>
      <w:r w:rsidR="000060DE" w:rsidRPr="00177A07">
        <w:rPr>
          <w:color w:val="000000" w:themeColor="text1"/>
          <w:sz w:val="22"/>
          <w:szCs w:val="22"/>
        </w:rPr>
        <w:t xml:space="preserve"> antimicrobial</w:t>
      </w:r>
      <w:r w:rsidR="00EB126C" w:rsidRPr="00177A07">
        <w:rPr>
          <w:color w:val="000000" w:themeColor="text1"/>
          <w:sz w:val="22"/>
          <w:szCs w:val="22"/>
        </w:rPr>
        <w:t xml:space="preserve"> resistance patterns and variations in </w:t>
      </w:r>
      <w:r w:rsidRPr="00177A07">
        <w:rPr>
          <w:color w:val="000000" w:themeColor="text1"/>
          <w:sz w:val="22"/>
          <w:szCs w:val="22"/>
        </w:rPr>
        <w:t>aminogl</w:t>
      </w:r>
      <w:r w:rsidR="00EB126C" w:rsidRPr="00177A07">
        <w:rPr>
          <w:color w:val="000000" w:themeColor="text1"/>
          <w:sz w:val="22"/>
          <w:szCs w:val="22"/>
        </w:rPr>
        <w:t xml:space="preserve">ycoside use. </w:t>
      </w:r>
      <w:r w:rsidR="004D14BF" w:rsidRPr="00177A07">
        <w:rPr>
          <w:color w:val="000000" w:themeColor="text1"/>
          <w:sz w:val="22"/>
          <w:szCs w:val="22"/>
        </w:rPr>
        <w:t>C</w:t>
      </w:r>
      <w:r w:rsidRPr="00177A07">
        <w:rPr>
          <w:color w:val="000000" w:themeColor="text1"/>
          <w:sz w:val="22"/>
          <w:szCs w:val="22"/>
        </w:rPr>
        <w:t xml:space="preserve">iprofloxacin </w:t>
      </w:r>
      <w:r w:rsidR="00EB126C" w:rsidRPr="00177A07">
        <w:rPr>
          <w:color w:val="000000" w:themeColor="text1"/>
          <w:sz w:val="22"/>
          <w:szCs w:val="22"/>
        </w:rPr>
        <w:t xml:space="preserve">showed susceptibility rate of 60.3% with a </w:t>
      </w:r>
      <w:r w:rsidRPr="00177A07">
        <w:rPr>
          <w:color w:val="000000" w:themeColor="text1"/>
          <w:sz w:val="22"/>
          <w:szCs w:val="22"/>
        </w:rPr>
        <w:t xml:space="preserve">resistance rate of 22.7%. </w:t>
      </w:r>
      <w:r w:rsidR="004D14BF" w:rsidRPr="00177A07">
        <w:rPr>
          <w:color w:val="000000" w:themeColor="text1"/>
          <w:sz w:val="22"/>
          <w:szCs w:val="22"/>
        </w:rPr>
        <w:t xml:space="preserve"> </w:t>
      </w:r>
      <w:r w:rsidR="00EB126C" w:rsidRPr="00177A07">
        <w:rPr>
          <w:color w:val="000000" w:themeColor="text1"/>
          <w:sz w:val="22"/>
          <w:szCs w:val="22"/>
        </w:rPr>
        <w:t xml:space="preserve">Higher resistance rates such as the 44% reported in a previous study in Uganda have been linked to the widespread availability and inappropriate use of ciprofloxacin particularly in settings where antibiotics can be obtained over the counter without prescription </w:t>
      </w:r>
      <w:r w:rsidR="004D14BF" w:rsidRPr="00177A07">
        <w:rPr>
          <w:color w:val="000000" w:themeColor="text1"/>
          <w:sz w:val="22"/>
          <w:szCs w:val="22"/>
        </w:rPr>
        <w:t>(</w:t>
      </w:r>
      <w:proofErr w:type="spellStart"/>
      <w:r w:rsidR="004D14BF" w:rsidRPr="00177A07">
        <w:rPr>
          <w:color w:val="000000" w:themeColor="text1"/>
          <w:sz w:val="22"/>
          <w:szCs w:val="22"/>
        </w:rPr>
        <w:t>Abongomera</w:t>
      </w:r>
      <w:proofErr w:type="spellEnd"/>
      <w:r w:rsidR="004D14BF" w:rsidRPr="00177A07">
        <w:rPr>
          <w:color w:val="000000" w:themeColor="text1"/>
          <w:sz w:val="22"/>
          <w:szCs w:val="22"/>
        </w:rPr>
        <w:t xml:space="preserve"> et al., 2021). In the present study, Levofloxacin resistance was observed at 9.9%, with the highest susceptibility recorded at 81.1%. </w:t>
      </w:r>
      <w:r w:rsidR="00EB126C" w:rsidRPr="00177A07">
        <w:rPr>
          <w:color w:val="000000" w:themeColor="text1"/>
          <w:sz w:val="22"/>
          <w:szCs w:val="22"/>
        </w:rPr>
        <w:t>These results highlight levofloxacin's ongoing effectiveness in environmental isolates and point to its possible use in treating Gram-negative bacterial infections in comparable environments.</w:t>
      </w:r>
      <w:r w:rsidR="000312AE" w:rsidRPr="00177A07">
        <w:rPr>
          <w:color w:val="000000" w:themeColor="text1"/>
          <w:sz w:val="22"/>
          <w:szCs w:val="22"/>
        </w:rPr>
        <w:t xml:space="preserve"> </w:t>
      </w:r>
      <w:r w:rsidR="00EB126C" w:rsidRPr="00177A07">
        <w:rPr>
          <w:color w:val="000000" w:themeColor="text1"/>
          <w:sz w:val="22"/>
          <w:szCs w:val="22"/>
        </w:rPr>
        <w:t>These findings contrast with those of</w:t>
      </w:r>
      <w:r w:rsidR="004D14BF" w:rsidRPr="00177A07">
        <w:rPr>
          <w:color w:val="000000" w:themeColor="text1"/>
          <w:sz w:val="22"/>
          <w:szCs w:val="22"/>
        </w:rPr>
        <w:t xml:space="preserve"> Cheng</w:t>
      </w:r>
      <w:r w:rsidR="00EB126C" w:rsidRPr="00177A07">
        <w:rPr>
          <w:color w:val="000000" w:themeColor="text1"/>
          <w:sz w:val="22"/>
          <w:szCs w:val="22"/>
        </w:rPr>
        <w:t xml:space="preserve"> et al. (2020) </w:t>
      </w:r>
      <w:r w:rsidR="004D14BF" w:rsidRPr="00177A07">
        <w:rPr>
          <w:color w:val="000000" w:themeColor="text1"/>
          <w:sz w:val="22"/>
          <w:szCs w:val="22"/>
        </w:rPr>
        <w:t xml:space="preserve">who reported a </w:t>
      </w:r>
      <w:r w:rsidR="000312AE" w:rsidRPr="00177A07">
        <w:rPr>
          <w:color w:val="000000" w:themeColor="text1"/>
          <w:sz w:val="22"/>
          <w:szCs w:val="22"/>
        </w:rPr>
        <w:t>significantly higher l</w:t>
      </w:r>
      <w:r w:rsidR="004D14BF" w:rsidRPr="00177A07">
        <w:rPr>
          <w:color w:val="000000" w:themeColor="text1"/>
          <w:sz w:val="22"/>
          <w:szCs w:val="22"/>
        </w:rPr>
        <w:t xml:space="preserve">evofloxacin resistance rate of 38.8%. </w:t>
      </w:r>
      <w:r w:rsidR="000312AE" w:rsidRPr="00177A07">
        <w:rPr>
          <w:color w:val="000000" w:themeColor="text1"/>
          <w:sz w:val="22"/>
          <w:szCs w:val="22"/>
        </w:rPr>
        <w:t>In this study, resistance to t</w:t>
      </w:r>
      <w:r w:rsidR="004D14BF" w:rsidRPr="00177A07">
        <w:rPr>
          <w:color w:val="000000" w:themeColor="text1"/>
          <w:sz w:val="22"/>
          <w:szCs w:val="22"/>
        </w:rPr>
        <w:t>etracycline wa</w:t>
      </w:r>
      <w:r w:rsidR="000312AE" w:rsidRPr="00177A07">
        <w:rPr>
          <w:color w:val="000000" w:themeColor="text1"/>
          <w:sz w:val="22"/>
          <w:szCs w:val="22"/>
        </w:rPr>
        <w:t xml:space="preserve">s observed in 45.5% of isolates which is lower than the 73.33% resistance reported in </w:t>
      </w:r>
      <w:r w:rsidR="004D14BF" w:rsidRPr="00177A07">
        <w:rPr>
          <w:rStyle w:val="Emphasis"/>
          <w:color w:val="000000" w:themeColor="text1"/>
          <w:sz w:val="22"/>
          <w:szCs w:val="22"/>
        </w:rPr>
        <w:t>Escherichia coli</w:t>
      </w:r>
      <w:r w:rsidR="004D14BF" w:rsidRPr="00177A07">
        <w:rPr>
          <w:color w:val="000000" w:themeColor="text1"/>
          <w:sz w:val="22"/>
          <w:szCs w:val="22"/>
        </w:rPr>
        <w:t xml:space="preserve"> </w:t>
      </w:r>
      <w:r w:rsidR="000312AE" w:rsidRPr="00177A07">
        <w:rPr>
          <w:color w:val="000000" w:themeColor="text1"/>
          <w:sz w:val="22"/>
          <w:szCs w:val="22"/>
        </w:rPr>
        <w:t xml:space="preserve">isolates from Ghana </w:t>
      </w:r>
      <w:r w:rsidRPr="00177A07">
        <w:rPr>
          <w:color w:val="000000" w:themeColor="text1"/>
          <w:sz w:val="22"/>
          <w:szCs w:val="22"/>
        </w:rPr>
        <w:t>(</w:t>
      </w:r>
      <w:proofErr w:type="spellStart"/>
      <w:r w:rsidR="00754A3C" w:rsidRPr="00177A07">
        <w:rPr>
          <w:color w:val="000000" w:themeColor="text1"/>
          <w:sz w:val="22"/>
          <w:szCs w:val="22"/>
          <w:shd w:val="clear" w:color="auto" w:fill="FFFFFF"/>
        </w:rPr>
        <w:t>Adzitey</w:t>
      </w:r>
      <w:proofErr w:type="spellEnd"/>
      <w:r w:rsidR="00754A3C" w:rsidRPr="00177A07">
        <w:rPr>
          <w:color w:val="000000" w:themeColor="text1"/>
          <w:sz w:val="22"/>
          <w:szCs w:val="22"/>
          <w:shd w:val="clear" w:color="auto" w:fill="FFFFFF"/>
        </w:rPr>
        <w:t xml:space="preserve">, et al., 2020). </w:t>
      </w:r>
      <w:r w:rsidR="000312AE" w:rsidRPr="00177A07">
        <w:rPr>
          <w:color w:val="000000" w:themeColor="text1"/>
          <w:sz w:val="22"/>
          <w:szCs w:val="22"/>
        </w:rPr>
        <w:t xml:space="preserve">The observed </w:t>
      </w:r>
      <w:r w:rsidR="00795076" w:rsidRPr="00177A07">
        <w:rPr>
          <w:color w:val="000000" w:themeColor="text1"/>
          <w:sz w:val="22"/>
          <w:szCs w:val="22"/>
        </w:rPr>
        <w:t>resistance may be attributed to intrinsic mechanisms such as reduced membrane permeability and the activit</w:t>
      </w:r>
      <w:r w:rsidR="000312AE" w:rsidRPr="00177A07">
        <w:rPr>
          <w:color w:val="000000" w:themeColor="text1"/>
          <w:sz w:val="22"/>
          <w:szCs w:val="22"/>
        </w:rPr>
        <w:t xml:space="preserve">y of </w:t>
      </w:r>
      <w:r w:rsidR="00795076" w:rsidRPr="00177A07">
        <w:rPr>
          <w:color w:val="000000" w:themeColor="text1"/>
          <w:sz w:val="22"/>
          <w:szCs w:val="22"/>
        </w:rPr>
        <w:t>efflux pumps</w:t>
      </w:r>
      <w:r w:rsidR="000312AE" w:rsidRPr="00177A07">
        <w:rPr>
          <w:color w:val="000000" w:themeColor="text1"/>
          <w:sz w:val="22"/>
          <w:szCs w:val="22"/>
        </w:rPr>
        <w:t xml:space="preserve"> which limit intracellular antibiotic accumulation. Resistance to trimethoprim/s</w:t>
      </w:r>
      <w:r w:rsidR="00795076" w:rsidRPr="00177A07">
        <w:rPr>
          <w:color w:val="000000" w:themeColor="text1"/>
          <w:sz w:val="22"/>
          <w:szCs w:val="22"/>
        </w:rPr>
        <w:t>ulfamethoxa</w:t>
      </w:r>
      <w:r w:rsidR="000312AE" w:rsidRPr="00177A07">
        <w:rPr>
          <w:color w:val="000000" w:themeColor="text1"/>
          <w:sz w:val="22"/>
          <w:szCs w:val="22"/>
        </w:rPr>
        <w:t xml:space="preserve">zole was recorded in </w:t>
      </w:r>
      <w:r w:rsidR="00795076" w:rsidRPr="00177A07">
        <w:rPr>
          <w:color w:val="000000" w:themeColor="text1"/>
          <w:sz w:val="22"/>
          <w:szCs w:val="22"/>
        </w:rPr>
        <w:t xml:space="preserve">54.4% of isolates. A recent study by Geleta et al. (2024) reported 100% resistance in </w:t>
      </w:r>
      <w:r w:rsidR="00795076" w:rsidRPr="00177A07">
        <w:rPr>
          <w:rStyle w:val="Emphasis"/>
          <w:color w:val="000000" w:themeColor="text1"/>
          <w:sz w:val="22"/>
          <w:szCs w:val="22"/>
        </w:rPr>
        <w:t>Klebsiella pneumoniae</w:t>
      </w:r>
      <w:r w:rsidR="000312AE" w:rsidRPr="00177A07">
        <w:rPr>
          <w:color w:val="000000" w:themeColor="text1"/>
          <w:sz w:val="22"/>
          <w:szCs w:val="22"/>
        </w:rPr>
        <w:t xml:space="preserve"> isolates which was </w:t>
      </w:r>
      <w:r w:rsidR="00795076" w:rsidRPr="00177A07">
        <w:rPr>
          <w:color w:val="000000" w:themeColor="text1"/>
          <w:sz w:val="22"/>
          <w:szCs w:val="22"/>
        </w:rPr>
        <w:t>primarily</w:t>
      </w:r>
      <w:r w:rsidR="000312AE" w:rsidRPr="00177A07">
        <w:rPr>
          <w:color w:val="000000" w:themeColor="text1"/>
          <w:sz w:val="22"/>
          <w:szCs w:val="22"/>
        </w:rPr>
        <w:t xml:space="preserve"> attributed to the widespread </w:t>
      </w:r>
      <w:r w:rsidR="00795076" w:rsidRPr="00177A07">
        <w:rPr>
          <w:color w:val="000000" w:themeColor="text1"/>
          <w:sz w:val="22"/>
          <w:szCs w:val="22"/>
        </w:rPr>
        <w:t xml:space="preserve">use </w:t>
      </w:r>
      <w:r w:rsidR="000312AE" w:rsidRPr="00177A07">
        <w:rPr>
          <w:color w:val="000000" w:themeColor="text1"/>
          <w:sz w:val="22"/>
          <w:szCs w:val="22"/>
        </w:rPr>
        <w:t xml:space="preserve">of this antibiotic in the general population </w:t>
      </w:r>
      <w:r w:rsidR="00795076" w:rsidRPr="00177A07">
        <w:rPr>
          <w:color w:val="000000" w:themeColor="text1"/>
          <w:sz w:val="22"/>
          <w:szCs w:val="22"/>
        </w:rPr>
        <w:t xml:space="preserve">and the horizontal gene transfer of sulfonamide resistance genes, including </w:t>
      </w:r>
      <w:r w:rsidR="00795076" w:rsidRPr="00177A07">
        <w:rPr>
          <w:rStyle w:val="Emphasis"/>
          <w:color w:val="000000" w:themeColor="text1"/>
          <w:sz w:val="22"/>
          <w:szCs w:val="22"/>
        </w:rPr>
        <w:t>sul1</w:t>
      </w:r>
      <w:r w:rsidR="00795076" w:rsidRPr="00177A07">
        <w:rPr>
          <w:color w:val="000000" w:themeColor="text1"/>
          <w:sz w:val="22"/>
          <w:szCs w:val="22"/>
        </w:rPr>
        <w:t xml:space="preserve"> and </w:t>
      </w:r>
      <w:r w:rsidR="00795076" w:rsidRPr="00177A07">
        <w:rPr>
          <w:rStyle w:val="Emphasis"/>
          <w:color w:val="000000" w:themeColor="text1"/>
          <w:sz w:val="22"/>
          <w:szCs w:val="22"/>
        </w:rPr>
        <w:t>sul2</w:t>
      </w:r>
      <w:r w:rsidR="00795076" w:rsidRPr="00177A07">
        <w:rPr>
          <w:color w:val="000000" w:themeColor="text1"/>
          <w:sz w:val="22"/>
          <w:szCs w:val="22"/>
        </w:rPr>
        <w:t>.</w:t>
      </w:r>
      <w:r w:rsidR="000312AE" w:rsidRPr="00177A07">
        <w:rPr>
          <w:color w:val="000000" w:themeColor="text1"/>
          <w:sz w:val="22"/>
          <w:szCs w:val="22"/>
        </w:rPr>
        <w:t xml:space="preserve"> These genes are frequently linked to mobile genetic elements, which speeds up their spread among pathogenic and environmental bacteria.</w:t>
      </w:r>
    </w:p>
    <w:p w14:paraId="63F56D2E" w14:textId="4BFDFAAE" w:rsidR="00795076" w:rsidRPr="00177A07" w:rsidRDefault="00795076" w:rsidP="00795076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12CECCD9" w14:textId="48705EAA" w:rsidR="001C7654" w:rsidRPr="00191DF6" w:rsidRDefault="001C7654" w:rsidP="005E11C6">
      <w:pPr>
        <w:jc w:val="both"/>
        <w:rPr>
          <w:color w:val="000000" w:themeColor="text1"/>
          <w:sz w:val="22"/>
          <w:szCs w:val="22"/>
        </w:rPr>
      </w:pPr>
    </w:p>
    <w:p w14:paraId="229568FD" w14:textId="234CE1B7" w:rsidR="001C7654" w:rsidRPr="0021508C" w:rsidRDefault="00B24596" w:rsidP="00BF62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1C7654" w:rsidRPr="0021508C">
        <w:rPr>
          <w:b/>
          <w:bCs/>
          <w:sz w:val="22"/>
          <w:szCs w:val="22"/>
        </w:rPr>
        <w:t>CONCLUSION</w:t>
      </w:r>
    </w:p>
    <w:p w14:paraId="084EBB44" w14:textId="19DE849A" w:rsidR="00047312" w:rsidRPr="004D14BF" w:rsidRDefault="00B47759" w:rsidP="004D14BF">
      <w:pPr>
        <w:jc w:val="both"/>
        <w:rPr>
          <w:color w:val="000000" w:themeColor="text1"/>
          <w:sz w:val="22"/>
          <w:szCs w:val="22"/>
        </w:rPr>
      </w:pPr>
      <w:r w:rsidRPr="004D14BF">
        <w:rPr>
          <w:color w:val="000000" w:themeColor="text1"/>
          <w:sz w:val="22"/>
          <w:szCs w:val="22"/>
        </w:rPr>
        <w:t xml:space="preserve">The detection of antimicrobial resistant bacteria </w:t>
      </w:r>
      <w:r w:rsidR="009C7C05" w:rsidRPr="004D14BF">
        <w:rPr>
          <w:color w:val="000000" w:themeColor="text1"/>
          <w:sz w:val="22"/>
          <w:szCs w:val="22"/>
        </w:rPr>
        <w:t xml:space="preserve">including </w:t>
      </w:r>
      <w:r w:rsidR="001C7654" w:rsidRPr="004D14BF">
        <w:rPr>
          <w:i/>
          <w:iCs/>
          <w:color w:val="000000" w:themeColor="text1"/>
          <w:sz w:val="22"/>
          <w:szCs w:val="22"/>
        </w:rPr>
        <w:t>Klebsiella spp</w:t>
      </w:r>
      <w:r w:rsidR="009C7C05" w:rsidRPr="004D14BF">
        <w:rPr>
          <w:i/>
          <w:iCs/>
          <w:color w:val="000000" w:themeColor="text1"/>
          <w:sz w:val="22"/>
          <w:szCs w:val="22"/>
        </w:rPr>
        <w:t>.</w:t>
      </w:r>
      <w:r w:rsidR="001C7654" w:rsidRPr="004D14BF">
        <w:rPr>
          <w:i/>
          <w:iCs/>
          <w:color w:val="000000" w:themeColor="text1"/>
          <w:sz w:val="22"/>
          <w:szCs w:val="22"/>
        </w:rPr>
        <w:t>,</w:t>
      </w:r>
      <w:r w:rsidR="00AD754E" w:rsidRPr="004D14BF">
        <w:rPr>
          <w:color w:val="000000" w:themeColor="text1"/>
          <w:sz w:val="22"/>
          <w:szCs w:val="22"/>
        </w:rPr>
        <w:t xml:space="preserve"> </w:t>
      </w:r>
      <w:r w:rsidR="001C7654" w:rsidRPr="004D14BF">
        <w:rPr>
          <w:i/>
          <w:iCs/>
          <w:color w:val="000000" w:themeColor="text1"/>
          <w:sz w:val="22"/>
          <w:szCs w:val="22"/>
        </w:rPr>
        <w:t>Escherichia coli</w:t>
      </w:r>
      <w:r w:rsidR="009C7C05" w:rsidRPr="004D14BF">
        <w:rPr>
          <w:color w:val="000000" w:themeColor="text1"/>
          <w:sz w:val="22"/>
          <w:szCs w:val="22"/>
        </w:rPr>
        <w:t xml:space="preserve">, </w:t>
      </w:r>
      <w:r w:rsidR="001C7654" w:rsidRPr="004D14BF">
        <w:rPr>
          <w:color w:val="000000" w:themeColor="text1"/>
          <w:sz w:val="22"/>
          <w:szCs w:val="22"/>
        </w:rPr>
        <w:t xml:space="preserve">and </w:t>
      </w:r>
      <w:r w:rsidR="001C7654" w:rsidRPr="004D14BF">
        <w:rPr>
          <w:i/>
          <w:iCs/>
          <w:color w:val="000000" w:themeColor="text1"/>
          <w:sz w:val="22"/>
          <w:szCs w:val="22"/>
        </w:rPr>
        <w:t>Pseudomonas spp</w:t>
      </w:r>
      <w:r w:rsidR="009C7C05" w:rsidRPr="004D14BF">
        <w:rPr>
          <w:i/>
          <w:iCs/>
          <w:color w:val="000000" w:themeColor="text1"/>
          <w:sz w:val="22"/>
          <w:szCs w:val="22"/>
        </w:rPr>
        <w:t>.</w:t>
      </w:r>
      <w:r w:rsidRPr="004D14BF">
        <w:rPr>
          <w:color w:val="000000" w:themeColor="text1"/>
          <w:sz w:val="22"/>
          <w:szCs w:val="22"/>
        </w:rPr>
        <w:t xml:space="preserve"> </w:t>
      </w:r>
      <w:r w:rsidR="009C7C05" w:rsidRPr="004D14BF">
        <w:rPr>
          <w:color w:val="000000" w:themeColor="text1"/>
          <w:sz w:val="22"/>
          <w:szCs w:val="22"/>
        </w:rPr>
        <w:t xml:space="preserve">in industrial waste water </w:t>
      </w:r>
      <w:r w:rsidRPr="004D14BF">
        <w:rPr>
          <w:color w:val="000000" w:themeColor="text1"/>
          <w:sz w:val="22"/>
          <w:szCs w:val="22"/>
        </w:rPr>
        <w:t xml:space="preserve">with </w:t>
      </w:r>
      <w:r w:rsidR="009C7C05" w:rsidRPr="004D14BF">
        <w:rPr>
          <w:color w:val="000000" w:themeColor="text1"/>
          <w:sz w:val="22"/>
          <w:szCs w:val="22"/>
        </w:rPr>
        <w:t xml:space="preserve">varying degrees of resistance </w:t>
      </w:r>
      <w:r w:rsidR="001C7654" w:rsidRPr="004D14BF">
        <w:rPr>
          <w:color w:val="000000" w:themeColor="text1"/>
          <w:sz w:val="22"/>
          <w:szCs w:val="22"/>
        </w:rPr>
        <w:t>to commonl</w:t>
      </w:r>
      <w:r w:rsidR="00B24596" w:rsidRPr="004D14BF">
        <w:rPr>
          <w:color w:val="000000" w:themeColor="text1"/>
          <w:sz w:val="22"/>
          <w:szCs w:val="22"/>
        </w:rPr>
        <w:t xml:space="preserve">y used antimicrobials </w:t>
      </w:r>
      <w:proofErr w:type="gramStart"/>
      <w:r w:rsidR="00B24596" w:rsidRPr="004D14BF">
        <w:rPr>
          <w:color w:val="000000" w:themeColor="text1"/>
          <w:sz w:val="22"/>
          <w:szCs w:val="22"/>
        </w:rPr>
        <w:t>poses</w:t>
      </w:r>
      <w:proofErr w:type="gramEnd"/>
      <w:r w:rsidR="00B24596" w:rsidRPr="004D14BF">
        <w:rPr>
          <w:color w:val="000000" w:themeColor="text1"/>
          <w:sz w:val="22"/>
          <w:szCs w:val="22"/>
        </w:rPr>
        <w:t xml:space="preserve"> a significant public health threat</w:t>
      </w:r>
      <w:r w:rsidR="001C7654" w:rsidRPr="004D14BF">
        <w:rPr>
          <w:color w:val="000000" w:themeColor="text1"/>
          <w:sz w:val="22"/>
          <w:szCs w:val="22"/>
        </w:rPr>
        <w:t xml:space="preserve">. The discovery of multidrug resistance bacteria strains mainly in </w:t>
      </w:r>
      <w:r w:rsidR="001C7654" w:rsidRPr="004D14BF">
        <w:rPr>
          <w:i/>
          <w:iCs/>
          <w:color w:val="000000" w:themeColor="text1"/>
          <w:sz w:val="22"/>
          <w:szCs w:val="22"/>
        </w:rPr>
        <w:t xml:space="preserve">Pseudomonas </w:t>
      </w:r>
      <w:proofErr w:type="spellStart"/>
      <w:r w:rsidR="001C7654" w:rsidRPr="004D14BF">
        <w:rPr>
          <w:i/>
          <w:iCs/>
          <w:color w:val="000000" w:themeColor="text1"/>
          <w:sz w:val="22"/>
          <w:szCs w:val="22"/>
        </w:rPr>
        <w:t>spp</w:t>
      </w:r>
      <w:proofErr w:type="spellEnd"/>
      <w:r w:rsidR="001C7654" w:rsidRPr="004D14BF">
        <w:rPr>
          <w:color w:val="000000" w:themeColor="text1"/>
          <w:sz w:val="22"/>
          <w:szCs w:val="22"/>
        </w:rPr>
        <w:t xml:space="preserve"> and </w:t>
      </w:r>
      <w:r w:rsidR="001C7654" w:rsidRPr="004D14BF">
        <w:rPr>
          <w:i/>
          <w:iCs/>
          <w:color w:val="000000" w:themeColor="text1"/>
          <w:sz w:val="22"/>
          <w:szCs w:val="22"/>
        </w:rPr>
        <w:t xml:space="preserve">Klebsiella </w:t>
      </w:r>
      <w:proofErr w:type="spellStart"/>
      <w:r w:rsidR="001C7654" w:rsidRPr="004D14BF">
        <w:rPr>
          <w:i/>
          <w:iCs/>
          <w:color w:val="000000" w:themeColor="text1"/>
          <w:sz w:val="22"/>
          <w:szCs w:val="22"/>
        </w:rPr>
        <w:t>spp</w:t>
      </w:r>
      <w:proofErr w:type="spellEnd"/>
      <w:r w:rsidR="001C7654" w:rsidRPr="004D14BF">
        <w:rPr>
          <w:color w:val="000000" w:themeColor="text1"/>
          <w:sz w:val="22"/>
          <w:szCs w:val="22"/>
        </w:rPr>
        <w:t xml:space="preserve"> highlights significant role of industrial waste in </w:t>
      </w:r>
      <w:r w:rsidR="00E71D95" w:rsidRPr="004D14BF">
        <w:rPr>
          <w:color w:val="000000" w:themeColor="text1"/>
          <w:sz w:val="22"/>
          <w:szCs w:val="22"/>
        </w:rPr>
        <w:t xml:space="preserve">the </w:t>
      </w:r>
      <w:r w:rsidR="001C7654" w:rsidRPr="004D14BF">
        <w:rPr>
          <w:color w:val="000000" w:themeColor="text1"/>
          <w:sz w:val="22"/>
          <w:szCs w:val="22"/>
        </w:rPr>
        <w:t>development and dissemination of antimicrobial resistance in the environment. The</w:t>
      </w:r>
      <w:r w:rsidR="00047312" w:rsidRPr="004D14BF">
        <w:rPr>
          <w:color w:val="000000" w:themeColor="text1"/>
          <w:sz w:val="22"/>
          <w:szCs w:val="22"/>
        </w:rPr>
        <w:t>se</w:t>
      </w:r>
      <w:r w:rsidR="001C7654" w:rsidRPr="004D14BF">
        <w:rPr>
          <w:color w:val="000000" w:themeColor="text1"/>
          <w:sz w:val="22"/>
          <w:szCs w:val="22"/>
        </w:rPr>
        <w:t xml:space="preserve"> findings emphasize crucial need for </w:t>
      </w:r>
      <w:r w:rsidR="00047312" w:rsidRPr="004D14BF">
        <w:rPr>
          <w:color w:val="000000" w:themeColor="text1"/>
          <w:sz w:val="22"/>
          <w:szCs w:val="22"/>
        </w:rPr>
        <w:t>enhanced waste management strategies</w:t>
      </w:r>
      <w:r w:rsidR="001C7654" w:rsidRPr="004D14BF">
        <w:rPr>
          <w:color w:val="000000" w:themeColor="text1"/>
          <w:sz w:val="22"/>
          <w:szCs w:val="22"/>
        </w:rPr>
        <w:t xml:space="preserve">, </w:t>
      </w:r>
      <w:r w:rsidR="00047312" w:rsidRPr="004D14BF">
        <w:rPr>
          <w:color w:val="000000" w:themeColor="text1"/>
          <w:sz w:val="22"/>
          <w:szCs w:val="22"/>
        </w:rPr>
        <w:t xml:space="preserve">routine monitoring and the implementation of </w:t>
      </w:r>
      <w:r w:rsidR="001C7654" w:rsidRPr="004D14BF">
        <w:rPr>
          <w:color w:val="000000" w:themeColor="text1"/>
          <w:sz w:val="22"/>
          <w:szCs w:val="22"/>
        </w:rPr>
        <w:t>s</w:t>
      </w:r>
      <w:r w:rsidR="00047312" w:rsidRPr="004D14BF">
        <w:rPr>
          <w:color w:val="000000" w:themeColor="text1"/>
          <w:sz w:val="22"/>
          <w:szCs w:val="22"/>
        </w:rPr>
        <w:t xml:space="preserve">tringent environmental regulations to mitigate the transmission of </w:t>
      </w:r>
      <w:r w:rsidR="001C7654" w:rsidRPr="004D14BF">
        <w:rPr>
          <w:color w:val="000000" w:themeColor="text1"/>
          <w:sz w:val="22"/>
          <w:szCs w:val="22"/>
        </w:rPr>
        <w:t>antibiotic resistance from industrial</w:t>
      </w:r>
      <w:r w:rsidR="00047312" w:rsidRPr="004D14BF">
        <w:rPr>
          <w:color w:val="000000" w:themeColor="text1"/>
          <w:sz w:val="22"/>
          <w:szCs w:val="22"/>
        </w:rPr>
        <w:t xml:space="preserve"> sources to the public. Without prompt and coordinated action, environmental reservoirs of resistance may substantially contribute to the escalating global burden of </w:t>
      </w:r>
      <w:proofErr w:type="gramStart"/>
      <w:r w:rsidR="00047312" w:rsidRPr="004D14BF">
        <w:rPr>
          <w:color w:val="000000" w:themeColor="text1"/>
          <w:sz w:val="22"/>
          <w:szCs w:val="22"/>
        </w:rPr>
        <w:t>drug resistant</w:t>
      </w:r>
      <w:proofErr w:type="gramEnd"/>
      <w:r w:rsidR="00047312" w:rsidRPr="004D14BF">
        <w:rPr>
          <w:color w:val="000000" w:themeColor="text1"/>
          <w:sz w:val="22"/>
          <w:szCs w:val="22"/>
        </w:rPr>
        <w:t xml:space="preserve"> infections.</w:t>
      </w:r>
    </w:p>
    <w:p w14:paraId="518247F5" w14:textId="7FAF6F53" w:rsidR="00353F87" w:rsidRPr="004D14BF" w:rsidRDefault="00353F87" w:rsidP="004D14BF">
      <w:pPr>
        <w:jc w:val="both"/>
        <w:rPr>
          <w:color w:val="000000" w:themeColor="text1"/>
          <w:sz w:val="22"/>
          <w:szCs w:val="22"/>
        </w:rPr>
      </w:pPr>
    </w:p>
    <w:p w14:paraId="011D5E4C" w14:textId="77777777" w:rsidR="00353F87" w:rsidRPr="00E84412" w:rsidRDefault="00353F87" w:rsidP="005E11C6">
      <w:pPr>
        <w:jc w:val="both"/>
        <w:rPr>
          <w:sz w:val="22"/>
          <w:szCs w:val="22"/>
        </w:rPr>
      </w:pPr>
    </w:p>
    <w:p w14:paraId="014008D3" w14:textId="1D7BC3B8" w:rsidR="00C80ED4" w:rsidRDefault="00C80ED4" w:rsidP="0004731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sz w:val="22"/>
          <w:szCs w:val="22"/>
        </w:rPr>
      </w:pPr>
    </w:p>
    <w:p w14:paraId="078FA0B7" w14:textId="5117D74F" w:rsidR="009F5282" w:rsidRPr="0000612F" w:rsidRDefault="009F5282" w:rsidP="009F5282">
      <w:pPr>
        <w:rPr>
          <w:b/>
          <w:color w:val="000000" w:themeColor="text1"/>
        </w:rPr>
      </w:pPr>
      <w:r w:rsidRPr="0000612F">
        <w:rPr>
          <w:b/>
          <w:color w:val="000000" w:themeColor="text1"/>
        </w:rPr>
        <w:t>INFORMED CONSENT STATEMENT</w:t>
      </w:r>
    </w:p>
    <w:p w14:paraId="4D2D6D79" w14:textId="77777777" w:rsidR="009F5282" w:rsidRDefault="009F5282" w:rsidP="009F5282">
      <w:pPr>
        <w:jc w:val="both"/>
        <w:rPr>
          <w:color w:val="000000" w:themeColor="text1"/>
        </w:rPr>
      </w:pPr>
    </w:p>
    <w:p w14:paraId="2C1534F1" w14:textId="1AABD595" w:rsidR="009F5282" w:rsidRPr="00271FC1" w:rsidRDefault="009F5282" w:rsidP="009F5282">
      <w:pPr>
        <w:jc w:val="both"/>
        <w:rPr>
          <w:color w:val="000000" w:themeColor="text1"/>
        </w:rPr>
      </w:pPr>
      <w:r w:rsidRPr="00271FC1">
        <w:rPr>
          <w:color w:val="000000" w:themeColor="text1"/>
        </w:rPr>
        <w:t>Not applicable.</w:t>
      </w:r>
    </w:p>
    <w:p w14:paraId="30101E38" w14:textId="77777777" w:rsidR="009F5282" w:rsidRPr="00C80ED4" w:rsidRDefault="009F5282" w:rsidP="0004731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sz w:val="22"/>
          <w:szCs w:val="22"/>
        </w:rPr>
      </w:pPr>
    </w:p>
    <w:bookmarkEnd w:id="1"/>
    <w:p w14:paraId="252936F2" w14:textId="353AE21A" w:rsidR="009F5282" w:rsidRDefault="009F5282" w:rsidP="009F5282">
      <w:pPr>
        <w:rPr>
          <w:rFonts w:eastAsiaTheme="minorHAnsi"/>
          <w:b/>
          <w:bCs/>
          <w:color w:val="000000" w:themeColor="text1"/>
          <w:sz w:val="22"/>
          <w:szCs w:val="22"/>
        </w:rPr>
      </w:pPr>
      <w:r w:rsidRPr="00B319D5">
        <w:rPr>
          <w:rFonts w:eastAsiaTheme="minorHAnsi"/>
          <w:b/>
          <w:bCs/>
          <w:color w:val="000000" w:themeColor="text1"/>
          <w:sz w:val="22"/>
          <w:szCs w:val="22"/>
        </w:rPr>
        <w:t>ETHICAL APPROVAL</w:t>
      </w:r>
    </w:p>
    <w:p w14:paraId="6905F233" w14:textId="77777777" w:rsidR="009F5282" w:rsidRPr="00B319D5" w:rsidRDefault="009F5282" w:rsidP="009F5282">
      <w:pPr>
        <w:rPr>
          <w:rFonts w:eastAsiaTheme="minorHAnsi"/>
          <w:b/>
          <w:bCs/>
          <w:color w:val="000000" w:themeColor="text1"/>
          <w:sz w:val="22"/>
          <w:szCs w:val="22"/>
        </w:rPr>
      </w:pPr>
    </w:p>
    <w:p w14:paraId="392D96E4" w14:textId="77777777" w:rsidR="009F5282" w:rsidRPr="00B319D5" w:rsidRDefault="009F5282" w:rsidP="009F5282">
      <w:pPr>
        <w:jc w:val="both"/>
        <w:rPr>
          <w:rFonts w:eastAsiaTheme="minorHAnsi"/>
          <w:b/>
          <w:bCs/>
          <w:color w:val="000000" w:themeColor="text1"/>
          <w:sz w:val="22"/>
          <w:szCs w:val="22"/>
        </w:rPr>
      </w:pPr>
      <w:r w:rsidRPr="00B319D5">
        <w:rPr>
          <w:rFonts w:eastAsiaTheme="minorHAnsi"/>
          <w:color w:val="000000" w:themeColor="text1"/>
          <w:sz w:val="22"/>
          <w:szCs w:val="22"/>
        </w:rPr>
        <w:t>Ethical approval for the study was obtained from the Jomo Kenyatta University of Agriculture and Technology (JKUAT) Institutional Scientific and Ethical Review Committee under the approval number JKU/2/11/TM318-C003-1774/2016.</w:t>
      </w:r>
    </w:p>
    <w:p w14:paraId="7F238473" w14:textId="4F92AFC2" w:rsidR="00353F87" w:rsidRDefault="00353F87" w:rsidP="005E11C6">
      <w:pPr>
        <w:jc w:val="both"/>
        <w:rPr>
          <w:rFonts w:eastAsiaTheme="minorHAnsi"/>
          <w:b/>
          <w:sz w:val="22"/>
          <w:szCs w:val="22"/>
        </w:rPr>
      </w:pPr>
    </w:p>
    <w:p w14:paraId="2380F44F" w14:textId="7437D1B9" w:rsidR="009F5282" w:rsidRPr="00E84412" w:rsidRDefault="009F5282" w:rsidP="005E11C6">
      <w:pPr>
        <w:jc w:val="both"/>
        <w:rPr>
          <w:rFonts w:eastAsiaTheme="minorHAnsi"/>
          <w:b/>
          <w:sz w:val="22"/>
          <w:szCs w:val="22"/>
        </w:rPr>
      </w:pPr>
    </w:p>
    <w:p w14:paraId="1DBD050A" w14:textId="03416745" w:rsidR="00675553" w:rsidRPr="00E84412" w:rsidRDefault="005E11C6" w:rsidP="00BF6299">
      <w:pPr>
        <w:rPr>
          <w:b/>
          <w:bCs/>
          <w:sz w:val="22"/>
          <w:szCs w:val="22"/>
        </w:rPr>
      </w:pPr>
      <w:r w:rsidRPr="00E84412">
        <w:rPr>
          <w:b/>
          <w:bCs/>
          <w:sz w:val="22"/>
          <w:szCs w:val="22"/>
        </w:rPr>
        <w:t>REFFERENCES</w:t>
      </w:r>
    </w:p>
    <w:p w14:paraId="1095D16F" w14:textId="77777777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5" w:name="_Hlk197793158"/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Abongomera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G., Koller, M., Musaazi, J.,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Lamorde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M., Kaelin, M.,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Tasimwa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H. B., ... &amp; Fehr, J. (2021). Spectrum of antibiotic resistance in UTI caused by Escherichia coli among HIV-infected patients in Uganda: a cross-sectional study.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BMC Infectious Diseases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21</w:t>
      </w:r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1-7. </w:t>
      </w:r>
    </w:p>
    <w:p w14:paraId="5ECFCA9C" w14:textId="77777777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6" w:name="_Hlk197811592"/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Adzitey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F.,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Assoah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-Peprah, P., Teye, G. A.,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Somboro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A. M., Kumalo, H. M., &amp; Amoako, D. G. (2020). </w:t>
      </w:r>
      <w:bookmarkEnd w:id="6"/>
      <w:r w:rsidRPr="00B606A7">
        <w:rPr>
          <w:color w:val="000000" w:themeColor="text1"/>
          <w:sz w:val="22"/>
          <w:szCs w:val="22"/>
          <w:shd w:val="clear" w:color="auto" w:fill="FFFFFF"/>
        </w:rPr>
        <w:t>Prevalence and antimicrobial resistance of Escherichia coli isolated from various meat types in the Tamale Metropolis of Ghana.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International journal of food science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2020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(1), 8877196.</w:t>
      </w:r>
    </w:p>
    <w:p w14:paraId="693E0777" w14:textId="77777777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Cheng, P., Yang, Y., Li, F., Li, X., Liu, H.,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Fazilani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S. A., ... &amp; Zhang, X. (2020). The prevalence and mechanism of fluoroquinolone resistance in Escherichia coli isolated from swine farms in China.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BMC veterinary research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16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1-9.</w:t>
      </w:r>
    </w:p>
    <w:p w14:paraId="2A554778" w14:textId="77777777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7" w:name="_Hlk197798719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Hanna, N., Tamhankar, A. J., &amp; Lundborg, C. S. (2023). </w:t>
      </w:r>
      <w:bookmarkEnd w:id="7"/>
      <w:r w:rsidRPr="00B606A7">
        <w:rPr>
          <w:color w:val="000000" w:themeColor="text1"/>
          <w:sz w:val="22"/>
          <w:szCs w:val="22"/>
          <w:shd w:val="clear" w:color="auto" w:fill="FFFFFF"/>
        </w:rPr>
        <w:t>Antibiotic concentrations and antibiotic resistance in aquatic environments of the WHO Western Pacific and South-East Asia regions: a systematic review and probabilistic environmental hazard assessment.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The Lancet Planetary Health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7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(1), e45-e54.</w:t>
      </w:r>
    </w:p>
    <w:p w14:paraId="32D32511" w14:textId="77777777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Hendriksen, R. S., Munk, P.,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Njage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P., Van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Bunnik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B., McNally, L.,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Lukjancenko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O., ... &amp; Aarestrup, F. M. (2019). Global monitoring of antimicrobial resistance based on metagenomics analyses of urban sewage.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Nature communications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10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(1), 1124.</w:t>
      </w:r>
    </w:p>
    <w:p w14:paraId="5860801D" w14:textId="77777777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>Geleta, D., Abebe, G., Tilahun, T., Gezahegn, D., Workneh, N., &amp; Beyene, G. (2024). Phenotypic bacterial epidemiology and antimicrobial resistance profiles in neonatal sepsis at Jimma medical center, Ethiopia: Insights from prospective study. </w:t>
      </w:r>
      <w:proofErr w:type="spellStart"/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Plos</w:t>
      </w:r>
      <w:proofErr w:type="spellEnd"/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one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19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(9), e0310376.</w:t>
      </w:r>
    </w:p>
    <w:p w14:paraId="1977908E" w14:textId="178D6651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Kairigo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P.,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Ngumba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E., Sundberg, L. R., Gachanja, A., &amp; Tuhkanen, T. (2020). Occurrence of antibiotics and risk of antibiotic resistance evolution in selected Kenyan wastewaters, surface waters and sediments.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Science of the Total Environment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720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137580.</w:t>
      </w:r>
    </w:p>
    <w:p w14:paraId="24496DAA" w14:textId="09FF1C1B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Karkman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A.,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Pärnänen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K., &amp; Larsson, D. J. (2019). Fecal pollution can explain antibiotic resistance gene abundances in anthropogenically impacted environments.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Nature communications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10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(1), 80.</w:t>
      </w:r>
    </w:p>
    <w:p w14:paraId="1AE5E212" w14:textId="6005655D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Kemal, M., Demeke, G., Adugna, A.,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Dilnessa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T., Abebaw, A., &amp; Esmael, A. (2025). Prevalence, antimicrobial resistance profiles, and determinants of Acinetobacter baumannii and Pseudomonas aeruginosa isolates among nosocomial infection--suspected patients in the northwestern region of Ethiopia.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American Journal of Infection Control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203DB8BB" w14:textId="77777777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>Kumaran, R., Geetha, R. V., &amp; Baby, S. (2022). Association between Virulence Factors and Antimicrobial Resistance of Klebsiella pneumoniae Clinical Isolates from North Kerala.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Journal of Pure &amp; Applied Microbiology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16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(2).</w:t>
      </w:r>
    </w:p>
    <w:p w14:paraId="2D777D25" w14:textId="580A04DC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Larsson, D. J.,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Andremont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A., Bengtsson-Palme, J., Brandt, K. K., de Roda Husman, A. M.,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Fagerstedt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P., &amp; Wernersson, A. S. (2018). Critical knowledge gaps and research needs related to the environmental dimensions of antibiotic resistance.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Environment international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117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132-138.</w:t>
      </w:r>
    </w:p>
    <w:p w14:paraId="6533D596" w14:textId="44B1A033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8" w:name="_Hlk197793377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Lee, S., Suits, M., Wyszynski, D., Winston, R., Martin, J., &amp; Lee, J. (2020). </w:t>
      </w:r>
      <w:bookmarkEnd w:id="8"/>
      <w:r w:rsidRPr="00B606A7">
        <w:rPr>
          <w:color w:val="000000" w:themeColor="text1"/>
          <w:sz w:val="22"/>
          <w:szCs w:val="22"/>
          <w:shd w:val="clear" w:color="auto" w:fill="FFFFFF"/>
        </w:rPr>
        <w:t>Residential urban storm water runoff: a comprehensive profile of microbiome and antibiotic resistance.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Science of the Total Environment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723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138033.</w:t>
      </w:r>
    </w:p>
    <w:p w14:paraId="109B6648" w14:textId="75DFE30C" w:rsidR="00C74264" w:rsidRPr="00B606A7" w:rsidRDefault="00C74264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Lorenzo, M., &amp; </w:t>
      </w:r>
      <w:r w:rsidR="00177A07" w:rsidRPr="00B606A7">
        <w:rPr>
          <w:color w:val="000000" w:themeColor="text1"/>
          <w:sz w:val="22"/>
          <w:szCs w:val="22"/>
          <w:shd w:val="clear" w:color="auto" w:fill="FFFFFF"/>
        </w:rPr>
        <w:t>Pico</w:t>
      </w:r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Y. (2019). </w:t>
      </w:r>
      <w:bookmarkEnd w:id="5"/>
      <w:r w:rsidRPr="00B606A7">
        <w:rPr>
          <w:color w:val="000000" w:themeColor="text1"/>
          <w:sz w:val="22"/>
          <w:szCs w:val="22"/>
          <w:shd w:val="clear" w:color="auto" w:fill="FFFFFF"/>
        </w:rPr>
        <w:t>Wastewater-based epidemiology: current status and future prospects.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Current Opinion in Environmental Science &amp; Health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9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77-84.</w:t>
      </w:r>
    </w:p>
    <w:p w14:paraId="2843E0A5" w14:textId="77777777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Mukubwa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G. K., Lukusa, F. N.,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Kavulikirwa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O. K., Liesse, J. I.,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Tshilolo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L. M., &amp;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Memvanga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P. B. (2023). Resistance profiles of urinary Escherichia coli and Klebsiella pneumoniae isolates to antibiotics commonly prescribed for treatment of urinary tract infections at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Monkole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 Hospital Center, Kinshasa, Democratic Republic of the Congo.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African Journal of Clinical and Experimental Microbiology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24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(1), 51-60.</w:t>
      </w:r>
    </w:p>
    <w:p w14:paraId="6193BC43" w14:textId="437AD7C1" w:rsidR="003A31DC" w:rsidRPr="00B606A7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lastRenderedPageBreak/>
        <w:t xml:space="preserve">Mutua, F., Kiarie, G., Mbatha, M.,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Onono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J.,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Boqvist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S., Kilonzi, E., &amp; Sternberg-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Lewerin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S. (2023). Antimicrobial use by Peri-urban poultry smallholders of Kajiado and Machakos counties in Kenya.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Antibiotics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12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(5), 905.</w:t>
      </w:r>
    </w:p>
    <w:p w14:paraId="477352E7" w14:textId="77777777" w:rsidR="00553401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>Peterson, E., &amp; Kaur, P. (2018). Antibiotic resistance mechanisms in bacteria: relationships between resistance determinants of antibiotic producers, environmental bacteria, and clinical pathogens.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Frontiers in microbiology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9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2928.</w:t>
      </w:r>
    </w:p>
    <w:p w14:paraId="6FA95DDB" w14:textId="77777777" w:rsidR="00553401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Pormohammad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A., Nasiri, M. J., &amp; Azimi, T. (2019). Prevalence of antibiotic resistance in Escherichia coli strains simultaneously isolated from humans, animals, food, and the environment: a systematic review and meta-analysis.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Infection and drug resistance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1181-1197.</w:t>
      </w:r>
    </w:p>
    <w:p w14:paraId="5F868773" w14:textId="77777777" w:rsidR="00553401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9" w:name="_Hlk197797696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Sharma, N., Das, B. K.,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Bhattacharjya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, B. K., Chaudhari, A., Behera, B. K., Kumar, A. P., &amp; Chakraborty, H. J. (2024). </w:t>
      </w:r>
      <w:bookmarkEnd w:id="9"/>
      <w:r w:rsidRPr="00B606A7">
        <w:rPr>
          <w:color w:val="000000" w:themeColor="text1"/>
          <w:sz w:val="22"/>
          <w:szCs w:val="22"/>
          <w:shd w:val="clear" w:color="auto" w:fill="FFFFFF"/>
        </w:rPr>
        <w:t>Metagenomic insights into microbial community, functional annotation, and antibiotic resistance genes in Himalayan Brahmaputra River sediment, India.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Frontiers in Microbiology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15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1426463.</w:t>
      </w:r>
    </w:p>
    <w:p w14:paraId="7897B244" w14:textId="404E1CC2" w:rsidR="00553401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0" w:name="_Hlk197799324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Shen, M., Hu, X., Li, M., Lyu, C., Hu, Y., Bu, X., ... &amp; Fan, K. (2023). </w:t>
      </w:r>
      <w:bookmarkEnd w:id="10"/>
      <w:r w:rsidRPr="00B606A7">
        <w:rPr>
          <w:color w:val="000000" w:themeColor="text1"/>
          <w:sz w:val="22"/>
          <w:szCs w:val="22"/>
          <w:shd w:val="clear" w:color="auto" w:fill="FFFFFF"/>
        </w:rPr>
        <w:t>Distribution of antibiotic resistance genes and their association with microbes in wastewater treatment plants: a metagenomics analysis.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Water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15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(8), 1587.</w:t>
      </w:r>
    </w:p>
    <w:p w14:paraId="0FB21758" w14:textId="0E527AC9" w:rsidR="00553401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>Shukla, A., &amp; Sahu, M. C. (2021). Isolation and characterization of microbial population associated with industrial waste effluent and their antibiotic sensitive pattern.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Apollo Medicine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18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(2), 80-84.</w:t>
      </w:r>
    </w:p>
    <w:p w14:paraId="3645D168" w14:textId="77777777" w:rsidR="00553401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1" w:name="_Hlk197799937"/>
      <w:r w:rsidRPr="00B606A7">
        <w:rPr>
          <w:color w:val="000000" w:themeColor="text1"/>
          <w:sz w:val="22"/>
          <w:szCs w:val="22"/>
          <w:shd w:val="clear" w:color="auto" w:fill="FFFFFF"/>
        </w:rPr>
        <w:t>Stanton, I. C., Bethel, A., Leonard, A. F. C., Gaze, W. H., &amp; Garside, R. (2022).</w:t>
      </w:r>
      <w:bookmarkEnd w:id="11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 Existing evidence on antibiotic resistance exposure and transmission to humans from the environment: a systematic map.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Environmental evidence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11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(1), 8.</w:t>
      </w:r>
    </w:p>
    <w:p w14:paraId="6F52E842" w14:textId="69B7E8AC" w:rsidR="003A31DC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Tilahun, M.,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Sharew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>, B., &amp; Shibabaw, A. (2024). Antimicrobial resistance profile and associated factors of hospital-acquired gram-negative bacterial pathogens among hospitalized patients in northeast Ethiopia.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BMC microbiology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24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(1), 339.</w:t>
      </w:r>
    </w:p>
    <w:p w14:paraId="14690000" w14:textId="77777777" w:rsidR="00553401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2" w:name="_Hlk197799033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Wang, Y., Han, Y., Li, L., Liu, J., &amp; Yan, X. (2022). </w:t>
      </w:r>
      <w:bookmarkEnd w:id="12"/>
      <w:r w:rsidRPr="00B606A7">
        <w:rPr>
          <w:color w:val="000000" w:themeColor="text1"/>
          <w:sz w:val="22"/>
          <w:szCs w:val="22"/>
          <w:shd w:val="clear" w:color="auto" w:fill="FFFFFF"/>
        </w:rPr>
        <w:t>Distribution, sources, and potential risks of antibiotic resistance genes in wastewater treatment plant: a review.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Environmental Pollution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310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119870.</w:t>
      </w:r>
    </w:p>
    <w:p w14:paraId="4F65EE04" w14:textId="07F04CD7" w:rsidR="00553401" w:rsidRPr="00B606A7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3" w:name="_Hlk197797476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Wang, K., Zhuang, T., Su, Z., Chi, M., &amp; Wang, H. (2021). </w:t>
      </w:r>
      <w:bookmarkEnd w:id="13"/>
      <w:r w:rsidRPr="00B606A7">
        <w:rPr>
          <w:color w:val="000000" w:themeColor="text1"/>
          <w:sz w:val="22"/>
          <w:szCs w:val="22"/>
          <w:shd w:val="clear" w:color="auto" w:fill="FFFFFF"/>
        </w:rPr>
        <w:t>Antibiotic residues in wastewaters from sewage treatment plants and pharmaceutical industries: Occurrence, removal and environmental impacts.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Science of the Total Environment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788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147811.</w:t>
      </w:r>
    </w:p>
    <w:p w14:paraId="3C5F64A9" w14:textId="347ADFE7" w:rsidR="002E23C3" w:rsidRPr="00B606A7" w:rsidRDefault="00E8317E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4" w:name="_Hlk197797106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Zhang, K., Xin, R., Zhao, Z., Li, W., Wang, Y., Wang, Q., ... &amp; Zhang, Y. (2021). </w:t>
      </w:r>
      <w:bookmarkEnd w:id="14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Mobile genetic elements are the Major driver of High antibiotic resistance genes abundance in the Upper reaches of </w:t>
      </w:r>
      <w:proofErr w:type="spellStart"/>
      <w:r w:rsidRPr="00B606A7">
        <w:rPr>
          <w:color w:val="000000" w:themeColor="text1"/>
          <w:sz w:val="22"/>
          <w:szCs w:val="22"/>
          <w:shd w:val="clear" w:color="auto" w:fill="FFFFFF"/>
        </w:rPr>
        <w:t>huaihe</w:t>
      </w:r>
      <w:proofErr w:type="spellEnd"/>
      <w:r w:rsidRPr="00B606A7">
        <w:rPr>
          <w:color w:val="000000" w:themeColor="text1"/>
          <w:sz w:val="22"/>
          <w:szCs w:val="22"/>
          <w:shd w:val="clear" w:color="auto" w:fill="FFFFFF"/>
        </w:rPr>
        <w:t xml:space="preserve"> River Basin.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Journal of Hazardous Materials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 </w:t>
      </w:r>
      <w:r w:rsidRPr="00B606A7">
        <w:rPr>
          <w:i/>
          <w:iCs/>
          <w:color w:val="000000" w:themeColor="text1"/>
          <w:sz w:val="22"/>
          <w:szCs w:val="22"/>
          <w:shd w:val="clear" w:color="auto" w:fill="FFFFFF"/>
        </w:rPr>
        <w:t>401</w:t>
      </w:r>
      <w:r w:rsidRPr="00B606A7">
        <w:rPr>
          <w:color w:val="000000" w:themeColor="text1"/>
          <w:sz w:val="22"/>
          <w:szCs w:val="22"/>
          <w:shd w:val="clear" w:color="auto" w:fill="FFFFFF"/>
        </w:rPr>
        <w:t>, 123271.</w:t>
      </w:r>
    </w:p>
    <w:sectPr w:rsidR="002E23C3" w:rsidRPr="00B606A7" w:rsidSect="00833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17A5" w14:textId="77777777" w:rsidR="008D522D" w:rsidRDefault="008D522D" w:rsidP="0081718B">
      <w:r>
        <w:separator/>
      </w:r>
    </w:p>
  </w:endnote>
  <w:endnote w:type="continuationSeparator" w:id="0">
    <w:p w14:paraId="461BCB14" w14:textId="77777777" w:rsidR="008D522D" w:rsidRDefault="008D522D" w:rsidP="0081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nionPro-Capt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E691" w14:textId="77777777" w:rsidR="00664E5F" w:rsidRDefault="00664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6FE4" w14:textId="77777777" w:rsidR="00664E5F" w:rsidRDefault="00664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0ECF" w14:textId="77777777" w:rsidR="00664E5F" w:rsidRDefault="0066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6F09" w14:textId="77777777" w:rsidR="008D522D" w:rsidRDefault="008D522D" w:rsidP="0081718B">
      <w:r>
        <w:separator/>
      </w:r>
    </w:p>
  </w:footnote>
  <w:footnote w:type="continuationSeparator" w:id="0">
    <w:p w14:paraId="0C9E74C0" w14:textId="77777777" w:rsidR="008D522D" w:rsidRDefault="008D522D" w:rsidP="0081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8DEE" w14:textId="4E783EFC" w:rsidR="00664E5F" w:rsidRDefault="00664E5F">
    <w:pPr>
      <w:pStyle w:val="Header"/>
    </w:pPr>
    <w:r>
      <w:rPr>
        <w:noProof/>
      </w:rPr>
      <w:pict w14:anchorId="68638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34110" o:spid="_x0000_s1026" type="#_x0000_t136" style="position:absolute;margin-left:0;margin-top:0;width:610.05pt;height:67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C770" w14:textId="2C7F7B9F" w:rsidR="00664E5F" w:rsidRDefault="00664E5F">
    <w:pPr>
      <w:pStyle w:val="Header"/>
    </w:pPr>
    <w:r>
      <w:rPr>
        <w:noProof/>
      </w:rPr>
      <w:pict w14:anchorId="67EDE5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34111" o:spid="_x0000_s1027" type="#_x0000_t136" style="position:absolute;margin-left:0;margin-top:0;width:610.05pt;height:67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09B0" w14:textId="35ED0343" w:rsidR="00664E5F" w:rsidRDefault="00664E5F">
    <w:pPr>
      <w:pStyle w:val="Header"/>
    </w:pPr>
    <w:r>
      <w:rPr>
        <w:noProof/>
      </w:rPr>
      <w:pict w14:anchorId="0DBA0F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34109" o:spid="_x0000_s1025" type="#_x0000_t136" style="position:absolute;margin-left:0;margin-top:0;width:610.05pt;height:67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046E"/>
    <w:multiLevelType w:val="multilevel"/>
    <w:tmpl w:val="1D7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0F50"/>
    <w:multiLevelType w:val="hybridMultilevel"/>
    <w:tmpl w:val="6814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74F9"/>
    <w:multiLevelType w:val="hybridMultilevel"/>
    <w:tmpl w:val="06FC5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603592">
    <w:abstractNumId w:val="0"/>
  </w:num>
  <w:num w:numId="2" w16cid:durableId="1468356491">
    <w:abstractNumId w:val="1"/>
  </w:num>
  <w:num w:numId="3" w16cid:durableId="192506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A2"/>
    <w:rsid w:val="000060DE"/>
    <w:rsid w:val="000074F1"/>
    <w:rsid w:val="00012C1F"/>
    <w:rsid w:val="0001478E"/>
    <w:rsid w:val="00030985"/>
    <w:rsid w:val="000312AE"/>
    <w:rsid w:val="000316F5"/>
    <w:rsid w:val="00047312"/>
    <w:rsid w:val="00072C4A"/>
    <w:rsid w:val="000752A9"/>
    <w:rsid w:val="00083CAB"/>
    <w:rsid w:val="00085C34"/>
    <w:rsid w:val="000931C3"/>
    <w:rsid w:val="000A725A"/>
    <w:rsid w:val="000B3906"/>
    <w:rsid w:val="000C30C5"/>
    <w:rsid w:val="000C3973"/>
    <w:rsid w:val="000D2109"/>
    <w:rsid w:val="000E1497"/>
    <w:rsid w:val="000E308E"/>
    <w:rsid w:val="000E55F6"/>
    <w:rsid w:val="00107105"/>
    <w:rsid w:val="00136E23"/>
    <w:rsid w:val="00137E17"/>
    <w:rsid w:val="00145E0A"/>
    <w:rsid w:val="00153A35"/>
    <w:rsid w:val="00156793"/>
    <w:rsid w:val="00162057"/>
    <w:rsid w:val="00163B7C"/>
    <w:rsid w:val="00173B45"/>
    <w:rsid w:val="00177A07"/>
    <w:rsid w:val="00177CF2"/>
    <w:rsid w:val="00183425"/>
    <w:rsid w:val="00191DF6"/>
    <w:rsid w:val="001B3585"/>
    <w:rsid w:val="001C7654"/>
    <w:rsid w:val="001F1D97"/>
    <w:rsid w:val="002007D0"/>
    <w:rsid w:val="0021508C"/>
    <w:rsid w:val="00220A9D"/>
    <w:rsid w:val="00250C0B"/>
    <w:rsid w:val="00251513"/>
    <w:rsid w:val="002663AA"/>
    <w:rsid w:val="00266C31"/>
    <w:rsid w:val="00274C27"/>
    <w:rsid w:val="00284465"/>
    <w:rsid w:val="00292FCD"/>
    <w:rsid w:val="002A721C"/>
    <w:rsid w:val="002B52AB"/>
    <w:rsid w:val="002B7BE8"/>
    <w:rsid w:val="002C1142"/>
    <w:rsid w:val="002D13AC"/>
    <w:rsid w:val="002D5F5D"/>
    <w:rsid w:val="002E23C3"/>
    <w:rsid w:val="002E69E6"/>
    <w:rsid w:val="002E7CB9"/>
    <w:rsid w:val="003137DD"/>
    <w:rsid w:val="00315C5C"/>
    <w:rsid w:val="003220FA"/>
    <w:rsid w:val="00342C4F"/>
    <w:rsid w:val="00353F87"/>
    <w:rsid w:val="0036109F"/>
    <w:rsid w:val="00370B25"/>
    <w:rsid w:val="00382672"/>
    <w:rsid w:val="003847F7"/>
    <w:rsid w:val="00390C56"/>
    <w:rsid w:val="003942B1"/>
    <w:rsid w:val="003A31DC"/>
    <w:rsid w:val="003D53EC"/>
    <w:rsid w:val="003E33C3"/>
    <w:rsid w:val="00414A91"/>
    <w:rsid w:val="00432CC9"/>
    <w:rsid w:val="004459F0"/>
    <w:rsid w:val="0045504A"/>
    <w:rsid w:val="00466E4C"/>
    <w:rsid w:val="0049240A"/>
    <w:rsid w:val="0049599F"/>
    <w:rsid w:val="004A4C21"/>
    <w:rsid w:val="004B1458"/>
    <w:rsid w:val="004B1AAE"/>
    <w:rsid w:val="004B5CF3"/>
    <w:rsid w:val="004C78EE"/>
    <w:rsid w:val="004D0892"/>
    <w:rsid w:val="004D14BF"/>
    <w:rsid w:val="004D359F"/>
    <w:rsid w:val="0050199F"/>
    <w:rsid w:val="00503E52"/>
    <w:rsid w:val="005047DF"/>
    <w:rsid w:val="00537CE3"/>
    <w:rsid w:val="00545DB1"/>
    <w:rsid w:val="00553188"/>
    <w:rsid w:val="00553401"/>
    <w:rsid w:val="005653E2"/>
    <w:rsid w:val="00587DBF"/>
    <w:rsid w:val="005A6593"/>
    <w:rsid w:val="005C0B0C"/>
    <w:rsid w:val="005E11C6"/>
    <w:rsid w:val="005E72AC"/>
    <w:rsid w:val="005F5E76"/>
    <w:rsid w:val="005F6150"/>
    <w:rsid w:val="00612528"/>
    <w:rsid w:val="006140A5"/>
    <w:rsid w:val="00621775"/>
    <w:rsid w:val="0062344A"/>
    <w:rsid w:val="00630638"/>
    <w:rsid w:val="0063497D"/>
    <w:rsid w:val="00657A3B"/>
    <w:rsid w:val="00664E5F"/>
    <w:rsid w:val="00675553"/>
    <w:rsid w:val="00684F83"/>
    <w:rsid w:val="00690EEC"/>
    <w:rsid w:val="00691A8F"/>
    <w:rsid w:val="006968BC"/>
    <w:rsid w:val="006A17B0"/>
    <w:rsid w:val="006A5B79"/>
    <w:rsid w:val="006B054F"/>
    <w:rsid w:val="006B4A7C"/>
    <w:rsid w:val="006B4BDC"/>
    <w:rsid w:val="006C59F4"/>
    <w:rsid w:val="006D2676"/>
    <w:rsid w:val="006E5D3C"/>
    <w:rsid w:val="006F70A9"/>
    <w:rsid w:val="0072320E"/>
    <w:rsid w:val="0073205A"/>
    <w:rsid w:val="00733A0C"/>
    <w:rsid w:val="00753799"/>
    <w:rsid w:val="00754A3C"/>
    <w:rsid w:val="00781138"/>
    <w:rsid w:val="00785C6E"/>
    <w:rsid w:val="0079144D"/>
    <w:rsid w:val="00792777"/>
    <w:rsid w:val="00795076"/>
    <w:rsid w:val="007A26AB"/>
    <w:rsid w:val="007B66D5"/>
    <w:rsid w:val="007B6C8A"/>
    <w:rsid w:val="007F1B4F"/>
    <w:rsid w:val="00803933"/>
    <w:rsid w:val="00811C3B"/>
    <w:rsid w:val="0081718B"/>
    <w:rsid w:val="00825B93"/>
    <w:rsid w:val="008333BC"/>
    <w:rsid w:val="008418EE"/>
    <w:rsid w:val="00851F43"/>
    <w:rsid w:val="00862010"/>
    <w:rsid w:val="00876783"/>
    <w:rsid w:val="008A6185"/>
    <w:rsid w:val="008B0677"/>
    <w:rsid w:val="008B4AE3"/>
    <w:rsid w:val="008C369F"/>
    <w:rsid w:val="008C3B86"/>
    <w:rsid w:val="008C5578"/>
    <w:rsid w:val="008D3A39"/>
    <w:rsid w:val="008D4091"/>
    <w:rsid w:val="008D48CA"/>
    <w:rsid w:val="008D522D"/>
    <w:rsid w:val="008D5E8A"/>
    <w:rsid w:val="008E3FA9"/>
    <w:rsid w:val="008F2C6B"/>
    <w:rsid w:val="00921D19"/>
    <w:rsid w:val="009646DB"/>
    <w:rsid w:val="00983A71"/>
    <w:rsid w:val="009851EC"/>
    <w:rsid w:val="0099798D"/>
    <w:rsid w:val="009B48E4"/>
    <w:rsid w:val="009C7C05"/>
    <w:rsid w:val="009D1572"/>
    <w:rsid w:val="009D59D0"/>
    <w:rsid w:val="009D6D7F"/>
    <w:rsid w:val="009E3E93"/>
    <w:rsid w:val="009F5282"/>
    <w:rsid w:val="00A00B5A"/>
    <w:rsid w:val="00A315F9"/>
    <w:rsid w:val="00A36D0A"/>
    <w:rsid w:val="00A52DCB"/>
    <w:rsid w:val="00A57B03"/>
    <w:rsid w:val="00A656C9"/>
    <w:rsid w:val="00A70CAB"/>
    <w:rsid w:val="00A903B2"/>
    <w:rsid w:val="00A966AE"/>
    <w:rsid w:val="00AB2457"/>
    <w:rsid w:val="00AD230B"/>
    <w:rsid w:val="00AD754E"/>
    <w:rsid w:val="00AF4518"/>
    <w:rsid w:val="00AF4B7D"/>
    <w:rsid w:val="00B04732"/>
    <w:rsid w:val="00B06728"/>
    <w:rsid w:val="00B24596"/>
    <w:rsid w:val="00B319D5"/>
    <w:rsid w:val="00B334E7"/>
    <w:rsid w:val="00B47759"/>
    <w:rsid w:val="00B606A7"/>
    <w:rsid w:val="00B61BAC"/>
    <w:rsid w:val="00B62ECD"/>
    <w:rsid w:val="00B71332"/>
    <w:rsid w:val="00B71DCC"/>
    <w:rsid w:val="00B86581"/>
    <w:rsid w:val="00BA223E"/>
    <w:rsid w:val="00BD12E3"/>
    <w:rsid w:val="00BD470C"/>
    <w:rsid w:val="00BD567B"/>
    <w:rsid w:val="00BF5B60"/>
    <w:rsid w:val="00BF6299"/>
    <w:rsid w:val="00C07808"/>
    <w:rsid w:val="00C07DE5"/>
    <w:rsid w:val="00C101E3"/>
    <w:rsid w:val="00C31FCA"/>
    <w:rsid w:val="00C41C13"/>
    <w:rsid w:val="00C46E73"/>
    <w:rsid w:val="00C51F55"/>
    <w:rsid w:val="00C6642D"/>
    <w:rsid w:val="00C71D3E"/>
    <w:rsid w:val="00C74264"/>
    <w:rsid w:val="00C742CA"/>
    <w:rsid w:val="00C80ED4"/>
    <w:rsid w:val="00CF6B63"/>
    <w:rsid w:val="00D004D0"/>
    <w:rsid w:val="00D03E1E"/>
    <w:rsid w:val="00D11D59"/>
    <w:rsid w:val="00D345CD"/>
    <w:rsid w:val="00D457A7"/>
    <w:rsid w:val="00D767E1"/>
    <w:rsid w:val="00D80DC6"/>
    <w:rsid w:val="00D95E28"/>
    <w:rsid w:val="00DB3641"/>
    <w:rsid w:val="00DC0A02"/>
    <w:rsid w:val="00DE39FD"/>
    <w:rsid w:val="00E06500"/>
    <w:rsid w:val="00E1592F"/>
    <w:rsid w:val="00E23A56"/>
    <w:rsid w:val="00E251AD"/>
    <w:rsid w:val="00E30E49"/>
    <w:rsid w:val="00E411D3"/>
    <w:rsid w:val="00E4414C"/>
    <w:rsid w:val="00E609FE"/>
    <w:rsid w:val="00E71D95"/>
    <w:rsid w:val="00E76132"/>
    <w:rsid w:val="00E8317E"/>
    <w:rsid w:val="00E84412"/>
    <w:rsid w:val="00E85C32"/>
    <w:rsid w:val="00E87AA2"/>
    <w:rsid w:val="00E91A4D"/>
    <w:rsid w:val="00E956A9"/>
    <w:rsid w:val="00E95AB0"/>
    <w:rsid w:val="00EA5F6D"/>
    <w:rsid w:val="00EB126C"/>
    <w:rsid w:val="00EB2FF2"/>
    <w:rsid w:val="00ED2A84"/>
    <w:rsid w:val="00EE46C5"/>
    <w:rsid w:val="00EF2D51"/>
    <w:rsid w:val="00EF406E"/>
    <w:rsid w:val="00F01858"/>
    <w:rsid w:val="00F0480D"/>
    <w:rsid w:val="00F0619D"/>
    <w:rsid w:val="00F16A94"/>
    <w:rsid w:val="00F21FF2"/>
    <w:rsid w:val="00F50D47"/>
    <w:rsid w:val="00F553D8"/>
    <w:rsid w:val="00F86C11"/>
    <w:rsid w:val="00FA270F"/>
    <w:rsid w:val="00FB21A1"/>
    <w:rsid w:val="00FC34A8"/>
    <w:rsid w:val="00FD29E4"/>
    <w:rsid w:val="00FE7BD4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D3B50"/>
  <w15:chartTrackingRefBased/>
  <w15:docId w15:val="{8C21E116-3142-4664-964A-33B603B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D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8CA"/>
    <w:rPr>
      <w:b/>
      <w:bCs/>
      <w:sz w:val="20"/>
      <w:szCs w:val="20"/>
    </w:rPr>
  </w:style>
  <w:style w:type="paragraph" w:customStyle="1" w:styleId="p">
    <w:name w:val="p"/>
    <w:basedOn w:val="Normal"/>
    <w:rsid w:val="008E3FA9"/>
    <w:pPr>
      <w:spacing w:before="100" w:beforeAutospacing="1" w:after="100" w:afterAutospacing="1"/>
    </w:pPr>
  </w:style>
  <w:style w:type="character" w:customStyle="1" w:styleId="ref-journal">
    <w:name w:val="ref-journal"/>
    <w:basedOn w:val="DefaultParagraphFont"/>
    <w:rsid w:val="00E23A56"/>
  </w:style>
  <w:style w:type="character" w:customStyle="1" w:styleId="Heading1Char">
    <w:name w:val="Heading 1 Char"/>
    <w:basedOn w:val="DefaultParagraphFont"/>
    <w:link w:val="Heading1"/>
    <w:uiPriority w:val="9"/>
    <w:rsid w:val="00C7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1D3E"/>
    <w:rPr>
      <w:color w:val="0000FF"/>
      <w:u w:val="single"/>
    </w:rPr>
  </w:style>
  <w:style w:type="table" w:styleId="TableGrid">
    <w:name w:val="Table Grid"/>
    <w:basedOn w:val="TableNormal"/>
    <w:uiPriority w:val="39"/>
    <w:rsid w:val="004A4C21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A4C21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8A618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7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18B"/>
  </w:style>
  <w:style w:type="paragraph" w:styleId="Footer">
    <w:name w:val="footer"/>
    <w:basedOn w:val="Normal"/>
    <w:link w:val="FooterChar"/>
    <w:uiPriority w:val="99"/>
    <w:unhideWhenUsed/>
    <w:rsid w:val="00817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18B"/>
  </w:style>
  <w:style w:type="character" w:customStyle="1" w:styleId="Heading3Char">
    <w:name w:val="Heading 3 Char"/>
    <w:basedOn w:val="DefaultParagraphFont"/>
    <w:link w:val="Heading3"/>
    <w:uiPriority w:val="9"/>
    <w:semiHidden/>
    <w:rsid w:val="00675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A223E"/>
    <w:rPr>
      <w:b/>
      <w:bCs/>
    </w:rPr>
  </w:style>
  <w:style w:type="character" w:customStyle="1" w:styleId="relative">
    <w:name w:val="relative"/>
    <w:basedOn w:val="DefaultParagraphFont"/>
    <w:rsid w:val="00AB2457"/>
  </w:style>
  <w:style w:type="character" w:customStyle="1" w:styleId="ms-1">
    <w:name w:val="ms-1"/>
    <w:basedOn w:val="DefaultParagraphFont"/>
    <w:rsid w:val="00AB2457"/>
  </w:style>
  <w:style w:type="character" w:customStyle="1" w:styleId="max-w-full">
    <w:name w:val="max-w-full"/>
    <w:basedOn w:val="DefaultParagraphFont"/>
    <w:rsid w:val="00AB2457"/>
  </w:style>
  <w:style w:type="paragraph" w:styleId="NormalWeb">
    <w:name w:val="Normal (Web)"/>
    <w:basedOn w:val="Normal"/>
    <w:uiPriority w:val="99"/>
    <w:unhideWhenUsed/>
    <w:rsid w:val="00537C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9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3461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06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499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72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27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5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Percentage Resistance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Escherichia coli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AMP</c:v>
                </c:pt>
                <c:pt idx="1">
                  <c:v>FEP</c:v>
                </c:pt>
                <c:pt idx="2">
                  <c:v>CXM</c:v>
                </c:pt>
                <c:pt idx="3">
                  <c:v>CIP</c:v>
                </c:pt>
                <c:pt idx="4">
                  <c:v>CRO</c:v>
                </c:pt>
                <c:pt idx="5">
                  <c:v>GEN</c:v>
                </c:pt>
                <c:pt idx="6">
                  <c:v>TCY</c:v>
                </c:pt>
                <c:pt idx="7">
                  <c:v>LVX</c:v>
                </c:pt>
                <c:pt idx="8">
                  <c:v>IPM</c:v>
                </c:pt>
                <c:pt idx="9">
                  <c:v>SXT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67.599999999999994</c:v>
                </c:pt>
                <c:pt idx="1">
                  <c:v>16.2</c:v>
                </c:pt>
                <c:pt idx="2">
                  <c:v>11.1</c:v>
                </c:pt>
                <c:pt idx="3">
                  <c:v>13.5</c:v>
                </c:pt>
                <c:pt idx="4">
                  <c:v>18.899999999999999</c:v>
                </c:pt>
                <c:pt idx="5">
                  <c:v>5.4</c:v>
                </c:pt>
                <c:pt idx="6">
                  <c:v>16.2</c:v>
                </c:pt>
                <c:pt idx="7">
                  <c:v>10.8</c:v>
                </c:pt>
                <c:pt idx="8">
                  <c:v>8.1</c:v>
                </c:pt>
                <c:pt idx="9">
                  <c:v>29.7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86-4E1C-AEE1-FBA331AC6F8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Klebsiella spp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AMP</c:v>
                </c:pt>
                <c:pt idx="1">
                  <c:v>FEP</c:v>
                </c:pt>
                <c:pt idx="2">
                  <c:v>CXM</c:v>
                </c:pt>
                <c:pt idx="3">
                  <c:v>CIP</c:v>
                </c:pt>
                <c:pt idx="4">
                  <c:v>CRO</c:v>
                </c:pt>
                <c:pt idx="5">
                  <c:v>GEN</c:v>
                </c:pt>
                <c:pt idx="6">
                  <c:v>TCY</c:v>
                </c:pt>
                <c:pt idx="7">
                  <c:v>LVX</c:v>
                </c:pt>
                <c:pt idx="8">
                  <c:v>IPM</c:v>
                </c:pt>
                <c:pt idx="9">
                  <c:v>SXT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100</c:v>
                </c:pt>
                <c:pt idx="1">
                  <c:v>28.9</c:v>
                </c:pt>
                <c:pt idx="2">
                  <c:v>23.7</c:v>
                </c:pt>
                <c:pt idx="3">
                  <c:v>34.200000000000003</c:v>
                </c:pt>
                <c:pt idx="4">
                  <c:v>34.200000000000003</c:v>
                </c:pt>
                <c:pt idx="5">
                  <c:v>13.2</c:v>
                </c:pt>
                <c:pt idx="6">
                  <c:v>36.799999999999997</c:v>
                </c:pt>
                <c:pt idx="7">
                  <c:v>13.2</c:v>
                </c:pt>
                <c:pt idx="8">
                  <c:v>18.399999999999999</c:v>
                </c:pt>
                <c:pt idx="9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86-4E1C-AEE1-FBA331AC6F8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Pseudomonas aeruginosa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AMP</c:v>
                </c:pt>
                <c:pt idx="1">
                  <c:v>FEP</c:v>
                </c:pt>
                <c:pt idx="2">
                  <c:v>CXM</c:v>
                </c:pt>
                <c:pt idx="3">
                  <c:v>CIP</c:v>
                </c:pt>
                <c:pt idx="4">
                  <c:v>CRO</c:v>
                </c:pt>
                <c:pt idx="5">
                  <c:v>GEN</c:v>
                </c:pt>
                <c:pt idx="6">
                  <c:v>TCY</c:v>
                </c:pt>
                <c:pt idx="7">
                  <c:v>LVX</c:v>
                </c:pt>
                <c:pt idx="8">
                  <c:v>IPM</c:v>
                </c:pt>
                <c:pt idx="9">
                  <c:v>SXT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100</c:v>
                </c:pt>
                <c:pt idx="1">
                  <c:v>11.5</c:v>
                </c:pt>
                <c:pt idx="2">
                  <c:v>100</c:v>
                </c:pt>
                <c:pt idx="3">
                  <c:v>19.2</c:v>
                </c:pt>
                <c:pt idx="4">
                  <c:v>100</c:v>
                </c:pt>
                <c:pt idx="5">
                  <c:v>7.7</c:v>
                </c:pt>
                <c:pt idx="6">
                  <c:v>100</c:v>
                </c:pt>
                <c:pt idx="7">
                  <c:v>3.8</c:v>
                </c:pt>
                <c:pt idx="8">
                  <c:v>11.5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86-4E1C-AEE1-FBA331AC6F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85066495"/>
        <c:axId val="1251541407"/>
      </c:barChart>
      <c:catAx>
        <c:axId val="118506649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Antibiotic Panel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51541407"/>
        <c:crosses val="autoZero"/>
        <c:auto val="1"/>
        <c:lblAlgn val="ctr"/>
        <c:lblOffset val="100"/>
        <c:noMultiLvlLbl val="0"/>
      </c:catAx>
      <c:valAx>
        <c:axId val="1251541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Percentage Resistance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5066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Surveillance of Antimicrobial Resistance</vt:lpstr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Surveillance of Antimicrobial Resistance</dc:title>
  <dc:subject>Antimicrobial Resistance</dc:subject>
  <dc:creator>Victor Mwiti Marangu</dc:creator>
  <cp:keywords/>
  <dc:description/>
  <cp:lastModifiedBy>Editor-22</cp:lastModifiedBy>
  <cp:revision>13</cp:revision>
  <dcterms:created xsi:type="dcterms:W3CDTF">2025-05-29T07:39:00Z</dcterms:created>
  <dcterms:modified xsi:type="dcterms:W3CDTF">2025-05-30T08:29:00Z</dcterms:modified>
</cp:coreProperties>
</file>