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E5B5A" w14:textId="77777777" w:rsidR="00D2112E" w:rsidRPr="001004E2" w:rsidRDefault="00D2112E" w:rsidP="00D2112E">
      <w:pPr>
        <w:rPr>
          <w:rFonts w:ascii="Arial" w:hAnsi="Arial" w:cs="Arial"/>
          <w:sz w:val="22"/>
          <w:szCs w:val="22"/>
        </w:rPr>
      </w:pPr>
      <w:bookmarkStart w:id="0" w:name="_GoBack"/>
      <w:r w:rsidRPr="001004E2">
        <w:rPr>
          <w:rFonts w:ascii="Arial" w:hAnsi="Arial" w:cs="Arial"/>
          <w:sz w:val="22"/>
          <w:szCs w:val="22"/>
        </w:rPr>
        <w:t>PRODUCTION OF TECK (</w:t>
      </w:r>
      <w:proofErr w:type="spellStart"/>
      <w:r w:rsidRPr="001004E2">
        <w:rPr>
          <w:rFonts w:ascii="Arial" w:hAnsi="Arial" w:cs="Arial"/>
          <w:i/>
          <w:iCs/>
          <w:sz w:val="22"/>
          <w:szCs w:val="22"/>
        </w:rPr>
        <w:t>Tectona</w:t>
      </w:r>
      <w:proofErr w:type="spellEnd"/>
      <w:r w:rsidRPr="001004E2">
        <w:rPr>
          <w:rFonts w:ascii="Arial" w:hAnsi="Arial" w:cs="Arial"/>
          <w:i/>
          <w:iCs/>
          <w:sz w:val="22"/>
          <w:szCs w:val="22"/>
        </w:rPr>
        <w:t xml:space="preserve"> </w:t>
      </w:r>
      <w:proofErr w:type="spellStart"/>
      <w:r w:rsidRPr="001004E2">
        <w:rPr>
          <w:rFonts w:ascii="Arial" w:hAnsi="Arial" w:cs="Arial"/>
          <w:i/>
          <w:iCs/>
          <w:sz w:val="22"/>
          <w:szCs w:val="22"/>
        </w:rPr>
        <w:t>grandis</w:t>
      </w:r>
      <w:proofErr w:type="spellEnd"/>
      <w:r w:rsidRPr="001004E2">
        <w:rPr>
          <w:rFonts w:ascii="Arial" w:hAnsi="Arial" w:cs="Arial"/>
          <w:sz w:val="22"/>
          <w:szCs w:val="22"/>
        </w:rPr>
        <w:t xml:space="preserve"> L.) PLANTS BY THE IN VITRO MICROBUTTING TECHNIQUE: EFFECT OF DESINFECTION AND PHYTOREGULATORS</w:t>
      </w:r>
      <w:bookmarkEnd w:id="0"/>
      <w:r w:rsidRPr="001004E2">
        <w:rPr>
          <w:rFonts w:ascii="Arial" w:hAnsi="Arial" w:cs="Arial"/>
          <w:sz w:val="22"/>
          <w:szCs w:val="22"/>
        </w:rPr>
        <w:t>.</w:t>
      </w:r>
    </w:p>
    <w:p w14:paraId="53935247"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55C84BAD" w14:textId="77777777" w:rsidR="00A258C3" w:rsidRPr="00790ADA" w:rsidRDefault="00A258C3" w:rsidP="00441B6F">
      <w:pPr>
        <w:pStyle w:val="Author"/>
        <w:spacing w:line="240" w:lineRule="auto"/>
        <w:jc w:val="both"/>
        <w:rPr>
          <w:rFonts w:ascii="Arial" w:hAnsi="Arial" w:cs="Arial"/>
          <w:sz w:val="36"/>
        </w:rPr>
      </w:pPr>
    </w:p>
    <w:p w14:paraId="4EBC4B4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8CE4544" w14:textId="77777777" w:rsidTr="001E44FE">
        <w:tc>
          <w:tcPr>
            <w:tcW w:w="9576" w:type="dxa"/>
            <w:shd w:val="clear" w:color="auto" w:fill="F2F2F2"/>
          </w:tcPr>
          <w:p w14:paraId="28A12AEE" w14:textId="77777777" w:rsidR="00A03B96" w:rsidRDefault="00A03B96" w:rsidP="00441B6F">
            <w:pPr>
              <w:pStyle w:val="Body"/>
              <w:spacing w:after="0"/>
              <w:rPr>
                <w:rFonts w:ascii="Arial" w:eastAsia="Calibri" w:hAnsi="Arial" w:cs="Arial"/>
                <w:szCs w:val="22"/>
              </w:rPr>
            </w:pPr>
          </w:p>
          <w:p w14:paraId="49F8A628" w14:textId="77777777" w:rsidR="00E3114E" w:rsidRPr="00E3114E" w:rsidRDefault="00E3114E" w:rsidP="00441B6F">
            <w:pPr>
              <w:pStyle w:val="Body"/>
              <w:spacing w:after="0"/>
              <w:rPr>
                <w:rFonts w:ascii="Arial" w:eastAsia="Calibri" w:hAnsi="Arial" w:cs="Arial"/>
                <w:szCs w:val="22"/>
              </w:rPr>
            </w:pPr>
            <w:r w:rsidRPr="00C93B80">
              <w:rPr>
                <w:rFonts w:ascii="Arial" w:eastAsia="Calibri" w:hAnsi="Arial" w:cs="Arial"/>
                <w:b/>
                <w:bCs/>
                <w:sz w:val="22"/>
                <w:szCs w:val="22"/>
              </w:rPr>
              <w:t>ABSTRACT</w:t>
            </w:r>
            <w:r w:rsidRPr="00E3114E">
              <w:rPr>
                <w:rFonts w:ascii="Arial" w:eastAsia="Calibri" w:hAnsi="Arial" w:cs="Arial"/>
                <w:szCs w:val="22"/>
              </w:rPr>
              <w:t>:</w:t>
            </w:r>
          </w:p>
          <w:p w14:paraId="630B2120" w14:textId="77777777" w:rsidR="00E3114E" w:rsidRDefault="00E3114E" w:rsidP="00441B6F">
            <w:pPr>
              <w:pStyle w:val="Body"/>
              <w:spacing w:after="0"/>
              <w:rPr>
                <w:rFonts w:ascii="Arial" w:eastAsia="Calibri" w:hAnsi="Arial" w:cs="Arial"/>
                <w:b/>
                <w:szCs w:val="22"/>
              </w:rPr>
            </w:pPr>
          </w:p>
          <w:p w14:paraId="3D02A53D" w14:textId="77777777" w:rsidR="00507E00" w:rsidRPr="00C93B80" w:rsidRDefault="00507E00" w:rsidP="00507E00">
            <w:pPr>
              <w:rPr>
                <w:rFonts w:ascii="Arial" w:hAnsi="Arial" w:cs="Arial"/>
              </w:rPr>
            </w:pPr>
            <w:r w:rsidRPr="00C93B80">
              <w:rPr>
                <w:rFonts w:ascii="Arial" w:hAnsi="Arial" w:cs="Arial"/>
              </w:rPr>
              <w:t xml:space="preserve">Teak plays an important role in reforestation in inter-tropical Africa, where it is used mainly for timber and service wood. It is the leading species planted in Côte d'Ivoire because of its resistance to the bush fires that occurred in 1980. However, its propagation is a major concern because of its poor ability to take cuttings and the problem of contamination by micro-organisms in in vitro culture.  The aim of this study is to determine the best disinfection technique and the best in vitro growth regulator for teak. Apex and nodal segment explants underwent four disinfection techniques. These explants were seeded on </w:t>
            </w:r>
            <w:proofErr w:type="spellStart"/>
            <w:r w:rsidRPr="00C93B80">
              <w:rPr>
                <w:rFonts w:ascii="Arial" w:hAnsi="Arial" w:cs="Arial"/>
              </w:rPr>
              <w:t>Murashige</w:t>
            </w:r>
            <w:proofErr w:type="spellEnd"/>
            <w:r w:rsidRPr="00C93B80">
              <w:rPr>
                <w:rFonts w:ascii="Arial" w:hAnsi="Arial" w:cs="Arial"/>
              </w:rPr>
              <w:t xml:space="preserve"> and Skoog (MS) basic culture media of half and whole concentration supplemented with different concentrations of BAP (0.5; 1; 2 and 4 mg/l), Kinetin (0.5; 1; 2 and 4 mg/l) and TDZ (0.01; 0.1; 0.25 and 0.5 mg/l). The technique of disinfection with 5% fungicide (5 min), then in 70% alcohol (3 min), followed by 0.05% mercury chloride (10 min) and 50% sodium hypochlorite (5 min) was best for </w:t>
            </w:r>
            <w:proofErr w:type="spellStart"/>
            <w:r w:rsidRPr="00C93B80">
              <w:rPr>
                <w:rFonts w:ascii="Arial" w:hAnsi="Arial" w:cs="Arial"/>
              </w:rPr>
              <w:t>sterilising</w:t>
            </w:r>
            <w:proofErr w:type="spellEnd"/>
            <w:r w:rsidRPr="00C93B80">
              <w:rPr>
                <w:rFonts w:ascii="Arial" w:hAnsi="Arial" w:cs="Arial"/>
              </w:rPr>
              <w:t xml:space="preserve"> teak explants. The nodal segment cultured on MS medium supplemented with 2 mg/l BAP was necessary for the induction of teak buds.</w:t>
            </w:r>
          </w:p>
          <w:p w14:paraId="2989DC1E" w14:textId="77777777" w:rsidR="00505F06" w:rsidRPr="00507E00" w:rsidRDefault="00505F06" w:rsidP="00507E00">
            <w:pPr>
              <w:rPr>
                <w:rFonts w:ascii="Arial" w:hAnsi="Arial" w:cs="Arial"/>
                <w:sz w:val="22"/>
                <w:szCs w:val="22"/>
              </w:rPr>
            </w:pPr>
          </w:p>
        </w:tc>
      </w:tr>
    </w:tbl>
    <w:p w14:paraId="0C43F76E" w14:textId="77777777" w:rsidR="00636EB2" w:rsidRDefault="00636EB2" w:rsidP="00441B6F">
      <w:pPr>
        <w:pStyle w:val="Body"/>
        <w:spacing w:after="0"/>
        <w:rPr>
          <w:rFonts w:ascii="Arial" w:hAnsi="Arial" w:cs="Arial"/>
          <w:i/>
        </w:rPr>
      </w:pPr>
    </w:p>
    <w:p w14:paraId="2677F381" w14:textId="77777777" w:rsidR="00C93B80" w:rsidRDefault="00507E00" w:rsidP="00441B6F">
      <w:pPr>
        <w:pStyle w:val="Body"/>
        <w:spacing w:after="0"/>
        <w:rPr>
          <w:rFonts w:ascii="Arial" w:eastAsia="Calibri" w:hAnsi="Arial" w:cs="Arial"/>
          <w:color w:val="FF0000"/>
          <w:szCs w:val="22"/>
        </w:rPr>
      </w:pPr>
      <w:r w:rsidRPr="00E129B4">
        <w:rPr>
          <w:rFonts w:ascii="Arial" w:hAnsi="Arial" w:cs="Arial"/>
          <w:sz w:val="22"/>
          <w:szCs w:val="22"/>
        </w:rPr>
        <w:t>Keywords: disinfection, explants, cytokinin, teak</w:t>
      </w:r>
      <w:r w:rsidR="00C93B80">
        <w:rPr>
          <w:rFonts w:ascii="Arial" w:eastAsia="Calibri" w:hAnsi="Arial" w:cs="Arial"/>
          <w:color w:val="FF0000"/>
          <w:szCs w:val="22"/>
        </w:rPr>
        <w:t>.</w:t>
      </w:r>
    </w:p>
    <w:p w14:paraId="62C56CB6" w14:textId="77777777" w:rsidR="00507E00" w:rsidRDefault="00507E00" w:rsidP="00441B6F">
      <w:pPr>
        <w:pStyle w:val="Body"/>
        <w:spacing w:after="0"/>
        <w:rPr>
          <w:rFonts w:ascii="Arial" w:hAnsi="Arial" w:cs="Arial"/>
          <w:b/>
          <w:i/>
          <w:sz w:val="18"/>
        </w:rPr>
      </w:pPr>
      <w:r>
        <w:rPr>
          <w:rFonts w:ascii="Arial" w:hAnsi="Arial" w:cs="Arial"/>
          <w:b/>
          <w:i/>
          <w:sz w:val="18"/>
        </w:rPr>
        <w:t xml:space="preserve"> </w:t>
      </w:r>
    </w:p>
    <w:p w14:paraId="4AE85B9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0E3852" w14:textId="77777777" w:rsidR="00790ADA" w:rsidRPr="00FB3A86" w:rsidRDefault="00790ADA" w:rsidP="00441B6F">
      <w:pPr>
        <w:pStyle w:val="AbstHead"/>
        <w:spacing w:after="0"/>
        <w:jc w:val="both"/>
        <w:rPr>
          <w:rFonts w:ascii="Arial" w:hAnsi="Arial" w:cs="Arial"/>
        </w:rPr>
      </w:pPr>
    </w:p>
    <w:p w14:paraId="6F938FC8" w14:textId="77777777" w:rsidR="00C93B80" w:rsidRPr="00F55D5A" w:rsidRDefault="00C93B80" w:rsidP="00C93B80">
      <w:pPr>
        <w:rPr>
          <w:rFonts w:ascii="Arial" w:hAnsi="Arial" w:cs="Arial"/>
        </w:rPr>
      </w:pPr>
      <w:r w:rsidRPr="00F55D5A">
        <w:rPr>
          <w:rFonts w:ascii="Arial" w:hAnsi="Arial" w:cs="Arial"/>
        </w:rPr>
        <w:t xml:space="preserve">Teak is an important species for reforestation in many tropical countries, thanks to its many economic advantages </w:t>
      </w:r>
      <w:r w:rsidR="00225F82">
        <w:rPr>
          <w:rFonts w:ascii="Arial" w:hAnsi="Arial" w:cs="Arial"/>
        </w:rPr>
        <w:t>[1]</w:t>
      </w:r>
      <w:r w:rsidRPr="00F55D5A">
        <w:rPr>
          <w:rFonts w:ascii="Arial" w:hAnsi="Arial" w:cs="Arial"/>
        </w:rPr>
        <w:t xml:space="preserve">.  Its dimensional stability and exceptional aesthetic qualities make it a highly valuable timber for plantation forestry. In addition, its high demand for wood for construction, shipping and furniture are beneficial options for public and private forestry </w:t>
      </w:r>
      <w:proofErr w:type="spellStart"/>
      <w:r w:rsidRPr="00F55D5A">
        <w:rPr>
          <w:rFonts w:ascii="Arial" w:hAnsi="Arial" w:cs="Arial"/>
        </w:rPr>
        <w:t>programmes</w:t>
      </w:r>
      <w:proofErr w:type="spellEnd"/>
      <w:r w:rsidRPr="00F55D5A">
        <w:rPr>
          <w:rFonts w:ascii="Arial" w:hAnsi="Arial" w:cs="Arial"/>
        </w:rPr>
        <w:t xml:space="preserve"> </w:t>
      </w:r>
      <w:r w:rsidR="00225F82">
        <w:rPr>
          <w:rFonts w:ascii="Arial" w:hAnsi="Arial" w:cs="Arial"/>
        </w:rPr>
        <w:t>[2]</w:t>
      </w:r>
      <w:r w:rsidRPr="00F55D5A">
        <w:rPr>
          <w:rFonts w:ascii="Arial" w:hAnsi="Arial" w:cs="Arial"/>
        </w:rPr>
        <w:t xml:space="preserve">. </w:t>
      </w:r>
    </w:p>
    <w:p w14:paraId="0AFFDE60" w14:textId="77777777" w:rsidR="00C93B80" w:rsidRPr="00F55D5A" w:rsidRDefault="00C93B80" w:rsidP="00C93B80">
      <w:pPr>
        <w:rPr>
          <w:rFonts w:ascii="Arial" w:hAnsi="Arial" w:cs="Arial"/>
        </w:rPr>
      </w:pPr>
      <w:r w:rsidRPr="00F55D5A">
        <w:rPr>
          <w:rFonts w:ascii="Arial" w:hAnsi="Arial" w:cs="Arial"/>
        </w:rPr>
        <w:t xml:space="preserve">Teak is grown on 5.7 million hectares worldwide, including almost 250,000 ha in tropical Africa </w:t>
      </w:r>
      <w:r w:rsidR="00225F82">
        <w:rPr>
          <w:rFonts w:ascii="Arial" w:hAnsi="Arial" w:cs="Arial"/>
        </w:rPr>
        <w:t>[3].</w:t>
      </w:r>
    </w:p>
    <w:p w14:paraId="1502BFF3" w14:textId="77777777" w:rsidR="00C93B80" w:rsidRPr="00F55D5A" w:rsidRDefault="00C93B80" w:rsidP="00C93B80">
      <w:pPr>
        <w:rPr>
          <w:rFonts w:ascii="Arial" w:hAnsi="Arial" w:cs="Arial"/>
        </w:rPr>
      </w:pPr>
      <w:r w:rsidRPr="00F55D5A">
        <w:rPr>
          <w:rFonts w:ascii="Arial" w:hAnsi="Arial" w:cs="Arial"/>
        </w:rPr>
        <w:t>Teak was introduced to Côte d'Ivoire in 1926 in the forest zone (Banco forest), then in 1929 in the sub-Sudanese pre-forest zone (</w:t>
      </w:r>
      <w:proofErr w:type="spellStart"/>
      <w:r w:rsidRPr="00F55D5A">
        <w:rPr>
          <w:rFonts w:ascii="Arial" w:hAnsi="Arial" w:cs="Arial"/>
        </w:rPr>
        <w:t>Bouaké</w:t>
      </w:r>
      <w:proofErr w:type="spellEnd"/>
      <w:r w:rsidRPr="00F55D5A">
        <w:rPr>
          <w:rFonts w:ascii="Arial" w:hAnsi="Arial" w:cs="Arial"/>
        </w:rPr>
        <w:t xml:space="preserve"> region) with a view to producing service wood (poles, poles), firewood and, secondarily, timber. Today, timber production has become a priority </w:t>
      </w:r>
      <w:r w:rsidR="00225F82">
        <w:rPr>
          <w:rFonts w:ascii="Arial" w:hAnsi="Arial" w:cs="Arial"/>
        </w:rPr>
        <w:t>[4]</w:t>
      </w:r>
      <w:r w:rsidRPr="00F55D5A">
        <w:rPr>
          <w:rFonts w:ascii="Arial" w:hAnsi="Arial" w:cs="Arial"/>
        </w:rPr>
        <w:t xml:space="preserve">. Teak adapts to all types of vegetation, whether forest or savannah </w:t>
      </w:r>
      <w:r w:rsidR="00225F82">
        <w:rPr>
          <w:rFonts w:ascii="Arial" w:hAnsi="Arial" w:cs="Arial"/>
        </w:rPr>
        <w:t>[5]</w:t>
      </w:r>
      <w:r w:rsidRPr="00F55D5A">
        <w:rPr>
          <w:rFonts w:ascii="Arial" w:hAnsi="Arial" w:cs="Arial"/>
        </w:rPr>
        <w:t>.</w:t>
      </w:r>
    </w:p>
    <w:p w14:paraId="258A9429" w14:textId="77777777" w:rsidR="00C93B80" w:rsidRPr="00F55D5A" w:rsidRDefault="00C93B80" w:rsidP="00C93B80">
      <w:pPr>
        <w:rPr>
          <w:rFonts w:ascii="Arial" w:hAnsi="Arial" w:cs="Arial"/>
        </w:rPr>
      </w:pPr>
      <w:r w:rsidRPr="00F55D5A">
        <w:rPr>
          <w:rFonts w:ascii="Arial" w:hAnsi="Arial" w:cs="Arial"/>
        </w:rPr>
        <w:t xml:space="preserve">The importance of teak cultivation has increased in recent years due to the low sales of industrial crops and their marketing in Côte d'Ivoire </w:t>
      </w:r>
      <w:r w:rsidR="00225F82">
        <w:rPr>
          <w:rFonts w:ascii="Arial" w:hAnsi="Arial" w:cs="Arial"/>
        </w:rPr>
        <w:t>[6]</w:t>
      </w:r>
      <w:r w:rsidRPr="00F55D5A">
        <w:rPr>
          <w:rFonts w:ascii="Arial" w:hAnsi="Arial" w:cs="Arial"/>
        </w:rPr>
        <w:t xml:space="preserve">. As a result, teak poles (growth up to 5 years), posts (5-7 years) and poles (10-25 years) are bought from farmers by private individuals and SODEFOR </w:t>
      </w:r>
      <w:r w:rsidR="00225F82">
        <w:rPr>
          <w:rFonts w:ascii="Arial" w:hAnsi="Arial" w:cs="Arial"/>
        </w:rPr>
        <w:t>[6]</w:t>
      </w:r>
      <w:r w:rsidRPr="00F55D5A">
        <w:rPr>
          <w:rFonts w:ascii="Arial" w:hAnsi="Arial" w:cs="Arial"/>
        </w:rPr>
        <w:t xml:space="preserve">. Aware of the income that teak wood can bring in, farmers are increasingly investing in this area. </w:t>
      </w:r>
    </w:p>
    <w:p w14:paraId="5062BC4A" w14:textId="77777777" w:rsidR="00C93B80" w:rsidRPr="00F55D5A" w:rsidRDefault="00C93B80" w:rsidP="00C93B80">
      <w:pPr>
        <w:rPr>
          <w:rFonts w:ascii="Arial" w:hAnsi="Arial" w:cs="Arial"/>
        </w:rPr>
      </w:pPr>
      <w:r w:rsidRPr="00F55D5A">
        <w:rPr>
          <w:rFonts w:ascii="Arial" w:hAnsi="Arial" w:cs="Arial"/>
        </w:rPr>
        <w:t xml:space="preserve">Vegetative propagation by teak cuttings makes it possible to reproduce an individual while preserving its genotype and therefore all its characteristics </w:t>
      </w:r>
      <w:r w:rsidR="00225F82">
        <w:rPr>
          <w:rFonts w:ascii="Arial" w:hAnsi="Arial" w:cs="Arial"/>
        </w:rPr>
        <w:t>[7]</w:t>
      </w:r>
      <w:r w:rsidRPr="00F55D5A">
        <w:rPr>
          <w:rFonts w:ascii="Arial" w:hAnsi="Arial" w:cs="Arial"/>
        </w:rPr>
        <w:t xml:space="preserve">. It should therefore considerably improve the market value of </w:t>
      </w:r>
      <w:proofErr w:type="spellStart"/>
      <w:r w:rsidRPr="00F55D5A">
        <w:rPr>
          <w:rFonts w:ascii="Arial" w:hAnsi="Arial" w:cs="Arial"/>
        </w:rPr>
        <w:t>teak</w:t>
      </w:r>
      <w:proofErr w:type="spellEnd"/>
      <w:r w:rsidRPr="00F55D5A">
        <w:rPr>
          <w:rFonts w:ascii="Arial" w:hAnsi="Arial" w:cs="Arial"/>
        </w:rPr>
        <w:t xml:space="preserve"> plantations by improving quality and homogeneity. However, this classic technique is limited by the production of planting material in large quantities, due to the species' poor ability to take cuttings. All these considerations severely limit the potential of the plant to renew the forest cover.</w:t>
      </w:r>
    </w:p>
    <w:p w14:paraId="76DE4316" w14:textId="77777777" w:rsidR="00C93B80" w:rsidRPr="00F55D5A" w:rsidRDefault="00C93B80" w:rsidP="00C93B80">
      <w:pPr>
        <w:rPr>
          <w:rFonts w:ascii="Arial" w:hAnsi="Arial" w:cs="Arial"/>
        </w:rPr>
      </w:pPr>
      <w:r w:rsidRPr="00F55D5A">
        <w:rPr>
          <w:rFonts w:ascii="Arial" w:hAnsi="Arial" w:cs="Arial"/>
        </w:rPr>
        <w:t>To overcome these constraints, in vitro cultivation would be an alternative. In vitro cultivation makes it possible to mass-produce suitable planting material and obtain disease-free plants.</w:t>
      </w:r>
    </w:p>
    <w:p w14:paraId="47C0ABE3" w14:textId="77777777" w:rsidR="00C93B80" w:rsidRPr="00F55D5A" w:rsidRDefault="00C93B80" w:rsidP="00C93B80">
      <w:pPr>
        <w:rPr>
          <w:rFonts w:ascii="Arial" w:hAnsi="Arial" w:cs="Arial"/>
        </w:rPr>
      </w:pPr>
      <w:r w:rsidRPr="00F55D5A">
        <w:rPr>
          <w:rFonts w:ascii="Arial" w:hAnsi="Arial" w:cs="Arial"/>
        </w:rPr>
        <w:t xml:space="preserve">The aim of this study was to determine the best technique for </w:t>
      </w:r>
      <w:proofErr w:type="spellStart"/>
      <w:r w:rsidRPr="00F55D5A">
        <w:rPr>
          <w:rFonts w:ascii="Arial" w:hAnsi="Arial" w:cs="Arial"/>
        </w:rPr>
        <w:t>micropropagating</w:t>
      </w:r>
      <w:proofErr w:type="spellEnd"/>
      <w:r w:rsidRPr="00F55D5A">
        <w:rPr>
          <w:rFonts w:ascii="Arial" w:hAnsi="Arial" w:cs="Arial"/>
        </w:rPr>
        <w:t xml:space="preserve"> seedlings from teak </w:t>
      </w:r>
      <w:proofErr w:type="spellStart"/>
      <w:r w:rsidRPr="00F55D5A">
        <w:rPr>
          <w:rFonts w:ascii="Arial" w:hAnsi="Arial" w:cs="Arial"/>
        </w:rPr>
        <w:t>vivoplants</w:t>
      </w:r>
      <w:proofErr w:type="spellEnd"/>
      <w:r w:rsidRPr="00F55D5A">
        <w:rPr>
          <w:rFonts w:ascii="Arial" w:hAnsi="Arial" w:cs="Arial"/>
        </w:rPr>
        <w:t xml:space="preserve"> </w:t>
      </w:r>
      <w:r w:rsidRPr="00F55D5A">
        <w:rPr>
          <w:rFonts w:ascii="Arial" w:hAnsi="Arial" w:cs="Arial"/>
          <w:i/>
          <w:iCs/>
        </w:rPr>
        <w:t>in vitro</w:t>
      </w:r>
      <w:r w:rsidRPr="00F55D5A">
        <w:rPr>
          <w:rFonts w:ascii="Arial" w:hAnsi="Arial" w:cs="Arial"/>
        </w:rPr>
        <w:t>.</w:t>
      </w:r>
    </w:p>
    <w:p w14:paraId="458EF7E9" w14:textId="77777777" w:rsidR="00790ADA" w:rsidRPr="00FB3A86" w:rsidRDefault="00790ADA" w:rsidP="00441B6F">
      <w:pPr>
        <w:pStyle w:val="Body"/>
        <w:spacing w:after="0"/>
        <w:rPr>
          <w:rFonts w:ascii="Arial" w:hAnsi="Arial" w:cs="Arial"/>
        </w:rPr>
      </w:pPr>
    </w:p>
    <w:p w14:paraId="18C97452"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3803CFE" w14:textId="77777777" w:rsidR="00790ADA" w:rsidRDefault="00790ADA" w:rsidP="00441B6F">
      <w:pPr>
        <w:pStyle w:val="Body"/>
        <w:spacing w:after="0"/>
        <w:rPr>
          <w:rFonts w:ascii="Arial" w:hAnsi="Arial" w:cs="Arial"/>
        </w:rPr>
      </w:pPr>
    </w:p>
    <w:p w14:paraId="69B08F86" w14:textId="77777777" w:rsidR="00C93B80" w:rsidRDefault="00C93B80" w:rsidP="00C93B80">
      <w:pPr>
        <w:rPr>
          <w:rFonts w:ascii="Arial" w:hAnsi="Arial" w:cs="Arial"/>
          <w:b/>
          <w:bCs/>
          <w:sz w:val="22"/>
          <w:szCs w:val="22"/>
        </w:rPr>
      </w:pPr>
      <w:r w:rsidRPr="00C93B80">
        <w:rPr>
          <w:rFonts w:ascii="Arial" w:hAnsi="Arial" w:cs="Arial"/>
          <w:b/>
          <w:bCs/>
          <w:sz w:val="22"/>
          <w:szCs w:val="22"/>
        </w:rPr>
        <w:t>2.1 Plant material</w:t>
      </w:r>
    </w:p>
    <w:p w14:paraId="357EEAD0" w14:textId="77777777" w:rsidR="00C93B80" w:rsidRPr="00F55D5A" w:rsidRDefault="00C93B80" w:rsidP="00C93B80">
      <w:pPr>
        <w:rPr>
          <w:rFonts w:ascii="Arial" w:hAnsi="Arial" w:cs="Arial"/>
        </w:rPr>
      </w:pPr>
      <w:r w:rsidRPr="00F55D5A">
        <w:rPr>
          <w:rFonts w:ascii="Arial" w:hAnsi="Arial" w:cs="Arial"/>
        </w:rPr>
        <w:t xml:space="preserve">The material was nodal segments and apexes taken from young teak plants at least one year old. These seedlings come from SODEFOR in the town of </w:t>
      </w:r>
      <w:proofErr w:type="spellStart"/>
      <w:r w:rsidRPr="00F55D5A">
        <w:rPr>
          <w:rFonts w:ascii="Arial" w:hAnsi="Arial" w:cs="Arial"/>
        </w:rPr>
        <w:t>Adzopé</w:t>
      </w:r>
      <w:proofErr w:type="spellEnd"/>
      <w:r w:rsidRPr="00F55D5A">
        <w:rPr>
          <w:rFonts w:ascii="Arial" w:hAnsi="Arial" w:cs="Arial"/>
        </w:rPr>
        <w:t xml:space="preserve"> in south-east Côte d'Ivoire and were planted in a nursery on the </w:t>
      </w:r>
      <w:proofErr w:type="spellStart"/>
      <w:r w:rsidRPr="00F55D5A">
        <w:rPr>
          <w:rFonts w:ascii="Arial" w:hAnsi="Arial" w:cs="Arial"/>
        </w:rPr>
        <w:t>Nangui</w:t>
      </w:r>
      <w:proofErr w:type="spellEnd"/>
      <w:r w:rsidRPr="00F55D5A">
        <w:rPr>
          <w:rFonts w:ascii="Arial" w:hAnsi="Arial" w:cs="Arial"/>
        </w:rPr>
        <w:t xml:space="preserve"> </w:t>
      </w:r>
      <w:proofErr w:type="spellStart"/>
      <w:r w:rsidRPr="00F55D5A">
        <w:rPr>
          <w:rFonts w:ascii="Arial" w:hAnsi="Arial" w:cs="Arial"/>
        </w:rPr>
        <w:t>Abrogoua</w:t>
      </w:r>
      <w:proofErr w:type="spellEnd"/>
      <w:r w:rsidRPr="00F55D5A">
        <w:rPr>
          <w:rFonts w:ascii="Arial" w:hAnsi="Arial" w:cs="Arial"/>
        </w:rPr>
        <w:t xml:space="preserve"> University site.</w:t>
      </w:r>
    </w:p>
    <w:p w14:paraId="6102ECF3" w14:textId="77777777" w:rsidR="00C93B80" w:rsidRPr="00C93B80" w:rsidRDefault="00C93B80" w:rsidP="00C93B80">
      <w:pPr>
        <w:rPr>
          <w:rFonts w:ascii="Arial" w:hAnsi="Arial" w:cs="Arial"/>
          <w:b/>
          <w:bCs/>
          <w:sz w:val="22"/>
          <w:szCs w:val="22"/>
        </w:rPr>
      </w:pPr>
      <w:r w:rsidRPr="00C93B80">
        <w:rPr>
          <w:rFonts w:ascii="Arial" w:hAnsi="Arial" w:cs="Arial"/>
          <w:b/>
          <w:bCs/>
          <w:sz w:val="22"/>
          <w:szCs w:val="22"/>
        </w:rPr>
        <w:t>2.2 Methods</w:t>
      </w:r>
    </w:p>
    <w:p w14:paraId="484919BE" w14:textId="77777777" w:rsidR="00C93B80" w:rsidRPr="000861A9" w:rsidRDefault="00C93B80" w:rsidP="00C93B80">
      <w:pPr>
        <w:rPr>
          <w:rFonts w:ascii="Arial" w:hAnsi="Arial" w:cs="Arial"/>
          <w:b/>
          <w:bCs/>
        </w:rPr>
      </w:pPr>
      <w:r w:rsidRPr="000861A9">
        <w:rPr>
          <w:rFonts w:ascii="Arial" w:hAnsi="Arial" w:cs="Arial"/>
          <w:b/>
          <w:bCs/>
        </w:rPr>
        <w:t>2.2.1 Preparation of the bud induction medium</w:t>
      </w:r>
    </w:p>
    <w:p w14:paraId="376D6457" w14:textId="77777777" w:rsidR="00C93B80" w:rsidRPr="00F55D5A" w:rsidRDefault="00C93B80" w:rsidP="00C93B80">
      <w:pPr>
        <w:rPr>
          <w:rFonts w:ascii="Arial" w:hAnsi="Arial" w:cs="Arial"/>
        </w:rPr>
      </w:pPr>
      <w:r w:rsidRPr="00F55D5A">
        <w:rPr>
          <w:rFonts w:ascii="Arial" w:hAnsi="Arial" w:cs="Arial"/>
        </w:rPr>
        <w:t xml:space="preserve">The base medium consisted of </w:t>
      </w:r>
      <w:r w:rsidR="00DA4247">
        <w:rPr>
          <w:rFonts w:ascii="Arial" w:hAnsi="Arial" w:cs="Arial"/>
        </w:rPr>
        <w:t>[8]</w:t>
      </w:r>
      <w:r w:rsidRPr="00F55D5A">
        <w:rPr>
          <w:rFonts w:ascii="Arial" w:hAnsi="Arial" w:cs="Arial"/>
        </w:rPr>
        <w:t xml:space="preserve"> in proportions (1/2 and 1), to which 30 g/L sucrose was added. This base medium was supplemented with different concentrations of Benzyl-aminopurine (BAP) (0.5, 1, 2 and 4 mg/l), kinetin (0.5, 1, 2 and 4 </w:t>
      </w:r>
      <w:r w:rsidRPr="00F55D5A">
        <w:rPr>
          <w:rFonts w:ascii="Arial" w:hAnsi="Arial" w:cs="Arial"/>
        </w:rPr>
        <w:lastRenderedPageBreak/>
        <w:t xml:space="preserve">mg/l) and </w:t>
      </w:r>
      <w:proofErr w:type="spellStart"/>
      <w:r w:rsidRPr="00F55D5A">
        <w:rPr>
          <w:rFonts w:ascii="Arial" w:hAnsi="Arial" w:cs="Arial"/>
        </w:rPr>
        <w:t>Thidiazuron</w:t>
      </w:r>
      <w:proofErr w:type="spellEnd"/>
      <w:r w:rsidRPr="00F55D5A">
        <w:rPr>
          <w:rFonts w:ascii="Arial" w:hAnsi="Arial" w:cs="Arial"/>
        </w:rPr>
        <w:t xml:space="preserve"> (TDZ) (0.01, 0.1, 0.25 and 0.5 mg/l), making up twelve culture media. The control medium was devoid of </w:t>
      </w:r>
      <w:proofErr w:type="spellStart"/>
      <w:r w:rsidRPr="00F55D5A">
        <w:rPr>
          <w:rFonts w:ascii="Arial" w:hAnsi="Arial" w:cs="Arial"/>
        </w:rPr>
        <w:t>cytokinins</w:t>
      </w:r>
      <w:proofErr w:type="spellEnd"/>
      <w:r w:rsidRPr="00F55D5A">
        <w:rPr>
          <w:rFonts w:ascii="Arial" w:hAnsi="Arial" w:cs="Arial"/>
        </w:rPr>
        <w:t>. The pH of the medium was adjusted to 5.7 using NaOH (0.1 N) or HCL (0.1 N), then 8 g/l agar was added for solidification. The media were autoclaved at 121°C for 20 min at a pressure of 1 bar.</w:t>
      </w:r>
    </w:p>
    <w:p w14:paraId="7AAF4108" w14:textId="77777777" w:rsidR="00C93B80" w:rsidRPr="00F55D5A" w:rsidRDefault="00C93B80" w:rsidP="00C93B80">
      <w:pPr>
        <w:rPr>
          <w:rFonts w:ascii="Arial" w:hAnsi="Arial" w:cs="Arial"/>
          <w:b/>
          <w:bCs/>
        </w:rPr>
      </w:pPr>
      <w:r w:rsidRPr="00F55D5A">
        <w:rPr>
          <w:rFonts w:ascii="Arial" w:hAnsi="Arial" w:cs="Arial"/>
          <w:b/>
          <w:bCs/>
        </w:rPr>
        <w:t>1.2.2 Preparation of plant material</w:t>
      </w:r>
    </w:p>
    <w:p w14:paraId="305ED189" w14:textId="77777777" w:rsidR="00C93B80" w:rsidRPr="00F55D5A" w:rsidRDefault="00C93B80" w:rsidP="00C93B80">
      <w:pPr>
        <w:rPr>
          <w:rFonts w:ascii="Arial" w:hAnsi="Arial" w:cs="Arial"/>
        </w:rPr>
      </w:pPr>
      <w:r w:rsidRPr="00F55D5A">
        <w:rPr>
          <w:rFonts w:ascii="Arial" w:hAnsi="Arial" w:cs="Arial"/>
        </w:rPr>
        <w:t>The shoots were taken with a pair of scissors from the regrowth of young plants in the nursery. They were then kept on ice to prevent drying out. The branches were rinsed thoroughly under the laboratory tap for 30 minutes to remove any dead soil. They were then soaked in soapy water for 20 min and rinsed thoroughly with tap water.</w:t>
      </w:r>
    </w:p>
    <w:p w14:paraId="40993189" w14:textId="77777777" w:rsidR="00C93B80" w:rsidRPr="00F55D5A" w:rsidRDefault="00C93B80" w:rsidP="00C93B80">
      <w:pPr>
        <w:rPr>
          <w:rFonts w:ascii="Arial" w:hAnsi="Arial" w:cs="Arial"/>
          <w:b/>
          <w:bCs/>
        </w:rPr>
      </w:pPr>
      <w:r w:rsidRPr="00F55D5A">
        <w:rPr>
          <w:rFonts w:ascii="Arial" w:hAnsi="Arial" w:cs="Arial"/>
          <w:b/>
          <w:bCs/>
        </w:rPr>
        <w:t xml:space="preserve">1.2.3 Surface disinfection of explants </w:t>
      </w:r>
    </w:p>
    <w:p w14:paraId="500E3A86" w14:textId="77777777" w:rsidR="00C93B80" w:rsidRPr="00F55D5A" w:rsidRDefault="00C93B80" w:rsidP="00C93B80">
      <w:pPr>
        <w:rPr>
          <w:rFonts w:ascii="Arial" w:hAnsi="Arial" w:cs="Arial"/>
          <w:b/>
          <w:bCs/>
        </w:rPr>
      </w:pPr>
      <w:r w:rsidRPr="00F55D5A">
        <w:rPr>
          <w:rFonts w:ascii="Arial" w:hAnsi="Arial" w:cs="Arial"/>
          <w:b/>
          <w:bCs/>
        </w:rPr>
        <w:t>Double disinfection with hypochlorite solutions</w:t>
      </w:r>
    </w:p>
    <w:p w14:paraId="4CE7F3C8" w14:textId="77777777" w:rsidR="00C93B80" w:rsidRPr="00F55D5A" w:rsidRDefault="00C93B80" w:rsidP="00C93B80">
      <w:pPr>
        <w:rPr>
          <w:rFonts w:ascii="Arial" w:hAnsi="Arial" w:cs="Arial"/>
        </w:rPr>
      </w:pPr>
      <w:r w:rsidRPr="00F55D5A">
        <w:rPr>
          <w:rFonts w:ascii="Arial" w:hAnsi="Arial" w:cs="Arial"/>
        </w:rPr>
        <w:t xml:space="preserve">Explants were immersed in 3% calcium hypochlorite containing two drops of tween 20 for 3 min followed by three rinses with sterile distilled water under a laminar flow hood. They were then immersed in 70% alcohol for 1 min and rinsed thoroughly with sterile distilled water. These explants were soaked in 10% sodium hypochlorite (2.6% active chlorine) containing two drops of tween for 3 minutes. They were then rinsed three times with sterile distilled water to remove the disinfectant. </w:t>
      </w:r>
    </w:p>
    <w:p w14:paraId="798015F8" w14:textId="77777777" w:rsidR="00C93B80" w:rsidRPr="00F55D5A" w:rsidRDefault="00C93B80" w:rsidP="00C93B80">
      <w:pPr>
        <w:rPr>
          <w:rFonts w:ascii="Arial" w:hAnsi="Arial" w:cs="Arial"/>
          <w:b/>
          <w:bCs/>
        </w:rPr>
      </w:pPr>
      <w:r w:rsidRPr="00F55D5A">
        <w:rPr>
          <w:rFonts w:ascii="Arial" w:hAnsi="Arial" w:cs="Arial"/>
          <w:b/>
          <w:bCs/>
        </w:rPr>
        <w:t>Disinfection using calcium hypochlorite and mercury chloride</w:t>
      </w:r>
    </w:p>
    <w:p w14:paraId="41D7D4E3" w14:textId="77777777" w:rsidR="00C93B80" w:rsidRPr="00F55D5A" w:rsidRDefault="00C93B80" w:rsidP="00C93B80">
      <w:pPr>
        <w:rPr>
          <w:rFonts w:ascii="Arial" w:hAnsi="Arial" w:cs="Arial"/>
        </w:rPr>
      </w:pPr>
      <w:r w:rsidRPr="00F55D5A">
        <w:rPr>
          <w:rFonts w:ascii="Arial" w:hAnsi="Arial" w:cs="Arial"/>
        </w:rPr>
        <w:t>The explants were soaked in 3% calcium hypochlorite (containing 2 drops of tweens) for 3 min followed by a successive rinse with sterile distilled water under a laminar flow hood. These explants were then immersed in 1% mercury chloride solution for 10 min followed by three thorough rinses with distilled water to remove the disinfectants.</w:t>
      </w:r>
    </w:p>
    <w:p w14:paraId="100EE3CE" w14:textId="77777777" w:rsidR="00C93B80" w:rsidRPr="00F55D5A" w:rsidRDefault="00C93B80" w:rsidP="00C93B80">
      <w:pPr>
        <w:rPr>
          <w:rFonts w:ascii="Arial" w:hAnsi="Arial" w:cs="Arial"/>
          <w:b/>
          <w:bCs/>
        </w:rPr>
      </w:pPr>
      <w:r w:rsidRPr="00F55D5A">
        <w:rPr>
          <w:rFonts w:ascii="Arial" w:hAnsi="Arial" w:cs="Arial"/>
          <w:b/>
          <w:bCs/>
        </w:rPr>
        <w:t>Disinfection using sodium hypochlorite and mercury chloride plus alcohol</w:t>
      </w:r>
    </w:p>
    <w:p w14:paraId="2646196C" w14:textId="77777777" w:rsidR="00C93B80" w:rsidRPr="00F55D5A" w:rsidRDefault="00C93B80" w:rsidP="00C93B80">
      <w:pPr>
        <w:rPr>
          <w:rFonts w:ascii="Arial" w:hAnsi="Arial" w:cs="Arial"/>
        </w:rPr>
      </w:pPr>
      <w:r w:rsidRPr="00F55D5A">
        <w:rPr>
          <w:rFonts w:ascii="Arial" w:hAnsi="Arial" w:cs="Arial"/>
        </w:rPr>
        <w:t xml:space="preserve">Disinfection was performed under a laminar flow hood. Explants were soaked in 70% alcohol for 3 min, rinsed three times with sterile distilled water and then immersed for 10 min in a 10% sodium hypochlorite solution (containing three drops of tween 20). They were rinsed with sterile distilled water. In addition, these explants were immersed in 0.2% mercury chloride solution for 7 min followed by a thorough rinse. </w:t>
      </w:r>
    </w:p>
    <w:p w14:paraId="6A4A17ED" w14:textId="77777777" w:rsidR="00C93B80" w:rsidRPr="00F55D5A" w:rsidRDefault="00C93B80" w:rsidP="00C93B80">
      <w:pPr>
        <w:rPr>
          <w:rFonts w:ascii="Arial" w:hAnsi="Arial" w:cs="Arial"/>
          <w:b/>
          <w:bCs/>
        </w:rPr>
      </w:pPr>
      <w:r w:rsidRPr="00F55D5A">
        <w:rPr>
          <w:rFonts w:ascii="Arial" w:hAnsi="Arial" w:cs="Arial"/>
          <w:b/>
          <w:bCs/>
        </w:rPr>
        <w:t>Disinfection using sodium hypochlorite, mercury chloride, alcohol and a fungicide</w:t>
      </w:r>
    </w:p>
    <w:p w14:paraId="3784DB2E" w14:textId="77777777" w:rsidR="00C93B80" w:rsidRPr="00F55D5A" w:rsidRDefault="00C93B80" w:rsidP="00C93B80">
      <w:pPr>
        <w:rPr>
          <w:rFonts w:ascii="Arial" w:hAnsi="Arial" w:cs="Arial"/>
        </w:rPr>
      </w:pPr>
      <w:r w:rsidRPr="00F55D5A">
        <w:rPr>
          <w:rFonts w:ascii="Arial" w:hAnsi="Arial" w:cs="Arial"/>
        </w:rPr>
        <w:t>Explants were soaked in 5% fungicide (</w:t>
      </w:r>
      <w:proofErr w:type="spellStart"/>
      <w:r w:rsidRPr="00F55D5A">
        <w:rPr>
          <w:rFonts w:ascii="Arial" w:hAnsi="Arial" w:cs="Arial"/>
        </w:rPr>
        <w:t>Bancoplus</w:t>
      </w:r>
      <w:proofErr w:type="spellEnd"/>
      <w:r w:rsidRPr="00F55D5A">
        <w:rPr>
          <w:rFonts w:ascii="Arial" w:hAnsi="Arial" w:cs="Arial"/>
        </w:rPr>
        <w:t>) for 30 min and rinsed with tap water. The explants were then transferred to a laminar flow hood and immersed in 70% alcohol for 3 min. After three rinses with sterile distilled water, the explants were immersed in a 0.05% mercury chloride solution for 10 min followed by three successive rinses with sterile distilled water. Finally, the explants were soaked in 50% calcium hypochlorite for 5 min in the presence of two drops of tween 10 followed by three rinses with sterile distilled water under a laminar flow hood.</w:t>
      </w:r>
    </w:p>
    <w:p w14:paraId="7ED945C1" w14:textId="77777777" w:rsidR="00C93B80" w:rsidRPr="00F55D5A" w:rsidRDefault="00C93B80" w:rsidP="00C93B80">
      <w:pPr>
        <w:rPr>
          <w:rFonts w:ascii="Arial" w:hAnsi="Arial" w:cs="Arial"/>
          <w:b/>
          <w:bCs/>
        </w:rPr>
      </w:pPr>
      <w:r w:rsidRPr="00F55D5A">
        <w:rPr>
          <w:rFonts w:ascii="Arial" w:hAnsi="Arial" w:cs="Arial"/>
          <w:b/>
          <w:bCs/>
        </w:rPr>
        <w:t>1.2.4. Culture and multiplication of explants</w:t>
      </w:r>
    </w:p>
    <w:p w14:paraId="7055F957" w14:textId="77777777" w:rsidR="00C93B80" w:rsidRPr="00F55D5A" w:rsidRDefault="00C93B80" w:rsidP="00C93B80">
      <w:pPr>
        <w:rPr>
          <w:rFonts w:ascii="Arial" w:hAnsi="Arial" w:cs="Arial"/>
        </w:rPr>
      </w:pPr>
      <w:r w:rsidRPr="00F55D5A">
        <w:rPr>
          <w:rFonts w:ascii="Arial" w:hAnsi="Arial" w:cs="Arial"/>
        </w:rPr>
        <w:t>After eight weeks of culture, explants that had induced at least two leafy shoots on a culture medium were selected for the following culture. The leafy shoots from this medium were cut into apexes and nodal segments. The 30 apex and nodal segment explants were cultured on the same medium. This experiment was carried out in order to identify the best type of explants, the appropriate number of cultures and the partial production of leafy shoots by each concentration of cytokinin. The experiment was repeated until a leafy shoot was obtained on this bud induction medium.</w:t>
      </w:r>
    </w:p>
    <w:p w14:paraId="2D4B851A" w14:textId="77777777" w:rsidR="00C93B80" w:rsidRPr="000861A9" w:rsidRDefault="00C93B80" w:rsidP="00C93B80">
      <w:pPr>
        <w:rPr>
          <w:rFonts w:ascii="Arial" w:hAnsi="Arial" w:cs="Arial"/>
          <w:b/>
          <w:bCs/>
          <w:sz w:val="22"/>
          <w:szCs w:val="22"/>
        </w:rPr>
      </w:pPr>
      <w:r w:rsidRPr="000861A9">
        <w:rPr>
          <w:rFonts w:ascii="Arial" w:hAnsi="Arial" w:cs="Arial"/>
          <w:b/>
          <w:bCs/>
          <w:sz w:val="22"/>
          <w:szCs w:val="22"/>
        </w:rPr>
        <w:t>1.3 Parameter evaluation</w:t>
      </w:r>
    </w:p>
    <w:p w14:paraId="453E1215" w14:textId="77777777" w:rsidR="00C93B80" w:rsidRPr="00F55D5A" w:rsidRDefault="00C93B80" w:rsidP="00C93B80">
      <w:pPr>
        <w:pStyle w:val="ListParagraph"/>
        <w:numPr>
          <w:ilvl w:val="0"/>
          <w:numId w:val="31"/>
        </w:numPr>
        <w:rPr>
          <w:rFonts w:ascii="Arial" w:hAnsi="Arial" w:cs="Arial"/>
          <w:sz w:val="20"/>
          <w:szCs w:val="20"/>
        </w:rPr>
      </w:pPr>
      <w:r w:rsidRPr="00F55D5A">
        <w:rPr>
          <w:rFonts w:ascii="Arial" w:hAnsi="Arial" w:cs="Arial"/>
          <w:sz w:val="20"/>
          <w:szCs w:val="20"/>
        </w:rPr>
        <w:t>Contamination rate</w:t>
      </w:r>
    </w:p>
    <w:p w14:paraId="79488F16" w14:textId="77777777" w:rsidR="00C93B80" w:rsidRPr="00F55D5A" w:rsidRDefault="00C93B80" w:rsidP="00C93B80">
      <w:pPr>
        <w:rPr>
          <w:rFonts w:ascii="Arial" w:hAnsi="Arial" w:cs="Arial"/>
        </w:rPr>
      </w:pPr>
      <w:r w:rsidRPr="00F55D5A">
        <w:rPr>
          <w:rFonts w:ascii="Arial" w:hAnsi="Arial" w:cs="Arial"/>
        </w:rPr>
        <w:t xml:space="preserve">The contamination rate was assessed after three weeks of culture. It is used to assess the effectiveness of the type of disinfectant used in this study. The contamination rate (CT) was expressed as a percentage (%) using the following </w:t>
      </w:r>
      <w:proofErr w:type="gramStart"/>
      <w:r w:rsidRPr="00F55D5A">
        <w:rPr>
          <w:rFonts w:ascii="Arial" w:hAnsi="Arial" w:cs="Arial"/>
        </w:rPr>
        <w:t>formula :</w:t>
      </w:r>
      <w:proofErr w:type="gramEnd"/>
    </w:p>
    <w:p w14:paraId="6FA62890" w14:textId="77777777" w:rsidR="00C93B80" w:rsidRPr="00F55D5A" w:rsidRDefault="00C93B80" w:rsidP="00C93B80">
      <w:pPr>
        <w:rPr>
          <w:rFonts w:ascii="Arial" w:hAnsi="Arial" w:cs="Arial"/>
        </w:rPr>
      </w:pPr>
      <m:oMathPara>
        <m:oMath>
          <m:r>
            <m:rPr>
              <m:sty m:val="p"/>
            </m:rPr>
            <w:rPr>
              <w:rFonts w:ascii="Cambria Math" w:eastAsia="Calibri" w:hAnsi="Cambria Math" w:cs="Arial"/>
            </w:rPr>
            <m:t>TC=</m:t>
          </m:r>
          <m:f>
            <m:fPr>
              <m:ctrlPr>
                <w:rPr>
                  <w:rFonts w:ascii="Cambria Math" w:eastAsia="Calibri" w:hAnsi="Cambria Math" w:cs="Arial"/>
                </w:rPr>
              </m:ctrlPr>
            </m:fPr>
            <m:num>
              <m:r>
                <m:rPr>
                  <m:sty m:val="p"/>
                </m:rPr>
                <w:rPr>
                  <w:rFonts w:ascii="Cambria Math" w:eastAsia="Calibri" w:hAnsi="Cambria Math" w:cs="Arial"/>
                </w:rPr>
                <m:t xml:space="preserve">Number of contaminated explants </m:t>
              </m:r>
            </m:num>
            <m:den>
              <m:r>
                <m:rPr>
                  <m:sty m:val="p"/>
                </m:rPr>
                <w:rPr>
                  <w:rFonts w:ascii="Cambria Math" w:eastAsia="Calibri" w:hAnsi="Cambria Math" w:cs="Arial"/>
                </w:rPr>
                <m:t>Total number of explants grown</m:t>
              </m:r>
            </m:den>
          </m:f>
          <m:r>
            <w:rPr>
              <w:rFonts w:ascii="Cambria Math" w:eastAsia="Calibri" w:hAnsi="Cambria Math" w:cs="Arial"/>
            </w:rPr>
            <m:t xml:space="preserve"> </m:t>
          </m:r>
          <m:r>
            <m:rPr>
              <m:sty m:val="p"/>
            </m:rPr>
            <w:rPr>
              <w:rFonts w:ascii="Cambria Math" w:eastAsia="Calibri" w:hAnsi="Cambria Math" w:cs="Arial"/>
            </w:rPr>
            <m:t>X 100</m:t>
          </m:r>
        </m:oMath>
      </m:oMathPara>
    </w:p>
    <w:p w14:paraId="546F19F7" w14:textId="77777777" w:rsidR="00C93B80" w:rsidRPr="00F55D5A" w:rsidRDefault="00C93B80" w:rsidP="00C93B80">
      <w:pPr>
        <w:pStyle w:val="ListParagraph"/>
        <w:numPr>
          <w:ilvl w:val="0"/>
          <w:numId w:val="31"/>
        </w:numPr>
        <w:rPr>
          <w:rFonts w:ascii="Arial" w:hAnsi="Arial" w:cs="Arial"/>
          <w:b/>
          <w:bCs/>
          <w:sz w:val="20"/>
          <w:szCs w:val="20"/>
        </w:rPr>
      </w:pPr>
      <w:r w:rsidRPr="00F55D5A">
        <w:rPr>
          <w:rFonts w:ascii="Arial" w:hAnsi="Arial" w:cs="Arial"/>
          <w:b/>
          <w:bCs/>
          <w:sz w:val="20"/>
          <w:szCs w:val="20"/>
        </w:rPr>
        <w:t>Survival rate of explants</w:t>
      </w:r>
    </w:p>
    <w:p w14:paraId="45440A19" w14:textId="77777777" w:rsidR="00C93B80" w:rsidRPr="00F55D5A" w:rsidRDefault="00C93B80" w:rsidP="00C93B80">
      <w:pPr>
        <w:rPr>
          <w:rFonts w:ascii="Arial" w:hAnsi="Arial" w:cs="Arial"/>
        </w:rPr>
      </w:pPr>
      <w:r w:rsidRPr="00F55D5A">
        <w:rPr>
          <w:rFonts w:ascii="Arial" w:hAnsi="Arial" w:cs="Arial"/>
        </w:rPr>
        <w:t xml:space="preserve">The explant survival rate (ESR) is used to assess the toxicity of the disinfectant. It is determined by the following </w:t>
      </w:r>
      <w:proofErr w:type="gramStart"/>
      <w:r w:rsidRPr="00F55D5A">
        <w:rPr>
          <w:rFonts w:ascii="Arial" w:hAnsi="Arial" w:cs="Arial"/>
        </w:rPr>
        <w:t>formula :</w:t>
      </w:r>
      <w:proofErr w:type="gramEnd"/>
    </w:p>
    <w:p w14:paraId="5E44341A" w14:textId="77777777" w:rsidR="00C93B80" w:rsidRPr="00F55D5A" w:rsidRDefault="00C93B80" w:rsidP="00C93B80">
      <w:pPr>
        <w:rPr>
          <w:rFonts w:ascii="Arial" w:hAnsi="Arial" w:cs="Arial"/>
        </w:rPr>
      </w:pPr>
      <m:oMathPara>
        <m:oMath>
          <m:r>
            <m:rPr>
              <m:sty m:val="p"/>
            </m:rPr>
            <w:rPr>
              <w:rFonts w:ascii="Cambria Math" w:eastAsia="Calibri" w:hAnsi="Cambria Math" w:cs="Arial"/>
            </w:rPr>
            <m:t>TSE=</m:t>
          </m:r>
          <m:f>
            <m:fPr>
              <m:ctrlPr>
                <w:rPr>
                  <w:rFonts w:ascii="Cambria Math" w:eastAsia="Calibri" w:hAnsi="Cambria Math" w:cs="Arial"/>
                </w:rPr>
              </m:ctrlPr>
            </m:fPr>
            <m:num>
              <m:r>
                <m:rPr>
                  <m:sty m:val="p"/>
                </m:rPr>
                <w:rPr>
                  <w:rFonts w:ascii="Cambria Math" w:eastAsia="Calibri" w:hAnsi="Cambria Math" w:cs="Arial"/>
                </w:rPr>
                <m:t>Number of explants having survived</m:t>
              </m:r>
            </m:num>
            <m:den>
              <m:r>
                <w:rPr>
                  <w:rFonts w:ascii="Cambria Math" w:eastAsia="Calibri" w:hAnsi="Cambria Math" w:cs="Arial"/>
                </w:rPr>
                <m:t>Number of uncontaminated explants</m:t>
              </m:r>
              <m:r>
                <m:rPr>
                  <m:sty m:val="p"/>
                </m:rPr>
                <w:rPr>
                  <w:rFonts w:ascii="Cambria Math" w:eastAsia="Calibri" w:hAnsi="Cambria Math" w:cs="Arial"/>
                </w:rPr>
                <m:t xml:space="preserve"> </m:t>
              </m:r>
            </m:den>
          </m:f>
          <m:r>
            <w:rPr>
              <w:rFonts w:ascii="Cambria Math" w:eastAsia="Calibri" w:hAnsi="Cambria Math" w:cs="Arial"/>
            </w:rPr>
            <m:t xml:space="preserve"> </m:t>
          </m:r>
          <m:r>
            <m:rPr>
              <m:sty m:val="p"/>
            </m:rPr>
            <w:rPr>
              <w:rFonts w:ascii="Cambria Math" w:eastAsia="Calibri" w:hAnsi="Cambria Math" w:cs="Arial"/>
            </w:rPr>
            <m:t>X 100</m:t>
          </m:r>
        </m:oMath>
      </m:oMathPara>
    </w:p>
    <w:p w14:paraId="798FAD2C" w14:textId="77777777" w:rsidR="00C93B80" w:rsidRPr="00F55D5A" w:rsidRDefault="00C93B80" w:rsidP="00C93B80">
      <w:pPr>
        <w:pStyle w:val="ListParagraph"/>
        <w:numPr>
          <w:ilvl w:val="0"/>
          <w:numId w:val="31"/>
        </w:numPr>
        <w:rPr>
          <w:rFonts w:ascii="Arial" w:hAnsi="Arial" w:cs="Arial"/>
          <w:sz w:val="20"/>
          <w:szCs w:val="20"/>
        </w:rPr>
      </w:pPr>
      <w:proofErr w:type="spellStart"/>
      <w:r w:rsidRPr="00F55D5A">
        <w:rPr>
          <w:rFonts w:ascii="Arial" w:hAnsi="Arial" w:cs="Arial"/>
          <w:sz w:val="20"/>
          <w:szCs w:val="20"/>
        </w:rPr>
        <w:t>Average</w:t>
      </w:r>
      <w:proofErr w:type="spellEnd"/>
      <w:r w:rsidRPr="00F55D5A">
        <w:rPr>
          <w:rFonts w:ascii="Arial" w:hAnsi="Arial" w:cs="Arial"/>
          <w:sz w:val="20"/>
          <w:szCs w:val="20"/>
        </w:rPr>
        <w:t xml:space="preserve"> time to </w:t>
      </w:r>
      <w:proofErr w:type="spellStart"/>
      <w:r w:rsidRPr="00F55D5A">
        <w:rPr>
          <w:rFonts w:ascii="Arial" w:hAnsi="Arial" w:cs="Arial"/>
          <w:sz w:val="20"/>
          <w:szCs w:val="20"/>
        </w:rPr>
        <w:t>budding</w:t>
      </w:r>
      <w:proofErr w:type="spellEnd"/>
    </w:p>
    <w:p w14:paraId="17F36820" w14:textId="77777777" w:rsidR="00C93B80" w:rsidRPr="00F55D5A" w:rsidRDefault="00C93B80" w:rsidP="00C93B80">
      <w:pPr>
        <w:rPr>
          <w:rFonts w:ascii="Arial" w:hAnsi="Arial" w:cs="Arial"/>
        </w:rPr>
      </w:pPr>
      <w:r w:rsidRPr="00F55D5A">
        <w:rPr>
          <w:rFonts w:ascii="Arial" w:hAnsi="Arial" w:cs="Arial"/>
        </w:rPr>
        <w:t xml:space="preserve">The average budding time (ABT) is defined as the average time taken to obtain bud break. It is determined by the following </w:t>
      </w:r>
      <w:proofErr w:type="gramStart"/>
      <w:r w:rsidRPr="00F55D5A">
        <w:rPr>
          <w:rFonts w:ascii="Arial" w:hAnsi="Arial" w:cs="Arial"/>
        </w:rPr>
        <w:t>formula :</w:t>
      </w:r>
      <w:proofErr w:type="gramEnd"/>
    </w:p>
    <w:p w14:paraId="6FEE3FE8" w14:textId="77777777" w:rsidR="00C93B80" w:rsidRPr="00F55D5A" w:rsidRDefault="00C93B80" w:rsidP="00C93B80">
      <w:pPr>
        <w:rPr>
          <w:rFonts w:ascii="Arial" w:hAnsi="Arial" w:cs="Arial"/>
        </w:rPr>
      </w:pPr>
      <m:oMathPara>
        <m:oMath>
          <m:r>
            <m:rPr>
              <m:sty m:val="p"/>
            </m:rPr>
            <w:rPr>
              <w:rFonts w:ascii="Cambria Math" w:eastAsia="Calibri" w:hAnsi="Cambria Math" w:cs="Arial"/>
            </w:rPr>
            <m:t>TMB=</m:t>
          </m:r>
          <m:f>
            <m:fPr>
              <m:ctrlPr>
                <w:rPr>
                  <w:rFonts w:ascii="Cambria Math" w:eastAsia="Calibri" w:hAnsi="Cambria Math" w:cs="Arial"/>
                </w:rPr>
              </m:ctrlPr>
            </m:fPr>
            <m:num>
              <m:r>
                <m:rPr>
                  <m:sty m:val="p"/>
                </m:rPr>
                <w:rPr>
                  <w:rFonts w:ascii="Cambria Math" w:eastAsia="Calibri" w:hAnsi="Cambria Math" w:cs="Arial"/>
                </w:rPr>
                <m:t>sum of budding times</m:t>
              </m:r>
            </m:num>
            <m:den>
              <m:r>
                <m:rPr>
                  <m:sty m:val="p"/>
                </m:rPr>
                <w:rPr>
                  <w:rFonts w:ascii="Cambria Math" w:eastAsia="Calibri" w:hAnsi="Cambria Math" w:cs="Arial"/>
                </w:rPr>
                <m:t xml:space="preserve">total number of budded explants </m:t>
              </m:r>
            </m:den>
          </m:f>
        </m:oMath>
      </m:oMathPara>
    </w:p>
    <w:p w14:paraId="22168E89" w14:textId="77777777" w:rsidR="00C93B80" w:rsidRPr="00F55D5A" w:rsidRDefault="00C93B80" w:rsidP="00C93B80">
      <w:pPr>
        <w:pStyle w:val="ListParagraph"/>
        <w:numPr>
          <w:ilvl w:val="0"/>
          <w:numId w:val="31"/>
        </w:numPr>
        <w:rPr>
          <w:rFonts w:ascii="Arial" w:hAnsi="Arial" w:cs="Arial"/>
          <w:b/>
          <w:bCs/>
          <w:sz w:val="20"/>
          <w:szCs w:val="20"/>
        </w:rPr>
      </w:pPr>
      <w:r w:rsidRPr="00F55D5A">
        <w:rPr>
          <w:rFonts w:ascii="Arial" w:hAnsi="Arial" w:cs="Arial"/>
          <w:b/>
          <w:bCs/>
          <w:sz w:val="20"/>
          <w:szCs w:val="20"/>
        </w:rPr>
        <w:t xml:space="preserve">Rate of </w:t>
      </w:r>
      <w:proofErr w:type="spellStart"/>
      <w:r w:rsidRPr="00F55D5A">
        <w:rPr>
          <w:rFonts w:ascii="Arial" w:hAnsi="Arial" w:cs="Arial"/>
          <w:b/>
          <w:bCs/>
          <w:sz w:val="20"/>
          <w:szCs w:val="20"/>
        </w:rPr>
        <w:t>budding</w:t>
      </w:r>
      <w:proofErr w:type="spellEnd"/>
    </w:p>
    <w:p w14:paraId="5666DCEF" w14:textId="77777777" w:rsidR="00C93B80" w:rsidRPr="00F55D5A" w:rsidRDefault="00C93B80" w:rsidP="00C93B80">
      <w:pPr>
        <w:rPr>
          <w:rFonts w:ascii="Arial" w:hAnsi="Arial" w:cs="Arial"/>
        </w:rPr>
      </w:pPr>
      <w:r w:rsidRPr="00F55D5A">
        <w:rPr>
          <w:rFonts w:ascii="Arial" w:hAnsi="Arial" w:cs="Arial"/>
        </w:rPr>
        <w:t xml:space="preserve">The budding rate (BR) was determined after one month of cultivation. It is determined according to the following </w:t>
      </w:r>
      <w:proofErr w:type="gramStart"/>
      <w:r w:rsidRPr="00F55D5A">
        <w:rPr>
          <w:rFonts w:ascii="Arial" w:hAnsi="Arial" w:cs="Arial"/>
        </w:rPr>
        <w:t>formula :</w:t>
      </w:r>
      <w:proofErr w:type="gramEnd"/>
    </w:p>
    <w:p w14:paraId="43369B62" w14:textId="77777777" w:rsidR="00C93B80" w:rsidRPr="00F55D5A" w:rsidRDefault="00C93B80" w:rsidP="00C93B80">
      <w:pPr>
        <w:rPr>
          <w:rFonts w:ascii="Arial" w:hAnsi="Arial" w:cs="Arial"/>
        </w:rPr>
      </w:pPr>
      <m:oMathPara>
        <m:oMath>
          <m:r>
            <m:rPr>
              <m:sty m:val="p"/>
            </m:rPr>
            <w:rPr>
              <w:rFonts w:ascii="Cambria Math" w:eastAsia="Calibri" w:hAnsi="Cambria Math" w:cs="Arial"/>
            </w:rPr>
            <m:t>TB=</m:t>
          </m:r>
          <m:f>
            <m:fPr>
              <m:ctrlPr>
                <w:rPr>
                  <w:rFonts w:ascii="Cambria Math" w:eastAsia="Calibri" w:hAnsi="Cambria Math" w:cs="Arial"/>
                </w:rPr>
              </m:ctrlPr>
            </m:fPr>
            <m:num>
              <m:r>
                <m:rPr>
                  <m:sty m:val="p"/>
                </m:rPr>
                <w:rPr>
                  <w:rFonts w:ascii="Cambria Math" w:eastAsia="Calibri" w:hAnsi="Cambria Math" w:cs="Arial"/>
                </w:rPr>
                <m:t>number of explants that have budded</m:t>
              </m:r>
            </m:num>
            <m:den>
              <m:r>
                <w:rPr>
                  <w:rFonts w:ascii="Cambria Math" w:eastAsia="Calibri" w:hAnsi="Cambria Math" w:cs="Arial"/>
                </w:rPr>
                <m:t>total number of explants planted</m:t>
              </m:r>
              <m:r>
                <m:rPr>
                  <m:sty m:val="p"/>
                </m:rPr>
                <w:rPr>
                  <w:rFonts w:ascii="Cambria Math" w:eastAsia="Calibri" w:hAnsi="Cambria Math" w:cs="Arial"/>
                </w:rPr>
                <m:t xml:space="preserve"> </m:t>
              </m:r>
            </m:den>
          </m:f>
          <m:r>
            <w:rPr>
              <w:rFonts w:ascii="Cambria Math" w:eastAsia="Calibri" w:hAnsi="Cambria Math" w:cs="Arial"/>
            </w:rPr>
            <m:t xml:space="preserve"> </m:t>
          </m:r>
          <m:r>
            <m:rPr>
              <m:sty m:val="p"/>
            </m:rPr>
            <w:rPr>
              <w:rFonts w:ascii="Cambria Math" w:eastAsia="Calibri" w:hAnsi="Cambria Math" w:cs="Arial"/>
            </w:rPr>
            <m:t>X 100</m:t>
          </m:r>
        </m:oMath>
      </m:oMathPara>
    </w:p>
    <w:p w14:paraId="20F3E149" w14:textId="77777777" w:rsidR="00C93B80" w:rsidRPr="00F55D5A" w:rsidRDefault="00C93B80" w:rsidP="00C93B80">
      <w:pPr>
        <w:pStyle w:val="ListParagraph"/>
        <w:numPr>
          <w:ilvl w:val="0"/>
          <w:numId w:val="31"/>
        </w:numPr>
        <w:rPr>
          <w:rFonts w:ascii="Arial" w:hAnsi="Arial" w:cs="Arial"/>
          <w:sz w:val="20"/>
          <w:szCs w:val="20"/>
        </w:rPr>
      </w:pPr>
      <w:proofErr w:type="spellStart"/>
      <w:r w:rsidRPr="00F55D5A">
        <w:rPr>
          <w:rFonts w:ascii="Arial" w:hAnsi="Arial" w:cs="Arial"/>
          <w:sz w:val="20"/>
          <w:szCs w:val="20"/>
        </w:rPr>
        <w:lastRenderedPageBreak/>
        <w:t>Average</w:t>
      </w:r>
      <w:proofErr w:type="spellEnd"/>
      <w:r w:rsidRPr="00F55D5A">
        <w:rPr>
          <w:rFonts w:ascii="Arial" w:hAnsi="Arial" w:cs="Arial"/>
          <w:sz w:val="20"/>
          <w:szCs w:val="20"/>
        </w:rPr>
        <w:t xml:space="preserve"> </w:t>
      </w:r>
      <w:proofErr w:type="spellStart"/>
      <w:r w:rsidRPr="00F55D5A">
        <w:rPr>
          <w:rFonts w:ascii="Arial" w:hAnsi="Arial" w:cs="Arial"/>
          <w:sz w:val="20"/>
          <w:szCs w:val="20"/>
        </w:rPr>
        <w:t>number</w:t>
      </w:r>
      <w:proofErr w:type="spellEnd"/>
      <w:r w:rsidRPr="00F55D5A">
        <w:rPr>
          <w:rFonts w:ascii="Arial" w:hAnsi="Arial" w:cs="Arial"/>
          <w:sz w:val="20"/>
          <w:szCs w:val="20"/>
        </w:rPr>
        <w:t xml:space="preserve"> of shoots per explant (NMPF)</w:t>
      </w:r>
    </w:p>
    <w:p w14:paraId="47166976" w14:textId="77777777" w:rsidR="00C93B80" w:rsidRPr="00F55D5A" w:rsidRDefault="00C93B80" w:rsidP="00C93B80">
      <w:pPr>
        <w:rPr>
          <w:rFonts w:ascii="Arial" w:hAnsi="Arial" w:cs="Arial"/>
        </w:rPr>
      </w:pPr>
      <w:r w:rsidRPr="00F55D5A">
        <w:rPr>
          <w:rFonts w:ascii="Arial" w:hAnsi="Arial" w:cs="Arial"/>
        </w:rPr>
        <w:t xml:space="preserve">The number of buds was counted on each explant depending on the treatment. The number of buds was assessed after eight weeks of cultivation. It was calculated using the following </w:t>
      </w:r>
      <w:proofErr w:type="gramStart"/>
      <w:r w:rsidRPr="00F55D5A">
        <w:rPr>
          <w:rFonts w:ascii="Arial" w:hAnsi="Arial" w:cs="Arial"/>
        </w:rPr>
        <w:t>formula :</w:t>
      </w:r>
      <w:proofErr w:type="gramEnd"/>
    </w:p>
    <w:p w14:paraId="41D8B9B2" w14:textId="77777777" w:rsidR="00C93B80" w:rsidRPr="00F55D5A" w:rsidRDefault="00C93B80" w:rsidP="00C93B80">
      <w:pPr>
        <w:rPr>
          <w:rFonts w:ascii="Arial" w:hAnsi="Arial" w:cs="Arial"/>
        </w:rPr>
      </w:pPr>
      <m:oMathPara>
        <m:oMath>
          <m:r>
            <m:rPr>
              <m:sty m:val="p"/>
            </m:rPr>
            <w:rPr>
              <w:rFonts w:ascii="Cambria Math" w:eastAsia="Calibri" w:hAnsi="Cambria Math" w:cs="Arial"/>
            </w:rPr>
            <m:t>NMPF=</m:t>
          </m:r>
          <m:f>
            <m:fPr>
              <m:ctrlPr>
                <w:rPr>
                  <w:rFonts w:ascii="Cambria Math" w:eastAsia="Calibri" w:hAnsi="Cambria Math" w:cs="Arial"/>
                </w:rPr>
              </m:ctrlPr>
            </m:fPr>
            <m:num>
              <m:r>
                <m:rPr>
                  <m:sty m:val="p"/>
                </m:rPr>
                <w:rPr>
                  <w:rFonts w:ascii="Cambria Math" w:eastAsia="Calibri" w:hAnsi="Cambria Math" w:cs="Arial"/>
                </w:rPr>
                <m:t>number of buds</m:t>
              </m:r>
            </m:num>
            <m:den>
              <m:r>
                <m:rPr>
                  <m:sty m:val="p"/>
                </m:rPr>
                <w:rPr>
                  <w:rFonts w:ascii="Cambria Math" w:eastAsia="Calibri" w:hAnsi="Cambria Math" w:cs="Arial"/>
                </w:rPr>
                <m:t xml:space="preserve">total number of budded explants </m:t>
              </m:r>
            </m:den>
          </m:f>
        </m:oMath>
      </m:oMathPara>
    </w:p>
    <w:p w14:paraId="3258B5BC" w14:textId="77777777" w:rsidR="00C93B80" w:rsidRPr="00F55D5A" w:rsidRDefault="00C93B80" w:rsidP="00C93B80">
      <w:pPr>
        <w:pStyle w:val="ListParagraph"/>
        <w:numPr>
          <w:ilvl w:val="0"/>
          <w:numId w:val="31"/>
        </w:numPr>
        <w:rPr>
          <w:rFonts w:ascii="Arial" w:hAnsi="Arial" w:cs="Arial"/>
          <w:b/>
          <w:bCs/>
          <w:sz w:val="20"/>
          <w:szCs w:val="20"/>
        </w:rPr>
      </w:pPr>
      <w:proofErr w:type="spellStart"/>
      <w:r w:rsidRPr="00F55D5A">
        <w:rPr>
          <w:rFonts w:ascii="Arial" w:hAnsi="Arial" w:cs="Arial"/>
          <w:b/>
          <w:bCs/>
          <w:sz w:val="20"/>
          <w:szCs w:val="20"/>
        </w:rPr>
        <w:t>Average</w:t>
      </w:r>
      <w:proofErr w:type="spellEnd"/>
      <w:r w:rsidRPr="00F55D5A">
        <w:rPr>
          <w:rFonts w:ascii="Arial" w:hAnsi="Arial" w:cs="Arial"/>
          <w:b/>
          <w:bCs/>
          <w:sz w:val="20"/>
          <w:szCs w:val="20"/>
        </w:rPr>
        <w:t xml:space="preserve"> size of </w:t>
      </w:r>
      <w:proofErr w:type="spellStart"/>
      <w:r w:rsidRPr="00F55D5A">
        <w:rPr>
          <w:rFonts w:ascii="Arial" w:hAnsi="Arial" w:cs="Arial"/>
          <w:b/>
          <w:bCs/>
          <w:sz w:val="20"/>
          <w:szCs w:val="20"/>
        </w:rPr>
        <w:t>leafy</w:t>
      </w:r>
      <w:proofErr w:type="spellEnd"/>
      <w:r w:rsidRPr="00F55D5A">
        <w:rPr>
          <w:rFonts w:ascii="Arial" w:hAnsi="Arial" w:cs="Arial"/>
          <w:b/>
          <w:bCs/>
          <w:sz w:val="20"/>
          <w:szCs w:val="20"/>
        </w:rPr>
        <w:t xml:space="preserve"> shoots (TMPF)</w:t>
      </w:r>
    </w:p>
    <w:p w14:paraId="1040BF7F" w14:textId="77777777" w:rsidR="00C93B80" w:rsidRPr="00F55D5A" w:rsidRDefault="00C93B80" w:rsidP="00C93B80">
      <w:pPr>
        <w:rPr>
          <w:rFonts w:ascii="Arial" w:hAnsi="Arial" w:cs="Arial"/>
        </w:rPr>
      </w:pPr>
      <w:r w:rsidRPr="00F55D5A">
        <w:rPr>
          <w:rFonts w:ascii="Arial" w:hAnsi="Arial" w:cs="Arial"/>
        </w:rPr>
        <w:t xml:space="preserve">After eight weeks of cultivation, the size of the buds was measured using a graduated ruler. The average size was calculated using the formula </w:t>
      </w:r>
      <w:proofErr w:type="gramStart"/>
      <w:r w:rsidRPr="00F55D5A">
        <w:rPr>
          <w:rFonts w:ascii="Arial" w:hAnsi="Arial" w:cs="Arial"/>
        </w:rPr>
        <w:t>below :</w:t>
      </w:r>
      <w:proofErr w:type="gramEnd"/>
    </w:p>
    <w:p w14:paraId="1EFF2895" w14:textId="77777777" w:rsidR="00C93B80" w:rsidRPr="00F55D5A" w:rsidRDefault="00C93B80" w:rsidP="00C93B80">
      <w:pPr>
        <w:rPr>
          <w:rFonts w:ascii="Arial" w:hAnsi="Arial" w:cs="Arial"/>
        </w:rPr>
      </w:pPr>
      <m:oMathPara>
        <m:oMath>
          <m:r>
            <m:rPr>
              <m:sty m:val="p"/>
            </m:rPr>
            <w:rPr>
              <w:rFonts w:ascii="Cambria Math" w:eastAsia="Calibri" w:hAnsi="Cambria Math" w:cs="Arial"/>
            </w:rPr>
            <m:t>TMPF =</m:t>
          </m:r>
          <m:f>
            <m:fPr>
              <m:ctrlPr>
                <w:rPr>
                  <w:rFonts w:ascii="Cambria Math" w:eastAsia="Calibri" w:hAnsi="Cambria Math" w:cs="Arial"/>
                </w:rPr>
              </m:ctrlPr>
            </m:fPr>
            <m:num>
              <m:r>
                <m:rPr>
                  <m:sty m:val="p"/>
                </m:rPr>
                <w:rPr>
                  <w:rFonts w:ascii="Cambria Math" w:eastAsia="Calibri" w:hAnsi="Cambria Math" w:cs="Arial"/>
                </w:rPr>
                <m:t>sum of leafy shoot sizes</m:t>
              </m:r>
            </m:num>
            <m:den>
              <m:r>
                <m:rPr>
                  <m:sty m:val="p"/>
                </m:rPr>
                <w:rPr>
                  <w:rFonts w:ascii="Cambria Math" w:eastAsia="Calibri" w:hAnsi="Cambria Math" w:cs="Arial"/>
                </w:rPr>
                <m:t>total number of leafy shoots</m:t>
              </m:r>
            </m:den>
          </m:f>
        </m:oMath>
      </m:oMathPara>
    </w:p>
    <w:p w14:paraId="3DC48D82" w14:textId="77777777" w:rsidR="00C93B80" w:rsidRPr="00F55D5A" w:rsidRDefault="00C93B80" w:rsidP="00C93B80">
      <w:pPr>
        <w:rPr>
          <w:rFonts w:ascii="Arial" w:hAnsi="Arial" w:cs="Arial"/>
        </w:rPr>
      </w:pPr>
    </w:p>
    <w:p w14:paraId="3875829A" w14:textId="77777777" w:rsidR="00C93B80" w:rsidRPr="000861A9" w:rsidRDefault="00C93B80" w:rsidP="00C93B80">
      <w:pPr>
        <w:rPr>
          <w:rFonts w:ascii="Arial" w:hAnsi="Arial" w:cs="Arial"/>
          <w:b/>
          <w:bCs/>
          <w:sz w:val="22"/>
          <w:szCs w:val="22"/>
        </w:rPr>
      </w:pPr>
      <w:r w:rsidRPr="000861A9">
        <w:rPr>
          <w:rFonts w:ascii="Arial" w:hAnsi="Arial" w:cs="Arial"/>
          <w:b/>
          <w:bCs/>
          <w:sz w:val="22"/>
          <w:szCs w:val="22"/>
        </w:rPr>
        <w:t>1.4 Statistical analysis</w:t>
      </w:r>
    </w:p>
    <w:p w14:paraId="0F2027A3" w14:textId="77777777" w:rsidR="00C93B80" w:rsidRPr="00F55D5A" w:rsidRDefault="00C93B80" w:rsidP="00C93B80">
      <w:pPr>
        <w:rPr>
          <w:rFonts w:ascii="Arial" w:hAnsi="Arial" w:cs="Arial"/>
        </w:rPr>
      </w:pPr>
      <w:r w:rsidRPr="00F55D5A">
        <w:rPr>
          <w:rFonts w:ascii="Arial" w:hAnsi="Arial" w:cs="Arial"/>
        </w:rPr>
        <w:t>Analysis of variance (ANOVA) was used to calculate the means of the various variables studied. These averages were classified by the Newman-</w:t>
      </w:r>
      <w:proofErr w:type="spellStart"/>
      <w:r w:rsidRPr="00F55D5A">
        <w:rPr>
          <w:rFonts w:ascii="Arial" w:hAnsi="Arial" w:cs="Arial"/>
        </w:rPr>
        <w:t>Keuls</w:t>
      </w:r>
      <w:proofErr w:type="spellEnd"/>
      <w:r w:rsidRPr="00F55D5A">
        <w:rPr>
          <w:rFonts w:ascii="Arial" w:hAnsi="Arial" w:cs="Arial"/>
        </w:rPr>
        <w:t xml:space="preserve"> test using STATISTICA 7.0 software at the 5% threshold.</w:t>
      </w:r>
    </w:p>
    <w:p w14:paraId="5F9D5BF3" w14:textId="77777777" w:rsidR="00790ADA" w:rsidRPr="00FB3A86" w:rsidRDefault="00790ADA" w:rsidP="00441B6F">
      <w:pPr>
        <w:pStyle w:val="Body"/>
        <w:spacing w:after="0"/>
        <w:rPr>
          <w:rFonts w:ascii="Arial" w:hAnsi="Arial" w:cs="Arial"/>
        </w:rPr>
      </w:pPr>
    </w:p>
    <w:p w14:paraId="32DD5AE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0F56A1E" w14:textId="77777777" w:rsidR="00790ADA" w:rsidRPr="00FB3A86" w:rsidRDefault="00790ADA" w:rsidP="00441B6F">
      <w:pPr>
        <w:pStyle w:val="Head1"/>
        <w:spacing w:after="0"/>
        <w:jc w:val="both"/>
        <w:rPr>
          <w:rFonts w:ascii="Arial" w:hAnsi="Arial" w:cs="Arial"/>
        </w:rPr>
      </w:pPr>
    </w:p>
    <w:p w14:paraId="11F4FA10" w14:textId="77777777" w:rsidR="000861A9" w:rsidRPr="000861A9" w:rsidRDefault="009450CE" w:rsidP="000861A9">
      <w:pPr>
        <w:rPr>
          <w:rFonts w:ascii="Arial" w:hAnsi="Arial" w:cs="Arial"/>
          <w:b/>
          <w:bCs/>
          <w:sz w:val="22"/>
          <w:szCs w:val="22"/>
        </w:rPr>
      </w:pPr>
      <w:r>
        <w:rPr>
          <w:rFonts w:ascii="Arial" w:hAnsi="Arial" w:cs="Arial"/>
          <w:b/>
          <w:bCs/>
          <w:sz w:val="22"/>
          <w:szCs w:val="22"/>
        </w:rPr>
        <w:t>3</w:t>
      </w:r>
      <w:r w:rsidR="000861A9" w:rsidRPr="000861A9">
        <w:rPr>
          <w:rFonts w:ascii="Arial" w:hAnsi="Arial" w:cs="Arial"/>
          <w:b/>
          <w:bCs/>
          <w:sz w:val="22"/>
          <w:szCs w:val="22"/>
        </w:rPr>
        <w:t>.1 Effect of disinfection technique on contamination and survival of explants</w:t>
      </w:r>
    </w:p>
    <w:p w14:paraId="7E29E058" w14:textId="77777777" w:rsidR="000861A9" w:rsidRPr="000861A9" w:rsidRDefault="000861A9" w:rsidP="000861A9">
      <w:pPr>
        <w:rPr>
          <w:rFonts w:ascii="Arial" w:hAnsi="Arial" w:cs="Arial"/>
        </w:rPr>
      </w:pPr>
      <w:r w:rsidRPr="000861A9">
        <w:rPr>
          <w:rFonts w:ascii="Arial" w:hAnsi="Arial" w:cs="Arial"/>
        </w:rPr>
        <w:t xml:space="preserve">The results on the effect of disinfection techniques are shown in Table I. Analysis of the results in this table showed a highly significant effect of disinfection techniques on the contamination rate (P &lt; 0.001). In fact, this contamination rate is lower (22.97%) with double disinfection in the presence of fungicide. The highest contamination rates were 83.75% and 90% respectively with calcium hypochlorite and mercury chloride, and double disinfection with </w:t>
      </w:r>
      <w:proofErr w:type="spellStart"/>
      <w:r w:rsidRPr="000861A9">
        <w:rPr>
          <w:rFonts w:ascii="Arial" w:hAnsi="Arial" w:cs="Arial"/>
        </w:rPr>
        <w:t>hypochlorites</w:t>
      </w:r>
      <w:proofErr w:type="spellEnd"/>
      <w:r w:rsidRPr="000861A9">
        <w:rPr>
          <w:rFonts w:ascii="Arial" w:hAnsi="Arial" w:cs="Arial"/>
        </w:rPr>
        <w:t>.</w:t>
      </w:r>
    </w:p>
    <w:p w14:paraId="27909A70" w14:textId="77777777" w:rsidR="000861A9" w:rsidRPr="000861A9" w:rsidRDefault="000861A9" w:rsidP="000861A9">
      <w:pPr>
        <w:rPr>
          <w:rFonts w:ascii="Arial" w:hAnsi="Arial" w:cs="Arial"/>
        </w:rPr>
      </w:pPr>
      <w:r w:rsidRPr="000861A9">
        <w:rPr>
          <w:rFonts w:ascii="Arial" w:hAnsi="Arial" w:cs="Arial"/>
        </w:rPr>
        <w:t xml:space="preserve">Analysis of this table showed that disinfection techniques had a very high significant influence (P &lt;0.001) on teak explant necrosis. Double disinfection in the presence of fungicide induced a low rate of necrosis (31.58%) in teak explants in vivo. In contrast, the highest rates of necrosis (73.75% and 75.83%) of explants were obtained with double disinfection of </w:t>
      </w:r>
      <w:proofErr w:type="spellStart"/>
      <w:r w:rsidRPr="000861A9">
        <w:rPr>
          <w:rFonts w:ascii="Arial" w:hAnsi="Arial" w:cs="Arial"/>
        </w:rPr>
        <w:t>hypochlorites</w:t>
      </w:r>
      <w:proofErr w:type="spellEnd"/>
      <w:r w:rsidRPr="000861A9">
        <w:rPr>
          <w:rFonts w:ascii="Arial" w:hAnsi="Arial" w:cs="Arial"/>
        </w:rPr>
        <w:t xml:space="preserve"> and calcium hypochlorite and mercury chloride. </w:t>
      </w:r>
    </w:p>
    <w:p w14:paraId="718187F0" w14:textId="77777777" w:rsidR="000861A9" w:rsidRPr="000861A9" w:rsidRDefault="000861A9" w:rsidP="000861A9">
      <w:pPr>
        <w:rPr>
          <w:rFonts w:ascii="Arial" w:hAnsi="Arial" w:cs="Arial"/>
        </w:rPr>
      </w:pPr>
      <w:r w:rsidRPr="000861A9">
        <w:rPr>
          <w:rFonts w:ascii="Arial" w:hAnsi="Arial" w:cs="Arial"/>
        </w:rPr>
        <w:t xml:space="preserve">The survival rate of apex and nodal segment explants was assessed after one month of culture. The rate was recorded in Table I. Analysis of the results in this table showed a highly significant effect of disinfection techniques on explant survival (P&lt;0.001). The highest survival rate (68.42%) of explants was observed with double disinfection in the presence of fungicide. On the other hand, the lowest survival rate (26.25%) of explants was obtained with double disinfection with </w:t>
      </w:r>
      <w:proofErr w:type="spellStart"/>
      <w:r w:rsidRPr="000861A9">
        <w:rPr>
          <w:rFonts w:ascii="Arial" w:hAnsi="Arial" w:cs="Arial"/>
        </w:rPr>
        <w:t>hypochlorites</w:t>
      </w:r>
      <w:proofErr w:type="spellEnd"/>
      <w:r w:rsidRPr="000861A9">
        <w:rPr>
          <w:rFonts w:ascii="Arial" w:hAnsi="Arial" w:cs="Arial"/>
        </w:rPr>
        <w:t xml:space="preserve">. </w:t>
      </w:r>
    </w:p>
    <w:p w14:paraId="1148E672" w14:textId="77777777" w:rsidR="000861A9" w:rsidRDefault="000861A9" w:rsidP="000861A9">
      <w:pPr>
        <w:rPr>
          <w:rFonts w:ascii="Arial" w:hAnsi="Arial" w:cs="Arial"/>
        </w:rPr>
      </w:pPr>
      <w:r w:rsidRPr="000861A9">
        <w:rPr>
          <w:rFonts w:ascii="Arial" w:hAnsi="Arial" w:cs="Arial"/>
        </w:rPr>
        <w:t>Furthermore, taking into account parameters such as the rate of contamination and the rate of follow-up of explants, double disinfection in the presence of a fungicide was designated for effective disinfection of teak explants taken from seedlings in the nursery.</w:t>
      </w:r>
    </w:p>
    <w:p w14:paraId="34BD5864" w14:textId="77777777" w:rsidR="000861A9" w:rsidRPr="000861A9" w:rsidRDefault="000861A9" w:rsidP="000861A9">
      <w:pPr>
        <w:rPr>
          <w:rFonts w:ascii="Arial" w:hAnsi="Arial" w:cs="Arial"/>
        </w:rPr>
      </w:pPr>
    </w:p>
    <w:p w14:paraId="5EF4B7E9" w14:textId="77777777" w:rsidR="000861A9" w:rsidRPr="000861A9" w:rsidRDefault="000861A9" w:rsidP="000861A9">
      <w:pPr>
        <w:rPr>
          <w:rFonts w:ascii="Arial" w:hAnsi="Arial" w:cs="Arial"/>
        </w:rPr>
      </w:pPr>
      <w:r w:rsidRPr="000861A9">
        <w:rPr>
          <w:rFonts w:ascii="Arial" w:hAnsi="Arial" w:cs="Arial"/>
        </w:rPr>
        <w:t>Table I: Values for different disinfection techniques</w:t>
      </w:r>
    </w:p>
    <w:tbl>
      <w:tblPr>
        <w:tblW w:w="9443" w:type="dxa"/>
        <w:tblBorders>
          <w:top w:val="single" w:sz="4" w:space="0" w:color="7F7F7F" w:themeColor="text1" w:themeTint="80"/>
          <w:bottom w:val="single" w:sz="4" w:space="0" w:color="7F7F7F" w:themeColor="text1" w:themeTint="80"/>
        </w:tblBorders>
        <w:tblLook w:val="04A0" w:firstRow="1" w:lastRow="0" w:firstColumn="1" w:lastColumn="0" w:noHBand="0" w:noVBand="1"/>
      </w:tblPr>
      <w:tblGrid>
        <w:gridCol w:w="2845"/>
        <w:gridCol w:w="2549"/>
        <w:gridCol w:w="1796"/>
        <w:gridCol w:w="2253"/>
      </w:tblGrid>
      <w:tr w:rsidR="000861A9" w:rsidRPr="000861A9" w14:paraId="12F4BDC6" w14:textId="77777777" w:rsidTr="009450CE">
        <w:trPr>
          <w:trHeight w:val="297"/>
        </w:trPr>
        <w:tc>
          <w:tcPr>
            <w:tcW w:w="2845" w:type="dxa"/>
            <w:tcBorders>
              <w:top w:val="single" w:sz="4" w:space="0" w:color="7F7F7F" w:themeColor="text1" w:themeTint="80"/>
              <w:left w:val="nil"/>
              <w:bottom w:val="single" w:sz="4" w:space="0" w:color="7F7F7F" w:themeColor="text1" w:themeTint="80"/>
              <w:right w:val="nil"/>
            </w:tcBorders>
            <w:hideMark/>
          </w:tcPr>
          <w:p w14:paraId="6D405FB3" w14:textId="77777777" w:rsidR="000861A9" w:rsidRPr="000861A9" w:rsidRDefault="000861A9" w:rsidP="009450CE">
            <w:pPr>
              <w:suppressAutoHyphens/>
              <w:autoSpaceDN w:val="0"/>
              <w:rPr>
                <w:rFonts w:ascii="Arial" w:eastAsia="Calibri" w:hAnsi="Arial" w:cs="Arial"/>
              </w:rPr>
            </w:pPr>
            <w:r w:rsidRPr="000861A9">
              <w:rPr>
                <w:rFonts w:ascii="Arial" w:eastAsia="Calibri" w:hAnsi="Arial" w:cs="Arial"/>
              </w:rPr>
              <w:t>Disinfecting agents</w:t>
            </w:r>
          </w:p>
        </w:tc>
        <w:tc>
          <w:tcPr>
            <w:tcW w:w="2549" w:type="dxa"/>
            <w:tcBorders>
              <w:top w:val="single" w:sz="4" w:space="0" w:color="7F7F7F" w:themeColor="text1" w:themeTint="80"/>
              <w:left w:val="nil"/>
              <w:bottom w:val="single" w:sz="4" w:space="0" w:color="7F7F7F" w:themeColor="text1" w:themeTint="80"/>
              <w:right w:val="nil"/>
            </w:tcBorders>
            <w:hideMark/>
          </w:tcPr>
          <w:p w14:paraId="59A4521B" w14:textId="77777777" w:rsidR="000861A9" w:rsidRPr="000861A9" w:rsidRDefault="000861A9" w:rsidP="009450CE">
            <w:pPr>
              <w:suppressAutoHyphens/>
              <w:autoSpaceDN w:val="0"/>
              <w:rPr>
                <w:rFonts w:ascii="Arial" w:eastAsia="Calibri" w:hAnsi="Arial" w:cs="Arial"/>
              </w:rPr>
            </w:pPr>
            <w:r w:rsidRPr="000861A9">
              <w:rPr>
                <w:rFonts w:ascii="Arial" w:eastAsia="Calibri" w:hAnsi="Arial" w:cs="Arial"/>
              </w:rPr>
              <w:t>Contamination rate (%)</w:t>
            </w:r>
          </w:p>
        </w:tc>
        <w:tc>
          <w:tcPr>
            <w:tcW w:w="1796" w:type="dxa"/>
            <w:tcBorders>
              <w:top w:val="single" w:sz="4" w:space="0" w:color="7F7F7F" w:themeColor="text1" w:themeTint="80"/>
              <w:left w:val="nil"/>
              <w:bottom w:val="single" w:sz="4" w:space="0" w:color="7F7F7F" w:themeColor="text1" w:themeTint="80"/>
              <w:right w:val="nil"/>
            </w:tcBorders>
          </w:tcPr>
          <w:p w14:paraId="0FEECE39" w14:textId="77777777" w:rsidR="000861A9" w:rsidRPr="000861A9" w:rsidRDefault="000861A9" w:rsidP="009450CE">
            <w:pPr>
              <w:suppressAutoHyphens/>
              <w:autoSpaceDN w:val="0"/>
              <w:rPr>
                <w:rFonts w:ascii="Arial" w:eastAsia="Calibri" w:hAnsi="Arial" w:cs="Arial"/>
                <w:b/>
                <w:bCs/>
              </w:rPr>
            </w:pPr>
            <w:r w:rsidRPr="000861A9">
              <w:rPr>
                <w:rFonts w:ascii="Arial" w:eastAsia="Calibri" w:hAnsi="Arial" w:cs="Arial"/>
                <w:color w:val="000000"/>
              </w:rPr>
              <w:t xml:space="preserve">Necrosis rates </w:t>
            </w:r>
            <w:r w:rsidRPr="000861A9">
              <w:rPr>
                <w:rFonts w:ascii="Arial" w:eastAsia="Calibri" w:hAnsi="Arial" w:cs="Arial"/>
              </w:rPr>
              <w:t>(%)</w:t>
            </w:r>
          </w:p>
          <w:p w14:paraId="576A1036" w14:textId="77777777" w:rsidR="000861A9" w:rsidRPr="000861A9" w:rsidRDefault="000861A9" w:rsidP="009450CE">
            <w:pPr>
              <w:suppressAutoHyphens/>
              <w:autoSpaceDN w:val="0"/>
              <w:rPr>
                <w:rFonts w:ascii="Arial" w:eastAsia="Calibri" w:hAnsi="Arial" w:cs="Arial"/>
              </w:rPr>
            </w:pPr>
          </w:p>
        </w:tc>
        <w:tc>
          <w:tcPr>
            <w:tcW w:w="2253" w:type="dxa"/>
            <w:tcBorders>
              <w:top w:val="single" w:sz="4" w:space="0" w:color="7F7F7F" w:themeColor="text1" w:themeTint="80"/>
              <w:left w:val="nil"/>
              <w:bottom w:val="single" w:sz="4" w:space="0" w:color="7F7F7F" w:themeColor="text1" w:themeTint="80"/>
              <w:right w:val="nil"/>
            </w:tcBorders>
          </w:tcPr>
          <w:p w14:paraId="1AFCC79A" w14:textId="77777777" w:rsidR="000861A9" w:rsidRPr="000861A9" w:rsidRDefault="000861A9" w:rsidP="009450CE">
            <w:pPr>
              <w:suppressAutoHyphens/>
              <w:autoSpaceDN w:val="0"/>
              <w:rPr>
                <w:rFonts w:ascii="Arial" w:eastAsia="Calibri" w:hAnsi="Arial" w:cs="Arial"/>
                <w:b/>
                <w:bCs/>
              </w:rPr>
            </w:pPr>
            <w:r w:rsidRPr="000861A9">
              <w:rPr>
                <w:rFonts w:ascii="Arial" w:eastAsia="Calibri" w:hAnsi="Arial" w:cs="Arial"/>
                <w:color w:val="000000"/>
              </w:rPr>
              <w:t xml:space="preserve">Rate followed </w:t>
            </w:r>
            <w:r w:rsidRPr="000861A9">
              <w:rPr>
                <w:rFonts w:ascii="Arial" w:eastAsia="Calibri" w:hAnsi="Arial" w:cs="Arial"/>
              </w:rPr>
              <w:t>(%)</w:t>
            </w:r>
          </w:p>
          <w:p w14:paraId="6E822C92" w14:textId="77777777" w:rsidR="000861A9" w:rsidRPr="000861A9" w:rsidRDefault="000861A9" w:rsidP="009450CE">
            <w:pPr>
              <w:suppressAutoHyphens/>
              <w:autoSpaceDN w:val="0"/>
              <w:rPr>
                <w:rFonts w:ascii="Arial" w:eastAsia="Calibri" w:hAnsi="Arial" w:cs="Arial"/>
              </w:rPr>
            </w:pPr>
          </w:p>
        </w:tc>
      </w:tr>
      <w:tr w:rsidR="000861A9" w:rsidRPr="000861A9" w14:paraId="737BE660" w14:textId="77777777" w:rsidTr="004A797E">
        <w:trPr>
          <w:trHeight w:val="1180"/>
        </w:trPr>
        <w:tc>
          <w:tcPr>
            <w:tcW w:w="2845" w:type="dxa"/>
            <w:tcBorders>
              <w:top w:val="single" w:sz="4" w:space="0" w:color="7F7F7F" w:themeColor="text1" w:themeTint="80"/>
              <w:left w:val="nil"/>
              <w:bottom w:val="single" w:sz="4" w:space="0" w:color="7F7F7F" w:themeColor="text1" w:themeTint="80"/>
              <w:right w:val="nil"/>
            </w:tcBorders>
            <w:hideMark/>
          </w:tcPr>
          <w:p w14:paraId="52211B96" w14:textId="77777777" w:rsidR="000861A9" w:rsidRPr="000861A9" w:rsidRDefault="000861A9" w:rsidP="009450CE">
            <w:pPr>
              <w:suppressAutoHyphens/>
              <w:autoSpaceDN w:val="0"/>
              <w:rPr>
                <w:rFonts w:ascii="Arial" w:eastAsia="Calibri" w:hAnsi="Arial" w:cs="Arial"/>
                <w:color w:val="000000"/>
                <w:lang w:val="en-GB"/>
              </w:rPr>
            </w:pPr>
            <w:r w:rsidRPr="000861A9">
              <w:rPr>
                <w:rFonts w:ascii="Arial" w:eastAsia="Calibri" w:hAnsi="Arial" w:cs="Arial"/>
                <w:color w:val="000000"/>
                <w:lang w:val="en-GB"/>
              </w:rPr>
              <w:t xml:space="preserve">Hypo </w:t>
            </w:r>
            <w:proofErr w:type="spellStart"/>
            <w:r w:rsidRPr="000861A9">
              <w:rPr>
                <w:rFonts w:ascii="Arial" w:eastAsia="Calibri" w:hAnsi="Arial" w:cs="Arial"/>
                <w:color w:val="000000"/>
                <w:lang w:val="en-GB"/>
              </w:rPr>
              <w:t>ca+hypo</w:t>
            </w:r>
            <w:proofErr w:type="spellEnd"/>
            <w:r w:rsidRPr="000861A9">
              <w:rPr>
                <w:rFonts w:ascii="Arial" w:eastAsia="Calibri" w:hAnsi="Arial" w:cs="Arial"/>
                <w:color w:val="000000"/>
                <w:lang w:val="en-GB"/>
              </w:rPr>
              <w:t xml:space="preserve"> sodium</w:t>
            </w:r>
          </w:p>
          <w:p w14:paraId="5B2C2E58" w14:textId="77777777" w:rsidR="000861A9" w:rsidRPr="000861A9" w:rsidRDefault="000861A9" w:rsidP="009450CE">
            <w:pPr>
              <w:suppressAutoHyphens/>
              <w:autoSpaceDN w:val="0"/>
              <w:rPr>
                <w:rFonts w:ascii="Arial" w:eastAsia="Calibri" w:hAnsi="Arial" w:cs="Arial"/>
                <w:color w:val="000000"/>
                <w:lang w:val="en-GB"/>
              </w:rPr>
            </w:pPr>
            <w:r w:rsidRPr="000861A9">
              <w:rPr>
                <w:rFonts w:ascii="Arial" w:eastAsia="Calibri" w:hAnsi="Arial" w:cs="Arial"/>
                <w:color w:val="000000"/>
                <w:lang w:val="en-GB"/>
              </w:rPr>
              <w:t xml:space="preserve">hypo </w:t>
            </w:r>
            <w:proofErr w:type="spellStart"/>
            <w:r w:rsidRPr="000861A9">
              <w:rPr>
                <w:rFonts w:ascii="Arial" w:eastAsia="Calibri" w:hAnsi="Arial" w:cs="Arial"/>
                <w:color w:val="000000"/>
                <w:lang w:val="en-GB"/>
              </w:rPr>
              <w:t>ca+mer</w:t>
            </w:r>
            <w:proofErr w:type="spellEnd"/>
          </w:p>
          <w:p w14:paraId="48FAD28A"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 xml:space="preserve">hypo </w:t>
            </w:r>
            <w:proofErr w:type="spellStart"/>
            <w:r w:rsidRPr="000861A9">
              <w:rPr>
                <w:rFonts w:ascii="Arial" w:eastAsia="Calibri" w:hAnsi="Arial" w:cs="Arial"/>
                <w:color w:val="000000"/>
              </w:rPr>
              <w:t>sodium+mer</w:t>
            </w:r>
            <w:proofErr w:type="spellEnd"/>
          </w:p>
          <w:p w14:paraId="596BD98A" w14:textId="77777777" w:rsidR="000861A9" w:rsidRPr="000861A9" w:rsidRDefault="000861A9" w:rsidP="009450CE">
            <w:pPr>
              <w:suppressAutoHyphens/>
              <w:autoSpaceDN w:val="0"/>
              <w:rPr>
                <w:rFonts w:ascii="Arial" w:eastAsia="Calibri" w:hAnsi="Arial" w:cs="Arial"/>
                <w:color w:val="000000"/>
              </w:rPr>
            </w:pPr>
            <w:proofErr w:type="spellStart"/>
            <w:r w:rsidRPr="000861A9">
              <w:rPr>
                <w:rFonts w:ascii="Arial" w:eastAsia="Calibri" w:hAnsi="Arial" w:cs="Arial"/>
                <w:color w:val="000000"/>
              </w:rPr>
              <w:t>fg+mer+hypo</w:t>
            </w:r>
            <w:proofErr w:type="spellEnd"/>
            <w:r w:rsidRPr="000861A9">
              <w:rPr>
                <w:rFonts w:ascii="Arial" w:eastAsia="Calibri" w:hAnsi="Arial" w:cs="Arial"/>
                <w:color w:val="000000"/>
              </w:rPr>
              <w:t xml:space="preserve"> </w:t>
            </w:r>
            <w:proofErr w:type="spellStart"/>
            <w:r w:rsidRPr="000861A9">
              <w:rPr>
                <w:rFonts w:ascii="Arial" w:eastAsia="Calibri" w:hAnsi="Arial" w:cs="Arial"/>
                <w:color w:val="000000"/>
              </w:rPr>
              <w:t>cal</w:t>
            </w:r>
            <w:proofErr w:type="spellEnd"/>
          </w:p>
          <w:p w14:paraId="19856212"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P</w:t>
            </w:r>
          </w:p>
        </w:tc>
        <w:tc>
          <w:tcPr>
            <w:tcW w:w="2549" w:type="dxa"/>
            <w:tcBorders>
              <w:top w:val="single" w:sz="4" w:space="0" w:color="7F7F7F" w:themeColor="text1" w:themeTint="80"/>
              <w:left w:val="nil"/>
              <w:bottom w:val="single" w:sz="4" w:space="0" w:color="7F7F7F" w:themeColor="text1" w:themeTint="80"/>
              <w:right w:val="nil"/>
            </w:tcBorders>
            <w:hideMark/>
          </w:tcPr>
          <w:p w14:paraId="2D100556"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90±31,43</w:t>
            </w:r>
            <w:r w:rsidRPr="000861A9">
              <w:rPr>
                <w:rFonts w:ascii="Arial" w:eastAsia="Calibri" w:hAnsi="Arial" w:cs="Arial"/>
                <w:color w:val="000000"/>
                <w:vertAlign w:val="superscript"/>
              </w:rPr>
              <w:t>a</w:t>
            </w:r>
          </w:p>
          <w:p w14:paraId="5AA981F1"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83,75±22,841</w:t>
            </w:r>
            <w:r w:rsidRPr="000861A9">
              <w:rPr>
                <w:rFonts w:ascii="Arial" w:eastAsia="Calibri" w:hAnsi="Arial" w:cs="Arial"/>
                <w:color w:val="000000"/>
                <w:vertAlign w:val="superscript"/>
              </w:rPr>
              <w:t>a</w:t>
            </w:r>
          </w:p>
          <w:p w14:paraId="33EAE241"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26,22±4,11</w:t>
            </w:r>
            <w:r w:rsidRPr="000861A9">
              <w:rPr>
                <w:rFonts w:ascii="Arial" w:eastAsia="Calibri" w:hAnsi="Arial" w:cs="Arial"/>
                <w:color w:val="000000"/>
                <w:vertAlign w:val="superscript"/>
              </w:rPr>
              <w:t>b</w:t>
            </w:r>
          </w:p>
          <w:p w14:paraId="54F69A13"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22,97±4,08</w:t>
            </w:r>
            <w:r w:rsidRPr="000861A9">
              <w:rPr>
                <w:rFonts w:ascii="Arial" w:eastAsia="Calibri" w:hAnsi="Arial" w:cs="Arial"/>
                <w:color w:val="000000"/>
                <w:vertAlign w:val="superscript"/>
              </w:rPr>
              <w:t>b</w:t>
            </w:r>
          </w:p>
          <w:p w14:paraId="1381A92A"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0,0000124</w:t>
            </w:r>
          </w:p>
        </w:tc>
        <w:tc>
          <w:tcPr>
            <w:tcW w:w="1796" w:type="dxa"/>
            <w:tcBorders>
              <w:top w:val="single" w:sz="4" w:space="0" w:color="7F7F7F" w:themeColor="text1" w:themeTint="80"/>
              <w:left w:val="nil"/>
              <w:bottom w:val="single" w:sz="4" w:space="0" w:color="7F7F7F" w:themeColor="text1" w:themeTint="80"/>
              <w:right w:val="nil"/>
            </w:tcBorders>
            <w:hideMark/>
          </w:tcPr>
          <w:p w14:paraId="70437710"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73,75±19,09</w:t>
            </w:r>
            <w:r w:rsidRPr="000861A9">
              <w:rPr>
                <w:rFonts w:ascii="Arial" w:eastAsia="Calibri" w:hAnsi="Arial" w:cs="Arial"/>
                <w:color w:val="000000"/>
                <w:vertAlign w:val="superscript"/>
              </w:rPr>
              <w:t>a</w:t>
            </w:r>
          </w:p>
          <w:p w14:paraId="673B939A"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75,83±21,12</w:t>
            </w:r>
            <w:r w:rsidRPr="000861A9">
              <w:rPr>
                <w:rFonts w:ascii="Arial" w:eastAsia="Calibri" w:hAnsi="Arial" w:cs="Arial"/>
                <w:color w:val="000000"/>
                <w:vertAlign w:val="superscript"/>
              </w:rPr>
              <w:t>a</w:t>
            </w:r>
          </w:p>
          <w:p w14:paraId="739A5F45"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67,92±10,04</w:t>
            </w:r>
            <w:r w:rsidRPr="000861A9">
              <w:rPr>
                <w:rFonts w:ascii="Arial" w:eastAsia="Calibri" w:hAnsi="Arial" w:cs="Arial"/>
                <w:color w:val="000000"/>
                <w:vertAlign w:val="superscript"/>
              </w:rPr>
              <w:t>a</w:t>
            </w:r>
          </w:p>
          <w:p w14:paraId="0445E297"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31,58±2,63</w:t>
            </w:r>
            <w:r w:rsidRPr="000861A9">
              <w:rPr>
                <w:rFonts w:ascii="Arial" w:eastAsia="Calibri" w:hAnsi="Arial" w:cs="Arial"/>
                <w:color w:val="000000"/>
                <w:vertAlign w:val="superscript"/>
              </w:rPr>
              <w:t>b</w:t>
            </w:r>
          </w:p>
          <w:p w14:paraId="08126C89" w14:textId="77777777" w:rsidR="000861A9" w:rsidRPr="000861A9" w:rsidRDefault="000861A9" w:rsidP="009450CE">
            <w:pPr>
              <w:suppressAutoHyphens/>
              <w:autoSpaceDN w:val="0"/>
              <w:rPr>
                <w:rFonts w:ascii="Arial" w:eastAsia="Calibri" w:hAnsi="Arial" w:cs="Arial"/>
              </w:rPr>
            </w:pPr>
            <w:r w:rsidRPr="000861A9">
              <w:rPr>
                <w:rFonts w:ascii="Arial" w:eastAsia="Calibri" w:hAnsi="Arial" w:cs="Arial"/>
                <w:color w:val="000000"/>
              </w:rPr>
              <w:t>0.000251</w:t>
            </w:r>
          </w:p>
        </w:tc>
        <w:tc>
          <w:tcPr>
            <w:tcW w:w="2253" w:type="dxa"/>
            <w:tcBorders>
              <w:top w:val="single" w:sz="4" w:space="0" w:color="7F7F7F" w:themeColor="text1" w:themeTint="80"/>
              <w:left w:val="nil"/>
              <w:bottom w:val="single" w:sz="4" w:space="0" w:color="7F7F7F" w:themeColor="text1" w:themeTint="80"/>
              <w:right w:val="nil"/>
            </w:tcBorders>
            <w:hideMark/>
          </w:tcPr>
          <w:p w14:paraId="45DA87A8"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26,25±2,63</w:t>
            </w:r>
            <w:r w:rsidRPr="000861A9">
              <w:rPr>
                <w:rFonts w:ascii="Arial" w:eastAsia="Calibri" w:hAnsi="Arial" w:cs="Arial"/>
                <w:color w:val="000000"/>
                <w:vertAlign w:val="superscript"/>
              </w:rPr>
              <w:t>b</w:t>
            </w:r>
          </w:p>
          <w:p w14:paraId="6B93013C"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29,17±4,59</w:t>
            </w:r>
            <w:r w:rsidRPr="000861A9">
              <w:rPr>
                <w:rFonts w:ascii="Arial" w:eastAsia="Calibri" w:hAnsi="Arial" w:cs="Arial"/>
                <w:color w:val="000000"/>
                <w:vertAlign w:val="superscript"/>
              </w:rPr>
              <w:t>b</w:t>
            </w:r>
          </w:p>
          <w:p w14:paraId="01A34666"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33,08±19,09</w:t>
            </w:r>
            <w:r w:rsidRPr="000861A9">
              <w:rPr>
                <w:rFonts w:ascii="Arial" w:eastAsia="Calibri" w:hAnsi="Arial" w:cs="Arial"/>
                <w:color w:val="000000"/>
                <w:vertAlign w:val="superscript"/>
              </w:rPr>
              <w:t>b</w:t>
            </w:r>
          </w:p>
          <w:p w14:paraId="6FD0643C" w14:textId="77777777" w:rsidR="000861A9" w:rsidRPr="000861A9" w:rsidRDefault="000861A9" w:rsidP="009450CE">
            <w:pPr>
              <w:suppressAutoHyphens/>
              <w:autoSpaceDN w:val="0"/>
              <w:rPr>
                <w:rFonts w:ascii="Arial" w:eastAsia="Calibri" w:hAnsi="Arial" w:cs="Arial"/>
                <w:color w:val="000000"/>
              </w:rPr>
            </w:pPr>
            <w:r w:rsidRPr="000861A9">
              <w:rPr>
                <w:rFonts w:ascii="Arial" w:eastAsia="Calibri" w:hAnsi="Arial" w:cs="Arial"/>
                <w:color w:val="000000"/>
              </w:rPr>
              <w:t>68,42±19,47</w:t>
            </w:r>
            <w:r w:rsidRPr="000861A9">
              <w:rPr>
                <w:rFonts w:ascii="Arial" w:eastAsia="Calibri" w:hAnsi="Arial" w:cs="Arial"/>
                <w:color w:val="000000"/>
                <w:vertAlign w:val="superscript"/>
              </w:rPr>
              <w:t>a</w:t>
            </w:r>
          </w:p>
          <w:p w14:paraId="28A23FF2" w14:textId="77777777" w:rsidR="000861A9" w:rsidRPr="000861A9" w:rsidRDefault="000861A9" w:rsidP="009450CE">
            <w:pPr>
              <w:suppressAutoHyphens/>
              <w:autoSpaceDN w:val="0"/>
              <w:rPr>
                <w:rFonts w:ascii="Arial" w:eastAsia="Calibri" w:hAnsi="Arial" w:cs="Arial"/>
              </w:rPr>
            </w:pPr>
            <w:r w:rsidRPr="000861A9">
              <w:rPr>
                <w:rFonts w:ascii="Arial" w:eastAsia="Calibri" w:hAnsi="Arial" w:cs="Arial"/>
                <w:color w:val="000000"/>
              </w:rPr>
              <w:t>0.000187</w:t>
            </w:r>
          </w:p>
        </w:tc>
      </w:tr>
    </w:tbl>
    <w:p w14:paraId="7341EB4E" w14:textId="77777777" w:rsidR="000861A9" w:rsidRDefault="000861A9" w:rsidP="000861A9">
      <w:pPr>
        <w:rPr>
          <w:rFonts w:ascii="Arial" w:hAnsi="Arial" w:cs="Arial"/>
          <w:sz w:val="18"/>
          <w:szCs w:val="18"/>
        </w:rPr>
      </w:pPr>
      <w:r w:rsidRPr="004A797E">
        <w:rPr>
          <w:rFonts w:ascii="Arial" w:hAnsi="Arial" w:cs="Arial"/>
          <w:sz w:val="18"/>
          <w:szCs w:val="18"/>
        </w:rPr>
        <w:t>In the same column, means followed by the same letter are significantly identical at the 5% threshold (Student Newman-</w:t>
      </w:r>
      <w:proofErr w:type="spellStart"/>
      <w:r w:rsidRPr="004A797E">
        <w:rPr>
          <w:rFonts w:ascii="Arial" w:hAnsi="Arial" w:cs="Arial"/>
          <w:sz w:val="18"/>
          <w:szCs w:val="18"/>
        </w:rPr>
        <w:t>Keuls</w:t>
      </w:r>
      <w:proofErr w:type="spellEnd"/>
      <w:r w:rsidRPr="004A797E">
        <w:rPr>
          <w:rFonts w:ascii="Arial" w:hAnsi="Arial" w:cs="Arial"/>
          <w:sz w:val="18"/>
          <w:szCs w:val="18"/>
        </w:rPr>
        <w:t xml:space="preserve"> test). Mean ± standard error, P: </w:t>
      </w:r>
      <w:proofErr w:type="spellStart"/>
      <w:r w:rsidRPr="004A797E">
        <w:rPr>
          <w:rFonts w:ascii="Arial" w:hAnsi="Arial" w:cs="Arial"/>
          <w:sz w:val="18"/>
          <w:szCs w:val="18"/>
        </w:rPr>
        <w:t>Proability</w:t>
      </w:r>
      <w:proofErr w:type="spellEnd"/>
      <w:r w:rsidRPr="004A797E">
        <w:rPr>
          <w:rFonts w:ascii="Arial" w:hAnsi="Arial" w:cs="Arial"/>
          <w:sz w:val="18"/>
          <w:szCs w:val="18"/>
        </w:rPr>
        <w:t xml:space="preserve">, Hypo </w:t>
      </w:r>
      <w:proofErr w:type="spellStart"/>
      <w:r w:rsidRPr="004A797E">
        <w:rPr>
          <w:rFonts w:ascii="Arial" w:hAnsi="Arial" w:cs="Arial"/>
          <w:sz w:val="18"/>
          <w:szCs w:val="18"/>
        </w:rPr>
        <w:t>ca+hypo</w:t>
      </w:r>
      <w:proofErr w:type="spellEnd"/>
      <w:r w:rsidRPr="004A797E">
        <w:rPr>
          <w:rFonts w:ascii="Arial" w:hAnsi="Arial" w:cs="Arial"/>
          <w:sz w:val="18"/>
          <w:szCs w:val="18"/>
        </w:rPr>
        <w:t xml:space="preserve"> sodium: calcium hypochlorite and sodium hypochlorite, hypo </w:t>
      </w:r>
      <w:proofErr w:type="spellStart"/>
      <w:r w:rsidRPr="004A797E">
        <w:rPr>
          <w:rFonts w:ascii="Arial" w:hAnsi="Arial" w:cs="Arial"/>
          <w:sz w:val="18"/>
          <w:szCs w:val="18"/>
        </w:rPr>
        <w:t>ca+mer</w:t>
      </w:r>
      <w:proofErr w:type="spellEnd"/>
      <w:r w:rsidRPr="004A797E">
        <w:rPr>
          <w:rFonts w:ascii="Arial" w:hAnsi="Arial" w:cs="Arial"/>
          <w:sz w:val="18"/>
          <w:szCs w:val="18"/>
        </w:rPr>
        <w:t xml:space="preserve">: calcium hypochlorite and mercury chloride, hypo </w:t>
      </w:r>
      <w:proofErr w:type="spellStart"/>
      <w:r w:rsidRPr="004A797E">
        <w:rPr>
          <w:rFonts w:ascii="Arial" w:hAnsi="Arial" w:cs="Arial"/>
          <w:sz w:val="18"/>
          <w:szCs w:val="18"/>
        </w:rPr>
        <w:t>sodium+mer</w:t>
      </w:r>
      <w:proofErr w:type="spellEnd"/>
      <w:r w:rsidRPr="004A797E">
        <w:rPr>
          <w:rFonts w:ascii="Arial" w:hAnsi="Arial" w:cs="Arial"/>
          <w:sz w:val="18"/>
          <w:szCs w:val="18"/>
        </w:rPr>
        <w:t xml:space="preserve">: sodium hypochlorite and mercury chloride, </w:t>
      </w:r>
      <w:proofErr w:type="spellStart"/>
      <w:r w:rsidRPr="004A797E">
        <w:rPr>
          <w:rFonts w:ascii="Arial" w:hAnsi="Arial" w:cs="Arial"/>
          <w:sz w:val="18"/>
          <w:szCs w:val="18"/>
        </w:rPr>
        <w:t>fg+mer+hypo</w:t>
      </w:r>
      <w:proofErr w:type="spellEnd"/>
      <w:r w:rsidRPr="004A797E">
        <w:rPr>
          <w:rFonts w:ascii="Arial" w:hAnsi="Arial" w:cs="Arial"/>
          <w:sz w:val="18"/>
          <w:szCs w:val="18"/>
        </w:rPr>
        <w:t xml:space="preserve"> </w:t>
      </w:r>
      <w:proofErr w:type="spellStart"/>
      <w:r w:rsidRPr="004A797E">
        <w:rPr>
          <w:rFonts w:ascii="Arial" w:hAnsi="Arial" w:cs="Arial"/>
          <w:sz w:val="18"/>
          <w:szCs w:val="18"/>
        </w:rPr>
        <w:t>cal</w:t>
      </w:r>
      <w:proofErr w:type="spellEnd"/>
      <w:r w:rsidRPr="004A797E">
        <w:rPr>
          <w:rFonts w:ascii="Arial" w:hAnsi="Arial" w:cs="Arial"/>
          <w:sz w:val="18"/>
          <w:szCs w:val="18"/>
        </w:rPr>
        <w:t>: fungicide, mercury chloride and calcium hypochlorite.</w:t>
      </w:r>
    </w:p>
    <w:p w14:paraId="42ED080C" w14:textId="77777777" w:rsidR="004A797E" w:rsidRPr="004A797E" w:rsidRDefault="004A797E" w:rsidP="000861A9">
      <w:pPr>
        <w:rPr>
          <w:rFonts w:ascii="Arial" w:hAnsi="Arial" w:cs="Arial"/>
          <w:sz w:val="18"/>
          <w:szCs w:val="18"/>
        </w:rPr>
      </w:pPr>
    </w:p>
    <w:p w14:paraId="1A5A7FD1" w14:textId="77777777" w:rsidR="000861A9" w:rsidRPr="00974558" w:rsidRDefault="000861A9" w:rsidP="000861A9">
      <w:pPr>
        <w:rPr>
          <w:rFonts w:ascii="Arial" w:hAnsi="Arial" w:cs="Arial"/>
        </w:rPr>
      </w:pPr>
      <w:r w:rsidRPr="00974558">
        <w:rPr>
          <w:rFonts w:ascii="Arial" w:hAnsi="Arial" w:cs="Arial"/>
        </w:rPr>
        <w:t xml:space="preserve">The provenance of plant material could be one of the valid reasons for explant infection. However, the use of good disinfection techniques, depending on the plant organ or tissue considered and the provenance of the explants, should allow the elimination of microbial contamination </w:t>
      </w:r>
      <w:r w:rsidR="00DA4247">
        <w:rPr>
          <w:rFonts w:ascii="Arial" w:hAnsi="Arial" w:cs="Arial"/>
        </w:rPr>
        <w:t>[9]</w:t>
      </w:r>
      <w:r w:rsidRPr="00974558">
        <w:rPr>
          <w:rFonts w:ascii="Arial" w:hAnsi="Arial" w:cs="Arial"/>
        </w:rPr>
        <w:t>.</w:t>
      </w:r>
    </w:p>
    <w:p w14:paraId="1CE62508" w14:textId="77777777" w:rsidR="000861A9" w:rsidRPr="00974558" w:rsidRDefault="000861A9" w:rsidP="000861A9">
      <w:pPr>
        <w:rPr>
          <w:rFonts w:ascii="Arial" w:hAnsi="Arial" w:cs="Arial"/>
        </w:rPr>
      </w:pPr>
      <w:r w:rsidRPr="00974558">
        <w:rPr>
          <w:rFonts w:ascii="Arial" w:hAnsi="Arial" w:cs="Arial"/>
        </w:rPr>
        <w:t xml:space="preserve">In this study, four chemical solutions were used to assess their effectiveness on the microorganisms affecting teak explants. The lowest rates of contamination (disinfected explants) and necrosis were obtained after mixing 5% fungicide then 70% alcohol, dipped in 0.05% mercury chloride and dipped in 50% sodium hypochlorite. This high rate of survival of explants with these disinfectants shows that this mixture is effective for surface disinfection of teak explants. In fact, these disinfectants seem to penetrate inside the cells and act more effectively on the endogenous pathogens of the cells and </w:t>
      </w:r>
      <w:r w:rsidRPr="00974558">
        <w:rPr>
          <w:rFonts w:ascii="Arial" w:hAnsi="Arial" w:cs="Arial"/>
        </w:rPr>
        <w:lastRenderedPageBreak/>
        <w:t xml:space="preserve">are less aggressive to the explants. These results are similar to those of </w:t>
      </w:r>
      <w:r w:rsidR="00A6595F">
        <w:rPr>
          <w:rFonts w:ascii="Arial" w:hAnsi="Arial" w:cs="Arial"/>
        </w:rPr>
        <w:t>[10]</w:t>
      </w:r>
      <w:r w:rsidRPr="00974558">
        <w:rPr>
          <w:rFonts w:ascii="Arial" w:hAnsi="Arial" w:cs="Arial"/>
        </w:rPr>
        <w:t xml:space="preserve"> during the disinfection of the date palm by the number of disinfectants used. These authors showed that the presence of four disinfectants considerably reduced chlorosis, contamination and explant death. However, long exposure to disinfectants led to browning and death of explants. </w:t>
      </w:r>
    </w:p>
    <w:p w14:paraId="44276EE9" w14:textId="77777777" w:rsidR="000861A9" w:rsidRDefault="000861A9" w:rsidP="000861A9">
      <w:pPr>
        <w:rPr>
          <w:rFonts w:ascii="Arial" w:hAnsi="Arial" w:cs="Arial"/>
        </w:rPr>
      </w:pPr>
      <w:r w:rsidRPr="00974558">
        <w:rPr>
          <w:rFonts w:ascii="Arial" w:hAnsi="Arial" w:cs="Arial"/>
        </w:rPr>
        <w:t xml:space="preserve">Disinfection of the explants taken may differ depending on the environmental conditions in the area where the explants are taken. Different locations may </w:t>
      </w:r>
      <w:proofErr w:type="spellStart"/>
      <w:r w:rsidRPr="00974558">
        <w:rPr>
          <w:rFonts w:ascii="Arial" w:hAnsi="Arial" w:cs="Arial"/>
        </w:rPr>
        <w:t>harbour</w:t>
      </w:r>
      <w:proofErr w:type="spellEnd"/>
      <w:r w:rsidRPr="00974558">
        <w:rPr>
          <w:rFonts w:ascii="Arial" w:hAnsi="Arial" w:cs="Arial"/>
        </w:rPr>
        <w:t xml:space="preserve"> different microflora with different intensity. This finding is similar to that of </w:t>
      </w:r>
      <w:r w:rsidR="00A6595F">
        <w:rPr>
          <w:rFonts w:ascii="Arial" w:hAnsi="Arial" w:cs="Arial"/>
        </w:rPr>
        <w:t>[11]</w:t>
      </w:r>
      <w:r w:rsidRPr="00974558">
        <w:rPr>
          <w:rFonts w:ascii="Arial" w:hAnsi="Arial" w:cs="Arial"/>
        </w:rPr>
        <w:t xml:space="preserve">, who reported effective surface </w:t>
      </w:r>
      <w:proofErr w:type="spellStart"/>
      <w:r w:rsidRPr="00974558">
        <w:rPr>
          <w:rFonts w:ascii="Arial" w:hAnsi="Arial" w:cs="Arial"/>
        </w:rPr>
        <w:t>sterilisation</w:t>
      </w:r>
      <w:proofErr w:type="spellEnd"/>
      <w:r w:rsidRPr="00974558">
        <w:rPr>
          <w:rFonts w:ascii="Arial" w:hAnsi="Arial" w:cs="Arial"/>
        </w:rPr>
        <w:t xml:space="preserve"> of Jatropha </w:t>
      </w:r>
      <w:proofErr w:type="spellStart"/>
      <w:r w:rsidRPr="00974558">
        <w:rPr>
          <w:rFonts w:ascii="Arial" w:hAnsi="Arial" w:cs="Arial"/>
        </w:rPr>
        <w:t>curcas</w:t>
      </w:r>
      <w:proofErr w:type="spellEnd"/>
      <w:r w:rsidRPr="00974558">
        <w:rPr>
          <w:rFonts w:ascii="Arial" w:hAnsi="Arial" w:cs="Arial"/>
        </w:rPr>
        <w:t xml:space="preserve"> nodal explants by treating them with 0.1% HgCl2 for 10 minutes.</w:t>
      </w:r>
    </w:p>
    <w:p w14:paraId="37D6B3AA" w14:textId="77777777" w:rsidR="009450CE" w:rsidRPr="00974558" w:rsidRDefault="009450CE" w:rsidP="000861A9">
      <w:pPr>
        <w:rPr>
          <w:rFonts w:ascii="Arial" w:hAnsi="Arial" w:cs="Arial"/>
        </w:rPr>
      </w:pPr>
    </w:p>
    <w:p w14:paraId="42B7647D" w14:textId="77777777" w:rsidR="009450CE" w:rsidRPr="009450CE" w:rsidRDefault="009450CE" w:rsidP="009450CE">
      <w:pPr>
        <w:rPr>
          <w:rFonts w:ascii="Arial" w:hAnsi="Arial" w:cs="Arial"/>
          <w:b/>
          <w:bCs/>
          <w:sz w:val="22"/>
          <w:szCs w:val="22"/>
        </w:rPr>
      </w:pPr>
      <w:r>
        <w:rPr>
          <w:rFonts w:ascii="Arial" w:hAnsi="Arial" w:cs="Arial"/>
          <w:b/>
          <w:bCs/>
          <w:sz w:val="22"/>
          <w:szCs w:val="22"/>
        </w:rPr>
        <w:t>3</w:t>
      </w:r>
      <w:r w:rsidRPr="009450CE">
        <w:rPr>
          <w:rFonts w:ascii="Arial" w:hAnsi="Arial" w:cs="Arial"/>
          <w:b/>
          <w:bCs/>
          <w:sz w:val="22"/>
          <w:szCs w:val="22"/>
        </w:rPr>
        <w:t>.2 Influence of explant type and cytokinin concentrations on bud induction</w:t>
      </w:r>
    </w:p>
    <w:p w14:paraId="1096E030" w14:textId="77777777" w:rsidR="009450CE" w:rsidRPr="00974558" w:rsidRDefault="009450CE" w:rsidP="009450CE">
      <w:pPr>
        <w:rPr>
          <w:rFonts w:ascii="Arial" w:hAnsi="Arial" w:cs="Arial"/>
        </w:rPr>
      </w:pPr>
      <w:r w:rsidRPr="00974558">
        <w:rPr>
          <w:rFonts w:ascii="Arial" w:hAnsi="Arial" w:cs="Arial"/>
        </w:rPr>
        <w:t>Analysis of these results revealed that all these parameters were influenced by explant type, cytokinin concentrations and the explant type-cytokinin concentration interaction (P &lt; 0.001).</w:t>
      </w:r>
    </w:p>
    <w:p w14:paraId="07233D93" w14:textId="77777777" w:rsidR="009450CE" w:rsidRPr="00974558" w:rsidRDefault="009450CE" w:rsidP="009450CE">
      <w:pPr>
        <w:rPr>
          <w:rFonts w:ascii="Arial" w:hAnsi="Arial" w:cs="Arial"/>
        </w:rPr>
      </w:pPr>
      <w:r w:rsidRPr="00974558">
        <w:rPr>
          <w:rFonts w:ascii="Arial" w:hAnsi="Arial" w:cs="Arial"/>
        </w:rPr>
        <w:t>The highest budding rate (51%) was obtained on the medium supplemented with 2 and 4mg/l BAP respectively from the nodal segment culture. However, the lowest level was expressed by the apex on medium supplemented with 0.5 mg/l TDZ.</w:t>
      </w:r>
    </w:p>
    <w:p w14:paraId="6DFDE35A" w14:textId="77777777" w:rsidR="009450CE" w:rsidRPr="00974558" w:rsidRDefault="009450CE" w:rsidP="009450CE">
      <w:pPr>
        <w:rPr>
          <w:rFonts w:ascii="Arial" w:hAnsi="Arial" w:cs="Arial"/>
        </w:rPr>
      </w:pPr>
      <w:r w:rsidRPr="00974558">
        <w:rPr>
          <w:rFonts w:ascii="Arial" w:hAnsi="Arial" w:cs="Arial"/>
        </w:rPr>
        <w:t xml:space="preserve">Budding times were relatively shorter with apexes (between 11.27 and 11.47 days) than with nodal segments (12.29 to 12.73 days) on medium containing 0.5 mg/l BAP and 4 mg/l Kin. The highest number of buds was obtained in nodal segments on medium supplemented with 2 mg/l BAP. However, the lowest number was induced by the apex and nodal segment on medium supplemented with concentrations greater than 0.01 mg/l of TDZ. </w:t>
      </w:r>
    </w:p>
    <w:p w14:paraId="4007E151" w14:textId="77777777" w:rsidR="009450CE" w:rsidRPr="00974558" w:rsidRDefault="009450CE" w:rsidP="009450CE">
      <w:pPr>
        <w:rPr>
          <w:rFonts w:ascii="Arial" w:hAnsi="Arial" w:cs="Arial"/>
        </w:rPr>
      </w:pPr>
      <w:r w:rsidRPr="00974558">
        <w:rPr>
          <w:rFonts w:ascii="Arial" w:hAnsi="Arial" w:cs="Arial"/>
        </w:rPr>
        <w:t xml:space="preserve">The height of the leafy shoots varied from 1.14 to 5.13 cm. The tallest shoots were observed on medium supplemented with 4 mg/l BAP in the nodal segment. </w:t>
      </w:r>
    </w:p>
    <w:p w14:paraId="095BB061" w14:textId="77777777" w:rsidR="009450CE" w:rsidRDefault="009450CE" w:rsidP="009450CE">
      <w:pPr>
        <w:rPr>
          <w:rFonts w:ascii="Arial" w:hAnsi="Arial" w:cs="Arial"/>
        </w:rPr>
      </w:pPr>
      <w:r w:rsidRPr="00974558">
        <w:rPr>
          <w:rFonts w:ascii="Arial" w:hAnsi="Arial" w:cs="Arial"/>
        </w:rPr>
        <w:t xml:space="preserve">The smallest shoots were observed in the nodal segment on the medium containing 0.5 mg/l TDZ. </w:t>
      </w:r>
    </w:p>
    <w:p w14:paraId="1D8A2573" w14:textId="77777777" w:rsidR="004A797E" w:rsidRPr="00974558" w:rsidRDefault="004A797E" w:rsidP="009450CE">
      <w:pPr>
        <w:rPr>
          <w:rFonts w:ascii="Arial" w:hAnsi="Arial" w:cs="Arial"/>
        </w:rPr>
      </w:pPr>
    </w:p>
    <w:p w14:paraId="57CB66B2" w14:textId="77777777" w:rsidR="009450CE" w:rsidRPr="00974558" w:rsidRDefault="009450CE" w:rsidP="009450CE">
      <w:pPr>
        <w:rPr>
          <w:rFonts w:ascii="Arial" w:hAnsi="Arial" w:cs="Arial"/>
        </w:rPr>
      </w:pPr>
      <w:r w:rsidRPr="00974558">
        <w:rPr>
          <w:rFonts w:ascii="Arial" w:hAnsi="Arial" w:cs="Arial"/>
        </w:rPr>
        <w:t>Table II: Rate and time of budding and average number and size of buds as a function of explant type and cytokinin concentrations</w:t>
      </w:r>
    </w:p>
    <w:tbl>
      <w:tblPr>
        <w:tblStyle w:val="PlainTable2"/>
        <w:tblW w:w="9405" w:type="dxa"/>
        <w:tblLayout w:type="fixed"/>
        <w:tblLook w:val="04A0" w:firstRow="1" w:lastRow="0" w:firstColumn="1" w:lastColumn="0" w:noHBand="0" w:noVBand="1"/>
      </w:tblPr>
      <w:tblGrid>
        <w:gridCol w:w="1416"/>
        <w:gridCol w:w="1275"/>
        <w:gridCol w:w="1700"/>
        <w:gridCol w:w="1700"/>
        <w:gridCol w:w="1416"/>
        <w:gridCol w:w="1898"/>
      </w:tblGrid>
      <w:tr w:rsidR="009450CE" w:rsidRPr="00974558" w14:paraId="7F5DA303" w14:textId="77777777" w:rsidTr="009450CE">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416" w:type="dxa"/>
            <w:hideMark/>
          </w:tcPr>
          <w:p w14:paraId="312FA42A" w14:textId="77777777" w:rsidR="009450CE" w:rsidRPr="00974558" w:rsidRDefault="009450CE" w:rsidP="009450CE">
            <w:pPr>
              <w:suppressAutoHyphens/>
              <w:autoSpaceDN w:val="0"/>
              <w:rPr>
                <w:rFonts w:ascii="Arial" w:hAnsi="Arial" w:cs="Arial"/>
                <w:sz w:val="20"/>
                <w:szCs w:val="20"/>
              </w:rPr>
            </w:pPr>
            <w:r w:rsidRPr="00974558">
              <w:rPr>
                <w:rFonts w:ascii="Arial" w:hAnsi="Arial" w:cs="Arial"/>
                <w:sz w:val="20"/>
                <w:szCs w:val="20"/>
              </w:rPr>
              <w:t>Type of explants</w:t>
            </w:r>
          </w:p>
        </w:tc>
        <w:tc>
          <w:tcPr>
            <w:tcW w:w="1275" w:type="dxa"/>
            <w:hideMark/>
          </w:tcPr>
          <w:p w14:paraId="0BB9AF82" w14:textId="77777777" w:rsidR="009450CE" w:rsidRPr="00974558" w:rsidRDefault="009450CE" w:rsidP="009450CE">
            <w:pPr>
              <w:suppressAutoHyphens/>
              <w:autoSpaceDN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eastAsia="Times New Roman" w:hAnsi="Arial" w:cs="Arial"/>
                <w:color w:val="000000"/>
                <w:sz w:val="20"/>
                <w:szCs w:val="20"/>
                <w:lang w:eastAsia="fr-FR"/>
              </w:rPr>
              <w:t xml:space="preserve">Conc </w:t>
            </w:r>
            <w:proofErr w:type="spellStart"/>
            <w:r w:rsidRPr="00974558">
              <w:rPr>
                <w:rFonts w:ascii="Arial" w:eastAsia="Times New Roman" w:hAnsi="Arial" w:cs="Arial"/>
                <w:color w:val="000000"/>
                <w:sz w:val="20"/>
                <w:szCs w:val="20"/>
                <w:lang w:eastAsia="fr-FR"/>
              </w:rPr>
              <w:t>cyto</w:t>
            </w:r>
            <w:proofErr w:type="spellEnd"/>
          </w:p>
        </w:tc>
        <w:tc>
          <w:tcPr>
            <w:tcW w:w="1700" w:type="dxa"/>
            <w:hideMark/>
          </w:tcPr>
          <w:p w14:paraId="6D8ED64E" w14:textId="77777777" w:rsidR="009450CE" w:rsidRPr="00974558" w:rsidRDefault="009450CE" w:rsidP="009450CE">
            <w:pPr>
              <w:suppressAutoHyphens/>
              <w:autoSpaceDN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974558">
              <w:rPr>
                <w:rFonts w:ascii="Arial" w:hAnsi="Arial" w:cs="Arial"/>
                <w:sz w:val="20"/>
                <w:szCs w:val="20"/>
              </w:rPr>
              <w:t>Settlement</w:t>
            </w:r>
            <w:proofErr w:type="spellEnd"/>
            <w:r w:rsidRPr="00974558">
              <w:rPr>
                <w:rFonts w:ascii="Arial" w:hAnsi="Arial" w:cs="Arial"/>
                <w:sz w:val="20"/>
                <w:szCs w:val="20"/>
              </w:rPr>
              <w:t xml:space="preserve"> rate (%)</w:t>
            </w:r>
          </w:p>
        </w:tc>
        <w:tc>
          <w:tcPr>
            <w:tcW w:w="1700" w:type="dxa"/>
            <w:hideMark/>
          </w:tcPr>
          <w:p w14:paraId="1BC06480" w14:textId="77777777" w:rsidR="009450CE" w:rsidRPr="00974558" w:rsidRDefault="009450CE" w:rsidP="009450CE">
            <w:pPr>
              <w:suppressAutoHyphens/>
              <w:autoSpaceDN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974558">
              <w:rPr>
                <w:rFonts w:ascii="Arial" w:eastAsia="Times New Roman" w:hAnsi="Arial" w:cs="Arial"/>
                <w:color w:val="000000"/>
                <w:sz w:val="20"/>
                <w:szCs w:val="20"/>
                <w:lang w:eastAsia="fr-FR"/>
              </w:rPr>
              <w:t>Settlement</w:t>
            </w:r>
            <w:proofErr w:type="spellEnd"/>
            <w:r w:rsidRPr="00974558">
              <w:rPr>
                <w:rFonts w:ascii="Arial" w:eastAsia="Times New Roman" w:hAnsi="Arial" w:cs="Arial"/>
                <w:color w:val="000000"/>
                <w:sz w:val="20"/>
                <w:szCs w:val="20"/>
                <w:lang w:eastAsia="fr-FR"/>
              </w:rPr>
              <w:t xml:space="preserve"> time (D)</w:t>
            </w:r>
          </w:p>
        </w:tc>
        <w:tc>
          <w:tcPr>
            <w:tcW w:w="1416" w:type="dxa"/>
            <w:hideMark/>
          </w:tcPr>
          <w:p w14:paraId="3EDC4736" w14:textId="77777777" w:rsidR="009450CE" w:rsidRPr="00974558" w:rsidRDefault="009450CE" w:rsidP="009450CE">
            <w:pPr>
              <w:suppressAutoHyphens/>
              <w:autoSpaceDN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eastAsia="Times New Roman" w:hAnsi="Arial" w:cs="Arial"/>
                <w:color w:val="000000"/>
                <w:sz w:val="20"/>
                <w:szCs w:val="20"/>
                <w:lang w:eastAsia="fr-FR"/>
              </w:rPr>
              <w:t xml:space="preserve">No. Shoot </w:t>
            </w:r>
            <w:proofErr w:type="spellStart"/>
            <w:r w:rsidRPr="00974558">
              <w:rPr>
                <w:rFonts w:ascii="Arial" w:eastAsia="Times New Roman" w:hAnsi="Arial" w:cs="Arial"/>
                <w:color w:val="000000"/>
                <w:sz w:val="20"/>
                <w:szCs w:val="20"/>
                <w:lang w:eastAsia="fr-FR"/>
              </w:rPr>
              <w:t>Leaves</w:t>
            </w:r>
            <w:proofErr w:type="spellEnd"/>
          </w:p>
        </w:tc>
        <w:tc>
          <w:tcPr>
            <w:tcW w:w="1898" w:type="dxa"/>
            <w:hideMark/>
          </w:tcPr>
          <w:p w14:paraId="23A4ABC0" w14:textId="77777777" w:rsidR="009450CE" w:rsidRPr="00974558" w:rsidRDefault="009450CE" w:rsidP="009450CE">
            <w:pPr>
              <w:suppressAutoHyphens/>
              <w:autoSpaceDN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974558">
              <w:rPr>
                <w:rFonts w:ascii="Arial" w:eastAsia="Times New Roman" w:hAnsi="Arial" w:cs="Arial"/>
                <w:color w:val="000000"/>
                <w:sz w:val="20"/>
                <w:szCs w:val="20"/>
                <w:lang w:eastAsia="fr-FR"/>
              </w:rPr>
              <w:t>Height</w:t>
            </w:r>
            <w:proofErr w:type="spellEnd"/>
            <w:r w:rsidRPr="00974558">
              <w:rPr>
                <w:rFonts w:ascii="Arial" w:eastAsia="Times New Roman" w:hAnsi="Arial" w:cs="Arial"/>
                <w:color w:val="000000"/>
                <w:sz w:val="20"/>
                <w:szCs w:val="20"/>
                <w:lang w:eastAsia="fr-FR"/>
              </w:rPr>
              <w:t xml:space="preserve"> (cm)</w:t>
            </w:r>
          </w:p>
        </w:tc>
      </w:tr>
      <w:tr w:rsidR="009450CE" w:rsidRPr="00974558" w14:paraId="5B2BB0B3"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vMerge w:val="restart"/>
          </w:tcPr>
          <w:p w14:paraId="4643A81F" w14:textId="77777777" w:rsidR="009450CE" w:rsidRPr="00974558" w:rsidRDefault="009450CE" w:rsidP="009450CE">
            <w:pPr>
              <w:suppressAutoHyphens/>
              <w:autoSpaceDN w:val="0"/>
              <w:rPr>
                <w:rFonts w:ascii="Arial" w:hAnsi="Arial" w:cs="Arial"/>
                <w:sz w:val="20"/>
                <w:szCs w:val="20"/>
              </w:rPr>
            </w:pPr>
          </w:p>
          <w:p w14:paraId="2C9574D2" w14:textId="77777777" w:rsidR="009450CE" w:rsidRPr="00974558" w:rsidRDefault="009450CE" w:rsidP="009450CE">
            <w:pPr>
              <w:suppressAutoHyphens/>
              <w:autoSpaceDN w:val="0"/>
              <w:rPr>
                <w:rFonts w:ascii="Arial" w:hAnsi="Arial" w:cs="Arial"/>
                <w:sz w:val="20"/>
                <w:szCs w:val="20"/>
              </w:rPr>
            </w:pPr>
          </w:p>
          <w:p w14:paraId="7CAF61AB" w14:textId="77777777" w:rsidR="009450CE" w:rsidRPr="00974558" w:rsidRDefault="009450CE" w:rsidP="009450CE">
            <w:pPr>
              <w:suppressAutoHyphens/>
              <w:autoSpaceDN w:val="0"/>
              <w:rPr>
                <w:rFonts w:ascii="Arial" w:hAnsi="Arial" w:cs="Arial"/>
                <w:sz w:val="20"/>
                <w:szCs w:val="20"/>
              </w:rPr>
            </w:pPr>
          </w:p>
          <w:p w14:paraId="6F42E4F7" w14:textId="77777777" w:rsidR="009450CE" w:rsidRPr="00974558" w:rsidRDefault="009450CE" w:rsidP="009450CE">
            <w:pPr>
              <w:suppressAutoHyphens/>
              <w:autoSpaceDN w:val="0"/>
              <w:rPr>
                <w:rFonts w:ascii="Arial" w:hAnsi="Arial" w:cs="Arial"/>
                <w:sz w:val="20"/>
                <w:szCs w:val="20"/>
              </w:rPr>
            </w:pPr>
          </w:p>
          <w:p w14:paraId="7456BDB4" w14:textId="77777777" w:rsidR="009450CE" w:rsidRPr="00974558" w:rsidRDefault="009450CE" w:rsidP="009450CE">
            <w:pPr>
              <w:suppressAutoHyphens/>
              <w:autoSpaceDN w:val="0"/>
              <w:rPr>
                <w:rFonts w:ascii="Arial" w:hAnsi="Arial" w:cs="Arial"/>
                <w:sz w:val="20"/>
                <w:szCs w:val="20"/>
              </w:rPr>
            </w:pPr>
          </w:p>
          <w:p w14:paraId="3EB8AAD6" w14:textId="77777777" w:rsidR="009450CE" w:rsidRPr="00974558" w:rsidRDefault="009450CE" w:rsidP="009450CE">
            <w:pPr>
              <w:suppressAutoHyphens/>
              <w:autoSpaceDN w:val="0"/>
              <w:rPr>
                <w:rFonts w:ascii="Arial" w:hAnsi="Arial" w:cs="Arial"/>
                <w:sz w:val="20"/>
                <w:szCs w:val="20"/>
              </w:rPr>
            </w:pPr>
          </w:p>
          <w:p w14:paraId="4D7EA4BD" w14:textId="77777777" w:rsidR="009450CE" w:rsidRPr="00974558" w:rsidRDefault="009450CE" w:rsidP="009450CE">
            <w:pPr>
              <w:suppressAutoHyphens/>
              <w:autoSpaceDN w:val="0"/>
              <w:rPr>
                <w:rFonts w:ascii="Arial" w:hAnsi="Arial" w:cs="Arial"/>
                <w:sz w:val="20"/>
                <w:szCs w:val="20"/>
              </w:rPr>
            </w:pPr>
          </w:p>
          <w:p w14:paraId="0E82CE11" w14:textId="77777777" w:rsidR="009450CE" w:rsidRPr="00974558" w:rsidRDefault="009450CE" w:rsidP="009450CE">
            <w:pPr>
              <w:suppressAutoHyphens/>
              <w:autoSpaceDN w:val="0"/>
              <w:rPr>
                <w:rFonts w:ascii="Arial" w:hAnsi="Arial" w:cs="Arial"/>
                <w:sz w:val="20"/>
                <w:szCs w:val="20"/>
              </w:rPr>
            </w:pPr>
            <w:r w:rsidRPr="00974558">
              <w:rPr>
                <w:rFonts w:ascii="Arial" w:hAnsi="Arial" w:cs="Arial"/>
                <w:sz w:val="20"/>
                <w:szCs w:val="20"/>
              </w:rPr>
              <w:t>Apex</w:t>
            </w:r>
          </w:p>
        </w:tc>
        <w:tc>
          <w:tcPr>
            <w:tcW w:w="1275" w:type="dxa"/>
            <w:hideMark/>
          </w:tcPr>
          <w:p w14:paraId="4B2808C3"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 xml:space="preserve">Témoin </w:t>
            </w:r>
          </w:p>
        </w:tc>
        <w:tc>
          <w:tcPr>
            <w:tcW w:w="1700" w:type="dxa"/>
            <w:hideMark/>
          </w:tcPr>
          <w:p w14:paraId="59E50F95"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29,87±3,46</w:t>
            </w:r>
            <w:r w:rsidRPr="00974558">
              <w:rPr>
                <w:rFonts w:ascii="Arial" w:hAnsi="Arial" w:cs="Arial"/>
                <w:color w:val="000000"/>
                <w:sz w:val="20"/>
                <w:szCs w:val="20"/>
                <w:vertAlign w:val="superscript"/>
              </w:rPr>
              <w:t>bcd</w:t>
            </w:r>
          </w:p>
        </w:tc>
        <w:tc>
          <w:tcPr>
            <w:tcW w:w="1700" w:type="dxa"/>
            <w:hideMark/>
          </w:tcPr>
          <w:p w14:paraId="4393B2CD"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12,69</w:t>
            </w:r>
            <w:r w:rsidRPr="00974558">
              <w:rPr>
                <w:rFonts w:ascii="Arial" w:hAnsi="Arial" w:cs="Arial"/>
                <w:sz w:val="20"/>
                <w:szCs w:val="20"/>
              </w:rPr>
              <w:t>±</w:t>
            </w:r>
            <w:r w:rsidRPr="00974558">
              <w:rPr>
                <w:rFonts w:ascii="Arial" w:hAnsi="Arial" w:cs="Arial"/>
                <w:color w:val="000000"/>
                <w:sz w:val="20"/>
                <w:szCs w:val="20"/>
              </w:rPr>
              <w:t>3,16</w:t>
            </w:r>
            <w:r w:rsidRPr="00974558">
              <w:rPr>
                <w:rFonts w:ascii="Arial" w:hAnsi="Arial" w:cs="Arial"/>
                <w:color w:val="000000"/>
                <w:sz w:val="20"/>
                <w:szCs w:val="20"/>
                <w:vertAlign w:val="superscript"/>
              </w:rPr>
              <w:t>ab</w:t>
            </w:r>
          </w:p>
        </w:tc>
        <w:tc>
          <w:tcPr>
            <w:tcW w:w="1416" w:type="dxa"/>
            <w:hideMark/>
          </w:tcPr>
          <w:p w14:paraId="143F3CFD"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1,62</w:t>
            </w:r>
            <w:r w:rsidRPr="00974558">
              <w:rPr>
                <w:rFonts w:ascii="Arial" w:hAnsi="Arial" w:cs="Arial"/>
                <w:sz w:val="20"/>
                <w:szCs w:val="20"/>
              </w:rPr>
              <w:t>±</w:t>
            </w:r>
            <w:r w:rsidRPr="00974558">
              <w:rPr>
                <w:rFonts w:ascii="Arial" w:hAnsi="Arial" w:cs="Arial"/>
                <w:color w:val="000000"/>
                <w:sz w:val="20"/>
                <w:szCs w:val="20"/>
              </w:rPr>
              <w:t>0,62</w:t>
            </w:r>
            <w:r w:rsidRPr="00974558">
              <w:rPr>
                <w:rFonts w:ascii="Arial" w:hAnsi="Arial" w:cs="Arial"/>
                <w:color w:val="000000"/>
                <w:sz w:val="20"/>
                <w:szCs w:val="20"/>
                <w:vertAlign w:val="superscript"/>
              </w:rPr>
              <w:t>bc</w:t>
            </w:r>
          </w:p>
        </w:tc>
        <w:tc>
          <w:tcPr>
            <w:tcW w:w="1898" w:type="dxa"/>
            <w:hideMark/>
          </w:tcPr>
          <w:p w14:paraId="59137992"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3,66</w:t>
            </w:r>
            <w:r w:rsidRPr="00974558">
              <w:rPr>
                <w:rFonts w:ascii="Arial" w:hAnsi="Arial" w:cs="Arial"/>
                <w:sz w:val="20"/>
                <w:szCs w:val="20"/>
              </w:rPr>
              <w:t>±</w:t>
            </w:r>
            <w:r w:rsidRPr="00974558">
              <w:rPr>
                <w:rFonts w:ascii="Arial" w:hAnsi="Arial" w:cs="Arial"/>
                <w:color w:val="000000"/>
                <w:sz w:val="20"/>
                <w:szCs w:val="20"/>
              </w:rPr>
              <w:t>1,34</w:t>
            </w:r>
            <w:r w:rsidRPr="00974558">
              <w:rPr>
                <w:rFonts w:ascii="Arial" w:hAnsi="Arial" w:cs="Arial"/>
                <w:color w:val="000000"/>
                <w:sz w:val="20"/>
                <w:szCs w:val="20"/>
                <w:vertAlign w:val="superscript"/>
              </w:rPr>
              <w:t>abcd</w:t>
            </w:r>
          </w:p>
        </w:tc>
      </w:tr>
      <w:tr w:rsidR="009450CE" w:rsidRPr="00974558" w14:paraId="02FB57E4" w14:textId="77777777" w:rsidTr="009450CE">
        <w:trPr>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3626BAFD" w14:textId="77777777" w:rsidR="009450CE" w:rsidRPr="00974558" w:rsidRDefault="009450CE" w:rsidP="009450CE">
            <w:pPr>
              <w:rPr>
                <w:rFonts w:ascii="Arial" w:hAnsi="Arial" w:cs="Arial"/>
                <w:sz w:val="20"/>
                <w:szCs w:val="20"/>
              </w:rPr>
            </w:pPr>
          </w:p>
        </w:tc>
        <w:tc>
          <w:tcPr>
            <w:tcW w:w="1275" w:type="dxa"/>
            <w:hideMark/>
          </w:tcPr>
          <w:p w14:paraId="06E04E56"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B0,5</w:t>
            </w:r>
          </w:p>
        </w:tc>
        <w:tc>
          <w:tcPr>
            <w:tcW w:w="1700" w:type="dxa"/>
            <w:hideMark/>
          </w:tcPr>
          <w:p w14:paraId="6629E539"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30,00±1,60</w:t>
            </w:r>
            <w:r w:rsidRPr="00974558">
              <w:rPr>
                <w:rFonts w:ascii="Arial" w:hAnsi="Arial" w:cs="Arial"/>
                <w:color w:val="000000"/>
                <w:sz w:val="20"/>
                <w:szCs w:val="20"/>
                <w:vertAlign w:val="superscript"/>
              </w:rPr>
              <w:t>bcd</w:t>
            </w:r>
          </w:p>
        </w:tc>
        <w:tc>
          <w:tcPr>
            <w:tcW w:w="1700" w:type="dxa"/>
            <w:hideMark/>
          </w:tcPr>
          <w:p w14:paraId="704BAD72"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11,47</w:t>
            </w:r>
            <w:r w:rsidRPr="00974558">
              <w:rPr>
                <w:rFonts w:ascii="Arial" w:hAnsi="Arial" w:cs="Arial"/>
                <w:sz w:val="20"/>
                <w:szCs w:val="20"/>
              </w:rPr>
              <w:t>±</w:t>
            </w:r>
            <w:r w:rsidRPr="00974558">
              <w:rPr>
                <w:rFonts w:ascii="Arial" w:hAnsi="Arial" w:cs="Arial"/>
                <w:color w:val="000000"/>
                <w:sz w:val="20"/>
                <w:szCs w:val="20"/>
              </w:rPr>
              <w:t>3,33</w:t>
            </w:r>
            <w:r w:rsidRPr="00974558">
              <w:rPr>
                <w:rFonts w:ascii="Arial" w:hAnsi="Arial" w:cs="Arial"/>
                <w:color w:val="000000"/>
                <w:sz w:val="20"/>
                <w:szCs w:val="20"/>
                <w:vertAlign w:val="superscript"/>
              </w:rPr>
              <w:t>b</w:t>
            </w:r>
          </w:p>
        </w:tc>
        <w:tc>
          <w:tcPr>
            <w:tcW w:w="1416" w:type="dxa"/>
            <w:hideMark/>
          </w:tcPr>
          <w:p w14:paraId="2249E447"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1,53</w:t>
            </w:r>
            <w:r w:rsidRPr="00974558">
              <w:rPr>
                <w:rFonts w:ascii="Arial" w:hAnsi="Arial" w:cs="Arial"/>
                <w:sz w:val="20"/>
                <w:szCs w:val="20"/>
              </w:rPr>
              <w:t>±</w:t>
            </w:r>
            <w:r w:rsidRPr="00974558">
              <w:rPr>
                <w:rFonts w:ascii="Arial" w:hAnsi="Arial" w:cs="Arial"/>
                <w:color w:val="000000"/>
                <w:sz w:val="20"/>
                <w:szCs w:val="20"/>
              </w:rPr>
              <w:t>0,64</w:t>
            </w:r>
            <w:r w:rsidRPr="00974558">
              <w:rPr>
                <w:rFonts w:ascii="Arial" w:hAnsi="Arial" w:cs="Arial"/>
                <w:color w:val="000000"/>
                <w:sz w:val="20"/>
                <w:szCs w:val="20"/>
                <w:vertAlign w:val="superscript"/>
              </w:rPr>
              <w:t>bc</w:t>
            </w:r>
          </w:p>
        </w:tc>
        <w:tc>
          <w:tcPr>
            <w:tcW w:w="1898" w:type="dxa"/>
            <w:hideMark/>
          </w:tcPr>
          <w:p w14:paraId="07C746FF"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4,18</w:t>
            </w:r>
            <w:r w:rsidRPr="00974558">
              <w:rPr>
                <w:rFonts w:ascii="Arial" w:hAnsi="Arial" w:cs="Arial"/>
                <w:sz w:val="20"/>
                <w:szCs w:val="20"/>
              </w:rPr>
              <w:t>±</w:t>
            </w:r>
            <w:r w:rsidRPr="00974558">
              <w:rPr>
                <w:rFonts w:ascii="Arial" w:hAnsi="Arial" w:cs="Arial"/>
                <w:color w:val="000000"/>
                <w:sz w:val="20"/>
                <w:szCs w:val="20"/>
              </w:rPr>
              <w:t>2,85</w:t>
            </w:r>
            <w:r w:rsidRPr="00974558">
              <w:rPr>
                <w:rFonts w:ascii="Arial" w:hAnsi="Arial" w:cs="Arial"/>
                <w:color w:val="000000"/>
                <w:sz w:val="20"/>
                <w:szCs w:val="20"/>
                <w:vertAlign w:val="superscript"/>
              </w:rPr>
              <w:t>abc</w:t>
            </w:r>
          </w:p>
        </w:tc>
      </w:tr>
      <w:tr w:rsidR="009450CE" w:rsidRPr="00974558" w14:paraId="749371AA"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7F678297" w14:textId="77777777" w:rsidR="009450CE" w:rsidRPr="00974558" w:rsidRDefault="009450CE" w:rsidP="009450CE">
            <w:pPr>
              <w:rPr>
                <w:rFonts w:ascii="Arial" w:hAnsi="Arial" w:cs="Arial"/>
                <w:sz w:val="20"/>
                <w:szCs w:val="20"/>
              </w:rPr>
            </w:pPr>
          </w:p>
        </w:tc>
        <w:tc>
          <w:tcPr>
            <w:tcW w:w="1275" w:type="dxa"/>
            <w:hideMark/>
          </w:tcPr>
          <w:p w14:paraId="4109E6F9"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B1</w:t>
            </w:r>
          </w:p>
        </w:tc>
        <w:tc>
          <w:tcPr>
            <w:tcW w:w="1700" w:type="dxa"/>
            <w:hideMark/>
          </w:tcPr>
          <w:p w14:paraId="33EEC2A3"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36,61±3,64</w:t>
            </w:r>
            <w:r w:rsidRPr="00974558">
              <w:rPr>
                <w:rFonts w:ascii="Arial" w:hAnsi="Arial" w:cs="Arial"/>
                <w:color w:val="000000"/>
                <w:sz w:val="20"/>
                <w:szCs w:val="20"/>
                <w:vertAlign w:val="superscript"/>
              </w:rPr>
              <w:t>bc</w:t>
            </w:r>
          </w:p>
        </w:tc>
        <w:tc>
          <w:tcPr>
            <w:tcW w:w="1700" w:type="dxa"/>
            <w:hideMark/>
          </w:tcPr>
          <w:p w14:paraId="69ADBB6F"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14,31</w:t>
            </w:r>
            <w:r w:rsidRPr="00974558">
              <w:rPr>
                <w:rFonts w:ascii="Arial" w:hAnsi="Arial" w:cs="Arial"/>
                <w:sz w:val="20"/>
                <w:szCs w:val="20"/>
              </w:rPr>
              <w:t>±</w:t>
            </w:r>
            <w:r w:rsidRPr="00974558">
              <w:rPr>
                <w:rFonts w:ascii="Arial" w:hAnsi="Arial" w:cs="Arial"/>
                <w:color w:val="000000"/>
                <w:sz w:val="20"/>
                <w:szCs w:val="20"/>
              </w:rPr>
              <w:t>3,55</w:t>
            </w:r>
            <w:r w:rsidRPr="00974558">
              <w:rPr>
                <w:rFonts w:ascii="Arial" w:hAnsi="Arial" w:cs="Arial"/>
                <w:color w:val="000000"/>
                <w:sz w:val="20"/>
                <w:szCs w:val="20"/>
                <w:vertAlign w:val="superscript"/>
              </w:rPr>
              <w:t>ab</w:t>
            </w:r>
          </w:p>
        </w:tc>
        <w:tc>
          <w:tcPr>
            <w:tcW w:w="1416" w:type="dxa"/>
            <w:hideMark/>
          </w:tcPr>
          <w:p w14:paraId="48FC7175"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1,44</w:t>
            </w:r>
            <w:r w:rsidRPr="00974558">
              <w:rPr>
                <w:rFonts w:ascii="Arial" w:hAnsi="Arial" w:cs="Arial"/>
                <w:sz w:val="20"/>
                <w:szCs w:val="20"/>
              </w:rPr>
              <w:t>±</w:t>
            </w:r>
            <w:r w:rsidRPr="00974558">
              <w:rPr>
                <w:rFonts w:ascii="Arial" w:hAnsi="Arial" w:cs="Arial"/>
                <w:color w:val="000000"/>
                <w:sz w:val="20"/>
                <w:szCs w:val="20"/>
              </w:rPr>
              <w:t>0,51</w:t>
            </w:r>
            <w:r w:rsidRPr="00974558">
              <w:rPr>
                <w:rFonts w:ascii="Arial" w:hAnsi="Arial" w:cs="Arial"/>
                <w:color w:val="000000"/>
                <w:sz w:val="20"/>
                <w:szCs w:val="20"/>
                <w:vertAlign w:val="superscript"/>
              </w:rPr>
              <w:t>cd</w:t>
            </w:r>
          </w:p>
        </w:tc>
        <w:tc>
          <w:tcPr>
            <w:tcW w:w="1898" w:type="dxa"/>
            <w:hideMark/>
          </w:tcPr>
          <w:p w14:paraId="17997112"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2,19</w:t>
            </w:r>
            <w:r w:rsidRPr="00974558">
              <w:rPr>
                <w:rFonts w:ascii="Arial" w:hAnsi="Arial" w:cs="Arial"/>
                <w:sz w:val="20"/>
                <w:szCs w:val="20"/>
              </w:rPr>
              <w:t>±</w:t>
            </w:r>
            <w:r w:rsidRPr="00974558">
              <w:rPr>
                <w:rFonts w:ascii="Arial" w:hAnsi="Arial" w:cs="Arial"/>
                <w:color w:val="000000"/>
                <w:sz w:val="20"/>
                <w:szCs w:val="20"/>
              </w:rPr>
              <w:t>1,33</w:t>
            </w:r>
            <w:r w:rsidRPr="00974558">
              <w:rPr>
                <w:rFonts w:ascii="Arial" w:hAnsi="Arial" w:cs="Arial"/>
                <w:color w:val="000000"/>
                <w:sz w:val="20"/>
                <w:szCs w:val="20"/>
                <w:vertAlign w:val="superscript"/>
              </w:rPr>
              <w:t>bcd</w:t>
            </w:r>
          </w:p>
        </w:tc>
      </w:tr>
      <w:tr w:rsidR="009450CE" w:rsidRPr="00974558" w14:paraId="496CB01E" w14:textId="77777777" w:rsidTr="009450CE">
        <w:trPr>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577C7474" w14:textId="77777777" w:rsidR="009450CE" w:rsidRPr="00974558" w:rsidRDefault="009450CE" w:rsidP="009450CE">
            <w:pPr>
              <w:rPr>
                <w:rFonts w:ascii="Arial" w:hAnsi="Arial" w:cs="Arial"/>
                <w:sz w:val="20"/>
                <w:szCs w:val="20"/>
              </w:rPr>
            </w:pPr>
          </w:p>
        </w:tc>
        <w:tc>
          <w:tcPr>
            <w:tcW w:w="1275" w:type="dxa"/>
            <w:hideMark/>
          </w:tcPr>
          <w:p w14:paraId="5C8C5CFB"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B2</w:t>
            </w:r>
          </w:p>
        </w:tc>
        <w:tc>
          <w:tcPr>
            <w:tcW w:w="1700" w:type="dxa"/>
            <w:hideMark/>
          </w:tcPr>
          <w:p w14:paraId="0FD7F708"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50,00</w:t>
            </w:r>
            <w:r w:rsidRPr="00974558">
              <w:rPr>
                <w:rFonts w:ascii="Arial" w:hAnsi="Arial" w:cs="Arial"/>
                <w:sz w:val="20"/>
                <w:szCs w:val="20"/>
              </w:rPr>
              <w:t>±</w:t>
            </w:r>
            <w:r w:rsidRPr="00974558">
              <w:rPr>
                <w:rFonts w:ascii="Arial" w:hAnsi="Arial" w:cs="Arial"/>
                <w:color w:val="000000"/>
                <w:sz w:val="20"/>
                <w:szCs w:val="20"/>
              </w:rPr>
              <w:t>5,63</w:t>
            </w:r>
            <w:r w:rsidRPr="00974558">
              <w:rPr>
                <w:rFonts w:ascii="Arial" w:hAnsi="Arial" w:cs="Arial"/>
                <w:color w:val="000000"/>
                <w:sz w:val="20"/>
                <w:szCs w:val="20"/>
                <w:vertAlign w:val="superscript"/>
              </w:rPr>
              <w:t>ab</w:t>
            </w:r>
          </w:p>
        </w:tc>
        <w:tc>
          <w:tcPr>
            <w:tcW w:w="1700" w:type="dxa"/>
            <w:hideMark/>
          </w:tcPr>
          <w:p w14:paraId="6B2CAC52"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15,47</w:t>
            </w:r>
            <w:r w:rsidRPr="00974558">
              <w:rPr>
                <w:rFonts w:ascii="Arial" w:hAnsi="Arial" w:cs="Arial"/>
                <w:sz w:val="20"/>
                <w:szCs w:val="20"/>
              </w:rPr>
              <w:t>±</w:t>
            </w:r>
            <w:r w:rsidRPr="00974558">
              <w:rPr>
                <w:rFonts w:ascii="Arial" w:hAnsi="Arial" w:cs="Arial"/>
                <w:color w:val="000000"/>
                <w:sz w:val="20"/>
                <w:szCs w:val="20"/>
              </w:rPr>
              <w:t>3,87</w:t>
            </w:r>
            <w:r w:rsidRPr="00974558">
              <w:rPr>
                <w:rFonts w:ascii="Arial" w:hAnsi="Arial" w:cs="Arial"/>
                <w:color w:val="000000"/>
                <w:sz w:val="20"/>
                <w:szCs w:val="20"/>
                <w:vertAlign w:val="superscript"/>
              </w:rPr>
              <w:t>ab</w:t>
            </w:r>
          </w:p>
        </w:tc>
        <w:tc>
          <w:tcPr>
            <w:tcW w:w="1416" w:type="dxa"/>
            <w:hideMark/>
          </w:tcPr>
          <w:p w14:paraId="2BDBAB65"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1,59</w:t>
            </w:r>
            <w:r w:rsidRPr="00974558">
              <w:rPr>
                <w:rFonts w:ascii="Arial" w:hAnsi="Arial" w:cs="Arial"/>
                <w:sz w:val="20"/>
                <w:szCs w:val="20"/>
              </w:rPr>
              <w:t>±</w:t>
            </w:r>
            <w:r w:rsidRPr="00974558">
              <w:rPr>
                <w:rFonts w:ascii="Arial" w:hAnsi="Arial" w:cs="Arial"/>
                <w:color w:val="000000"/>
                <w:sz w:val="20"/>
                <w:szCs w:val="20"/>
              </w:rPr>
              <w:t>0,51</w:t>
            </w:r>
            <w:r w:rsidRPr="00974558">
              <w:rPr>
                <w:rFonts w:ascii="Arial" w:hAnsi="Arial" w:cs="Arial"/>
                <w:color w:val="000000"/>
                <w:sz w:val="20"/>
                <w:szCs w:val="20"/>
                <w:vertAlign w:val="superscript"/>
              </w:rPr>
              <w:t>bc</w:t>
            </w:r>
          </w:p>
        </w:tc>
        <w:tc>
          <w:tcPr>
            <w:tcW w:w="1898" w:type="dxa"/>
            <w:hideMark/>
          </w:tcPr>
          <w:p w14:paraId="254B00DC"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3,28</w:t>
            </w:r>
            <w:r w:rsidRPr="00974558">
              <w:rPr>
                <w:rFonts w:ascii="Arial" w:hAnsi="Arial" w:cs="Arial"/>
                <w:sz w:val="20"/>
                <w:szCs w:val="20"/>
              </w:rPr>
              <w:t>±</w:t>
            </w:r>
            <w:r w:rsidRPr="00974558">
              <w:rPr>
                <w:rFonts w:ascii="Arial" w:hAnsi="Arial" w:cs="Arial"/>
                <w:color w:val="000000"/>
                <w:sz w:val="20"/>
                <w:szCs w:val="20"/>
              </w:rPr>
              <w:t>1,92</w:t>
            </w:r>
            <w:r w:rsidRPr="00974558">
              <w:rPr>
                <w:rFonts w:ascii="Arial" w:hAnsi="Arial" w:cs="Arial"/>
                <w:color w:val="000000"/>
                <w:sz w:val="20"/>
                <w:szCs w:val="20"/>
                <w:vertAlign w:val="superscript"/>
              </w:rPr>
              <w:t>abcd</w:t>
            </w:r>
          </w:p>
        </w:tc>
      </w:tr>
      <w:tr w:rsidR="009450CE" w:rsidRPr="00974558" w14:paraId="6A9A44ED"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69AD5194" w14:textId="77777777" w:rsidR="009450CE" w:rsidRPr="00974558" w:rsidRDefault="009450CE" w:rsidP="009450CE">
            <w:pPr>
              <w:rPr>
                <w:rFonts w:ascii="Arial" w:hAnsi="Arial" w:cs="Arial"/>
                <w:sz w:val="20"/>
                <w:szCs w:val="20"/>
              </w:rPr>
            </w:pPr>
          </w:p>
        </w:tc>
        <w:tc>
          <w:tcPr>
            <w:tcW w:w="1275" w:type="dxa"/>
            <w:hideMark/>
          </w:tcPr>
          <w:p w14:paraId="391F7D13"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B4</w:t>
            </w:r>
          </w:p>
        </w:tc>
        <w:tc>
          <w:tcPr>
            <w:tcW w:w="1700" w:type="dxa"/>
            <w:hideMark/>
          </w:tcPr>
          <w:p w14:paraId="080E015F"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49,28</w:t>
            </w:r>
            <w:r w:rsidRPr="00974558">
              <w:rPr>
                <w:rFonts w:ascii="Arial" w:hAnsi="Arial" w:cs="Arial"/>
                <w:sz w:val="20"/>
                <w:szCs w:val="20"/>
              </w:rPr>
              <w:t>±</w:t>
            </w:r>
            <w:r w:rsidRPr="00974558">
              <w:rPr>
                <w:rFonts w:ascii="Arial" w:hAnsi="Arial" w:cs="Arial"/>
                <w:color w:val="000000"/>
                <w:sz w:val="20"/>
                <w:szCs w:val="20"/>
              </w:rPr>
              <w:t>5,34</w:t>
            </w:r>
            <w:r w:rsidRPr="00974558">
              <w:rPr>
                <w:rFonts w:ascii="Arial" w:hAnsi="Arial" w:cs="Arial"/>
                <w:color w:val="000000"/>
                <w:sz w:val="20"/>
                <w:szCs w:val="20"/>
                <w:vertAlign w:val="superscript"/>
              </w:rPr>
              <w:t>ab</w:t>
            </w:r>
          </w:p>
        </w:tc>
        <w:tc>
          <w:tcPr>
            <w:tcW w:w="1700" w:type="dxa"/>
            <w:hideMark/>
          </w:tcPr>
          <w:p w14:paraId="1C574738"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15,00</w:t>
            </w:r>
            <w:r w:rsidRPr="00974558">
              <w:rPr>
                <w:rFonts w:ascii="Arial" w:hAnsi="Arial" w:cs="Arial"/>
                <w:sz w:val="20"/>
                <w:szCs w:val="20"/>
              </w:rPr>
              <w:t>±</w:t>
            </w:r>
            <w:r w:rsidRPr="00974558">
              <w:rPr>
                <w:rFonts w:ascii="Arial" w:hAnsi="Arial" w:cs="Arial"/>
                <w:color w:val="000000"/>
                <w:sz w:val="20"/>
                <w:szCs w:val="20"/>
              </w:rPr>
              <w:t>1,82</w:t>
            </w:r>
            <w:r w:rsidRPr="00974558">
              <w:rPr>
                <w:rFonts w:ascii="Arial" w:hAnsi="Arial" w:cs="Arial"/>
                <w:color w:val="000000"/>
                <w:sz w:val="20"/>
                <w:szCs w:val="20"/>
                <w:vertAlign w:val="superscript"/>
              </w:rPr>
              <w:t>b</w:t>
            </w:r>
          </w:p>
        </w:tc>
        <w:tc>
          <w:tcPr>
            <w:tcW w:w="1416" w:type="dxa"/>
            <w:hideMark/>
          </w:tcPr>
          <w:p w14:paraId="5B54018A"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w:t>
            </w:r>
            <w:r w:rsidRPr="00974558">
              <w:rPr>
                <w:rFonts w:ascii="Arial" w:hAnsi="Arial" w:cs="Arial"/>
                <w:sz w:val="20"/>
                <w:szCs w:val="20"/>
              </w:rPr>
              <w:t>±</w:t>
            </w:r>
            <w:r w:rsidRPr="00974558">
              <w:rPr>
                <w:rFonts w:ascii="Arial" w:hAnsi="Arial" w:cs="Arial"/>
                <w:color w:val="000000"/>
                <w:sz w:val="20"/>
                <w:szCs w:val="20"/>
              </w:rPr>
              <w:t>0,00</w:t>
            </w:r>
            <w:r w:rsidRPr="00974558">
              <w:rPr>
                <w:rFonts w:ascii="Arial" w:hAnsi="Arial" w:cs="Arial"/>
                <w:color w:val="000000"/>
                <w:sz w:val="20"/>
                <w:szCs w:val="20"/>
                <w:vertAlign w:val="superscript"/>
              </w:rPr>
              <w:t>d</w:t>
            </w:r>
          </w:p>
        </w:tc>
        <w:tc>
          <w:tcPr>
            <w:tcW w:w="1898" w:type="dxa"/>
            <w:hideMark/>
          </w:tcPr>
          <w:p w14:paraId="40CBEEF0"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3,14</w:t>
            </w:r>
            <w:r w:rsidRPr="00974558">
              <w:rPr>
                <w:rFonts w:ascii="Arial" w:hAnsi="Arial" w:cs="Arial"/>
                <w:sz w:val="20"/>
                <w:szCs w:val="20"/>
              </w:rPr>
              <w:t>±</w:t>
            </w:r>
            <w:r w:rsidRPr="00974558">
              <w:rPr>
                <w:rFonts w:ascii="Arial" w:hAnsi="Arial" w:cs="Arial"/>
                <w:color w:val="000000"/>
                <w:sz w:val="20"/>
                <w:szCs w:val="20"/>
              </w:rPr>
              <w:t>0,24</w:t>
            </w:r>
            <w:r w:rsidRPr="00974558">
              <w:rPr>
                <w:rFonts w:ascii="Arial" w:hAnsi="Arial" w:cs="Arial"/>
                <w:color w:val="000000"/>
                <w:sz w:val="20"/>
                <w:szCs w:val="20"/>
                <w:vertAlign w:val="superscript"/>
              </w:rPr>
              <w:t>abcd</w:t>
            </w:r>
          </w:p>
        </w:tc>
      </w:tr>
      <w:tr w:rsidR="009450CE" w:rsidRPr="00974558" w14:paraId="65EE5D2F" w14:textId="77777777" w:rsidTr="009450CE">
        <w:trPr>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3B532CD6" w14:textId="77777777" w:rsidR="009450CE" w:rsidRPr="00974558" w:rsidRDefault="009450CE" w:rsidP="009450CE">
            <w:pPr>
              <w:rPr>
                <w:rFonts w:ascii="Arial" w:hAnsi="Arial" w:cs="Arial"/>
                <w:sz w:val="20"/>
                <w:szCs w:val="20"/>
              </w:rPr>
            </w:pPr>
          </w:p>
        </w:tc>
        <w:tc>
          <w:tcPr>
            <w:tcW w:w="1275" w:type="dxa"/>
            <w:hideMark/>
          </w:tcPr>
          <w:p w14:paraId="00EBE76F"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K0,5</w:t>
            </w:r>
          </w:p>
        </w:tc>
        <w:tc>
          <w:tcPr>
            <w:tcW w:w="1700" w:type="dxa"/>
            <w:hideMark/>
          </w:tcPr>
          <w:p w14:paraId="751A510E"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32,79</w:t>
            </w:r>
            <w:r w:rsidRPr="00974558">
              <w:rPr>
                <w:rFonts w:ascii="Arial" w:hAnsi="Arial" w:cs="Arial"/>
                <w:sz w:val="20"/>
                <w:szCs w:val="20"/>
              </w:rPr>
              <w:t>±</w:t>
            </w:r>
            <w:r w:rsidRPr="00974558">
              <w:rPr>
                <w:rFonts w:ascii="Arial" w:hAnsi="Arial" w:cs="Arial"/>
                <w:color w:val="000000"/>
                <w:sz w:val="20"/>
                <w:szCs w:val="20"/>
              </w:rPr>
              <w:t>8,03</w:t>
            </w:r>
            <w:r w:rsidRPr="00974558">
              <w:rPr>
                <w:rFonts w:ascii="Arial" w:hAnsi="Arial" w:cs="Arial"/>
                <w:color w:val="000000"/>
                <w:sz w:val="20"/>
                <w:szCs w:val="20"/>
                <w:vertAlign w:val="superscript"/>
              </w:rPr>
              <w:t>bd</w:t>
            </w:r>
          </w:p>
        </w:tc>
        <w:tc>
          <w:tcPr>
            <w:tcW w:w="1700" w:type="dxa"/>
            <w:hideMark/>
          </w:tcPr>
          <w:p w14:paraId="0DA48E16"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12,40</w:t>
            </w:r>
            <w:r w:rsidRPr="00974558">
              <w:rPr>
                <w:rFonts w:ascii="Arial" w:hAnsi="Arial" w:cs="Arial"/>
                <w:sz w:val="20"/>
                <w:szCs w:val="20"/>
              </w:rPr>
              <w:t>±</w:t>
            </w:r>
            <w:r w:rsidRPr="00974558">
              <w:rPr>
                <w:rFonts w:ascii="Arial" w:hAnsi="Arial" w:cs="Arial"/>
                <w:color w:val="000000"/>
                <w:sz w:val="20"/>
                <w:szCs w:val="20"/>
              </w:rPr>
              <w:t>2,13</w:t>
            </w:r>
            <w:r w:rsidRPr="00974558">
              <w:rPr>
                <w:rFonts w:ascii="Arial" w:hAnsi="Arial" w:cs="Arial"/>
                <w:color w:val="000000"/>
                <w:sz w:val="20"/>
                <w:szCs w:val="20"/>
                <w:vertAlign w:val="superscript"/>
              </w:rPr>
              <w:t>ab</w:t>
            </w:r>
          </w:p>
        </w:tc>
        <w:tc>
          <w:tcPr>
            <w:tcW w:w="1416" w:type="dxa"/>
            <w:hideMark/>
          </w:tcPr>
          <w:p w14:paraId="7CEB94B7"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1,53</w:t>
            </w:r>
            <w:r w:rsidRPr="00974558">
              <w:rPr>
                <w:rFonts w:ascii="Arial" w:hAnsi="Arial" w:cs="Arial"/>
                <w:sz w:val="20"/>
                <w:szCs w:val="20"/>
              </w:rPr>
              <w:t>±</w:t>
            </w:r>
            <w:r w:rsidRPr="00974558">
              <w:rPr>
                <w:rFonts w:ascii="Arial" w:hAnsi="Arial" w:cs="Arial"/>
                <w:color w:val="000000"/>
                <w:sz w:val="20"/>
                <w:szCs w:val="20"/>
              </w:rPr>
              <w:t>0,52</w:t>
            </w:r>
            <w:r w:rsidRPr="00974558">
              <w:rPr>
                <w:rFonts w:ascii="Arial" w:hAnsi="Arial" w:cs="Arial"/>
                <w:color w:val="000000"/>
                <w:sz w:val="20"/>
                <w:szCs w:val="20"/>
                <w:vertAlign w:val="superscript"/>
              </w:rPr>
              <w:t>bc</w:t>
            </w:r>
          </w:p>
        </w:tc>
        <w:tc>
          <w:tcPr>
            <w:tcW w:w="1898" w:type="dxa"/>
            <w:hideMark/>
          </w:tcPr>
          <w:p w14:paraId="74B52F8E"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2,69</w:t>
            </w:r>
            <w:r w:rsidRPr="00974558">
              <w:rPr>
                <w:rFonts w:ascii="Arial" w:hAnsi="Arial" w:cs="Arial"/>
                <w:sz w:val="20"/>
                <w:szCs w:val="20"/>
              </w:rPr>
              <w:t>±</w:t>
            </w:r>
            <w:r w:rsidRPr="00974558">
              <w:rPr>
                <w:rFonts w:ascii="Arial" w:hAnsi="Arial" w:cs="Arial"/>
                <w:color w:val="000000"/>
                <w:sz w:val="20"/>
                <w:szCs w:val="20"/>
              </w:rPr>
              <w:t>0,86</w:t>
            </w:r>
            <w:r w:rsidRPr="00974558">
              <w:rPr>
                <w:rFonts w:ascii="Arial" w:hAnsi="Arial" w:cs="Arial"/>
                <w:color w:val="000000"/>
                <w:sz w:val="20"/>
                <w:szCs w:val="20"/>
                <w:vertAlign w:val="superscript"/>
              </w:rPr>
              <w:t>abcd</w:t>
            </w:r>
          </w:p>
        </w:tc>
      </w:tr>
      <w:tr w:rsidR="009450CE" w:rsidRPr="00974558" w14:paraId="608C53AB"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0479C4FF" w14:textId="77777777" w:rsidR="009450CE" w:rsidRPr="00974558" w:rsidRDefault="009450CE" w:rsidP="009450CE">
            <w:pPr>
              <w:rPr>
                <w:rFonts w:ascii="Arial" w:hAnsi="Arial" w:cs="Arial"/>
                <w:sz w:val="20"/>
                <w:szCs w:val="20"/>
              </w:rPr>
            </w:pPr>
          </w:p>
        </w:tc>
        <w:tc>
          <w:tcPr>
            <w:tcW w:w="1275" w:type="dxa"/>
            <w:hideMark/>
          </w:tcPr>
          <w:p w14:paraId="4E8713D9"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K1</w:t>
            </w:r>
          </w:p>
        </w:tc>
        <w:tc>
          <w:tcPr>
            <w:tcW w:w="1700" w:type="dxa"/>
            <w:hideMark/>
          </w:tcPr>
          <w:p w14:paraId="2F1141ED"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38,40</w:t>
            </w:r>
            <w:r w:rsidRPr="00974558">
              <w:rPr>
                <w:rFonts w:ascii="Arial" w:hAnsi="Arial" w:cs="Arial"/>
                <w:sz w:val="20"/>
                <w:szCs w:val="20"/>
              </w:rPr>
              <w:t>±</w:t>
            </w:r>
            <w:r w:rsidRPr="00974558">
              <w:rPr>
                <w:rFonts w:ascii="Arial" w:hAnsi="Arial" w:cs="Arial"/>
                <w:color w:val="000000"/>
                <w:sz w:val="20"/>
                <w:szCs w:val="20"/>
              </w:rPr>
              <w:t>6,55</w:t>
            </w:r>
            <w:r w:rsidRPr="00974558">
              <w:rPr>
                <w:rFonts w:ascii="Arial" w:hAnsi="Arial" w:cs="Arial"/>
                <w:color w:val="000000"/>
                <w:sz w:val="20"/>
                <w:szCs w:val="20"/>
                <w:vertAlign w:val="superscript"/>
              </w:rPr>
              <w:t>b</w:t>
            </w:r>
          </w:p>
        </w:tc>
        <w:tc>
          <w:tcPr>
            <w:tcW w:w="1700" w:type="dxa"/>
            <w:hideMark/>
          </w:tcPr>
          <w:p w14:paraId="441AEF9F"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14,40</w:t>
            </w:r>
            <w:r w:rsidRPr="00974558">
              <w:rPr>
                <w:rFonts w:ascii="Arial" w:hAnsi="Arial" w:cs="Arial"/>
                <w:sz w:val="20"/>
                <w:szCs w:val="20"/>
              </w:rPr>
              <w:t>±</w:t>
            </w:r>
            <w:r w:rsidRPr="00974558">
              <w:rPr>
                <w:rFonts w:ascii="Arial" w:hAnsi="Arial" w:cs="Arial"/>
                <w:color w:val="000000"/>
                <w:sz w:val="20"/>
                <w:szCs w:val="20"/>
              </w:rPr>
              <w:t>2,50</w:t>
            </w:r>
            <w:r w:rsidRPr="00974558">
              <w:rPr>
                <w:rFonts w:ascii="Arial" w:hAnsi="Arial" w:cs="Arial"/>
                <w:color w:val="000000"/>
                <w:sz w:val="20"/>
                <w:szCs w:val="20"/>
                <w:vertAlign w:val="superscript"/>
              </w:rPr>
              <w:t>ab</w:t>
            </w:r>
          </w:p>
        </w:tc>
        <w:tc>
          <w:tcPr>
            <w:tcW w:w="1416" w:type="dxa"/>
            <w:hideMark/>
          </w:tcPr>
          <w:p w14:paraId="58678E63"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1,30</w:t>
            </w:r>
            <w:r w:rsidRPr="00974558">
              <w:rPr>
                <w:rFonts w:ascii="Arial" w:hAnsi="Arial" w:cs="Arial"/>
                <w:sz w:val="20"/>
                <w:szCs w:val="20"/>
              </w:rPr>
              <w:t>±</w:t>
            </w:r>
            <w:r w:rsidRPr="00974558">
              <w:rPr>
                <w:rFonts w:ascii="Arial" w:hAnsi="Arial" w:cs="Arial"/>
                <w:color w:val="000000"/>
                <w:sz w:val="20"/>
                <w:szCs w:val="20"/>
              </w:rPr>
              <w:t>0,48</w:t>
            </w:r>
            <w:r w:rsidRPr="00974558">
              <w:rPr>
                <w:rFonts w:ascii="Arial" w:hAnsi="Arial" w:cs="Arial"/>
                <w:color w:val="000000"/>
                <w:sz w:val="20"/>
                <w:szCs w:val="20"/>
                <w:vertAlign w:val="superscript"/>
              </w:rPr>
              <w:t>cd</w:t>
            </w:r>
          </w:p>
        </w:tc>
        <w:tc>
          <w:tcPr>
            <w:tcW w:w="1898" w:type="dxa"/>
            <w:hideMark/>
          </w:tcPr>
          <w:p w14:paraId="17CE4DD3"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2,57</w:t>
            </w:r>
            <w:r w:rsidRPr="00974558">
              <w:rPr>
                <w:rFonts w:ascii="Arial" w:hAnsi="Arial" w:cs="Arial"/>
                <w:sz w:val="20"/>
                <w:szCs w:val="20"/>
              </w:rPr>
              <w:t>±</w:t>
            </w:r>
            <w:r w:rsidRPr="00974558">
              <w:rPr>
                <w:rFonts w:ascii="Arial" w:hAnsi="Arial" w:cs="Arial"/>
                <w:color w:val="000000"/>
                <w:sz w:val="20"/>
                <w:szCs w:val="20"/>
              </w:rPr>
              <w:t>0,65</w:t>
            </w:r>
            <w:r w:rsidRPr="00974558">
              <w:rPr>
                <w:rFonts w:ascii="Arial" w:hAnsi="Arial" w:cs="Arial"/>
                <w:color w:val="000000"/>
                <w:sz w:val="20"/>
                <w:szCs w:val="20"/>
                <w:vertAlign w:val="superscript"/>
              </w:rPr>
              <w:t>abcd</w:t>
            </w:r>
          </w:p>
        </w:tc>
      </w:tr>
      <w:tr w:rsidR="009450CE" w:rsidRPr="00974558" w14:paraId="51DCC403" w14:textId="77777777" w:rsidTr="009450CE">
        <w:trPr>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0272B3EC" w14:textId="77777777" w:rsidR="009450CE" w:rsidRPr="00974558" w:rsidRDefault="009450CE" w:rsidP="009450CE">
            <w:pPr>
              <w:rPr>
                <w:rFonts w:ascii="Arial" w:hAnsi="Arial" w:cs="Arial"/>
                <w:sz w:val="20"/>
                <w:szCs w:val="20"/>
              </w:rPr>
            </w:pPr>
          </w:p>
        </w:tc>
        <w:tc>
          <w:tcPr>
            <w:tcW w:w="1275" w:type="dxa"/>
            <w:hideMark/>
          </w:tcPr>
          <w:p w14:paraId="056D0E53"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K2</w:t>
            </w:r>
          </w:p>
        </w:tc>
        <w:tc>
          <w:tcPr>
            <w:tcW w:w="1700" w:type="dxa"/>
            <w:hideMark/>
          </w:tcPr>
          <w:p w14:paraId="43CB325D"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37,36</w:t>
            </w:r>
            <w:r w:rsidRPr="00974558">
              <w:rPr>
                <w:rFonts w:ascii="Arial" w:hAnsi="Arial" w:cs="Arial"/>
                <w:sz w:val="20"/>
                <w:szCs w:val="20"/>
              </w:rPr>
              <w:t>±</w:t>
            </w:r>
            <w:r w:rsidRPr="00974558">
              <w:rPr>
                <w:rFonts w:ascii="Arial" w:hAnsi="Arial" w:cs="Arial"/>
                <w:color w:val="000000"/>
                <w:sz w:val="20"/>
                <w:szCs w:val="20"/>
              </w:rPr>
              <w:t>6,96</w:t>
            </w:r>
            <w:r w:rsidRPr="00974558">
              <w:rPr>
                <w:rFonts w:ascii="Arial" w:hAnsi="Arial" w:cs="Arial"/>
                <w:color w:val="000000"/>
                <w:sz w:val="20"/>
                <w:szCs w:val="20"/>
                <w:vertAlign w:val="superscript"/>
              </w:rPr>
              <w:t>bc</w:t>
            </w:r>
          </w:p>
        </w:tc>
        <w:tc>
          <w:tcPr>
            <w:tcW w:w="1700" w:type="dxa"/>
            <w:hideMark/>
          </w:tcPr>
          <w:p w14:paraId="6557EAB2"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13,91</w:t>
            </w:r>
            <w:r w:rsidRPr="00974558">
              <w:rPr>
                <w:rFonts w:ascii="Arial" w:hAnsi="Arial" w:cs="Arial"/>
                <w:sz w:val="20"/>
                <w:szCs w:val="20"/>
              </w:rPr>
              <w:t>±</w:t>
            </w:r>
            <w:r w:rsidRPr="00974558">
              <w:rPr>
                <w:rFonts w:ascii="Arial" w:hAnsi="Arial" w:cs="Arial"/>
                <w:color w:val="000000"/>
                <w:sz w:val="20"/>
                <w:szCs w:val="20"/>
              </w:rPr>
              <w:t>0,70</w:t>
            </w:r>
            <w:r w:rsidRPr="00974558">
              <w:rPr>
                <w:rFonts w:ascii="Arial" w:hAnsi="Arial" w:cs="Arial"/>
                <w:color w:val="000000"/>
                <w:sz w:val="20"/>
                <w:szCs w:val="20"/>
                <w:vertAlign w:val="superscript"/>
              </w:rPr>
              <w:t>ab</w:t>
            </w:r>
          </w:p>
        </w:tc>
        <w:tc>
          <w:tcPr>
            <w:tcW w:w="1416" w:type="dxa"/>
            <w:hideMark/>
          </w:tcPr>
          <w:p w14:paraId="78D3A62C"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1,36</w:t>
            </w:r>
            <w:r w:rsidRPr="00974558">
              <w:rPr>
                <w:rFonts w:ascii="Arial" w:hAnsi="Arial" w:cs="Arial"/>
                <w:sz w:val="20"/>
                <w:szCs w:val="20"/>
              </w:rPr>
              <w:t>±</w:t>
            </w:r>
            <w:r w:rsidRPr="00974558">
              <w:rPr>
                <w:rFonts w:ascii="Arial" w:hAnsi="Arial" w:cs="Arial"/>
                <w:color w:val="000000"/>
                <w:sz w:val="20"/>
                <w:szCs w:val="20"/>
              </w:rPr>
              <w:t>0,50</w:t>
            </w:r>
            <w:r w:rsidRPr="00974558">
              <w:rPr>
                <w:rFonts w:ascii="Arial" w:hAnsi="Arial" w:cs="Arial"/>
                <w:color w:val="000000"/>
                <w:sz w:val="20"/>
                <w:szCs w:val="20"/>
                <w:vertAlign w:val="superscript"/>
              </w:rPr>
              <w:t>cd</w:t>
            </w:r>
          </w:p>
        </w:tc>
        <w:tc>
          <w:tcPr>
            <w:tcW w:w="1898" w:type="dxa"/>
            <w:hideMark/>
          </w:tcPr>
          <w:p w14:paraId="6A9ADB52"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2,76</w:t>
            </w:r>
            <w:r w:rsidRPr="00974558">
              <w:rPr>
                <w:rFonts w:ascii="Arial" w:hAnsi="Arial" w:cs="Arial"/>
                <w:sz w:val="20"/>
                <w:szCs w:val="20"/>
              </w:rPr>
              <w:t>±</w:t>
            </w:r>
            <w:r w:rsidRPr="00974558">
              <w:rPr>
                <w:rFonts w:ascii="Arial" w:hAnsi="Arial" w:cs="Arial"/>
                <w:color w:val="000000"/>
                <w:sz w:val="20"/>
                <w:szCs w:val="20"/>
              </w:rPr>
              <w:t>0,87</w:t>
            </w:r>
            <w:r w:rsidRPr="00974558">
              <w:rPr>
                <w:rFonts w:ascii="Arial" w:hAnsi="Arial" w:cs="Arial"/>
                <w:color w:val="000000"/>
                <w:sz w:val="20"/>
                <w:szCs w:val="20"/>
                <w:vertAlign w:val="superscript"/>
              </w:rPr>
              <w:t>abcd</w:t>
            </w:r>
          </w:p>
        </w:tc>
      </w:tr>
      <w:tr w:rsidR="009450CE" w:rsidRPr="00974558" w14:paraId="4BE4F984"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1D587E29" w14:textId="77777777" w:rsidR="009450CE" w:rsidRPr="00974558" w:rsidRDefault="009450CE" w:rsidP="009450CE">
            <w:pPr>
              <w:rPr>
                <w:rFonts w:ascii="Arial" w:hAnsi="Arial" w:cs="Arial"/>
                <w:sz w:val="20"/>
                <w:szCs w:val="20"/>
              </w:rPr>
            </w:pPr>
          </w:p>
        </w:tc>
        <w:tc>
          <w:tcPr>
            <w:tcW w:w="1275" w:type="dxa"/>
            <w:hideMark/>
          </w:tcPr>
          <w:p w14:paraId="66ECA0EA"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K4</w:t>
            </w:r>
          </w:p>
        </w:tc>
        <w:tc>
          <w:tcPr>
            <w:tcW w:w="1700" w:type="dxa"/>
            <w:hideMark/>
          </w:tcPr>
          <w:p w14:paraId="1EE62FCA"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33,45</w:t>
            </w:r>
            <w:r w:rsidRPr="00974558">
              <w:rPr>
                <w:rFonts w:ascii="Arial" w:hAnsi="Arial" w:cs="Arial"/>
                <w:sz w:val="20"/>
                <w:szCs w:val="20"/>
              </w:rPr>
              <w:t>±</w:t>
            </w:r>
            <w:r w:rsidRPr="00974558">
              <w:rPr>
                <w:rFonts w:ascii="Arial" w:hAnsi="Arial" w:cs="Arial"/>
                <w:color w:val="000000"/>
                <w:sz w:val="20"/>
                <w:szCs w:val="20"/>
              </w:rPr>
              <w:t>6,95</w:t>
            </w:r>
            <w:r w:rsidRPr="00974558">
              <w:rPr>
                <w:rFonts w:ascii="Arial" w:hAnsi="Arial" w:cs="Arial"/>
                <w:color w:val="000000"/>
                <w:sz w:val="20"/>
                <w:szCs w:val="20"/>
                <w:vertAlign w:val="superscript"/>
              </w:rPr>
              <w:t>bd</w:t>
            </w:r>
          </w:p>
        </w:tc>
        <w:tc>
          <w:tcPr>
            <w:tcW w:w="1700" w:type="dxa"/>
            <w:hideMark/>
          </w:tcPr>
          <w:p w14:paraId="7FC418BE"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11,27</w:t>
            </w:r>
            <w:r w:rsidRPr="00974558">
              <w:rPr>
                <w:rFonts w:ascii="Arial" w:hAnsi="Arial" w:cs="Arial"/>
                <w:sz w:val="20"/>
                <w:szCs w:val="20"/>
              </w:rPr>
              <w:t>±</w:t>
            </w:r>
            <w:r w:rsidRPr="00974558">
              <w:rPr>
                <w:rFonts w:ascii="Arial" w:hAnsi="Arial" w:cs="Arial"/>
                <w:color w:val="000000"/>
                <w:sz w:val="20"/>
                <w:szCs w:val="20"/>
              </w:rPr>
              <w:t>1,79</w:t>
            </w:r>
            <w:r w:rsidRPr="00974558">
              <w:rPr>
                <w:rFonts w:ascii="Arial" w:hAnsi="Arial" w:cs="Arial"/>
                <w:color w:val="000000"/>
                <w:sz w:val="20"/>
                <w:szCs w:val="20"/>
                <w:vertAlign w:val="superscript"/>
              </w:rPr>
              <w:t>b</w:t>
            </w:r>
          </w:p>
        </w:tc>
        <w:tc>
          <w:tcPr>
            <w:tcW w:w="1416" w:type="dxa"/>
            <w:hideMark/>
          </w:tcPr>
          <w:p w14:paraId="20F6325A"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1,27</w:t>
            </w:r>
            <w:r w:rsidRPr="00974558">
              <w:rPr>
                <w:rFonts w:ascii="Arial" w:hAnsi="Arial" w:cs="Arial"/>
                <w:sz w:val="20"/>
                <w:szCs w:val="20"/>
              </w:rPr>
              <w:t>±</w:t>
            </w:r>
            <w:r w:rsidRPr="00974558">
              <w:rPr>
                <w:rFonts w:ascii="Arial" w:hAnsi="Arial" w:cs="Arial"/>
                <w:color w:val="000000"/>
                <w:sz w:val="20"/>
                <w:szCs w:val="20"/>
              </w:rPr>
              <w:t>0,47</w:t>
            </w:r>
            <w:r w:rsidRPr="00974558">
              <w:rPr>
                <w:rFonts w:ascii="Arial" w:hAnsi="Arial" w:cs="Arial"/>
                <w:color w:val="000000"/>
                <w:sz w:val="20"/>
                <w:szCs w:val="20"/>
                <w:vertAlign w:val="superscript"/>
              </w:rPr>
              <w:t>cd</w:t>
            </w:r>
          </w:p>
        </w:tc>
        <w:tc>
          <w:tcPr>
            <w:tcW w:w="1898" w:type="dxa"/>
            <w:hideMark/>
          </w:tcPr>
          <w:p w14:paraId="1FF66DF4"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3,30</w:t>
            </w:r>
            <w:r w:rsidRPr="00974558">
              <w:rPr>
                <w:rFonts w:ascii="Arial" w:hAnsi="Arial" w:cs="Arial"/>
                <w:sz w:val="20"/>
                <w:szCs w:val="20"/>
              </w:rPr>
              <w:t>±</w:t>
            </w:r>
            <w:r w:rsidRPr="00974558">
              <w:rPr>
                <w:rFonts w:ascii="Arial" w:hAnsi="Arial" w:cs="Arial"/>
                <w:color w:val="000000"/>
                <w:sz w:val="20"/>
                <w:szCs w:val="20"/>
              </w:rPr>
              <w:t>2,06</w:t>
            </w:r>
            <w:r w:rsidRPr="00974558">
              <w:rPr>
                <w:rFonts w:ascii="Arial" w:hAnsi="Arial" w:cs="Arial"/>
                <w:color w:val="000000"/>
                <w:sz w:val="20"/>
                <w:szCs w:val="20"/>
                <w:vertAlign w:val="superscript"/>
              </w:rPr>
              <w:t>abcd</w:t>
            </w:r>
          </w:p>
        </w:tc>
      </w:tr>
      <w:tr w:rsidR="009450CE" w:rsidRPr="00974558" w14:paraId="312A7498" w14:textId="77777777" w:rsidTr="009450CE">
        <w:trPr>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2A45088F" w14:textId="77777777" w:rsidR="009450CE" w:rsidRPr="00974558" w:rsidRDefault="009450CE" w:rsidP="009450CE">
            <w:pPr>
              <w:rPr>
                <w:rFonts w:ascii="Arial" w:hAnsi="Arial" w:cs="Arial"/>
                <w:sz w:val="20"/>
                <w:szCs w:val="20"/>
              </w:rPr>
            </w:pPr>
          </w:p>
        </w:tc>
        <w:tc>
          <w:tcPr>
            <w:tcW w:w="1275" w:type="dxa"/>
            <w:hideMark/>
          </w:tcPr>
          <w:p w14:paraId="356613FE"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T0,01</w:t>
            </w:r>
          </w:p>
        </w:tc>
        <w:tc>
          <w:tcPr>
            <w:tcW w:w="1700" w:type="dxa"/>
            <w:hideMark/>
          </w:tcPr>
          <w:p w14:paraId="2819BA09"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28,78</w:t>
            </w:r>
            <w:r w:rsidRPr="00974558">
              <w:rPr>
                <w:rFonts w:ascii="Arial" w:hAnsi="Arial" w:cs="Arial"/>
                <w:sz w:val="20"/>
                <w:szCs w:val="20"/>
              </w:rPr>
              <w:t>±</w:t>
            </w:r>
            <w:r w:rsidRPr="00974558">
              <w:rPr>
                <w:rFonts w:ascii="Arial" w:hAnsi="Arial" w:cs="Arial"/>
                <w:color w:val="000000"/>
                <w:sz w:val="20"/>
                <w:szCs w:val="20"/>
              </w:rPr>
              <w:t>6,26</w:t>
            </w:r>
            <w:r w:rsidRPr="00974558">
              <w:rPr>
                <w:rFonts w:ascii="Arial" w:hAnsi="Arial" w:cs="Arial"/>
                <w:color w:val="000000"/>
                <w:sz w:val="20"/>
                <w:szCs w:val="20"/>
                <w:vertAlign w:val="superscript"/>
              </w:rPr>
              <w:t>d</w:t>
            </w:r>
          </w:p>
        </w:tc>
        <w:tc>
          <w:tcPr>
            <w:tcW w:w="1700" w:type="dxa"/>
            <w:hideMark/>
          </w:tcPr>
          <w:p w14:paraId="7E02BF09"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12,50</w:t>
            </w:r>
            <w:r w:rsidRPr="00974558">
              <w:rPr>
                <w:rFonts w:ascii="Arial" w:hAnsi="Arial" w:cs="Arial"/>
                <w:sz w:val="20"/>
                <w:szCs w:val="20"/>
              </w:rPr>
              <w:t>±</w:t>
            </w:r>
            <w:r w:rsidRPr="00974558">
              <w:rPr>
                <w:rFonts w:ascii="Arial" w:hAnsi="Arial" w:cs="Arial"/>
                <w:color w:val="000000"/>
                <w:sz w:val="20"/>
                <w:szCs w:val="20"/>
              </w:rPr>
              <w:t>1,91</w:t>
            </w:r>
            <w:r w:rsidRPr="00974558">
              <w:rPr>
                <w:rFonts w:ascii="Arial" w:hAnsi="Arial" w:cs="Arial"/>
                <w:color w:val="000000"/>
                <w:sz w:val="20"/>
                <w:szCs w:val="20"/>
                <w:vertAlign w:val="superscript"/>
              </w:rPr>
              <w:t>ab</w:t>
            </w:r>
          </w:p>
        </w:tc>
        <w:tc>
          <w:tcPr>
            <w:tcW w:w="1416" w:type="dxa"/>
            <w:hideMark/>
          </w:tcPr>
          <w:p w14:paraId="4A67BF52"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1,50</w:t>
            </w:r>
            <w:r w:rsidRPr="00974558">
              <w:rPr>
                <w:rFonts w:ascii="Arial" w:hAnsi="Arial" w:cs="Arial"/>
                <w:sz w:val="20"/>
                <w:szCs w:val="20"/>
              </w:rPr>
              <w:t>±</w:t>
            </w:r>
            <w:r w:rsidRPr="00974558">
              <w:rPr>
                <w:rFonts w:ascii="Arial" w:hAnsi="Arial" w:cs="Arial"/>
                <w:color w:val="000000"/>
                <w:sz w:val="20"/>
                <w:szCs w:val="20"/>
              </w:rPr>
              <w:t>0,52</w:t>
            </w:r>
            <w:r w:rsidRPr="00974558">
              <w:rPr>
                <w:rFonts w:ascii="Arial" w:hAnsi="Arial" w:cs="Arial"/>
                <w:color w:val="000000"/>
                <w:sz w:val="20"/>
                <w:szCs w:val="20"/>
                <w:vertAlign w:val="superscript"/>
              </w:rPr>
              <w:t>bc</w:t>
            </w:r>
          </w:p>
        </w:tc>
        <w:tc>
          <w:tcPr>
            <w:tcW w:w="1898" w:type="dxa"/>
            <w:hideMark/>
          </w:tcPr>
          <w:p w14:paraId="09237ACB"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3,17</w:t>
            </w:r>
            <w:r w:rsidRPr="00974558">
              <w:rPr>
                <w:rFonts w:ascii="Arial" w:hAnsi="Arial" w:cs="Arial"/>
                <w:sz w:val="20"/>
                <w:szCs w:val="20"/>
              </w:rPr>
              <w:t>±</w:t>
            </w:r>
            <w:r w:rsidRPr="00974558">
              <w:rPr>
                <w:rFonts w:ascii="Arial" w:hAnsi="Arial" w:cs="Arial"/>
                <w:color w:val="000000"/>
                <w:sz w:val="20"/>
                <w:szCs w:val="20"/>
              </w:rPr>
              <w:t>1,38</w:t>
            </w:r>
            <w:r w:rsidRPr="00974558">
              <w:rPr>
                <w:rFonts w:ascii="Arial" w:hAnsi="Arial" w:cs="Arial"/>
                <w:color w:val="000000"/>
                <w:sz w:val="20"/>
                <w:szCs w:val="20"/>
                <w:vertAlign w:val="superscript"/>
              </w:rPr>
              <w:t>abcd</w:t>
            </w:r>
          </w:p>
        </w:tc>
      </w:tr>
      <w:tr w:rsidR="009450CE" w:rsidRPr="00974558" w14:paraId="6A9D739E"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44C7C38F" w14:textId="77777777" w:rsidR="009450CE" w:rsidRPr="00974558" w:rsidRDefault="009450CE" w:rsidP="009450CE">
            <w:pPr>
              <w:rPr>
                <w:rFonts w:ascii="Arial" w:hAnsi="Arial" w:cs="Arial"/>
                <w:sz w:val="20"/>
                <w:szCs w:val="20"/>
              </w:rPr>
            </w:pPr>
          </w:p>
        </w:tc>
        <w:tc>
          <w:tcPr>
            <w:tcW w:w="1275" w:type="dxa"/>
            <w:hideMark/>
          </w:tcPr>
          <w:p w14:paraId="3EA624B5"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T0,1</w:t>
            </w:r>
          </w:p>
        </w:tc>
        <w:tc>
          <w:tcPr>
            <w:tcW w:w="1700" w:type="dxa"/>
            <w:hideMark/>
          </w:tcPr>
          <w:p w14:paraId="06DB12D7"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23,28</w:t>
            </w:r>
            <w:r w:rsidRPr="00974558">
              <w:rPr>
                <w:rFonts w:ascii="Arial" w:hAnsi="Arial" w:cs="Arial"/>
                <w:sz w:val="20"/>
                <w:szCs w:val="20"/>
              </w:rPr>
              <w:t>±</w:t>
            </w:r>
            <w:r w:rsidRPr="00974558">
              <w:rPr>
                <w:rFonts w:ascii="Arial" w:hAnsi="Arial" w:cs="Arial"/>
                <w:color w:val="000000"/>
                <w:sz w:val="20"/>
                <w:szCs w:val="20"/>
              </w:rPr>
              <w:t>5,34</w:t>
            </w:r>
            <w:r w:rsidRPr="00974558">
              <w:rPr>
                <w:rFonts w:ascii="Arial" w:hAnsi="Arial" w:cs="Arial"/>
                <w:color w:val="000000"/>
                <w:sz w:val="20"/>
                <w:szCs w:val="20"/>
                <w:vertAlign w:val="superscript"/>
              </w:rPr>
              <w:t>e</w:t>
            </w:r>
          </w:p>
        </w:tc>
        <w:tc>
          <w:tcPr>
            <w:tcW w:w="1700" w:type="dxa"/>
            <w:hideMark/>
          </w:tcPr>
          <w:p w14:paraId="1D6E88D7"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14,86</w:t>
            </w:r>
            <w:r w:rsidRPr="00974558">
              <w:rPr>
                <w:rFonts w:ascii="Arial" w:hAnsi="Arial" w:cs="Arial"/>
                <w:sz w:val="20"/>
                <w:szCs w:val="20"/>
              </w:rPr>
              <w:t>±</w:t>
            </w:r>
            <w:r w:rsidRPr="00974558">
              <w:rPr>
                <w:rFonts w:ascii="Arial" w:hAnsi="Arial" w:cs="Arial"/>
                <w:color w:val="000000"/>
                <w:sz w:val="20"/>
                <w:szCs w:val="20"/>
              </w:rPr>
              <w:t>4,81</w:t>
            </w:r>
            <w:r w:rsidRPr="00974558">
              <w:rPr>
                <w:rFonts w:ascii="Arial" w:hAnsi="Arial" w:cs="Arial"/>
                <w:color w:val="000000"/>
                <w:sz w:val="20"/>
                <w:szCs w:val="20"/>
                <w:vertAlign w:val="superscript"/>
              </w:rPr>
              <w:t>ab</w:t>
            </w:r>
          </w:p>
        </w:tc>
        <w:tc>
          <w:tcPr>
            <w:tcW w:w="1416" w:type="dxa"/>
            <w:hideMark/>
          </w:tcPr>
          <w:p w14:paraId="34846591"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w:t>
            </w:r>
            <w:r w:rsidRPr="00974558">
              <w:rPr>
                <w:rFonts w:ascii="Arial" w:hAnsi="Arial" w:cs="Arial"/>
                <w:sz w:val="20"/>
                <w:szCs w:val="20"/>
              </w:rPr>
              <w:t>±</w:t>
            </w:r>
            <w:r w:rsidRPr="00974558">
              <w:rPr>
                <w:rFonts w:ascii="Arial" w:hAnsi="Arial" w:cs="Arial"/>
                <w:color w:val="000000"/>
                <w:sz w:val="20"/>
                <w:szCs w:val="20"/>
              </w:rPr>
              <w:t>0,00</w:t>
            </w:r>
            <w:r w:rsidRPr="00974558">
              <w:rPr>
                <w:rFonts w:ascii="Arial" w:hAnsi="Arial" w:cs="Arial"/>
                <w:color w:val="000000"/>
                <w:sz w:val="20"/>
                <w:szCs w:val="20"/>
                <w:vertAlign w:val="superscript"/>
              </w:rPr>
              <w:t>d</w:t>
            </w:r>
          </w:p>
        </w:tc>
        <w:tc>
          <w:tcPr>
            <w:tcW w:w="1898" w:type="dxa"/>
            <w:hideMark/>
          </w:tcPr>
          <w:p w14:paraId="56392DC3"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2,30</w:t>
            </w:r>
            <w:r w:rsidRPr="00974558">
              <w:rPr>
                <w:rFonts w:ascii="Arial" w:hAnsi="Arial" w:cs="Arial"/>
                <w:sz w:val="20"/>
                <w:szCs w:val="20"/>
              </w:rPr>
              <w:t>±</w:t>
            </w:r>
            <w:r w:rsidRPr="00974558">
              <w:rPr>
                <w:rFonts w:ascii="Arial" w:hAnsi="Arial" w:cs="Arial"/>
                <w:color w:val="000000"/>
                <w:sz w:val="20"/>
                <w:szCs w:val="20"/>
              </w:rPr>
              <w:t>1,53</w:t>
            </w:r>
            <w:r w:rsidRPr="00974558">
              <w:rPr>
                <w:rFonts w:ascii="Arial" w:hAnsi="Arial" w:cs="Arial"/>
                <w:color w:val="000000"/>
                <w:sz w:val="20"/>
                <w:szCs w:val="20"/>
                <w:vertAlign w:val="superscript"/>
              </w:rPr>
              <w:t>abcd</w:t>
            </w:r>
          </w:p>
        </w:tc>
      </w:tr>
      <w:tr w:rsidR="009450CE" w:rsidRPr="00974558" w14:paraId="76924E86" w14:textId="77777777" w:rsidTr="009450CE">
        <w:trPr>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3569762D" w14:textId="77777777" w:rsidR="009450CE" w:rsidRPr="00974558" w:rsidRDefault="009450CE" w:rsidP="009450CE">
            <w:pPr>
              <w:rPr>
                <w:rFonts w:ascii="Arial" w:hAnsi="Arial" w:cs="Arial"/>
                <w:sz w:val="20"/>
                <w:szCs w:val="20"/>
              </w:rPr>
            </w:pPr>
          </w:p>
        </w:tc>
        <w:tc>
          <w:tcPr>
            <w:tcW w:w="1275" w:type="dxa"/>
            <w:hideMark/>
          </w:tcPr>
          <w:p w14:paraId="29E766E7"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T0,25</w:t>
            </w:r>
          </w:p>
        </w:tc>
        <w:tc>
          <w:tcPr>
            <w:tcW w:w="1700" w:type="dxa"/>
            <w:hideMark/>
          </w:tcPr>
          <w:p w14:paraId="2D637B7E"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15,25</w:t>
            </w:r>
            <w:r w:rsidRPr="00974558">
              <w:rPr>
                <w:rFonts w:ascii="Arial" w:hAnsi="Arial" w:cs="Arial"/>
                <w:sz w:val="20"/>
                <w:szCs w:val="20"/>
              </w:rPr>
              <w:t>±</w:t>
            </w:r>
            <w:r w:rsidRPr="00974558">
              <w:rPr>
                <w:rFonts w:ascii="Arial" w:hAnsi="Arial" w:cs="Arial"/>
                <w:color w:val="000000"/>
                <w:sz w:val="20"/>
                <w:szCs w:val="20"/>
              </w:rPr>
              <w:t>4,56</w:t>
            </w:r>
            <w:r w:rsidRPr="00974558">
              <w:rPr>
                <w:rFonts w:ascii="Arial" w:hAnsi="Arial" w:cs="Arial"/>
                <w:color w:val="000000"/>
                <w:sz w:val="20"/>
                <w:szCs w:val="20"/>
                <w:vertAlign w:val="superscript"/>
              </w:rPr>
              <w:t>fg</w:t>
            </w:r>
          </w:p>
        </w:tc>
        <w:tc>
          <w:tcPr>
            <w:tcW w:w="1700" w:type="dxa"/>
            <w:hideMark/>
          </w:tcPr>
          <w:p w14:paraId="5C8566DD"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14,75</w:t>
            </w:r>
            <w:r w:rsidRPr="00974558">
              <w:rPr>
                <w:rFonts w:ascii="Arial" w:hAnsi="Arial" w:cs="Arial"/>
                <w:sz w:val="20"/>
                <w:szCs w:val="20"/>
              </w:rPr>
              <w:t>±</w:t>
            </w:r>
            <w:r w:rsidRPr="00974558">
              <w:rPr>
                <w:rFonts w:ascii="Arial" w:hAnsi="Arial" w:cs="Arial"/>
                <w:color w:val="000000"/>
                <w:sz w:val="20"/>
                <w:szCs w:val="20"/>
              </w:rPr>
              <w:t>0,89</w:t>
            </w:r>
            <w:r w:rsidRPr="00974558">
              <w:rPr>
                <w:rFonts w:ascii="Arial" w:hAnsi="Arial" w:cs="Arial"/>
                <w:color w:val="000000"/>
                <w:sz w:val="20"/>
                <w:szCs w:val="20"/>
                <w:vertAlign w:val="superscript"/>
              </w:rPr>
              <w:t>ab</w:t>
            </w:r>
          </w:p>
        </w:tc>
        <w:tc>
          <w:tcPr>
            <w:tcW w:w="1416" w:type="dxa"/>
            <w:hideMark/>
          </w:tcPr>
          <w:p w14:paraId="04C8212D"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w:t>
            </w:r>
            <w:r w:rsidRPr="00974558">
              <w:rPr>
                <w:rFonts w:ascii="Arial" w:hAnsi="Arial" w:cs="Arial"/>
                <w:sz w:val="20"/>
                <w:szCs w:val="20"/>
              </w:rPr>
              <w:t>±</w:t>
            </w:r>
            <w:r w:rsidRPr="00974558">
              <w:rPr>
                <w:rFonts w:ascii="Arial" w:hAnsi="Arial" w:cs="Arial"/>
                <w:color w:val="000000"/>
                <w:sz w:val="20"/>
                <w:szCs w:val="20"/>
              </w:rPr>
              <w:t>0,00</w:t>
            </w:r>
            <w:r w:rsidRPr="00974558">
              <w:rPr>
                <w:rFonts w:ascii="Arial" w:hAnsi="Arial" w:cs="Arial"/>
                <w:color w:val="000000"/>
                <w:sz w:val="20"/>
                <w:szCs w:val="20"/>
                <w:vertAlign w:val="superscript"/>
              </w:rPr>
              <w:t>d</w:t>
            </w:r>
          </w:p>
        </w:tc>
        <w:tc>
          <w:tcPr>
            <w:tcW w:w="1898" w:type="dxa"/>
            <w:hideMark/>
          </w:tcPr>
          <w:p w14:paraId="0CAD7C9D"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1,94</w:t>
            </w:r>
            <w:r w:rsidRPr="00974558">
              <w:rPr>
                <w:rFonts w:ascii="Arial" w:hAnsi="Arial" w:cs="Arial"/>
                <w:sz w:val="20"/>
                <w:szCs w:val="20"/>
              </w:rPr>
              <w:t>±</w:t>
            </w:r>
            <w:r w:rsidRPr="00974558">
              <w:rPr>
                <w:rFonts w:ascii="Arial" w:hAnsi="Arial" w:cs="Arial"/>
                <w:color w:val="000000"/>
                <w:sz w:val="20"/>
                <w:szCs w:val="20"/>
              </w:rPr>
              <w:t>0,60</w:t>
            </w:r>
            <w:r w:rsidRPr="00974558">
              <w:rPr>
                <w:rFonts w:ascii="Arial" w:hAnsi="Arial" w:cs="Arial"/>
                <w:color w:val="000000"/>
                <w:sz w:val="20"/>
                <w:szCs w:val="20"/>
                <w:vertAlign w:val="superscript"/>
              </w:rPr>
              <w:t>bcd</w:t>
            </w:r>
          </w:p>
        </w:tc>
      </w:tr>
      <w:tr w:rsidR="009450CE" w:rsidRPr="00974558" w14:paraId="1C25ECD5"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vMerge/>
            <w:hideMark/>
          </w:tcPr>
          <w:p w14:paraId="65DB736C" w14:textId="77777777" w:rsidR="009450CE" w:rsidRPr="00974558" w:rsidRDefault="009450CE" w:rsidP="009450CE">
            <w:pPr>
              <w:rPr>
                <w:rFonts w:ascii="Arial" w:hAnsi="Arial" w:cs="Arial"/>
                <w:sz w:val="20"/>
                <w:szCs w:val="20"/>
              </w:rPr>
            </w:pPr>
          </w:p>
        </w:tc>
        <w:tc>
          <w:tcPr>
            <w:tcW w:w="1275" w:type="dxa"/>
            <w:hideMark/>
          </w:tcPr>
          <w:p w14:paraId="2EE7E31B"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T0,5</w:t>
            </w:r>
          </w:p>
        </w:tc>
        <w:tc>
          <w:tcPr>
            <w:tcW w:w="1700" w:type="dxa"/>
            <w:hideMark/>
          </w:tcPr>
          <w:p w14:paraId="110059BB"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9,50</w:t>
            </w:r>
            <w:r w:rsidRPr="00974558">
              <w:rPr>
                <w:rFonts w:ascii="Arial" w:hAnsi="Arial" w:cs="Arial"/>
                <w:sz w:val="20"/>
                <w:szCs w:val="20"/>
              </w:rPr>
              <w:t>±</w:t>
            </w:r>
            <w:r w:rsidRPr="00974558">
              <w:rPr>
                <w:rFonts w:ascii="Arial" w:hAnsi="Arial" w:cs="Arial"/>
                <w:color w:val="000000"/>
                <w:sz w:val="20"/>
                <w:szCs w:val="20"/>
              </w:rPr>
              <w:t>0,55</w:t>
            </w:r>
            <w:r w:rsidRPr="00974558">
              <w:rPr>
                <w:rFonts w:ascii="Arial" w:hAnsi="Arial" w:cs="Arial"/>
                <w:color w:val="000000"/>
                <w:sz w:val="20"/>
                <w:szCs w:val="20"/>
                <w:vertAlign w:val="superscript"/>
              </w:rPr>
              <w:t>g</w:t>
            </w:r>
          </w:p>
        </w:tc>
        <w:tc>
          <w:tcPr>
            <w:tcW w:w="1700" w:type="dxa"/>
            <w:hideMark/>
          </w:tcPr>
          <w:p w14:paraId="557F0305"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17,17</w:t>
            </w:r>
            <w:r w:rsidRPr="00974558">
              <w:rPr>
                <w:rFonts w:ascii="Arial" w:hAnsi="Arial" w:cs="Arial"/>
                <w:sz w:val="20"/>
                <w:szCs w:val="20"/>
              </w:rPr>
              <w:t>±</w:t>
            </w:r>
            <w:r w:rsidRPr="00974558">
              <w:rPr>
                <w:rFonts w:ascii="Arial" w:hAnsi="Arial" w:cs="Arial"/>
                <w:color w:val="000000"/>
                <w:sz w:val="20"/>
                <w:szCs w:val="20"/>
              </w:rPr>
              <w:t>0,98</w:t>
            </w:r>
            <w:r w:rsidRPr="00974558">
              <w:rPr>
                <w:rFonts w:ascii="Arial" w:hAnsi="Arial" w:cs="Arial"/>
                <w:color w:val="000000"/>
                <w:sz w:val="20"/>
                <w:szCs w:val="20"/>
                <w:vertAlign w:val="superscript"/>
              </w:rPr>
              <w:t>a</w:t>
            </w:r>
          </w:p>
        </w:tc>
        <w:tc>
          <w:tcPr>
            <w:tcW w:w="1416" w:type="dxa"/>
            <w:hideMark/>
          </w:tcPr>
          <w:p w14:paraId="04A3B77A"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w:t>
            </w:r>
            <w:r w:rsidRPr="00974558">
              <w:rPr>
                <w:rFonts w:ascii="Arial" w:hAnsi="Arial" w:cs="Arial"/>
                <w:sz w:val="20"/>
                <w:szCs w:val="20"/>
              </w:rPr>
              <w:t>±</w:t>
            </w:r>
            <w:r w:rsidRPr="00974558">
              <w:rPr>
                <w:rFonts w:ascii="Arial" w:hAnsi="Arial" w:cs="Arial"/>
                <w:color w:val="000000"/>
                <w:sz w:val="20"/>
                <w:szCs w:val="20"/>
              </w:rPr>
              <w:t>0,00</w:t>
            </w:r>
            <w:r w:rsidRPr="00974558">
              <w:rPr>
                <w:rFonts w:ascii="Arial" w:hAnsi="Arial" w:cs="Arial"/>
                <w:color w:val="000000"/>
                <w:sz w:val="20"/>
                <w:szCs w:val="20"/>
                <w:vertAlign w:val="superscript"/>
              </w:rPr>
              <w:t>d</w:t>
            </w:r>
          </w:p>
        </w:tc>
        <w:tc>
          <w:tcPr>
            <w:tcW w:w="1898" w:type="dxa"/>
            <w:hideMark/>
          </w:tcPr>
          <w:p w14:paraId="17C282F0"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1,29</w:t>
            </w:r>
            <w:r w:rsidRPr="00974558">
              <w:rPr>
                <w:rFonts w:ascii="Arial" w:hAnsi="Arial" w:cs="Arial"/>
                <w:sz w:val="20"/>
                <w:szCs w:val="20"/>
              </w:rPr>
              <w:t>±</w:t>
            </w:r>
            <w:r w:rsidRPr="00974558">
              <w:rPr>
                <w:rFonts w:ascii="Arial" w:hAnsi="Arial" w:cs="Arial"/>
                <w:color w:val="000000"/>
                <w:sz w:val="20"/>
                <w:szCs w:val="20"/>
              </w:rPr>
              <w:t>0,26</w:t>
            </w:r>
            <w:r w:rsidRPr="00974558">
              <w:rPr>
                <w:rFonts w:ascii="Arial" w:hAnsi="Arial" w:cs="Arial"/>
                <w:color w:val="000000"/>
                <w:sz w:val="20"/>
                <w:szCs w:val="20"/>
                <w:vertAlign w:val="superscript"/>
              </w:rPr>
              <w:t>cd</w:t>
            </w:r>
          </w:p>
        </w:tc>
      </w:tr>
      <w:tr w:rsidR="009450CE" w:rsidRPr="00974558" w14:paraId="722D71D1" w14:textId="77777777" w:rsidTr="009450CE">
        <w:trPr>
          <w:trHeight w:val="358"/>
        </w:trPr>
        <w:tc>
          <w:tcPr>
            <w:cnfStyle w:val="001000000000" w:firstRow="0" w:lastRow="0" w:firstColumn="1" w:lastColumn="0" w:oddVBand="0" w:evenVBand="0" w:oddHBand="0" w:evenHBand="0" w:firstRowFirstColumn="0" w:firstRowLastColumn="0" w:lastRowFirstColumn="0" w:lastRowLastColumn="0"/>
            <w:tcW w:w="1416" w:type="dxa"/>
            <w:vMerge w:val="restart"/>
          </w:tcPr>
          <w:p w14:paraId="75FB7155" w14:textId="77777777" w:rsidR="009450CE" w:rsidRPr="00974558" w:rsidRDefault="009450CE" w:rsidP="009450CE">
            <w:pPr>
              <w:suppressAutoHyphens/>
              <w:autoSpaceDN w:val="0"/>
              <w:rPr>
                <w:rFonts w:ascii="Arial" w:hAnsi="Arial" w:cs="Arial"/>
                <w:sz w:val="20"/>
                <w:szCs w:val="20"/>
              </w:rPr>
            </w:pPr>
          </w:p>
          <w:p w14:paraId="4A37AE6F" w14:textId="77777777" w:rsidR="009450CE" w:rsidRPr="00974558" w:rsidRDefault="009450CE" w:rsidP="009450CE">
            <w:pPr>
              <w:suppressAutoHyphens/>
              <w:autoSpaceDN w:val="0"/>
              <w:rPr>
                <w:rFonts w:ascii="Arial" w:hAnsi="Arial" w:cs="Arial"/>
                <w:sz w:val="20"/>
                <w:szCs w:val="20"/>
              </w:rPr>
            </w:pPr>
          </w:p>
          <w:p w14:paraId="552BA92C" w14:textId="77777777" w:rsidR="009450CE" w:rsidRPr="00974558" w:rsidRDefault="009450CE" w:rsidP="009450CE">
            <w:pPr>
              <w:suppressAutoHyphens/>
              <w:autoSpaceDN w:val="0"/>
              <w:rPr>
                <w:rFonts w:ascii="Arial" w:hAnsi="Arial" w:cs="Arial"/>
                <w:sz w:val="20"/>
                <w:szCs w:val="20"/>
              </w:rPr>
            </w:pPr>
          </w:p>
          <w:p w14:paraId="0705D674" w14:textId="77777777" w:rsidR="009450CE" w:rsidRPr="00974558" w:rsidRDefault="009450CE" w:rsidP="009450CE">
            <w:pPr>
              <w:suppressAutoHyphens/>
              <w:autoSpaceDN w:val="0"/>
              <w:rPr>
                <w:rFonts w:ascii="Arial" w:hAnsi="Arial" w:cs="Arial"/>
                <w:sz w:val="20"/>
                <w:szCs w:val="20"/>
              </w:rPr>
            </w:pPr>
            <w:r w:rsidRPr="00974558">
              <w:rPr>
                <w:rFonts w:ascii="Arial" w:hAnsi="Arial" w:cs="Arial"/>
                <w:sz w:val="20"/>
                <w:szCs w:val="20"/>
              </w:rPr>
              <w:t>Segment nodal</w:t>
            </w:r>
          </w:p>
        </w:tc>
        <w:tc>
          <w:tcPr>
            <w:tcW w:w="1275" w:type="dxa"/>
            <w:hideMark/>
          </w:tcPr>
          <w:p w14:paraId="0600CEFA"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 xml:space="preserve">Témoin </w:t>
            </w:r>
          </w:p>
        </w:tc>
        <w:tc>
          <w:tcPr>
            <w:tcW w:w="1700" w:type="dxa"/>
            <w:hideMark/>
          </w:tcPr>
          <w:p w14:paraId="6810EE16"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30,53</w:t>
            </w:r>
            <w:r w:rsidRPr="00974558">
              <w:rPr>
                <w:rFonts w:ascii="Arial" w:hAnsi="Arial" w:cs="Arial"/>
                <w:sz w:val="20"/>
                <w:szCs w:val="20"/>
              </w:rPr>
              <w:t>±</w:t>
            </w:r>
            <w:r w:rsidRPr="00974558">
              <w:rPr>
                <w:rFonts w:ascii="Arial" w:hAnsi="Arial" w:cs="Arial"/>
                <w:color w:val="000000"/>
                <w:sz w:val="20"/>
                <w:szCs w:val="20"/>
              </w:rPr>
              <w:t>3,84</w:t>
            </w:r>
            <w:r w:rsidRPr="00974558">
              <w:rPr>
                <w:rFonts w:ascii="Arial" w:hAnsi="Arial" w:cs="Arial"/>
                <w:color w:val="000000"/>
                <w:sz w:val="20"/>
                <w:szCs w:val="20"/>
                <w:vertAlign w:val="superscript"/>
              </w:rPr>
              <w:t>bcd</w:t>
            </w:r>
          </w:p>
        </w:tc>
        <w:tc>
          <w:tcPr>
            <w:tcW w:w="1700" w:type="dxa"/>
            <w:hideMark/>
          </w:tcPr>
          <w:p w14:paraId="6C8AB4B4"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13,47</w:t>
            </w:r>
            <w:r w:rsidRPr="00974558">
              <w:rPr>
                <w:rFonts w:ascii="Arial" w:hAnsi="Arial" w:cs="Arial"/>
                <w:sz w:val="20"/>
                <w:szCs w:val="20"/>
              </w:rPr>
              <w:t>±</w:t>
            </w:r>
            <w:r w:rsidRPr="00974558">
              <w:rPr>
                <w:rFonts w:ascii="Arial" w:hAnsi="Arial" w:cs="Arial"/>
                <w:color w:val="000000"/>
                <w:sz w:val="20"/>
                <w:szCs w:val="20"/>
              </w:rPr>
              <w:t>3,14</w:t>
            </w:r>
            <w:r w:rsidRPr="00974558">
              <w:rPr>
                <w:rFonts w:ascii="Arial" w:hAnsi="Arial" w:cs="Arial"/>
                <w:color w:val="000000"/>
                <w:sz w:val="20"/>
                <w:szCs w:val="20"/>
                <w:vertAlign w:val="superscript"/>
              </w:rPr>
              <w:t>ab</w:t>
            </w:r>
          </w:p>
        </w:tc>
        <w:tc>
          <w:tcPr>
            <w:tcW w:w="1416" w:type="dxa"/>
            <w:hideMark/>
          </w:tcPr>
          <w:p w14:paraId="2043611E"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1,80</w:t>
            </w:r>
            <w:r w:rsidRPr="00974558">
              <w:rPr>
                <w:rFonts w:ascii="Arial" w:hAnsi="Arial" w:cs="Arial"/>
                <w:sz w:val="20"/>
                <w:szCs w:val="20"/>
              </w:rPr>
              <w:t>±</w:t>
            </w:r>
            <w:r w:rsidRPr="00974558">
              <w:rPr>
                <w:rFonts w:ascii="Arial" w:hAnsi="Arial" w:cs="Arial"/>
                <w:color w:val="000000"/>
                <w:sz w:val="20"/>
                <w:szCs w:val="20"/>
              </w:rPr>
              <w:t>0,41</w:t>
            </w:r>
            <w:r w:rsidRPr="00974558">
              <w:rPr>
                <w:rFonts w:ascii="Arial" w:hAnsi="Arial" w:cs="Arial"/>
                <w:color w:val="000000"/>
                <w:sz w:val="20"/>
                <w:szCs w:val="20"/>
                <w:vertAlign w:val="superscript"/>
              </w:rPr>
              <w:t>b</w:t>
            </w:r>
          </w:p>
        </w:tc>
        <w:tc>
          <w:tcPr>
            <w:tcW w:w="1898" w:type="dxa"/>
            <w:hideMark/>
          </w:tcPr>
          <w:p w14:paraId="53F17BF6"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3,17</w:t>
            </w:r>
            <w:r w:rsidRPr="00974558">
              <w:rPr>
                <w:rFonts w:ascii="Arial" w:hAnsi="Arial" w:cs="Arial"/>
                <w:sz w:val="20"/>
                <w:szCs w:val="20"/>
              </w:rPr>
              <w:t>±</w:t>
            </w:r>
            <w:r w:rsidRPr="00974558">
              <w:rPr>
                <w:rFonts w:ascii="Arial" w:hAnsi="Arial" w:cs="Arial"/>
                <w:color w:val="000000"/>
                <w:sz w:val="20"/>
                <w:szCs w:val="20"/>
              </w:rPr>
              <w:t>1,18</w:t>
            </w:r>
            <w:r w:rsidRPr="00974558">
              <w:rPr>
                <w:rFonts w:ascii="Arial" w:hAnsi="Arial" w:cs="Arial"/>
                <w:color w:val="000000"/>
                <w:sz w:val="20"/>
                <w:szCs w:val="20"/>
                <w:vertAlign w:val="superscript"/>
              </w:rPr>
              <w:t>abcd</w:t>
            </w:r>
          </w:p>
        </w:tc>
      </w:tr>
      <w:tr w:rsidR="009450CE" w:rsidRPr="00974558" w14:paraId="0C97E0BF" w14:textId="77777777" w:rsidTr="009450C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54745CE1" w14:textId="77777777" w:rsidR="009450CE" w:rsidRPr="00974558" w:rsidRDefault="009450CE" w:rsidP="009450CE">
            <w:pPr>
              <w:rPr>
                <w:rFonts w:ascii="Arial" w:hAnsi="Arial" w:cs="Arial"/>
                <w:sz w:val="20"/>
                <w:szCs w:val="20"/>
              </w:rPr>
            </w:pPr>
          </w:p>
        </w:tc>
        <w:tc>
          <w:tcPr>
            <w:tcW w:w="1275" w:type="dxa"/>
            <w:hideMark/>
          </w:tcPr>
          <w:p w14:paraId="0F1C0A9E"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B0,5</w:t>
            </w:r>
          </w:p>
        </w:tc>
        <w:tc>
          <w:tcPr>
            <w:tcW w:w="1700" w:type="dxa"/>
            <w:hideMark/>
          </w:tcPr>
          <w:p w14:paraId="41D011EF"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30,53</w:t>
            </w:r>
            <w:r w:rsidRPr="00974558">
              <w:rPr>
                <w:rFonts w:ascii="Arial" w:hAnsi="Arial" w:cs="Arial"/>
                <w:sz w:val="20"/>
                <w:szCs w:val="20"/>
              </w:rPr>
              <w:t>±</w:t>
            </w:r>
            <w:r w:rsidRPr="00974558">
              <w:rPr>
                <w:rFonts w:ascii="Arial" w:hAnsi="Arial" w:cs="Arial"/>
                <w:color w:val="000000"/>
                <w:sz w:val="20"/>
                <w:szCs w:val="20"/>
              </w:rPr>
              <w:t>0,87</w:t>
            </w:r>
            <w:r w:rsidRPr="00974558">
              <w:rPr>
                <w:rFonts w:ascii="Arial" w:hAnsi="Arial" w:cs="Arial"/>
                <w:color w:val="000000"/>
                <w:sz w:val="20"/>
                <w:szCs w:val="20"/>
                <w:vertAlign w:val="superscript"/>
              </w:rPr>
              <w:t>bcd</w:t>
            </w:r>
          </w:p>
        </w:tc>
        <w:tc>
          <w:tcPr>
            <w:tcW w:w="1700" w:type="dxa"/>
            <w:hideMark/>
          </w:tcPr>
          <w:p w14:paraId="664CE30D"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12,29</w:t>
            </w:r>
            <w:r w:rsidRPr="00974558">
              <w:rPr>
                <w:rFonts w:ascii="Arial" w:hAnsi="Arial" w:cs="Arial"/>
                <w:sz w:val="20"/>
                <w:szCs w:val="20"/>
              </w:rPr>
              <w:t>±</w:t>
            </w:r>
            <w:r w:rsidRPr="00974558">
              <w:rPr>
                <w:rFonts w:ascii="Arial" w:hAnsi="Arial" w:cs="Arial"/>
                <w:color w:val="000000"/>
                <w:sz w:val="20"/>
                <w:szCs w:val="20"/>
              </w:rPr>
              <w:t>2,11</w:t>
            </w:r>
            <w:r w:rsidRPr="00974558">
              <w:rPr>
                <w:rFonts w:ascii="Arial" w:hAnsi="Arial" w:cs="Arial"/>
                <w:color w:val="000000"/>
                <w:sz w:val="20"/>
                <w:szCs w:val="20"/>
                <w:vertAlign w:val="superscript"/>
              </w:rPr>
              <w:t>ab</w:t>
            </w:r>
          </w:p>
        </w:tc>
        <w:tc>
          <w:tcPr>
            <w:tcW w:w="1416" w:type="dxa"/>
            <w:hideMark/>
          </w:tcPr>
          <w:p w14:paraId="2EAF52C6"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1,59</w:t>
            </w:r>
            <w:r w:rsidRPr="00974558">
              <w:rPr>
                <w:rFonts w:ascii="Arial" w:hAnsi="Arial" w:cs="Arial"/>
                <w:sz w:val="20"/>
                <w:szCs w:val="20"/>
              </w:rPr>
              <w:t>±</w:t>
            </w:r>
            <w:r w:rsidRPr="00974558">
              <w:rPr>
                <w:rFonts w:ascii="Arial" w:hAnsi="Arial" w:cs="Arial"/>
                <w:color w:val="000000"/>
                <w:sz w:val="20"/>
                <w:szCs w:val="20"/>
              </w:rPr>
              <w:t>0,71</w:t>
            </w:r>
            <w:r w:rsidRPr="00974558">
              <w:rPr>
                <w:rFonts w:ascii="Arial" w:hAnsi="Arial" w:cs="Arial"/>
                <w:color w:val="000000"/>
                <w:sz w:val="20"/>
                <w:szCs w:val="20"/>
                <w:vertAlign w:val="superscript"/>
              </w:rPr>
              <w:t>bc</w:t>
            </w:r>
          </w:p>
        </w:tc>
        <w:tc>
          <w:tcPr>
            <w:tcW w:w="1898" w:type="dxa"/>
            <w:hideMark/>
          </w:tcPr>
          <w:p w14:paraId="170742BC"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3,42</w:t>
            </w:r>
            <w:r w:rsidRPr="00974558">
              <w:rPr>
                <w:rFonts w:ascii="Arial" w:hAnsi="Arial" w:cs="Arial"/>
                <w:sz w:val="20"/>
                <w:szCs w:val="20"/>
              </w:rPr>
              <w:t>±</w:t>
            </w:r>
            <w:r w:rsidRPr="00974558">
              <w:rPr>
                <w:rFonts w:ascii="Arial" w:hAnsi="Arial" w:cs="Arial"/>
                <w:color w:val="000000"/>
                <w:sz w:val="20"/>
                <w:szCs w:val="20"/>
              </w:rPr>
              <w:t>2,15</w:t>
            </w:r>
            <w:r w:rsidRPr="00974558">
              <w:rPr>
                <w:rFonts w:ascii="Arial" w:hAnsi="Arial" w:cs="Arial"/>
                <w:color w:val="000000"/>
                <w:sz w:val="20"/>
                <w:szCs w:val="20"/>
                <w:vertAlign w:val="superscript"/>
              </w:rPr>
              <w:t>abcd</w:t>
            </w:r>
          </w:p>
        </w:tc>
      </w:tr>
      <w:tr w:rsidR="009450CE" w:rsidRPr="00974558" w14:paraId="1C4AF680" w14:textId="77777777" w:rsidTr="009450CE">
        <w:trPr>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3995A693" w14:textId="77777777" w:rsidR="009450CE" w:rsidRPr="00974558" w:rsidRDefault="009450CE" w:rsidP="009450CE">
            <w:pPr>
              <w:rPr>
                <w:rFonts w:ascii="Arial" w:hAnsi="Arial" w:cs="Arial"/>
                <w:sz w:val="20"/>
                <w:szCs w:val="20"/>
              </w:rPr>
            </w:pPr>
          </w:p>
        </w:tc>
        <w:tc>
          <w:tcPr>
            <w:tcW w:w="1275" w:type="dxa"/>
            <w:hideMark/>
          </w:tcPr>
          <w:p w14:paraId="3D242F2B"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B1</w:t>
            </w:r>
          </w:p>
        </w:tc>
        <w:tc>
          <w:tcPr>
            <w:tcW w:w="1700" w:type="dxa"/>
            <w:hideMark/>
          </w:tcPr>
          <w:p w14:paraId="30324F53"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38,00</w:t>
            </w:r>
            <w:r w:rsidRPr="00974558">
              <w:rPr>
                <w:rFonts w:ascii="Arial" w:hAnsi="Arial" w:cs="Arial"/>
                <w:sz w:val="20"/>
                <w:szCs w:val="20"/>
              </w:rPr>
              <w:t>±</w:t>
            </w:r>
            <w:r w:rsidRPr="00974558">
              <w:rPr>
                <w:rFonts w:ascii="Arial" w:hAnsi="Arial" w:cs="Arial"/>
                <w:color w:val="000000"/>
                <w:sz w:val="20"/>
                <w:szCs w:val="20"/>
              </w:rPr>
              <w:t>5,87</w:t>
            </w:r>
            <w:r w:rsidRPr="00974558">
              <w:rPr>
                <w:rFonts w:ascii="Arial" w:hAnsi="Arial" w:cs="Arial"/>
                <w:color w:val="000000"/>
                <w:sz w:val="20"/>
                <w:szCs w:val="20"/>
                <w:vertAlign w:val="superscript"/>
              </w:rPr>
              <w:t>b</w:t>
            </w:r>
          </w:p>
        </w:tc>
        <w:tc>
          <w:tcPr>
            <w:tcW w:w="1700" w:type="dxa"/>
            <w:hideMark/>
          </w:tcPr>
          <w:p w14:paraId="151A00AA"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13,36</w:t>
            </w:r>
            <w:r w:rsidRPr="00974558">
              <w:rPr>
                <w:rFonts w:ascii="Arial" w:hAnsi="Arial" w:cs="Arial"/>
                <w:sz w:val="20"/>
                <w:szCs w:val="20"/>
              </w:rPr>
              <w:t>±</w:t>
            </w:r>
            <w:r w:rsidRPr="00974558">
              <w:rPr>
                <w:rFonts w:ascii="Arial" w:hAnsi="Arial" w:cs="Arial"/>
                <w:color w:val="000000"/>
                <w:sz w:val="20"/>
                <w:szCs w:val="20"/>
              </w:rPr>
              <w:t>2,82</w:t>
            </w:r>
            <w:r w:rsidRPr="00974558">
              <w:rPr>
                <w:rFonts w:ascii="Arial" w:hAnsi="Arial" w:cs="Arial"/>
                <w:color w:val="000000"/>
                <w:sz w:val="20"/>
                <w:szCs w:val="20"/>
                <w:vertAlign w:val="superscript"/>
              </w:rPr>
              <w:t>ab</w:t>
            </w:r>
          </w:p>
        </w:tc>
        <w:tc>
          <w:tcPr>
            <w:tcW w:w="1416" w:type="dxa"/>
            <w:hideMark/>
          </w:tcPr>
          <w:p w14:paraId="2198479C"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1,78</w:t>
            </w:r>
            <w:r w:rsidRPr="00974558">
              <w:rPr>
                <w:rFonts w:ascii="Arial" w:hAnsi="Arial" w:cs="Arial"/>
                <w:sz w:val="20"/>
                <w:szCs w:val="20"/>
              </w:rPr>
              <w:t>±</w:t>
            </w:r>
            <w:r w:rsidRPr="00974558">
              <w:rPr>
                <w:rFonts w:ascii="Arial" w:hAnsi="Arial" w:cs="Arial"/>
                <w:color w:val="000000"/>
                <w:sz w:val="20"/>
                <w:szCs w:val="20"/>
              </w:rPr>
              <w:t>0,80</w:t>
            </w:r>
            <w:r w:rsidRPr="00974558">
              <w:rPr>
                <w:rFonts w:ascii="Arial" w:hAnsi="Arial" w:cs="Arial"/>
                <w:color w:val="000000"/>
                <w:sz w:val="20"/>
                <w:szCs w:val="20"/>
                <w:vertAlign w:val="superscript"/>
              </w:rPr>
              <w:t>b</w:t>
            </w:r>
          </w:p>
        </w:tc>
        <w:tc>
          <w:tcPr>
            <w:tcW w:w="1898" w:type="dxa"/>
            <w:hideMark/>
          </w:tcPr>
          <w:p w14:paraId="69FFFAF2"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3,76</w:t>
            </w:r>
            <w:r w:rsidRPr="00974558">
              <w:rPr>
                <w:rFonts w:ascii="Arial" w:hAnsi="Arial" w:cs="Arial"/>
                <w:sz w:val="20"/>
                <w:szCs w:val="20"/>
              </w:rPr>
              <w:t>±</w:t>
            </w:r>
            <w:r w:rsidRPr="00974558">
              <w:rPr>
                <w:rFonts w:ascii="Arial" w:hAnsi="Arial" w:cs="Arial"/>
                <w:color w:val="000000"/>
                <w:sz w:val="20"/>
                <w:szCs w:val="20"/>
              </w:rPr>
              <w:t>2,12</w:t>
            </w:r>
            <w:r w:rsidRPr="00974558">
              <w:rPr>
                <w:rFonts w:ascii="Arial" w:hAnsi="Arial" w:cs="Arial"/>
                <w:color w:val="000000"/>
                <w:sz w:val="20"/>
                <w:szCs w:val="20"/>
                <w:vertAlign w:val="superscript"/>
              </w:rPr>
              <w:t>abcd</w:t>
            </w:r>
          </w:p>
        </w:tc>
      </w:tr>
      <w:tr w:rsidR="009450CE" w:rsidRPr="00974558" w14:paraId="6D996090" w14:textId="77777777" w:rsidTr="009450C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02DF4526" w14:textId="77777777" w:rsidR="009450CE" w:rsidRPr="00974558" w:rsidRDefault="009450CE" w:rsidP="009450CE">
            <w:pPr>
              <w:rPr>
                <w:rFonts w:ascii="Arial" w:hAnsi="Arial" w:cs="Arial"/>
                <w:sz w:val="20"/>
                <w:szCs w:val="20"/>
              </w:rPr>
            </w:pPr>
          </w:p>
        </w:tc>
        <w:tc>
          <w:tcPr>
            <w:tcW w:w="1275" w:type="dxa"/>
            <w:hideMark/>
          </w:tcPr>
          <w:p w14:paraId="4A6C8291"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B2</w:t>
            </w:r>
          </w:p>
        </w:tc>
        <w:tc>
          <w:tcPr>
            <w:tcW w:w="1700" w:type="dxa"/>
            <w:hideMark/>
          </w:tcPr>
          <w:p w14:paraId="3FD9E49F"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51,27</w:t>
            </w:r>
            <w:r w:rsidRPr="00974558">
              <w:rPr>
                <w:rFonts w:ascii="Arial" w:hAnsi="Arial" w:cs="Arial"/>
                <w:sz w:val="20"/>
                <w:szCs w:val="20"/>
              </w:rPr>
              <w:t>±</w:t>
            </w:r>
            <w:r w:rsidRPr="00974558">
              <w:rPr>
                <w:rFonts w:ascii="Arial" w:hAnsi="Arial" w:cs="Arial"/>
                <w:color w:val="000000"/>
                <w:sz w:val="20"/>
                <w:szCs w:val="20"/>
              </w:rPr>
              <w:t>7,27</w:t>
            </w:r>
            <w:r w:rsidRPr="00974558">
              <w:rPr>
                <w:rFonts w:ascii="Arial" w:hAnsi="Arial" w:cs="Arial"/>
                <w:color w:val="000000"/>
                <w:sz w:val="20"/>
                <w:szCs w:val="20"/>
                <w:vertAlign w:val="superscript"/>
              </w:rPr>
              <w:t>a</w:t>
            </w:r>
          </w:p>
        </w:tc>
        <w:tc>
          <w:tcPr>
            <w:tcW w:w="1700" w:type="dxa"/>
            <w:hideMark/>
          </w:tcPr>
          <w:p w14:paraId="2524807B"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16,31</w:t>
            </w:r>
            <w:r w:rsidRPr="00974558">
              <w:rPr>
                <w:rFonts w:ascii="Arial" w:hAnsi="Arial" w:cs="Arial"/>
                <w:sz w:val="20"/>
                <w:szCs w:val="20"/>
              </w:rPr>
              <w:t>±</w:t>
            </w:r>
            <w:r w:rsidRPr="00974558">
              <w:rPr>
                <w:rFonts w:ascii="Arial" w:hAnsi="Arial" w:cs="Arial"/>
                <w:color w:val="000000"/>
                <w:sz w:val="20"/>
                <w:szCs w:val="20"/>
              </w:rPr>
              <w:t>3,70</w:t>
            </w:r>
            <w:r w:rsidRPr="00974558">
              <w:rPr>
                <w:rFonts w:ascii="Arial" w:hAnsi="Arial" w:cs="Arial"/>
                <w:color w:val="000000"/>
                <w:sz w:val="20"/>
                <w:szCs w:val="20"/>
                <w:vertAlign w:val="superscript"/>
              </w:rPr>
              <w:t>ab</w:t>
            </w:r>
          </w:p>
        </w:tc>
        <w:tc>
          <w:tcPr>
            <w:tcW w:w="1416" w:type="dxa"/>
            <w:hideMark/>
          </w:tcPr>
          <w:p w14:paraId="0461A490"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2,96</w:t>
            </w:r>
            <w:r w:rsidRPr="00974558">
              <w:rPr>
                <w:rFonts w:ascii="Arial" w:hAnsi="Arial" w:cs="Arial"/>
                <w:sz w:val="20"/>
                <w:szCs w:val="20"/>
              </w:rPr>
              <w:t>±</w:t>
            </w:r>
            <w:r w:rsidRPr="00974558">
              <w:rPr>
                <w:rFonts w:ascii="Arial" w:hAnsi="Arial" w:cs="Arial"/>
                <w:color w:val="000000"/>
                <w:sz w:val="20"/>
                <w:szCs w:val="20"/>
              </w:rPr>
              <w:t>1,18</w:t>
            </w:r>
            <w:r w:rsidRPr="00974558">
              <w:rPr>
                <w:rFonts w:ascii="Arial" w:hAnsi="Arial" w:cs="Arial"/>
                <w:color w:val="000000"/>
                <w:sz w:val="20"/>
                <w:szCs w:val="20"/>
                <w:vertAlign w:val="superscript"/>
              </w:rPr>
              <w:t>a</w:t>
            </w:r>
          </w:p>
        </w:tc>
        <w:tc>
          <w:tcPr>
            <w:tcW w:w="1898" w:type="dxa"/>
            <w:hideMark/>
          </w:tcPr>
          <w:p w14:paraId="30F2CC6E"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3,46</w:t>
            </w:r>
            <w:r w:rsidRPr="00974558">
              <w:rPr>
                <w:rFonts w:ascii="Arial" w:hAnsi="Arial" w:cs="Arial"/>
                <w:sz w:val="20"/>
                <w:szCs w:val="20"/>
              </w:rPr>
              <w:t>±</w:t>
            </w:r>
            <w:r w:rsidRPr="00974558">
              <w:rPr>
                <w:rFonts w:ascii="Arial" w:hAnsi="Arial" w:cs="Arial"/>
                <w:color w:val="000000"/>
                <w:sz w:val="20"/>
                <w:szCs w:val="20"/>
              </w:rPr>
              <w:t>3,14</w:t>
            </w:r>
            <w:r w:rsidRPr="00974558">
              <w:rPr>
                <w:rFonts w:ascii="Arial" w:hAnsi="Arial" w:cs="Arial"/>
                <w:color w:val="000000"/>
                <w:sz w:val="20"/>
                <w:szCs w:val="20"/>
                <w:vertAlign w:val="superscript"/>
              </w:rPr>
              <w:t>abcd</w:t>
            </w:r>
          </w:p>
        </w:tc>
      </w:tr>
      <w:tr w:rsidR="009450CE" w:rsidRPr="00974558" w14:paraId="3B806658" w14:textId="77777777" w:rsidTr="009450CE">
        <w:trPr>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301A74E4" w14:textId="77777777" w:rsidR="009450CE" w:rsidRPr="00974558" w:rsidRDefault="009450CE" w:rsidP="009450CE">
            <w:pPr>
              <w:rPr>
                <w:rFonts w:ascii="Arial" w:hAnsi="Arial" w:cs="Arial"/>
                <w:sz w:val="20"/>
                <w:szCs w:val="20"/>
              </w:rPr>
            </w:pPr>
          </w:p>
        </w:tc>
        <w:tc>
          <w:tcPr>
            <w:tcW w:w="1275" w:type="dxa"/>
            <w:hideMark/>
          </w:tcPr>
          <w:p w14:paraId="02031CFC"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B4</w:t>
            </w:r>
          </w:p>
        </w:tc>
        <w:tc>
          <w:tcPr>
            <w:tcW w:w="1700" w:type="dxa"/>
            <w:hideMark/>
          </w:tcPr>
          <w:p w14:paraId="4C7B8DF8"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51,08</w:t>
            </w:r>
            <w:r w:rsidRPr="00974558">
              <w:rPr>
                <w:rFonts w:ascii="Arial" w:hAnsi="Arial" w:cs="Arial"/>
                <w:sz w:val="20"/>
                <w:szCs w:val="20"/>
              </w:rPr>
              <w:t>±</w:t>
            </w:r>
            <w:r w:rsidRPr="00974558">
              <w:rPr>
                <w:rFonts w:ascii="Arial" w:hAnsi="Arial" w:cs="Arial"/>
                <w:color w:val="000000"/>
                <w:sz w:val="20"/>
                <w:szCs w:val="20"/>
              </w:rPr>
              <w:t>4,86</w:t>
            </w:r>
            <w:r w:rsidRPr="00974558">
              <w:rPr>
                <w:rFonts w:ascii="Arial" w:hAnsi="Arial" w:cs="Arial"/>
                <w:color w:val="000000"/>
                <w:sz w:val="20"/>
                <w:szCs w:val="20"/>
                <w:vertAlign w:val="superscript"/>
              </w:rPr>
              <w:t>a</w:t>
            </w:r>
          </w:p>
        </w:tc>
        <w:tc>
          <w:tcPr>
            <w:tcW w:w="1700" w:type="dxa"/>
            <w:hideMark/>
          </w:tcPr>
          <w:p w14:paraId="3B023332"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15,28</w:t>
            </w:r>
            <w:r w:rsidRPr="00974558">
              <w:rPr>
                <w:rFonts w:ascii="Arial" w:hAnsi="Arial" w:cs="Arial"/>
                <w:sz w:val="20"/>
                <w:szCs w:val="20"/>
              </w:rPr>
              <w:t>±</w:t>
            </w:r>
            <w:r w:rsidRPr="00974558">
              <w:rPr>
                <w:rFonts w:ascii="Arial" w:hAnsi="Arial" w:cs="Arial"/>
                <w:color w:val="000000"/>
                <w:sz w:val="20"/>
                <w:szCs w:val="20"/>
              </w:rPr>
              <w:t>0,95</w:t>
            </w:r>
            <w:r w:rsidRPr="00974558">
              <w:rPr>
                <w:rFonts w:ascii="Arial" w:hAnsi="Arial" w:cs="Arial"/>
                <w:color w:val="000000"/>
                <w:sz w:val="20"/>
                <w:szCs w:val="20"/>
                <w:vertAlign w:val="superscript"/>
              </w:rPr>
              <w:t>cd</w:t>
            </w:r>
          </w:p>
        </w:tc>
        <w:tc>
          <w:tcPr>
            <w:tcW w:w="1416" w:type="dxa"/>
            <w:hideMark/>
          </w:tcPr>
          <w:p w14:paraId="5E72D64F"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1,28</w:t>
            </w:r>
            <w:r w:rsidRPr="00974558">
              <w:rPr>
                <w:rFonts w:ascii="Arial" w:hAnsi="Arial" w:cs="Arial"/>
                <w:sz w:val="20"/>
                <w:szCs w:val="20"/>
              </w:rPr>
              <w:t>±</w:t>
            </w:r>
            <w:r w:rsidRPr="00974558">
              <w:rPr>
                <w:rFonts w:ascii="Arial" w:hAnsi="Arial" w:cs="Arial"/>
                <w:color w:val="000000"/>
                <w:sz w:val="20"/>
                <w:szCs w:val="20"/>
              </w:rPr>
              <w:t>0,49</w:t>
            </w:r>
            <w:r w:rsidRPr="00974558">
              <w:rPr>
                <w:rFonts w:ascii="Arial" w:hAnsi="Arial" w:cs="Arial"/>
                <w:color w:val="000000"/>
                <w:sz w:val="20"/>
                <w:szCs w:val="20"/>
                <w:vertAlign w:val="superscript"/>
              </w:rPr>
              <w:t>cd</w:t>
            </w:r>
          </w:p>
        </w:tc>
        <w:tc>
          <w:tcPr>
            <w:tcW w:w="1898" w:type="dxa"/>
            <w:hideMark/>
          </w:tcPr>
          <w:p w14:paraId="76948A09"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5,13</w:t>
            </w:r>
            <w:r w:rsidRPr="00974558">
              <w:rPr>
                <w:rFonts w:ascii="Arial" w:hAnsi="Arial" w:cs="Arial"/>
                <w:sz w:val="20"/>
                <w:szCs w:val="20"/>
              </w:rPr>
              <w:t>±</w:t>
            </w:r>
            <w:r w:rsidRPr="00974558">
              <w:rPr>
                <w:rFonts w:ascii="Arial" w:hAnsi="Arial" w:cs="Arial"/>
                <w:color w:val="000000"/>
                <w:sz w:val="20"/>
                <w:szCs w:val="20"/>
              </w:rPr>
              <w:t>2,92</w:t>
            </w:r>
            <w:r w:rsidRPr="00974558">
              <w:rPr>
                <w:rFonts w:ascii="Arial" w:hAnsi="Arial" w:cs="Arial"/>
                <w:color w:val="000000"/>
                <w:sz w:val="20"/>
                <w:szCs w:val="20"/>
                <w:vertAlign w:val="superscript"/>
              </w:rPr>
              <w:t>a</w:t>
            </w:r>
          </w:p>
        </w:tc>
      </w:tr>
      <w:tr w:rsidR="009450CE" w:rsidRPr="00974558" w14:paraId="4E313960" w14:textId="77777777" w:rsidTr="009450C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47E3072C" w14:textId="77777777" w:rsidR="009450CE" w:rsidRPr="00974558" w:rsidRDefault="009450CE" w:rsidP="009450CE">
            <w:pPr>
              <w:rPr>
                <w:rFonts w:ascii="Arial" w:hAnsi="Arial" w:cs="Arial"/>
                <w:sz w:val="20"/>
                <w:szCs w:val="20"/>
              </w:rPr>
            </w:pPr>
          </w:p>
        </w:tc>
        <w:tc>
          <w:tcPr>
            <w:tcW w:w="1275" w:type="dxa"/>
            <w:hideMark/>
          </w:tcPr>
          <w:p w14:paraId="6B970E94"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K0,5</w:t>
            </w:r>
          </w:p>
        </w:tc>
        <w:tc>
          <w:tcPr>
            <w:tcW w:w="1700" w:type="dxa"/>
            <w:hideMark/>
          </w:tcPr>
          <w:p w14:paraId="1D173DAD"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31,80</w:t>
            </w:r>
            <w:r w:rsidRPr="00974558">
              <w:rPr>
                <w:rFonts w:ascii="Arial" w:hAnsi="Arial" w:cs="Arial"/>
                <w:sz w:val="20"/>
                <w:szCs w:val="20"/>
              </w:rPr>
              <w:t>±</w:t>
            </w:r>
            <w:r w:rsidRPr="00974558">
              <w:rPr>
                <w:rFonts w:ascii="Arial" w:hAnsi="Arial" w:cs="Arial"/>
                <w:color w:val="000000"/>
                <w:sz w:val="20"/>
                <w:szCs w:val="20"/>
              </w:rPr>
              <w:t>6,90</w:t>
            </w:r>
            <w:r w:rsidRPr="00974558">
              <w:rPr>
                <w:rFonts w:ascii="Arial" w:hAnsi="Arial" w:cs="Arial"/>
                <w:color w:val="000000"/>
                <w:sz w:val="20"/>
                <w:szCs w:val="20"/>
                <w:vertAlign w:val="superscript"/>
              </w:rPr>
              <w:t>bd</w:t>
            </w:r>
          </w:p>
        </w:tc>
        <w:tc>
          <w:tcPr>
            <w:tcW w:w="1700" w:type="dxa"/>
            <w:hideMark/>
          </w:tcPr>
          <w:p w14:paraId="1FA5DDB5"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12,73</w:t>
            </w:r>
            <w:r w:rsidRPr="00974558">
              <w:rPr>
                <w:rFonts w:ascii="Arial" w:hAnsi="Arial" w:cs="Arial"/>
                <w:sz w:val="20"/>
                <w:szCs w:val="20"/>
              </w:rPr>
              <w:t>±</w:t>
            </w:r>
            <w:r w:rsidRPr="00974558">
              <w:rPr>
                <w:rFonts w:ascii="Arial" w:hAnsi="Arial" w:cs="Arial"/>
                <w:color w:val="000000"/>
                <w:sz w:val="20"/>
                <w:szCs w:val="20"/>
              </w:rPr>
              <w:t>2,84</w:t>
            </w:r>
            <w:r w:rsidRPr="00974558">
              <w:rPr>
                <w:rFonts w:ascii="Arial" w:hAnsi="Arial" w:cs="Arial"/>
                <w:color w:val="000000"/>
                <w:sz w:val="20"/>
                <w:szCs w:val="20"/>
                <w:vertAlign w:val="superscript"/>
              </w:rPr>
              <w:t>ab</w:t>
            </w:r>
          </w:p>
        </w:tc>
        <w:tc>
          <w:tcPr>
            <w:tcW w:w="1416" w:type="dxa"/>
            <w:hideMark/>
          </w:tcPr>
          <w:p w14:paraId="393723A6"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1,60</w:t>
            </w:r>
            <w:r w:rsidRPr="00974558">
              <w:rPr>
                <w:rFonts w:ascii="Arial" w:hAnsi="Arial" w:cs="Arial"/>
                <w:sz w:val="20"/>
                <w:szCs w:val="20"/>
              </w:rPr>
              <w:t>±</w:t>
            </w:r>
            <w:r w:rsidRPr="00974558">
              <w:rPr>
                <w:rFonts w:ascii="Arial" w:hAnsi="Arial" w:cs="Arial"/>
                <w:color w:val="000000"/>
                <w:sz w:val="20"/>
                <w:szCs w:val="20"/>
              </w:rPr>
              <w:t>0,74</w:t>
            </w:r>
            <w:r w:rsidRPr="00974558">
              <w:rPr>
                <w:rFonts w:ascii="Arial" w:hAnsi="Arial" w:cs="Arial"/>
                <w:color w:val="000000"/>
                <w:sz w:val="20"/>
                <w:szCs w:val="20"/>
                <w:vertAlign w:val="superscript"/>
              </w:rPr>
              <w:t>bd</w:t>
            </w:r>
          </w:p>
        </w:tc>
        <w:tc>
          <w:tcPr>
            <w:tcW w:w="1898" w:type="dxa"/>
            <w:hideMark/>
          </w:tcPr>
          <w:p w14:paraId="135F684E"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2,77</w:t>
            </w:r>
            <w:r w:rsidRPr="00974558">
              <w:rPr>
                <w:rFonts w:ascii="Arial" w:hAnsi="Arial" w:cs="Arial"/>
                <w:sz w:val="20"/>
                <w:szCs w:val="20"/>
              </w:rPr>
              <w:t>±</w:t>
            </w:r>
            <w:r w:rsidRPr="00974558">
              <w:rPr>
                <w:rFonts w:ascii="Arial" w:hAnsi="Arial" w:cs="Arial"/>
                <w:color w:val="000000"/>
                <w:sz w:val="20"/>
                <w:szCs w:val="20"/>
              </w:rPr>
              <w:t>1,37</w:t>
            </w:r>
            <w:r w:rsidRPr="00974558">
              <w:rPr>
                <w:rFonts w:ascii="Arial" w:hAnsi="Arial" w:cs="Arial"/>
                <w:color w:val="000000"/>
                <w:sz w:val="20"/>
                <w:szCs w:val="20"/>
                <w:vertAlign w:val="superscript"/>
              </w:rPr>
              <w:t>abcd</w:t>
            </w:r>
          </w:p>
        </w:tc>
      </w:tr>
      <w:tr w:rsidR="009450CE" w:rsidRPr="00974558" w14:paraId="3A93388D" w14:textId="77777777" w:rsidTr="009450CE">
        <w:trPr>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5172E4D3" w14:textId="77777777" w:rsidR="009450CE" w:rsidRPr="00974558" w:rsidRDefault="009450CE" w:rsidP="009450CE">
            <w:pPr>
              <w:rPr>
                <w:rFonts w:ascii="Arial" w:hAnsi="Arial" w:cs="Arial"/>
                <w:sz w:val="20"/>
                <w:szCs w:val="20"/>
              </w:rPr>
            </w:pPr>
          </w:p>
        </w:tc>
        <w:tc>
          <w:tcPr>
            <w:tcW w:w="1275" w:type="dxa"/>
            <w:hideMark/>
          </w:tcPr>
          <w:p w14:paraId="3FC16166"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K1</w:t>
            </w:r>
          </w:p>
        </w:tc>
        <w:tc>
          <w:tcPr>
            <w:tcW w:w="1700" w:type="dxa"/>
            <w:hideMark/>
          </w:tcPr>
          <w:p w14:paraId="78C24B5C"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37,20</w:t>
            </w:r>
            <w:r w:rsidRPr="00974558">
              <w:rPr>
                <w:rFonts w:ascii="Arial" w:hAnsi="Arial" w:cs="Arial"/>
                <w:sz w:val="20"/>
                <w:szCs w:val="20"/>
              </w:rPr>
              <w:t>±</w:t>
            </w:r>
            <w:r w:rsidRPr="00974558">
              <w:rPr>
                <w:rFonts w:ascii="Arial" w:hAnsi="Arial" w:cs="Arial"/>
                <w:color w:val="000000"/>
                <w:sz w:val="20"/>
                <w:szCs w:val="20"/>
              </w:rPr>
              <w:t>7,39</w:t>
            </w:r>
            <w:r w:rsidRPr="00974558">
              <w:rPr>
                <w:rFonts w:ascii="Arial" w:hAnsi="Arial" w:cs="Arial"/>
                <w:color w:val="000000"/>
                <w:sz w:val="20"/>
                <w:szCs w:val="20"/>
                <w:vertAlign w:val="superscript"/>
              </w:rPr>
              <w:t>bd</w:t>
            </w:r>
          </w:p>
        </w:tc>
        <w:tc>
          <w:tcPr>
            <w:tcW w:w="1700" w:type="dxa"/>
            <w:hideMark/>
          </w:tcPr>
          <w:p w14:paraId="50D2094C"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16,30</w:t>
            </w:r>
            <w:r w:rsidRPr="00974558">
              <w:rPr>
                <w:rFonts w:ascii="Arial" w:hAnsi="Arial" w:cs="Arial"/>
                <w:sz w:val="20"/>
                <w:szCs w:val="20"/>
              </w:rPr>
              <w:t>±</w:t>
            </w:r>
            <w:r w:rsidRPr="00974558">
              <w:rPr>
                <w:rFonts w:ascii="Arial" w:hAnsi="Arial" w:cs="Arial"/>
                <w:color w:val="000000"/>
                <w:sz w:val="20"/>
                <w:szCs w:val="20"/>
              </w:rPr>
              <w:t>2,75</w:t>
            </w:r>
            <w:r w:rsidRPr="00974558">
              <w:rPr>
                <w:rFonts w:ascii="Arial" w:hAnsi="Arial" w:cs="Arial"/>
                <w:color w:val="000000"/>
                <w:sz w:val="20"/>
                <w:szCs w:val="20"/>
                <w:vertAlign w:val="superscript"/>
              </w:rPr>
              <w:t>a</w:t>
            </w:r>
          </w:p>
        </w:tc>
        <w:tc>
          <w:tcPr>
            <w:tcW w:w="1416" w:type="dxa"/>
            <w:hideMark/>
          </w:tcPr>
          <w:p w14:paraId="24BB92A3"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1,30</w:t>
            </w:r>
            <w:r w:rsidRPr="00974558">
              <w:rPr>
                <w:rFonts w:ascii="Arial" w:hAnsi="Arial" w:cs="Arial"/>
                <w:sz w:val="20"/>
                <w:szCs w:val="20"/>
              </w:rPr>
              <w:t>±</w:t>
            </w:r>
            <w:r w:rsidRPr="00974558">
              <w:rPr>
                <w:rFonts w:ascii="Arial" w:hAnsi="Arial" w:cs="Arial"/>
                <w:color w:val="000000"/>
                <w:sz w:val="20"/>
                <w:szCs w:val="20"/>
              </w:rPr>
              <w:t>0,48</w:t>
            </w:r>
            <w:r w:rsidRPr="00974558">
              <w:rPr>
                <w:rFonts w:ascii="Arial" w:hAnsi="Arial" w:cs="Arial"/>
                <w:color w:val="000000"/>
                <w:sz w:val="20"/>
                <w:szCs w:val="20"/>
                <w:vertAlign w:val="superscript"/>
              </w:rPr>
              <w:t>cd</w:t>
            </w:r>
          </w:p>
        </w:tc>
        <w:tc>
          <w:tcPr>
            <w:tcW w:w="1898" w:type="dxa"/>
            <w:hideMark/>
          </w:tcPr>
          <w:p w14:paraId="4AF52B84"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2,72</w:t>
            </w:r>
            <w:r w:rsidRPr="00974558">
              <w:rPr>
                <w:rFonts w:ascii="Arial" w:hAnsi="Arial" w:cs="Arial"/>
                <w:sz w:val="20"/>
                <w:szCs w:val="20"/>
              </w:rPr>
              <w:t>±</w:t>
            </w:r>
            <w:r w:rsidRPr="00974558">
              <w:rPr>
                <w:rFonts w:ascii="Arial" w:hAnsi="Arial" w:cs="Arial"/>
                <w:color w:val="000000"/>
                <w:sz w:val="20"/>
                <w:szCs w:val="20"/>
              </w:rPr>
              <w:t>0,59</w:t>
            </w:r>
            <w:r w:rsidRPr="00974558">
              <w:rPr>
                <w:rFonts w:ascii="Arial" w:hAnsi="Arial" w:cs="Arial"/>
                <w:color w:val="000000"/>
                <w:sz w:val="20"/>
                <w:szCs w:val="20"/>
                <w:vertAlign w:val="superscript"/>
              </w:rPr>
              <w:t>abcd</w:t>
            </w:r>
          </w:p>
        </w:tc>
      </w:tr>
      <w:tr w:rsidR="009450CE" w:rsidRPr="00974558" w14:paraId="475F75EC" w14:textId="77777777" w:rsidTr="009450C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3CED4BA5" w14:textId="77777777" w:rsidR="009450CE" w:rsidRPr="00974558" w:rsidRDefault="009450CE" w:rsidP="009450CE">
            <w:pPr>
              <w:rPr>
                <w:rFonts w:ascii="Arial" w:hAnsi="Arial" w:cs="Arial"/>
                <w:sz w:val="20"/>
                <w:szCs w:val="20"/>
              </w:rPr>
            </w:pPr>
          </w:p>
        </w:tc>
        <w:tc>
          <w:tcPr>
            <w:tcW w:w="1275" w:type="dxa"/>
            <w:hideMark/>
          </w:tcPr>
          <w:p w14:paraId="767BCB49"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K2</w:t>
            </w:r>
          </w:p>
        </w:tc>
        <w:tc>
          <w:tcPr>
            <w:tcW w:w="1700" w:type="dxa"/>
            <w:hideMark/>
          </w:tcPr>
          <w:p w14:paraId="0632A144"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36,54</w:t>
            </w:r>
            <w:r w:rsidRPr="00974558">
              <w:rPr>
                <w:rFonts w:ascii="Arial" w:hAnsi="Arial" w:cs="Arial"/>
                <w:sz w:val="20"/>
                <w:szCs w:val="20"/>
              </w:rPr>
              <w:t>±</w:t>
            </w:r>
            <w:r w:rsidRPr="00974558">
              <w:rPr>
                <w:rFonts w:ascii="Arial" w:hAnsi="Arial" w:cs="Arial"/>
                <w:color w:val="000000"/>
                <w:sz w:val="20"/>
                <w:szCs w:val="20"/>
              </w:rPr>
              <w:t>7,45</w:t>
            </w:r>
            <w:r w:rsidRPr="00974558">
              <w:rPr>
                <w:rFonts w:ascii="Arial" w:hAnsi="Arial" w:cs="Arial"/>
                <w:color w:val="000000"/>
                <w:sz w:val="20"/>
                <w:szCs w:val="20"/>
                <w:vertAlign w:val="superscript"/>
              </w:rPr>
              <w:t>bd</w:t>
            </w:r>
          </w:p>
        </w:tc>
        <w:tc>
          <w:tcPr>
            <w:tcW w:w="1700" w:type="dxa"/>
            <w:hideMark/>
          </w:tcPr>
          <w:p w14:paraId="5F6156FD"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15,54</w:t>
            </w:r>
            <w:r w:rsidRPr="00974558">
              <w:rPr>
                <w:rFonts w:ascii="Arial" w:hAnsi="Arial" w:cs="Arial"/>
                <w:sz w:val="20"/>
                <w:szCs w:val="20"/>
              </w:rPr>
              <w:t>±</w:t>
            </w:r>
            <w:r w:rsidRPr="00974558">
              <w:rPr>
                <w:rFonts w:ascii="Arial" w:hAnsi="Arial" w:cs="Arial"/>
                <w:color w:val="000000"/>
                <w:sz w:val="20"/>
                <w:szCs w:val="20"/>
              </w:rPr>
              <w:t>2,25</w:t>
            </w:r>
            <w:r w:rsidRPr="00974558">
              <w:rPr>
                <w:rFonts w:ascii="Arial" w:hAnsi="Arial" w:cs="Arial"/>
                <w:color w:val="000000"/>
                <w:sz w:val="20"/>
                <w:szCs w:val="20"/>
                <w:vertAlign w:val="superscript"/>
              </w:rPr>
              <w:t>ab</w:t>
            </w:r>
          </w:p>
        </w:tc>
        <w:tc>
          <w:tcPr>
            <w:tcW w:w="1416" w:type="dxa"/>
            <w:hideMark/>
          </w:tcPr>
          <w:p w14:paraId="345304F9"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1,36</w:t>
            </w:r>
            <w:r w:rsidRPr="00974558">
              <w:rPr>
                <w:rFonts w:ascii="Arial" w:hAnsi="Arial" w:cs="Arial"/>
                <w:sz w:val="20"/>
                <w:szCs w:val="20"/>
              </w:rPr>
              <w:t>±</w:t>
            </w:r>
            <w:r w:rsidRPr="00974558">
              <w:rPr>
                <w:rFonts w:ascii="Arial" w:hAnsi="Arial" w:cs="Arial"/>
                <w:color w:val="000000"/>
                <w:sz w:val="20"/>
                <w:szCs w:val="20"/>
              </w:rPr>
              <w:t>0,50</w:t>
            </w:r>
            <w:r w:rsidRPr="00974558">
              <w:rPr>
                <w:rFonts w:ascii="Arial" w:hAnsi="Arial" w:cs="Arial"/>
                <w:color w:val="000000"/>
                <w:sz w:val="20"/>
                <w:szCs w:val="20"/>
                <w:vertAlign w:val="superscript"/>
              </w:rPr>
              <w:t>cd</w:t>
            </w:r>
          </w:p>
        </w:tc>
        <w:tc>
          <w:tcPr>
            <w:tcW w:w="1898" w:type="dxa"/>
            <w:hideMark/>
          </w:tcPr>
          <w:p w14:paraId="6FF28EDC"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2,65</w:t>
            </w:r>
            <w:r w:rsidRPr="00974558">
              <w:rPr>
                <w:rFonts w:ascii="Arial" w:hAnsi="Arial" w:cs="Arial"/>
                <w:sz w:val="20"/>
                <w:szCs w:val="20"/>
              </w:rPr>
              <w:t>±</w:t>
            </w:r>
            <w:r w:rsidRPr="00974558">
              <w:rPr>
                <w:rFonts w:ascii="Arial" w:hAnsi="Arial" w:cs="Arial"/>
                <w:color w:val="000000"/>
                <w:sz w:val="20"/>
                <w:szCs w:val="20"/>
              </w:rPr>
              <w:t>0,71</w:t>
            </w:r>
            <w:r w:rsidRPr="00974558">
              <w:rPr>
                <w:rFonts w:ascii="Arial" w:hAnsi="Arial" w:cs="Arial"/>
                <w:color w:val="000000"/>
                <w:sz w:val="20"/>
                <w:szCs w:val="20"/>
                <w:vertAlign w:val="superscript"/>
              </w:rPr>
              <w:t>abcd</w:t>
            </w:r>
          </w:p>
        </w:tc>
      </w:tr>
      <w:tr w:rsidR="009450CE" w:rsidRPr="00974558" w14:paraId="3027D826" w14:textId="77777777" w:rsidTr="009450CE">
        <w:trPr>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343BBD12" w14:textId="77777777" w:rsidR="009450CE" w:rsidRPr="00974558" w:rsidRDefault="009450CE" w:rsidP="009450CE">
            <w:pPr>
              <w:rPr>
                <w:rFonts w:ascii="Arial" w:hAnsi="Arial" w:cs="Arial"/>
                <w:sz w:val="20"/>
                <w:szCs w:val="20"/>
              </w:rPr>
            </w:pPr>
          </w:p>
        </w:tc>
        <w:tc>
          <w:tcPr>
            <w:tcW w:w="1275" w:type="dxa"/>
            <w:hideMark/>
          </w:tcPr>
          <w:p w14:paraId="72D12950"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K4</w:t>
            </w:r>
          </w:p>
        </w:tc>
        <w:tc>
          <w:tcPr>
            <w:tcW w:w="1700" w:type="dxa"/>
            <w:hideMark/>
          </w:tcPr>
          <w:p w14:paraId="5D2AD0BB"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34,54</w:t>
            </w:r>
            <w:r w:rsidRPr="00974558">
              <w:rPr>
                <w:rFonts w:ascii="Arial" w:hAnsi="Arial" w:cs="Arial"/>
                <w:sz w:val="20"/>
                <w:szCs w:val="20"/>
              </w:rPr>
              <w:t>±</w:t>
            </w:r>
            <w:r w:rsidRPr="00974558">
              <w:rPr>
                <w:rFonts w:ascii="Arial" w:hAnsi="Arial" w:cs="Arial"/>
                <w:color w:val="000000"/>
                <w:sz w:val="20"/>
                <w:szCs w:val="20"/>
              </w:rPr>
              <w:t>7,84</w:t>
            </w:r>
            <w:r w:rsidRPr="00974558">
              <w:rPr>
                <w:rFonts w:ascii="Arial" w:hAnsi="Arial" w:cs="Arial"/>
                <w:color w:val="000000"/>
                <w:sz w:val="20"/>
                <w:szCs w:val="20"/>
                <w:vertAlign w:val="superscript"/>
              </w:rPr>
              <w:t>bd</w:t>
            </w:r>
          </w:p>
        </w:tc>
        <w:tc>
          <w:tcPr>
            <w:tcW w:w="1700" w:type="dxa"/>
            <w:hideMark/>
          </w:tcPr>
          <w:p w14:paraId="4E967AB6"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13,91</w:t>
            </w:r>
            <w:r w:rsidRPr="00974558">
              <w:rPr>
                <w:rFonts w:ascii="Arial" w:hAnsi="Arial" w:cs="Arial"/>
                <w:sz w:val="20"/>
                <w:szCs w:val="20"/>
              </w:rPr>
              <w:t>±</w:t>
            </w:r>
            <w:r w:rsidRPr="00974558">
              <w:rPr>
                <w:rFonts w:ascii="Arial" w:hAnsi="Arial" w:cs="Arial"/>
                <w:color w:val="000000"/>
                <w:sz w:val="20"/>
                <w:szCs w:val="20"/>
              </w:rPr>
              <w:t>3,50</w:t>
            </w:r>
            <w:r w:rsidRPr="00974558">
              <w:rPr>
                <w:rFonts w:ascii="Arial" w:hAnsi="Arial" w:cs="Arial"/>
                <w:color w:val="000000"/>
                <w:sz w:val="20"/>
                <w:szCs w:val="20"/>
                <w:vertAlign w:val="superscript"/>
              </w:rPr>
              <w:t>ab</w:t>
            </w:r>
          </w:p>
        </w:tc>
        <w:tc>
          <w:tcPr>
            <w:tcW w:w="1416" w:type="dxa"/>
            <w:hideMark/>
          </w:tcPr>
          <w:p w14:paraId="7DEE7DB7"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1,54</w:t>
            </w:r>
            <w:r w:rsidRPr="00974558">
              <w:rPr>
                <w:rFonts w:ascii="Arial" w:hAnsi="Arial" w:cs="Arial"/>
                <w:sz w:val="20"/>
                <w:szCs w:val="20"/>
              </w:rPr>
              <w:t>±</w:t>
            </w:r>
            <w:r w:rsidRPr="00974558">
              <w:rPr>
                <w:rFonts w:ascii="Arial" w:hAnsi="Arial" w:cs="Arial"/>
                <w:color w:val="000000"/>
                <w:sz w:val="20"/>
                <w:szCs w:val="20"/>
              </w:rPr>
              <w:t>0,82</w:t>
            </w:r>
            <w:r w:rsidRPr="00974558">
              <w:rPr>
                <w:rFonts w:ascii="Arial" w:hAnsi="Arial" w:cs="Arial"/>
                <w:color w:val="000000"/>
                <w:sz w:val="20"/>
                <w:szCs w:val="20"/>
                <w:vertAlign w:val="superscript"/>
              </w:rPr>
              <w:t>bc</w:t>
            </w:r>
          </w:p>
        </w:tc>
        <w:tc>
          <w:tcPr>
            <w:tcW w:w="1898" w:type="dxa"/>
            <w:hideMark/>
          </w:tcPr>
          <w:p w14:paraId="4159E15F"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4,47</w:t>
            </w:r>
            <w:r w:rsidRPr="00974558">
              <w:rPr>
                <w:rFonts w:ascii="Arial" w:hAnsi="Arial" w:cs="Arial"/>
                <w:sz w:val="20"/>
                <w:szCs w:val="20"/>
              </w:rPr>
              <w:t>±</w:t>
            </w:r>
            <w:r w:rsidRPr="00974558">
              <w:rPr>
                <w:rFonts w:ascii="Arial" w:hAnsi="Arial" w:cs="Arial"/>
                <w:color w:val="000000"/>
                <w:sz w:val="20"/>
                <w:szCs w:val="20"/>
              </w:rPr>
              <w:t>2,31</w:t>
            </w:r>
            <w:r w:rsidRPr="00974558">
              <w:rPr>
                <w:rFonts w:ascii="Arial" w:hAnsi="Arial" w:cs="Arial"/>
                <w:color w:val="000000"/>
                <w:sz w:val="20"/>
                <w:szCs w:val="20"/>
                <w:vertAlign w:val="superscript"/>
              </w:rPr>
              <w:t>ab</w:t>
            </w:r>
          </w:p>
        </w:tc>
      </w:tr>
      <w:tr w:rsidR="009450CE" w:rsidRPr="00974558" w14:paraId="725884DD" w14:textId="77777777" w:rsidTr="009450C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039BED18" w14:textId="77777777" w:rsidR="009450CE" w:rsidRPr="00974558" w:rsidRDefault="009450CE" w:rsidP="009450CE">
            <w:pPr>
              <w:rPr>
                <w:rFonts w:ascii="Arial" w:hAnsi="Arial" w:cs="Arial"/>
                <w:sz w:val="20"/>
                <w:szCs w:val="20"/>
              </w:rPr>
            </w:pPr>
          </w:p>
        </w:tc>
        <w:tc>
          <w:tcPr>
            <w:tcW w:w="1275" w:type="dxa"/>
            <w:hideMark/>
          </w:tcPr>
          <w:p w14:paraId="0FE3698B"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T0,01</w:t>
            </w:r>
          </w:p>
        </w:tc>
        <w:tc>
          <w:tcPr>
            <w:tcW w:w="1700" w:type="dxa"/>
            <w:hideMark/>
          </w:tcPr>
          <w:p w14:paraId="2254B956"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28,86</w:t>
            </w:r>
            <w:r w:rsidRPr="00974558">
              <w:rPr>
                <w:rFonts w:ascii="Arial" w:hAnsi="Arial" w:cs="Arial"/>
                <w:sz w:val="20"/>
                <w:szCs w:val="20"/>
              </w:rPr>
              <w:t>±</w:t>
            </w:r>
            <w:r w:rsidRPr="00974558">
              <w:rPr>
                <w:rFonts w:ascii="Arial" w:hAnsi="Arial" w:cs="Arial"/>
                <w:color w:val="000000"/>
                <w:sz w:val="20"/>
                <w:szCs w:val="20"/>
              </w:rPr>
              <w:t>7,01</w:t>
            </w:r>
            <w:r w:rsidRPr="00974558">
              <w:rPr>
                <w:rFonts w:ascii="Arial" w:hAnsi="Arial" w:cs="Arial"/>
                <w:color w:val="000000"/>
                <w:sz w:val="20"/>
                <w:szCs w:val="20"/>
                <w:vertAlign w:val="superscript"/>
              </w:rPr>
              <w:t>cd</w:t>
            </w:r>
          </w:p>
        </w:tc>
        <w:tc>
          <w:tcPr>
            <w:tcW w:w="1700" w:type="dxa"/>
            <w:hideMark/>
          </w:tcPr>
          <w:p w14:paraId="2756E8CB"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13,50</w:t>
            </w:r>
            <w:r w:rsidRPr="00974558">
              <w:rPr>
                <w:rFonts w:ascii="Arial" w:hAnsi="Arial" w:cs="Arial"/>
                <w:sz w:val="20"/>
                <w:szCs w:val="20"/>
              </w:rPr>
              <w:t>±</w:t>
            </w:r>
            <w:r w:rsidRPr="00974558">
              <w:rPr>
                <w:rFonts w:ascii="Arial" w:hAnsi="Arial" w:cs="Arial"/>
                <w:color w:val="000000"/>
                <w:sz w:val="20"/>
                <w:szCs w:val="20"/>
              </w:rPr>
              <w:t>3,59</w:t>
            </w:r>
            <w:r w:rsidRPr="00974558">
              <w:rPr>
                <w:rFonts w:ascii="Arial" w:hAnsi="Arial" w:cs="Arial"/>
                <w:color w:val="000000"/>
                <w:sz w:val="20"/>
                <w:szCs w:val="20"/>
                <w:vertAlign w:val="superscript"/>
              </w:rPr>
              <w:t>ab</w:t>
            </w:r>
          </w:p>
        </w:tc>
        <w:tc>
          <w:tcPr>
            <w:tcW w:w="1416" w:type="dxa"/>
            <w:hideMark/>
          </w:tcPr>
          <w:p w14:paraId="4C2D7156"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1,71</w:t>
            </w:r>
            <w:r w:rsidRPr="00974558">
              <w:rPr>
                <w:rFonts w:ascii="Arial" w:hAnsi="Arial" w:cs="Arial"/>
                <w:sz w:val="20"/>
                <w:szCs w:val="20"/>
              </w:rPr>
              <w:t>±</w:t>
            </w:r>
            <w:r w:rsidRPr="00974558">
              <w:rPr>
                <w:rFonts w:ascii="Arial" w:hAnsi="Arial" w:cs="Arial"/>
                <w:color w:val="000000"/>
                <w:sz w:val="20"/>
                <w:szCs w:val="20"/>
              </w:rPr>
              <w:t>0,47</w:t>
            </w:r>
            <w:r w:rsidRPr="00974558">
              <w:rPr>
                <w:rFonts w:ascii="Arial" w:hAnsi="Arial" w:cs="Arial"/>
                <w:color w:val="000000"/>
                <w:sz w:val="20"/>
                <w:szCs w:val="20"/>
                <w:vertAlign w:val="superscript"/>
              </w:rPr>
              <w:t>b</w:t>
            </w:r>
          </w:p>
        </w:tc>
        <w:tc>
          <w:tcPr>
            <w:tcW w:w="1898" w:type="dxa"/>
            <w:hideMark/>
          </w:tcPr>
          <w:p w14:paraId="0661D5EC"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2,60</w:t>
            </w:r>
            <w:r w:rsidRPr="00974558">
              <w:rPr>
                <w:rFonts w:ascii="Arial" w:hAnsi="Arial" w:cs="Arial"/>
                <w:sz w:val="20"/>
                <w:szCs w:val="20"/>
              </w:rPr>
              <w:t>±</w:t>
            </w:r>
            <w:r w:rsidRPr="00974558">
              <w:rPr>
                <w:rFonts w:ascii="Arial" w:hAnsi="Arial" w:cs="Arial"/>
                <w:color w:val="000000"/>
                <w:sz w:val="20"/>
                <w:szCs w:val="20"/>
              </w:rPr>
              <w:t>1,15</w:t>
            </w:r>
            <w:r w:rsidRPr="00974558">
              <w:rPr>
                <w:rFonts w:ascii="Arial" w:hAnsi="Arial" w:cs="Arial"/>
                <w:color w:val="000000"/>
                <w:sz w:val="20"/>
                <w:szCs w:val="20"/>
                <w:vertAlign w:val="superscript"/>
              </w:rPr>
              <w:t>abcd</w:t>
            </w:r>
          </w:p>
        </w:tc>
      </w:tr>
      <w:tr w:rsidR="009450CE" w:rsidRPr="00974558" w14:paraId="18AE4B14" w14:textId="77777777" w:rsidTr="009450CE">
        <w:trPr>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48EE1316" w14:textId="77777777" w:rsidR="009450CE" w:rsidRPr="00974558" w:rsidRDefault="009450CE" w:rsidP="009450CE">
            <w:pPr>
              <w:rPr>
                <w:rFonts w:ascii="Arial" w:hAnsi="Arial" w:cs="Arial"/>
                <w:sz w:val="20"/>
                <w:szCs w:val="20"/>
              </w:rPr>
            </w:pPr>
          </w:p>
        </w:tc>
        <w:tc>
          <w:tcPr>
            <w:tcW w:w="1275" w:type="dxa"/>
            <w:hideMark/>
          </w:tcPr>
          <w:p w14:paraId="705F161F"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T0,1</w:t>
            </w:r>
          </w:p>
        </w:tc>
        <w:tc>
          <w:tcPr>
            <w:tcW w:w="1700" w:type="dxa"/>
            <w:hideMark/>
          </w:tcPr>
          <w:p w14:paraId="0AE08905"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20,00</w:t>
            </w:r>
            <w:r w:rsidRPr="00974558">
              <w:rPr>
                <w:rFonts w:ascii="Arial" w:hAnsi="Arial" w:cs="Arial"/>
                <w:sz w:val="20"/>
                <w:szCs w:val="20"/>
              </w:rPr>
              <w:t>±</w:t>
            </w:r>
            <w:r w:rsidRPr="00974558">
              <w:rPr>
                <w:rFonts w:ascii="Arial" w:hAnsi="Arial" w:cs="Arial"/>
                <w:color w:val="000000"/>
                <w:sz w:val="20"/>
                <w:szCs w:val="20"/>
              </w:rPr>
              <w:t>0,00</w:t>
            </w:r>
            <w:r w:rsidRPr="00974558">
              <w:rPr>
                <w:rFonts w:ascii="Arial" w:hAnsi="Arial" w:cs="Arial"/>
                <w:color w:val="000000"/>
                <w:sz w:val="20"/>
                <w:szCs w:val="20"/>
                <w:vertAlign w:val="superscript"/>
              </w:rPr>
              <w:t>ef</w:t>
            </w:r>
          </w:p>
        </w:tc>
        <w:tc>
          <w:tcPr>
            <w:tcW w:w="1700" w:type="dxa"/>
            <w:hideMark/>
          </w:tcPr>
          <w:p w14:paraId="62F52BB4"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12,00</w:t>
            </w:r>
            <w:r w:rsidRPr="00974558">
              <w:rPr>
                <w:rFonts w:ascii="Arial" w:hAnsi="Arial" w:cs="Arial"/>
                <w:sz w:val="20"/>
                <w:szCs w:val="20"/>
              </w:rPr>
              <w:t>±</w:t>
            </w:r>
            <w:r w:rsidRPr="00974558">
              <w:rPr>
                <w:rFonts w:ascii="Arial" w:hAnsi="Arial" w:cs="Arial"/>
                <w:color w:val="000000"/>
                <w:sz w:val="20"/>
                <w:szCs w:val="20"/>
              </w:rPr>
              <w:t>0,00</w:t>
            </w:r>
            <w:r w:rsidRPr="00974558">
              <w:rPr>
                <w:rFonts w:ascii="Arial" w:hAnsi="Arial" w:cs="Arial"/>
                <w:color w:val="000000"/>
                <w:sz w:val="20"/>
                <w:szCs w:val="20"/>
                <w:vertAlign w:val="superscript"/>
              </w:rPr>
              <w:t>ab</w:t>
            </w:r>
          </w:p>
        </w:tc>
        <w:tc>
          <w:tcPr>
            <w:tcW w:w="1416" w:type="dxa"/>
            <w:hideMark/>
          </w:tcPr>
          <w:p w14:paraId="729A7CA4"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w:t>
            </w:r>
            <w:r w:rsidRPr="00974558">
              <w:rPr>
                <w:rFonts w:ascii="Arial" w:hAnsi="Arial" w:cs="Arial"/>
                <w:sz w:val="20"/>
                <w:szCs w:val="20"/>
              </w:rPr>
              <w:t>±0,00</w:t>
            </w:r>
            <w:r w:rsidRPr="00974558">
              <w:rPr>
                <w:rFonts w:ascii="Arial" w:hAnsi="Arial" w:cs="Arial"/>
                <w:sz w:val="20"/>
                <w:szCs w:val="20"/>
                <w:vertAlign w:val="superscript"/>
              </w:rPr>
              <w:t>d</w:t>
            </w:r>
          </w:p>
        </w:tc>
        <w:tc>
          <w:tcPr>
            <w:tcW w:w="1898" w:type="dxa"/>
            <w:hideMark/>
          </w:tcPr>
          <w:p w14:paraId="2BACA121"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3,20</w:t>
            </w:r>
            <w:r w:rsidRPr="00974558">
              <w:rPr>
                <w:rFonts w:ascii="Arial" w:hAnsi="Arial" w:cs="Arial"/>
                <w:sz w:val="20"/>
                <w:szCs w:val="20"/>
              </w:rPr>
              <w:t>±</w:t>
            </w:r>
            <w:r w:rsidRPr="00974558">
              <w:rPr>
                <w:rFonts w:ascii="Arial" w:hAnsi="Arial" w:cs="Arial"/>
                <w:color w:val="000000"/>
                <w:sz w:val="20"/>
                <w:szCs w:val="20"/>
              </w:rPr>
              <w:t>0,00</w:t>
            </w:r>
            <w:r w:rsidRPr="00974558">
              <w:rPr>
                <w:rFonts w:ascii="Arial" w:hAnsi="Arial" w:cs="Arial"/>
                <w:color w:val="000000"/>
                <w:sz w:val="20"/>
                <w:szCs w:val="20"/>
                <w:vertAlign w:val="superscript"/>
              </w:rPr>
              <w:t>abcd</w:t>
            </w:r>
          </w:p>
        </w:tc>
      </w:tr>
      <w:tr w:rsidR="009450CE" w:rsidRPr="00974558" w14:paraId="592CADDB" w14:textId="77777777" w:rsidTr="009450CE">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7182FACE" w14:textId="77777777" w:rsidR="009450CE" w:rsidRPr="00974558" w:rsidRDefault="009450CE" w:rsidP="009450CE">
            <w:pPr>
              <w:rPr>
                <w:rFonts w:ascii="Arial" w:hAnsi="Arial" w:cs="Arial"/>
                <w:sz w:val="20"/>
                <w:szCs w:val="20"/>
              </w:rPr>
            </w:pPr>
          </w:p>
        </w:tc>
        <w:tc>
          <w:tcPr>
            <w:tcW w:w="1275" w:type="dxa"/>
            <w:hideMark/>
          </w:tcPr>
          <w:p w14:paraId="48DCA80C"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T0,25</w:t>
            </w:r>
          </w:p>
        </w:tc>
        <w:tc>
          <w:tcPr>
            <w:tcW w:w="1700" w:type="dxa"/>
            <w:hideMark/>
          </w:tcPr>
          <w:p w14:paraId="5427ADE6"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17,71</w:t>
            </w:r>
            <w:r w:rsidRPr="00974558">
              <w:rPr>
                <w:rFonts w:ascii="Arial" w:hAnsi="Arial" w:cs="Arial"/>
                <w:sz w:val="20"/>
                <w:szCs w:val="20"/>
              </w:rPr>
              <w:t>±</w:t>
            </w:r>
            <w:r w:rsidRPr="00974558">
              <w:rPr>
                <w:rFonts w:ascii="Arial" w:hAnsi="Arial" w:cs="Arial"/>
                <w:color w:val="000000"/>
                <w:sz w:val="20"/>
                <w:szCs w:val="20"/>
              </w:rPr>
              <w:t>7,22</w:t>
            </w:r>
            <w:r w:rsidRPr="00974558">
              <w:rPr>
                <w:rFonts w:ascii="Arial" w:hAnsi="Arial" w:cs="Arial"/>
                <w:color w:val="000000"/>
                <w:sz w:val="20"/>
                <w:szCs w:val="20"/>
                <w:vertAlign w:val="superscript"/>
              </w:rPr>
              <w:t>ef</w:t>
            </w:r>
          </w:p>
        </w:tc>
        <w:tc>
          <w:tcPr>
            <w:tcW w:w="1700" w:type="dxa"/>
            <w:hideMark/>
          </w:tcPr>
          <w:p w14:paraId="11472CB8"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16,57</w:t>
            </w:r>
            <w:r w:rsidRPr="00974558">
              <w:rPr>
                <w:rFonts w:ascii="Arial" w:hAnsi="Arial" w:cs="Arial"/>
                <w:sz w:val="20"/>
                <w:szCs w:val="20"/>
              </w:rPr>
              <w:t>±</w:t>
            </w:r>
            <w:r w:rsidRPr="00974558">
              <w:rPr>
                <w:rFonts w:ascii="Arial" w:hAnsi="Arial" w:cs="Arial"/>
                <w:color w:val="000000"/>
                <w:sz w:val="20"/>
                <w:szCs w:val="20"/>
              </w:rPr>
              <w:t>0,53</w:t>
            </w:r>
            <w:r w:rsidRPr="00974558">
              <w:rPr>
                <w:rFonts w:ascii="Arial" w:hAnsi="Arial" w:cs="Arial"/>
                <w:color w:val="000000"/>
                <w:sz w:val="20"/>
                <w:szCs w:val="20"/>
                <w:vertAlign w:val="superscript"/>
              </w:rPr>
              <w:t>ab</w:t>
            </w:r>
          </w:p>
        </w:tc>
        <w:tc>
          <w:tcPr>
            <w:tcW w:w="1416" w:type="dxa"/>
            <w:hideMark/>
          </w:tcPr>
          <w:p w14:paraId="728B525A"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w:t>
            </w:r>
            <w:r w:rsidRPr="00974558">
              <w:rPr>
                <w:rFonts w:ascii="Arial" w:hAnsi="Arial" w:cs="Arial"/>
                <w:sz w:val="20"/>
                <w:szCs w:val="20"/>
              </w:rPr>
              <w:t>±0,00</w:t>
            </w:r>
            <w:r w:rsidRPr="00974558">
              <w:rPr>
                <w:rFonts w:ascii="Arial" w:hAnsi="Arial" w:cs="Arial"/>
                <w:sz w:val="20"/>
                <w:szCs w:val="20"/>
                <w:vertAlign w:val="superscript"/>
              </w:rPr>
              <w:t>d</w:t>
            </w:r>
          </w:p>
        </w:tc>
        <w:tc>
          <w:tcPr>
            <w:tcW w:w="1898" w:type="dxa"/>
            <w:hideMark/>
          </w:tcPr>
          <w:p w14:paraId="65E339C8"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2,06</w:t>
            </w:r>
            <w:r w:rsidRPr="00974558">
              <w:rPr>
                <w:rFonts w:ascii="Arial" w:hAnsi="Arial" w:cs="Arial"/>
                <w:sz w:val="20"/>
                <w:szCs w:val="20"/>
              </w:rPr>
              <w:t>±</w:t>
            </w:r>
            <w:r w:rsidRPr="00974558">
              <w:rPr>
                <w:rFonts w:ascii="Arial" w:hAnsi="Arial" w:cs="Arial"/>
                <w:color w:val="000000"/>
                <w:sz w:val="20"/>
                <w:szCs w:val="20"/>
              </w:rPr>
              <w:t>1,20</w:t>
            </w:r>
            <w:r w:rsidRPr="00974558">
              <w:rPr>
                <w:rFonts w:ascii="Arial" w:hAnsi="Arial" w:cs="Arial"/>
                <w:color w:val="000000"/>
                <w:sz w:val="20"/>
                <w:szCs w:val="20"/>
                <w:vertAlign w:val="superscript"/>
              </w:rPr>
              <w:t>bcd</w:t>
            </w:r>
          </w:p>
        </w:tc>
      </w:tr>
      <w:tr w:rsidR="009450CE" w:rsidRPr="00974558" w14:paraId="1E415475" w14:textId="77777777" w:rsidTr="009450CE">
        <w:trPr>
          <w:trHeight w:val="358"/>
        </w:trPr>
        <w:tc>
          <w:tcPr>
            <w:cnfStyle w:val="001000000000" w:firstRow="0" w:lastRow="0" w:firstColumn="1" w:lastColumn="0" w:oddVBand="0" w:evenVBand="0" w:oddHBand="0" w:evenHBand="0" w:firstRowFirstColumn="0" w:firstRowLastColumn="0" w:lastRowFirstColumn="0" w:lastRowLastColumn="0"/>
            <w:tcW w:w="1416" w:type="dxa"/>
            <w:vMerge/>
            <w:hideMark/>
          </w:tcPr>
          <w:p w14:paraId="2216A299" w14:textId="77777777" w:rsidR="009450CE" w:rsidRPr="00974558" w:rsidRDefault="009450CE" w:rsidP="009450CE">
            <w:pPr>
              <w:rPr>
                <w:rFonts w:ascii="Arial" w:hAnsi="Arial" w:cs="Arial"/>
                <w:sz w:val="20"/>
                <w:szCs w:val="20"/>
              </w:rPr>
            </w:pPr>
          </w:p>
        </w:tc>
        <w:tc>
          <w:tcPr>
            <w:tcW w:w="1275" w:type="dxa"/>
            <w:hideMark/>
          </w:tcPr>
          <w:p w14:paraId="59687A9B"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sz w:val="20"/>
                <w:szCs w:val="20"/>
              </w:rPr>
              <w:t>T0,5</w:t>
            </w:r>
          </w:p>
        </w:tc>
        <w:tc>
          <w:tcPr>
            <w:tcW w:w="1700" w:type="dxa"/>
            <w:hideMark/>
          </w:tcPr>
          <w:p w14:paraId="183480E6"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10,00</w:t>
            </w:r>
            <w:r w:rsidRPr="00974558">
              <w:rPr>
                <w:rFonts w:ascii="Arial" w:hAnsi="Arial" w:cs="Arial"/>
                <w:sz w:val="20"/>
                <w:szCs w:val="20"/>
              </w:rPr>
              <w:t>±</w:t>
            </w:r>
            <w:r w:rsidRPr="00974558">
              <w:rPr>
                <w:rFonts w:ascii="Arial" w:hAnsi="Arial" w:cs="Arial"/>
                <w:color w:val="000000"/>
                <w:sz w:val="20"/>
                <w:szCs w:val="20"/>
              </w:rPr>
              <w:t>1,91</w:t>
            </w:r>
            <w:r w:rsidRPr="00974558">
              <w:rPr>
                <w:rFonts w:ascii="Arial" w:hAnsi="Arial" w:cs="Arial"/>
                <w:color w:val="000000"/>
                <w:sz w:val="20"/>
                <w:szCs w:val="20"/>
                <w:vertAlign w:val="superscript"/>
              </w:rPr>
              <w:t>g</w:t>
            </w:r>
          </w:p>
        </w:tc>
        <w:tc>
          <w:tcPr>
            <w:tcW w:w="1700" w:type="dxa"/>
            <w:hideMark/>
          </w:tcPr>
          <w:p w14:paraId="3141C34F"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16,57</w:t>
            </w:r>
            <w:r w:rsidRPr="00974558">
              <w:rPr>
                <w:rFonts w:ascii="Arial" w:hAnsi="Arial" w:cs="Arial"/>
                <w:sz w:val="20"/>
                <w:szCs w:val="20"/>
              </w:rPr>
              <w:t>±</w:t>
            </w:r>
            <w:r w:rsidRPr="00974558">
              <w:rPr>
                <w:rFonts w:ascii="Arial" w:hAnsi="Arial" w:cs="Arial"/>
                <w:color w:val="000000"/>
                <w:sz w:val="20"/>
                <w:szCs w:val="20"/>
              </w:rPr>
              <w:t>1,40</w:t>
            </w:r>
            <w:r w:rsidRPr="00974558">
              <w:rPr>
                <w:rFonts w:ascii="Arial" w:hAnsi="Arial" w:cs="Arial"/>
                <w:color w:val="000000"/>
                <w:sz w:val="20"/>
                <w:szCs w:val="20"/>
                <w:vertAlign w:val="superscript"/>
              </w:rPr>
              <w:t>ab</w:t>
            </w:r>
          </w:p>
        </w:tc>
        <w:tc>
          <w:tcPr>
            <w:tcW w:w="1416" w:type="dxa"/>
            <w:hideMark/>
          </w:tcPr>
          <w:p w14:paraId="42EE79AD"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1,00</w:t>
            </w:r>
            <w:r w:rsidRPr="00974558">
              <w:rPr>
                <w:rFonts w:ascii="Arial" w:hAnsi="Arial" w:cs="Arial"/>
                <w:sz w:val="20"/>
                <w:szCs w:val="20"/>
              </w:rPr>
              <w:t>±0,00</w:t>
            </w:r>
            <w:r w:rsidRPr="00974558">
              <w:rPr>
                <w:rFonts w:ascii="Arial" w:hAnsi="Arial" w:cs="Arial"/>
                <w:sz w:val="20"/>
                <w:szCs w:val="20"/>
                <w:vertAlign w:val="superscript"/>
              </w:rPr>
              <w:t>d</w:t>
            </w:r>
          </w:p>
        </w:tc>
        <w:tc>
          <w:tcPr>
            <w:tcW w:w="1898" w:type="dxa"/>
            <w:hideMark/>
          </w:tcPr>
          <w:p w14:paraId="51BEC2BB" w14:textId="77777777" w:rsidR="009450CE" w:rsidRPr="00974558" w:rsidRDefault="009450CE" w:rsidP="009450CE">
            <w:pPr>
              <w:suppressAutoHyphens/>
              <w:autoSpaceDN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558">
              <w:rPr>
                <w:rFonts w:ascii="Arial" w:hAnsi="Arial" w:cs="Arial"/>
                <w:color w:val="000000"/>
                <w:sz w:val="20"/>
                <w:szCs w:val="20"/>
              </w:rPr>
              <w:t>1,14</w:t>
            </w:r>
            <w:r w:rsidRPr="00974558">
              <w:rPr>
                <w:rFonts w:ascii="Arial" w:hAnsi="Arial" w:cs="Arial"/>
                <w:sz w:val="20"/>
                <w:szCs w:val="20"/>
              </w:rPr>
              <w:t>±</w:t>
            </w:r>
            <w:r w:rsidRPr="00974558">
              <w:rPr>
                <w:rFonts w:ascii="Arial" w:hAnsi="Arial" w:cs="Arial"/>
                <w:color w:val="000000"/>
                <w:sz w:val="20"/>
                <w:szCs w:val="20"/>
              </w:rPr>
              <w:t>0,05</w:t>
            </w:r>
            <w:r w:rsidRPr="00974558">
              <w:rPr>
                <w:rFonts w:ascii="Arial" w:hAnsi="Arial" w:cs="Arial"/>
                <w:color w:val="000000"/>
                <w:sz w:val="20"/>
                <w:szCs w:val="20"/>
                <w:vertAlign w:val="superscript"/>
              </w:rPr>
              <w:t>d</w:t>
            </w:r>
          </w:p>
        </w:tc>
      </w:tr>
      <w:tr w:rsidR="009450CE" w:rsidRPr="00974558" w14:paraId="47AA8EFA" w14:textId="77777777" w:rsidTr="009450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16" w:type="dxa"/>
          </w:tcPr>
          <w:p w14:paraId="4B51BBC9" w14:textId="77777777" w:rsidR="009450CE" w:rsidRPr="00974558" w:rsidRDefault="009450CE" w:rsidP="009450CE">
            <w:pPr>
              <w:suppressAutoHyphens/>
              <w:autoSpaceDN w:val="0"/>
              <w:rPr>
                <w:rFonts w:ascii="Arial" w:hAnsi="Arial" w:cs="Arial"/>
                <w:sz w:val="20"/>
                <w:szCs w:val="20"/>
              </w:rPr>
            </w:pPr>
          </w:p>
        </w:tc>
        <w:tc>
          <w:tcPr>
            <w:tcW w:w="1275" w:type="dxa"/>
            <w:hideMark/>
          </w:tcPr>
          <w:p w14:paraId="199DD91A"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558">
              <w:rPr>
                <w:rFonts w:ascii="Arial" w:hAnsi="Arial" w:cs="Arial"/>
                <w:sz w:val="20"/>
                <w:szCs w:val="20"/>
              </w:rPr>
              <w:t>P</w:t>
            </w:r>
          </w:p>
        </w:tc>
        <w:tc>
          <w:tcPr>
            <w:tcW w:w="1700" w:type="dxa"/>
            <w:hideMark/>
          </w:tcPr>
          <w:p w14:paraId="579E6E12"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74558">
              <w:rPr>
                <w:rFonts w:ascii="Arial" w:hAnsi="Arial" w:cs="Arial"/>
                <w:color w:val="000000"/>
                <w:sz w:val="20"/>
                <w:szCs w:val="20"/>
              </w:rPr>
              <w:t>˂0,0001</w:t>
            </w:r>
          </w:p>
        </w:tc>
        <w:tc>
          <w:tcPr>
            <w:tcW w:w="1700" w:type="dxa"/>
            <w:hideMark/>
          </w:tcPr>
          <w:p w14:paraId="73F18825"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74558">
              <w:rPr>
                <w:rFonts w:ascii="Arial" w:hAnsi="Arial" w:cs="Arial"/>
                <w:color w:val="000000"/>
                <w:sz w:val="20"/>
                <w:szCs w:val="20"/>
              </w:rPr>
              <w:t>˂0,0001</w:t>
            </w:r>
          </w:p>
        </w:tc>
        <w:tc>
          <w:tcPr>
            <w:tcW w:w="1416" w:type="dxa"/>
            <w:hideMark/>
          </w:tcPr>
          <w:p w14:paraId="1400EAF4"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74558">
              <w:rPr>
                <w:rFonts w:ascii="Arial" w:hAnsi="Arial" w:cs="Arial"/>
                <w:color w:val="000000"/>
                <w:sz w:val="20"/>
                <w:szCs w:val="20"/>
              </w:rPr>
              <w:t>˂0,0001</w:t>
            </w:r>
          </w:p>
        </w:tc>
        <w:tc>
          <w:tcPr>
            <w:tcW w:w="1898" w:type="dxa"/>
            <w:hideMark/>
          </w:tcPr>
          <w:p w14:paraId="024261B2" w14:textId="77777777" w:rsidR="009450CE" w:rsidRPr="00974558" w:rsidRDefault="009450CE" w:rsidP="009450CE">
            <w:pPr>
              <w:suppressAutoHyphens/>
              <w:autoSpaceDN w:val="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74558">
              <w:rPr>
                <w:rFonts w:ascii="Arial" w:hAnsi="Arial" w:cs="Arial"/>
                <w:color w:val="000000"/>
                <w:sz w:val="20"/>
                <w:szCs w:val="20"/>
              </w:rPr>
              <w:t>˂0,0001</w:t>
            </w:r>
          </w:p>
        </w:tc>
      </w:tr>
    </w:tbl>
    <w:p w14:paraId="753BF831" w14:textId="77777777" w:rsidR="009450CE" w:rsidRDefault="009450CE" w:rsidP="009450CE">
      <w:pPr>
        <w:rPr>
          <w:rFonts w:ascii="Arial" w:hAnsi="Arial" w:cs="Arial"/>
          <w:sz w:val="18"/>
          <w:szCs w:val="18"/>
        </w:rPr>
      </w:pPr>
      <w:r w:rsidRPr="009450CE">
        <w:rPr>
          <w:rFonts w:ascii="Arial" w:hAnsi="Arial" w:cs="Arial"/>
          <w:sz w:val="18"/>
          <w:szCs w:val="18"/>
        </w:rPr>
        <w:t>In the same column, means followed by the same letter are significantly identical at the 5% threshold (Newman-</w:t>
      </w:r>
      <w:proofErr w:type="spellStart"/>
      <w:r w:rsidRPr="009450CE">
        <w:rPr>
          <w:rFonts w:ascii="Arial" w:hAnsi="Arial" w:cs="Arial"/>
          <w:sz w:val="18"/>
          <w:szCs w:val="18"/>
        </w:rPr>
        <w:t>Keuls</w:t>
      </w:r>
      <w:proofErr w:type="spellEnd"/>
      <w:r w:rsidRPr="009450CE">
        <w:rPr>
          <w:rFonts w:ascii="Arial" w:hAnsi="Arial" w:cs="Arial"/>
          <w:sz w:val="18"/>
          <w:szCs w:val="18"/>
        </w:rPr>
        <w:t xml:space="preserve"> test). Mean ± standard deviation, MS0: control medium; B0.5 to B4 medium containing 0.5, 1, 2 and 4 mg/l of BAP; K0.5 to K4 medium containing 0.5, 1, 2 and 4 mg/l of kinetin; T0.01 to T0.5: medium containing 0.01, 0.1, 0.25 and 0.5; Conc </w:t>
      </w:r>
      <w:proofErr w:type="spellStart"/>
      <w:r w:rsidRPr="009450CE">
        <w:rPr>
          <w:rFonts w:ascii="Arial" w:hAnsi="Arial" w:cs="Arial"/>
          <w:sz w:val="18"/>
          <w:szCs w:val="18"/>
        </w:rPr>
        <w:t>cyto</w:t>
      </w:r>
      <w:proofErr w:type="spellEnd"/>
      <w:r w:rsidRPr="009450CE">
        <w:rPr>
          <w:rFonts w:ascii="Arial" w:hAnsi="Arial" w:cs="Arial"/>
          <w:sz w:val="18"/>
          <w:szCs w:val="18"/>
        </w:rPr>
        <w:t xml:space="preserve"> : cytokinin concentrations; Budding rate: budding rate; Budding time: budding time; P: Probability of cytokinin concentration-explant type interaction.</w:t>
      </w:r>
    </w:p>
    <w:p w14:paraId="18AD6BCF" w14:textId="77777777" w:rsidR="004A797E" w:rsidRPr="009450CE" w:rsidRDefault="004A797E" w:rsidP="009450CE">
      <w:pPr>
        <w:rPr>
          <w:rFonts w:ascii="Arial" w:hAnsi="Arial" w:cs="Arial"/>
          <w:sz w:val="18"/>
          <w:szCs w:val="18"/>
        </w:rPr>
      </w:pPr>
    </w:p>
    <w:p w14:paraId="500DAF5A" w14:textId="77777777" w:rsidR="009450CE" w:rsidRPr="00415D56" w:rsidRDefault="009450CE" w:rsidP="009450CE">
      <w:pPr>
        <w:rPr>
          <w:rFonts w:ascii="Arial" w:hAnsi="Arial" w:cs="Arial"/>
        </w:rPr>
      </w:pPr>
      <w:r w:rsidRPr="00415D56">
        <w:rPr>
          <w:rFonts w:ascii="Arial" w:hAnsi="Arial" w:cs="Arial"/>
        </w:rPr>
        <w:t xml:space="preserve">The short budding time of the apex on the complete MS medium could be explained by the fact that the buds present in the apex would need more nutrients to trigger their budding. This work confirms that of </w:t>
      </w:r>
      <w:r w:rsidR="00F05D85">
        <w:rPr>
          <w:rFonts w:ascii="Arial" w:hAnsi="Arial" w:cs="Arial"/>
        </w:rPr>
        <w:t>[12]</w:t>
      </w:r>
      <w:r w:rsidRPr="00415D56">
        <w:rPr>
          <w:rFonts w:ascii="Arial" w:hAnsi="Arial" w:cs="Arial"/>
        </w:rPr>
        <w:t xml:space="preserve">. These obtained a short budding time when </w:t>
      </w:r>
      <w:proofErr w:type="spellStart"/>
      <w:r w:rsidRPr="00F05D85">
        <w:rPr>
          <w:rFonts w:ascii="Arial" w:hAnsi="Arial" w:cs="Arial"/>
          <w:i/>
          <w:iCs/>
        </w:rPr>
        <w:t>Cryptocoryne</w:t>
      </w:r>
      <w:proofErr w:type="spellEnd"/>
      <w:r w:rsidRPr="00F05D85">
        <w:rPr>
          <w:rFonts w:ascii="Arial" w:hAnsi="Arial" w:cs="Arial"/>
          <w:i/>
          <w:iCs/>
        </w:rPr>
        <w:t xml:space="preserve"> </w:t>
      </w:r>
      <w:proofErr w:type="spellStart"/>
      <w:r w:rsidRPr="00F05D85">
        <w:rPr>
          <w:rFonts w:ascii="Arial" w:hAnsi="Arial" w:cs="Arial"/>
          <w:i/>
          <w:iCs/>
        </w:rPr>
        <w:t>wendtii</w:t>
      </w:r>
      <w:proofErr w:type="spellEnd"/>
      <w:r w:rsidRPr="00415D56">
        <w:rPr>
          <w:rFonts w:ascii="Arial" w:hAnsi="Arial" w:cs="Arial"/>
        </w:rPr>
        <w:t xml:space="preserve"> apices were cultured on complete MS medium. However, the long budding time of nodal segments on MS medium could be explained by the incorporation time of the quantity of nutrients in the buds present in the nodal segments. </w:t>
      </w:r>
    </w:p>
    <w:p w14:paraId="380CF0A7" w14:textId="77777777" w:rsidR="009450CE" w:rsidRPr="00415D56" w:rsidRDefault="009450CE" w:rsidP="009450CE">
      <w:pPr>
        <w:rPr>
          <w:rFonts w:ascii="Arial" w:hAnsi="Arial" w:cs="Arial"/>
        </w:rPr>
      </w:pPr>
      <w:r w:rsidRPr="00415D56">
        <w:rPr>
          <w:rFonts w:ascii="Arial" w:hAnsi="Arial" w:cs="Arial"/>
        </w:rPr>
        <w:t xml:space="preserve">The high number of shoots obtained in the culture of nodal segments on MS medium could be explained by the presence of a larger meristematic zone at the level of nodal segments, from which a quantity of nutrients would stimulate these buds to respond to nutritional stresses. This result corroborates that of </w:t>
      </w:r>
      <w:r w:rsidR="00F05D85">
        <w:rPr>
          <w:rFonts w:ascii="Arial" w:hAnsi="Arial" w:cs="Arial"/>
        </w:rPr>
        <w:t>[13]</w:t>
      </w:r>
      <w:r w:rsidRPr="00415D56">
        <w:rPr>
          <w:rFonts w:ascii="Arial" w:hAnsi="Arial" w:cs="Arial"/>
        </w:rPr>
        <w:t xml:space="preserve"> on the regeneration of shea nodal segments. These authors showed that the MS medium is the best medium for bud initiation. Similarly, </w:t>
      </w:r>
      <w:r w:rsidR="00F05D85">
        <w:rPr>
          <w:rFonts w:ascii="Arial" w:hAnsi="Arial" w:cs="Arial"/>
        </w:rPr>
        <w:t>[14]</w:t>
      </w:r>
      <w:r w:rsidRPr="00415D56">
        <w:rPr>
          <w:rFonts w:ascii="Arial" w:hAnsi="Arial" w:cs="Arial"/>
        </w:rPr>
        <w:t xml:space="preserve"> showed that the nodal segment is ideal for in vitro proliferation of teak from an in vivo plant. </w:t>
      </w:r>
    </w:p>
    <w:p w14:paraId="63791227" w14:textId="77777777" w:rsidR="009450CE" w:rsidRPr="00415D56" w:rsidRDefault="009450CE" w:rsidP="009450CE">
      <w:pPr>
        <w:rPr>
          <w:rFonts w:ascii="Arial" w:hAnsi="Arial" w:cs="Arial"/>
        </w:rPr>
      </w:pPr>
      <w:r w:rsidRPr="00415D56">
        <w:rPr>
          <w:rFonts w:ascii="Arial" w:hAnsi="Arial" w:cs="Arial"/>
        </w:rPr>
        <w:t xml:space="preserve">In this study, the different concentrations of </w:t>
      </w:r>
      <w:proofErr w:type="spellStart"/>
      <w:r w:rsidRPr="00415D56">
        <w:rPr>
          <w:rFonts w:ascii="Arial" w:hAnsi="Arial" w:cs="Arial"/>
        </w:rPr>
        <w:t>benzylaminopurine</w:t>
      </w:r>
      <w:proofErr w:type="spellEnd"/>
      <w:r w:rsidRPr="00415D56">
        <w:rPr>
          <w:rFonts w:ascii="Arial" w:hAnsi="Arial" w:cs="Arial"/>
        </w:rPr>
        <w:t xml:space="preserve"> (BAP), kinetin and </w:t>
      </w:r>
      <w:proofErr w:type="spellStart"/>
      <w:r w:rsidRPr="00415D56">
        <w:rPr>
          <w:rFonts w:ascii="Arial" w:hAnsi="Arial" w:cs="Arial"/>
        </w:rPr>
        <w:t>thidiazuron</w:t>
      </w:r>
      <w:proofErr w:type="spellEnd"/>
      <w:r w:rsidRPr="00415D56">
        <w:rPr>
          <w:rFonts w:ascii="Arial" w:hAnsi="Arial" w:cs="Arial"/>
        </w:rPr>
        <w:t xml:space="preserve"> (TDZ) incorporated into the culture media used all promoted the formation of at least one bud on the surface of the explants. Indeed, </w:t>
      </w:r>
      <w:proofErr w:type="spellStart"/>
      <w:r w:rsidRPr="00415D56">
        <w:rPr>
          <w:rFonts w:ascii="Arial" w:hAnsi="Arial" w:cs="Arial"/>
        </w:rPr>
        <w:t>cytokinins</w:t>
      </w:r>
      <w:proofErr w:type="spellEnd"/>
      <w:r w:rsidRPr="00415D56">
        <w:rPr>
          <w:rFonts w:ascii="Arial" w:hAnsi="Arial" w:cs="Arial"/>
        </w:rPr>
        <w:t xml:space="preserve"> are used in </w:t>
      </w:r>
      <w:proofErr w:type="spellStart"/>
      <w:r w:rsidRPr="00415D56">
        <w:rPr>
          <w:rFonts w:ascii="Arial" w:hAnsi="Arial" w:cs="Arial"/>
        </w:rPr>
        <w:t>microbudding</w:t>
      </w:r>
      <w:proofErr w:type="spellEnd"/>
      <w:r w:rsidRPr="00415D56">
        <w:rPr>
          <w:rFonts w:ascii="Arial" w:hAnsi="Arial" w:cs="Arial"/>
        </w:rPr>
        <w:t xml:space="preserve"> for their effectiveness in inducing explant budding </w:t>
      </w:r>
      <w:r w:rsidR="00F05D85">
        <w:rPr>
          <w:rFonts w:ascii="Arial" w:hAnsi="Arial" w:cs="Arial"/>
        </w:rPr>
        <w:t>[15]</w:t>
      </w:r>
      <w:r w:rsidRPr="00415D56">
        <w:rPr>
          <w:rFonts w:ascii="Arial" w:hAnsi="Arial" w:cs="Arial"/>
        </w:rPr>
        <w:t xml:space="preserve">; </w:t>
      </w:r>
      <w:r w:rsidR="00F05D85">
        <w:rPr>
          <w:rFonts w:ascii="Arial" w:hAnsi="Arial" w:cs="Arial"/>
        </w:rPr>
        <w:t>[16]</w:t>
      </w:r>
      <w:r w:rsidRPr="00415D56">
        <w:rPr>
          <w:rFonts w:ascii="Arial" w:hAnsi="Arial" w:cs="Arial"/>
        </w:rPr>
        <w:t xml:space="preserve">. BAP and kinetin have been used as </w:t>
      </w:r>
      <w:proofErr w:type="spellStart"/>
      <w:r w:rsidRPr="00415D56">
        <w:rPr>
          <w:rFonts w:ascii="Arial" w:hAnsi="Arial" w:cs="Arial"/>
        </w:rPr>
        <w:t>cytokinins</w:t>
      </w:r>
      <w:proofErr w:type="spellEnd"/>
      <w:r w:rsidRPr="00415D56">
        <w:rPr>
          <w:rFonts w:ascii="Arial" w:hAnsi="Arial" w:cs="Arial"/>
        </w:rPr>
        <w:t xml:space="preserve"> for shoot regeneration in Jatropha, with BAP proving more effective </w:t>
      </w:r>
      <w:r w:rsidR="00F05D85">
        <w:rPr>
          <w:rFonts w:ascii="Arial" w:hAnsi="Arial" w:cs="Arial"/>
        </w:rPr>
        <w:t>[17]</w:t>
      </w:r>
      <w:r w:rsidRPr="00415D56">
        <w:rPr>
          <w:rFonts w:ascii="Arial" w:hAnsi="Arial" w:cs="Arial"/>
        </w:rPr>
        <w:t xml:space="preserve">. The short bud break time observed in MS medium supplemented with BAP at 0.5 mg/l could be explained by the latency time required for the receptors to perceive the signal, which is induced by the endogenous substances. This signal should then be transferred to the nucleus, which will formulate a response to activate bud propagation. The rate of bud break and the number of leafy shoots is higher from MS medium. In fact, the explants would need a small exogenous quantity of nutrient to stimulate budding. This result is similar to that of </w:t>
      </w:r>
      <w:r w:rsidR="00F05D85">
        <w:rPr>
          <w:rFonts w:ascii="Arial" w:hAnsi="Arial" w:cs="Arial"/>
        </w:rPr>
        <w:t>[18]</w:t>
      </w:r>
      <w:r w:rsidRPr="00415D56">
        <w:rPr>
          <w:rFonts w:ascii="Arial" w:hAnsi="Arial" w:cs="Arial"/>
        </w:rPr>
        <w:t xml:space="preserve"> for </w:t>
      </w:r>
      <w:proofErr w:type="spellStart"/>
      <w:r w:rsidRPr="00415D56">
        <w:rPr>
          <w:rFonts w:ascii="Arial" w:hAnsi="Arial" w:cs="Arial"/>
        </w:rPr>
        <w:t>Dacryodes</w:t>
      </w:r>
      <w:proofErr w:type="spellEnd"/>
      <w:r w:rsidRPr="00415D56">
        <w:rPr>
          <w:rFonts w:ascii="Arial" w:hAnsi="Arial" w:cs="Arial"/>
        </w:rPr>
        <w:t xml:space="preserve"> edulis </w:t>
      </w:r>
      <w:proofErr w:type="spellStart"/>
      <w:r w:rsidRPr="00415D56">
        <w:rPr>
          <w:rFonts w:ascii="Arial" w:hAnsi="Arial" w:cs="Arial"/>
        </w:rPr>
        <w:t>microbudding</w:t>
      </w:r>
      <w:proofErr w:type="spellEnd"/>
      <w:r w:rsidRPr="00415D56">
        <w:rPr>
          <w:rFonts w:ascii="Arial" w:hAnsi="Arial" w:cs="Arial"/>
        </w:rPr>
        <w:t>.</w:t>
      </w:r>
    </w:p>
    <w:p w14:paraId="36BA5A0E" w14:textId="77777777" w:rsidR="009450CE" w:rsidRDefault="009450CE" w:rsidP="009450CE">
      <w:pPr>
        <w:rPr>
          <w:rFonts w:ascii="Arial" w:hAnsi="Arial" w:cs="Arial"/>
        </w:rPr>
      </w:pPr>
      <w:r w:rsidRPr="00415D56">
        <w:rPr>
          <w:rFonts w:ascii="Arial" w:hAnsi="Arial" w:cs="Arial"/>
        </w:rPr>
        <w:t xml:space="preserve">The high number of shoots and budding rate were obtained on MS medium supplemented with 2 mg/l BAP. Indeed, explants would require a small exogenous amount of nutrient and this amount of </w:t>
      </w:r>
      <w:proofErr w:type="spellStart"/>
      <w:r w:rsidRPr="00415D56">
        <w:rPr>
          <w:rFonts w:ascii="Arial" w:hAnsi="Arial" w:cs="Arial"/>
        </w:rPr>
        <w:t>Benzylaminopurine</w:t>
      </w:r>
      <w:proofErr w:type="spellEnd"/>
      <w:r w:rsidRPr="00415D56">
        <w:rPr>
          <w:rFonts w:ascii="Arial" w:hAnsi="Arial" w:cs="Arial"/>
        </w:rPr>
        <w:t xml:space="preserve"> to stimulate bud induction. This result is similar to that of </w:t>
      </w:r>
      <w:r w:rsidR="00F05D85">
        <w:rPr>
          <w:rFonts w:ascii="Arial" w:hAnsi="Arial" w:cs="Arial"/>
        </w:rPr>
        <w:t>[19]</w:t>
      </w:r>
      <w:r w:rsidRPr="00415D56">
        <w:rPr>
          <w:rFonts w:ascii="Arial" w:hAnsi="Arial" w:cs="Arial"/>
        </w:rPr>
        <w:t xml:space="preserve"> for teak </w:t>
      </w:r>
      <w:proofErr w:type="spellStart"/>
      <w:r w:rsidRPr="00415D56">
        <w:rPr>
          <w:rFonts w:ascii="Arial" w:hAnsi="Arial" w:cs="Arial"/>
        </w:rPr>
        <w:t>microbudding</w:t>
      </w:r>
      <w:proofErr w:type="spellEnd"/>
      <w:r w:rsidRPr="00415D56">
        <w:rPr>
          <w:rFonts w:ascii="Arial" w:hAnsi="Arial" w:cs="Arial"/>
        </w:rPr>
        <w:t>. This author obtained this same result during bud induction.</w:t>
      </w:r>
    </w:p>
    <w:p w14:paraId="261D968A" w14:textId="77777777" w:rsidR="009450CE" w:rsidRDefault="009450CE" w:rsidP="009450CE">
      <w:pPr>
        <w:rPr>
          <w:rFonts w:ascii="Arial" w:hAnsi="Arial" w:cs="Arial"/>
        </w:rPr>
      </w:pPr>
    </w:p>
    <w:p w14:paraId="58250299" w14:textId="77777777" w:rsidR="009450CE" w:rsidRPr="009450CE" w:rsidRDefault="009450CE" w:rsidP="009450CE">
      <w:pPr>
        <w:rPr>
          <w:rFonts w:ascii="Arial" w:hAnsi="Arial" w:cs="Arial"/>
          <w:b/>
          <w:bCs/>
          <w:sz w:val="22"/>
          <w:szCs w:val="22"/>
        </w:rPr>
      </w:pPr>
      <w:r w:rsidRPr="009450CE">
        <w:rPr>
          <w:rFonts w:ascii="Arial" w:hAnsi="Arial" w:cs="Arial"/>
          <w:b/>
          <w:bCs/>
          <w:sz w:val="22"/>
          <w:szCs w:val="22"/>
        </w:rPr>
        <w:t>2.3 Influence of 2 mg/l BAP on the multiplication of leafy shoots</w:t>
      </w:r>
    </w:p>
    <w:p w14:paraId="1EE198F3" w14:textId="77777777" w:rsidR="009450CE" w:rsidRPr="00415D56" w:rsidRDefault="009450CE" w:rsidP="009450CE">
      <w:pPr>
        <w:rPr>
          <w:rFonts w:ascii="Arial" w:hAnsi="Arial" w:cs="Arial"/>
        </w:rPr>
      </w:pPr>
      <w:r w:rsidRPr="00415D56">
        <w:rPr>
          <w:rFonts w:ascii="Arial" w:hAnsi="Arial" w:cs="Arial"/>
        </w:rPr>
        <w:t xml:space="preserve">MS medium supplemented with 2 mg/l BAP was combined with the type of explants and the number of cultures to </w:t>
      </w:r>
      <w:proofErr w:type="spellStart"/>
      <w:r w:rsidRPr="00415D56">
        <w:rPr>
          <w:rFonts w:ascii="Arial" w:hAnsi="Arial" w:cs="Arial"/>
        </w:rPr>
        <w:t>optimise</w:t>
      </w:r>
      <w:proofErr w:type="spellEnd"/>
      <w:r w:rsidRPr="00415D56">
        <w:rPr>
          <w:rFonts w:ascii="Arial" w:hAnsi="Arial" w:cs="Arial"/>
        </w:rPr>
        <w:t xml:space="preserve"> the production of leafy teak shoots. The results relating to the effect of the number of cultures and the type of explants on shoot induction after eight weeks of culture are shown in Table III.</w:t>
      </w:r>
    </w:p>
    <w:p w14:paraId="4FB5754C" w14:textId="77777777" w:rsidR="009450CE" w:rsidRPr="00415D56" w:rsidRDefault="009450CE" w:rsidP="009450CE">
      <w:pPr>
        <w:rPr>
          <w:rFonts w:ascii="Arial" w:hAnsi="Arial" w:cs="Arial"/>
        </w:rPr>
      </w:pPr>
      <w:r w:rsidRPr="00415D56">
        <w:rPr>
          <w:rFonts w:ascii="Arial" w:hAnsi="Arial" w:cs="Arial"/>
        </w:rPr>
        <w:t xml:space="preserve">The results show that the rate and time of explant budding; the average number of buds; and the average number of nodes of leafy shoots were influenced (P˂0.05) by the number of cultures performed and the type of explant placed on MS medium containing 2 mg/l of BAP. However, the number of cultures and the type of explants grown on MS medium supplemented with 2 mg/l BAP did not influence (P˃0.05) shoot height. </w:t>
      </w:r>
    </w:p>
    <w:p w14:paraId="7F61C856" w14:textId="77777777" w:rsidR="009450CE" w:rsidRPr="00415D56" w:rsidRDefault="009450CE" w:rsidP="009450CE">
      <w:pPr>
        <w:rPr>
          <w:rFonts w:ascii="Arial" w:hAnsi="Arial" w:cs="Arial"/>
        </w:rPr>
      </w:pPr>
      <w:r w:rsidRPr="00415D56">
        <w:rPr>
          <w:rFonts w:ascii="Arial" w:hAnsi="Arial" w:cs="Arial"/>
        </w:rPr>
        <w:t xml:space="preserve">The highest budding rates (over 50%) were obtained in the first culture of the apex and nodal segment on MS medium supplemented with 2 mg/l BAP. The lowest levels were observed in the second culture of apexes and nodal segments on MS medium containing 2 mg/l of BAP. </w:t>
      </w:r>
    </w:p>
    <w:p w14:paraId="654F8260" w14:textId="77777777" w:rsidR="009450CE" w:rsidRPr="00415D56" w:rsidRDefault="009450CE" w:rsidP="009450CE">
      <w:pPr>
        <w:rPr>
          <w:rFonts w:ascii="Arial" w:hAnsi="Arial" w:cs="Arial"/>
        </w:rPr>
      </w:pPr>
      <w:r w:rsidRPr="00415D56">
        <w:rPr>
          <w:rFonts w:ascii="Arial" w:hAnsi="Arial" w:cs="Arial"/>
        </w:rPr>
        <w:t xml:space="preserve">Budding time was shorter in the second culture of explants than in the first culture. This precociousness was more pronounced in the second culture of apexes on MS medium supplemented with 2 mg/l BAP. </w:t>
      </w:r>
    </w:p>
    <w:p w14:paraId="364995E3" w14:textId="77777777" w:rsidR="009450CE" w:rsidRPr="00415D56" w:rsidRDefault="009450CE" w:rsidP="009450CE">
      <w:pPr>
        <w:rPr>
          <w:rFonts w:ascii="Arial" w:hAnsi="Arial" w:cs="Arial"/>
        </w:rPr>
      </w:pPr>
      <w:r w:rsidRPr="00415D56">
        <w:rPr>
          <w:rFonts w:ascii="Arial" w:hAnsi="Arial" w:cs="Arial"/>
        </w:rPr>
        <w:t xml:space="preserve">The highest number of buds (3 buds) was obtained in the first culture of nodal segments on MS medium supplemented with 2 mg/l BAP. The lowest number (1.20 buds) was observed in the second culture of nodal apices and segments on MS medium containing 2 mg/l BAP. </w:t>
      </w:r>
    </w:p>
    <w:p w14:paraId="4007E65A" w14:textId="77777777" w:rsidR="009450CE" w:rsidRDefault="009450CE" w:rsidP="009450CE">
      <w:pPr>
        <w:rPr>
          <w:rFonts w:ascii="Arial" w:hAnsi="Arial" w:cs="Arial"/>
        </w:rPr>
      </w:pPr>
      <w:r w:rsidRPr="00415D56">
        <w:rPr>
          <w:rFonts w:ascii="Arial" w:hAnsi="Arial" w:cs="Arial"/>
        </w:rPr>
        <w:t>The height of leafy shoots was identical between cultures of apexes and segments on MS medium supplemented with 2 mg/l BAP.</w:t>
      </w:r>
    </w:p>
    <w:p w14:paraId="0A1CF014" w14:textId="77777777" w:rsidR="004A797E" w:rsidRPr="00415D56" w:rsidRDefault="004A797E" w:rsidP="009450CE">
      <w:pPr>
        <w:rPr>
          <w:rFonts w:ascii="Arial" w:hAnsi="Arial" w:cs="Arial"/>
        </w:rPr>
      </w:pPr>
    </w:p>
    <w:p w14:paraId="1332D987" w14:textId="77777777" w:rsidR="009450CE" w:rsidRPr="00415D56" w:rsidRDefault="009450CE" w:rsidP="009450CE">
      <w:pPr>
        <w:rPr>
          <w:rFonts w:ascii="Arial" w:hAnsi="Arial" w:cs="Arial"/>
        </w:rPr>
      </w:pPr>
      <w:r w:rsidRPr="00415D56">
        <w:rPr>
          <w:rFonts w:ascii="Arial" w:hAnsi="Arial" w:cs="Arial"/>
        </w:rPr>
        <w:lastRenderedPageBreak/>
        <w:t>Table III: Rate and time of budding and average number and size of buds as a function of the type of explants and the number of cultivations</w:t>
      </w:r>
    </w:p>
    <w:tbl>
      <w:tblPr>
        <w:tblW w:w="9246" w:type="dxa"/>
        <w:tblBorders>
          <w:top w:val="single" w:sz="4" w:space="0" w:color="7F7F7F" w:themeColor="text1" w:themeTint="80"/>
          <w:bottom w:val="single" w:sz="4" w:space="0" w:color="7F7F7F" w:themeColor="text1" w:themeTint="80"/>
        </w:tblBorders>
        <w:tblLook w:val="04A0" w:firstRow="1" w:lastRow="0" w:firstColumn="1" w:lastColumn="0" w:noHBand="0" w:noVBand="1"/>
      </w:tblPr>
      <w:tblGrid>
        <w:gridCol w:w="1541"/>
        <w:gridCol w:w="1541"/>
        <w:gridCol w:w="1541"/>
        <w:gridCol w:w="1541"/>
        <w:gridCol w:w="1541"/>
        <w:gridCol w:w="1541"/>
      </w:tblGrid>
      <w:tr w:rsidR="009450CE" w:rsidRPr="00415D56" w14:paraId="5D8D5373" w14:textId="77777777" w:rsidTr="009450CE">
        <w:trPr>
          <w:trHeight w:val="313"/>
        </w:trPr>
        <w:tc>
          <w:tcPr>
            <w:tcW w:w="1541" w:type="dxa"/>
            <w:tcBorders>
              <w:top w:val="single" w:sz="4" w:space="0" w:color="7F7F7F" w:themeColor="text1" w:themeTint="80"/>
              <w:left w:val="nil"/>
              <w:bottom w:val="single" w:sz="4" w:space="0" w:color="7F7F7F" w:themeColor="text1" w:themeTint="80"/>
              <w:right w:val="nil"/>
            </w:tcBorders>
            <w:noWrap/>
            <w:hideMark/>
          </w:tcPr>
          <w:p w14:paraId="20CFD49B" w14:textId="77777777" w:rsidR="009450CE" w:rsidRPr="00415D56" w:rsidRDefault="009450CE" w:rsidP="009450CE">
            <w:pPr>
              <w:autoSpaceDN w:val="0"/>
              <w:jc w:val="center"/>
              <w:rPr>
                <w:rFonts w:ascii="Arial" w:hAnsi="Arial" w:cs="Arial"/>
                <w:b/>
                <w:bCs/>
                <w:color w:val="000000"/>
                <w:lang w:eastAsia="fr-FR"/>
              </w:rPr>
            </w:pPr>
            <w:r w:rsidRPr="00415D56">
              <w:rPr>
                <w:rFonts w:ascii="Arial" w:hAnsi="Arial" w:cs="Arial"/>
                <w:b/>
                <w:bCs/>
                <w:color w:val="000000"/>
                <w:lang w:eastAsia="fr-FR"/>
              </w:rPr>
              <w:t>Number of crops</w:t>
            </w:r>
          </w:p>
        </w:tc>
        <w:tc>
          <w:tcPr>
            <w:tcW w:w="1541" w:type="dxa"/>
            <w:tcBorders>
              <w:top w:val="single" w:sz="4" w:space="0" w:color="7F7F7F" w:themeColor="text1" w:themeTint="80"/>
              <w:left w:val="nil"/>
              <w:bottom w:val="single" w:sz="4" w:space="0" w:color="7F7F7F" w:themeColor="text1" w:themeTint="80"/>
              <w:right w:val="nil"/>
            </w:tcBorders>
            <w:noWrap/>
            <w:hideMark/>
          </w:tcPr>
          <w:p w14:paraId="601BF980" w14:textId="77777777" w:rsidR="009450CE" w:rsidRPr="00415D56" w:rsidRDefault="009450CE" w:rsidP="009450CE">
            <w:pPr>
              <w:autoSpaceDN w:val="0"/>
              <w:jc w:val="center"/>
              <w:rPr>
                <w:rFonts w:ascii="Arial" w:hAnsi="Arial" w:cs="Arial"/>
                <w:b/>
                <w:bCs/>
                <w:color w:val="000000"/>
                <w:lang w:eastAsia="fr-FR"/>
              </w:rPr>
            </w:pPr>
            <w:r w:rsidRPr="00415D56">
              <w:rPr>
                <w:rFonts w:ascii="Arial" w:hAnsi="Arial" w:cs="Arial"/>
                <w:b/>
                <w:bCs/>
                <w:color w:val="000000"/>
                <w:lang w:eastAsia="fr-FR"/>
              </w:rPr>
              <w:t>Type of explants</w:t>
            </w:r>
          </w:p>
        </w:tc>
        <w:tc>
          <w:tcPr>
            <w:tcW w:w="1541" w:type="dxa"/>
            <w:tcBorders>
              <w:top w:val="single" w:sz="4" w:space="0" w:color="7F7F7F" w:themeColor="text1" w:themeTint="80"/>
              <w:left w:val="nil"/>
              <w:bottom w:val="single" w:sz="4" w:space="0" w:color="7F7F7F" w:themeColor="text1" w:themeTint="80"/>
              <w:right w:val="nil"/>
            </w:tcBorders>
            <w:hideMark/>
          </w:tcPr>
          <w:p w14:paraId="2C3F905F" w14:textId="77777777" w:rsidR="009450CE" w:rsidRPr="00415D56" w:rsidRDefault="009450CE" w:rsidP="009450CE">
            <w:pPr>
              <w:autoSpaceDN w:val="0"/>
              <w:jc w:val="center"/>
              <w:rPr>
                <w:rFonts w:ascii="Arial" w:hAnsi="Arial" w:cs="Arial"/>
                <w:b/>
                <w:bCs/>
                <w:color w:val="000000"/>
                <w:lang w:eastAsia="fr-FR"/>
              </w:rPr>
            </w:pPr>
            <w:r w:rsidRPr="00415D56">
              <w:rPr>
                <w:rFonts w:ascii="Arial" w:eastAsia="Calibri" w:hAnsi="Arial" w:cs="Arial"/>
                <w:b/>
                <w:bCs/>
              </w:rPr>
              <w:t>Town rate (%)</w:t>
            </w:r>
          </w:p>
        </w:tc>
        <w:tc>
          <w:tcPr>
            <w:tcW w:w="1541" w:type="dxa"/>
            <w:tcBorders>
              <w:top w:val="single" w:sz="4" w:space="0" w:color="7F7F7F" w:themeColor="text1" w:themeTint="80"/>
              <w:left w:val="nil"/>
              <w:bottom w:val="single" w:sz="4" w:space="0" w:color="7F7F7F" w:themeColor="text1" w:themeTint="80"/>
              <w:right w:val="nil"/>
            </w:tcBorders>
            <w:noWrap/>
            <w:hideMark/>
          </w:tcPr>
          <w:p w14:paraId="1D92636E" w14:textId="77777777" w:rsidR="009450CE" w:rsidRPr="00415D56" w:rsidRDefault="009450CE" w:rsidP="009450CE">
            <w:pPr>
              <w:autoSpaceDN w:val="0"/>
              <w:jc w:val="center"/>
              <w:rPr>
                <w:rFonts w:ascii="Arial" w:hAnsi="Arial" w:cs="Arial"/>
                <w:b/>
                <w:bCs/>
                <w:color w:val="000000"/>
                <w:lang w:eastAsia="fr-FR"/>
              </w:rPr>
            </w:pPr>
            <w:r w:rsidRPr="00415D56">
              <w:rPr>
                <w:rFonts w:ascii="Arial" w:hAnsi="Arial" w:cs="Arial"/>
                <w:b/>
                <w:bCs/>
                <w:color w:val="000000"/>
                <w:lang w:eastAsia="fr-FR"/>
              </w:rPr>
              <w:t xml:space="preserve">time </w:t>
            </w:r>
            <w:r w:rsidRPr="00415D56">
              <w:rPr>
                <w:rFonts w:ascii="Arial" w:eastAsia="Calibri" w:hAnsi="Arial" w:cs="Arial"/>
                <w:b/>
                <w:bCs/>
              </w:rPr>
              <w:t>rate</w:t>
            </w:r>
            <w:r w:rsidRPr="00415D56">
              <w:rPr>
                <w:rFonts w:ascii="Arial" w:hAnsi="Arial" w:cs="Arial"/>
                <w:b/>
                <w:bCs/>
                <w:color w:val="000000"/>
                <w:lang w:eastAsia="fr-FR"/>
              </w:rPr>
              <w:t xml:space="preserve"> (J)</w:t>
            </w:r>
          </w:p>
        </w:tc>
        <w:tc>
          <w:tcPr>
            <w:tcW w:w="1541" w:type="dxa"/>
            <w:tcBorders>
              <w:top w:val="single" w:sz="4" w:space="0" w:color="7F7F7F" w:themeColor="text1" w:themeTint="80"/>
              <w:left w:val="nil"/>
              <w:bottom w:val="single" w:sz="4" w:space="0" w:color="7F7F7F" w:themeColor="text1" w:themeTint="80"/>
              <w:right w:val="nil"/>
            </w:tcBorders>
            <w:noWrap/>
            <w:hideMark/>
          </w:tcPr>
          <w:p w14:paraId="13FD416A" w14:textId="77777777" w:rsidR="009450CE" w:rsidRPr="00415D56" w:rsidRDefault="009450CE" w:rsidP="009450CE">
            <w:pPr>
              <w:autoSpaceDN w:val="0"/>
              <w:jc w:val="center"/>
              <w:rPr>
                <w:rFonts w:ascii="Arial" w:hAnsi="Arial" w:cs="Arial"/>
                <w:b/>
                <w:bCs/>
                <w:color w:val="000000"/>
                <w:lang w:eastAsia="fr-FR"/>
              </w:rPr>
            </w:pPr>
            <w:r w:rsidRPr="00415D56">
              <w:rPr>
                <w:rFonts w:ascii="Arial" w:hAnsi="Arial" w:cs="Arial"/>
                <w:b/>
                <w:bCs/>
                <w:color w:val="000000"/>
                <w:lang w:eastAsia="fr-FR"/>
              </w:rPr>
              <w:t>NPF</w:t>
            </w:r>
          </w:p>
        </w:tc>
        <w:tc>
          <w:tcPr>
            <w:tcW w:w="1541" w:type="dxa"/>
            <w:tcBorders>
              <w:top w:val="single" w:sz="4" w:space="0" w:color="7F7F7F" w:themeColor="text1" w:themeTint="80"/>
              <w:left w:val="nil"/>
              <w:bottom w:val="single" w:sz="4" w:space="0" w:color="7F7F7F" w:themeColor="text1" w:themeTint="80"/>
              <w:right w:val="nil"/>
            </w:tcBorders>
            <w:noWrap/>
            <w:hideMark/>
          </w:tcPr>
          <w:p w14:paraId="75C339CD" w14:textId="77777777" w:rsidR="009450CE" w:rsidRPr="00415D56" w:rsidRDefault="009450CE" w:rsidP="009450CE">
            <w:pPr>
              <w:autoSpaceDN w:val="0"/>
              <w:jc w:val="center"/>
              <w:rPr>
                <w:rFonts w:ascii="Arial" w:hAnsi="Arial" w:cs="Arial"/>
                <w:b/>
                <w:bCs/>
                <w:color w:val="000000"/>
                <w:lang w:eastAsia="fr-FR"/>
              </w:rPr>
            </w:pPr>
            <w:r w:rsidRPr="00415D56">
              <w:rPr>
                <w:rFonts w:ascii="Arial" w:hAnsi="Arial" w:cs="Arial"/>
                <w:color w:val="000000"/>
                <w:lang w:eastAsia="fr-FR"/>
              </w:rPr>
              <w:t>Height</w:t>
            </w:r>
            <w:r w:rsidRPr="00415D56">
              <w:rPr>
                <w:rFonts w:ascii="Arial" w:hAnsi="Arial" w:cs="Arial"/>
                <w:b/>
                <w:bCs/>
                <w:color w:val="000000"/>
                <w:lang w:eastAsia="fr-FR"/>
              </w:rPr>
              <w:t xml:space="preserve"> (cm)</w:t>
            </w:r>
          </w:p>
        </w:tc>
      </w:tr>
      <w:tr w:rsidR="009450CE" w:rsidRPr="00415D56" w14:paraId="1288E4AB" w14:textId="77777777" w:rsidTr="009450CE">
        <w:trPr>
          <w:trHeight w:val="313"/>
        </w:trPr>
        <w:tc>
          <w:tcPr>
            <w:tcW w:w="1541" w:type="dxa"/>
            <w:vMerge w:val="restart"/>
            <w:tcBorders>
              <w:top w:val="single" w:sz="4" w:space="0" w:color="7F7F7F" w:themeColor="text1" w:themeTint="80"/>
              <w:left w:val="nil"/>
              <w:bottom w:val="nil"/>
              <w:right w:val="nil"/>
            </w:tcBorders>
            <w:noWrap/>
            <w:hideMark/>
          </w:tcPr>
          <w:p w14:paraId="11C744DD" w14:textId="77777777" w:rsidR="009450CE" w:rsidRPr="00415D56" w:rsidRDefault="009450CE" w:rsidP="009450CE">
            <w:pPr>
              <w:autoSpaceDN w:val="0"/>
              <w:jc w:val="right"/>
              <w:rPr>
                <w:rFonts w:ascii="Arial" w:hAnsi="Arial" w:cs="Arial"/>
                <w:b/>
                <w:bCs/>
                <w:color w:val="000000"/>
                <w:lang w:eastAsia="fr-FR"/>
              </w:rPr>
            </w:pPr>
            <w:r w:rsidRPr="00415D56">
              <w:rPr>
                <w:rFonts w:ascii="Arial" w:hAnsi="Arial" w:cs="Arial"/>
                <w:b/>
                <w:bCs/>
                <w:color w:val="000000"/>
                <w:lang w:eastAsia="fr-FR"/>
              </w:rPr>
              <w:t>C1</w:t>
            </w:r>
          </w:p>
        </w:tc>
        <w:tc>
          <w:tcPr>
            <w:tcW w:w="1541" w:type="dxa"/>
            <w:tcBorders>
              <w:top w:val="single" w:sz="4" w:space="0" w:color="7F7F7F" w:themeColor="text1" w:themeTint="80"/>
              <w:left w:val="nil"/>
              <w:bottom w:val="single" w:sz="4" w:space="0" w:color="7F7F7F" w:themeColor="text1" w:themeTint="80"/>
              <w:right w:val="nil"/>
            </w:tcBorders>
            <w:noWrap/>
            <w:hideMark/>
          </w:tcPr>
          <w:p w14:paraId="24A97CD9" w14:textId="77777777" w:rsidR="009450CE" w:rsidRPr="00415D56" w:rsidRDefault="009450CE" w:rsidP="009450CE">
            <w:pPr>
              <w:autoSpaceDN w:val="0"/>
              <w:jc w:val="center"/>
              <w:rPr>
                <w:rFonts w:ascii="Arial" w:hAnsi="Arial" w:cs="Arial"/>
                <w:color w:val="000000"/>
                <w:lang w:eastAsia="fr-FR"/>
              </w:rPr>
            </w:pPr>
            <w:r w:rsidRPr="00415D56">
              <w:rPr>
                <w:rFonts w:ascii="Arial" w:hAnsi="Arial" w:cs="Arial"/>
                <w:color w:val="000000"/>
                <w:lang w:eastAsia="fr-FR"/>
              </w:rPr>
              <w:t>AP</w:t>
            </w:r>
          </w:p>
        </w:tc>
        <w:tc>
          <w:tcPr>
            <w:tcW w:w="1541" w:type="dxa"/>
            <w:tcBorders>
              <w:top w:val="single" w:sz="4" w:space="0" w:color="7F7F7F" w:themeColor="text1" w:themeTint="80"/>
              <w:left w:val="nil"/>
              <w:bottom w:val="single" w:sz="4" w:space="0" w:color="7F7F7F" w:themeColor="text1" w:themeTint="80"/>
              <w:right w:val="nil"/>
            </w:tcBorders>
            <w:hideMark/>
          </w:tcPr>
          <w:p w14:paraId="15274AE8"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52,10±2,73</w:t>
            </w:r>
            <w:r w:rsidRPr="00415D56">
              <w:rPr>
                <w:rFonts w:ascii="Arial" w:hAnsi="Arial" w:cs="Arial"/>
                <w:color w:val="000000"/>
                <w:vertAlign w:val="superscript"/>
                <w:lang w:eastAsia="fr-FR"/>
              </w:rPr>
              <w:t>a</w:t>
            </w:r>
          </w:p>
        </w:tc>
        <w:tc>
          <w:tcPr>
            <w:tcW w:w="1541" w:type="dxa"/>
            <w:tcBorders>
              <w:top w:val="single" w:sz="4" w:space="0" w:color="7F7F7F" w:themeColor="text1" w:themeTint="80"/>
              <w:left w:val="nil"/>
              <w:bottom w:val="single" w:sz="4" w:space="0" w:color="7F7F7F" w:themeColor="text1" w:themeTint="80"/>
              <w:right w:val="nil"/>
            </w:tcBorders>
            <w:noWrap/>
            <w:hideMark/>
          </w:tcPr>
          <w:p w14:paraId="1F7150FE"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17,40±2,84</w:t>
            </w:r>
            <w:r w:rsidRPr="00415D56">
              <w:rPr>
                <w:rFonts w:ascii="Arial" w:hAnsi="Arial" w:cs="Arial"/>
                <w:color w:val="000000"/>
                <w:vertAlign w:val="superscript"/>
                <w:lang w:eastAsia="fr-FR"/>
              </w:rPr>
              <w:t>a</w:t>
            </w:r>
          </w:p>
        </w:tc>
        <w:tc>
          <w:tcPr>
            <w:tcW w:w="1541" w:type="dxa"/>
            <w:tcBorders>
              <w:top w:val="single" w:sz="4" w:space="0" w:color="7F7F7F" w:themeColor="text1" w:themeTint="80"/>
              <w:left w:val="nil"/>
              <w:bottom w:val="single" w:sz="4" w:space="0" w:color="7F7F7F" w:themeColor="text1" w:themeTint="80"/>
              <w:right w:val="nil"/>
            </w:tcBorders>
            <w:noWrap/>
            <w:hideMark/>
          </w:tcPr>
          <w:p w14:paraId="593CE847"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2,00±0,67</w:t>
            </w:r>
            <w:r w:rsidRPr="00415D56">
              <w:rPr>
                <w:rFonts w:ascii="Arial" w:hAnsi="Arial" w:cs="Arial"/>
                <w:color w:val="000000"/>
                <w:vertAlign w:val="superscript"/>
                <w:lang w:eastAsia="fr-FR"/>
              </w:rPr>
              <w:t>b</w:t>
            </w:r>
          </w:p>
        </w:tc>
        <w:tc>
          <w:tcPr>
            <w:tcW w:w="1541" w:type="dxa"/>
            <w:tcBorders>
              <w:top w:val="single" w:sz="4" w:space="0" w:color="7F7F7F" w:themeColor="text1" w:themeTint="80"/>
              <w:left w:val="nil"/>
              <w:bottom w:val="single" w:sz="4" w:space="0" w:color="7F7F7F" w:themeColor="text1" w:themeTint="80"/>
              <w:right w:val="nil"/>
            </w:tcBorders>
            <w:noWrap/>
            <w:hideMark/>
          </w:tcPr>
          <w:p w14:paraId="10A7DAFD"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3,56±0,74</w:t>
            </w:r>
          </w:p>
        </w:tc>
      </w:tr>
      <w:tr w:rsidR="009450CE" w:rsidRPr="00415D56" w14:paraId="690C93B0" w14:textId="77777777" w:rsidTr="009450CE">
        <w:trPr>
          <w:trHeight w:val="313"/>
        </w:trPr>
        <w:tc>
          <w:tcPr>
            <w:tcW w:w="0" w:type="auto"/>
            <w:vMerge/>
            <w:tcBorders>
              <w:top w:val="single" w:sz="4" w:space="0" w:color="7F7F7F" w:themeColor="text1" w:themeTint="80"/>
              <w:left w:val="nil"/>
              <w:bottom w:val="nil"/>
              <w:right w:val="nil"/>
            </w:tcBorders>
            <w:vAlign w:val="center"/>
            <w:hideMark/>
          </w:tcPr>
          <w:p w14:paraId="28B935E9" w14:textId="77777777" w:rsidR="009450CE" w:rsidRPr="00415D56" w:rsidRDefault="009450CE" w:rsidP="009450CE">
            <w:pPr>
              <w:spacing w:line="256" w:lineRule="auto"/>
              <w:rPr>
                <w:rFonts w:ascii="Arial" w:hAnsi="Arial" w:cs="Arial"/>
                <w:b/>
                <w:bCs/>
                <w:color w:val="000000"/>
                <w:lang w:eastAsia="fr-FR"/>
              </w:rPr>
            </w:pPr>
          </w:p>
        </w:tc>
        <w:tc>
          <w:tcPr>
            <w:tcW w:w="1541" w:type="dxa"/>
            <w:tcBorders>
              <w:top w:val="nil"/>
              <w:left w:val="nil"/>
              <w:bottom w:val="nil"/>
              <w:right w:val="nil"/>
            </w:tcBorders>
            <w:noWrap/>
            <w:hideMark/>
          </w:tcPr>
          <w:p w14:paraId="6455F18D" w14:textId="77777777" w:rsidR="009450CE" w:rsidRPr="00415D56" w:rsidRDefault="009450CE" w:rsidP="009450CE">
            <w:pPr>
              <w:autoSpaceDN w:val="0"/>
              <w:jc w:val="center"/>
              <w:rPr>
                <w:rFonts w:ascii="Arial" w:hAnsi="Arial" w:cs="Arial"/>
                <w:color w:val="000000"/>
                <w:lang w:eastAsia="fr-FR"/>
              </w:rPr>
            </w:pPr>
            <w:r w:rsidRPr="00415D56">
              <w:rPr>
                <w:rFonts w:ascii="Arial" w:hAnsi="Arial" w:cs="Arial"/>
                <w:color w:val="000000"/>
                <w:lang w:eastAsia="fr-FR"/>
              </w:rPr>
              <w:t>SN</w:t>
            </w:r>
          </w:p>
        </w:tc>
        <w:tc>
          <w:tcPr>
            <w:tcW w:w="1541" w:type="dxa"/>
            <w:tcBorders>
              <w:top w:val="nil"/>
              <w:left w:val="nil"/>
              <w:bottom w:val="nil"/>
              <w:right w:val="nil"/>
            </w:tcBorders>
            <w:hideMark/>
          </w:tcPr>
          <w:p w14:paraId="50209A1E"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53,10±3,60</w:t>
            </w:r>
            <w:r w:rsidRPr="00415D56">
              <w:rPr>
                <w:rFonts w:ascii="Arial" w:hAnsi="Arial" w:cs="Arial"/>
                <w:color w:val="000000"/>
                <w:vertAlign w:val="superscript"/>
                <w:lang w:eastAsia="fr-FR"/>
              </w:rPr>
              <w:t>a</w:t>
            </w:r>
          </w:p>
        </w:tc>
        <w:tc>
          <w:tcPr>
            <w:tcW w:w="1541" w:type="dxa"/>
            <w:tcBorders>
              <w:top w:val="nil"/>
              <w:left w:val="nil"/>
              <w:bottom w:val="nil"/>
              <w:right w:val="nil"/>
            </w:tcBorders>
            <w:noWrap/>
            <w:hideMark/>
          </w:tcPr>
          <w:p w14:paraId="0DC56052"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17,40±3,63</w:t>
            </w:r>
            <w:r w:rsidRPr="00415D56">
              <w:rPr>
                <w:rFonts w:ascii="Arial" w:hAnsi="Arial" w:cs="Arial"/>
                <w:color w:val="000000"/>
                <w:vertAlign w:val="superscript"/>
                <w:lang w:eastAsia="fr-FR"/>
              </w:rPr>
              <w:t>a</w:t>
            </w:r>
          </w:p>
        </w:tc>
        <w:tc>
          <w:tcPr>
            <w:tcW w:w="1541" w:type="dxa"/>
            <w:tcBorders>
              <w:top w:val="nil"/>
              <w:left w:val="nil"/>
              <w:bottom w:val="nil"/>
              <w:right w:val="nil"/>
            </w:tcBorders>
            <w:noWrap/>
            <w:hideMark/>
          </w:tcPr>
          <w:p w14:paraId="680CE116"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3,30±0,67</w:t>
            </w:r>
            <w:r w:rsidRPr="00415D56">
              <w:rPr>
                <w:rFonts w:ascii="Arial" w:hAnsi="Arial" w:cs="Arial"/>
                <w:color w:val="000000"/>
                <w:vertAlign w:val="superscript"/>
                <w:lang w:eastAsia="fr-FR"/>
              </w:rPr>
              <w:t>a</w:t>
            </w:r>
          </w:p>
        </w:tc>
        <w:tc>
          <w:tcPr>
            <w:tcW w:w="1541" w:type="dxa"/>
            <w:tcBorders>
              <w:top w:val="nil"/>
              <w:left w:val="nil"/>
              <w:bottom w:val="nil"/>
              <w:right w:val="nil"/>
            </w:tcBorders>
            <w:noWrap/>
            <w:hideMark/>
          </w:tcPr>
          <w:p w14:paraId="5123E4C7"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3,14±0,72</w:t>
            </w:r>
          </w:p>
        </w:tc>
      </w:tr>
      <w:tr w:rsidR="009450CE" w:rsidRPr="00415D56" w14:paraId="5D7F5AFE" w14:textId="77777777" w:rsidTr="009450CE">
        <w:trPr>
          <w:trHeight w:val="313"/>
        </w:trPr>
        <w:tc>
          <w:tcPr>
            <w:tcW w:w="1541" w:type="dxa"/>
            <w:vMerge w:val="restart"/>
            <w:tcBorders>
              <w:top w:val="single" w:sz="4" w:space="0" w:color="7F7F7F" w:themeColor="text1" w:themeTint="80"/>
              <w:left w:val="nil"/>
              <w:bottom w:val="nil"/>
              <w:right w:val="nil"/>
            </w:tcBorders>
            <w:noWrap/>
            <w:hideMark/>
          </w:tcPr>
          <w:p w14:paraId="228AA845" w14:textId="77777777" w:rsidR="009450CE" w:rsidRPr="00415D56" w:rsidRDefault="009450CE" w:rsidP="009450CE">
            <w:pPr>
              <w:autoSpaceDN w:val="0"/>
              <w:jc w:val="right"/>
              <w:rPr>
                <w:rFonts w:ascii="Arial" w:hAnsi="Arial" w:cs="Arial"/>
                <w:b/>
                <w:bCs/>
                <w:color w:val="000000"/>
                <w:lang w:eastAsia="fr-FR"/>
              </w:rPr>
            </w:pPr>
            <w:r w:rsidRPr="00415D56">
              <w:rPr>
                <w:rFonts w:ascii="Arial" w:hAnsi="Arial" w:cs="Arial"/>
                <w:b/>
                <w:bCs/>
                <w:color w:val="000000"/>
                <w:lang w:eastAsia="fr-FR"/>
              </w:rPr>
              <w:t>C2</w:t>
            </w:r>
          </w:p>
        </w:tc>
        <w:tc>
          <w:tcPr>
            <w:tcW w:w="1541" w:type="dxa"/>
            <w:tcBorders>
              <w:top w:val="single" w:sz="4" w:space="0" w:color="7F7F7F" w:themeColor="text1" w:themeTint="80"/>
              <w:left w:val="nil"/>
              <w:bottom w:val="single" w:sz="4" w:space="0" w:color="7F7F7F" w:themeColor="text1" w:themeTint="80"/>
              <w:right w:val="nil"/>
            </w:tcBorders>
            <w:noWrap/>
            <w:hideMark/>
          </w:tcPr>
          <w:p w14:paraId="3C663708" w14:textId="77777777" w:rsidR="009450CE" w:rsidRPr="00415D56" w:rsidRDefault="009450CE" w:rsidP="009450CE">
            <w:pPr>
              <w:autoSpaceDN w:val="0"/>
              <w:jc w:val="center"/>
              <w:rPr>
                <w:rFonts w:ascii="Arial" w:hAnsi="Arial" w:cs="Arial"/>
                <w:color w:val="000000"/>
                <w:lang w:eastAsia="fr-FR"/>
              </w:rPr>
            </w:pPr>
            <w:r w:rsidRPr="00415D56">
              <w:rPr>
                <w:rFonts w:ascii="Arial" w:hAnsi="Arial" w:cs="Arial"/>
                <w:color w:val="000000"/>
                <w:lang w:eastAsia="fr-FR"/>
              </w:rPr>
              <w:t>AP</w:t>
            </w:r>
          </w:p>
        </w:tc>
        <w:tc>
          <w:tcPr>
            <w:tcW w:w="1541" w:type="dxa"/>
            <w:tcBorders>
              <w:top w:val="single" w:sz="4" w:space="0" w:color="7F7F7F" w:themeColor="text1" w:themeTint="80"/>
              <w:left w:val="nil"/>
              <w:bottom w:val="single" w:sz="4" w:space="0" w:color="7F7F7F" w:themeColor="text1" w:themeTint="80"/>
              <w:right w:val="nil"/>
            </w:tcBorders>
            <w:hideMark/>
          </w:tcPr>
          <w:p w14:paraId="385A1130"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45,20±0,79</w:t>
            </w:r>
            <w:r w:rsidRPr="00415D56">
              <w:rPr>
                <w:rFonts w:ascii="Arial" w:hAnsi="Arial" w:cs="Arial"/>
                <w:color w:val="000000"/>
                <w:vertAlign w:val="superscript"/>
                <w:lang w:eastAsia="fr-FR"/>
              </w:rPr>
              <w:t>b</w:t>
            </w:r>
          </w:p>
        </w:tc>
        <w:tc>
          <w:tcPr>
            <w:tcW w:w="1541" w:type="dxa"/>
            <w:tcBorders>
              <w:top w:val="single" w:sz="4" w:space="0" w:color="7F7F7F" w:themeColor="text1" w:themeTint="80"/>
              <w:left w:val="nil"/>
              <w:bottom w:val="single" w:sz="4" w:space="0" w:color="7F7F7F" w:themeColor="text1" w:themeTint="80"/>
              <w:right w:val="nil"/>
            </w:tcBorders>
            <w:noWrap/>
            <w:hideMark/>
          </w:tcPr>
          <w:p w14:paraId="72522BC3"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11,00±1,15</w:t>
            </w:r>
            <w:r w:rsidRPr="00415D56">
              <w:rPr>
                <w:rFonts w:ascii="Arial" w:hAnsi="Arial" w:cs="Arial"/>
                <w:color w:val="000000"/>
                <w:vertAlign w:val="superscript"/>
                <w:lang w:eastAsia="fr-FR"/>
              </w:rPr>
              <w:t>b</w:t>
            </w:r>
          </w:p>
        </w:tc>
        <w:tc>
          <w:tcPr>
            <w:tcW w:w="1541" w:type="dxa"/>
            <w:tcBorders>
              <w:top w:val="single" w:sz="4" w:space="0" w:color="7F7F7F" w:themeColor="text1" w:themeTint="80"/>
              <w:left w:val="nil"/>
              <w:bottom w:val="single" w:sz="4" w:space="0" w:color="7F7F7F" w:themeColor="text1" w:themeTint="80"/>
              <w:right w:val="nil"/>
            </w:tcBorders>
            <w:noWrap/>
            <w:hideMark/>
          </w:tcPr>
          <w:p w14:paraId="5565C310"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1,20±0,42</w:t>
            </w:r>
            <w:r w:rsidRPr="00415D56">
              <w:rPr>
                <w:rFonts w:ascii="Arial" w:hAnsi="Arial" w:cs="Arial"/>
                <w:color w:val="000000"/>
                <w:vertAlign w:val="superscript"/>
                <w:lang w:eastAsia="fr-FR"/>
              </w:rPr>
              <w:t>c</w:t>
            </w:r>
          </w:p>
        </w:tc>
        <w:tc>
          <w:tcPr>
            <w:tcW w:w="1541" w:type="dxa"/>
            <w:tcBorders>
              <w:top w:val="single" w:sz="4" w:space="0" w:color="7F7F7F" w:themeColor="text1" w:themeTint="80"/>
              <w:left w:val="nil"/>
              <w:bottom w:val="single" w:sz="4" w:space="0" w:color="7F7F7F" w:themeColor="text1" w:themeTint="80"/>
              <w:right w:val="nil"/>
            </w:tcBorders>
            <w:noWrap/>
            <w:hideMark/>
          </w:tcPr>
          <w:p w14:paraId="3BF913F4"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2,55±0,05</w:t>
            </w:r>
          </w:p>
        </w:tc>
      </w:tr>
      <w:tr w:rsidR="009450CE" w:rsidRPr="00415D56" w14:paraId="7CD07AAC" w14:textId="77777777" w:rsidTr="009450CE">
        <w:trPr>
          <w:trHeight w:val="313"/>
        </w:trPr>
        <w:tc>
          <w:tcPr>
            <w:tcW w:w="0" w:type="auto"/>
            <w:vMerge/>
            <w:tcBorders>
              <w:top w:val="single" w:sz="4" w:space="0" w:color="7F7F7F" w:themeColor="text1" w:themeTint="80"/>
              <w:left w:val="nil"/>
              <w:bottom w:val="nil"/>
              <w:right w:val="nil"/>
            </w:tcBorders>
            <w:vAlign w:val="center"/>
            <w:hideMark/>
          </w:tcPr>
          <w:p w14:paraId="79D2BCEE" w14:textId="77777777" w:rsidR="009450CE" w:rsidRPr="00415D56" w:rsidRDefault="009450CE" w:rsidP="009450CE">
            <w:pPr>
              <w:spacing w:line="256" w:lineRule="auto"/>
              <w:rPr>
                <w:rFonts w:ascii="Arial" w:hAnsi="Arial" w:cs="Arial"/>
                <w:b/>
                <w:bCs/>
                <w:color w:val="000000"/>
                <w:lang w:eastAsia="fr-FR"/>
              </w:rPr>
            </w:pPr>
          </w:p>
        </w:tc>
        <w:tc>
          <w:tcPr>
            <w:tcW w:w="1541" w:type="dxa"/>
            <w:tcBorders>
              <w:top w:val="nil"/>
              <w:left w:val="nil"/>
              <w:bottom w:val="nil"/>
              <w:right w:val="nil"/>
            </w:tcBorders>
            <w:noWrap/>
            <w:hideMark/>
          </w:tcPr>
          <w:p w14:paraId="24A6DD90" w14:textId="77777777" w:rsidR="009450CE" w:rsidRPr="00415D56" w:rsidRDefault="009450CE" w:rsidP="009450CE">
            <w:pPr>
              <w:autoSpaceDN w:val="0"/>
              <w:jc w:val="center"/>
              <w:rPr>
                <w:rFonts w:ascii="Arial" w:hAnsi="Arial" w:cs="Arial"/>
                <w:color w:val="000000"/>
                <w:lang w:eastAsia="fr-FR"/>
              </w:rPr>
            </w:pPr>
            <w:r w:rsidRPr="00415D56">
              <w:rPr>
                <w:rFonts w:ascii="Arial" w:hAnsi="Arial" w:cs="Arial"/>
                <w:color w:val="000000"/>
                <w:lang w:eastAsia="fr-FR"/>
              </w:rPr>
              <w:t>SN</w:t>
            </w:r>
          </w:p>
        </w:tc>
        <w:tc>
          <w:tcPr>
            <w:tcW w:w="1541" w:type="dxa"/>
            <w:tcBorders>
              <w:top w:val="nil"/>
              <w:left w:val="nil"/>
              <w:bottom w:val="nil"/>
              <w:right w:val="nil"/>
            </w:tcBorders>
            <w:hideMark/>
          </w:tcPr>
          <w:p w14:paraId="308EB4C1"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45,60±0,52</w:t>
            </w:r>
            <w:r w:rsidRPr="00415D56">
              <w:rPr>
                <w:rFonts w:ascii="Arial" w:hAnsi="Arial" w:cs="Arial"/>
                <w:color w:val="000000"/>
                <w:vertAlign w:val="superscript"/>
                <w:lang w:eastAsia="fr-FR"/>
              </w:rPr>
              <w:t>b</w:t>
            </w:r>
          </w:p>
        </w:tc>
        <w:tc>
          <w:tcPr>
            <w:tcW w:w="1541" w:type="dxa"/>
            <w:tcBorders>
              <w:top w:val="nil"/>
              <w:left w:val="nil"/>
              <w:bottom w:val="nil"/>
              <w:right w:val="nil"/>
            </w:tcBorders>
            <w:noWrap/>
            <w:hideMark/>
          </w:tcPr>
          <w:p w14:paraId="6DB928FA"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16,10±3,57</w:t>
            </w:r>
            <w:r w:rsidRPr="00415D56">
              <w:rPr>
                <w:rFonts w:ascii="Arial" w:hAnsi="Arial" w:cs="Arial"/>
                <w:color w:val="000000"/>
                <w:vertAlign w:val="superscript"/>
                <w:lang w:eastAsia="fr-FR"/>
              </w:rPr>
              <w:t>a</w:t>
            </w:r>
          </w:p>
        </w:tc>
        <w:tc>
          <w:tcPr>
            <w:tcW w:w="1541" w:type="dxa"/>
            <w:tcBorders>
              <w:top w:val="nil"/>
              <w:left w:val="nil"/>
              <w:bottom w:val="nil"/>
              <w:right w:val="nil"/>
            </w:tcBorders>
            <w:noWrap/>
            <w:hideMark/>
          </w:tcPr>
          <w:p w14:paraId="7365E8FE"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1,20±0,42</w:t>
            </w:r>
            <w:r w:rsidRPr="00415D56">
              <w:rPr>
                <w:rFonts w:ascii="Arial" w:hAnsi="Arial" w:cs="Arial"/>
                <w:color w:val="000000"/>
                <w:vertAlign w:val="superscript"/>
                <w:lang w:eastAsia="fr-FR"/>
              </w:rPr>
              <w:t>c</w:t>
            </w:r>
          </w:p>
        </w:tc>
        <w:tc>
          <w:tcPr>
            <w:tcW w:w="1541" w:type="dxa"/>
            <w:tcBorders>
              <w:top w:val="nil"/>
              <w:left w:val="nil"/>
              <w:bottom w:val="nil"/>
              <w:right w:val="nil"/>
            </w:tcBorders>
            <w:noWrap/>
            <w:hideMark/>
          </w:tcPr>
          <w:p w14:paraId="27A840F3" w14:textId="77777777" w:rsidR="009450CE" w:rsidRPr="00415D56" w:rsidRDefault="009450CE" w:rsidP="009450CE">
            <w:pPr>
              <w:autoSpaceDN w:val="0"/>
              <w:rPr>
                <w:rFonts w:ascii="Arial" w:hAnsi="Arial" w:cs="Arial"/>
                <w:color w:val="000000"/>
                <w:lang w:eastAsia="fr-FR"/>
              </w:rPr>
            </w:pPr>
            <w:r w:rsidRPr="00415D56">
              <w:rPr>
                <w:rFonts w:ascii="Arial" w:hAnsi="Arial" w:cs="Arial"/>
                <w:color w:val="000000"/>
                <w:lang w:eastAsia="fr-FR"/>
              </w:rPr>
              <w:t>1,77±0,08</w:t>
            </w:r>
          </w:p>
        </w:tc>
      </w:tr>
      <w:tr w:rsidR="009450CE" w:rsidRPr="00415D56" w14:paraId="5B19298E" w14:textId="77777777" w:rsidTr="009450CE">
        <w:trPr>
          <w:trHeight w:val="313"/>
        </w:trPr>
        <w:tc>
          <w:tcPr>
            <w:tcW w:w="1541" w:type="dxa"/>
            <w:vMerge w:val="restart"/>
            <w:tcBorders>
              <w:top w:val="single" w:sz="4" w:space="0" w:color="7F7F7F" w:themeColor="text1" w:themeTint="80"/>
              <w:left w:val="nil"/>
              <w:bottom w:val="single" w:sz="4" w:space="0" w:color="7F7F7F" w:themeColor="text1" w:themeTint="80"/>
              <w:right w:val="nil"/>
            </w:tcBorders>
            <w:noWrap/>
          </w:tcPr>
          <w:p w14:paraId="64FF14DD" w14:textId="77777777" w:rsidR="009450CE" w:rsidRPr="00415D56" w:rsidRDefault="009450CE" w:rsidP="009450CE">
            <w:pPr>
              <w:autoSpaceDN w:val="0"/>
              <w:jc w:val="right"/>
              <w:rPr>
                <w:rFonts w:ascii="Arial" w:hAnsi="Arial" w:cs="Arial"/>
                <w:b/>
                <w:bCs/>
                <w:color w:val="000000"/>
                <w:lang w:eastAsia="fr-FR"/>
              </w:rPr>
            </w:pPr>
          </w:p>
        </w:tc>
        <w:tc>
          <w:tcPr>
            <w:tcW w:w="1541" w:type="dxa"/>
            <w:tcBorders>
              <w:top w:val="single" w:sz="4" w:space="0" w:color="7F7F7F" w:themeColor="text1" w:themeTint="80"/>
              <w:left w:val="nil"/>
              <w:bottom w:val="single" w:sz="4" w:space="0" w:color="7F7F7F" w:themeColor="text1" w:themeTint="80"/>
              <w:right w:val="nil"/>
            </w:tcBorders>
            <w:noWrap/>
            <w:hideMark/>
          </w:tcPr>
          <w:p w14:paraId="28D05035" w14:textId="77777777" w:rsidR="009450CE" w:rsidRPr="00415D56" w:rsidRDefault="009450CE" w:rsidP="009450CE">
            <w:pPr>
              <w:autoSpaceDN w:val="0"/>
              <w:jc w:val="center"/>
              <w:rPr>
                <w:rFonts w:ascii="Arial" w:hAnsi="Arial" w:cs="Arial"/>
                <w:color w:val="000000"/>
                <w:lang w:eastAsia="fr-FR"/>
              </w:rPr>
            </w:pPr>
            <w:r w:rsidRPr="00415D56">
              <w:rPr>
                <w:rFonts w:ascii="Arial" w:hAnsi="Arial" w:cs="Arial"/>
                <w:color w:val="000000"/>
                <w:lang w:eastAsia="fr-FR"/>
              </w:rPr>
              <w:t>F</w:t>
            </w:r>
          </w:p>
        </w:tc>
        <w:tc>
          <w:tcPr>
            <w:tcW w:w="1541" w:type="dxa"/>
            <w:tcBorders>
              <w:top w:val="single" w:sz="4" w:space="0" w:color="7F7F7F" w:themeColor="text1" w:themeTint="80"/>
              <w:left w:val="nil"/>
              <w:bottom w:val="single" w:sz="4" w:space="0" w:color="7F7F7F" w:themeColor="text1" w:themeTint="80"/>
              <w:right w:val="nil"/>
            </w:tcBorders>
            <w:hideMark/>
          </w:tcPr>
          <w:p w14:paraId="5AA1C6A3"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0,17</w:t>
            </w:r>
          </w:p>
        </w:tc>
        <w:tc>
          <w:tcPr>
            <w:tcW w:w="1541" w:type="dxa"/>
            <w:tcBorders>
              <w:top w:val="single" w:sz="4" w:space="0" w:color="7F7F7F" w:themeColor="text1" w:themeTint="80"/>
              <w:left w:val="nil"/>
              <w:bottom w:val="single" w:sz="4" w:space="0" w:color="7F7F7F" w:themeColor="text1" w:themeTint="80"/>
              <w:right w:val="nil"/>
            </w:tcBorders>
            <w:noWrap/>
            <w:hideMark/>
          </w:tcPr>
          <w:p w14:paraId="0B4E3CB3"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7,368</w:t>
            </w:r>
          </w:p>
        </w:tc>
        <w:tc>
          <w:tcPr>
            <w:tcW w:w="1541" w:type="dxa"/>
            <w:tcBorders>
              <w:top w:val="single" w:sz="4" w:space="0" w:color="7F7F7F" w:themeColor="text1" w:themeTint="80"/>
              <w:left w:val="nil"/>
              <w:bottom w:val="single" w:sz="4" w:space="0" w:color="7F7F7F" w:themeColor="text1" w:themeTint="80"/>
              <w:right w:val="nil"/>
            </w:tcBorders>
            <w:noWrap/>
            <w:hideMark/>
          </w:tcPr>
          <w:p w14:paraId="537B5E91"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13,460</w:t>
            </w:r>
          </w:p>
        </w:tc>
        <w:tc>
          <w:tcPr>
            <w:tcW w:w="1541" w:type="dxa"/>
            <w:tcBorders>
              <w:top w:val="single" w:sz="4" w:space="0" w:color="7F7F7F" w:themeColor="text1" w:themeTint="80"/>
              <w:left w:val="nil"/>
              <w:bottom w:val="single" w:sz="4" w:space="0" w:color="7F7F7F" w:themeColor="text1" w:themeTint="80"/>
              <w:right w:val="nil"/>
            </w:tcBorders>
            <w:noWrap/>
            <w:hideMark/>
          </w:tcPr>
          <w:p w14:paraId="3EE7BBB7"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0,119</w:t>
            </w:r>
          </w:p>
        </w:tc>
      </w:tr>
      <w:tr w:rsidR="009450CE" w:rsidRPr="00415D56" w14:paraId="5CD8CE34" w14:textId="77777777" w:rsidTr="009450CE">
        <w:trPr>
          <w:trHeight w:val="313"/>
        </w:trPr>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6F5C10C3" w14:textId="77777777" w:rsidR="009450CE" w:rsidRPr="00415D56" w:rsidRDefault="009450CE" w:rsidP="009450CE">
            <w:pPr>
              <w:spacing w:line="256" w:lineRule="auto"/>
              <w:rPr>
                <w:rFonts w:ascii="Arial" w:hAnsi="Arial" w:cs="Arial"/>
                <w:b/>
                <w:bCs/>
                <w:color w:val="000000"/>
                <w:lang w:eastAsia="fr-FR"/>
              </w:rPr>
            </w:pPr>
          </w:p>
        </w:tc>
        <w:tc>
          <w:tcPr>
            <w:tcW w:w="1541" w:type="dxa"/>
            <w:tcBorders>
              <w:top w:val="nil"/>
              <w:left w:val="nil"/>
              <w:bottom w:val="single" w:sz="4" w:space="0" w:color="7F7F7F" w:themeColor="text1" w:themeTint="80"/>
              <w:right w:val="nil"/>
            </w:tcBorders>
            <w:noWrap/>
            <w:hideMark/>
          </w:tcPr>
          <w:p w14:paraId="39FC036C" w14:textId="77777777" w:rsidR="009450CE" w:rsidRPr="00415D56" w:rsidRDefault="009450CE" w:rsidP="009450CE">
            <w:pPr>
              <w:autoSpaceDN w:val="0"/>
              <w:jc w:val="center"/>
              <w:rPr>
                <w:rFonts w:ascii="Arial" w:hAnsi="Arial" w:cs="Arial"/>
                <w:color w:val="000000"/>
                <w:lang w:eastAsia="fr-FR"/>
              </w:rPr>
            </w:pPr>
            <w:r w:rsidRPr="00415D56">
              <w:rPr>
                <w:rFonts w:ascii="Arial" w:hAnsi="Arial" w:cs="Arial"/>
                <w:color w:val="000000"/>
                <w:lang w:eastAsia="fr-FR"/>
              </w:rPr>
              <w:t>P</w:t>
            </w:r>
          </w:p>
        </w:tc>
        <w:tc>
          <w:tcPr>
            <w:tcW w:w="1541" w:type="dxa"/>
            <w:tcBorders>
              <w:top w:val="nil"/>
              <w:left w:val="nil"/>
              <w:bottom w:val="single" w:sz="4" w:space="0" w:color="7F7F7F" w:themeColor="text1" w:themeTint="80"/>
              <w:right w:val="nil"/>
            </w:tcBorders>
            <w:hideMark/>
          </w:tcPr>
          <w:p w14:paraId="141C265F"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0,034394</w:t>
            </w:r>
          </w:p>
        </w:tc>
        <w:tc>
          <w:tcPr>
            <w:tcW w:w="1541" w:type="dxa"/>
            <w:tcBorders>
              <w:top w:val="nil"/>
              <w:left w:val="nil"/>
              <w:bottom w:val="single" w:sz="4" w:space="0" w:color="7F7F7F" w:themeColor="text1" w:themeTint="80"/>
              <w:right w:val="nil"/>
            </w:tcBorders>
            <w:noWrap/>
            <w:hideMark/>
          </w:tcPr>
          <w:p w14:paraId="16F8BFB7"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0,010126</w:t>
            </w:r>
          </w:p>
        </w:tc>
        <w:tc>
          <w:tcPr>
            <w:tcW w:w="1541" w:type="dxa"/>
            <w:tcBorders>
              <w:top w:val="nil"/>
              <w:left w:val="nil"/>
              <w:bottom w:val="single" w:sz="4" w:space="0" w:color="7F7F7F" w:themeColor="text1" w:themeTint="80"/>
              <w:right w:val="nil"/>
            </w:tcBorders>
            <w:noWrap/>
            <w:hideMark/>
          </w:tcPr>
          <w:p w14:paraId="5FDF819B"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0,000783</w:t>
            </w:r>
          </w:p>
        </w:tc>
        <w:tc>
          <w:tcPr>
            <w:tcW w:w="1541" w:type="dxa"/>
            <w:tcBorders>
              <w:top w:val="nil"/>
              <w:left w:val="nil"/>
              <w:bottom w:val="single" w:sz="4" w:space="0" w:color="7F7F7F" w:themeColor="text1" w:themeTint="80"/>
              <w:right w:val="nil"/>
            </w:tcBorders>
            <w:noWrap/>
            <w:hideMark/>
          </w:tcPr>
          <w:p w14:paraId="1C7C0502" w14:textId="77777777" w:rsidR="009450CE" w:rsidRPr="00415D56" w:rsidRDefault="009450CE" w:rsidP="009450CE">
            <w:pPr>
              <w:autoSpaceDN w:val="0"/>
              <w:spacing w:line="252" w:lineRule="auto"/>
              <w:rPr>
                <w:rFonts w:ascii="Arial" w:eastAsia="Calibri" w:hAnsi="Arial" w:cs="Arial"/>
                <w:color w:val="000000"/>
              </w:rPr>
            </w:pPr>
            <w:r w:rsidRPr="00415D56">
              <w:rPr>
                <w:rFonts w:ascii="Arial" w:eastAsia="Calibri" w:hAnsi="Arial" w:cs="Arial"/>
                <w:color w:val="000000"/>
              </w:rPr>
              <w:t>0,731941</w:t>
            </w:r>
          </w:p>
        </w:tc>
      </w:tr>
    </w:tbl>
    <w:p w14:paraId="046B8EBD" w14:textId="77777777" w:rsidR="009450CE" w:rsidRDefault="009450CE" w:rsidP="009450CE">
      <w:pPr>
        <w:rPr>
          <w:rFonts w:ascii="Arial" w:hAnsi="Arial" w:cs="Arial"/>
          <w:sz w:val="18"/>
          <w:szCs w:val="18"/>
        </w:rPr>
      </w:pPr>
      <w:r w:rsidRPr="009450CE">
        <w:rPr>
          <w:rFonts w:ascii="Arial" w:hAnsi="Arial" w:cs="Arial"/>
          <w:sz w:val="18"/>
          <w:szCs w:val="18"/>
        </w:rPr>
        <w:t>In the same column, means followed by the same letter are significantly identical at the 5% threshold (Newman-</w:t>
      </w:r>
      <w:proofErr w:type="spellStart"/>
      <w:r w:rsidRPr="009450CE">
        <w:rPr>
          <w:rFonts w:ascii="Arial" w:hAnsi="Arial" w:cs="Arial"/>
          <w:sz w:val="18"/>
          <w:szCs w:val="18"/>
        </w:rPr>
        <w:t>Keuls</w:t>
      </w:r>
      <w:proofErr w:type="spellEnd"/>
      <w:r w:rsidRPr="009450CE">
        <w:rPr>
          <w:rFonts w:ascii="Arial" w:hAnsi="Arial" w:cs="Arial"/>
          <w:sz w:val="18"/>
          <w:szCs w:val="18"/>
        </w:rPr>
        <w:t xml:space="preserve"> test). Mean ± standard deviation, AP: apex; SN: nodal segment; C1: first crop and C2: second crop; bud rate: budding rate; bud time: budding time; NPF: number of leafy shoots; NN: number of nodes. P: Probability of the interaction number of crop-type explant</w:t>
      </w:r>
    </w:p>
    <w:p w14:paraId="2D4FA714" w14:textId="77777777" w:rsidR="004A797E" w:rsidRPr="009450CE" w:rsidRDefault="004A797E" w:rsidP="009450CE">
      <w:pPr>
        <w:rPr>
          <w:rFonts w:ascii="Arial" w:hAnsi="Arial" w:cs="Arial"/>
          <w:sz w:val="18"/>
          <w:szCs w:val="18"/>
        </w:rPr>
      </w:pPr>
    </w:p>
    <w:p w14:paraId="63C96981" w14:textId="77777777" w:rsidR="009450CE" w:rsidRPr="00415D56" w:rsidRDefault="009450CE" w:rsidP="009450CE">
      <w:pPr>
        <w:rPr>
          <w:rFonts w:ascii="Arial" w:hAnsi="Arial" w:cs="Arial"/>
        </w:rPr>
      </w:pPr>
      <w:r w:rsidRPr="00415D56">
        <w:rPr>
          <w:rFonts w:ascii="Arial" w:hAnsi="Arial" w:cs="Arial"/>
        </w:rPr>
        <w:t xml:space="preserve">For the propagation of this species, the reduction in budding rate, number of shoots, number of nodes and shoot height was obtained at the second culture of nodal segments on MS medium enriched with 2 mg/l BAP. This result could be explained by the early exhaustion of cells in this zone. In fact, an exogenous hormonal input of the same quantity on the nutrient-depleted medium would cause asphyxiation of these buds. This result is similar to that of </w:t>
      </w:r>
      <w:r w:rsidR="00F05D85">
        <w:rPr>
          <w:rFonts w:ascii="Arial" w:hAnsi="Arial" w:cs="Arial"/>
        </w:rPr>
        <w:t>[20]</w:t>
      </w:r>
      <w:r w:rsidRPr="00415D56">
        <w:rPr>
          <w:rFonts w:ascii="Arial" w:hAnsi="Arial" w:cs="Arial"/>
        </w:rPr>
        <w:t xml:space="preserve"> for pineapple subculture. </w:t>
      </w:r>
      <w:r w:rsidR="00C740D0">
        <w:rPr>
          <w:rFonts w:ascii="Arial" w:hAnsi="Arial" w:cs="Arial"/>
        </w:rPr>
        <w:t>[21]</w:t>
      </w:r>
      <w:r w:rsidRPr="00415D56">
        <w:rPr>
          <w:rFonts w:ascii="Arial" w:hAnsi="Arial" w:cs="Arial"/>
        </w:rPr>
        <w:t xml:space="preserve"> found a different result when </w:t>
      </w:r>
      <w:proofErr w:type="spellStart"/>
      <w:r w:rsidRPr="00415D56">
        <w:rPr>
          <w:rFonts w:ascii="Arial" w:hAnsi="Arial" w:cs="Arial"/>
        </w:rPr>
        <w:t>subculturing</w:t>
      </w:r>
      <w:proofErr w:type="spellEnd"/>
      <w:r w:rsidRPr="00415D56">
        <w:rPr>
          <w:rFonts w:ascii="Arial" w:hAnsi="Arial" w:cs="Arial"/>
        </w:rPr>
        <w:t xml:space="preserve"> </w:t>
      </w:r>
      <w:proofErr w:type="spellStart"/>
      <w:r w:rsidRPr="00415D56">
        <w:rPr>
          <w:rFonts w:ascii="Arial" w:hAnsi="Arial" w:cs="Arial"/>
        </w:rPr>
        <w:t>Hagenia</w:t>
      </w:r>
      <w:proofErr w:type="spellEnd"/>
      <w:r w:rsidRPr="00415D56">
        <w:rPr>
          <w:rFonts w:ascii="Arial" w:hAnsi="Arial" w:cs="Arial"/>
        </w:rPr>
        <w:t xml:space="preserve"> </w:t>
      </w:r>
      <w:proofErr w:type="spellStart"/>
      <w:r w:rsidRPr="00415D56">
        <w:rPr>
          <w:rFonts w:ascii="Arial" w:hAnsi="Arial" w:cs="Arial"/>
        </w:rPr>
        <w:t>abyssinica</w:t>
      </w:r>
      <w:proofErr w:type="spellEnd"/>
      <w:r w:rsidRPr="00415D56">
        <w:rPr>
          <w:rFonts w:ascii="Arial" w:hAnsi="Arial" w:cs="Arial"/>
        </w:rPr>
        <w:t>. They showed that the number of leafy shoots increased more in the second culture than in the first culture.</w:t>
      </w:r>
    </w:p>
    <w:p w14:paraId="40E15F64" w14:textId="77777777" w:rsidR="00790ADA" w:rsidRPr="00FB3A86" w:rsidRDefault="00790ADA" w:rsidP="00441B6F">
      <w:pPr>
        <w:pStyle w:val="Body"/>
        <w:spacing w:after="0"/>
        <w:rPr>
          <w:rFonts w:ascii="Arial" w:hAnsi="Arial" w:cs="Arial"/>
        </w:rPr>
      </w:pPr>
    </w:p>
    <w:p w14:paraId="21155DE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BBFB025" w14:textId="77777777" w:rsidR="00790ADA" w:rsidRPr="00FB3A86" w:rsidRDefault="00790ADA" w:rsidP="00441B6F">
      <w:pPr>
        <w:pStyle w:val="ConcHead"/>
        <w:spacing w:after="0"/>
        <w:jc w:val="both"/>
        <w:rPr>
          <w:rFonts w:ascii="Arial" w:hAnsi="Arial" w:cs="Arial"/>
        </w:rPr>
      </w:pPr>
    </w:p>
    <w:p w14:paraId="13D55DC0" w14:textId="77777777" w:rsidR="004A797E" w:rsidRPr="00C31BBB" w:rsidRDefault="004A797E" w:rsidP="004A797E">
      <w:pPr>
        <w:rPr>
          <w:rFonts w:ascii="Arial" w:hAnsi="Arial" w:cs="Arial"/>
        </w:rPr>
      </w:pPr>
      <w:r w:rsidRPr="00C31BBB">
        <w:rPr>
          <w:rFonts w:ascii="Arial" w:hAnsi="Arial" w:cs="Arial"/>
        </w:rPr>
        <w:t>Disinfection techniques have shown that teak explants require surface disinfection. This can be done by soaking the explants in fungicide (5%), then 70% alcohol followed by 0.05% mercury chloride, then 50% sodium hypochlorite for 5 minutes.</w:t>
      </w:r>
    </w:p>
    <w:p w14:paraId="7B7A4E36" w14:textId="77777777" w:rsidR="004A797E" w:rsidRPr="00C31BBB" w:rsidRDefault="004A797E" w:rsidP="004A797E">
      <w:pPr>
        <w:rPr>
          <w:rFonts w:ascii="Arial" w:hAnsi="Arial" w:cs="Arial"/>
        </w:rPr>
      </w:pPr>
      <w:proofErr w:type="spellStart"/>
      <w:r w:rsidRPr="00C31BBB">
        <w:rPr>
          <w:rFonts w:ascii="Arial" w:hAnsi="Arial" w:cs="Arial"/>
        </w:rPr>
        <w:t>Cytokinins</w:t>
      </w:r>
      <w:proofErr w:type="spellEnd"/>
      <w:r w:rsidRPr="00C31BBB">
        <w:rPr>
          <w:rFonts w:ascii="Arial" w:hAnsi="Arial" w:cs="Arial"/>
        </w:rPr>
        <w:t xml:space="preserve"> (BAP, Kinetin, TDZ) used at different concentrations </w:t>
      </w:r>
      <w:proofErr w:type="spellStart"/>
      <w:r w:rsidRPr="00C31BBB">
        <w:rPr>
          <w:rFonts w:ascii="Arial" w:hAnsi="Arial" w:cs="Arial"/>
        </w:rPr>
        <w:t>favoured</w:t>
      </w:r>
      <w:proofErr w:type="spellEnd"/>
      <w:r w:rsidRPr="00C31BBB">
        <w:rPr>
          <w:rFonts w:ascii="Arial" w:hAnsi="Arial" w:cs="Arial"/>
        </w:rPr>
        <w:t xml:space="preserve"> the induction of teak buds. BAP at 2 mg/l induced the greatest number of leafy shoots and high budding rates compared with the other two </w:t>
      </w:r>
      <w:proofErr w:type="spellStart"/>
      <w:r w:rsidRPr="00C31BBB">
        <w:rPr>
          <w:rFonts w:ascii="Arial" w:hAnsi="Arial" w:cs="Arial"/>
        </w:rPr>
        <w:t>cytokinins</w:t>
      </w:r>
      <w:proofErr w:type="spellEnd"/>
      <w:r w:rsidRPr="00C31BBB">
        <w:rPr>
          <w:rFonts w:ascii="Arial" w:hAnsi="Arial" w:cs="Arial"/>
        </w:rPr>
        <w:t>.</w:t>
      </w:r>
    </w:p>
    <w:p w14:paraId="1E17680D" w14:textId="77777777" w:rsidR="004A797E" w:rsidRPr="00C31BBB" w:rsidRDefault="004A797E" w:rsidP="004A797E">
      <w:pPr>
        <w:rPr>
          <w:rFonts w:ascii="Arial" w:hAnsi="Arial" w:cs="Arial"/>
        </w:rPr>
      </w:pPr>
      <w:r w:rsidRPr="00C31BBB">
        <w:rPr>
          <w:rFonts w:ascii="Arial" w:hAnsi="Arial" w:cs="Arial"/>
        </w:rPr>
        <w:t xml:space="preserve">Nodal segments grown on MS medium were </w:t>
      </w:r>
      <w:proofErr w:type="spellStart"/>
      <w:r w:rsidRPr="00C31BBB">
        <w:rPr>
          <w:rFonts w:ascii="Arial" w:hAnsi="Arial" w:cs="Arial"/>
        </w:rPr>
        <w:t>favourable</w:t>
      </w:r>
      <w:proofErr w:type="spellEnd"/>
      <w:r w:rsidRPr="00C31BBB">
        <w:rPr>
          <w:rFonts w:ascii="Arial" w:hAnsi="Arial" w:cs="Arial"/>
        </w:rPr>
        <w:t xml:space="preserve"> for the induction of teak buds.</w:t>
      </w:r>
    </w:p>
    <w:p w14:paraId="02FF8D13" w14:textId="77777777" w:rsidR="004A797E" w:rsidRPr="00C31BBB" w:rsidRDefault="004A797E" w:rsidP="004A797E">
      <w:pPr>
        <w:rPr>
          <w:rFonts w:ascii="Arial" w:hAnsi="Arial" w:cs="Arial"/>
        </w:rPr>
      </w:pPr>
      <w:r w:rsidRPr="00C31BBB">
        <w:rPr>
          <w:rFonts w:ascii="Arial" w:hAnsi="Arial" w:cs="Arial"/>
        </w:rPr>
        <w:t>Induction of multiple buds requires culture of nodal segments on MS medium supplemented with 2 mg/l BAP. The number of buds decreased as the number of explant cultures increased.</w:t>
      </w:r>
    </w:p>
    <w:p w14:paraId="20D3B6EB" w14:textId="77777777" w:rsidR="00790ADA" w:rsidRPr="00FB3A86" w:rsidRDefault="00790ADA" w:rsidP="00441B6F">
      <w:pPr>
        <w:pStyle w:val="Body"/>
        <w:spacing w:after="0"/>
        <w:rPr>
          <w:rFonts w:ascii="Arial" w:hAnsi="Arial" w:cs="Arial"/>
        </w:rPr>
      </w:pPr>
    </w:p>
    <w:p w14:paraId="2E60DFBC" w14:textId="77777777" w:rsidR="00315186" w:rsidRPr="00315186" w:rsidRDefault="00315186" w:rsidP="00441B6F"/>
    <w:p w14:paraId="5573F80D" w14:textId="77777777" w:rsidR="00860000" w:rsidRDefault="00860000" w:rsidP="00441B6F">
      <w:pPr>
        <w:pStyle w:val="ReferHead"/>
        <w:spacing w:after="0"/>
        <w:jc w:val="both"/>
        <w:rPr>
          <w:rFonts w:ascii="Arial" w:hAnsi="Arial" w:cs="Arial"/>
        </w:rPr>
      </w:pPr>
    </w:p>
    <w:p w14:paraId="5CFFF2D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154148" w14:textId="77777777" w:rsidR="00790ADA" w:rsidRPr="00FB3A86" w:rsidRDefault="00790ADA" w:rsidP="00441B6F">
      <w:pPr>
        <w:pStyle w:val="ReferHead"/>
        <w:spacing w:after="0"/>
        <w:jc w:val="both"/>
        <w:rPr>
          <w:rFonts w:ascii="Arial" w:hAnsi="Arial" w:cs="Arial"/>
        </w:rPr>
      </w:pPr>
    </w:p>
    <w:p w14:paraId="6476530D" w14:textId="77777777" w:rsidR="00284C4C" w:rsidRPr="00284C4C" w:rsidRDefault="00284C4C" w:rsidP="00441B6F">
      <w:pPr>
        <w:pStyle w:val="Body"/>
        <w:spacing w:after="0"/>
        <w:rPr>
          <w:rFonts w:ascii="Arial" w:hAnsi="Arial" w:cs="Arial"/>
          <w:i/>
          <w:u w:val="single"/>
        </w:rPr>
      </w:pPr>
    </w:p>
    <w:p w14:paraId="2A5D0925" w14:textId="77777777" w:rsidR="00C740D0" w:rsidRDefault="00C740D0" w:rsidP="00C740D0">
      <w:pPr>
        <w:pStyle w:val="ListParagraph"/>
        <w:numPr>
          <w:ilvl w:val="0"/>
          <w:numId w:val="32"/>
        </w:numPr>
        <w:rPr>
          <w:rFonts w:eastAsia="Calibri" w:cs="Times New Roman"/>
          <w:szCs w:val="24"/>
          <w:lang w:val="en-GB"/>
        </w:rPr>
      </w:pPr>
      <w:r w:rsidRPr="004F3936">
        <w:rPr>
          <w:bCs/>
          <w:szCs w:val="24"/>
        </w:rPr>
        <w:t xml:space="preserve">Koné C. H. K., </w:t>
      </w:r>
      <w:proofErr w:type="spellStart"/>
      <w:r w:rsidRPr="004F3936">
        <w:rPr>
          <w:bCs/>
          <w:szCs w:val="24"/>
        </w:rPr>
        <w:t>Boraud</w:t>
      </w:r>
      <w:proofErr w:type="spellEnd"/>
      <w:r w:rsidRPr="004F3936">
        <w:rPr>
          <w:bCs/>
          <w:szCs w:val="24"/>
        </w:rPr>
        <w:t xml:space="preserve"> N. K. M., </w:t>
      </w:r>
      <w:proofErr w:type="spellStart"/>
      <w:r w:rsidRPr="004F3936">
        <w:rPr>
          <w:bCs/>
          <w:szCs w:val="24"/>
        </w:rPr>
        <w:t>Issali</w:t>
      </w:r>
      <w:proofErr w:type="spellEnd"/>
      <w:r w:rsidRPr="004F3936">
        <w:rPr>
          <w:bCs/>
          <w:szCs w:val="24"/>
        </w:rPr>
        <w:t xml:space="preserve"> E. A. &amp; </w:t>
      </w:r>
      <w:proofErr w:type="spellStart"/>
      <w:r w:rsidRPr="004F3936">
        <w:rPr>
          <w:bCs/>
          <w:szCs w:val="24"/>
        </w:rPr>
        <w:t>Kamanzi</w:t>
      </w:r>
      <w:proofErr w:type="spellEnd"/>
      <w:r w:rsidRPr="004F3936">
        <w:rPr>
          <w:bCs/>
          <w:szCs w:val="24"/>
        </w:rPr>
        <w:t xml:space="preserve"> A. K (2010)</w:t>
      </w:r>
      <w:r w:rsidRPr="004F3936">
        <w:rPr>
          <w:rFonts w:eastAsia="Calibri" w:cs="Times New Roman"/>
          <w:szCs w:val="24"/>
        </w:rPr>
        <w:t xml:space="preserve">. Influence of the </w:t>
      </w:r>
      <w:proofErr w:type="spellStart"/>
      <w:r w:rsidRPr="004F3936">
        <w:rPr>
          <w:rFonts w:eastAsia="Calibri" w:cs="Times New Roman"/>
          <w:szCs w:val="24"/>
        </w:rPr>
        <w:t>planting</w:t>
      </w:r>
      <w:proofErr w:type="spellEnd"/>
      <w:r w:rsidRPr="004F3936">
        <w:rPr>
          <w:rFonts w:eastAsia="Calibri" w:cs="Times New Roman"/>
          <w:szCs w:val="24"/>
        </w:rPr>
        <w:t xml:space="preserve"> </w:t>
      </w:r>
      <w:proofErr w:type="spellStart"/>
      <w:r w:rsidRPr="004F3936">
        <w:rPr>
          <w:rFonts w:eastAsia="Calibri" w:cs="Times New Roman"/>
          <w:szCs w:val="24"/>
        </w:rPr>
        <w:t>method</w:t>
      </w:r>
      <w:proofErr w:type="spellEnd"/>
      <w:r w:rsidRPr="004F3936">
        <w:rPr>
          <w:rFonts w:eastAsia="Calibri" w:cs="Times New Roman"/>
          <w:szCs w:val="24"/>
        </w:rPr>
        <w:t xml:space="preserve"> on the </w:t>
      </w:r>
      <w:proofErr w:type="spellStart"/>
      <w:r w:rsidRPr="004F3936">
        <w:rPr>
          <w:rFonts w:eastAsia="Calibri" w:cs="Times New Roman"/>
          <w:szCs w:val="24"/>
        </w:rPr>
        <w:t>survival</w:t>
      </w:r>
      <w:proofErr w:type="spellEnd"/>
      <w:r w:rsidRPr="004F3936">
        <w:rPr>
          <w:rFonts w:eastAsia="Calibri" w:cs="Times New Roman"/>
          <w:szCs w:val="24"/>
        </w:rPr>
        <w:t xml:space="preserve"> and </w:t>
      </w:r>
      <w:proofErr w:type="spellStart"/>
      <w:r w:rsidRPr="004F3936">
        <w:rPr>
          <w:rFonts w:eastAsia="Calibri" w:cs="Times New Roman"/>
          <w:szCs w:val="24"/>
        </w:rPr>
        <w:t>growth</w:t>
      </w:r>
      <w:proofErr w:type="spellEnd"/>
      <w:r w:rsidRPr="004F3936">
        <w:rPr>
          <w:rFonts w:eastAsia="Calibri" w:cs="Times New Roman"/>
          <w:szCs w:val="24"/>
        </w:rPr>
        <w:t xml:space="preserve"> </w:t>
      </w:r>
      <w:proofErr w:type="spellStart"/>
      <w:r w:rsidRPr="004F3936">
        <w:rPr>
          <w:rFonts w:eastAsia="Calibri" w:cs="Times New Roman"/>
          <w:szCs w:val="24"/>
        </w:rPr>
        <w:t>dynamics</w:t>
      </w:r>
      <w:proofErr w:type="spellEnd"/>
      <w:r w:rsidRPr="004F3936">
        <w:rPr>
          <w:rFonts w:eastAsia="Calibri" w:cs="Times New Roman"/>
          <w:szCs w:val="24"/>
        </w:rPr>
        <w:t xml:space="preserve"> of </w:t>
      </w:r>
      <w:proofErr w:type="spellStart"/>
      <w:r w:rsidRPr="004F3936">
        <w:rPr>
          <w:rFonts w:eastAsia="Calibri" w:cs="Times New Roman"/>
          <w:szCs w:val="24"/>
        </w:rPr>
        <w:t>Teak</w:t>
      </w:r>
      <w:proofErr w:type="spellEnd"/>
      <w:r w:rsidRPr="004F3936">
        <w:rPr>
          <w:rFonts w:eastAsia="Calibri" w:cs="Times New Roman"/>
          <w:szCs w:val="24"/>
        </w:rPr>
        <w:t xml:space="preserve"> </w:t>
      </w:r>
      <w:proofErr w:type="spellStart"/>
      <w:r w:rsidRPr="004F3936">
        <w:rPr>
          <w:rFonts w:eastAsia="Calibri" w:cs="Times New Roman"/>
          <w:szCs w:val="24"/>
        </w:rPr>
        <w:t>stumps</w:t>
      </w:r>
      <w:proofErr w:type="spellEnd"/>
      <w:r w:rsidRPr="004F3936">
        <w:rPr>
          <w:rFonts w:eastAsia="Calibri" w:cs="Times New Roman"/>
          <w:szCs w:val="24"/>
        </w:rPr>
        <w:t xml:space="preserve"> </w:t>
      </w:r>
      <w:proofErr w:type="spellStart"/>
      <w:r w:rsidRPr="004F3936">
        <w:rPr>
          <w:rFonts w:eastAsia="Calibri" w:cs="Times New Roman"/>
          <w:szCs w:val="24"/>
        </w:rPr>
        <w:t>used</w:t>
      </w:r>
      <w:proofErr w:type="spellEnd"/>
      <w:r w:rsidRPr="004F3936">
        <w:rPr>
          <w:rFonts w:eastAsia="Calibri" w:cs="Times New Roman"/>
          <w:szCs w:val="24"/>
        </w:rPr>
        <w:t xml:space="preserve"> in </w:t>
      </w:r>
      <w:proofErr w:type="spellStart"/>
      <w:r w:rsidRPr="004F3936">
        <w:rPr>
          <w:rFonts w:eastAsia="Calibri" w:cs="Times New Roman"/>
          <w:szCs w:val="24"/>
        </w:rPr>
        <w:t>industrial</w:t>
      </w:r>
      <w:proofErr w:type="spellEnd"/>
      <w:r w:rsidRPr="004F3936">
        <w:rPr>
          <w:rFonts w:eastAsia="Calibri" w:cs="Times New Roman"/>
          <w:szCs w:val="24"/>
        </w:rPr>
        <w:t xml:space="preserve"> reforestation in the dense semi-</w:t>
      </w:r>
      <w:proofErr w:type="spellStart"/>
      <w:r w:rsidRPr="004F3936">
        <w:rPr>
          <w:rFonts w:eastAsia="Calibri" w:cs="Times New Roman"/>
          <w:szCs w:val="24"/>
        </w:rPr>
        <w:t>deciduous</w:t>
      </w:r>
      <w:proofErr w:type="spellEnd"/>
      <w:r w:rsidRPr="004F3936">
        <w:rPr>
          <w:rFonts w:eastAsia="Calibri" w:cs="Times New Roman"/>
          <w:szCs w:val="24"/>
        </w:rPr>
        <w:t xml:space="preserve"> </w:t>
      </w:r>
      <w:proofErr w:type="spellStart"/>
      <w:r w:rsidRPr="004F3936">
        <w:rPr>
          <w:rFonts w:eastAsia="Calibri" w:cs="Times New Roman"/>
          <w:szCs w:val="24"/>
        </w:rPr>
        <w:t>forest</w:t>
      </w:r>
      <w:proofErr w:type="spellEnd"/>
      <w:r w:rsidRPr="004F3936">
        <w:rPr>
          <w:rFonts w:eastAsia="Calibri" w:cs="Times New Roman"/>
          <w:szCs w:val="24"/>
        </w:rPr>
        <w:t xml:space="preserve"> zone of Côte d'Ivoire. Journal of </w:t>
      </w:r>
      <w:proofErr w:type="spellStart"/>
      <w:r w:rsidRPr="004F3936">
        <w:rPr>
          <w:rFonts w:eastAsia="Calibri" w:cs="Times New Roman"/>
          <w:szCs w:val="24"/>
        </w:rPr>
        <w:t>Applied</w:t>
      </w:r>
      <w:proofErr w:type="spellEnd"/>
      <w:r w:rsidRPr="004F3936">
        <w:rPr>
          <w:rFonts w:eastAsia="Calibri" w:cs="Times New Roman"/>
          <w:szCs w:val="24"/>
        </w:rPr>
        <w:t xml:space="preserve"> Biosciences 32</w:t>
      </w:r>
      <w:r>
        <w:rPr>
          <w:rFonts w:eastAsia="Calibri" w:cs="Times New Roman"/>
          <w:szCs w:val="24"/>
        </w:rPr>
        <w:t xml:space="preserve"> </w:t>
      </w:r>
      <w:r w:rsidRPr="004F3936">
        <w:rPr>
          <w:rFonts w:eastAsia="Calibri" w:cs="Times New Roman"/>
          <w:szCs w:val="24"/>
        </w:rPr>
        <w:t>: 1956 - 1963</w:t>
      </w:r>
      <w:r w:rsidRPr="004F3936">
        <w:rPr>
          <w:rFonts w:eastAsia="Calibri" w:cs="Times New Roman"/>
          <w:szCs w:val="24"/>
          <w:lang w:val="en-GB"/>
        </w:rPr>
        <w:t>.</w:t>
      </w:r>
    </w:p>
    <w:p w14:paraId="4E3487BD" w14:textId="77777777" w:rsidR="00C740D0" w:rsidRPr="00C740D0" w:rsidRDefault="00C740D0" w:rsidP="00C740D0">
      <w:pPr>
        <w:pStyle w:val="ListParagraph"/>
        <w:numPr>
          <w:ilvl w:val="0"/>
          <w:numId w:val="32"/>
        </w:numPr>
        <w:rPr>
          <w:szCs w:val="24"/>
          <w:lang w:val="en-GB"/>
        </w:rPr>
      </w:pPr>
      <w:proofErr w:type="spellStart"/>
      <w:r w:rsidRPr="00C740D0">
        <w:rPr>
          <w:bCs/>
          <w:szCs w:val="24"/>
        </w:rPr>
        <w:t>Bermejoa</w:t>
      </w:r>
      <w:proofErr w:type="spellEnd"/>
      <w:r w:rsidRPr="00C740D0">
        <w:rPr>
          <w:bCs/>
          <w:szCs w:val="24"/>
        </w:rPr>
        <w:t xml:space="preserve"> I., </w:t>
      </w:r>
      <w:proofErr w:type="spellStart"/>
      <w:r w:rsidRPr="00C740D0">
        <w:rPr>
          <w:bCs/>
          <w:szCs w:val="24"/>
        </w:rPr>
        <w:t>Canellas</w:t>
      </w:r>
      <w:proofErr w:type="spellEnd"/>
      <w:r w:rsidRPr="00C740D0">
        <w:rPr>
          <w:bCs/>
          <w:szCs w:val="24"/>
        </w:rPr>
        <w:t xml:space="preserve"> I. &amp; Miguel A.S. (2003)</w:t>
      </w:r>
      <w:r w:rsidRPr="00C740D0">
        <w:rPr>
          <w:szCs w:val="24"/>
        </w:rPr>
        <w:t xml:space="preserve">. </w:t>
      </w:r>
      <w:r w:rsidRPr="00C740D0">
        <w:rPr>
          <w:szCs w:val="24"/>
          <w:lang w:val="en-GB"/>
        </w:rPr>
        <w:t>Growth and yield models for teak plantations in Costa Rica. Forest Ecology and Management</w:t>
      </w:r>
      <w:r w:rsidRPr="00C740D0">
        <w:rPr>
          <w:i/>
          <w:iCs/>
          <w:szCs w:val="24"/>
          <w:lang w:val="en-GB"/>
        </w:rPr>
        <w:t>,</w:t>
      </w:r>
      <w:r w:rsidRPr="00C740D0">
        <w:rPr>
          <w:szCs w:val="24"/>
          <w:lang w:val="en-GB"/>
        </w:rPr>
        <w:t>189: 97-110. www.elsevier.com/ locate/</w:t>
      </w:r>
      <w:proofErr w:type="spellStart"/>
      <w:r w:rsidRPr="00C740D0">
        <w:rPr>
          <w:szCs w:val="24"/>
          <w:lang w:val="en-GB"/>
        </w:rPr>
        <w:t>foreco</w:t>
      </w:r>
      <w:proofErr w:type="spellEnd"/>
      <w:r w:rsidRPr="00C740D0">
        <w:rPr>
          <w:szCs w:val="24"/>
          <w:lang w:val="en-GB"/>
        </w:rPr>
        <w:t>.</w:t>
      </w:r>
    </w:p>
    <w:p w14:paraId="50483972" w14:textId="77777777" w:rsidR="00C740D0" w:rsidRPr="00C740D0" w:rsidRDefault="00C740D0" w:rsidP="00C740D0">
      <w:pPr>
        <w:pStyle w:val="ListParagraph"/>
        <w:numPr>
          <w:ilvl w:val="0"/>
          <w:numId w:val="32"/>
        </w:numPr>
        <w:rPr>
          <w:szCs w:val="24"/>
        </w:rPr>
      </w:pPr>
      <w:proofErr w:type="spellStart"/>
      <w:r w:rsidRPr="00C740D0">
        <w:rPr>
          <w:szCs w:val="24"/>
        </w:rPr>
        <w:t>Atindogbé</w:t>
      </w:r>
      <w:proofErr w:type="spellEnd"/>
      <w:r w:rsidRPr="00C740D0">
        <w:rPr>
          <w:szCs w:val="24"/>
        </w:rPr>
        <w:t xml:space="preserve"> G., Noël H.F. &amp; Philippe L. (2013). Evaluation of the </w:t>
      </w:r>
      <w:proofErr w:type="spellStart"/>
      <w:r w:rsidRPr="00C740D0">
        <w:rPr>
          <w:szCs w:val="24"/>
        </w:rPr>
        <w:t>teak</w:t>
      </w:r>
      <w:proofErr w:type="spellEnd"/>
      <w:r w:rsidRPr="00C740D0">
        <w:rPr>
          <w:szCs w:val="24"/>
        </w:rPr>
        <w:t xml:space="preserve"> </w:t>
      </w:r>
      <w:proofErr w:type="spellStart"/>
      <w:r w:rsidRPr="00C740D0">
        <w:rPr>
          <w:szCs w:val="24"/>
        </w:rPr>
        <w:t>resource</w:t>
      </w:r>
      <w:proofErr w:type="spellEnd"/>
      <w:r w:rsidRPr="00C740D0">
        <w:rPr>
          <w:szCs w:val="24"/>
        </w:rPr>
        <w:t xml:space="preserve">, </w:t>
      </w:r>
      <w:proofErr w:type="spellStart"/>
      <w:r w:rsidRPr="00C740D0">
        <w:rPr>
          <w:szCs w:val="24"/>
        </w:rPr>
        <w:t>Tectona</w:t>
      </w:r>
      <w:proofErr w:type="spellEnd"/>
      <w:r w:rsidRPr="00C740D0">
        <w:rPr>
          <w:szCs w:val="24"/>
        </w:rPr>
        <w:t xml:space="preserve"> grandis </w:t>
      </w:r>
      <w:proofErr w:type="spellStart"/>
      <w:r w:rsidRPr="00C740D0">
        <w:rPr>
          <w:szCs w:val="24"/>
        </w:rPr>
        <w:t>L.f</w:t>
      </w:r>
      <w:proofErr w:type="spellEnd"/>
      <w:r w:rsidRPr="00C740D0">
        <w:rPr>
          <w:szCs w:val="24"/>
        </w:rPr>
        <w:t xml:space="preserve">., in </w:t>
      </w:r>
      <w:proofErr w:type="spellStart"/>
      <w:r w:rsidRPr="00C740D0">
        <w:rPr>
          <w:szCs w:val="24"/>
        </w:rPr>
        <w:t>private</w:t>
      </w:r>
      <w:proofErr w:type="spellEnd"/>
      <w:r w:rsidRPr="00C740D0">
        <w:rPr>
          <w:szCs w:val="24"/>
        </w:rPr>
        <w:t xml:space="preserve"> plantations in </w:t>
      </w:r>
      <w:proofErr w:type="spellStart"/>
      <w:r w:rsidRPr="00C740D0">
        <w:rPr>
          <w:szCs w:val="24"/>
        </w:rPr>
        <w:t>southern</w:t>
      </w:r>
      <w:proofErr w:type="spellEnd"/>
      <w:r w:rsidRPr="00C740D0">
        <w:rPr>
          <w:szCs w:val="24"/>
        </w:rPr>
        <w:t xml:space="preserve"> Benin. Bois et Forêt des tropiques, 316 (2) :75- 95.</w:t>
      </w:r>
    </w:p>
    <w:p w14:paraId="7DD0B7CE" w14:textId="77777777" w:rsidR="00C740D0" w:rsidRPr="00C740D0" w:rsidRDefault="00C740D0" w:rsidP="00C740D0">
      <w:pPr>
        <w:pStyle w:val="ListParagraph"/>
        <w:numPr>
          <w:ilvl w:val="0"/>
          <w:numId w:val="32"/>
        </w:numPr>
        <w:rPr>
          <w:rFonts w:eastAsia="Calibri" w:cs="Times New Roman"/>
          <w:szCs w:val="24"/>
          <w:lang w:val="en-GB"/>
        </w:rPr>
      </w:pPr>
      <w:r>
        <w:rPr>
          <w:rFonts w:cs="Times New Roman"/>
          <w:szCs w:val="24"/>
        </w:rPr>
        <w:t>SODEFOR</w:t>
      </w:r>
      <w:r w:rsidRPr="00526E1A">
        <w:rPr>
          <w:rFonts w:cs="Times New Roman"/>
          <w:b/>
          <w:bCs/>
          <w:szCs w:val="24"/>
        </w:rPr>
        <w:t xml:space="preserve"> </w:t>
      </w:r>
      <w:r w:rsidRPr="0058111C">
        <w:rPr>
          <w:rFonts w:cs="Times New Roman"/>
          <w:szCs w:val="24"/>
        </w:rPr>
        <w:t>(2009)</w:t>
      </w:r>
      <w:r w:rsidRPr="00526E1A">
        <w:rPr>
          <w:rFonts w:cs="Times New Roman"/>
          <w:szCs w:val="24"/>
        </w:rPr>
        <w:t xml:space="preserve">. </w:t>
      </w:r>
      <w:r w:rsidRPr="0058111C">
        <w:rPr>
          <w:rFonts w:cs="Times New Roman"/>
          <w:szCs w:val="24"/>
        </w:rPr>
        <w:t xml:space="preserve">Intensification of </w:t>
      </w:r>
      <w:proofErr w:type="spellStart"/>
      <w:r w:rsidRPr="0058111C">
        <w:rPr>
          <w:rFonts w:cs="Times New Roman"/>
          <w:szCs w:val="24"/>
        </w:rPr>
        <w:t>teak</w:t>
      </w:r>
      <w:proofErr w:type="spellEnd"/>
      <w:r w:rsidRPr="0058111C">
        <w:rPr>
          <w:rFonts w:cs="Times New Roman"/>
          <w:szCs w:val="24"/>
        </w:rPr>
        <w:t xml:space="preserve"> silviculture PD 24/98 REV 2 (F). </w:t>
      </w:r>
      <w:proofErr w:type="spellStart"/>
      <w:r w:rsidRPr="0058111C">
        <w:rPr>
          <w:rFonts w:cs="Times New Roman"/>
          <w:szCs w:val="24"/>
        </w:rPr>
        <w:t>Technical</w:t>
      </w:r>
      <w:proofErr w:type="spellEnd"/>
      <w:r w:rsidRPr="0058111C">
        <w:rPr>
          <w:rFonts w:cs="Times New Roman"/>
          <w:szCs w:val="24"/>
        </w:rPr>
        <w:t xml:space="preserve"> report, Abidjan, Côte d'Ivoire, 9 p.</w:t>
      </w:r>
    </w:p>
    <w:p w14:paraId="4B286188" w14:textId="77777777" w:rsidR="00C740D0" w:rsidRPr="00C740D0" w:rsidRDefault="00C740D0" w:rsidP="00C740D0">
      <w:pPr>
        <w:pStyle w:val="ListParagraph"/>
        <w:numPr>
          <w:ilvl w:val="0"/>
          <w:numId w:val="32"/>
        </w:numPr>
        <w:rPr>
          <w:rFonts w:eastAsia="Calibri" w:cs="Times New Roman"/>
          <w:szCs w:val="24"/>
          <w:lang w:val="en-GB"/>
        </w:rPr>
      </w:pPr>
      <w:r>
        <w:rPr>
          <w:rFonts w:cs="Times New Roman"/>
          <w:szCs w:val="24"/>
        </w:rPr>
        <w:t>SODEFOR</w:t>
      </w:r>
      <w:r w:rsidRPr="0058111C">
        <w:rPr>
          <w:rFonts w:cs="Times New Roman"/>
          <w:szCs w:val="24"/>
        </w:rPr>
        <w:t xml:space="preserve"> (2016)</w:t>
      </w:r>
      <w:r w:rsidRPr="00526E1A">
        <w:rPr>
          <w:rFonts w:cs="Times New Roman"/>
          <w:bCs/>
          <w:szCs w:val="24"/>
        </w:rPr>
        <w:t>.</w:t>
      </w:r>
      <w:r w:rsidRPr="00526E1A">
        <w:rPr>
          <w:rFonts w:cs="Times New Roman"/>
          <w:szCs w:val="24"/>
        </w:rPr>
        <w:t xml:space="preserve"> </w:t>
      </w:r>
      <w:r w:rsidRPr="0058111C">
        <w:rPr>
          <w:rFonts w:cs="Times New Roman"/>
          <w:szCs w:val="24"/>
        </w:rPr>
        <w:t xml:space="preserve">All reforestation </w:t>
      </w:r>
      <w:proofErr w:type="spellStart"/>
      <w:r w:rsidRPr="0058111C">
        <w:rPr>
          <w:rFonts w:cs="Times New Roman"/>
          <w:szCs w:val="24"/>
        </w:rPr>
        <w:t>managed</w:t>
      </w:r>
      <w:proofErr w:type="spellEnd"/>
      <w:r w:rsidRPr="0058111C">
        <w:rPr>
          <w:rFonts w:cs="Times New Roman"/>
          <w:szCs w:val="24"/>
        </w:rPr>
        <w:t xml:space="preserve"> by SODEFOR. </w:t>
      </w:r>
      <w:proofErr w:type="spellStart"/>
      <w:r w:rsidRPr="0058111C">
        <w:rPr>
          <w:rFonts w:cs="Times New Roman"/>
          <w:szCs w:val="24"/>
        </w:rPr>
        <w:t>Internal</w:t>
      </w:r>
      <w:proofErr w:type="spellEnd"/>
      <w:r w:rsidRPr="0058111C">
        <w:rPr>
          <w:rFonts w:cs="Times New Roman"/>
          <w:szCs w:val="24"/>
        </w:rPr>
        <w:t xml:space="preserve"> </w:t>
      </w:r>
      <w:proofErr w:type="spellStart"/>
      <w:r w:rsidRPr="0058111C">
        <w:rPr>
          <w:rFonts w:cs="Times New Roman"/>
          <w:szCs w:val="24"/>
        </w:rPr>
        <w:t>working</w:t>
      </w:r>
      <w:proofErr w:type="spellEnd"/>
      <w:r w:rsidRPr="0058111C">
        <w:rPr>
          <w:rFonts w:cs="Times New Roman"/>
          <w:szCs w:val="24"/>
        </w:rPr>
        <w:t xml:space="preserve"> document/</w:t>
      </w:r>
      <w:proofErr w:type="spellStart"/>
      <w:r w:rsidRPr="0058111C">
        <w:rPr>
          <w:rFonts w:cs="Times New Roman"/>
          <w:szCs w:val="24"/>
        </w:rPr>
        <w:t>Technical</w:t>
      </w:r>
      <w:proofErr w:type="spellEnd"/>
      <w:r w:rsidRPr="0058111C">
        <w:rPr>
          <w:rFonts w:cs="Times New Roman"/>
          <w:szCs w:val="24"/>
        </w:rPr>
        <w:t xml:space="preserve"> </w:t>
      </w:r>
      <w:proofErr w:type="spellStart"/>
      <w:r w:rsidRPr="0058111C">
        <w:rPr>
          <w:rFonts w:cs="Times New Roman"/>
          <w:szCs w:val="24"/>
        </w:rPr>
        <w:t>Directorate</w:t>
      </w:r>
      <w:proofErr w:type="spellEnd"/>
      <w:r w:rsidRPr="0058111C">
        <w:rPr>
          <w:rFonts w:cs="Times New Roman"/>
          <w:szCs w:val="24"/>
        </w:rPr>
        <w:t xml:space="preserve">/Reforestation </w:t>
      </w:r>
      <w:proofErr w:type="spellStart"/>
      <w:r w:rsidRPr="0058111C">
        <w:rPr>
          <w:rFonts w:cs="Times New Roman"/>
          <w:szCs w:val="24"/>
        </w:rPr>
        <w:t>Sub-Directorate</w:t>
      </w:r>
      <w:proofErr w:type="spellEnd"/>
      <w:r w:rsidRPr="0058111C">
        <w:rPr>
          <w:rFonts w:cs="Times New Roman"/>
          <w:szCs w:val="24"/>
        </w:rPr>
        <w:t>, Abidjan, Côte d'Ivoire, 4 p</w:t>
      </w:r>
      <w:r w:rsidRPr="00526E1A">
        <w:rPr>
          <w:rFonts w:cs="Times New Roman"/>
          <w:szCs w:val="24"/>
        </w:rPr>
        <w:t>.</w:t>
      </w:r>
    </w:p>
    <w:p w14:paraId="67327672" w14:textId="77777777" w:rsidR="00C740D0" w:rsidRPr="00C740D0" w:rsidRDefault="00C740D0" w:rsidP="00C740D0">
      <w:pPr>
        <w:pStyle w:val="ListParagraph"/>
        <w:numPr>
          <w:ilvl w:val="0"/>
          <w:numId w:val="32"/>
        </w:numPr>
        <w:rPr>
          <w:szCs w:val="24"/>
        </w:rPr>
      </w:pPr>
      <w:r w:rsidRPr="00C740D0">
        <w:rPr>
          <w:szCs w:val="24"/>
        </w:rPr>
        <w:lastRenderedPageBreak/>
        <w:t xml:space="preserve">Koffi Y. J. J. (2017). </w:t>
      </w:r>
      <w:proofErr w:type="spellStart"/>
      <w:r w:rsidRPr="00C740D0">
        <w:rPr>
          <w:szCs w:val="24"/>
        </w:rPr>
        <w:t>Teak</w:t>
      </w:r>
      <w:proofErr w:type="spellEnd"/>
      <w:r w:rsidRPr="00C740D0">
        <w:rPr>
          <w:szCs w:val="24"/>
        </w:rPr>
        <w:t xml:space="preserve"> </w:t>
      </w:r>
      <w:proofErr w:type="spellStart"/>
      <w:r w:rsidRPr="00C740D0">
        <w:rPr>
          <w:szCs w:val="24"/>
        </w:rPr>
        <w:t>wood</w:t>
      </w:r>
      <w:proofErr w:type="spellEnd"/>
      <w:r w:rsidRPr="00C740D0">
        <w:rPr>
          <w:szCs w:val="24"/>
        </w:rPr>
        <w:t xml:space="preserve"> in the </w:t>
      </w:r>
      <w:proofErr w:type="spellStart"/>
      <w:r w:rsidRPr="00C740D0">
        <w:rPr>
          <w:szCs w:val="24"/>
        </w:rPr>
        <w:t>sub-prefecture</w:t>
      </w:r>
      <w:proofErr w:type="spellEnd"/>
      <w:r w:rsidRPr="00C740D0">
        <w:rPr>
          <w:szCs w:val="24"/>
        </w:rPr>
        <w:t xml:space="preserve"> of </w:t>
      </w:r>
      <w:proofErr w:type="spellStart"/>
      <w:r w:rsidRPr="00C740D0">
        <w:rPr>
          <w:szCs w:val="24"/>
        </w:rPr>
        <w:t>Brobo</w:t>
      </w:r>
      <w:proofErr w:type="spellEnd"/>
      <w:r w:rsidRPr="00C740D0">
        <w:rPr>
          <w:szCs w:val="24"/>
        </w:rPr>
        <w:t xml:space="preserve"> (central Côte d'Ivoire). Revue Ivoirienne de Géographie des Savanes, 2 : 125-142.</w:t>
      </w:r>
    </w:p>
    <w:p w14:paraId="15F6DDAA" w14:textId="77777777" w:rsidR="00C740D0" w:rsidRPr="00C740D0" w:rsidRDefault="00C740D0" w:rsidP="00C740D0">
      <w:pPr>
        <w:pStyle w:val="ListParagraph"/>
        <w:numPr>
          <w:ilvl w:val="0"/>
          <w:numId w:val="32"/>
        </w:numPr>
        <w:rPr>
          <w:rFonts w:eastAsia="Calibri" w:cs="Times New Roman"/>
          <w:szCs w:val="24"/>
          <w:lang w:val="en-GB"/>
        </w:rPr>
      </w:pPr>
      <w:r w:rsidRPr="001E009A">
        <w:rPr>
          <w:szCs w:val="24"/>
          <w:lang w:val="en-GB"/>
        </w:rPr>
        <w:t xml:space="preserve">Hartmann H.T., Kester D.E., Davies F.T. &amp; </w:t>
      </w:r>
      <w:proofErr w:type="spellStart"/>
      <w:r w:rsidRPr="001E009A">
        <w:rPr>
          <w:szCs w:val="24"/>
          <w:lang w:val="en-GB"/>
        </w:rPr>
        <w:t>Geneve</w:t>
      </w:r>
      <w:proofErr w:type="spellEnd"/>
      <w:r w:rsidRPr="001E009A">
        <w:rPr>
          <w:szCs w:val="24"/>
          <w:lang w:val="en-GB"/>
        </w:rPr>
        <w:t xml:space="preserve"> R.L. (1997)</w:t>
      </w:r>
      <w:r w:rsidRPr="001E009A">
        <w:rPr>
          <w:b/>
          <w:bCs/>
          <w:szCs w:val="24"/>
          <w:lang w:val="en-GB"/>
        </w:rPr>
        <w:t>.</w:t>
      </w:r>
      <w:r w:rsidRPr="001E009A">
        <w:rPr>
          <w:szCs w:val="24"/>
          <w:lang w:val="en-GB"/>
        </w:rPr>
        <w:t xml:space="preserve"> Plant propagation: principles and practices. 6th edition, Prentice Hall International Inc., New-Jersey, USA, 770 p.</w:t>
      </w:r>
    </w:p>
    <w:p w14:paraId="3AA28BF7" w14:textId="77777777" w:rsidR="00C740D0" w:rsidRPr="00C740D0" w:rsidRDefault="00C740D0" w:rsidP="00C740D0">
      <w:pPr>
        <w:pStyle w:val="ListParagraph"/>
        <w:numPr>
          <w:ilvl w:val="0"/>
          <w:numId w:val="32"/>
        </w:numPr>
        <w:rPr>
          <w:szCs w:val="24"/>
          <w:lang w:val="en-GB"/>
        </w:rPr>
      </w:pPr>
      <w:proofErr w:type="spellStart"/>
      <w:r w:rsidRPr="00C740D0">
        <w:rPr>
          <w:bCs/>
          <w:szCs w:val="24"/>
          <w:lang w:val="en-GB"/>
        </w:rPr>
        <w:t>Murashige</w:t>
      </w:r>
      <w:proofErr w:type="spellEnd"/>
      <w:r w:rsidRPr="00C740D0">
        <w:rPr>
          <w:bCs/>
          <w:szCs w:val="24"/>
          <w:lang w:val="en-GB"/>
        </w:rPr>
        <w:t xml:space="preserve"> T. &amp; Skoog F. (1962)</w:t>
      </w:r>
      <w:r w:rsidRPr="00C740D0">
        <w:rPr>
          <w:szCs w:val="24"/>
          <w:lang w:val="en-GB"/>
        </w:rPr>
        <w:t>. A revised medium for rapid growth and bio Assays with Tobacco Tissue Cultures. Physiology, Plant, 15: 473 – 497.</w:t>
      </w:r>
    </w:p>
    <w:p w14:paraId="08E047F8" w14:textId="77777777" w:rsidR="00C740D0" w:rsidRPr="00C740D0" w:rsidRDefault="00C740D0" w:rsidP="00C740D0">
      <w:pPr>
        <w:pStyle w:val="ListParagraph"/>
        <w:numPr>
          <w:ilvl w:val="0"/>
          <w:numId w:val="32"/>
        </w:numPr>
        <w:rPr>
          <w:szCs w:val="24"/>
        </w:rPr>
      </w:pPr>
      <w:proofErr w:type="spellStart"/>
      <w:r w:rsidRPr="00C740D0">
        <w:rPr>
          <w:szCs w:val="24"/>
          <w:lang w:val="en-GB"/>
        </w:rPr>
        <w:t>Naveena</w:t>
      </w:r>
      <w:proofErr w:type="spellEnd"/>
      <w:r w:rsidRPr="00C740D0">
        <w:rPr>
          <w:szCs w:val="24"/>
          <w:lang w:val="en-GB"/>
        </w:rPr>
        <w:t xml:space="preserve"> V. &amp; Joy P.P. (2016). Plant tissue culture contaminants identification and its response to fumigation. </w:t>
      </w:r>
      <w:proofErr w:type="spellStart"/>
      <w:r w:rsidRPr="00C740D0">
        <w:rPr>
          <w:i/>
          <w:iCs/>
          <w:szCs w:val="24"/>
          <w:lang w:val="fr-CI"/>
        </w:rPr>
        <w:t>Biotechemistry</w:t>
      </w:r>
      <w:proofErr w:type="spellEnd"/>
      <w:r w:rsidRPr="00C740D0">
        <w:rPr>
          <w:i/>
          <w:iCs/>
          <w:szCs w:val="24"/>
          <w:lang w:val="fr-CI"/>
        </w:rPr>
        <w:t xml:space="preserve"> and </w:t>
      </w:r>
      <w:proofErr w:type="spellStart"/>
      <w:r w:rsidRPr="00C740D0">
        <w:rPr>
          <w:i/>
          <w:iCs/>
          <w:szCs w:val="24"/>
          <w:lang w:val="fr-CI"/>
        </w:rPr>
        <w:t>Physiology</w:t>
      </w:r>
      <w:proofErr w:type="spellEnd"/>
      <w:r w:rsidRPr="00C740D0">
        <w:rPr>
          <w:szCs w:val="24"/>
          <w:lang w:val="fr-CI"/>
        </w:rPr>
        <w:t xml:space="preserve">, 10 : 1-11. </w:t>
      </w:r>
    </w:p>
    <w:p w14:paraId="1F35A247" w14:textId="77777777" w:rsidR="00C740D0" w:rsidRPr="00C740D0" w:rsidRDefault="00C740D0" w:rsidP="00C740D0">
      <w:pPr>
        <w:pStyle w:val="ListParagraph"/>
        <w:numPr>
          <w:ilvl w:val="0"/>
          <w:numId w:val="32"/>
        </w:numPr>
        <w:rPr>
          <w:szCs w:val="24"/>
        </w:rPr>
      </w:pPr>
      <w:proofErr w:type="spellStart"/>
      <w:r>
        <w:t>Emoghene</w:t>
      </w:r>
      <w:proofErr w:type="spellEnd"/>
      <w:r>
        <w:t xml:space="preserve"> B.O., </w:t>
      </w:r>
      <w:proofErr w:type="spellStart"/>
      <w:r>
        <w:t>Idu</w:t>
      </w:r>
      <w:proofErr w:type="spellEnd"/>
      <w:r>
        <w:t xml:space="preserve"> M., </w:t>
      </w:r>
      <w:proofErr w:type="spellStart"/>
      <w:r>
        <w:t>Eke</w:t>
      </w:r>
      <w:proofErr w:type="spellEnd"/>
      <w:r>
        <w:t xml:space="preserve"> C.R. </w:t>
      </w:r>
      <w:r w:rsidRPr="00C740D0">
        <w:rPr>
          <w:bCs/>
          <w:szCs w:val="24"/>
        </w:rPr>
        <w:t>&amp;</w:t>
      </w:r>
      <w:r>
        <w:t xml:space="preserve"> </w:t>
      </w:r>
      <w:proofErr w:type="spellStart"/>
      <w:r>
        <w:t>Asemota</w:t>
      </w:r>
      <w:proofErr w:type="spellEnd"/>
      <w:r>
        <w:t xml:space="preserve"> O. (2020). </w:t>
      </w:r>
      <w:proofErr w:type="spellStart"/>
      <w:r>
        <w:t>Effects</w:t>
      </w:r>
      <w:proofErr w:type="spellEnd"/>
      <w:r>
        <w:t xml:space="preserve"> Of </w:t>
      </w:r>
      <w:proofErr w:type="spellStart"/>
      <w:r>
        <w:t>Different</w:t>
      </w:r>
      <w:proofErr w:type="spellEnd"/>
      <w:r>
        <w:t xml:space="preserve"> </w:t>
      </w:r>
      <w:proofErr w:type="spellStart"/>
      <w:r>
        <w:t>Sterilization</w:t>
      </w:r>
      <w:proofErr w:type="spellEnd"/>
      <w:r>
        <w:t xml:space="preserve"> </w:t>
      </w:r>
      <w:proofErr w:type="spellStart"/>
      <w:r>
        <w:t>Regimes</w:t>
      </w:r>
      <w:proofErr w:type="spellEnd"/>
      <w:r>
        <w:t xml:space="preserve"> &amp; </w:t>
      </w:r>
      <w:proofErr w:type="spellStart"/>
      <w:r>
        <w:t>Growth</w:t>
      </w:r>
      <w:proofErr w:type="spellEnd"/>
      <w:r>
        <w:t xml:space="preserve"> </w:t>
      </w:r>
      <w:proofErr w:type="spellStart"/>
      <w:r>
        <w:t>Regulators</w:t>
      </w:r>
      <w:proofErr w:type="spellEnd"/>
      <w:r>
        <w:t xml:space="preserve"> On </w:t>
      </w:r>
      <w:proofErr w:type="spellStart"/>
      <w:r>
        <w:t>Micropropagation</w:t>
      </w:r>
      <w:proofErr w:type="spellEnd"/>
      <w:r>
        <w:t xml:space="preserve"> Of </w:t>
      </w:r>
      <w:proofErr w:type="spellStart"/>
      <w:r>
        <w:t>Female</w:t>
      </w:r>
      <w:proofErr w:type="spellEnd"/>
      <w:r>
        <w:t xml:space="preserve"> Date Palm (Phoenix </w:t>
      </w:r>
      <w:proofErr w:type="spellStart"/>
      <w:r>
        <w:t>dactylifera</w:t>
      </w:r>
      <w:proofErr w:type="spellEnd"/>
      <w:r>
        <w:t xml:space="preserve"> L.). Nigeria Journal </w:t>
      </w:r>
      <w:proofErr w:type="spellStart"/>
      <w:r>
        <w:t>Biotechsociety</w:t>
      </w:r>
      <w:proofErr w:type="spellEnd"/>
      <w:r>
        <w:t>, 37(1) : 159-168.</w:t>
      </w:r>
    </w:p>
    <w:p w14:paraId="679F4592" w14:textId="77777777" w:rsidR="00C740D0" w:rsidRPr="00C740D0" w:rsidRDefault="00C740D0" w:rsidP="00C740D0">
      <w:pPr>
        <w:pStyle w:val="ListParagraph"/>
        <w:numPr>
          <w:ilvl w:val="0"/>
          <w:numId w:val="32"/>
        </w:numPr>
        <w:rPr>
          <w:rFonts w:eastAsia="Calibri" w:cs="Times New Roman"/>
          <w:szCs w:val="24"/>
          <w:lang w:val="en-GB"/>
        </w:rPr>
      </w:pPr>
      <w:proofErr w:type="spellStart"/>
      <w:r w:rsidRPr="0058111C">
        <w:rPr>
          <w:rFonts w:cs="Times New Roman"/>
          <w:szCs w:val="24"/>
        </w:rPr>
        <w:t>Thakur</w:t>
      </w:r>
      <w:proofErr w:type="spellEnd"/>
      <w:r w:rsidRPr="0058111C">
        <w:rPr>
          <w:rFonts w:cs="Times New Roman"/>
          <w:szCs w:val="24"/>
        </w:rPr>
        <w:t xml:space="preserve">, S. K. &amp; </w:t>
      </w:r>
      <w:proofErr w:type="spellStart"/>
      <w:r w:rsidRPr="0058111C">
        <w:rPr>
          <w:rFonts w:cs="Times New Roman"/>
          <w:szCs w:val="24"/>
        </w:rPr>
        <w:t>Shukla</w:t>
      </w:r>
      <w:proofErr w:type="spellEnd"/>
      <w:r w:rsidRPr="0058111C">
        <w:rPr>
          <w:rFonts w:cs="Times New Roman"/>
          <w:szCs w:val="24"/>
        </w:rPr>
        <w:t>, S. V. (2006)</w:t>
      </w:r>
      <w:r w:rsidRPr="00526E1A">
        <w:rPr>
          <w:rFonts w:cs="Times New Roman"/>
          <w:szCs w:val="24"/>
        </w:rPr>
        <w:t xml:space="preserve">. Mass multiplication of Jatropha </w:t>
      </w:r>
      <w:proofErr w:type="spellStart"/>
      <w:r w:rsidRPr="00526E1A">
        <w:rPr>
          <w:rFonts w:cs="Times New Roman"/>
          <w:szCs w:val="24"/>
        </w:rPr>
        <w:t>curcas</w:t>
      </w:r>
      <w:proofErr w:type="spellEnd"/>
      <w:r w:rsidRPr="00526E1A">
        <w:rPr>
          <w:rFonts w:cs="Times New Roman"/>
          <w:szCs w:val="24"/>
        </w:rPr>
        <w:t xml:space="preserve"> L. </w:t>
      </w:r>
      <w:proofErr w:type="spellStart"/>
      <w:r w:rsidRPr="00526E1A">
        <w:rPr>
          <w:rFonts w:cs="Times New Roman"/>
          <w:szCs w:val="24"/>
        </w:rPr>
        <w:t>through</w:t>
      </w:r>
      <w:proofErr w:type="spellEnd"/>
      <w:r w:rsidRPr="00526E1A">
        <w:rPr>
          <w:rFonts w:cs="Times New Roman"/>
          <w:szCs w:val="24"/>
        </w:rPr>
        <w:t xml:space="preserve"> </w:t>
      </w:r>
      <w:proofErr w:type="spellStart"/>
      <w:r w:rsidRPr="00526E1A">
        <w:rPr>
          <w:rFonts w:cs="Times New Roman"/>
          <w:szCs w:val="24"/>
        </w:rPr>
        <w:t>micropropagation</w:t>
      </w:r>
      <w:proofErr w:type="spellEnd"/>
      <w:r w:rsidRPr="00526E1A">
        <w:rPr>
          <w:rFonts w:cs="Times New Roman"/>
          <w:szCs w:val="24"/>
        </w:rPr>
        <w:t xml:space="preserve">. </w:t>
      </w:r>
      <w:proofErr w:type="spellStart"/>
      <w:r w:rsidRPr="00526E1A">
        <w:rPr>
          <w:rFonts w:cs="Times New Roman"/>
          <w:szCs w:val="24"/>
        </w:rPr>
        <w:t>Indian</w:t>
      </w:r>
      <w:proofErr w:type="spellEnd"/>
      <w:r w:rsidRPr="00526E1A">
        <w:rPr>
          <w:rFonts w:cs="Times New Roman"/>
          <w:szCs w:val="24"/>
        </w:rPr>
        <w:t xml:space="preserve"> Journal of </w:t>
      </w:r>
      <w:proofErr w:type="spellStart"/>
      <w:r w:rsidRPr="00526E1A">
        <w:rPr>
          <w:rFonts w:cs="Times New Roman"/>
          <w:szCs w:val="24"/>
        </w:rPr>
        <w:t>Agroforestry</w:t>
      </w:r>
      <w:proofErr w:type="spellEnd"/>
      <w:r w:rsidRPr="00526E1A">
        <w:rPr>
          <w:rFonts w:cs="Times New Roman"/>
          <w:szCs w:val="24"/>
        </w:rPr>
        <w:t>, 8(2)</w:t>
      </w:r>
      <w:r>
        <w:rPr>
          <w:rFonts w:cs="Times New Roman"/>
          <w:szCs w:val="24"/>
        </w:rPr>
        <w:t xml:space="preserve"> </w:t>
      </w:r>
      <w:r w:rsidRPr="00526E1A">
        <w:rPr>
          <w:rFonts w:cs="Times New Roman"/>
          <w:szCs w:val="24"/>
        </w:rPr>
        <w:t>:32-37.</w:t>
      </w:r>
    </w:p>
    <w:p w14:paraId="643CF2B0" w14:textId="77777777" w:rsidR="00C740D0" w:rsidRPr="00C740D0" w:rsidRDefault="00C740D0" w:rsidP="00C740D0">
      <w:pPr>
        <w:pStyle w:val="ListParagraph"/>
        <w:numPr>
          <w:ilvl w:val="0"/>
          <w:numId w:val="32"/>
        </w:numPr>
        <w:rPr>
          <w:rFonts w:eastAsia="Calibri" w:cs="Times New Roman"/>
          <w:szCs w:val="24"/>
          <w:lang w:val="en-GB"/>
        </w:rPr>
      </w:pPr>
      <w:proofErr w:type="spellStart"/>
      <w:r w:rsidRPr="001E009A">
        <w:rPr>
          <w:bCs/>
          <w:szCs w:val="24"/>
          <w:lang w:val="en-GB"/>
        </w:rPr>
        <w:t>Sutha</w:t>
      </w:r>
      <w:proofErr w:type="spellEnd"/>
      <w:r w:rsidRPr="001E009A">
        <w:rPr>
          <w:bCs/>
          <w:szCs w:val="24"/>
          <w:lang w:val="en-GB"/>
        </w:rPr>
        <w:t xml:space="preserve"> K., </w:t>
      </w:r>
      <w:proofErr w:type="spellStart"/>
      <w:r w:rsidRPr="001E009A">
        <w:rPr>
          <w:bCs/>
          <w:szCs w:val="24"/>
          <w:lang w:val="en-GB"/>
        </w:rPr>
        <w:t>Wanna</w:t>
      </w:r>
      <w:proofErr w:type="spellEnd"/>
      <w:r w:rsidRPr="001E009A">
        <w:rPr>
          <w:bCs/>
          <w:szCs w:val="24"/>
          <w:lang w:val="en-GB"/>
        </w:rPr>
        <w:t xml:space="preserve"> J., </w:t>
      </w:r>
      <w:proofErr w:type="spellStart"/>
      <w:r w:rsidRPr="001E009A">
        <w:rPr>
          <w:bCs/>
          <w:szCs w:val="24"/>
          <w:lang w:val="en-GB"/>
        </w:rPr>
        <w:t>Wanwilai</w:t>
      </w:r>
      <w:proofErr w:type="spellEnd"/>
      <w:r w:rsidRPr="001E009A">
        <w:rPr>
          <w:bCs/>
          <w:szCs w:val="24"/>
          <w:lang w:val="en-GB"/>
        </w:rPr>
        <w:t xml:space="preserve"> C., </w:t>
      </w:r>
      <w:proofErr w:type="spellStart"/>
      <w:r w:rsidRPr="001E009A">
        <w:rPr>
          <w:bCs/>
          <w:szCs w:val="24"/>
          <w:lang w:val="en-GB"/>
        </w:rPr>
        <w:t>Kanchit</w:t>
      </w:r>
      <w:proofErr w:type="spellEnd"/>
      <w:r w:rsidRPr="001E009A">
        <w:rPr>
          <w:bCs/>
          <w:szCs w:val="24"/>
          <w:lang w:val="en-GB"/>
        </w:rPr>
        <w:t xml:space="preserve"> T., </w:t>
      </w:r>
      <w:proofErr w:type="spellStart"/>
      <w:r w:rsidRPr="001E009A">
        <w:rPr>
          <w:bCs/>
          <w:szCs w:val="24"/>
          <w:lang w:val="en-GB"/>
        </w:rPr>
        <w:t>Somporn</w:t>
      </w:r>
      <w:proofErr w:type="spellEnd"/>
      <w:r w:rsidRPr="001E009A">
        <w:rPr>
          <w:bCs/>
          <w:szCs w:val="24"/>
          <w:lang w:val="en-GB"/>
        </w:rPr>
        <w:t xml:space="preserve"> P. &amp; </w:t>
      </w:r>
      <w:proofErr w:type="spellStart"/>
      <w:r w:rsidRPr="001E009A">
        <w:rPr>
          <w:bCs/>
          <w:szCs w:val="24"/>
          <w:lang w:val="en-GB"/>
        </w:rPr>
        <w:t>Suphat</w:t>
      </w:r>
      <w:proofErr w:type="spellEnd"/>
      <w:r w:rsidRPr="001E009A">
        <w:rPr>
          <w:bCs/>
          <w:szCs w:val="24"/>
          <w:lang w:val="en-GB"/>
        </w:rPr>
        <w:t xml:space="preserve"> R. (2020).</w:t>
      </w:r>
      <w:r w:rsidRPr="001E009A">
        <w:rPr>
          <w:szCs w:val="24"/>
          <w:lang w:val="en-GB"/>
        </w:rPr>
        <w:t xml:space="preserve"> Induction of Direct Shoot Organogenesis from Shoot Tip Explants of an Ornamental Aquatic Plant, </w:t>
      </w:r>
      <w:proofErr w:type="spellStart"/>
      <w:r w:rsidRPr="001E009A">
        <w:rPr>
          <w:szCs w:val="24"/>
          <w:lang w:val="en-GB"/>
        </w:rPr>
        <w:t>Cryptocoryne</w:t>
      </w:r>
      <w:proofErr w:type="spellEnd"/>
      <w:r w:rsidRPr="001E009A">
        <w:rPr>
          <w:szCs w:val="24"/>
          <w:lang w:val="en-GB"/>
        </w:rPr>
        <w:t xml:space="preserve"> </w:t>
      </w:r>
      <w:proofErr w:type="spellStart"/>
      <w:r w:rsidRPr="001E009A">
        <w:rPr>
          <w:szCs w:val="24"/>
          <w:lang w:val="en-GB"/>
        </w:rPr>
        <w:t>wendtii</w:t>
      </w:r>
      <w:proofErr w:type="spellEnd"/>
      <w:r w:rsidRPr="001E009A">
        <w:rPr>
          <w:szCs w:val="24"/>
          <w:lang w:val="en-GB"/>
        </w:rPr>
        <w:t xml:space="preserve">. Thailand. </w:t>
      </w:r>
      <w:r w:rsidRPr="0058111C">
        <w:rPr>
          <w:szCs w:val="24"/>
          <w:lang w:val="en-GB"/>
        </w:rPr>
        <w:t>Journal of Sciences &amp; Technology</w:t>
      </w:r>
      <w:r w:rsidRPr="001E009A">
        <w:rPr>
          <w:szCs w:val="24"/>
          <w:lang w:val="en-GB"/>
        </w:rPr>
        <w:t>, 17(4): 293-302.</w:t>
      </w:r>
    </w:p>
    <w:p w14:paraId="1137456C" w14:textId="77777777" w:rsidR="00C740D0" w:rsidRPr="00C740D0" w:rsidRDefault="00C740D0" w:rsidP="00C740D0">
      <w:pPr>
        <w:pStyle w:val="ListParagraph"/>
        <w:numPr>
          <w:ilvl w:val="0"/>
          <w:numId w:val="32"/>
        </w:numPr>
        <w:suppressAutoHyphens/>
        <w:autoSpaceDN w:val="0"/>
        <w:rPr>
          <w:rFonts w:eastAsia="Calibri"/>
          <w:szCs w:val="24"/>
        </w:rPr>
      </w:pPr>
      <w:r w:rsidRPr="00C740D0">
        <w:rPr>
          <w:bCs/>
          <w:szCs w:val="24"/>
          <w:lang w:val="en-GB"/>
        </w:rPr>
        <w:t xml:space="preserve">Moussa D. T., </w:t>
      </w:r>
      <w:proofErr w:type="spellStart"/>
      <w:r w:rsidRPr="00C740D0">
        <w:rPr>
          <w:bCs/>
          <w:szCs w:val="24"/>
          <w:lang w:val="en-GB"/>
        </w:rPr>
        <w:t>Siaka</w:t>
      </w:r>
      <w:proofErr w:type="spellEnd"/>
      <w:r w:rsidRPr="00C740D0">
        <w:rPr>
          <w:bCs/>
          <w:szCs w:val="24"/>
          <w:lang w:val="en-GB"/>
        </w:rPr>
        <w:t xml:space="preserve"> D., Aly K., </w:t>
      </w:r>
      <w:proofErr w:type="spellStart"/>
      <w:r w:rsidRPr="00C740D0">
        <w:rPr>
          <w:bCs/>
          <w:szCs w:val="24"/>
          <w:lang w:val="en-GB"/>
        </w:rPr>
        <w:t>Sabaké</w:t>
      </w:r>
      <w:proofErr w:type="spellEnd"/>
      <w:r w:rsidRPr="00C740D0">
        <w:rPr>
          <w:bCs/>
          <w:szCs w:val="24"/>
          <w:lang w:val="en-GB"/>
        </w:rPr>
        <w:t xml:space="preserve"> T. D., Souleymane T. G. &amp; </w:t>
      </w:r>
      <w:proofErr w:type="spellStart"/>
      <w:r w:rsidRPr="00C740D0">
        <w:rPr>
          <w:bCs/>
          <w:szCs w:val="24"/>
          <w:lang w:val="en-GB"/>
        </w:rPr>
        <w:t>Kalilou</w:t>
      </w:r>
      <w:proofErr w:type="spellEnd"/>
      <w:r w:rsidRPr="00C740D0">
        <w:rPr>
          <w:bCs/>
          <w:szCs w:val="24"/>
          <w:lang w:val="en-GB"/>
        </w:rPr>
        <w:t xml:space="preserve"> M. (2024)</w:t>
      </w:r>
      <w:r w:rsidRPr="00C740D0">
        <w:rPr>
          <w:rFonts w:eastAsia="Calibri"/>
          <w:szCs w:val="24"/>
          <w:lang w:val="en-GB"/>
        </w:rPr>
        <w:t xml:space="preserve">. </w:t>
      </w:r>
      <w:proofErr w:type="spellStart"/>
      <w:r w:rsidRPr="00C740D0">
        <w:rPr>
          <w:rFonts w:eastAsia="Calibri"/>
          <w:szCs w:val="24"/>
        </w:rPr>
        <w:t>Effects</w:t>
      </w:r>
      <w:proofErr w:type="spellEnd"/>
      <w:r w:rsidRPr="00C740D0">
        <w:rPr>
          <w:rFonts w:eastAsia="Calibri"/>
          <w:szCs w:val="24"/>
        </w:rPr>
        <w:t xml:space="preserve"> of </w:t>
      </w:r>
      <w:proofErr w:type="spellStart"/>
      <w:r w:rsidRPr="00C740D0">
        <w:rPr>
          <w:rFonts w:eastAsia="Calibri"/>
          <w:szCs w:val="24"/>
        </w:rPr>
        <w:t>two</w:t>
      </w:r>
      <w:proofErr w:type="spellEnd"/>
      <w:r w:rsidRPr="00C740D0">
        <w:rPr>
          <w:rFonts w:eastAsia="Calibri"/>
          <w:szCs w:val="24"/>
        </w:rPr>
        <w:t xml:space="preserve"> </w:t>
      </w:r>
      <w:proofErr w:type="spellStart"/>
      <w:r w:rsidRPr="00C740D0">
        <w:rPr>
          <w:rFonts w:eastAsia="Calibri"/>
          <w:szCs w:val="24"/>
        </w:rPr>
        <w:t>auxins</w:t>
      </w:r>
      <w:proofErr w:type="spellEnd"/>
      <w:r w:rsidRPr="00C740D0">
        <w:rPr>
          <w:rFonts w:eastAsia="Calibri"/>
          <w:szCs w:val="24"/>
        </w:rPr>
        <w:t xml:space="preserve"> (ANA and AIB) on in vitro </w:t>
      </w:r>
      <w:proofErr w:type="spellStart"/>
      <w:r w:rsidRPr="00C740D0">
        <w:rPr>
          <w:rFonts w:eastAsia="Calibri"/>
          <w:szCs w:val="24"/>
        </w:rPr>
        <w:t>regeneration</w:t>
      </w:r>
      <w:proofErr w:type="spellEnd"/>
      <w:r w:rsidRPr="00C740D0">
        <w:rPr>
          <w:rFonts w:eastAsia="Calibri"/>
          <w:szCs w:val="24"/>
        </w:rPr>
        <w:t xml:space="preserve"> of </w:t>
      </w:r>
      <w:proofErr w:type="spellStart"/>
      <w:r w:rsidRPr="00C740D0">
        <w:rPr>
          <w:rFonts w:eastAsia="Calibri"/>
          <w:szCs w:val="24"/>
        </w:rPr>
        <w:t>shea</w:t>
      </w:r>
      <w:proofErr w:type="spellEnd"/>
      <w:r w:rsidRPr="00C740D0">
        <w:rPr>
          <w:rFonts w:eastAsia="Calibri"/>
          <w:szCs w:val="24"/>
        </w:rPr>
        <w:t xml:space="preserve"> (</w:t>
      </w:r>
      <w:proofErr w:type="spellStart"/>
      <w:r w:rsidRPr="00C740D0">
        <w:rPr>
          <w:rFonts w:eastAsia="Calibri"/>
          <w:szCs w:val="24"/>
        </w:rPr>
        <w:t>Vitellaria</w:t>
      </w:r>
      <w:proofErr w:type="spellEnd"/>
      <w:r w:rsidRPr="00C740D0">
        <w:rPr>
          <w:rFonts w:eastAsia="Calibri"/>
          <w:szCs w:val="24"/>
        </w:rPr>
        <w:t xml:space="preserve"> </w:t>
      </w:r>
      <w:proofErr w:type="spellStart"/>
      <w:r w:rsidRPr="00C740D0">
        <w:rPr>
          <w:rFonts w:eastAsia="Calibri"/>
          <w:szCs w:val="24"/>
        </w:rPr>
        <w:t>paradoxa</w:t>
      </w:r>
      <w:proofErr w:type="spellEnd"/>
      <w:r w:rsidRPr="00C740D0">
        <w:rPr>
          <w:rFonts w:eastAsia="Calibri"/>
          <w:szCs w:val="24"/>
        </w:rPr>
        <w:t xml:space="preserve"> C.F </w:t>
      </w:r>
      <w:proofErr w:type="spellStart"/>
      <w:r w:rsidRPr="00C740D0">
        <w:rPr>
          <w:rFonts w:eastAsia="Calibri"/>
          <w:szCs w:val="24"/>
        </w:rPr>
        <w:t>Gaertn</w:t>
      </w:r>
      <w:proofErr w:type="spellEnd"/>
      <w:r w:rsidRPr="00C740D0">
        <w:rPr>
          <w:rFonts w:eastAsia="Calibri"/>
          <w:szCs w:val="24"/>
        </w:rPr>
        <w:t xml:space="preserve">) explants. Article, Mali, </w:t>
      </w:r>
      <w:proofErr w:type="spellStart"/>
      <w:r w:rsidRPr="00C740D0">
        <w:rPr>
          <w:rFonts w:eastAsia="Calibri"/>
          <w:szCs w:val="24"/>
        </w:rPr>
        <w:t>African</w:t>
      </w:r>
      <w:proofErr w:type="spellEnd"/>
      <w:r w:rsidRPr="00C740D0">
        <w:rPr>
          <w:rFonts w:eastAsia="Calibri"/>
          <w:szCs w:val="24"/>
        </w:rPr>
        <w:t xml:space="preserve"> Journal of Agricultural and </w:t>
      </w:r>
      <w:proofErr w:type="spellStart"/>
      <w:r w:rsidRPr="00C740D0">
        <w:rPr>
          <w:rFonts w:eastAsia="Calibri"/>
          <w:szCs w:val="24"/>
        </w:rPr>
        <w:t>Environmental</w:t>
      </w:r>
      <w:proofErr w:type="spellEnd"/>
      <w:r w:rsidRPr="00C740D0">
        <w:rPr>
          <w:rFonts w:eastAsia="Calibri"/>
          <w:szCs w:val="24"/>
        </w:rPr>
        <w:t xml:space="preserve"> Sciences, p 25-34</w:t>
      </w:r>
    </w:p>
    <w:p w14:paraId="106F00E7" w14:textId="77777777" w:rsidR="00C740D0" w:rsidRPr="00C740D0" w:rsidRDefault="00C740D0" w:rsidP="00C740D0">
      <w:pPr>
        <w:pStyle w:val="ListParagraph"/>
        <w:numPr>
          <w:ilvl w:val="0"/>
          <w:numId w:val="32"/>
        </w:numPr>
        <w:rPr>
          <w:szCs w:val="24"/>
        </w:rPr>
      </w:pPr>
      <w:proofErr w:type="spellStart"/>
      <w:r w:rsidRPr="00C740D0">
        <w:rPr>
          <w:szCs w:val="24"/>
        </w:rPr>
        <w:t>Tiwari</w:t>
      </w:r>
      <w:proofErr w:type="spellEnd"/>
      <w:r w:rsidRPr="00C740D0">
        <w:rPr>
          <w:szCs w:val="24"/>
        </w:rPr>
        <w:t xml:space="preserve"> S.K., </w:t>
      </w:r>
      <w:proofErr w:type="spellStart"/>
      <w:r w:rsidRPr="00C740D0">
        <w:rPr>
          <w:szCs w:val="24"/>
        </w:rPr>
        <w:t>Tiwari</w:t>
      </w:r>
      <w:proofErr w:type="spellEnd"/>
      <w:r w:rsidRPr="00C740D0">
        <w:rPr>
          <w:szCs w:val="24"/>
        </w:rPr>
        <w:t xml:space="preserve"> K.P. &amp; </w:t>
      </w:r>
      <w:proofErr w:type="spellStart"/>
      <w:r w:rsidRPr="00C740D0">
        <w:rPr>
          <w:szCs w:val="24"/>
        </w:rPr>
        <w:t>Siril</w:t>
      </w:r>
      <w:proofErr w:type="spellEnd"/>
      <w:r w:rsidRPr="00C740D0">
        <w:rPr>
          <w:szCs w:val="24"/>
        </w:rPr>
        <w:t xml:space="preserve"> E.A. (2002). An </w:t>
      </w:r>
      <w:proofErr w:type="spellStart"/>
      <w:r w:rsidRPr="00C740D0">
        <w:rPr>
          <w:szCs w:val="24"/>
        </w:rPr>
        <w:t>improved</w:t>
      </w:r>
      <w:proofErr w:type="spellEnd"/>
      <w:r w:rsidRPr="00C740D0">
        <w:rPr>
          <w:szCs w:val="24"/>
        </w:rPr>
        <w:t xml:space="preserve"> </w:t>
      </w:r>
      <w:proofErr w:type="spellStart"/>
      <w:r w:rsidRPr="00C740D0">
        <w:rPr>
          <w:szCs w:val="24"/>
        </w:rPr>
        <w:t>micropropagation</w:t>
      </w:r>
      <w:proofErr w:type="spellEnd"/>
      <w:r w:rsidRPr="00C740D0">
        <w:rPr>
          <w:szCs w:val="24"/>
        </w:rPr>
        <w:t xml:space="preserve"> </w:t>
      </w:r>
      <w:proofErr w:type="spellStart"/>
      <w:r w:rsidRPr="00C740D0">
        <w:rPr>
          <w:szCs w:val="24"/>
        </w:rPr>
        <w:t>protocol</w:t>
      </w:r>
      <w:proofErr w:type="spellEnd"/>
      <w:r w:rsidRPr="00C740D0">
        <w:rPr>
          <w:szCs w:val="24"/>
        </w:rPr>
        <w:t xml:space="preserve"> for </w:t>
      </w:r>
      <w:proofErr w:type="spellStart"/>
      <w:r w:rsidRPr="00C740D0">
        <w:rPr>
          <w:szCs w:val="24"/>
        </w:rPr>
        <w:t>teak</w:t>
      </w:r>
      <w:proofErr w:type="spellEnd"/>
      <w:r w:rsidRPr="00C740D0">
        <w:rPr>
          <w:szCs w:val="24"/>
        </w:rPr>
        <w:t xml:space="preserve">. Plant Cellular, Tissue and </w:t>
      </w:r>
      <w:proofErr w:type="spellStart"/>
      <w:r w:rsidRPr="00C740D0">
        <w:rPr>
          <w:szCs w:val="24"/>
        </w:rPr>
        <w:t>Organ</w:t>
      </w:r>
      <w:proofErr w:type="spellEnd"/>
      <w:r w:rsidRPr="00C740D0">
        <w:rPr>
          <w:szCs w:val="24"/>
        </w:rPr>
        <w:t xml:space="preserve"> Culture</w:t>
      </w:r>
      <w:r w:rsidRPr="00C740D0">
        <w:rPr>
          <w:i/>
          <w:iCs/>
          <w:szCs w:val="24"/>
        </w:rPr>
        <w:t>,</w:t>
      </w:r>
      <w:r w:rsidRPr="00C740D0">
        <w:rPr>
          <w:szCs w:val="24"/>
        </w:rPr>
        <w:t xml:space="preserve"> </w:t>
      </w:r>
      <w:proofErr w:type="gramStart"/>
      <w:r w:rsidRPr="00C740D0">
        <w:rPr>
          <w:szCs w:val="24"/>
        </w:rPr>
        <w:t>71:</w:t>
      </w:r>
      <w:proofErr w:type="gramEnd"/>
      <w:r w:rsidRPr="00C740D0">
        <w:rPr>
          <w:szCs w:val="24"/>
        </w:rPr>
        <w:t xml:space="preserve"> 1–6.</w:t>
      </w:r>
    </w:p>
    <w:p w14:paraId="0D824808" w14:textId="77777777" w:rsidR="00C740D0" w:rsidRPr="00C740D0" w:rsidRDefault="00C740D0" w:rsidP="00C740D0">
      <w:pPr>
        <w:pStyle w:val="ListParagraph"/>
        <w:numPr>
          <w:ilvl w:val="0"/>
          <w:numId w:val="32"/>
        </w:numPr>
        <w:rPr>
          <w:rFonts w:eastAsia="Calibri" w:cs="Times New Roman"/>
          <w:szCs w:val="24"/>
          <w:lang w:val="en-GB"/>
        </w:rPr>
      </w:pPr>
      <w:proofErr w:type="spellStart"/>
      <w:r w:rsidRPr="001E009A">
        <w:rPr>
          <w:szCs w:val="24"/>
        </w:rPr>
        <w:t>Mantell</w:t>
      </w:r>
      <w:proofErr w:type="spellEnd"/>
      <w:r w:rsidRPr="001E009A">
        <w:rPr>
          <w:szCs w:val="24"/>
        </w:rPr>
        <w:t xml:space="preserve"> S.H., </w:t>
      </w:r>
      <w:proofErr w:type="spellStart"/>
      <w:r w:rsidRPr="001E009A">
        <w:rPr>
          <w:szCs w:val="24"/>
        </w:rPr>
        <w:t>Boggett</w:t>
      </w:r>
      <w:proofErr w:type="spellEnd"/>
      <w:r w:rsidRPr="001E009A">
        <w:rPr>
          <w:szCs w:val="24"/>
        </w:rPr>
        <w:t xml:space="preserve"> B., </w:t>
      </w:r>
      <w:proofErr w:type="spellStart"/>
      <w:r w:rsidRPr="001E009A">
        <w:rPr>
          <w:szCs w:val="24"/>
        </w:rPr>
        <w:t>Bessa</w:t>
      </w:r>
      <w:proofErr w:type="spellEnd"/>
      <w:r w:rsidRPr="001E009A">
        <w:rPr>
          <w:szCs w:val="24"/>
        </w:rPr>
        <w:t xml:space="preserve"> A.M.S., </w:t>
      </w:r>
      <w:proofErr w:type="spellStart"/>
      <w:r w:rsidRPr="001E009A">
        <w:rPr>
          <w:szCs w:val="24"/>
        </w:rPr>
        <w:t>Lemos</w:t>
      </w:r>
      <w:proofErr w:type="spellEnd"/>
      <w:r w:rsidRPr="001E009A">
        <w:rPr>
          <w:szCs w:val="24"/>
        </w:rPr>
        <w:t xml:space="preserve"> E.E.P., </w:t>
      </w:r>
      <w:proofErr w:type="spellStart"/>
      <w:r w:rsidRPr="001E009A">
        <w:rPr>
          <w:szCs w:val="24"/>
        </w:rPr>
        <w:t>Abdelhad</w:t>
      </w:r>
      <w:proofErr w:type="spellEnd"/>
      <w:r w:rsidRPr="001E009A">
        <w:rPr>
          <w:szCs w:val="24"/>
        </w:rPr>
        <w:t xml:space="preserve"> A.R. &amp; </w:t>
      </w:r>
      <w:proofErr w:type="spellStart"/>
      <w:r w:rsidRPr="001E009A">
        <w:rPr>
          <w:szCs w:val="24"/>
        </w:rPr>
        <w:t>Mneney</w:t>
      </w:r>
      <w:proofErr w:type="spellEnd"/>
      <w:r w:rsidRPr="001E009A">
        <w:rPr>
          <w:szCs w:val="24"/>
        </w:rPr>
        <w:t xml:space="preserve"> E.E. (1998). </w:t>
      </w:r>
      <w:r w:rsidRPr="001E009A">
        <w:rPr>
          <w:szCs w:val="24"/>
          <w:lang w:val="en-GB"/>
        </w:rPr>
        <w:t xml:space="preserve">Micropropagation and micrografting methods suitable for safe international transfer of cashew. </w:t>
      </w:r>
      <w:r w:rsidRPr="0096704A">
        <w:rPr>
          <w:szCs w:val="24"/>
          <w:lang w:val="en-GB"/>
        </w:rPr>
        <w:t>African Journal of Biotechnology</w:t>
      </w:r>
      <w:r w:rsidRPr="001E009A">
        <w:rPr>
          <w:szCs w:val="24"/>
          <w:lang w:val="en-GB"/>
        </w:rPr>
        <w:t>, 4 (13): 95-107.</w:t>
      </w:r>
    </w:p>
    <w:p w14:paraId="5A121187" w14:textId="77777777" w:rsidR="00C740D0" w:rsidRPr="00C740D0" w:rsidRDefault="00C740D0" w:rsidP="00C740D0">
      <w:pPr>
        <w:pStyle w:val="ListParagraph"/>
        <w:numPr>
          <w:ilvl w:val="0"/>
          <w:numId w:val="32"/>
        </w:numPr>
        <w:rPr>
          <w:szCs w:val="24"/>
          <w:lang w:val="en-GB"/>
        </w:rPr>
      </w:pPr>
      <w:proofErr w:type="spellStart"/>
      <w:r w:rsidRPr="00C740D0">
        <w:rPr>
          <w:szCs w:val="24"/>
          <w:lang w:val="en-GB"/>
        </w:rPr>
        <w:t>Sija</w:t>
      </w:r>
      <w:proofErr w:type="spellEnd"/>
      <w:r w:rsidRPr="00C740D0">
        <w:rPr>
          <w:szCs w:val="24"/>
          <w:lang w:val="en-GB"/>
        </w:rPr>
        <w:t xml:space="preserve"> S.L., Potty V.P. &amp; </w:t>
      </w:r>
      <w:proofErr w:type="spellStart"/>
      <w:r w:rsidRPr="00C740D0">
        <w:rPr>
          <w:szCs w:val="24"/>
          <w:lang w:val="en-GB"/>
        </w:rPr>
        <w:t>Santhoshlal</w:t>
      </w:r>
      <w:proofErr w:type="spellEnd"/>
      <w:r w:rsidRPr="00C740D0">
        <w:rPr>
          <w:szCs w:val="24"/>
          <w:lang w:val="en-GB"/>
        </w:rPr>
        <w:t xml:space="preserve"> P.S. (2016). </w:t>
      </w:r>
      <w:r w:rsidRPr="00C740D0">
        <w:rPr>
          <w:i/>
          <w:iCs/>
          <w:szCs w:val="24"/>
          <w:lang w:val="en-GB"/>
        </w:rPr>
        <w:t xml:space="preserve">In Vitro </w:t>
      </w:r>
      <w:r w:rsidRPr="00C740D0">
        <w:rPr>
          <w:szCs w:val="24"/>
          <w:lang w:val="en-GB"/>
        </w:rPr>
        <w:t xml:space="preserve">Shoot Proliferation from Excised Shoot Tip and Nodal Segment of </w:t>
      </w:r>
      <w:proofErr w:type="spellStart"/>
      <w:r w:rsidRPr="00C740D0">
        <w:rPr>
          <w:i/>
          <w:iCs/>
          <w:szCs w:val="24"/>
          <w:lang w:val="en-GB"/>
        </w:rPr>
        <w:t>Anacardium</w:t>
      </w:r>
      <w:proofErr w:type="spellEnd"/>
      <w:r w:rsidRPr="00C740D0">
        <w:rPr>
          <w:i/>
          <w:iCs/>
          <w:szCs w:val="24"/>
          <w:lang w:val="en-GB"/>
        </w:rPr>
        <w:t xml:space="preserve"> </w:t>
      </w:r>
      <w:proofErr w:type="spellStart"/>
      <w:r w:rsidRPr="00C740D0">
        <w:rPr>
          <w:i/>
          <w:iCs/>
          <w:szCs w:val="24"/>
          <w:lang w:val="en-GB"/>
        </w:rPr>
        <w:t>occidentale</w:t>
      </w:r>
      <w:proofErr w:type="spellEnd"/>
      <w:r w:rsidRPr="00C740D0">
        <w:rPr>
          <w:i/>
          <w:iCs/>
          <w:szCs w:val="24"/>
          <w:lang w:val="en-GB"/>
        </w:rPr>
        <w:t xml:space="preserve"> </w:t>
      </w:r>
      <w:r w:rsidRPr="00C740D0">
        <w:rPr>
          <w:szCs w:val="24"/>
          <w:lang w:val="en-GB"/>
        </w:rPr>
        <w:t xml:space="preserve">L. </w:t>
      </w:r>
      <w:r w:rsidRPr="00C740D0">
        <w:rPr>
          <w:iCs/>
          <w:szCs w:val="24"/>
          <w:lang w:val="en-GB"/>
        </w:rPr>
        <w:t>International Journal of Current Microbiology Applied Science,</w:t>
      </w:r>
      <w:r w:rsidRPr="00C740D0">
        <w:rPr>
          <w:i/>
          <w:iCs/>
          <w:szCs w:val="24"/>
          <w:lang w:val="en-GB"/>
        </w:rPr>
        <w:t xml:space="preserve"> </w:t>
      </w:r>
      <w:r w:rsidRPr="00C740D0">
        <w:rPr>
          <w:szCs w:val="24"/>
          <w:lang w:val="en-GB"/>
        </w:rPr>
        <w:t>5 (3): 635-642.</w:t>
      </w:r>
    </w:p>
    <w:p w14:paraId="023751D9" w14:textId="77777777" w:rsidR="00C740D0" w:rsidRPr="00C740D0" w:rsidRDefault="00C740D0" w:rsidP="00C740D0">
      <w:pPr>
        <w:pStyle w:val="ListParagraph"/>
        <w:numPr>
          <w:ilvl w:val="0"/>
          <w:numId w:val="32"/>
        </w:numPr>
        <w:rPr>
          <w:rFonts w:eastAsia="Calibri" w:cs="Times New Roman"/>
          <w:szCs w:val="24"/>
          <w:lang w:val="en-GB"/>
        </w:rPr>
      </w:pPr>
      <w:proofErr w:type="spellStart"/>
      <w:r w:rsidRPr="0058111C">
        <w:rPr>
          <w:rFonts w:cs="Times New Roman"/>
          <w:szCs w:val="24"/>
        </w:rPr>
        <w:t>Rajore</w:t>
      </w:r>
      <w:proofErr w:type="spellEnd"/>
      <w:r w:rsidRPr="0058111C">
        <w:rPr>
          <w:rFonts w:cs="Times New Roman"/>
          <w:szCs w:val="24"/>
        </w:rPr>
        <w:t xml:space="preserve">, S. &amp; </w:t>
      </w:r>
      <w:proofErr w:type="spellStart"/>
      <w:r w:rsidRPr="0058111C">
        <w:rPr>
          <w:rFonts w:cs="Times New Roman"/>
          <w:szCs w:val="24"/>
        </w:rPr>
        <w:t>Batra.A</w:t>
      </w:r>
      <w:proofErr w:type="spellEnd"/>
      <w:r w:rsidRPr="0058111C">
        <w:rPr>
          <w:rFonts w:cs="Times New Roman"/>
          <w:szCs w:val="24"/>
        </w:rPr>
        <w:t>. (2005).</w:t>
      </w:r>
      <w:r w:rsidRPr="00526E1A">
        <w:rPr>
          <w:rFonts w:cs="Times New Roman"/>
          <w:szCs w:val="24"/>
        </w:rPr>
        <w:t xml:space="preserve"> Efficient plant </w:t>
      </w:r>
      <w:proofErr w:type="spellStart"/>
      <w:r w:rsidRPr="00526E1A">
        <w:rPr>
          <w:rFonts w:cs="Times New Roman"/>
          <w:szCs w:val="24"/>
        </w:rPr>
        <w:t>regeneration</w:t>
      </w:r>
      <w:proofErr w:type="spellEnd"/>
      <w:r w:rsidRPr="00526E1A">
        <w:rPr>
          <w:rFonts w:cs="Times New Roman"/>
          <w:szCs w:val="24"/>
        </w:rPr>
        <w:t xml:space="preserve"> via shoot tip explant in Jatropha </w:t>
      </w:r>
      <w:proofErr w:type="spellStart"/>
      <w:r w:rsidRPr="00526E1A">
        <w:rPr>
          <w:rFonts w:cs="Times New Roman"/>
          <w:szCs w:val="24"/>
        </w:rPr>
        <w:t>curcas</w:t>
      </w:r>
      <w:proofErr w:type="spellEnd"/>
      <w:r w:rsidRPr="00526E1A">
        <w:rPr>
          <w:rFonts w:cs="Times New Roman"/>
          <w:szCs w:val="24"/>
        </w:rPr>
        <w:t xml:space="preserve"> L. Journal of Plant </w:t>
      </w:r>
      <w:proofErr w:type="spellStart"/>
      <w:r w:rsidRPr="00526E1A">
        <w:rPr>
          <w:rFonts w:cs="Times New Roman"/>
          <w:szCs w:val="24"/>
        </w:rPr>
        <w:t>Biochemistry</w:t>
      </w:r>
      <w:proofErr w:type="spellEnd"/>
      <w:r w:rsidRPr="00526E1A">
        <w:rPr>
          <w:rFonts w:cs="Times New Roman"/>
          <w:szCs w:val="24"/>
        </w:rPr>
        <w:t xml:space="preserve"> and </w:t>
      </w:r>
      <w:proofErr w:type="spellStart"/>
      <w:r w:rsidRPr="00526E1A">
        <w:rPr>
          <w:rFonts w:cs="Times New Roman"/>
          <w:szCs w:val="24"/>
        </w:rPr>
        <w:t>Biotechnology</w:t>
      </w:r>
      <w:proofErr w:type="spellEnd"/>
      <w:r w:rsidRPr="00526E1A">
        <w:rPr>
          <w:rFonts w:cs="Times New Roman"/>
          <w:szCs w:val="24"/>
        </w:rPr>
        <w:t>, 14(1)</w:t>
      </w:r>
      <w:r>
        <w:rPr>
          <w:rFonts w:cs="Times New Roman"/>
          <w:szCs w:val="24"/>
        </w:rPr>
        <w:t xml:space="preserve"> </w:t>
      </w:r>
      <w:r w:rsidRPr="00526E1A">
        <w:rPr>
          <w:rFonts w:cs="Times New Roman"/>
          <w:szCs w:val="24"/>
        </w:rPr>
        <w:t>: 73-75.</w:t>
      </w:r>
    </w:p>
    <w:p w14:paraId="1F4B913B" w14:textId="77777777" w:rsidR="00C740D0" w:rsidRPr="00C740D0" w:rsidRDefault="00C740D0" w:rsidP="00C740D0">
      <w:pPr>
        <w:pStyle w:val="ListParagraph"/>
        <w:numPr>
          <w:ilvl w:val="0"/>
          <w:numId w:val="32"/>
        </w:numPr>
        <w:rPr>
          <w:rFonts w:eastAsia="Calibri" w:cs="Times New Roman"/>
          <w:szCs w:val="24"/>
          <w:lang w:val="en-GB"/>
        </w:rPr>
      </w:pPr>
      <w:proofErr w:type="spellStart"/>
      <w:r w:rsidRPr="0058111C">
        <w:t>Youmbi</w:t>
      </w:r>
      <w:proofErr w:type="spellEnd"/>
      <w:r w:rsidRPr="0058111C">
        <w:t xml:space="preserve"> E. </w:t>
      </w:r>
      <w:r w:rsidRPr="0058111C">
        <w:rPr>
          <w:szCs w:val="24"/>
          <w:lang w:val="en-US"/>
        </w:rPr>
        <w:t>&amp;</w:t>
      </w:r>
      <w:r w:rsidRPr="0058111C">
        <w:t xml:space="preserve"> Abdelatif B. (2001)</w:t>
      </w:r>
      <w:r w:rsidRPr="00526E1A">
        <w:t xml:space="preserve">. </w:t>
      </w:r>
      <w:r w:rsidRPr="00664021">
        <w:t xml:space="preserve">In vitro </w:t>
      </w:r>
      <w:proofErr w:type="spellStart"/>
      <w:r w:rsidRPr="00664021">
        <w:t>regeneration</w:t>
      </w:r>
      <w:proofErr w:type="spellEnd"/>
      <w:r w:rsidRPr="00664021">
        <w:t xml:space="preserve"> of plants </w:t>
      </w:r>
      <w:proofErr w:type="spellStart"/>
      <w:r w:rsidRPr="00664021">
        <w:t>from</w:t>
      </w:r>
      <w:proofErr w:type="spellEnd"/>
      <w:r w:rsidRPr="00664021">
        <w:t xml:space="preserve"> the </w:t>
      </w:r>
      <w:proofErr w:type="spellStart"/>
      <w:r w:rsidRPr="00664021">
        <w:t>axillary</w:t>
      </w:r>
      <w:proofErr w:type="spellEnd"/>
      <w:r w:rsidRPr="00664021">
        <w:t xml:space="preserve"> </w:t>
      </w:r>
      <w:proofErr w:type="spellStart"/>
      <w:r w:rsidRPr="00664021">
        <w:t>buds</w:t>
      </w:r>
      <w:proofErr w:type="spellEnd"/>
      <w:r w:rsidRPr="00664021">
        <w:t xml:space="preserve"> and apex of </w:t>
      </w:r>
      <w:proofErr w:type="spellStart"/>
      <w:r w:rsidRPr="00664021">
        <w:t>sexually</w:t>
      </w:r>
      <w:proofErr w:type="spellEnd"/>
      <w:r w:rsidRPr="00664021">
        <w:t xml:space="preserve"> </w:t>
      </w:r>
      <w:proofErr w:type="spellStart"/>
      <w:r w:rsidRPr="00664021">
        <w:t>propagated</w:t>
      </w:r>
      <w:proofErr w:type="spellEnd"/>
      <w:r w:rsidRPr="00664021">
        <w:t xml:space="preserve"> </w:t>
      </w:r>
      <w:proofErr w:type="spellStart"/>
      <w:r w:rsidRPr="00664021">
        <w:t>seedlings</w:t>
      </w:r>
      <w:proofErr w:type="spellEnd"/>
      <w:r w:rsidRPr="00664021">
        <w:t xml:space="preserve"> of </w:t>
      </w:r>
      <w:proofErr w:type="spellStart"/>
      <w:r w:rsidRPr="00664021">
        <w:t>Dacryodes</w:t>
      </w:r>
      <w:proofErr w:type="spellEnd"/>
      <w:r w:rsidRPr="00664021">
        <w:t xml:space="preserve"> </w:t>
      </w:r>
      <w:proofErr w:type="spellStart"/>
      <w:r w:rsidRPr="00664021">
        <w:t>edulis</w:t>
      </w:r>
      <w:proofErr w:type="spellEnd"/>
      <w:r w:rsidRPr="00664021">
        <w:t xml:space="preserve"> (Don)</w:t>
      </w:r>
      <w:r>
        <w:t>.</w:t>
      </w:r>
      <w:r w:rsidRPr="00664021">
        <w:t xml:space="preserve"> Fruit</w:t>
      </w:r>
      <w:r>
        <w:t>,</w:t>
      </w:r>
      <w:r w:rsidRPr="00664021">
        <w:t xml:space="preserve"> 56</w:t>
      </w:r>
      <w:r>
        <w:t xml:space="preserve"> : </w:t>
      </w:r>
      <w:r w:rsidRPr="00664021">
        <w:t>333-343</w:t>
      </w:r>
      <w:r>
        <w:t>.</w:t>
      </w:r>
    </w:p>
    <w:p w14:paraId="310F3C09" w14:textId="77777777" w:rsidR="00C740D0" w:rsidRPr="001004E2" w:rsidRDefault="001004E2" w:rsidP="00C740D0">
      <w:pPr>
        <w:pStyle w:val="ListParagraph"/>
        <w:numPr>
          <w:ilvl w:val="0"/>
          <w:numId w:val="32"/>
        </w:numPr>
        <w:rPr>
          <w:rFonts w:eastAsia="Calibri" w:cs="Times New Roman"/>
          <w:szCs w:val="24"/>
          <w:lang w:val="en-GB"/>
        </w:rPr>
      </w:pPr>
      <w:proofErr w:type="spellStart"/>
      <w:r w:rsidRPr="001E009A">
        <w:rPr>
          <w:szCs w:val="24"/>
          <w:lang w:val="en-US"/>
        </w:rPr>
        <w:t>Mariappan</w:t>
      </w:r>
      <w:proofErr w:type="spellEnd"/>
      <w:r w:rsidRPr="001E009A">
        <w:rPr>
          <w:szCs w:val="24"/>
          <w:lang w:val="en-US"/>
        </w:rPr>
        <w:t xml:space="preserve"> S</w:t>
      </w:r>
      <w:r>
        <w:rPr>
          <w:szCs w:val="24"/>
          <w:lang w:val="en-US"/>
        </w:rPr>
        <w:t>.</w:t>
      </w:r>
      <w:r w:rsidRPr="001E009A">
        <w:rPr>
          <w:szCs w:val="24"/>
          <w:lang w:val="en-US"/>
        </w:rPr>
        <w:t xml:space="preserve"> (2015). An Improved </w:t>
      </w:r>
      <w:r w:rsidRPr="001E009A">
        <w:rPr>
          <w:i/>
          <w:iCs/>
          <w:szCs w:val="24"/>
          <w:lang w:val="en-US"/>
        </w:rPr>
        <w:t>in Vitro</w:t>
      </w:r>
      <w:r w:rsidRPr="001E009A">
        <w:rPr>
          <w:szCs w:val="24"/>
          <w:lang w:val="en-US"/>
        </w:rPr>
        <w:t xml:space="preserve"> Micropropagation Technique for Teak (</w:t>
      </w:r>
      <w:proofErr w:type="spellStart"/>
      <w:r w:rsidRPr="001E009A">
        <w:rPr>
          <w:i/>
          <w:szCs w:val="24"/>
          <w:lang w:val="en-US"/>
        </w:rPr>
        <w:t>Tectona</w:t>
      </w:r>
      <w:proofErr w:type="spellEnd"/>
      <w:r w:rsidRPr="001E009A">
        <w:rPr>
          <w:i/>
          <w:szCs w:val="24"/>
          <w:lang w:val="en-US"/>
        </w:rPr>
        <w:t xml:space="preserve"> </w:t>
      </w:r>
      <w:proofErr w:type="spellStart"/>
      <w:r w:rsidRPr="001E009A">
        <w:rPr>
          <w:i/>
          <w:szCs w:val="24"/>
          <w:lang w:val="en-US"/>
        </w:rPr>
        <w:t>grandis</w:t>
      </w:r>
      <w:proofErr w:type="spellEnd"/>
      <w:r w:rsidRPr="001E009A">
        <w:rPr>
          <w:szCs w:val="24"/>
          <w:lang w:val="en-US"/>
        </w:rPr>
        <w:t xml:space="preserve"> L.). </w:t>
      </w:r>
      <w:r w:rsidRPr="001E009A">
        <w:rPr>
          <w:i/>
          <w:iCs/>
          <w:szCs w:val="24"/>
          <w:lang w:val="en-US"/>
        </w:rPr>
        <w:t>International Journal of Advanced Biotechnology &amp; Research,</w:t>
      </w:r>
      <w:r w:rsidRPr="001E009A">
        <w:rPr>
          <w:szCs w:val="24"/>
          <w:lang w:val="en-US"/>
        </w:rPr>
        <w:t xml:space="preserve"> 6: 401-411.</w:t>
      </w:r>
    </w:p>
    <w:p w14:paraId="307EE735" w14:textId="77777777" w:rsidR="001004E2" w:rsidRPr="001004E2" w:rsidRDefault="001004E2" w:rsidP="00C740D0">
      <w:pPr>
        <w:pStyle w:val="ListParagraph"/>
        <w:numPr>
          <w:ilvl w:val="0"/>
          <w:numId w:val="32"/>
        </w:numPr>
        <w:rPr>
          <w:rFonts w:eastAsia="Calibri" w:cs="Times New Roman"/>
          <w:szCs w:val="24"/>
          <w:lang w:val="en-GB"/>
        </w:rPr>
      </w:pPr>
      <w:proofErr w:type="spellStart"/>
      <w:r w:rsidRPr="001E009A">
        <w:rPr>
          <w:bCs/>
          <w:szCs w:val="24"/>
        </w:rPr>
        <w:lastRenderedPageBreak/>
        <w:t>Erison</w:t>
      </w:r>
      <w:proofErr w:type="spellEnd"/>
      <w:r w:rsidRPr="001E009A">
        <w:rPr>
          <w:bCs/>
          <w:szCs w:val="24"/>
        </w:rPr>
        <w:t xml:space="preserve"> M. S., Carlos A. S. L., </w:t>
      </w:r>
      <w:proofErr w:type="spellStart"/>
      <w:r w:rsidRPr="001E009A">
        <w:rPr>
          <w:bCs/>
          <w:szCs w:val="24"/>
        </w:rPr>
        <w:t>Everton</w:t>
      </w:r>
      <w:proofErr w:type="spellEnd"/>
      <w:r w:rsidRPr="001E009A">
        <w:rPr>
          <w:bCs/>
          <w:szCs w:val="24"/>
        </w:rPr>
        <w:t xml:space="preserve"> H. S. &amp; </w:t>
      </w:r>
      <w:proofErr w:type="spellStart"/>
      <w:r w:rsidRPr="001E009A">
        <w:rPr>
          <w:bCs/>
          <w:szCs w:val="24"/>
        </w:rPr>
        <w:t>Fernanda</w:t>
      </w:r>
      <w:proofErr w:type="spellEnd"/>
      <w:r w:rsidRPr="001E009A">
        <w:rPr>
          <w:bCs/>
          <w:szCs w:val="24"/>
        </w:rPr>
        <w:t xml:space="preserve"> V. D. S. (2023)</w:t>
      </w:r>
      <w:r w:rsidRPr="001E009A">
        <w:rPr>
          <w:szCs w:val="24"/>
        </w:rPr>
        <w:t xml:space="preserve">. </w:t>
      </w:r>
      <w:r w:rsidRPr="001E009A">
        <w:rPr>
          <w:szCs w:val="24"/>
          <w:lang w:val="en-GB"/>
        </w:rPr>
        <w:t xml:space="preserve">Propagation potential of commercial pineapples and impact of the subculture interval on production planning. </w:t>
      </w:r>
      <w:proofErr w:type="spellStart"/>
      <w:r w:rsidRPr="0096704A">
        <w:rPr>
          <w:szCs w:val="24"/>
        </w:rPr>
        <w:t>Revista</w:t>
      </w:r>
      <w:proofErr w:type="spellEnd"/>
      <w:r w:rsidRPr="0096704A">
        <w:rPr>
          <w:szCs w:val="24"/>
        </w:rPr>
        <w:t xml:space="preserve"> </w:t>
      </w:r>
      <w:proofErr w:type="spellStart"/>
      <w:r w:rsidRPr="0096704A">
        <w:rPr>
          <w:szCs w:val="24"/>
        </w:rPr>
        <w:t>Ciência</w:t>
      </w:r>
      <w:proofErr w:type="spellEnd"/>
      <w:r w:rsidRPr="0096704A">
        <w:rPr>
          <w:szCs w:val="24"/>
        </w:rPr>
        <w:t xml:space="preserve"> </w:t>
      </w:r>
      <w:proofErr w:type="spellStart"/>
      <w:r w:rsidRPr="0096704A">
        <w:rPr>
          <w:szCs w:val="24"/>
        </w:rPr>
        <w:t>Agronômica</w:t>
      </w:r>
      <w:proofErr w:type="spellEnd"/>
      <w:r w:rsidRPr="001E009A">
        <w:rPr>
          <w:szCs w:val="24"/>
        </w:rPr>
        <w:t>, 54 : 1-9.</w:t>
      </w:r>
    </w:p>
    <w:p w14:paraId="0F78B01A" w14:textId="77777777" w:rsidR="001004E2" w:rsidRPr="001004E2" w:rsidRDefault="001004E2" w:rsidP="001004E2">
      <w:pPr>
        <w:pStyle w:val="ListParagraph"/>
        <w:numPr>
          <w:ilvl w:val="0"/>
          <w:numId w:val="32"/>
        </w:numPr>
        <w:rPr>
          <w:szCs w:val="24"/>
        </w:rPr>
      </w:pPr>
      <w:proofErr w:type="spellStart"/>
      <w:r w:rsidRPr="001004E2">
        <w:rPr>
          <w:szCs w:val="24"/>
        </w:rPr>
        <w:t>Feyissa</w:t>
      </w:r>
      <w:proofErr w:type="spellEnd"/>
      <w:r w:rsidRPr="001004E2">
        <w:rPr>
          <w:szCs w:val="24"/>
        </w:rPr>
        <w:t xml:space="preserve"> T., </w:t>
      </w:r>
      <w:proofErr w:type="spellStart"/>
      <w:r w:rsidRPr="001004E2">
        <w:rPr>
          <w:szCs w:val="24"/>
        </w:rPr>
        <w:t>Margareta</w:t>
      </w:r>
      <w:proofErr w:type="spellEnd"/>
      <w:r w:rsidRPr="001004E2">
        <w:rPr>
          <w:szCs w:val="24"/>
        </w:rPr>
        <w:t xml:space="preserve"> W. &amp; </w:t>
      </w:r>
      <w:proofErr w:type="spellStart"/>
      <w:r w:rsidRPr="001004E2">
        <w:rPr>
          <w:szCs w:val="24"/>
        </w:rPr>
        <w:t>Legesse</w:t>
      </w:r>
      <w:proofErr w:type="spellEnd"/>
      <w:r w:rsidRPr="001004E2">
        <w:rPr>
          <w:szCs w:val="24"/>
        </w:rPr>
        <w:t xml:space="preserve"> N. (2005). </w:t>
      </w:r>
      <w:proofErr w:type="spellStart"/>
      <w:r w:rsidRPr="001004E2">
        <w:rPr>
          <w:szCs w:val="24"/>
        </w:rPr>
        <w:t>Micropropagation</w:t>
      </w:r>
      <w:proofErr w:type="spellEnd"/>
      <w:r w:rsidRPr="001004E2">
        <w:rPr>
          <w:szCs w:val="24"/>
        </w:rPr>
        <w:t xml:space="preserve"> of </w:t>
      </w:r>
      <w:proofErr w:type="spellStart"/>
      <w:r w:rsidRPr="001004E2">
        <w:rPr>
          <w:i/>
          <w:szCs w:val="24"/>
        </w:rPr>
        <w:t>Hagenia</w:t>
      </w:r>
      <w:proofErr w:type="spellEnd"/>
      <w:r w:rsidRPr="001004E2">
        <w:rPr>
          <w:i/>
          <w:szCs w:val="24"/>
        </w:rPr>
        <w:t xml:space="preserve"> </w:t>
      </w:r>
      <w:proofErr w:type="spellStart"/>
      <w:proofErr w:type="gramStart"/>
      <w:r w:rsidRPr="001004E2">
        <w:rPr>
          <w:i/>
          <w:szCs w:val="24"/>
        </w:rPr>
        <w:t>abyssinica</w:t>
      </w:r>
      <w:proofErr w:type="spellEnd"/>
      <w:r w:rsidRPr="001004E2">
        <w:rPr>
          <w:szCs w:val="24"/>
        </w:rPr>
        <w:t>:</w:t>
      </w:r>
      <w:proofErr w:type="gramEnd"/>
      <w:r w:rsidRPr="001004E2">
        <w:rPr>
          <w:szCs w:val="24"/>
        </w:rPr>
        <w:t xml:space="preserve"> </w:t>
      </w:r>
      <w:proofErr w:type="spellStart"/>
      <w:r w:rsidRPr="001004E2">
        <w:rPr>
          <w:szCs w:val="24"/>
        </w:rPr>
        <w:t>a</w:t>
      </w:r>
      <w:proofErr w:type="spellEnd"/>
      <w:r w:rsidRPr="001004E2">
        <w:rPr>
          <w:szCs w:val="24"/>
        </w:rPr>
        <w:t xml:space="preserve"> </w:t>
      </w:r>
      <w:proofErr w:type="spellStart"/>
      <w:r w:rsidRPr="001004E2">
        <w:rPr>
          <w:szCs w:val="24"/>
        </w:rPr>
        <w:t>multipurpose</w:t>
      </w:r>
      <w:proofErr w:type="spellEnd"/>
      <w:r w:rsidRPr="001004E2">
        <w:rPr>
          <w:szCs w:val="24"/>
        </w:rPr>
        <w:t xml:space="preserve"> </w:t>
      </w:r>
      <w:proofErr w:type="spellStart"/>
      <w:r w:rsidRPr="001004E2">
        <w:rPr>
          <w:szCs w:val="24"/>
        </w:rPr>
        <w:t>tree</w:t>
      </w:r>
      <w:proofErr w:type="spellEnd"/>
      <w:r w:rsidRPr="001004E2">
        <w:rPr>
          <w:szCs w:val="24"/>
        </w:rPr>
        <w:t xml:space="preserve">. Plant </w:t>
      </w:r>
      <w:proofErr w:type="spellStart"/>
      <w:r w:rsidRPr="001004E2">
        <w:rPr>
          <w:szCs w:val="24"/>
        </w:rPr>
        <w:t>Cell</w:t>
      </w:r>
      <w:proofErr w:type="spellEnd"/>
      <w:r w:rsidRPr="001004E2">
        <w:rPr>
          <w:szCs w:val="24"/>
        </w:rPr>
        <w:t xml:space="preserve">, Tissue and </w:t>
      </w:r>
      <w:proofErr w:type="spellStart"/>
      <w:r w:rsidRPr="001004E2">
        <w:rPr>
          <w:szCs w:val="24"/>
        </w:rPr>
        <w:t>Organ</w:t>
      </w:r>
      <w:proofErr w:type="spellEnd"/>
      <w:r w:rsidRPr="001004E2">
        <w:rPr>
          <w:szCs w:val="24"/>
        </w:rPr>
        <w:t xml:space="preserve"> Culture</w:t>
      </w:r>
      <w:r w:rsidRPr="001004E2">
        <w:rPr>
          <w:i/>
          <w:iCs/>
          <w:szCs w:val="24"/>
        </w:rPr>
        <w:t>,</w:t>
      </w:r>
      <w:r w:rsidRPr="001004E2">
        <w:rPr>
          <w:szCs w:val="24"/>
        </w:rPr>
        <w:t xml:space="preserve"> 80</w:t>
      </w:r>
      <w:r>
        <w:rPr>
          <w:szCs w:val="24"/>
        </w:rPr>
        <w:t xml:space="preserve"> </w:t>
      </w:r>
      <w:r w:rsidRPr="001004E2">
        <w:rPr>
          <w:szCs w:val="24"/>
        </w:rPr>
        <w:t>: 119–127.</w:t>
      </w:r>
    </w:p>
    <w:p w14:paraId="240892BD" w14:textId="77777777" w:rsidR="00441B6F" w:rsidRDefault="00441B6F" w:rsidP="00441B6F">
      <w:pPr>
        <w:pStyle w:val="Body"/>
        <w:spacing w:after="0"/>
        <w:jc w:val="left"/>
      </w:pPr>
    </w:p>
    <w:p w14:paraId="77F22676" w14:textId="77777777" w:rsidR="00441B6F" w:rsidRDefault="00441B6F" w:rsidP="00441B6F">
      <w:pPr>
        <w:pStyle w:val="Body"/>
        <w:spacing w:after="0"/>
        <w:jc w:val="left"/>
        <w:rPr>
          <w:rFonts w:ascii="Arial" w:hAnsi="Arial" w:cs="Arial"/>
        </w:rPr>
      </w:pPr>
    </w:p>
    <w:p w14:paraId="1FBA79DA" w14:textId="77777777" w:rsidR="00B01FCD" w:rsidRPr="00FB3A86" w:rsidRDefault="00B01FCD" w:rsidP="00441B6F">
      <w:pPr>
        <w:pStyle w:val="Reference"/>
        <w:numPr>
          <w:ilvl w:val="0"/>
          <w:numId w:val="0"/>
        </w:numPr>
        <w:spacing w:line="240" w:lineRule="auto"/>
        <w:rPr>
          <w:rFonts w:ascii="Arial" w:hAnsi="Arial" w:cs="Arial"/>
        </w:rPr>
      </w:pPr>
    </w:p>
    <w:p w14:paraId="4FE152C5" w14:textId="77777777" w:rsidR="00B01FCD" w:rsidRPr="00FB3A86" w:rsidRDefault="00B01FCD" w:rsidP="00441B6F">
      <w:pPr>
        <w:pStyle w:val="Appendix"/>
        <w:spacing w:after="0"/>
        <w:jc w:val="both"/>
        <w:rPr>
          <w:rFonts w:ascii="Arial" w:hAnsi="Arial" w:cs="Arial"/>
          <w:b w:val="0"/>
        </w:rPr>
      </w:pPr>
    </w:p>
    <w:sectPr w:rsidR="00B01FCD" w:rsidRPr="00FB3A86" w:rsidSect="00CC7FD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83AD" w14:textId="77777777" w:rsidR="00ED03D9" w:rsidRDefault="00ED03D9" w:rsidP="00C37E61">
      <w:r>
        <w:separator/>
      </w:r>
    </w:p>
  </w:endnote>
  <w:endnote w:type="continuationSeparator" w:id="0">
    <w:p w14:paraId="416AB3F9" w14:textId="77777777" w:rsidR="00ED03D9" w:rsidRDefault="00ED03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76C66" w14:textId="77777777" w:rsidR="0076576C" w:rsidRDefault="00765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0084E" w14:textId="77777777" w:rsidR="009450CE" w:rsidRPr="00C37E61" w:rsidRDefault="009450C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8AB75" w14:textId="77777777" w:rsidR="0076576C" w:rsidRDefault="00765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4F69C" w14:textId="77777777" w:rsidR="00ED03D9" w:rsidRDefault="00ED03D9" w:rsidP="00C37E61">
      <w:r>
        <w:separator/>
      </w:r>
    </w:p>
  </w:footnote>
  <w:footnote w:type="continuationSeparator" w:id="0">
    <w:p w14:paraId="55BC7356" w14:textId="77777777" w:rsidR="00ED03D9" w:rsidRDefault="00ED03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E80E" w14:textId="0AB02003" w:rsidR="0076576C" w:rsidRDefault="0076576C">
    <w:pPr>
      <w:pStyle w:val="Header"/>
    </w:pPr>
    <w:r>
      <w:rPr>
        <w:noProof/>
      </w:rPr>
      <w:pict w14:anchorId="6E4FE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27784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AF76" w14:textId="5EC1F9FF" w:rsidR="0076576C" w:rsidRDefault="0076576C">
    <w:pPr>
      <w:pStyle w:val="Header"/>
    </w:pPr>
    <w:r>
      <w:rPr>
        <w:noProof/>
      </w:rPr>
      <w:pict w14:anchorId="3C63E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27784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4A931" w14:textId="67C078D5" w:rsidR="0076576C" w:rsidRDefault="0076576C">
    <w:pPr>
      <w:pStyle w:val="Header"/>
    </w:pPr>
    <w:r>
      <w:rPr>
        <w:noProof/>
      </w:rPr>
      <w:pict w14:anchorId="2AF72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277843"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D2580"/>
    <w:multiLevelType w:val="hybridMultilevel"/>
    <w:tmpl w:val="423A2E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C022F6"/>
    <w:multiLevelType w:val="hybridMultilevel"/>
    <w:tmpl w:val="E7761E60"/>
    <w:lvl w:ilvl="0" w:tplc="E4AC40BC">
      <w:start w:val="1"/>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0E7"/>
    <w:rsid w:val="00030174"/>
    <w:rsid w:val="0004579C"/>
    <w:rsid w:val="000861A9"/>
    <w:rsid w:val="000A47FA"/>
    <w:rsid w:val="000A65D3"/>
    <w:rsid w:val="000B1E33"/>
    <w:rsid w:val="000D689F"/>
    <w:rsid w:val="000E7B7B"/>
    <w:rsid w:val="000E7D62"/>
    <w:rsid w:val="001004E2"/>
    <w:rsid w:val="00103357"/>
    <w:rsid w:val="00123C9F"/>
    <w:rsid w:val="00126190"/>
    <w:rsid w:val="00130F17"/>
    <w:rsid w:val="001320BF"/>
    <w:rsid w:val="00163BC4"/>
    <w:rsid w:val="00191062"/>
    <w:rsid w:val="00192B72"/>
    <w:rsid w:val="001A29D8"/>
    <w:rsid w:val="001A5CAA"/>
    <w:rsid w:val="001B0427"/>
    <w:rsid w:val="001C799D"/>
    <w:rsid w:val="001D3A51"/>
    <w:rsid w:val="001E10D2"/>
    <w:rsid w:val="001E25B4"/>
    <w:rsid w:val="001E44FE"/>
    <w:rsid w:val="00200595"/>
    <w:rsid w:val="00204835"/>
    <w:rsid w:val="00225F8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627C"/>
    <w:rsid w:val="003C4C86"/>
    <w:rsid w:val="003C6258"/>
    <w:rsid w:val="003E2002"/>
    <w:rsid w:val="003E2904"/>
    <w:rsid w:val="00401927"/>
    <w:rsid w:val="0041027F"/>
    <w:rsid w:val="00412475"/>
    <w:rsid w:val="00423789"/>
    <w:rsid w:val="00440F43"/>
    <w:rsid w:val="00441B6F"/>
    <w:rsid w:val="00446221"/>
    <w:rsid w:val="00450E62"/>
    <w:rsid w:val="004539DB"/>
    <w:rsid w:val="00471A80"/>
    <w:rsid w:val="004A797E"/>
    <w:rsid w:val="004D305E"/>
    <w:rsid w:val="004D4277"/>
    <w:rsid w:val="00502516"/>
    <w:rsid w:val="00505F06"/>
    <w:rsid w:val="00506828"/>
    <w:rsid w:val="00507E00"/>
    <w:rsid w:val="00516A9D"/>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576C"/>
    <w:rsid w:val="0077749E"/>
    <w:rsid w:val="00790ADA"/>
    <w:rsid w:val="007D2288"/>
    <w:rsid w:val="007E088F"/>
    <w:rsid w:val="007F7B32"/>
    <w:rsid w:val="00804BC2"/>
    <w:rsid w:val="0081431A"/>
    <w:rsid w:val="0083216F"/>
    <w:rsid w:val="00860000"/>
    <w:rsid w:val="00863BD3"/>
    <w:rsid w:val="008641ED"/>
    <w:rsid w:val="00866D66"/>
    <w:rsid w:val="008671C6"/>
    <w:rsid w:val="00867CFB"/>
    <w:rsid w:val="00875803"/>
    <w:rsid w:val="008B459E"/>
    <w:rsid w:val="008E13AE"/>
    <w:rsid w:val="008E1506"/>
    <w:rsid w:val="008E710C"/>
    <w:rsid w:val="008F69D6"/>
    <w:rsid w:val="00902823"/>
    <w:rsid w:val="00915CA6"/>
    <w:rsid w:val="00927834"/>
    <w:rsid w:val="009450CE"/>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95F"/>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2C64"/>
    <w:rsid w:val="00BE62AD"/>
    <w:rsid w:val="00BF121F"/>
    <w:rsid w:val="00BF1F80"/>
    <w:rsid w:val="00C166EF"/>
    <w:rsid w:val="00C17EB0"/>
    <w:rsid w:val="00C27F5F"/>
    <w:rsid w:val="00C30A0F"/>
    <w:rsid w:val="00C36BE6"/>
    <w:rsid w:val="00C37E61"/>
    <w:rsid w:val="00C70F1B"/>
    <w:rsid w:val="00C71A47"/>
    <w:rsid w:val="00C740D0"/>
    <w:rsid w:val="00C7464C"/>
    <w:rsid w:val="00C85588"/>
    <w:rsid w:val="00C93B80"/>
    <w:rsid w:val="00CC7FDA"/>
    <w:rsid w:val="00CD6755"/>
    <w:rsid w:val="00CD6856"/>
    <w:rsid w:val="00CE0089"/>
    <w:rsid w:val="00CE793C"/>
    <w:rsid w:val="00CF193C"/>
    <w:rsid w:val="00D173F1"/>
    <w:rsid w:val="00D2112E"/>
    <w:rsid w:val="00D25D53"/>
    <w:rsid w:val="00D74CB0"/>
    <w:rsid w:val="00D8295D"/>
    <w:rsid w:val="00DA424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1E8"/>
    <w:rsid w:val="00EC6A55"/>
    <w:rsid w:val="00ED0288"/>
    <w:rsid w:val="00ED03D9"/>
    <w:rsid w:val="00EE52CB"/>
    <w:rsid w:val="00EF581D"/>
    <w:rsid w:val="00EF7FD8"/>
    <w:rsid w:val="00F05D85"/>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8FA1A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93B80"/>
    <w:pPr>
      <w:spacing w:after="160" w:line="360" w:lineRule="auto"/>
      <w:ind w:left="720"/>
      <w:contextualSpacing/>
      <w:jc w:val="both"/>
    </w:pPr>
    <w:rPr>
      <w:rFonts w:ascii="Times New Roman" w:eastAsiaTheme="minorHAnsi" w:hAnsi="Times New Roman" w:cstheme="minorBidi"/>
      <w:sz w:val="24"/>
      <w:szCs w:val="22"/>
      <w:lang w:val="fr-FR"/>
    </w:rPr>
  </w:style>
  <w:style w:type="table" w:styleId="PlainTable2">
    <w:name w:val="Plain Table 2"/>
    <w:basedOn w:val="TableNormal"/>
    <w:uiPriority w:val="42"/>
    <w:rsid w:val="009450CE"/>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1B0A7-B580-4237-B826-B23857EB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8</Pages>
  <Words>4087</Words>
  <Characters>23302</Characters>
  <Application>Microsoft Office Word</Application>
  <DocSecurity>0</DocSecurity>
  <Lines>194</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27335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2025-05-26T01:18:00Z</dcterms:created>
  <dcterms:modified xsi:type="dcterms:W3CDTF">2025-05-26T08:30:00Z</dcterms:modified>
</cp:coreProperties>
</file>