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44483C" w14:textId="5B894A94" w:rsidR="0023349A" w:rsidRPr="0023349A" w:rsidRDefault="0023349A" w:rsidP="0023349A">
      <w:pPr>
        <w:pStyle w:val="Author"/>
        <w:spacing w:before="240" w:line="240" w:lineRule="auto"/>
        <w:rPr>
          <w:rFonts w:ascii="Arial" w:hAnsi="Arial" w:cs="Arial"/>
          <w:bCs/>
          <w:iCs/>
          <w:kern w:val="28"/>
          <w:sz w:val="36"/>
        </w:rPr>
      </w:pPr>
      <w:r w:rsidRPr="0023349A">
        <w:rPr>
          <w:rFonts w:ascii="Arial" w:hAnsi="Arial" w:cs="Arial"/>
          <w:bCs/>
          <w:iCs/>
          <w:kern w:val="28"/>
          <w:sz w:val="36"/>
        </w:rPr>
        <w:t xml:space="preserve">Comparative Analysis of Conventional and Non-Linear Growing </w:t>
      </w:r>
      <w:r w:rsidR="00FD4C87" w:rsidRPr="0023349A">
        <w:rPr>
          <w:rFonts w:ascii="Arial" w:hAnsi="Arial" w:cs="Arial"/>
          <w:bCs/>
          <w:iCs/>
          <w:kern w:val="28"/>
          <w:sz w:val="36"/>
        </w:rPr>
        <w:t>Degree Day</w:t>
      </w:r>
      <w:r w:rsidRPr="0023349A">
        <w:rPr>
          <w:rFonts w:ascii="Arial" w:hAnsi="Arial" w:cs="Arial"/>
          <w:bCs/>
          <w:iCs/>
          <w:kern w:val="28"/>
          <w:sz w:val="36"/>
        </w:rPr>
        <w:t xml:space="preserve"> Methods for Wheat Yield Prediction in Punjab, India </w:t>
      </w:r>
    </w:p>
    <w:p w14:paraId="1537F58D" w14:textId="75D5C050" w:rsidR="0023349A" w:rsidRPr="0023349A" w:rsidRDefault="0023349A" w:rsidP="0023349A">
      <w:pPr>
        <w:pStyle w:val="AbstHead"/>
        <w:spacing w:before="240" w:after="0"/>
        <w:jc w:val="both"/>
        <w:rPr>
          <w:rFonts w:ascii="Arial" w:hAnsi="Arial" w:cs="Arial"/>
        </w:rPr>
      </w:pPr>
      <w:r w:rsidRPr="0023349A">
        <w:rPr>
          <w:rFonts w:ascii="Arial" w:hAnsi="Arial" w:cs="Arial"/>
          <w:noProof/>
        </w:rPr>
        <mc:AlternateContent>
          <mc:Choice Requires="wps">
            <w:drawing>
              <wp:inline distT="0" distB="0" distL="0" distR="0" wp14:anchorId="7CCE3A27" wp14:editId="3860FF01">
                <wp:extent cx="5303520" cy="635"/>
                <wp:effectExtent l="11430" t="11430" r="9525" b="17145"/>
                <wp:docPr id="36815421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815A5A1" id="_x0000_t32" coordsize="21600,21600" o:spt="32" o:oned="t" path="m,l21600,21600e" filled="f">
                <v:path arrowok="t" fillok="f" o:connecttype="none"/>
                <o:lock v:ext="edit" shapetype="t"/>
              </v:shapetype>
              <v:shape id="Straight Arrow Connector 1"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Pr="0023349A">
        <w:rPr>
          <w:rFonts w:ascii="Arial" w:hAnsi="Arial" w:cs="Arial"/>
        </w:rPr>
        <w:t xml:space="preserve">ABSTRACT </w:t>
      </w:r>
    </w:p>
    <w:p w14:paraId="1ED3E7D5" w14:textId="77777777" w:rsidR="0023349A" w:rsidRPr="0023349A" w:rsidRDefault="0023349A" w:rsidP="0023349A">
      <w:pPr>
        <w:pStyle w:val="AbstHead"/>
        <w:spacing w:before="240"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3349A" w:rsidRPr="0023349A" w14:paraId="0D9F6D14" w14:textId="77777777" w:rsidTr="00D234A5">
        <w:tc>
          <w:tcPr>
            <w:tcW w:w="9576" w:type="dxa"/>
            <w:shd w:val="clear" w:color="auto" w:fill="F2F2F2"/>
          </w:tcPr>
          <w:p w14:paraId="1D0996F6" w14:textId="77777777" w:rsidR="0023349A" w:rsidRPr="0023349A" w:rsidRDefault="0023349A" w:rsidP="00FD4C87">
            <w:pPr>
              <w:pStyle w:val="Body"/>
              <w:spacing w:after="0"/>
              <w:rPr>
                <w:rFonts w:ascii="Arial" w:eastAsia="Calibri" w:hAnsi="Arial" w:cs="Arial"/>
                <w:szCs w:val="22"/>
              </w:rPr>
            </w:pPr>
            <w:r w:rsidRPr="0023349A">
              <w:rPr>
                <w:rFonts w:ascii="Arial" w:eastAsia="Calibri" w:hAnsi="Arial" w:cs="Arial"/>
                <w:b/>
                <w:szCs w:val="22"/>
              </w:rPr>
              <w:t xml:space="preserve">Aims: </w:t>
            </w:r>
            <w:r w:rsidRPr="0023349A">
              <w:rPr>
                <w:rFonts w:ascii="Arial" w:eastAsia="Calibri" w:hAnsi="Arial" w:cs="Arial"/>
                <w:szCs w:val="22"/>
              </w:rPr>
              <w:t>To evaluate the accuracy and reliability of three Growing Degree Day (GDD) calculation methods—linear (Method 1), improved linear (Method 2), and cosine-wave (Method 3)—for predicting wheat phenological stages and yield in Punjab, India, to optimize agricultural practices in semi-ar</w:t>
            </w:r>
            <w:bookmarkStart w:id="0" w:name="_GoBack"/>
            <w:bookmarkEnd w:id="0"/>
            <w:r w:rsidRPr="0023349A">
              <w:rPr>
                <w:rFonts w:ascii="Arial" w:eastAsia="Calibri" w:hAnsi="Arial" w:cs="Arial"/>
                <w:szCs w:val="22"/>
              </w:rPr>
              <w:t>id regions.</w:t>
            </w:r>
          </w:p>
          <w:p w14:paraId="13F1112B" w14:textId="77777777" w:rsidR="0023349A" w:rsidRPr="0023349A" w:rsidRDefault="0023349A" w:rsidP="00FD4C87">
            <w:pPr>
              <w:pStyle w:val="Body"/>
              <w:spacing w:after="0"/>
              <w:rPr>
                <w:rFonts w:ascii="Arial" w:eastAsia="Calibri" w:hAnsi="Arial" w:cs="Arial"/>
                <w:szCs w:val="22"/>
              </w:rPr>
            </w:pPr>
            <w:r w:rsidRPr="0023349A">
              <w:rPr>
                <w:rFonts w:ascii="Arial" w:eastAsia="Calibri" w:hAnsi="Arial" w:cs="Arial"/>
                <w:b/>
                <w:szCs w:val="22"/>
              </w:rPr>
              <w:t>Study design:</w:t>
            </w:r>
            <w:r w:rsidRPr="0023349A">
              <w:rPr>
                <w:rFonts w:ascii="Arial" w:eastAsia="Calibri" w:hAnsi="Arial" w:cs="Arial"/>
                <w:szCs w:val="22"/>
              </w:rPr>
              <w:t xml:space="preserve">  Comparative field-based experimental study.</w:t>
            </w:r>
          </w:p>
          <w:p w14:paraId="222C6222" w14:textId="77777777" w:rsidR="0023349A" w:rsidRPr="0023349A" w:rsidRDefault="0023349A" w:rsidP="00FD4C87">
            <w:pPr>
              <w:pStyle w:val="Body"/>
              <w:spacing w:after="0"/>
              <w:rPr>
                <w:rFonts w:ascii="Arial" w:eastAsia="Calibri" w:hAnsi="Arial" w:cs="Arial"/>
                <w:szCs w:val="22"/>
              </w:rPr>
            </w:pPr>
            <w:r w:rsidRPr="0023349A">
              <w:rPr>
                <w:rFonts w:ascii="Arial" w:eastAsia="Calibri" w:hAnsi="Arial" w:cs="Arial"/>
                <w:b/>
                <w:szCs w:val="22"/>
              </w:rPr>
              <w:t>Place and Duration of Study:</w:t>
            </w:r>
            <w:r w:rsidRPr="0023349A">
              <w:rPr>
                <w:rFonts w:ascii="Arial" w:eastAsia="Calibri" w:hAnsi="Arial" w:cs="Arial"/>
                <w:szCs w:val="22"/>
              </w:rPr>
              <w:t xml:space="preserve"> Research Farms of Punjab Agricultural University, Ludhiana; Research Station, Faridkot, and Research Station, </w:t>
            </w:r>
            <w:proofErr w:type="spellStart"/>
            <w:r w:rsidRPr="0023349A">
              <w:rPr>
                <w:rFonts w:ascii="Arial" w:eastAsia="Calibri" w:hAnsi="Arial" w:cs="Arial"/>
                <w:szCs w:val="22"/>
              </w:rPr>
              <w:t>ballowal</w:t>
            </w:r>
            <w:proofErr w:type="spellEnd"/>
            <w:r w:rsidRPr="0023349A">
              <w:rPr>
                <w:rFonts w:ascii="Arial" w:eastAsia="Calibri" w:hAnsi="Arial" w:cs="Arial"/>
                <w:szCs w:val="22"/>
              </w:rPr>
              <w:t xml:space="preserve"> </w:t>
            </w:r>
            <w:proofErr w:type="spellStart"/>
            <w:r w:rsidRPr="0023349A">
              <w:rPr>
                <w:rFonts w:ascii="Arial" w:eastAsia="Calibri" w:hAnsi="Arial" w:cs="Arial"/>
                <w:szCs w:val="22"/>
              </w:rPr>
              <w:t>Saunkhri</w:t>
            </w:r>
            <w:proofErr w:type="spellEnd"/>
            <w:r w:rsidRPr="0023349A">
              <w:rPr>
                <w:rFonts w:ascii="Arial" w:eastAsia="Calibri" w:hAnsi="Arial" w:cs="Arial"/>
                <w:szCs w:val="22"/>
              </w:rPr>
              <w:t>.</w:t>
            </w:r>
          </w:p>
          <w:p w14:paraId="1BBD7F15" w14:textId="77777777" w:rsidR="0023349A" w:rsidRPr="0023349A" w:rsidRDefault="0023349A" w:rsidP="00FD4C87">
            <w:pPr>
              <w:pStyle w:val="Body"/>
              <w:spacing w:after="0"/>
              <w:rPr>
                <w:rFonts w:ascii="Arial" w:eastAsia="Calibri" w:hAnsi="Arial" w:cs="Arial"/>
                <w:szCs w:val="22"/>
              </w:rPr>
            </w:pPr>
            <w:r w:rsidRPr="0023349A">
              <w:rPr>
                <w:rFonts w:ascii="Arial" w:eastAsia="Calibri" w:hAnsi="Arial" w:cs="Arial"/>
                <w:b/>
                <w:bCs/>
                <w:szCs w:val="22"/>
              </w:rPr>
              <w:t>Methodology:</w:t>
            </w:r>
            <w:r w:rsidRPr="0023349A">
              <w:rPr>
                <w:rFonts w:ascii="Arial" w:eastAsia="Calibri" w:hAnsi="Arial" w:cs="Arial"/>
                <w:szCs w:val="22"/>
              </w:rPr>
              <w:t xml:space="preserve"> Field experiments involved the wheat variety Unnat PBW 550, planted on November 15th at three locations. Weather data from Agrometeorological Observatories were used to calculate GDD using three methods. Phenological stages were observed, and GDD was computed for each method. Model performance was assessed using the coefficient of variation (CV), Willmott’s refined index of agreement (dr), and logistic modeling of dry matter accumulation (R² and RMSE).</w:t>
            </w:r>
          </w:p>
          <w:p w14:paraId="4FC0FC1B" w14:textId="77777777" w:rsidR="0023349A" w:rsidRPr="0023349A" w:rsidRDefault="0023349A" w:rsidP="00FD4C87">
            <w:pPr>
              <w:pStyle w:val="Body"/>
              <w:spacing w:after="0"/>
              <w:rPr>
                <w:rFonts w:ascii="Arial" w:eastAsia="Calibri" w:hAnsi="Arial" w:cs="Arial"/>
                <w:b/>
                <w:bCs/>
                <w:szCs w:val="22"/>
              </w:rPr>
            </w:pPr>
            <w:r w:rsidRPr="0023349A">
              <w:rPr>
                <w:rFonts w:ascii="Arial" w:eastAsia="Calibri" w:hAnsi="Arial" w:cs="Arial"/>
                <w:b/>
                <w:bCs/>
                <w:szCs w:val="22"/>
              </w:rPr>
              <w:t>Results:</w:t>
            </w:r>
            <w:r w:rsidRPr="0023349A">
              <w:rPr>
                <w:rFonts w:ascii="Arial" w:eastAsia="Calibri" w:hAnsi="Arial" w:cs="Arial"/>
                <w:szCs w:val="22"/>
              </w:rPr>
              <w:t xml:space="preserve"> GDD for maturity at </w:t>
            </w:r>
            <w:proofErr w:type="spellStart"/>
            <w:r w:rsidRPr="0023349A">
              <w:rPr>
                <w:rFonts w:ascii="Arial" w:eastAsia="Calibri" w:hAnsi="Arial" w:cs="Arial"/>
                <w:szCs w:val="22"/>
              </w:rPr>
              <w:t>Ballowal</w:t>
            </w:r>
            <w:proofErr w:type="spellEnd"/>
            <w:r w:rsidRPr="0023349A">
              <w:rPr>
                <w:rFonts w:ascii="Arial" w:eastAsia="Calibri" w:hAnsi="Arial" w:cs="Arial"/>
                <w:szCs w:val="22"/>
              </w:rPr>
              <w:t xml:space="preserve"> </w:t>
            </w:r>
            <w:proofErr w:type="spellStart"/>
            <w:r w:rsidRPr="0023349A">
              <w:rPr>
                <w:rFonts w:ascii="Arial" w:eastAsia="Calibri" w:hAnsi="Arial" w:cs="Arial"/>
                <w:szCs w:val="22"/>
              </w:rPr>
              <w:t>Saunkhri</w:t>
            </w:r>
            <w:proofErr w:type="spellEnd"/>
            <w:r w:rsidRPr="0023349A">
              <w:rPr>
                <w:rFonts w:ascii="Arial" w:eastAsia="Calibri" w:hAnsi="Arial" w:cs="Arial"/>
                <w:szCs w:val="22"/>
              </w:rPr>
              <w:t xml:space="preserve"> was 1880.8 ± 34 °C (Method 1), 1710.65 ± 34 °C (Method 2), and 1618 ± 38 °C (Method 3). Method 3 showed the lowest CV (3.5% for tillering) and highest dr (0.98 in 2020 at </w:t>
            </w:r>
            <w:proofErr w:type="spellStart"/>
            <w:r w:rsidRPr="0023349A">
              <w:rPr>
                <w:rFonts w:ascii="Arial" w:eastAsia="Calibri" w:hAnsi="Arial" w:cs="Arial"/>
                <w:szCs w:val="22"/>
              </w:rPr>
              <w:t>Ballowal</w:t>
            </w:r>
            <w:proofErr w:type="spellEnd"/>
            <w:r w:rsidRPr="0023349A">
              <w:rPr>
                <w:rFonts w:ascii="Arial" w:eastAsia="Calibri" w:hAnsi="Arial" w:cs="Arial"/>
                <w:szCs w:val="22"/>
              </w:rPr>
              <w:t xml:space="preserve"> </w:t>
            </w:r>
            <w:proofErr w:type="spellStart"/>
            <w:r w:rsidRPr="0023349A">
              <w:rPr>
                <w:rFonts w:ascii="Arial" w:eastAsia="Calibri" w:hAnsi="Arial" w:cs="Arial"/>
                <w:szCs w:val="22"/>
              </w:rPr>
              <w:t>Saunkhri</w:t>
            </w:r>
            <w:proofErr w:type="spellEnd"/>
            <w:r w:rsidRPr="0023349A">
              <w:rPr>
                <w:rFonts w:ascii="Arial" w:eastAsia="Calibri" w:hAnsi="Arial" w:cs="Arial"/>
                <w:szCs w:val="22"/>
              </w:rPr>
              <w:t xml:space="preserve">). Logistic modeling indicated Method 3’s superior accuracy (R² = 0.989, RMSE = 0.039 at </w:t>
            </w:r>
            <w:proofErr w:type="spellStart"/>
            <w:r w:rsidRPr="0023349A">
              <w:rPr>
                <w:rFonts w:ascii="Arial" w:eastAsia="Calibri" w:hAnsi="Arial" w:cs="Arial"/>
                <w:szCs w:val="22"/>
              </w:rPr>
              <w:t>Ballowal</w:t>
            </w:r>
            <w:proofErr w:type="spellEnd"/>
            <w:r w:rsidRPr="0023349A">
              <w:rPr>
                <w:rFonts w:ascii="Arial" w:eastAsia="Calibri" w:hAnsi="Arial" w:cs="Arial"/>
                <w:szCs w:val="22"/>
              </w:rPr>
              <w:t xml:space="preserve"> </w:t>
            </w:r>
            <w:proofErr w:type="spellStart"/>
            <w:r w:rsidRPr="0023349A">
              <w:rPr>
                <w:rFonts w:ascii="Arial" w:eastAsia="Calibri" w:hAnsi="Arial" w:cs="Arial"/>
                <w:szCs w:val="22"/>
              </w:rPr>
              <w:t>Saunkhri</w:t>
            </w:r>
            <w:proofErr w:type="spellEnd"/>
            <w:r w:rsidRPr="0023349A">
              <w:rPr>
                <w:rFonts w:ascii="Arial" w:eastAsia="Calibri" w:hAnsi="Arial" w:cs="Arial"/>
                <w:szCs w:val="22"/>
              </w:rPr>
              <w:t>) compared to Method 1 (R² = 0.982, RMSE = 0.047) and Method 2 (R² = 0.970, RMSE = 0.062).</w:t>
            </w:r>
          </w:p>
          <w:p w14:paraId="3994697B" w14:textId="77777777" w:rsidR="0023349A" w:rsidRPr="0023349A" w:rsidRDefault="0023349A" w:rsidP="00FD4C87">
            <w:pPr>
              <w:pStyle w:val="Body"/>
              <w:spacing w:after="0"/>
              <w:rPr>
                <w:rFonts w:ascii="Arial" w:eastAsia="Calibri" w:hAnsi="Arial" w:cs="Arial"/>
                <w:szCs w:val="22"/>
              </w:rPr>
            </w:pPr>
            <w:r w:rsidRPr="0023349A">
              <w:rPr>
                <w:rFonts w:ascii="Arial" w:eastAsia="Calibri" w:hAnsi="Arial" w:cs="Arial"/>
                <w:b/>
                <w:bCs/>
                <w:szCs w:val="22"/>
              </w:rPr>
              <w:t>Conclusion:</w:t>
            </w:r>
            <w:r w:rsidRPr="0023349A">
              <w:rPr>
                <w:rFonts w:ascii="Arial" w:eastAsia="Calibri" w:hAnsi="Arial" w:cs="Arial"/>
                <w:szCs w:val="22"/>
              </w:rPr>
              <w:t xml:space="preserve"> The cosine-wave method (Method 3) offers superior precision for GDD estimation, enhancing wheat yield predictions and resource management in semi-arid regions. Further validation across diverse crops and climates is recommended.</w:t>
            </w:r>
          </w:p>
        </w:tc>
      </w:tr>
    </w:tbl>
    <w:p w14:paraId="38284021" w14:textId="77777777" w:rsidR="0023349A" w:rsidRPr="0023349A" w:rsidRDefault="0023349A" w:rsidP="0023349A">
      <w:pPr>
        <w:pStyle w:val="Body"/>
        <w:spacing w:before="240" w:after="0"/>
        <w:rPr>
          <w:rFonts w:ascii="Arial" w:hAnsi="Arial" w:cs="Arial"/>
          <w:i/>
        </w:rPr>
      </w:pPr>
    </w:p>
    <w:p w14:paraId="7B30FDBD" w14:textId="77777777" w:rsidR="0023349A" w:rsidRPr="0023349A" w:rsidRDefault="0023349A" w:rsidP="0023349A">
      <w:pPr>
        <w:pStyle w:val="Body"/>
        <w:spacing w:before="240" w:after="0"/>
        <w:rPr>
          <w:rFonts w:ascii="Arial" w:hAnsi="Arial" w:cs="Arial"/>
          <w:i/>
        </w:rPr>
      </w:pPr>
      <w:r w:rsidRPr="0023349A">
        <w:rPr>
          <w:rFonts w:ascii="Arial" w:hAnsi="Arial" w:cs="Arial"/>
          <w:i/>
        </w:rPr>
        <w:t>Keywords: GDD, Cosine-wave, Phenological Modeling, Wheat, Index of Agreement</w:t>
      </w:r>
    </w:p>
    <w:p w14:paraId="0B4087F2" w14:textId="21832E01" w:rsidR="0023349A" w:rsidRPr="0023349A" w:rsidRDefault="0023349A" w:rsidP="0023349A">
      <w:pPr>
        <w:pStyle w:val="Copyright"/>
        <w:spacing w:before="240" w:after="0" w:line="240" w:lineRule="auto"/>
        <w:jc w:val="both"/>
        <w:rPr>
          <w:rFonts w:ascii="Arial" w:hAnsi="Arial" w:cs="Arial"/>
        </w:rPr>
        <w:sectPr w:rsidR="0023349A" w:rsidRPr="0023349A" w:rsidSect="000A2443">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2016" w:bottom="2016" w:left="2016" w:header="720" w:footer="1296" w:gutter="0"/>
          <w:cols w:space="720"/>
          <w:docGrid w:linePitch="272"/>
        </w:sectPr>
      </w:pPr>
    </w:p>
    <w:p w14:paraId="4E05E4C3" w14:textId="44E07012" w:rsidR="0023349A" w:rsidRPr="0023349A" w:rsidRDefault="0023349A" w:rsidP="0023349A">
      <w:pPr>
        <w:pStyle w:val="AbstHead"/>
        <w:spacing w:before="240" w:after="0"/>
        <w:jc w:val="both"/>
        <w:rPr>
          <w:rFonts w:ascii="Arial" w:hAnsi="Arial" w:cs="Arial"/>
        </w:rPr>
      </w:pPr>
      <w:r w:rsidRPr="0023349A">
        <w:rPr>
          <w:rFonts w:ascii="Arial" w:hAnsi="Arial" w:cs="Arial"/>
        </w:rPr>
        <w:lastRenderedPageBreak/>
        <w:t xml:space="preserve">1. INTRODUCTION </w:t>
      </w:r>
    </w:p>
    <w:p w14:paraId="71B8DFBD" w14:textId="04F7A6ED" w:rsidR="0023349A" w:rsidRPr="0023349A" w:rsidRDefault="0023349A" w:rsidP="0023349A">
      <w:pPr>
        <w:spacing w:before="240"/>
        <w:ind w:firstLine="720"/>
        <w:jc w:val="both"/>
        <w:rPr>
          <w:rFonts w:ascii="Arial" w:hAnsi="Arial" w:cs="Arial"/>
        </w:rPr>
      </w:pPr>
      <w:r w:rsidRPr="0023349A">
        <w:rPr>
          <w:rFonts w:ascii="Arial" w:hAnsi="Arial" w:cs="Arial"/>
        </w:rPr>
        <w:t xml:space="preserve">Accurate estimation of Growing Degree Days (GDD) is pivotal for understanding crop phenology, optimizing agricultural management practices, and improving yield predictions. GDD serves as a thermal index that quantifies heat accumulation over a specified baseline temperature, which is vital for crop development stages such as germination, flowering, and maturation </w:t>
      </w:r>
      <w:r>
        <w:rPr>
          <w:rFonts w:ascii="Arial" w:hAnsi="Arial" w:cs="Arial"/>
        </w:rPr>
        <w:t>[1]</w:t>
      </w:r>
      <w:r w:rsidRPr="0023349A">
        <w:rPr>
          <w:rFonts w:ascii="Arial" w:hAnsi="Arial" w:cs="Arial"/>
        </w:rPr>
        <w:t xml:space="preserve">. In recent decades, GDD has emerged as a critical tool in agronomic research, aiding in the development of crop simulation models and decision support systems </w:t>
      </w:r>
      <w:r>
        <w:rPr>
          <w:rFonts w:ascii="Arial" w:hAnsi="Arial" w:cs="Arial"/>
        </w:rPr>
        <w:t>[2], [3].</w:t>
      </w:r>
    </w:p>
    <w:p w14:paraId="5C6C594F" w14:textId="428AAE5B" w:rsidR="0023349A" w:rsidRPr="0023349A" w:rsidRDefault="0023349A" w:rsidP="0023349A">
      <w:pPr>
        <w:spacing w:before="240"/>
        <w:ind w:firstLine="720"/>
        <w:jc w:val="both"/>
        <w:rPr>
          <w:rFonts w:ascii="Arial" w:hAnsi="Arial" w:cs="Arial"/>
        </w:rPr>
      </w:pPr>
      <w:r w:rsidRPr="0023349A">
        <w:rPr>
          <w:rFonts w:ascii="Arial" w:hAnsi="Arial" w:cs="Arial"/>
        </w:rPr>
        <w:t>Traditional methods for calculating GDD involve simple linear models that assume a constant accumulation of heat above a defined base temperature. Despite their widespread use due to simplicity and minimal data requirements, these methods may oversimplify thermal dynamics and fail to account for daily temperature fluctuations</w:t>
      </w:r>
      <w:r>
        <w:rPr>
          <w:rFonts w:ascii="Arial" w:hAnsi="Arial" w:cs="Arial"/>
        </w:rPr>
        <w:t xml:space="preserve"> [4]</w:t>
      </w:r>
      <w:r w:rsidRPr="0023349A">
        <w:rPr>
          <w:rFonts w:ascii="Arial" w:hAnsi="Arial" w:cs="Arial"/>
        </w:rPr>
        <w:t>. Improved traditional methods address some of these limitations by incorporating adjustments for diurnal temperature variations and extreme weather conditions</w:t>
      </w:r>
      <w:r>
        <w:rPr>
          <w:rFonts w:ascii="Arial" w:hAnsi="Arial" w:cs="Arial"/>
        </w:rPr>
        <w:t xml:space="preserve"> [5]</w:t>
      </w:r>
      <w:r w:rsidRPr="0023349A">
        <w:rPr>
          <w:rFonts w:ascii="Arial" w:hAnsi="Arial" w:cs="Arial"/>
        </w:rPr>
        <w:t>. However, recent advancements in computational techniques have led to the adoption of the sine wave method, which provides a more refined estimation of GDD by modeling daily temperature variations as a sine curve</w:t>
      </w:r>
      <w:r>
        <w:rPr>
          <w:rFonts w:ascii="Arial" w:hAnsi="Arial" w:cs="Arial"/>
        </w:rPr>
        <w:t xml:space="preserve"> [6] [7]</w:t>
      </w:r>
      <w:r w:rsidRPr="0023349A">
        <w:rPr>
          <w:rFonts w:ascii="Arial" w:hAnsi="Arial" w:cs="Arial"/>
        </w:rPr>
        <w:t>.</w:t>
      </w:r>
    </w:p>
    <w:p w14:paraId="43AB0B15" w14:textId="1EA2BC97" w:rsidR="0023349A" w:rsidRPr="0023349A" w:rsidRDefault="0023349A" w:rsidP="0023349A">
      <w:pPr>
        <w:spacing w:before="240"/>
        <w:ind w:firstLine="720"/>
        <w:jc w:val="both"/>
        <w:rPr>
          <w:rFonts w:ascii="Arial" w:hAnsi="Arial" w:cs="Arial"/>
        </w:rPr>
      </w:pPr>
      <w:r w:rsidRPr="0023349A">
        <w:rPr>
          <w:rFonts w:ascii="Arial" w:hAnsi="Arial" w:cs="Arial"/>
        </w:rPr>
        <w:t>Punjab, a major wheat-producing region of India, presents a unique context for evaluating these methods. The state’s semi-arid climate, characterized by significant diurnal temperature variations and distinct cropping seasons, necessitates precise thermal indices to ensure optimal crop management. While several studies have evaluated GDD estimation techniques in temperate and subtropical climates</w:t>
      </w:r>
      <w:r>
        <w:rPr>
          <w:rFonts w:ascii="Arial" w:hAnsi="Arial" w:cs="Arial"/>
        </w:rPr>
        <w:t xml:space="preserve"> [8], [9], [10]</w:t>
      </w:r>
      <w:r w:rsidRPr="0023349A">
        <w:rPr>
          <w:rFonts w:ascii="Arial" w:hAnsi="Arial" w:cs="Arial"/>
        </w:rPr>
        <w:t>, limited research has focused on the applicability of these methods in the context of Punjab’s agricultural ecosystem. This research seeks to fill this gap by systematically comparing the traditional, improved traditional, and sine wave methods for calculating GDD for wheat crops in Punjab.</w:t>
      </w:r>
    </w:p>
    <w:p w14:paraId="13D5073D" w14:textId="77777777" w:rsidR="0023349A" w:rsidRPr="0023349A" w:rsidRDefault="0023349A" w:rsidP="0023349A">
      <w:pPr>
        <w:pStyle w:val="Body"/>
        <w:spacing w:before="240" w:after="0"/>
        <w:ind w:firstLine="720"/>
        <w:rPr>
          <w:rFonts w:ascii="Arial" w:hAnsi="Arial" w:cs="Arial"/>
        </w:rPr>
      </w:pPr>
      <w:r w:rsidRPr="0023349A">
        <w:rPr>
          <w:rFonts w:ascii="Arial" w:hAnsi="Arial" w:cs="Arial"/>
        </w:rPr>
        <w:t xml:space="preserve">The research aims to identify the most suitable GDD estimation technique for Punjab by evaluating the accuracy and reliability of these methods against observed wheat phenological stages and yields. Furthermore, the findings are expected to contribute to a deeper understanding of temperature-driven crop dynamics and inform agricultural policy and practice in similar </w:t>
      </w:r>
      <w:proofErr w:type="spellStart"/>
      <w:r w:rsidRPr="0023349A">
        <w:rPr>
          <w:rFonts w:ascii="Arial" w:hAnsi="Arial" w:cs="Arial"/>
        </w:rPr>
        <w:t>agro</w:t>
      </w:r>
      <w:proofErr w:type="spellEnd"/>
      <w:r w:rsidRPr="0023349A">
        <w:rPr>
          <w:rFonts w:ascii="Arial" w:hAnsi="Arial" w:cs="Arial"/>
        </w:rPr>
        <w:t>-climatic regions.</w:t>
      </w:r>
    </w:p>
    <w:p w14:paraId="7EEC9BD0" w14:textId="77777777" w:rsidR="0023349A" w:rsidRPr="0023349A" w:rsidRDefault="0023349A" w:rsidP="0023349A">
      <w:pPr>
        <w:pStyle w:val="AbstHead"/>
        <w:spacing w:before="240" w:after="0"/>
        <w:jc w:val="both"/>
        <w:rPr>
          <w:rFonts w:ascii="Arial" w:hAnsi="Arial" w:cs="Arial"/>
        </w:rPr>
      </w:pPr>
      <w:r w:rsidRPr="0023349A">
        <w:rPr>
          <w:rFonts w:ascii="Arial" w:hAnsi="Arial" w:cs="Arial"/>
        </w:rPr>
        <w:t xml:space="preserve">2. material and methods </w:t>
      </w:r>
    </w:p>
    <w:p w14:paraId="05451216" w14:textId="77777777" w:rsidR="0023349A" w:rsidRPr="0023349A" w:rsidRDefault="0023349A" w:rsidP="0023349A">
      <w:pPr>
        <w:spacing w:before="240"/>
        <w:jc w:val="both"/>
        <w:rPr>
          <w:rFonts w:ascii="Arial" w:hAnsi="Arial" w:cs="Arial"/>
          <w:lang w:eastAsia="en-GB"/>
        </w:rPr>
      </w:pPr>
      <w:r w:rsidRPr="0023349A">
        <w:rPr>
          <w:rFonts w:ascii="Arial" w:hAnsi="Arial" w:cs="Arial"/>
          <w:lang w:eastAsia="en-GB"/>
        </w:rPr>
        <w:t xml:space="preserve">Field experiments were conducted at three distinct locations: the Punjab Agricultural University Farm in Ludhiana, the Research Station in Faridkot, and </w:t>
      </w:r>
      <w:proofErr w:type="spellStart"/>
      <w:r w:rsidRPr="0023349A">
        <w:rPr>
          <w:rFonts w:ascii="Arial" w:hAnsi="Arial" w:cs="Arial"/>
          <w:lang w:eastAsia="en-GB"/>
        </w:rPr>
        <w:t>Ballowal</w:t>
      </w:r>
      <w:proofErr w:type="spellEnd"/>
      <w:r w:rsidRPr="0023349A">
        <w:rPr>
          <w:rFonts w:ascii="Arial" w:hAnsi="Arial" w:cs="Arial"/>
          <w:lang w:eastAsia="en-GB"/>
        </w:rPr>
        <w:t xml:space="preserve"> </w:t>
      </w:r>
      <w:proofErr w:type="spellStart"/>
      <w:r w:rsidRPr="0023349A">
        <w:rPr>
          <w:rFonts w:ascii="Arial" w:hAnsi="Arial" w:cs="Arial"/>
          <w:lang w:eastAsia="en-GB"/>
        </w:rPr>
        <w:t>Saunkhri</w:t>
      </w:r>
      <w:proofErr w:type="spellEnd"/>
      <w:r w:rsidRPr="0023349A">
        <w:rPr>
          <w:rFonts w:ascii="Arial" w:hAnsi="Arial" w:cs="Arial"/>
          <w:lang w:eastAsia="en-GB"/>
        </w:rPr>
        <w:t xml:space="preserve">. These sites were chosen to reflect the diverse </w:t>
      </w:r>
      <w:proofErr w:type="spellStart"/>
      <w:r w:rsidRPr="0023349A">
        <w:rPr>
          <w:rFonts w:ascii="Arial" w:hAnsi="Arial" w:cs="Arial"/>
          <w:lang w:eastAsia="en-GB"/>
        </w:rPr>
        <w:t>agro</w:t>
      </w:r>
      <w:proofErr w:type="spellEnd"/>
      <w:r w:rsidRPr="0023349A">
        <w:rPr>
          <w:rFonts w:ascii="Arial" w:hAnsi="Arial" w:cs="Arial"/>
          <w:lang w:eastAsia="en-GB"/>
        </w:rPr>
        <w:t>-climatic conditions found across Punjab. The wheat variety Unnat PBW 550, planted on November 15th, was used for the study.</w:t>
      </w:r>
    </w:p>
    <w:p w14:paraId="45D3942F" w14:textId="77777777" w:rsidR="0023349A" w:rsidRPr="0023349A" w:rsidRDefault="0023349A" w:rsidP="0023349A">
      <w:pPr>
        <w:spacing w:before="240"/>
        <w:jc w:val="both"/>
        <w:rPr>
          <w:rFonts w:ascii="Arial" w:hAnsi="Arial" w:cs="Arial"/>
          <w:lang w:eastAsia="en-GB"/>
        </w:rPr>
      </w:pPr>
      <w:r w:rsidRPr="0023349A">
        <w:rPr>
          <w:rFonts w:ascii="Arial" w:hAnsi="Arial" w:cs="Arial"/>
          <w:lang w:eastAsia="en-GB"/>
        </w:rPr>
        <w:t xml:space="preserve">Weather data for the rabi seasons spanning 2017-18 to 2021-22 was collected from the Agrometeorological Observatories at each experimental site. This data was then used to calculate agroclimatic indices, including Growing Degree Days (GDD) at critical </w:t>
      </w:r>
      <w:proofErr w:type="spellStart"/>
      <w:r w:rsidRPr="0023349A">
        <w:rPr>
          <w:rFonts w:ascii="Arial" w:hAnsi="Arial" w:cs="Arial"/>
          <w:lang w:eastAsia="en-GB"/>
        </w:rPr>
        <w:t>phenophases</w:t>
      </w:r>
      <w:proofErr w:type="spellEnd"/>
      <w:r w:rsidRPr="0023349A">
        <w:rPr>
          <w:rFonts w:ascii="Arial" w:hAnsi="Arial" w:cs="Arial"/>
          <w:lang w:eastAsia="en-GB"/>
        </w:rPr>
        <w:t>.</w:t>
      </w:r>
    </w:p>
    <w:p w14:paraId="60E89FC5" w14:textId="77777777" w:rsidR="0023349A" w:rsidRPr="0023349A" w:rsidRDefault="0023349A" w:rsidP="0023349A">
      <w:pPr>
        <w:spacing w:before="240"/>
        <w:jc w:val="both"/>
        <w:rPr>
          <w:rFonts w:ascii="Arial" w:hAnsi="Arial" w:cs="Arial"/>
          <w:b/>
          <w:bCs/>
          <w:sz w:val="22"/>
          <w:szCs w:val="22"/>
        </w:rPr>
      </w:pPr>
      <w:r w:rsidRPr="0023349A">
        <w:rPr>
          <w:rFonts w:ascii="Arial" w:hAnsi="Arial" w:cs="Arial"/>
          <w:b/>
          <w:bCs/>
          <w:sz w:val="22"/>
          <w:szCs w:val="22"/>
        </w:rPr>
        <w:t>2.1 Methods for GDD calculation</w:t>
      </w:r>
    </w:p>
    <w:p w14:paraId="57463A75" w14:textId="3E3B1F87" w:rsidR="0023349A" w:rsidRPr="0023349A" w:rsidRDefault="0023349A" w:rsidP="0023349A">
      <w:pPr>
        <w:spacing w:before="240"/>
        <w:jc w:val="both"/>
        <w:rPr>
          <w:rFonts w:ascii="Arial" w:hAnsi="Arial" w:cs="Arial"/>
        </w:rPr>
      </w:pPr>
      <w:r w:rsidRPr="0023349A">
        <w:rPr>
          <w:rFonts w:ascii="Arial" w:hAnsi="Arial" w:cs="Arial"/>
          <w:b/>
          <w:bCs/>
        </w:rPr>
        <w:t xml:space="preserve">Present widely used methods. </w:t>
      </w:r>
      <w:r>
        <w:rPr>
          <w:rFonts w:ascii="Arial" w:hAnsi="Arial" w:cs="Arial"/>
        </w:rPr>
        <w:t>[1]</w:t>
      </w:r>
      <w:r w:rsidRPr="0023349A">
        <w:rPr>
          <w:rFonts w:ascii="Arial" w:hAnsi="Arial" w:cs="Arial"/>
        </w:rPr>
        <w:t xml:space="preserve"> proposed two methods for calculating degree days (DD) (Methods 1 and 2) needed for calculating growing degree days (GDD), and both methods have been widely used in recent studies. Method 1, which is simpler than Method 2, calculates DD as:</w:t>
      </w:r>
    </w:p>
    <w:p w14:paraId="3C3D77F1" w14:textId="77777777" w:rsidR="0023349A" w:rsidRPr="0023349A" w:rsidRDefault="0023349A" w:rsidP="0023349A">
      <w:pPr>
        <w:spacing w:before="240"/>
        <w:jc w:val="center"/>
        <w:rPr>
          <w:rFonts w:ascii="Arial" w:hAnsi="Arial" w:cs="Arial"/>
          <w:vertAlign w:val="subscript"/>
        </w:rPr>
      </w:pPr>
      <w:r w:rsidRPr="0023349A">
        <w:rPr>
          <w:rFonts w:ascii="Arial" w:hAnsi="Arial" w:cs="Arial"/>
        </w:rPr>
        <w:t xml:space="preserve">DD = </w:t>
      </w:r>
      <w:proofErr w:type="spellStart"/>
      <w:r w:rsidRPr="0023349A">
        <w:rPr>
          <w:rFonts w:ascii="Arial" w:hAnsi="Arial" w:cs="Arial"/>
        </w:rPr>
        <w:t>T</w:t>
      </w:r>
      <w:r w:rsidRPr="0023349A">
        <w:rPr>
          <w:rFonts w:ascii="Arial" w:hAnsi="Arial" w:cs="Arial"/>
          <w:vertAlign w:val="subscript"/>
        </w:rPr>
        <w:t>av</w:t>
      </w:r>
      <w:proofErr w:type="spellEnd"/>
      <w:r w:rsidRPr="0023349A">
        <w:rPr>
          <w:rFonts w:ascii="Arial" w:hAnsi="Arial" w:cs="Arial"/>
        </w:rPr>
        <w:t>-T</w:t>
      </w:r>
      <w:r w:rsidRPr="0023349A">
        <w:rPr>
          <w:rFonts w:ascii="Arial" w:hAnsi="Arial" w:cs="Arial"/>
          <w:vertAlign w:val="subscript"/>
        </w:rPr>
        <w:t>b</w:t>
      </w:r>
    </w:p>
    <w:p w14:paraId="1D2F1F6F" w14:textId="77777777" w:rsidR="0023349A" w:rsidRPr="0023349A" w:rsidRDefault="0023349A" w:rsidP="0023349A">
      <w:pPr>
        <w:spacing w:before="240"/>
        <w:jc w:val="center"/>
        <w:rPr>
          <w:rFonts w:ascii="Arial" w:hAnsi="Arial" w:cs="Arial"/>
        </w:rPr>
      </w:pPr>
      <w:proofErr w:type="spellStart"/>
      <w:r w:rsidRPr="0023349A">
        <w:rPr>
          <w:rFonts w:ascii="Arial" w:hAnsi="Arial" w:cs="Arial"/>
        </w:rPr>
        <w:t>T</w:t>
      </w:r>
      <w:r w:rsidRPr="0023349A">
        <w:rPr>
          <w:rFonts w:ascii="Arial" w:hAnsi="Arial" w:cs="Arial"/>
          <w:vertAlign w:val="subscript"/>
        </w:rPr>
        <w:t>av</w:t>
      </w:r>
      <w:proofErr w:type="spellEnd"/>
      <w:r w:rsidRPr="0023349A">
        <w:rPr>
          <w:rFonts w:ascii="Arial" w:hAnsi="Arial" w:cs="Arial"/>
        </w:rPr>
        <w:t xml:space="preserve"> = (</w:t>
      </w:r>
      <w:proofErr w:type="spellStart"/>
      <w:r w:rsidRPr="0023349A">
        <w:rPr>
          <w:rFonts w:ascii="Arial" w:hAnsi="Arial" w:cs="Arial"/>
        </w:rPr>
        <w:t>T</w:t>
      </w:r>
      <w:r w:rsidRPr="0023349A">
        <w:rPr>
          <w:rFonts w:ascii="Arial" w:hAnsi="Arial" w:cs="Arial"/>
          <w:vertAlign w:val="subscript"/>
        </w:rPr>
        <w:t>max</w:t>
      </w:r>
      <w:r w:rsidRPr="0023349A">
        <w:rPr>
          <w:rFonts w:ascii="Arial" w:hAnsi="Arial" w:cs="Arial"/>
        </w:rPr>
        <w:t>+T</w:t>
      </w:r>
      <w:r w:rsidRPr="0023349A">
        <w:rPr>
          <w:rFonts w:ascii="Arial" w:hAnsi="Arial" w:cs="Arial"/>
          <w:vertAlign w:val="subscript"/>
        </w:rPr>
        <w:t>min</w:t>
      </w:r>
      <w:proofErr w:type="spellEnd"/>
      <w:r w:rsidRPr="0023349A">
        <w:rPr>
          <w:rFonts w:ascii="Arial" w:hAnsi="Arial" w:cs="Arial"/>
        </w:rPr>
        <w:t>)/2</w:t>
      </w:r>
    </w:p>
    <w:p w14:paraId="33D5B8B8" w14:textId="77777777" w:rsidR="0023349A" w:rsidRPr="0023349A" w:rsidRDefault="0023349A" w:rsidP="0023349A">
      <w:pPr>
        <w:spacing w:before="240"/>
        <w:jc w:val="both"/>
        <w:rPr>
          <w:rFonts w:ascii="Arial" w:hAnsi="Arial" w:cs="Arial"/>
        </w:rPr>
      </w:pPr>
      <w:r w:rsidRPr="0023349A">
        <w:rPr>
          <w:rFonts w:ascii="Arial" w:hAnsi="Arial" w:cs="Arial"/>
        </w:rPr>
        <w:t xml:space="preserve">where, </w:t>
      </w:r>
      <w:proofErr w:type="spellStart"/>
      <w:r w:rsidRPr="0023349A">
        <w:rPr>
          <w:rFonts w:ascii="Arial" w:hAnsi="Arial" w:cs="Arial"/>
        </w:rPr>
        <w:t>T</w:t>
      </w:r>
      <w:r w:rsidRPr="0023349A">
        <w:rPr>
          <w:rFonts w:ascii="Arial" w:hAnsi="Arial" w:cs="Arial"/>
          <w:vertAlign w:val="subscript"/>
        </w:rPr>
        <w:t>max</w:t>
      </w:r>
      <w:proofErr w:type="spellEnd"/>
      <w:r w:rsidRPr="0023349A">
        <w:rPr>
          <w:rFonts w:ascii="Arial" w:hAnsi="Arial" w:cs="Arial"/>
        </w:rPr>
        <w:t xml:space="preserve"> = maximum temperature, </w:t>
      </w:r>
      <w:proofErr w:type="spellStart"/>
      <w:r w:rsidRPr="0023349A">
        <w:rPr>
          <w:rFonts w:ascii="Arial" w:hAnsi="Arial" w:cs="Arial"/>
        </w:rPr>
        <w:t>T</w:t>
      </w:r>
      <w:r w:rsidRPr="0023349A">
        <w:rPr>
          <w:rFonts w:ascii="Arial" w:hAnsi="Arial" w:cs="Arial"/>
          <w:vertAlign w:val="subscript"/>
        </w:rPr>
        <w:t>min</w:t>
      </w:r>
      <w:proofErr w:type="spellEnd"/>
      <w:r w:rsidRPr="0023349A">
        <w:rPr>
          <w:rFonts w:ascii="Arial" w:hAnsi="Arial" w:cs="Arial"/>
        </w:rPr>
        <w:t xml:space="preserve"> = minimum temperature and T</w:t>
      </w:r>
      <w:r w:rsidRPr="0023349A">
        <w:rPr>
          <w:rFonts w:ascii="Arial" w:hAnsi="Arial" w:cs="Arial"/>
          <w:vertAlign w:val="subscript"/>
        </w:rPr>
        <w:t>b</w:t>
      </w:r>
      <w:r w:rsidRPr="0023349A">
        <w:rPr>
          <w:rFonts w:ascii="Arial" w:hAnsi="Arial" w:cs="Arial"/>
        </w:rPr>
        <w:t xml:space="preserve"> = base temperature</w:t>
      </w:r>
    </w:p>
    <w:p w14:paraId="291C4B0E" w14:textId="77777777" w:rsidR="0023349A" w:rsidRPr="0023349A" w:rsidRDefault="0023349A" w:rsidP="0023349A">
      <w:pPr>
        <w:spacing w:before="240"/>
        <w:jc w:val="both"/>
        <w:rPr>
          <w:rFonts w:ascii="Arial" w:hAnsi="Arial" w:cs="Arial"/>
        </w:rPr>
      </w:pPr>
      <w:r w:rsidRPr="0023349A">
        <w:rPr>
          <w:rFonts w:ascii="Arial" w:hAnsi="Arial" w:cs="Arial"/>
        </w:rPr>
        <w:t>Method 2 is an improvement on Method 1. T</w:t>
      </w:r>
      <w:r w:rsidRPr="0023349A">
        <w:rPr>
          <w:rFonts w:ascii="Arial" w:hAnsi="Arial" w:cs="Arial"/>
          <w:vertAlign w:val="subscript"/>
        </w:rPr>
        <w:t>b</w:t>
      </w:r>
      <w:r w:rsidRPr="0023349A">
        <w:rPr>
          <w:rFonts w:ascii="Arial" w:hAnsi="Arial" w:cs="Arial"/>
        </w:rPr>
        <w:t xml:space="preserve"> is compared with T</w:t>
      </w:r>
      <w:r w:rsidRPr="0023349A">
        <w:rPr>
          <w:rFonts w:ascii="Arial" w:hAnsi="Arial" w:cs="Arial"/>
          <w:vertAlign w:val="subscript"/>
        </w:rPr>
        <w:t>u</w:t>
      </w:r>
      <w:r w:rsidRPr="0023349A">
        <w:rPr>
          <w:rFonts w:ascii="Arial" w:hAnsi="Arial" w:cs="Arial"/>
        </w:rPr>
        <w:t xml:space="preserve"> (upper threshold temperature) before the average temperature (</w:t>
      </w:r>
      <w:proofErr w:type="spellStart"/>
      <w:r w:rsidRPr="0023349A">
        <w:rPr>
          <w:rFonts w:ascii="Arial" w:hAnsi="Arial" w:cs="Arial"/>
        </w:rPr>
        <w:t>Tavg</w:t>
      </w:r>
      <w:proofErr w:type="spellEnd"/>
      <w:r w:rsidRPr="0023349A">
        <w:rPr>
          <w:rFonts w:ascii="Arial" w:hAnsi="Arial" w:cs="Arial"/>
        </w:rPr>
        <w:t>′) is calculated. Tm and Tn are adjusted if they are &lt;T</w:t>
      </w:r>
      <w:r w:rsidRPr="0023349A">
        <w:rPr>
          <w:rFonts w:ascii="Arial" w:hAnsi="Arial" w:cs="Arial"/>
          <w:vertAlign w:val="subscript"/>
        </w:rPr>
        <w:t>b</w:t>
      </w:r>
      <w:r w:rsidRPr="0023349A">
        <w:rPr>
          <w:rFonts w:ascii="Arial" w:hAnsi="Arial" w:cs="Arial"/>
        </w:rPr>
        <w:t xml:space="preserve"> or &gt;T</w:t>
      </w:r>
      <w:r w:rsidRPr="0023349A">
        <w:rPr>
          <w:rFonts w:ascii="Arial" w:hAnsi="Arial" w:cs="Arial"/>
          <w:vertAlign w:val="subscript"/>
        </w:rPr>
        <w:t>u</w:t>
      </w:r>
      <w:r w:rsidRPr="0023349A">
        <w:rPr>
          <w:rFonts w:ascii="Arial" w:hAnsi="Arial" w:cs="Arial"/>
        </w:rPr>
        <w:t>. In this method, DD is given by:</w:t>
      </w:r>
    </w:p>
    <w:p w14:paraId="3D781441" w14:textId="77777777" w:rsidR="0023349A" w:rsidRPr="0023349A" w:rsidRDefault="0023349A" w:rsidP="0023349A">
      <w:pPr>
        <w:spacing w:before="240"/>
        <w:jc w:val="center"/>
        <w:rPr>
          <w:rFonts w:ascii="Arial" w:hAnsi="Arial" w:cs="Arial"/>
          <w:vertAlign w:val="subscript"/>
        </w:rPr>
      </w:pPr>
      <w:r w:rsidRPr="0023349A">
        <w:rPr>
          <w:rFonts w:ascii="Arial" w:hAnsi="Arial" w:cs="Arial"/>
        </w:rPr>
        <w:lastRenderedPageBreak/>
        <w:t xml:space="preserve">DD = </w:t>
      </w:r>
      <w:proofErr w:type="spellStart"/>
      <w:r w:rsidRPr="0023349A">
        <w:rPr>
          <w:rFonts w:ascii="Arial" w:hAnsi="Arial" w:cs="Arial"/>
        </w:rPr>
        <w:t>T</w:t>
      </w:r>
      <w:r w:rsidRPr="0023349A">
        <w:rPr>
          <w:rFonts w:ascii="Arial" w:hAnsi="Arial" w:cs="Arial"/>
          <w:vertAlign w:val="subscript"/>
        </w:rPr>
        <w:t>av</w:t>
      </w:r>
      <w:proofErr w:type="spellEnd"/>
      <w:r w:rsidRPr="0023349A">
        <w:rPr>
          <w:rFonts w:ascii="Arial" w:hAnsi="Arial" w:cs="Arial"/>
          <w:vertAlign w:val="subscript"/>
        </w:rPr>
        <w:t>’</w:t>
      </w:r>
      <w:r w:rsidRPr="0023349A">
        <w:rPr>
          <w:rFonts w:ascii="Arial" w:hAnsi="Arial" w:cs="Arial"/>
        </w:rPr>
        <w:t>-T</w:t>
      </w:r>
      <w:r w:rsidRPr="0023349A">
        <w:rPr>
          <w:rFonts w:ascii="Arial" w:hAnsi="Arial" w:cs="Arial"/>
          <w:vertAlign w:val="subscript"/>
        </w:rPr>
        <w:t>b</w:t>
      </w:r>
    </w:p>
    <w:p w14:paraId="42ADD5FC" w14:textId="0F957664" w:rsidR="0023349A" w:rsidRPr="0023349A" w:rsidRDefault="0023349A" w:rsidP="0023349A">
      <w:pPr>
        <w:spacing w:before="240"/>
        <w:jc w:val="center"/>
        <w:rPr>
          <w:rFonts w:ascii="Arial" w:hAnsi="Arial" w:cs="Arial"/>
          <w:i/>
          <w:iCs/>
        </w:rPr>
      </w:pPr>
      <w:proofErr w:type="spellStart"/>
      <w:r w:rsidRPr="0023349A">
        <w:rPr>
          <w:rFonts w:ascii="Arial" w:hAnsi="Arial" w:cs="Arial"/>
        </w:rPr>
        <w:t>Tav</w:t>
      </w:r>
      <w:r>
        <w:rPr>
          <w:rFonts w:ascii="Arial" w:hAnsi="Arial" w:cs="Arial"/>
        </w:rPr>
        <w:t>g</w:t>
      </w:r>
      <w:proofErr w:type="spellEnd"/>
      <w:r w:rsidRPr="0023349A">
        <w:rPr>
          <w:rFonts w:ascii="Arial" w:hAnsi="Arial" w:cs="Arial"/>
        </w:rPr>
        <w:t>′ = (Tm + Tn)/2</w:t>
      </w:r>
    </w:p>
    <w:p w14:paraId="21F6EC41" w14:textId="77777777" w:rsidR="0023349A" w:rsidRPr="0023349A" w:rsidRDefault="0023349A" w:rsidP="0023349A">
      <w:pPr>
        <w:spacing w:before="240"/>
        <w:jc w:val="both"/>
        <w:rPr>
          <w:rFonts w:ascii="Arial" w:hAnsi="Arial" w:cs="Arial"/>
        </w:rPr>
      </w:pPr>
      <w:r w:rsidRPr="0023349A">
        <w:rPr>
          <w:rFonts w:ascii="Arial" w:hAnsi="Arial" w:cs="Arial"/>
        </w:rPr>
        <w:t>where T</w:t>
      </w:r>
      <w:r w:rsidRPr="0023349A">
        <w:rPr>
          <w:rFonts w:ascii="Arial" w:hAnsi="Arial" w:cs="Arial"/>
          <w:vertAlign w:val="subscript"/>
        </w:rPr>
        <w:t>m</w:t>
      </w:r>
      <w:r w:rsidRPr="0023349A">
        <w:rPr>
          <w:rFonts w:ascii="Arial" w:hAnsi="Arial" w:cs="Arial"/>
        </w:rPr>
        <w:t xml:space="preserve"> = min (</w:t>
      </w:r>
      <w:proofErr w:type="spellStart"/>
      <w:r w:rsidRPr="0023349A">
        <w:rPr>
          <w:rFonts w:ascii="Arial" w:hAnsi="Arial" w:cs="Arial"/>
        </w:rPr>
        <w:t>T</w:t>
      </w:r>
      <w:r w:rsidRPr="0023349A">
        <w:rPr>
          <w:rFonts w:ascii="Arial" w:hAnsi="Arial" w:cs="Arial"/>
          <w:vertAlign w:val="subscript"/>
        </w:rPr>
        <w:t>max</w:t>
      </w:r>
      <w:proofErr w:type="spellEnd"/>
      <w:r w:rsidRPr="0023349A">
        <w:rPr>
          <w:rFonts w:ascii="Arial" w:hAnsi="Arial" w:cs="Arial"/>
        </w:rPr>
        <w:t>, T</w:t>
      </w:r>
      <w:r w:rsidRPr="0023349A">
        <w:rPr>
          <w:rFonts w:ascii="Arial" w:hAnsi="Arial" w:cs="Arial"/>
          <w:vertAlign w:val="subscript"/>
        </w:rPr>
        <w:t>U</w:t>
      </w:r>
      <w:r w:rsidRPr="0023349A">
        <w:rPr>
          <w:rFonts w:ascii="Arial" w:hAnsi="Arial" w:cs="Arial"/>
        </w:rPr>
        <w:t>), T</w:t>
      </w:r>
      <w:r w:rsidRPr="0023349A">
        <w:rPr>
          <w:rFonts w:ascii="Arial" w:hAnsi="Arial" w:cs="Arial"/>
          <w:vertAlign w:val="subscript"/>
        </w:rPr>
        <w:t>n</w:t>
      </w:r>
      <w:r w:rsidRPr="0023349A">
        <w:rPr>
          <w:rFonts w:ascii="Arial" w:hAnsi="Arial" w:cs="Arial"/>
        </w:rPr>
        <w:t xml:space="preserve"> = max (T</w:t>
      </w:r>
      <w:r w:rsidRPr="0023349A">
        <w:rPr>
          <w:rFonts w:ascii="Arial" w:hAnsi="Arial" w:cs="Arial"/>
          <w:vertAlign w:val="subscript"/>
        </w:rPr>
        <w:t>m</w:t>
      </w:r>
      <w:r w:rsidRPr="0023349A">
        <w:rPr>
          <w:rFonts w:ascii="Arial" w:hAnsi="Arial" w:cs="Arial"/>
        </w:rPr>
        <w:t>, T</w:t>
      </w:r>
      <w:r w:rsidRPr="0023349A">
        <w:rPr>
          <w:rFonts w:ascii="Arial" w:hAnsi="Arial" w:cs="Arial"/>
          <w:vertAlign w:val="subscript"/>
        </w:rPr>
        <w:t>b</w:t>
      </w:r>
      <w:r w:rsidRPr="0023349A">
        <w:rPr>
          <w:rFonts w:ascii="Arial" w:hAnsi="Arial" w:cs="Arial"/>
        </w:rPr>
        <w:t>),</w:t>
      </w:r>
    </w:p>
    <w:p w14:paraId="18D24CF0" w14:textId="77777777" w:rsidR="0023349A" w:rsidRPr="0023349A" w:rsidRDefault="0023349A" w:rsidP="0023349A">
      <w:pPr>
        <w:spacing w:before="240"/>
        <w:jc w:val="both"/>
        <w:rPr>
          <w:rFonts w:ascii="Arial" w:hAnsi="Arial" w:cs="Arial"/>
          <w:b/>
          <w:bCs/>
        </w:rPr>
      </w:pPr>
      <w:r w:rsidRPr="0023349A">
        <w:rPr>
          <w:rFonts w:ascii="Arial" w:hAnsi="Arial" w:cs="Arial"/>
          <w:b/>
          <w:bCs/>
        </w:rPr>
        <w:t>Cosine-Wave Method Formula</w:t>
      </w:r>
    </w:p>
    <w:p w14:paraId="56DE4610" w14:textId="010B9BE2" w:rsidR="0023349A" w:rsidRPr="0023349A" w:rsidRDefault="0023349A" w:rsidP="0023349A">
      <w:pPr>
        <w:spacing w:before="240"/>
        <w:jc w:val="both"/>
        <w:rPr>
          <w:rFonts w:ascii="Arial" w:hAnsi="Arial" w:cs="Arial"/>
        </w:rPr>
      </w:pPr>
      <w:r w:rsidRPr="0023349A">
        <w:rPr>
          <w:rFonts w:ascii="Arial" w:hAnsi="Arial" w:cs="Arial"/>
        </w:rPr>
        <w:t>The cosine-wave method for calculating growing degree days (GDD) was introduced by</w:t>
      </w:r>
      <w:r>
        <w:rPr>
          <w:rFonts w:ascii="Arial" w:hAnsi="Arial" w:cs="Arial"/>
        </w:rPr>
        <w:t xml:space="preserve"> [11]</w:t>
      </w:r>
      <w:r w:rsidRPr="0023349A">
        <w:rPr>
          <w:rFonts w:ascii="Arial" w:hAnsi="Arial" w:cs="Arial"/>
        </w:rPr>
        <w:t>. The method uses the cosine function to approximate the daily temperature cycle, improving the estimation of degree days compared to simpler methods like the linear or sine-wave approaches. This model is particularly suitable for agricultural and ecological studies that require precise temperature-based calculations for crop growth or phenological development.</w:t>
      </w:r>
    </w:p>
    <w:p w14:paraId="2832BA77" w14:textId="77777777" w:rsidR="0023349A" w:rsidRPr="0023349A" w:rsidRDefault="0023349A" w:rsidP="0023349A">
      <w:pPr>
        <w:spacing w:before="240"/>
        <w:jc w:val="both"/>
        <w:rPr>
          <w:rFonts w:ascii="Arial" w:hAnsi="Arial" w:cs="Arial"/>
        </w:rPr>
      </w:pPr>
      <w:r w:rsidRPr="0023349A">
        <w:rPr>
          <w:rFonts w:ascii="Arial" w:hAnsi="Arial" w:cs="Arial"/>
        </w:rPr>
        <w:t>Degree Day Calculation (DD):</w:t>
      </w:r>
    </w:p>
    <w:p w14:paraId="3D283B3A" w14:textId="77777777" w:rsidR="0023349A" w:rsidRPr="0023349A" w:rsidRDefault="0023349A" w:rsidP="0023349A">
      <w:pPr>
        <w:spacing w:before="240"/>
        <w:jc w:val="center"/>
        <w:rPr>
          <w:rFonts w:ascii="Arial" w:hAnsi="Arial" w:cs="Arial"/>
        </w:rPr>
      </w:pPr>
      <w:r w:rsidRPr="0023349A">
        <w:rPr>
          <w:rFonts w:ascii="Arial" w:hAnsi="Arial" w:cs="Arial"/>
        </w:rPr>
        <w:t xml:space="preserve">DD = </w:t>
      </w:r>
      <w:proofErr w:type="gramStart"/>
      <w:r w:rsidRPr="0023349A">
        <w:rPr>
          <w:rFonts w:ascii="Arial" w:hAnsi="Arial" w:cs="Arial"/>
        </w:rPr>
        <w:t>α[</w:t>
      </w:r>
      <w:proofErr w:type="gramEnd"/>
      <w:r w:rsidRPr="0023349A">
        <w:rPr>
          <w:rFonts w:ascii="Arial" w:hAnsi="Arial" w:cs="Arial"/>
        </w:rPr>
        <w:t>(sinθ</w:t>
      </w:r>
      <w:r w:rsidRPr="0023349A">
        <w:rPr>
          <w:rFonts w:ascii="Arial" w:hAnsi="Arial" w:cs="Arial"/>
          <w:vertAlign w:val="subscript"/>
        </w:rPr>
        <w:t>2</w:t>
      </w:r>
      <w:r w:rsidRPr="0023349A">
        <w:rPr>
          <w:rFonts w:ascii="Arial" w:hAnsi="Arial" w:cs="Arial"/>
        </w:rPr>
        <w:t xml:space="preserve"> – sinθ</w:t>
      </w:r>
      <w:r w:rsidRPr="0023349A">
        <w:rPr>
          <w:rFonts w:ascii="Arial" w:hAnsi="Arial" w:cs="Arial"/>
          <w:vertAlign w:val="subscript"/>
        </w:rPr>
        <w:t>1</w:t>
      </w:r>
      <w:r w:rsidRPr="0023349A">
        <w:rPr>
          <w:rFonts w:ascii="Arial" w:hAnsi="Arial" w:cs="Arial"/>
        </w:rPr>
        <w:t>) + (θ</w:t>
      </w:r>
      <w:r w:rsidRPr="0023349A">
        <w:rPr>
          <w:rFonts w:ascii="Arial" w:hAnsi="Arial" w:cs="Arial"/>
          <w:vertAlign w:val="subscript"/>
        </w:rPr>
        <w:t>2</w:t>
      </w:r>
      <w:r w:rsidRPr="0023349A">
        <w:rPr>
          <w:rFonts w:ascii="Arial" w:hAnsi="Arial" w:cs="Arial"/>
        </w:rPr>
        <w:t xml:space="preserve"> – θ</w:t>
      </w:r>
      <w:r w:rsidRPr="0023349A">
        <w:rPr>
          <w:rFonts w:ascii="Arial" w:hAnsi="Arial" w:cs="Arial"/>
          <w:vertAlign w:val="subscript"/>
        </w:rPr>
        <w:t>1</w:t>
      </w:r>
      <w:r w:rsidRPr="0023349A">
        <w:rPr>
          <w:rFonts w:ascii="Arial" w:hAnsi="Arial" w:cs="Arial"/>
        </w:rPr>
        <w:t>)cos θ</w:t>
      </w:r>
      <w:r w:rsidRPr="0023349A">
        <w:rPr>
          <w:rFonts w:ascii="Arial" w:hAnsi="Arial" w:cs="Arial"/>
          <w:vertAlign w:val="subscript"/>
        </w:rPr>
        <w:t>2</w:t>
      </w:r>
      <w:r w:rsidRPr="0023349A">
        <w:rPr>
          <w:rFonts w:ascii="Arial" w:hAnsi="Arial" w:cs="Arial"/>
        </w:rPr>
        <w:t>]+(</w:t>
      </w:r>
      <w:proofErr w:type="spellStart"/>
      <w:r w:rsidRPr="0023349A">
        <w:rPr>
          <w:rFonts w:ascii="Arial" w:hAnsi="Arial" w:cs="Arial"/>
        </w:rPr>
        <w:t>T</w:t>
      </w:r>
      <w:r w:rsidRPr="0023349A">
        <w:rPr>
          <w:rFonts w:ascii="Arial" w:hAnsi="Arial" w:cs="Arial"/>
          <w:vertAlign w:val="subscript"/>
        </w:rPr>
        <w:t>av</w:t>
      </w:r>
      <w:proofErr w:type="spellEnd"/>
      <w:r w:rsidRPr="0023349A">
        <w:rPr>
          <w:rFonts w:ascii="Arial" w:hAnsi="Arial" w:cs="Arial"/>
        </w:rPr>
        <w:t>-T</w:t>
      </w:r>
      <w:r w:rsidRPr="0023349A">
        <w:rPr>
          <w:rFonts w:ascii="Arial" w:hAnsi="Arial" w:cs="Arial"/>
          <w:vertAlign w:val="subscript"/>
        </w:rPr>
        <w:t>L</w:t>
      </w:r>
      <w:r w:rsidRPr="0023349A">
        <w:rPr>
          <w:rFonts w:ascii="Arial" w:hAnsi="Arial" w:cs="Arial"/>
        </w:rPr>
        <w:t>)( θ</w:t>
      </w:r>
      <w:r w:rsidRPr="0023349A">
        <w:rPr>
          <w:rFonts w:ascii="Arial" w:hAnsi="Arial" w:cs="Arial"/>
          <w:vertAlign w:val="subscript"/>
        </w:rPr>
        <w:t>2</w:t>
      </w:r>
      <w:r w:rsidRPr="0023349A">
        <w:rPr>
          <w:rFonts w:ascii="Arial" w:hAnsi="Arial" w:cs="Arial"/>
        </w:rPr>
        <w:t>- θ</w:t>
      </w:r>
      <w:r w:rsidRPr="0023349A">
        <w:rPr>
          <w:rFonts w:ascii="Arial" w:hAnsi="Arial" w:cs="Arial"/>
          <w:vertAlign w:val="subscript"/>
        </w:rPr>
        <w:t>1</w:t>
      </w:r>
      <w:r w:rsidRPr="0023349A">
        <w:rPr>
          <w:rFonts w:ascii="Arial" w:hAnsi="Arial" w:cs="Arial"/>
        </w:rPr>
        <w:t>)</w:t>
      </w:r>
    </w:p>
    <w:p w14:paraId="4B74EB4C" w14:textId="77777777" w:rsidR="0023349A" w:rsidRPr="0023349A" w:rsidRDefault="0023349A" w:rsidP="0023349A">
      <w:pPr>
        <w:spacing w:before="240"/>
        <w:rPr>
          <w:rFonts w:ascii="Arial" w:hAnsi="Arial" w:cs="Arial"/>
        </w:rPr>
      </w:pPr>
      <w:r w:rsidRPr="0023349A">
        <w:rPr>
          <w:rFonts w:ascii="Arial" w:hAnsi="Arial" w:cs="Arial"/>
        </w:rPr>
        <w:t xml:space="preserve">Where, </w:t>
      </w:r>
    </w:p>
    <w:p w14:paraId="5F73AA89" w14:textId="77777777" w:rsidR="0023349A" w:rsidRPr="0023349A" w:rsidRDefault="0023349A" w:rsidP="0023349A">
      <w:pPr>
        <w:spacing w:before="240"/>
        <w:rPr>
          <w:rFonts w:ascii="Arial" w:hAnsi="Arial" w:cs="Arial"/>
        </w:rPr>
      </w:pPr>
      <w:r w:rsidRPr="0023349A">
        <w:rPr>
          <w:rFonts w:ascii="Arial" w:hAnsi="Arial" w:cs="Arial"/>
        </w:rPr>
        <w:t>α = Temperature amplitude which is calculated as half the difference between daily maximum and minimum temperatures (</w:t>
      </w:r>
      <w:proofErr w:type="spellStart"/>
      <w:r w:rsidRPr="0023349A">
        <w:rPr>
          <w:rFonts w:ascii="Arial" w:hAnsi="Arial" w:cs="Arial"/>
        </w:rPr>
        <w:t>T</w:t>
      </w:r>
      <w:r w:rsidRPr="0023349A">
        <w:rPr>
          <w:rFonts w:ascii="Arial" w:hAnsi="Arial" w:cs="Arial"/>
          <w:vertAlign w:val="subscript"/>
        </w:rPr>
        <w:t>max</w:t>
      </w:r>
      <w:r w:rsidRPr="0023349A">
        <w:rPr>
          <w:rFonts w:ascii="Arial" w:hAnsi="Arial" w:cs="Arial"/>
        </w:rPr>
        <w:t>-T</w:t>
      </w:r>
      <w:r w:rsidRPr="0023349A">
        <w:rPr>
          <w:rFonts w:ascii="Arial" w:hAnsi="Arial" w:cs="Arial"/>
          <w:vertAlign w:val="subscript"/>
        </w:rPr>
        <w:t>min</w:t>
      </w:r>
      <w:proofErr w:type="spellEnd"/>
      <w:r w:rsidRPr="0023349A">
        <w:rPr>
          <w:rFonts w:ascii="Arial" w:hAnsi="Arial" w:cs="Arial"/>
        </w:rPr>
        <w:t>)/2.</w:t>
      </w:r>
    </w:p>
    <w:p w14:paraId="73622122" w14:textId="77777777" w:rsidR="0023349A" w:rsidRPr="0023349A" w:rsidRDefault="0023349A" w:rsidP="0023349A">
      <w:pPr>
        <w:spacing w:before="240"/>
        <w:rPr>
          <w:rFonts w:ascii="Arial" w:hAnsi="Arial" w:cs="Arial"/>
        </w:rPr>
      </w:pPr>
      <w:r w:rsidRPr="0023349A">
        <w:rPr>
          <w:rFonts w:ascii="Arial" w:hAnsi="Arial" w:cs="Arial"/>
        </w:rPr>
        <w:t>θ</w:t>
      </w:r>
      <w:r w:rsidRPr="0023349A">
        <w:rPr>
          <w:rFonts w:ascii="Arial" w:hAnsi="Arial" w:cs="Arial"/>
          <w:vertAlign w:val="subscript"/>
        </w:rPr>
        <w:t xml:space="preserve">1 </w:t>
      </w:r>
      <w:r w:rsidRPr="0023349A">
        <w:rPr>
          <w:rFonts w:ascii="Arial" w:hAnsi="Arial" w:cs="Arial"/>
        </w:rPr>
        <w:t>= Angle for lower threshold (T</w:t>
      </w:r>
      <w:r w:rsidRPr="0023349A">
        <w:rPr>
          <w:rFonts w:ascii="Arial" w:hAnsi="Arial" w:cs="Arial"/>
          <w:vertAlign w:val="subscript"/>
        </w:rPr>
        <w:t>L</w:t>
      </w:r>
      <w:r w:rsidRPr="0023349A">
        <w:rPr>
          <w:rFonts w:ascii="Arial" w:hAnsi="Arial" w:cs="Arial"/>
        </w:rPr>
        <w:t>) and is calculated as: θ</w:t>
      </w:r>
      <w:r w:rsidRPr="0023349A">
        <w:rPr>
          <w:rFonts w:ascii="Arial" w:hAnsi="Arial" w:cs="Arial"/>
          <w:vertAlign w:val="subscript"/>
        </w:rPr>
        <w:t xml:space="preserve">1 </w:t>
      </w:r>
      <w:r w:rsidRPr="0023349A">
        <w:rPr>
          <w:rFonts w:ascii="Arial" w:hAnsi="Arial" w:cs="Arial"/>
        </w:rPr>
        <w:t xml:space="preserve">= </w:t>
      </w:r>
      <w:proofErr w:type="spellStart"/>
      <w:r w:rsidRPr="0023349A">
        <w:rPr>
          <w:rFonts w:ascii="Arial" w:hAnsi="Arial" w:cs="Arial"/>
        </w:rPr>
        <w:t>arccos</w:t>
      </w:r>
      <w:proofErr w:type="spellEnd"/>
      <w:r w:rsidRPr="0023349A">
        <w:rPr>
          <w:rFonts w:ascii="Arial" w:hAnsi="Arial" w:cs="Arial"/>
        </w:rPr>
        <w:t xml:space="preserve"> [(T</w:t>
      </w:r>
      <w:r w:rsidRPr="0023349A">
        <w:rPr>
          <w:rFonts w:ascii="Arial" w:hAnsi="Arial" w:cs="Arial"/>
          <w:vertAlign w:val="subscript"/>
        </w:rPr>
        <w:t>L</w:t>
      </w:r>
      <w:r w:rsidRPr="0023349A">
        <w:rPr>
          <w:rFonts w:ascii="Arial" w:hAnsi="Arial" w:cs="Arial"/>
        </w:rPr>
        <w:t>-</w:t>
      </w:r>
      <w:proofErr w:type="spellStart"/>
      <w:r w:rsidRPr="0023349A">
        <w:rPr>
          <w:rFonts w:ascii="Arial" w:hAnsi="Arial" w:cs="Arial"/>
        </w:rPr>
        <w:t>T</w:t>
      </w:r>
      <w:r w:rsidRPr="0023349A">
        <w:rPr>
          <w:rFonts w:ascii="Arial" w:hAnsi="Arial" w:cs="Arial"/>
          <w:vertAlign w:val="subscript"/>
        </w:rPr>
        <w:t>av</w:t>
      </w:r>
      <w:proofErr w:type="spellEnd"/>
      <w:r w:rsidRPr="0023349A">
        <w:rPr>
          <w:rFonts w:ascii="Arial" w:hAnsi="Arial" w:cs="Arial"/>
        </w:rPr>
        <w:t>)/α]</w:t>
      </w:r>
    </w:p>
    <w:p w14:paraId="169E0D9D" w14:textId="77777777" w:rsidR="0023349A" w:rsidRPr="0023349A" w:rsidRDefault="0023349A" w:rsidP="0023349A">
      <w:pPr>
        <w:spacing w:before="240"/>
        <w:rPr>
          <w:rFonts w:ascii="Arial" w:hAnsi="Arial" w:cs="Arial"/>
        </w:rPr>
      </w:pPr>
      <w:r w:rsidRPr="0023349A">
        <w:rPr>
          <w:rFonts w:ascii="Arial" w:hAnsi="Arial" w:cs="Arial"/>
        </w:rPr>
        <w:t>θ</w:t>
      </w:r>
      <w:r w:rsidRPr="0023349A">
        <w:rPr>
          <w:rFonts w:ascii="Arial" w:hAnsi="Arial" w:cs="Arial"/>
          <w:vertAlign w:val="subscript"/>
        </w:rPr>
        <w:t xml:space="preserve">2 </w:t>
      </w:r>
      <w:r w:rsidRPr="0023349A">
        <w:rPr>
          <w:rFonts w:ascii="Arial" w:hAnsi="Arial" w:cs="Arial"/>
        </w:rPr>
        <w:t>= Angle for upper threshold (T</w:t>
      </w:r>
      <w:r w:rsidRPr="0023349A">
        <w:rPr>
          <w:rFonts w:ascii="Arial" w:hAnsi="Arial" w:cs="Arial"/>
          <w:vertAlign w:val="subscript"/>
        </w:rPr>
        <w:t>L</w:t>
      </w:r>
      <w:r w:rsidRPr="0023349A">
        <w:rPr>
          <w:rFonts w:ascii="Arial" w:hAnsi="Arial" w:cs="Arial"/>
        </w:rPr>
        <w:t>) and is calculated as: θ</w:t>
      </w:r>
      <w:r w:rsidRPr="0023349A">
        <w:rPr>
          <w:rFonts w:ascii="Arial" w:hAnsi="Arial" w:cs="Arial"/>
          <w:vertAlign w:val="subscript"/>
        </w:rPr>
        <w:t xml:space="preserve">2 </w:t>
      </w:r>
      <w:r w:rsidRPr="0023349A">
        <w:rPr>
          <w:rFonts w:ascii="Arial" w:hAnsi="Arial" w:cs="Arial"/>
        </w:rPr>
        <w:t xml:space="preserve">= </w:t>
      </w:r>
      <w:proofErr w:type="spellStart"/>
      <w:r w:rsidRPr="0023349A">
        <w:rPr>
          <w:rFonts w:ascii="Arial" w:hAnsi="Arial" w:cs="Arial"/>
        </w:rPr>
        <w:t>arccos</w:t>
      </w:r>
      <w:proofErr w:type="spellEnd"/>
      <w:r w:rsidRPr="0023349A">
        <w:rPr>
          <w:rFonts w:ascii="Arial" w:hAnsi="Arial" w:cs="Arial"/>
        </w:rPr>
        <w:t xml:space="preserve"> [(T</w:t>
      </w:r>
      <w:r w:rsidRPr="0023349A">
        <w:rPr>
          <w:rFonts w:ascii="Arial" w:hAnsi="Arial" w:cs="Arial"/>
          <w:vertAlign w:val="subscript"/>
        </w:rPr>
        <w:t>U</w:t>
      </w:r>
      <w:r w:rsidRPr="0023349A">
        <w:rPr>
          <w:rFonts w:ascii="Arial" w:hAnsi="Arial" w:cs="Arial"/>
        </w:rPr>
        <w:t>-</w:t>
      </w:r>
      <w:proofErr w:type="spellStart"/>
      <w:r w:rsidRPr="0023349A">
        <w:rPr>
          <w:rFonts w:ascii="Arial" w:hAnsi="Arial" w:cs="Arial"/>
        </w:rPr>
        <w:t>T</w:t>
      </w:r>
      <w:r w:rsidRPr="0023349A">
        <w:rPr>
          <w:rFonts w:ascii="Arial" w:hAnsi="Arial" w:cs="Arial"/>
          <w:vertAlign w:val="subscript"/>
        </w:rPr>
        <w:t>av</w:t>
      </w:r>
      <w:proofErr w:type="spellEnd"/>
      <w:r w:rsidRPr="0023349A">
        <w:rPr>
          <w:rFonts w:ascii="Arial" w:hAnsi="Arial" w:cs="Arial"/>
        </w:rPr>
        <w:t>)/α]</w:t>
      </w:r>
    </w:p>
    <w:p w14:paraId="487D080B" w14:textId="77777777" w:rsidR="0023349A" w:rsidRPr="0023349A" w:rsidRDefault="0023349A" w:rsidP="0023349A">
      <w:pPr>
        <w:spacing w:before="240"/>
        <w:rPr>
          <w:rFonts w:ascii="Arial" w:hAnsi="Arial" w:cs="Arial"/>
        </w:rPr>
      </w:pPr>
      <w:proofErr w:type="spellStart"/>
      <w:r w:rsidRPr="0023349A">
        <w:rPr>
          <w:rFonts w:ascii="Arial" w:hAnsi="Arial" w:cs="Arial"/>
        </w:rPr>
        <w:t>T</w:t>
      </w:r>
      <w:r w:rsidRPr="0023349A">
        <w:rPr>
          <w:rFonts w:ascii="Arial" w:hAnsi="Arial" w:cs="Arial"/>
          <w:vertAlign w:val="subscript"/>
        </w:rPr>
        <w:t>av</w:t>
      </w:r>
      <w:proofErr w:type="spellEnd"/>
      <w:r w:rsidRPr="0023349A">
        <w:rPr>
          <w:rFonts w:ascii="Arial" w:hAnsi="Arial" w:cs="Arial"/>
        </w:rPr>
        <w:t xml:space="preserve"> = Daily average temperature (</w:t>
      </w:r>
      <w:proofErr w:type="spellStart"/>
      <w:r w:rsidRPr="0023349A">
        <w:rPr>
          <w:rFonts w:ascii="Arial" w:hAnsi="Arial" w:cs="Arial"/>
        </w:rPr>
        <w:t>T</w:t>
      </w:r>
      <w:r w:rsidRPr="0023349A">
        <w:rPr>
          <w:rFonts w:ascii="Arial" w:hAnsi="Arial" w:cs="Arial"/>
          <w:vertAlign w:val="subscript"/>
        </w:rPr>
        <w:t>max</w:t>
      </w:r>
      <w:r w:rsidRPr="0023349A">
        <w:rPr>
          <w:rFonts w:ascii="Arial" w:hAnsi="Arial" w:cs="Arial"/>
        </w:rPr>
        <w:t>+T</w:t>
      </w:r>
      <w:r w:rsidRPr="0023349A">
        <w:rPr>
          <w:rFonts w:ascii="Arial" w:hAnsi="Arial" w:cs="Arial"/>
          <w:vertAlign w:val="subscript"/>
        </w:rPr>
        <w:t>min</w:t>
      </w:r>
      <w:proofErr w:type="spellEnd"/>
      <w:r w:rsidRPr="0023349A">
        <w:rPr>
          <w:rFonts w:ascii="Arial" w:hAnsi="Arial" w:cs="Arial"/>
        </w:rPr>
        <w:t>)/2.</w:t>
      </w:r>
    </w:p>
    <w:p w14:paraId="7FAA56D3" w14:textId="77777777" w:rsidR="0023349A" w:rsidRPr="0023349A" w:rsidRDefault="0023349A" w:rsidP="0023349A">
      <w:pPr>
        <w:spacing w:before="240"/>
        <w:jc w:val="center"/>
        <w:rPr>
          <w:rFonts w:ascii="Arial" w:hAnsi="Arial" w:cs="Arial"/>
        </w:rPr>
      </w:pPr>
    </w:p>
    <w:p w14:paraId="44D1CBC5" w14:textId="77777777" w:rsidR="0023349A" w:rsidRPr="0023349A" w:rsidRDefault="0023349A" w:rsidP="0023349A">
      <w:pPr>
        <w:spacing w:before="240"/>
        <w:jc w:val="both"/>
        <w:rPr>
          <w:rFonts w:ascii="Arial" w:hAnsi="Arial" w:cs="Arial"/>
        </w:rPr>
      </w:pPr>
      <w:r w:rsidRPr="0023349A">
        <w:rPr>
          <w:rFonts w:ascii="Arial" w:hAnsi="Arial" w:cs="Arial"/>
          <w:b/>
          <w:bCs/>
        </w:rPr>
        <w:t>Growing Degree Days (GDD)</w:t>
      </w:r>
      <w:r w:rsidRPr="0023349A">
        <w:rPr>
          <w:rFonts w:ascii="Arial" w:hAnsi="Arial" w:cs="Arial"/>
        </w:rPr>
        <w:t xml:space="preserve"> are then calculated as following:</w:t>
      </w:r>
    </w:p>
    <w:p w14:paraId="3F832CCB" w14:textId="77777777" w:rsidR="0023349A" w:rsidRPr="0023349A" w:rsidRDefault="0023349A" w:rsidP="0023349A">
      <w:pPr>
        <w:spacing w:before="240"/>
        <w:jc w:val="center"/>
        <w:rPr>
          <w:rFonts w:ascii="Arial" w:hAnsi="Arial" w:cs="Arial"/>
        </w:rPr>
      </w:pPr>
      <w:r w:rsidRPr="0023349A">
        <w:rPr>
          <w:rFonts w:ascii="Arial" w:hAnsi="Arial" w:cs="Arial"/>
        </w:rPr>
        <w:t>GDD=∑DD</w:t>
      </w:r>
    </w:p>
    <w:p w14:paraId="265A34A0" w14:textId="77777777" w:rsidR="0023349A" w:rsidRPr="0023349A" w:rsidRDefault="0023349A" w:rsidP="0023349A">
      <w:pPr>
        <w:spacing w:before="240"/>
        <w:jc w:val="both"/>
        <w:rPr>
          <w:rFonts w:ascii="Arial" w:hAnsi="Arial" w:cs="Arial"/>
          <w:b/>
          <w:bCs/>
          <w:sz w:val="22"/>
          <w:szCs w:val="22"/>
        </w:rPr>
      </w:pPr>
      <w:r w:rsidRPr="0023349A">
        <w:rPr>
          <w:rFonts w:ascii="Arial" w:hAnsi="Arial" w:cs="Arial"/>
          <w:b/>
          <w:bCs/>
          <w:sz w:val="22"/>
          <w:szCs w:val="22"/>
        </w:rPr>
        <w:t>2.2 Model evaluation</w:t>
      </w:r>
    </w:p>
    <w:p w14:paraId="6DA19F89" w14:textId="77777777" w:rsidR="0023349A" w:rsidRPr="0023349A" w:rsidRDefault="0023349A" w:rsidP="0023349A">
      <w:pPr>
        <w:spacing w:before="240"/>
        <w:jc w:val="both"/>
        <w:rPr>
          <w:rFonts w:ascii="Arial" w:hAnsi="Arial" w:cs="Arial"/>
        </w:rPr>
      </w:pPr>
      <w:r w:rsidRPr="0023349A">
        <w:rPr>
          <w:rFonts w:ascii="Arial" w:hAnsi="Arial" w:cs="Arial"/>
        </w:rPr>
        <w:t xml:space="preserve"> GDD is often used to describe biological processes but no canonical forms are available for calculating GDD. Hence, we used the coefficient of variation (CV) of predictions of developmental stages and the performance of the accumulation of dry matter described by GDD to evaluate the three methods.</w:t>
      </w:r>
    </w:p>
    <w:p w14:paraId="6C723A8F" w14:textId="77777777" w:rsidR="0023349A" w:rsidRPr="0023349A" w:rsidRDefault="0023349A" w:rsidP="0023349A">
      <w:pPr>
        <w:spacing w:before="240"/>
        <w:jc w:val="both"/>
        <w:rPr>
          <w:rFonts w:ascii="Arial" w:hAnsi="Arial" w:cs="Arial"/>
        </w:rPr>
      </w:pPr>
      <w:r w:rsidRPr="0023349A">
        <w:rPr>
          <w:rFonts w:ascii="Arial" w:hAnsi="Arial" w:cs="Arial"/>
        </w:rPr>
        <w:t xml:space="preserve">Predicting developmental stages: the observed dates of developmental stages from the field data were used to calculate the GDD required to reach a particular stage by all the three methods. However, the GDD required to reach a particular stage calculated by a particular method with observed dates in different years was not always the same. The CV of the dates predicted by one method for calculating GDD was used to test the performance of the method. The lower the CV, the better the prediction. CV was calculated as: </w:t>
      </w:r>
    </w:p>
    <w:p w14:paraId="753D8073" w14:textId="77777777" w:rsidR="0023349A" w:rsidRPr="0023349A" w:rsidRDefault="0023349A" w:rsidP="0023349A">
      <w:pPr>
        <w:spacing w:before="240"/>
        <w:jc w:val="center"/>
        <w:rPr>
          <w:rFonts w:ascii="Arial" w:hAnsi="Arial" w:cs="Arial"/>
        </w:rPr>
      </w:pPr>
      <w:r w:rsidRPr="0023349A">
        <w:rPr>
          <w:rFonts w:ascii="Arial" w:hAnsi="Arial" w:cs="Arial"/>
        </w:rPr>
        <w:t>CV= SD</w:t>
      </w:r>
      <w:r w:rsidRPr="0023349A">
        <w:rPr>
          <w:rFonts w:ascii="Arial" w:hAnsi="Arial" w:cs="Arial"/>
          <w:vertAlign w:val="subscript"/>
        </w:rPr>
        <w:t>GDD</w:t>
      </w:r>
      <w:r w:rsidRPr="0023349A">
        <w:rPr>
          <w:rFonts w:ascii="Arial" w:hAnsi="Arial" w:cs="Arial"/>
        </w:rPr>
        <w:t>/</w:t>
      </w:r>
      <w:proofErr w:type="spellStart"/>
      <w:r w:rsidRPr="0023349A">
        <w:rPr>
          <w:rFonts w:ascii="Arial" w:hAnsi="Arial" w:cs="Arial"/>
        </w:rPr>
        <w:t>GDD</w:t>
      </w:r>
      <w:r w:rsidRPr="0023349A">
        <w:rPr>
          <w:rFonts w:ascii="Arial" w:hAnsi="Arial" w:cs="Arial"/>
          <w:vertAlign w:val="subscript"/>
        </w:rPr>
        <w:t>m</w:t>
      </w:r>
      <w:proofErr w:type="spellEnd"/>
    </w:p>
    <w:p w14:paraId="5375A966" w14:textId="77777777" w:rsidR="0023349A" w:rsidRPr="0023349A" w:rsidRDefault="0023349A" w:rsidP="0023349A">
      <w:pPr>
        <w:spacing w:before="240"/>
        <w:jc w:val="both"/>
        <w:rPr>
          <w:rFonts w:ascii="Arial" w:hAnsi="Arial" w:cs="Arial"/>
        </w:rPr>
      </w:pPr>
      <w:r w:rsidRPr="0023349A">
        <w:rPr>
          <w:rFonts w:ascii="Arial" w:hAnsi="Arial" w:cs="Arial"/>
        </w:rPr>
        <w:t>Where, SD</w:t>
      </w:r>
      <w:r w:rsidRPr="0023349A">
        <w:rPr>
          <w:rFonts w:ascii="Arial" w:hAnsi="Arial" w:cs="Arial"/>
          <w:vertAlign w:val="subscript"/>
        </w:rPr>
        <w:t>GDD</w:t>
      </w:r>
      <w:r w:rsidRPr="0023349A">
        <w:rPr>
          <w:rFonts w:ascii="Arial" w:hAnsi="Arial" w:cs="Arial"/>
        </w:rPr>
        <w:t xml:space="preserve"> is the standard deviation of the annual GDD required for a particular developmental stage since sowing, and </w:t>
      </w:r>
      <w:proofErr w:type="spellStart"/>
      <w:r w:rsidRPr="0023349A">
        <w:rPr>
          <w:rFonts w:ascii="Arial" w:hAnsi="Arial" w:cs="Arial"/>
        </w:rPr>
        <w:t>GDD</w:t>
      </w:r>
      <w:r w:rsidRPr="0023349A">
        <w:rPr>
          <w:rFonts w:ascii="Arial" w:hAnsi="Arial" w:cs="Arial"/>
          <w:vertAlign w:val="subscript"/>
        </w:rPr>
        <w:t>m</w:t>
      </w:r>
      <w:proofErr w:type="spellEnd"/>
      <w:r w:rsidRPr="0023349A">
        <w:rPr>
          <w:rFonts w:ascii="Arial" w:hAnsi="Arial" w:cs="Arial"/>
        </w:rPr>
        <w:t xml:space="preserve"> is the mean daily GDD during the developmental stage since sowing.</w:t>
      </w:r>
    </w:p>
    <w:p w14:paraId="63F07E00" w14:textId="77777777" w:rsidR="0023349A" w:rsidRPr="0023349A" w:rsidRDefault="0023349A" w:rsidP="0023349A">
      <w:pPr>
        <w:spacing w:before="240"/>
        <w:jc w:val="both"/>
        <w:rPr>
          <w:rFonts w:ascii="Arial" w:hAnsi="Arial" w:cs="Arial"/>
        </w:rPr>
      </w:pPr>
      <w:proofErr w:type="spellStart"/>
      <w:r w:rsidRPr="0023349A">
        <w:rPr>
          <w:rFonts w:ascii="Arial" w:hAnsi="Arial" w:cs="Arial"/>
        </w:rPr>
        <w:t>Willomtt</w:t>
      </w:r>
      <w:proofErr w:type="spellEnd"/>
      <w:r w:rsidRPr="0023349A">
        <w:rPr>
          <w:rFonts w:ascii="Arial" w:hAnsi="Arial" w:cs="Arial"/>
        </w:rPr>
        <w:t xml:space="preserve"> proposed a refined index of agreement (d</w:t>
      </w:r>
      <w:r w:rsidRPr="0023349A">
        <w:rPr>
          <w:rFonts w:ascii="Arial" w:hAnsi="Arial" w:cs="Arial"/>
          <w:vertAlign w:val="subscript"/>
        </w:rPr>
        <w:t>r</w:t>
      </w:r>
      <w:r w:rsidRPr="0023349A">
        <w:rPr>
          <w:rFonts w:ascii="Arial" w:hAnsi="Arial" w:cs="Arial"/>
        </w:rPr>
        <w:t xml:space="preserve">) for evaluating model performance, defined as: </w:t>
      </w:r>
    </w:p>
    <w:p w14:paraId="1C1EBEF0" w14:textId="77777777" w:rsidR="0023349A" w:rsidRPr="0023349A" w:rsidRDefault="0023349A" w:rsidP="0023349A">
      <w:pPr>
        <w:spacing w:before="240"/>
        <w:jc w:val="center"/>
        <w:rPr>
          <w:rFonts w:ascii="Arial" w:hAnsi="Arial" w:cs="Arial"/>
        </w:rPr>
      </w:pPr>
      <w:r w:rsidRPr="0023349A">
        <w:rPr>
          <w:rFonts w:ascii="Arial" w:hAnsi="Arial" w:cs="Arial"/>
          <w:noProof/>
        </w:rPr>
        <w:lastRenderedPageBreak/>
        <w:drawing>
          <wp:inline distT="0" distB="0" distL="0" distR="0" wp14:anchorId="2B31349B" wp14:editId="19BBE0FF">
            <wp:extent cx="3292125" cy="853514"/>
            <wp:effectExtent l="0" t="0" r="3810" b="3810"/>
            <wp:docPr id="19122485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248599" name=""/>
                    <pic:cNvPicPr/>
                  </pic:nvPicPr>
                  <pic:blipFill>
                    <a:blip r:embed="rId13"/>
                    <a:stretch>
                      <a:fillRect/>
                    </a:stretch>
                  </pic:blipFill>
                  <pic:spPr>
                    <a:xfrm>
                      <a:off x="0" y="0"/>
                      <a:ext cx="3292125" cy="853514"/>
                    </a:xfrm>
                    <a:prstGeom prst="rect">
                      <a:avLst/>
                    </a:prstGeom>
                  </pic:spPr>
                </pic:pic>
              </a:graphicData>
            </a:graphic>
          </wp:inline>
        </w:drawing>
      </w:r>
      <w:r w:rsidRPr="0023349A">
        <w:rPr>
          <w:rFonts w:ascii="Arial" w:hAnsi="Arial" w:cs="Arial"/>
        </w:rPr>
        <w:t>​</w:t>
      </w:r>
    </w:p>
    <w:p w14:paraId="628FB71B" w14:textId="77777777" w:rsidR="0023349A" w:rsidRPr="0023349A" w:rsidRDefault="0023349A" w:rsidP="0023349A">
      <w:pPr>
        <w:spacing w:before="240"/>
        <w:jc w:val="both"/>
        <w:rPr>
          <w:rFonts w:ascii="Arial" w:hAnsi="Arial" w:cs="Arial"/>
          <w:b/>
          <w:bCs/>
        </w:rPr>
      </w:pPr>
      <w:r w:rsidRPr="0023349A">
        <w:rPr>
          <w:rFonts w:ascii="Arial" w:hAnsi="Arial" w:cs="Arial"/>
          <w:b/>
          <w:bCs/>
        </w:rPr>
        <w:t>Where:</w:t>
      </w:r>
    </w:p>
    <w:p w14:paraId="3E70704F" w14:textId="77777777" w:rsidR="0023349A" w:rsidRPr="0023349A" w:rsidRDefault="0023349A" w:rsidP="0023349A">
      <w:pPr>
        <w:numPr>
          <w:ilvl w:val="0"/>
          <w:numId w:val="1"/>
        </w:numPr>
        <w:spacing w:before="240" w:after="160"/>
        <w:jc w:val="both"/>
        <w:rPr>
          <w:rFonts w:ascii="Arial" w:hAnsi="Arial" w:cs="Arial"/>
        </w:rPr>
      </w:pPr>
      <w:r w:rsidRPr="0023349A">
        <w:rPr>
          <w:rFonts w:ascii="Arial" w:hAnsi="Arial" w:cs="Arial"/>
        </w:rPr>
        <w:t>P</w:t>
      </w:r>
      <w:r w:rsidRPr="0023349A">
        <w:rPr>
          <w:rFonts w:ascii="Arial" w:hAnsi="Arial" w:cs="Arial"/>
          <w:vertAlign w:val="subscript"/>
        </w:rPr>
        <w:t>i</w:t>
      </w:r>
      <w:r w:rsidRPr="0023349A">
        <w:rPr>
          <w:rFonts w:ascii="Arial" w:hAnsi="Arial" w:cs="Arial"/>
        </w:rPr>
        <w:t>​: Predicted value at instance iii.</w:t>
      </w:r>
    </w:p>
    <w:p w14:paraId="7A9156F2" w14:textId="77777777" w:rsidR="0023349A" w:rsidRPr="0023349A" w:rsidRDefault="0023349A" w:rsidP="0023349A">
      <w:pPr>
        <w:numPr>
          <w:ilvl w:val="0"/>
          <w:numId w:val="1"/>
        </w:numPr>
        <w:spacing w:before="240" w:after="160"/>
        <w:jc w:val="both"/>
        <w:rPr>
          <w:rFonts w:ascii="Arial" w:hAnsi="Arial" w:cs="Arial"/>
        </w:rPr>
      </w:pPr>
      <w:r w:rsidRPr="0023349A">
        <w:rPr>
          <w:rFonts w:ascii="Arial" w:hAnsi="Arial" w:cs="Arial"/>
        </w:rPr>
        <w:t>O</w:t>
      </w:r>
      <w:r w:rsidRPr="0023349A">
        <w:rPr>
          <w:rFonts w:ascii="Arial" w:hAnsi="Arial" w:cs="Arial"/>
          <w:vertAlign w:val="subscript"/>
        </w:rPr>
        <w:t>i</w:t>
      </w:r>
      <w:r w:rsidRPr="0023349A">
        <w:rPr>
          <w:rFonts w:ascii="Arial" w:hAnsi="Arial" w:cs="Arial"/>
        </w:rPr>
        <w:t>​: Observed value at instance iii.</w:t>
      </w:r>
    </w:p>
    <w:p w14:paraId="34C1705C" w14:textId="77777777" w:rsidR="0023349A" w:rsidRPr="0023349A" w:rsidRDefault="0023349A" w:rsidP="0023349A">
      <w:pPr>
        <w:numPr>
          <w:ilvl w:val="0"/>
          <w:numId w:val="1"/>
        </w:numPr>
        <w:spacing w:before="240" w:after="160"/>
        <w:jc w:val="both"/>
        <w:rPr>
          <w:rFonts w:ascii="Arial" w:hAnsi="Arial" w:cs="Arial"/>
        </w:rPr>
      </w:pPr>
      <w:r w:rsidRPr="0023349A">
        <w:rPr>
          <w:rFonts w:ascii="Arial" w:hAnsi="Arial" w:cs="Arial"/>
        </w:rPr>
        <w:t>Oˉ: Mean of observed values.</w:t>
      </w:r>
    </w:p>
    <w:p w14:paraId="7C00495E" w14:textId="77777777" w:rsidR="0023349A" w:rsidRPr="0023349A" w:rsidRDefault="0023349A" w:rsidP="0023349A">
      <w:pPr>
        <w:numPr>
          <w:ilvl w:val="0"/>
          <w:numId w:val="1"/>
        </w:numPr>
        <w:spacing w:before="240" w:after="160"/>
        <w:jc w:val="both"/>
        <w:rPr>
          <w:rFonts w:ascii="Arial" w:hAnsi="Arial" w:cs="Arial"/>
        </w:rPr>
      </w:pPr>
      <w:r w:rsidRPr="0023349A">
        <w:rPr>
          <w:rFonts w:ascii="Arial" w:hAnsi="Arial" w:cs="Arial"/>
        </w:rPr>
        <w:t>n: Number of observations.</w:t>
      </w:r>
    </w:p>
    <w:p w14:paraId="320B9415" w14:textId="77777777" w:rsidR="0023349A" w:rsidRPr="0023349A" w:rsidRDefault="0023349A" w:rsidP="0023349A">
      <w:pPr>
        <w:spacing w:before="240"/>
        <w:jc w:val="both"/>
        <w:rPr>
          <w:rFonts w:ascii="Arial" w:hAnsi="Arial" w:cs="Arial"/>
        </w:rPr>
      </w:pPr>
      <w:r w:rsidRPr="0023349A">
        <w:rPr>
          <w:rFonts w:ascii="Arial" w:hAnsi="Arial" w:cs="Arial"/>
        </w:rPr>
        <w:t>dr​ ranges from 0 to 1. dr​=1: Perfect agreement between predicted and observed values. dr​=0: No agreement.</w:t>
      </w:r>
    </w:p>
    <w:p w14:paraId="013CCA11" w14:textId="77777777" w:rsidR="0023349A" w:rsidRPr="0023349A" w:rsidRDefault="0023349A" w:rsidP="0023349A">
      <w:pPr>
        <w:spacing w:before="240"/>
        <w:jc w:val="both"/>
        <w:rPr>
          <w:rFonts w:ascii="Arial" w:hAnsi="Arial" w:cs="Arial"/>
        </w:rPr>
      </w:pPr>
      <w:r w:rsidRPr="0023349A">
        <w:rPr>
          <w:rFonts w:ascii="Arial" w:hAnsi="Arial" w:cs="Arial"/>
        </w:rPr>
        <w:t>Describing the accumulation of dry matter: The accumulation of dry matter is commonly described by a logistic model as a function of GDD. The normalized logistic model was fitted by GDD to test the performance of the methods for calculating GDD as follows:</w:t>
      </w:r>
    </w:p>
    <w:p w14:paraId="142098E3" w14:textId="77777777" w:rsidR="0023349A" w:rsidRPr="0023349A" w:rsidRDefault="0023349A" w:rsidP="0023349A">
      <w:pPr>
        <w:spacing w:before="240"/>
        <w:jc w:val="center"/>
        <w:rPr>
          <w:rFonts w:ascii="Arial" w:hAnsi="Arial" w:cs="Arial"/>
        </w:rPr>
      </w:pPr>
      <w:r w:rsidRPr="0023349A">
        <w:rPr>
          <w:rFonts w:ascii="Arial" w:hAnsi="Arial" w:cs="Arial"/>
          <w:noProof/>
        </w:rPr>
        <w:drawing>
          <wp:inline distT="0" distB="0" distL="0" distR="0" wp14:anchorId="57B36370" wp14:editId="17FAA07F">
            <wp:extent cx="2027799" cy="563880"/>
            <wp:effectExtent l="0" t="0" r="0" b="7620"/>
            <wp:docPr id="18161597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159779" name=""/>
                    <pic:cNvPicPr/>
                  </pic:nvPicPr>
                  <pic:blipFill>
                    <a:blip r:embed="rId14"/>
                    <a:stretch>
                      <a:fillRect/>
                    </a:stretch>
                  </pic:blipFill>
                  <pic:spPr>
                    <a:xfrm>
                      <a:off x="0" y="0"/>
                      <a:ext cx="2030542" cy="564643"/>
                    </a:xfrm>
                    <a:prstGeom prst="rect">
                      <a:avLst/>
                    </a:prstGeom>
                  </pic:spPr>
                </pic:pic>
              </a:graphicData>
            </a:graphic>
          </wp:inline>
        </w:drawing>
      </w:r>
    </w:p>
    <w:p w14:paraId="41960479" w14:textId="5F4E131F" w:rsidR="0023349A" w:rsidRPr="0023349A" w:rsidRDefault="0023349A" w:rsidP="0023349A">
      <w:pPr>
        <w:spacing w:before="240"/>
        <w:jc w:val="both"/>
        <w:rPr>
          <w:rFonts w:ascii="Arial" w:hAnsi="Arial" w:cs="Arial"/>
        </w:rPr>
      </w:pPr>
      <w:r w:rsidRPr="0023349A">
        <w:rPr>
          <w:rFonts w:ascii="Arial" w:hAnsi="Arial" w:cs="Arial"/>
        </w:rPr>
        <w:t xml:space="preserve">where </w:t>
      </w:r>
      <w:r w:rsidRPr="0023349A">
        <w:rPr>
          <w:rFonts w:ascii="Arial" w:hAnsi="Arial" w:cs="Arial"/>
          <w:i/>
          <w:iCs/>
        </w:rPr>
        <w:t>Y</w:t>
      </w:r>
      <w:r w:rsidR="00A07619">
        <w:rPr>
          <w:rFonts w:ascii="Arial" w:hAnsi="Arial" w:cs="Arial"/>
          <w:i/>
          <w:iCs/>
          <w:vertAlign w:val="subscript"/>
        </w:rPr>
        <w:t>O</w:t>
      </w:r>
      <w:r w:rsidRPr="0023349A">
        <w:rPr>
          <w:rFonts w:ascii="Arial" w:hAnsi="Arial" w:cs="Arial"/>
          <w:i/>
          <w:iCs/>
        </w:rPr>
        <w:t xml:space="preserve"> </w:t>
      </w:r>
      <w:r w:rsidRPr="0023349A">
        <w:rPr>
          <w:rFonts w:ascii="Arial" w:hAnsi="Arial" w:cs="Arial"/>
        </w:rPr>
        <w:t xml:space="preserve">is the observed amount of dry matter, </w:t>
      </w:r>
      <w:proofErr w:type="spellStart"/>
      <w:r w:rsidRPr="0023349A">
        <w:rPr>
          <w:rFonts w:ascii="Arial" w:hAnsi="Arial" w:cs="Arial"/>
          <w:i/>
          <w:iCs/>
        </w:rPr>
        <w:t>Y</w:t>
      </w:r>
      <w:r w:rsidRPr="00A07619">
        <w:rPr>
          <w:rFonts w:ascii="Arial" w:hAnsi="Arial" w:cs="Arial"/>
          <w:i/>
          <w:iCs/>
          <w:vertAlign w:val="subscript"/>
        </w:rPr>
        <w:t>m</w:t>
      </w:r>
      <w:proofErr w:type="spellEnd"/>
      <w:r w:rsidRPr="0023349A">
        <w:rPr>
          <w:rFonts w:ascii="Arial" w:hAnsi="Arial" w:cs="Arial"/>
          <w:i/>
          <w:iCs/>
        </w:rPr>
        <w:t xml:space="preserve"> </w:t>
      </w:r>
      <w:r w:rsidRPr="0023349A">
        <w:rPr>
          <w:rFonts w:ascii="Arial" w:hAnsi="Arial" w:cs="Arial"/>
        </w:rPr>
        <w:t xml:space="preserve">is the maximum amount of dry matter, </w:t>
      </w:r>
      <w:r w:rsidRPr="0023349A">
        <w:rPr>
          <w:rFonts w:ascii="Arial" w:hAnsi="Arial" w:cs="Arial"/>
          <w:i/>
          <w:iCs/>
        </w:rPr>
        <w:t xml:space="preserve">y </w:t>
      </w:r>
      <w:r w:rsidRPr="0023349A">
        <w:rPr>
          <w:rFonts w:ascii="Arial" w:hAnsi="Arial" w:cs="Arial"/>
        </w:rPr>
        <w:t xml:space="preserve">is the normalized amount of dry matter, and </w:t>
      </w:r>
      <w:r w:rsidRPr="0023349A">
        <w:rPr>
          <w:rFonts w:ascii="Arial" w:hAnsi="Arial" w:cs="Arial"/>
          <w:i/>
          <w:iCs/>
        </w:rPr>
        <w:t xml:space="preserve">a </w:t>
      </w:r>
      <w:r w:rsidRPr="0023349A">
        <w:rPr>
          <w:rFonts w:ascii="Arial" w:hAnsi="Arial" w:cs="Arial"/>
        </w:rPr>
        <w:t xml:space="preserve">and </w:t>
      </w:r>
      <w:r w:rsidRPr="0023349A">
        <w:rPr>
          <w:rFonts w:ascii="Arial" w:hAnsi="Arial" w:cs="Arial"/>
          <w:i/>
          <w:iCs/>
        </w:rPr>
        <w:t xml:space="preserve">b </w:t>
      </w:r>
      <w:r w:rsidRPr="0023349A">
        <w:rPr>
          <w:rFonts w:ascii="Arial" w:hAnsi="Arial" w:cs="Arial"/>
        </w:rPr>
        <w:t>are coefficients. The fitted amount of dry matter for each location was evaluated by the root mean square error (RMSE), defined as:</w:t>
      </w:r>
    </w:p>
    <w:p w14:paraId="33366A4A" w14:textId="77777777" w:rsidR="0023349A" w:rsidRPr="0023349A" w:rsidRDefault="0023349A" w:rsidP="0023349A">
      <w:pPr>
        <w:spacing w:before="240"/>
        <w:jc w:val="center"/>
        <w:rPr>
          <w:rFonts w:ascii="Arial" w:hAnsi="Arial" w:cs="Arial"/>
        </w:rPr>
      </w:pPr>
      <w:r w:rsidRPr="0023349A">
        <w:rPr>
          <w:rFonts w:ascii="Arial" w:hAnsi="Arial" w:cs="Arial"/>
          <w:noProof/>
        </w:rPr>
        <w:drawing>
          <wp:inline distT="0" distB="0" distL="0" distR="0" wp14:anchorId="04EBF5B1" wp14:editId="6B3D3AB3">
            <wp:extent cx="1508891" cy="624894"/>
            <wp:effectExtent l="0" t="0" r="0" b="3810"/>
            <wp:docPr id="337336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336179" name=""/>
                    <pic:cNvPicPr/>
                  </pic:nvPicPr>
                  <pic:blipFill>
                    <a:blip r:embed="rId15"/>
                    <a:stretch>
                      <a:fillRect/>
                    </a:stretch>
                  </pic:blipFill>
                  <pic:spPr>
                    <a:xfrm>
                      <a:off x="0" y="0"/>
                      <a:ext cx="1508891" cy="624894"/>
                    </a:xfrm>
                    <a:prstGeom prst="rect">
                      <a:avLst/>
                    </a:prstGeom>
                  </pic:spPr>
                </pic:pic>
              </a:graphicData>
            </a:graphic>
          </wp:inline>
        </w:drawing>
      </w:r>
    </w:p>
    <w:p w14:paraId="49987040" w14:textId="77777777" w:rsidR="0023349A" w:rsidRPr="0023349A" w:rsidRDefault="0023349A" w:rsidP="0023349A">
      <w:pPr>
        <w:spacing w:before="240"/>
        <w:jc w:val="both"/>
        <w:rPr>
          <w:rFonts w:ascii="Arial" w:hAnsi="Arial" w:cs="Arial"/>
        </w:rPr>
      </w:pPr>
      <w:r w:rsidRPr="0023349A">
        <w:rPr>
          <w:rFonts w:ascii="Arial" w:hAnsi="Arial" w:cs="Arial"/>
        </w:rPr>
        <w:t xml:space="preserve">where </w:t>
      </w:r>
      <w:proofErr w:type="spellStart"/>
      <w:r w:rsidRPr="0023349A">
        <w:rPr>
          <w:rFonts w:ascii="Arial" w:hAnsi="Arial" w:cs="Arial"/>
          <w:i/>
          <w:iCs/>
        </w:rPr>
        <w:t>y</w:t>
      </w:r>
      <w:r w:rsidRPr="00A07619">
        <w:rPr>
          <w:rFonts w:ascii="Arial" w:hAnsi="Arial" w:cs="Arial"/>
          <w:i/>
          <w:iCs/>
          <w:vertAlign w:val="subscript"/>
        </w:rPr>
        <w:t>oi</w:t>
      </w:r>
      <w:proofErr w:type="spellEnd"/>
      <w:r w:rsidRPr="0023349A">
        <w:rPr>
          <w:rFonts w:ascii="Arial" w:hAnsi="Arial" w:cs="Arial"/>
          <w:i/>
          <w:iCs/>
        </w:rPr>
        <w:t xml:space="preserve"> </w:t>
      </w:r>
      <w:r w:rsidRPr="0023349A">
        <w:rPr>
          <w:rFonts w:ascii="Arial" w:hAnsi="Arial" w:cs="Arial"/>
        </w:rPr>
        <w:t xml:space="preserve">and </w:t>
      </w:r>
      <w:proofErr w:type="spellStart"/>
      <w:r w:rsidRPr="0023349A">
        <w:rPr>
          <w:rFonts w:ascii="Arial" w:hAnsi="Arial" w:cs="Arial"/>
          <w:i/>
          <w:iCs/>
        </w:rPr>
        <w:t>y</w:t>
      </w:r>
      <w:r w:rsidRPr="00A07619">
        <w:rPr>
          <w:rFonts w:ascii="Arial" w:hAnsi="Arial" w:cs="Arial"/>
          <w:i/>
          <w:iCs/>
          <w:vertAlign w:val="subscript"/>
        </w:rPr>
        <w:t>fi</w:t>
      </w:r>
      <w:proofErr w:type="spellEnd"/>
      <w:r w:rsidRPr="0023349A">
        <w:rPr>
          <w:rFonts w:ascii="Arial" w:hAnsi="Arial" w:cs="Arial"/>
          <w:i/>
          <w:iCs/>
        </w:rPr>
        <w:t xml:space="preserve"> </w:t>
      </w:r>
      <w:r w:rsidRPr="0023349A">
        <w:rPr>
          <w:rFonts w:ascii="Arial" w:hAnsi="Arial" w:cs="Arial"/>
        </w:rPr>
        <w:t>are the observed and fitted amounts of dry matter, respectively, and n is the number of observations.</w:t>
      </w:r>
    </w:p>
    <w:p w14:paraId="2D6CAA86" w14:textId="77777777" w:rsidR="0023349A" w:rsidRPr="0023349A" w:rsidRDefault="0023349A" w:rsidP="0023349A">
      <w:pPr>
        <w:pStyle w:val="Head1"/>
        <w:spacing w:before="240" w:after="0"/>
        <w:jc w:val="both"/>
        <w:rPr>
          <w:rFonts w:ascii="Arial" w:hAnsi="Arial" w:cs="Arial"/>
        </w:rPr>
      </w:pPr>
      <w:r w:rsidRPr="0023349A">
        <w:rPr>
          <w:rFonts w:ascii="Arial" w:hAnsi="Arial" w:cs="Arial"/>
        </w:rPr>
        <w:t>3. results and discussion</w:t>
      </w:r>
    </w:p>
    <w:p w14:paraId="114D665D" w14:textId="77777777" w:rsidR="0023349A" w:rsidRPr="0023349A" w:rsidRDefault="0023349A" w:rsidP="0023349A">
      <w:pPr>
        <w:spacing w:before="240"/>
        <w:jc w:val="both"/>
        <w:rPr>
          <w:rFonts w:ascii="Arial" w:hAnsi="Arial" w:cs="Arial"/>
        </w:rPr>
      </w:pPr>
      <w:r w:rsidRPr="0023349A">
        <w:rPr>
          <w:rFonts w:ascii="Arial" w:hAnsi="Arial" w:cs="Arial"/>
        </w:rPr>
        <w:t xml:space="preserve">The Growing Degree Days (GDD) required to progress from sowing to various developmental stages were calculated using three different methods for wheat, as illustrated in Figures 1. The GDD values for the same crop at the same location varied depending on the calculation method. For instance, at the </w:t>
      </w:r>
      <w:proofErr w:type="spellStart"/>
      <w:r w:rsidRPr="0023349A">
        <w:rPr>
          <w:rFonts w:ascii="Arial" w:hAnsi="Arial" w:cs="Arial"/>
        </w:rPr>
        <w:t>Ballowal</w:t>
      </w:r>
      <w:proofErr w:type="spellEnd"/>
      <w:r w:rsidRPr="0023349A">
        <w:rPr>
          <w:rFonts w:ascii="Arial" w:hAnsi="Arial" w:cs="Arial"/>
        </w:rPr>
        <w:t xml:space="preserve"> </w:t>
      </w:r>
      <w:proofErr w:type="spellStart"/>
      <w:r w:rsidRPr="0023349A">
        <w:rPr>
          <w:rFonts w:ascii="Arial" w:hAnsi="Arial" w:cs="Arial"/>
        </w:rPr>
        <w:t>Saukhri</w:t>
      </w:r>
      <w:proofErr w:type="spellEnd"/>
      <w:r w:rsidRPr="0023349A">
        <w:rPr>
          <w:rFonts w:ascii="Arial" w:hAnsi="Arial" w:cs="Arial"/>
        </w:rPr>
        <w:t>, the GDD needed for wheat to reach maturity was 1880.8 ± 34 °C (Method 1),</w:t>
      </w:r>
    </w:p>
    <w:p w14:paraId="615CC737" w14:textId="77777777" w:rsidR="0023349A" w:rsidRPr="0023349A" w:rsidRDefault="0023349A" w:rsidP="0023349A">
      <w:pPr>
        <w:spacing w:before="240"/>
        <w:jc w:val="both"/>
        <w:rPr>
          <w:rFonts w:ascii="Arial" w:hAnsi="Arial" w:cs="Arial"/>
        </w:rPr>
      </w:pPr>
      <w:r w:rsidRPr="0023349A">
        <w:rPr>
          <w:rFonts w:ascii="Arial" w:hAnsi="Arial" w:cs="Arial"/>
          <w:noProof/>
        </w:rPr>
        <w:lastRenderedPageBreak/>
        <w:drawing>
          <wp:inline distT="0" distB="0" distL="0" distR="0" wp14:anchorId="2701D619" wp14:editId="0C7F344F">
            <wp:extent cx="5375031" cy="6875063"/>
            <wp:effectExtent l="0" t="0" r="0" b="2540"/>
            <wp:docPr id="210825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382031" cy="6884017"/>
                    </a:xfrm>
                    <a:prstGeom prst="rect">
                      <a:avLst/>
                    </a:prstGeom>
                    <a:noFill/>
                    <a:ln>
                      <a:noFill/>
                    </a:ln>
                  </pic:spPr>
                </pic:pic>
              </a:graphicData>
            </a:graphic>
          </wp:inline>
        </w:drawing>
      </w:r>
      <w:r w:rsidRPr="0023349A">
        <w:rPr>
          <w:rFonts w:ascii="Arial" w:hAnsi="Arial" w:cs="Arial"/>
        </w:rPr>
        <w:t xml:space="preserve"> </w:t>
      </w:r>
    </w:p>
    <w:p w14:paraId="3F53631F" w14:textId="5DE1C987" w:rsidR="0023349A" w:rsidRPr="0023349A" w:rsidRDefault="0023349A" w:rsidP="0023349A">
      <w:pPr>
        <w:spacing w:before="240"/>
        <w:jc w:val="both"/>
        <w:rPr>
          <w:rFonts w:ascii="Arial" w:hAnsi="Arial" w:cs="Arial"/>
          <w:b/>
          <w:bCs/>
        </w:rPr>
      </w:pPr>
      <w:r w:rsidRPr="0023349A">
        <w:rPr>
          <w:rFonts w:ascii="Arial" w:hAnsi="Arial" w:cs="Arial"/>
          <w:b/>
          <w:bCs/>
        </w:rPr>
        <w:t>Fig</w:t>
      </w:r>
      <w:r w:rsidR="00FD4C87">
        <w:rPr>
          <w:rFonts w:ascii="Arial" w:hAnsi="Arial" w:cs="Arial"/>
          <w:b/>
          <w:bCs/>
        </w:rPr>
        <w:t>.</w:t>
      </w:r>
      <w:r w:rsidRPr="0023349A">
        <w:rPr>
          <w:rFonts w:ascii="Arial" w:hAnsi="Arial" w:cs="Arial"/>
          <w:b/>
          <w:bCs/>
        </w:rPr>
        <w:t xml:space="preserve"> 1</w:t>
      </w:r>
      <w:r w:rsidR="00FD4C87">
        <w:rPr>
          <w:rFonts w:ascii="Arial" w:hAnsi="Arial" w:cs="Arial"/>
          <w:b/>
          <w:bCs/>
        </w:rPr>
        <w:t>.</w:t>
      </w:r>
      <w:r w:rsidRPr="0023349A">
        <w:rPr>
          <w:rFonts w:ascii="Arial" w:hAnsi="Arial" w:cs="Arial"/>
          <w:b/>
          <w:bCs/>
        </w:rPr>
        <w:t xml:space="preserve"> Box plots of GDD required to reach the developmental stages after sowing calculated by the three methods for wheat at three stations: </w:t>
      </w:r>
      <w:proofErr w:type="spellStart"/>
      <w:r w:rsidRPr="0023349A">
        <w:rPr>
          <w:rFonts w:ascii="Arial" w:hAnsi="Arial" w:cs="Arial"/>
          <w:b/>
          <w:bCs/>
        </w:rPr>
        <w:t>Ballowal</w:t>
      </w:r>
      <w:proofErr w:type="spellEnd"/>
      <w:r w:rsidRPr="0023349A">
        <w:rPr>
          <w:rFonts w:ascii="Arial" w:hAnsi="Arial" w:cs="Arial"/>
          <w:b/>
          <w:bCs/>
        </w:rPr>
        <w:t xml:space="preserve"> </w:t>
      </w:r>
      <w:proofErr w:type="spellStart"/>
      <w:r w:rsidRPr="0023349A">
        <w:rPr>
          <w:rFonts w:ascii="Arial" w:hAnsi="Arial" w:cs="Arial"/>
          <w:b/>
          <w:bCs/>
        </w:rPr>
        <w:t>Saukhri</w:t>
      </w:r>
      <w:proofErr w:type="spellEnd"/>
      <w:r w:rsidRPr="0023349A">
        <w:rPr>
          <w:rFonts w:ascii="Arial" w:hAnsi="Arial" w:cs="Arial"/>
          <w:b/>
          <w:bCs/>
        </w:rPr>
        <w:t>, Ludhiana and Faridkot.</w:t>
      </w:r>
    </w:p>
    <w:p w14:paraId="7D0E6371" w14:textId="77777777" w:rsidR="0023349A" w:rsidRPr="0023349A" w:rsidRDefault="0023349A" w:rsidP="0023349A">
      <w:pPr>
        <w:spacing w:before="240"/>
        <w:jc w:val="both"/>
        <w:rPr>
          <w:rFonts w:ascii="Arial" w:hAnsi="Arial" w:cs="Arial"/>
        </w:rPr>
      </w:pPr>
      <w:r w:rsidRPr="0023349A">
        <w:rPr>
          <w:rFonts w:ascii="Arial" w:hAnsi="Arial" w:cs="Arial"/>
        </w:rPr>
        <w:t xml:space="preserve">1710.65 ± 34 °C (Method 2) and 1618 ± 38 °C (Method 3). Similarly, Method 1 determined that wheat required 1702.7 ± 116 °C at the Ludhiana and 1663.2 ± 77 °C at the Faridkot to reach maturity. Method 2 determined GDD requirement as 1710.7 ± 116 °C at the Ludhiana and 1675.8 ± 80 °C at the Faridkot for wheat to reach maturity Method 3 produced significantly lower GDD </w:t>
      </w:r>
      <w:r w:rsidRPr="0023349A">
        <w:rPr>
          <w:rFonts w:ascii="Arial" w:hAnsi="Arial" w:cs="Arial"/>
          <w:i/>
          <w:iCs/>
        </w:rPr>
        <w:t>viz</w:t>
      </w:r>
      <w:r w:rsidRPr="0023349A">
        <w:rPr>
          <w:rFonts w:ascii="Arial" w:hAnsi="Arial" w:cs="Arial"/>
        </w:rPr>
        <w:t>., 1439.2 ± 105°C and 1455.6 ± 95°C for wheat at Ludhiana and Faridkot, respectively, compared to Methods 1 and 2.</w:t>
      </w:r>
    </w:p>
    <w:p w14:paraId="2C09D552" w14:textId="5DC90713" w:rsidR="0023349A" w:rsidRPr="0023349A" w:rsidRDefault="0023349A" w:rsidP="0023349A">
      <w:pPr>
        <w:spacing w:before="240"/>
        <w:jc w:val="both"/>
        <w:rPr>
          <w:rFonts w:ascii="Arial" w:hAnsi="Arial" w:cs="Arial"/>
        </w:rPr>
      </w:pPr>
      <w:r w:rsidRPr="0023349A">
        <w:rPr>
          <w:rFonts w:ascii="Arial" w:hAnsi="Arial" w:cs="Arial"/>
        </w:rPr>
        <w:t>The coefficient of variation (CV) values for phenological stages across three locations—</w:t>
      </w:r>
      <w:proofErr w:type="spellStart"/>
      <w:r w:rsidRPr="0023349A">
        <w:rPr>
          <w:rFonts w:ascii="Arial" w:hAnsi="Arial" w:cs="Arial"/>
        </w:rPr>
        <w:t>Ballowal</w:t>
      </w:r>
      <w:proofErr w:type="spellEnd"/>
      <w:r w:rsidRPr="0023349A">
        <w:rPr>
          <w:rFonts w:ascii="Arial" w:hAnsi="Arial" w:cs="Arial"/>
        </w:rPr>
        <w:t xml:space="preserve"> </w:t>
      </w:r>
      <w:proofErr w:type="spellStart"/>
      <w:r w:rsidRPr="0023349A">
        <w:rPr>
          <w:rFonts w:ascii="Arial" w:hAnsi="Arial" w:cs="Arial"/>
        </w:rPr>
        <w:t>Saunkhri</w:t>
      </w:r>
      <w:proofErr w:type="spellEnd"/>
      <w:r w:rsidRPr="0023349A">
        <w:rPr>
          <w:rFonts w:ascii="Arial" w:hAnsi="Arial" w:cs="Arial"/>
        </w:rPr>
        <w:t xml:space="preserve">, Ludhiana, and Faridkot—were analyzed to assess the performance of three GDD calculation </w:t>
      </w:r>
      <w:r w:rsidRPr="0023349A">
        <w:rPr>
          <w:rFonts w:ascii="Arial" w:hAnsi="Arial" w:cs="Arial"/>
        </w:rPr>
        <w:lastRenderedPageBreak/>
        <w:t xml:space="preserve">methods. Low CV values indicate better reliability and precision of GDD estimation, which is critical for accurate phenological modeling </w:t>
      </w:r>
      <w:r>
        <w:rPr>
          <w:rFonts w:ascii="Arial" w:hAnsi="Arial" w:cs="Arial"/>
        </w:rPr>
        <w:t>[12]</w:t>
      </w:r>
      <w:r w:rsidRPr="0023349A">
        <w:rPr>
          <w:rFonts w:ascii="Arial" w:hAnsi="Arial" w:cs="Arial"/>
        </w:rPr>
        <w:t>.</w:t>
      </w:r>
    </w:p>
    <w:p w14:paraId="10497A97" w14:textId="4922A41F" w:rsidR="0023349A" w:rsidRPr="0023349A" w:rsidRDefault="0023349A" w:rsidP="0023349A">
      <w:pPr>
        <w:spacing w:before="240"/>
        <w:jc w:val="both"/>
        <w:rPr>
          <w:rFonts w:ascii="Arial" w:hAnsi="Arial" w:cs="Arial"/>
        </w:rPr>
      </w:pPr>
      <w:r w:rsidRPr="0023349A">
        <w:rPr>
          <w:rFonts w:ascii="Arial" w:hAnsi="Arial" w:cs="Arial"/>
        </w:rPr>
        <w:t xml:space="preserve">At </w:t>
      </w:r>
      <w:proofErr w:type="spellStart"/>
      <w:r w:rsidRPr="0023349A">
        <w:rPr>
          <w:rFonts w:ascii="Arial" w:hAnsi="Arial" w:cs="Arial"/>
        </w:rPr>
        <w:t>Ballowal</w:t>
      </w:r>
      <w:proofErr w:type="spellEnd"/>
      <w:r w:rsidRPr="0023349A">
        <w:rPr>
          <w:rFonts w:ascii="Arial" w:hAnsi="Arial" w:cs="Arial"/>
        </w:rPr>
        <w:t xml:space="preserve"> </w:t>
      </w:r>
      <w:proofErr w:type="spellStart"/>
      <w:r w:rsidRPr="0023349A">
        <w:rPr>
          <w:rFonts w:ascii="Arial" w:hAnsi="Arial" w:cs="Arial"/>
        </w:rPr>
        <w:t>Saunkhri</w:t>
      </w:r>
      <w:proofErr w:type="spellEnd"/>
      <w:r w:rsidRPr="0023349A">
        <w:rPr>
          <w:rFonts w:ascii="Arial" w:hAnsi="Arial" w:cs="Arial"/>
        </w:rPr>
        <w:t>, Methods 1 and 2 showed similar low variation for Emergence (24.4%) and CRI (~5%), suggesting these methods' suitability for early stages with minimal temperature fluctuations. In contrast, the cosine-wave method (Method 3) exhibited slightly higher variation for Emergence (27.2%) but notably lower variation for Tillering (3.5%), reflecting its ability to model temperature dynamics effectively during intermediate stages. The reduced variation in Method 3 during Tillering may result from its capacity to account for diurnal temperature variations more accurately</w:t>
      </w:r>
      <w:r>
        <w:rPr>
          <w:rFonts w:ascii="Arial" w:hAnsi="Arial" w:cs="Arial"/>
        </w:rPr>
        <w:t xml:space="preserve"> [13].</w:t>
      </w:r>
    </w:p>
    <w:p w14:paraId="6DF0B77D" w14:textId="0484D8DA" w:rsidR="0023349A" w:rsidRPr="0023349A" w:rsidRDefault="0023349A" w:rsidP="0023349A">
      <w:pPr>
        <w:spacing w:before="240"/>
        <w:jc w:val="both"/>
        <w:rPr>
          <w:rFonts w:ascii="Arial" w:hAnsi="Arial" w:cs="Arial"/>
          <w:b/>
          <w:bCs/>
        </w:rPr>
      </w:pPr>
      <w:r w:rsidRPr="0023349A">
        <w:rPr>
          <w:rFonts w:ascii="Arial" w:hAnsi="Arial" w:cs="Arial"/>
          <w:b/>
          <w:bCs/>
        </w:rPr>
        <w:t>Table 1</w:t>
      </w:r>
      <w:r w:rsidR="00FD4C87">
        <w:rPr>
          <w:rFonts w:ascii="Arial" w:hAnsi="Arial" w:cs="Arial"/>
          <w:b/>
          <w:bCs/>
        </w:rPr>
        <w:t>.</w:t>
      </w:r>
      <w:r w:rsidRPr="0023349A">
        <w:rPr>
          <w:rFonts w:ascii="Arial" w:hAnsi="Arial" w:cs="Arial"/>
          <w:b/>
          <w:bCs/>
        </w:rPr>
        <w:t xml:space="preserve"> CV (%) of the predicted developmental stages for wheat.</w:t>
      </w:r>
    </w:p>
    <w:tbl>
      <w:tblPr>
        <w:tblW w:w="9203" w:type="dxa"/>
        <w:tblLook w:val="04A0" w:firstRow="1" w:lastRow="0" w:firstColumn="1" w:lastColumn="0" w:noHBand="0" w:noVBand="1"/>
      </w:tblPr>
      <w:tblGrid>
        <w:gridCol w:w="1139"/>
        <w:gridCol w:w="1194"/>
        <w:gridCol w:w="1239"/>
        <w:gridCol w:w="981"/>
        <w:gridCol w:w="931"/>
        <w:gridCol w:w="913"/>
        <w:gridCol w:w="962"/>
        <w:gridCol w:w="876"/>
        <w:gridCol w:w="999"/>
      </w:tblGrid>
      <w:tr w:rsidR="0023349A" w:rsidRPr="0023349A" w14:paraId="10FDB6E8" w14:textId="77777777" w:rsidTr="00D234A5">
        <w:trPr>
          <w:trHeight w:val="291"/>
        </w:trPr>
        <w:tc>
          <w:tcPr>
            <w:tcW w:w="113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BC1EEF" w14:textId="77777777" w:rsidR="0023349A" w:rsidRPr="0023349A" w:rsidRDefault="0023349A" w:rsidP="0023349A">
            <w:pPr>
              <w:spacing w:before="240"/>
              <w:rPr>
                <w:rFonts w:ascii="Arial" w:hAnsi="Arial" w:cs="Arial"/>
                <w:color w:val="000000"/>
                <w:lang w:eastAsia="en-GB"/>
              </w:rPr>
            </w:pPr>
            <w:r w:rsidRPr="0023349A">
              <w:rPr>
                <w:rFonts w:ascii="Arial" w:hAnsi="Arial" w:cs="Arial"/>
                <w:color w:val="000000"/>
                <w:lang w:eastAsia="en-GB"/>
              </w:rPr>
              <w:t>Location</w:t>
            </w:r>
          </w:p>
        </w:tc>
        <w:tc>
          <w:tcPr>
            <w:tcW w:w="1194" w:type="dxa"/>
            <w:tcBorders>
              <w:top w:val="single" w:sz="4" w:space="0" w:color="000000"/>
              <w:left w:val="nil"/>
              <w:bottom w:val="single" w:sz="4" w:space="0" w:color="000000"/>
              <w:right w:val="single" w:sz="4" w:space="0" w:color="000000"/>
            </w:tcBorders>
            <w:shd w:val="clear" w:color="auto" w:fill="auto"/>
            <w:noWrap/>
            <w:vAlign w:val="bottom"/>
            <w:hideMark/>
          </w:tcPr>
          <w:p w14:paraId="39FB9FA6" w14:textId="77777777" w:rsidR="0023349A" w:rsidRPr="0023349A" w:rsidRDefault="0023349A" w:rsidP="0023349A">
            <w:pPr>
              <w:spacing w:before="240"/>
              <w:rPr>
                <w:rFonts w:ascii="Arial" w:hAnsi="Arial" w:cs="Arial"/>
                <w:color w:val="000000"/>
                <w:lang w:eastAsia="en-GB"/>
              </w:rPr>
            </w:pPr>
            <w:r w:rsidRPr="0023349A">
              <w:rPr>
                <w:rFonts w:ascii="Arial" w:hAnsi="Arial" w:cs="Arial"/>
                <w:color w:val="000000"/>
                <w:lang w:eastAsia="en-GB"/>
              </w:rPr>
              <w:t>Method</w:t>
            </w:r>
          </w:p>
        </w:tc>
        <w:tc>
          <w:tcPr>
            <w:tcW w:w="1216" w:type="dxa"/>
            <w:tcBorders>
              <w:top w:val="single" w:sz="4" w:space="0" w:color="000000"/>
              <w:left w:val="nil"/>
              <w:bottom w:val="single" w:sz="4" w:space="0" w:color="000000"/>
              <w:right w:val="single" w:sz="4" w:space="0" w:color="000000"/>
            </w:tcBorders>
            <w:shd w:val="clear" w:color="auto" w:fill="auto"/>
            <w:noWrap/>
            <w:vAlign w:val="bottom"/>
            <w:hideMark/>
          </w:tcPr>
          <w:p w14:paraId="05288192"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Emergence</w:t>
            </w:r>
          </w:p>
        </w:tc>
        <w:tc>
          <w:tcPr>
            <w:tcW w:w="981" w:type="dxa"/>
            <w:tcBorders>
              <w:top w:val="single" w:sz="4" w:space="0" w:color="000000"/>
              <w:left w:val="nil"/>
              <w:bottom w:val="single" w:sz="4" w:space="0" w:color="000000"/>
              <w:right w:val="single" w:sz="4" w:space="0" w:color="000000"/>
            </w:tcBorders>
            <w:shd w:val="clear" w:color="auto" w:fill="auto"/>
            <w:noWrap/>
            <w:vAlign w:val="bottom"/>
            <w:hideMark/>
          </w:tcPr>
          <w:p w14:paraId="7DFF5E7B"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CRI</w:t>
            </w:r>
          </w:p>
        </w:tc>
        <w:tc>
          <w:tcPr>
            <w:tcW w:w="931" w:type="dxa"/>
            <w:tcBorders>
              <w:top w:val="single" w:sz="4" w:space="0" w:color="000000"/>
              <w:left w:val="nil"/>
              <w:bottom w:val="single" w:sz="4" w:space="0" w:color="000000"/>
              <w:right w:val="single" w:sz="4" w:space="0" w:color="000000"/>
            </w:tcBorders>
            <w:shd w:val="clear" w:color="auto" w:fill="auto"/>
            <w:noWrap/>
            <w:vAlign w:val="bottom"/>
            <w:hideMark/>
          </w:tcPr>
          <w:p w14:paraId="48D88779"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Tillering</w:t>
            </w:r>
          </w:p>
        </w:tc>
        <w:tc>
          <w:tcPr>
            <w:tcW w:w="913" w:type="dxa"/>
            <w:tcBorders>
              <w:top w:val="single" w:sz="4" w:space="0" w:color="000000"/>
              <w:left w:val="nil"/>
              <w:bottom w:val="single" w:sz="4" w:space="0" w:color="000000"/>
              <w:right w:val="single" w:sz="4" w:space="0" w:color="000000"/>
            </w:tcBorders>
            <w:shd w:val="clear" w:color="auto" w:fill="auto"/>
            <w:noWrap/>
            <w:vAlign w:val="bottom"/>
            <w:hideMark/>
          </w:tcPr>
          <w:p w14:paraId="35D21149"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Jointing</w:t>
            </w:r>
          </w:p>
        </w:tc>
        <w:tc>
          <w:tcPr>
            <w:tcW w:w="954" w:type="dxa"/>
            <w:tcBorders>
              <w:top w:val="single" w:sz="4" w:space="0" w:color="000000"/>
              <w:left w:val="nil"/>
              <w:bottom w:val="single" w:sz="4" w:space="0" w:color="000000"/>
              <w:right w:val="single" w:sz="4" w:space="0" w:color="000000"/>
            </w:tcBorders>
            <w:shd w:val="clear" w:color="auto" w:fill="auto"/>
            <w:noWrap/>
            <w:vAlign w:val="bottom"/>
            <w:hideMark/>
          </w:tcPr>
          <w:p w14:paraId="56EDFFAD"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Heading</w:t>
            </w:r>
          </w:p>
        </w:tc>
        <w:tc>
          <w:tcPr>
            <w:tcW w:w="876" w:type="dxa"/>
            <w:tcBorders>
              <w:top w:val="single" w:sz="4" w:space="0" w:color="000000"/>
              <w:left w:val="nil"/>
              <w:bottom w:val="single" w:sz="4" w:space="0" w:color="000000"/>
              <w:right w:val="single" w:sz="4" w:space="0" w:color="000000"/>
            </w:tcBorders>
            <w:shd w:val="clear" w:color="auto" w:fill="auto"/>
            <w:noWrap/>
            <w:vAlign w:val="bottom"/>
            <w:hideMark/>
          </w:tcPr>
          <w:p w14:paraId="037667BE"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Milking</w:t>
            </w:r>
          </w:p>
        </w:tc>
        <w:tc>
          <w:tcPr>
            <w:tcW w:w="999" w:type="dxa"/>
            <w:tcBorders>
              <w:top w:val="single" w:sz="4" w:space="0" w:color="000000"/>
              <w:left w:val="nil"/>
              <w:bottom w:val="single" w:sz="4" w:space="0" w:color="000000"/>
              <w:right w:val="single" w:sz="4" w:space="0" w:color="000000"/>
            </w:tcBorders>
            <w:shd w:val="clear" w:color="auto" w:fill="auto"/>
            <w:noWrap/>
            <w:vAlign w:val="bottom"/>
            <w:hideMark/>
          </w:tcPr>
          <w:p w14:paraId="707699F8"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Maturity</w:t>
            </w:r>
          </w:p>
        </w:tc>
      </w:tr>
      <w:tr w:rsidR="0023349A" w:rsidRPr="0023349A" w14:paraId="2C512B00" w14:textId="77777777" w:rsidTr="00D234A5">
        <w:trPr>
          <w:trHeight w:val="291"/>
        </w:trPr>
        <w:tc>
          <w:tcPr>
            <w:tcW w:w="1139"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705EA6D7" w14:textId="77777777" w:rsidR="0023349A" w:rsidRPr="0023349A" w:rsidRDefault="0023349A" w:rsidP="0023349A">
            <w:pPr>
              <w:spacing w:before="240"/>
              <w:rPr>
                <w:rFonts w:ascii="Arial" w:hAnsi="Arial" w:cs="Arial"/>
                <w:color w:val="000000"/>
                <w:lang w:eastAsia="en-GB"/>
              </w:rPr>
            </w:pPr>
            <w:proofErr w:type="spellStart"/>
            <w:r w:rsidRPr="0023349A">
              <w:rPr>
                <w:rFonts w:ascii="Arial" w:hAnsi="Arial" w:cs="Arial"/>
                <w:color w:val="000000"/>
                <w:lang w:eastAsia="en-GB"/>
              </w:rPr>
              <w:t>Ballowal</w:t>
            </w:r>
            <w:proofErr w:type="spellEnd"/>
            <w:r w:rsidRPr="0023349A">
              <w:rPr>
                <w:rFonts w:ascii="Arial" w:hAnsi="Arial" w:cs="Arial"/>
                <w:color w:val="000000"/>
                <w:lang w:eastAsia="en-GB"/>
              </w:rPr>
              <w:t xml:space="preserve"> </w:t>
            </w:r>
            <w:proofErr w:type="spellStart"/>
            <w:r w:rsidRPr="0023349A">
              <w:rPr>
                <w:rFonts w:ascii="Arial" w:hAnsi="Arial" w:cs="Arial"/>
                <w:color w:val="000000"/>
                <w:lang w:eastAsia="en-GB"/>
              </w:rPr>
              <w:t>Saunkhri</w:t>
            </w:r>
            <w:proofErr w:type="spellEnd"/>
          </w:p>
        </w:tc>
        <w:tc>
          <w:tcPr>
            <w:tcW w:w="1194" w:type="dxa"/>
            <w:tcBorders>
              <w:top w:val="nil"/>
              <w:left w:val="nil"/>
              <w:bottom w:val="single" w:sz="4" w:space="0" w:color="000000"/>
              <w:right w:val="single" w:sz="4" w:space="0" w:color="000000"/>
            </w:tcBorders>
            <w:shd w:val="clear" w:color="auto" w:fill="auto"/>
            <w:noWrap/>
            <w:vAlign w:val="bottom"/>
            <w:hideMark/>
          </w:tcPr>
          <w:p w14:paraId="7A3367A9" w14:textId="77777777" w:rsidR="0023349A" w:rsidRPr="0023349A" w:rsidRDefault="0023349A" w:rsidP="0023349A">
            <w:pPr>
              <w:spacing w:before="240"/>
              <w:rPr>
                <w:rFonts w:ascii="Arial" w:hAnsi="Arial" w:cs="Arial"/>
                <w:color w:val="000000"/>
                <w:lang w:eastAsia="en-GB"/>
              </w:rPr>
            </w:pPr>
            <w:r w:rsidRPr="0023349A">
              <w:rPr>
                <w:rFonts w:ascii="Arial" w:hAnsi="Arial" w:cs="Arial"/>
                <w:color w:val="000000"/>
                <w:lang w:eastAsia="en-GB"/>
              </w:rPr>
              <w:t>Method 1</w:t>
            </w:r>
          </w:p>
        </w:tc>
        <w:tc>
          <w:tcPr>
            <w:tcW w:w="1216" w:type="dxa"/>
            <w:tcBorders>
              <w:top w:val="nil"/>
              <w:left w:val="nil"/>
              <w:bottom w:val="single" w:sz="4" w:space="0" w:color="000000"/>
              <w:right w:val="single" w:sz="4" w:space="0" w:color="000000"/>
            </w:tcBorders>
            <w:shd w:val="clear" w:color="auto" w:fill="auto"/>
            <w:noWrap/>
            <w:vAlign w:val="bottom"/>
            <w:hideMark/>
          </w:tcPr>
          <w:p w14:paraId="211CAB6B"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24.4</w:t>
            </w:r>
          </w:p>
        </w:tc>
        <w:tc>
          <w:tcPr>
            <w:tcW w:w="981" w:type="dxa"/>
            <w:tcBorders>
              <w:top w:val="nil"/>
              <w:left w:val="nil"/>
              <w:bottom w:val="single" w:sz="4" w:space="0" w:color="000000"/>
              <w:right w:val="single" w:sz="4" w:space="0" w:color="000000"/>
            </w:tcBorders>
            <w:shd w:val="clear" w:color="auto" w:fill="auto"/>
            <w:noWrap/>
            <w:vAlign w:val="bottom"/>
            <w:hideMark/>
          </w:tcPr>
          <w:p w14:paraId="63E8E66F"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5.2</w:t>
            </w:r>
          </w:p>
        </w:tc>
        <w:tc>
          <w:tcPr>
            <w:tcW w:w="931" w:type="dxa"/>
            <w:tcBorders>
              <w:top w:val="nil"/>
              <w:left w:val="nil"/>
              <w:bottom w:val="single" w:sz="4" w:space="0" w:color="000000"/>
              <w:right w:val="single" w:sz="4" w:space="0" w:color="000000"/>
            </w:tcBorders>
            <w:shd w:val="clear" w:color="auto" w:fill="auto"/>
            <w:noWrap/>
            <w:vAlign w:val="bottom"/>
            <w:hideMark/>
          </w:tcPr>
          <w:p w14:paraId="78DD23DC"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7.1</w:t>
            </w:r>
          </w:p>
        </w:tc>
        <w:tc>
          <w:tcPr>
            <w:tcW w:w="913" w:type="dxa"/>
            <w:tcBorders>
              <w:top w:val="nil"/>
              <w:left w:val="nil"/>
              <w:bottom w:val="single" w:sz="4" w:space="0" w:color="000000"/>
              <w:right w:val="single" w:sz="4" w:space="0" w:color="000000"/>
            </w:tcBorders>
            <w:shd w:val="clear" w:color="auto" w:fill="auto"/>
            <w:noWrap/>
            <w:vAlign w:val="bottom"/>
            <w:hideMark/>
          </w:tcPr>
          <w:p w14:paraId="56B5B292"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4.7</w:t>
            </w:r>
          </w:p>
        </w:tc>
        <w:tc>
          <w:tcPr>
            <w:tcW w:w="954" w:type="dxa"/>
            <w:tcBorders>
              <w:top w:val="nil"/>
              <w:left w:val="nil"/>
              <w:bottom w:val="single" w:sz="4" w:space="0" w:color="000000"/>
              <w:right w:val="single" w:sz="4" w:space="0" w:color="000000"/>
            </w:tcBorders>
            <w:shd w:val="clear" w:color="auto" w:fill="auto"/>
            <w:noWrap/>
            <w:vAlign w:val="bottom"/>
            <w:hideMark/>
          </w:tcPr>
          <w:p w14:paraId="13906A6D"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2.01</w:t>
            </w:r>
          </w:p>
        </w:tc>
        <w:tc>
          <w:tcPr>
            <w:tcW w:w="876" w:type="dxa"/>
            <w:tcBorders>
              <w:top w:val="nil"/>
              <w:left w:val="nil"/>
              <w:bottom w:val="single" w:sz="4" w:space="0" w:color="000000"/>
              <w:right w:val="single" w:sz="4" w:space="0" w:color="000000"/>
            </w:tcBorders>
            <w:shd w:val="clear" w:color="auto" w:fill="auto"/>
            <w:noWrap/>
            <w:vAlign w:val="bottom"/>
            <w:hideMark/>
          </w:tcPr>
          <w:p w14:paraId="264F93D8"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3.6</w:t>
            </w:r>
          </w:p>
        </w:tc>
        <w:tc>
          <w:tcPr>
            <w:tcW w:w="999" w:type="dxa"/>
            <w:tcBorders>
              <w:top w:val="nil"/>
              <w:left w:val="nil"/>
              <w:bottom w:val="single" w:sz="4" w:space="0" w:color="000000"/>
              <w:right w:val="single" w:sz="4" w:space="0" w:color="000000"/>
            </w:tcBorders>
            <w:shd w:val="clear" w:color="auto" w:fill="auto"/>
            <w:noWrap/>
            <w:vAlign w:val="bottom"/>
            <w:hideMark/>
          </w:tcPr>
          <w:p w14:paraId="55E77A71"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3.6</w:t>
            </w:r>
          </w:p>
        </w:tc>
      </w:tr>
      <w:tr w:rsidR="0023349A" w:rsidRPr="0023349A" w14:paraId="5433E890" w14:textId="77777777" w:rsidTr="00D234A5">
        <w:trPr>
          <w:trHeight w:val="291"/>
        </w:trPr>
        <w:tc>
          <w:tcPr>
            <w:tcW w:w="1139" w:type="dxa"/>
            <w:vMerge/>
            <w:tcBorders>
              <w:top w:val="nil"/>
              <w:left w:val="single" w:sz="4" w:space="0" w:color="000000"/>
              <w:bottom w:val="single" w:sz="4" w:space="0" w:color="000000"/>
              <w:right w:val="single" w:sz="4" w:space="0" w:color="000000"/>
            </w:tcBorders>
            <w:vAlign w:val="center"/>
            <w:hideMark/>
          </w:tcPr>
          <w:p w14:paraId="40EB72B2" w14:textId="77777777" w:rsidR="0023349A" w:rsidRPr="0023349A" w:rsidRDefault="0023349A" w:rsidP="0023349A">
            <w:pPr>
              <w:spacing w:before="240"/>
              <w:rPr>
                <w:rFonts w:ascii="Arial" w:hAnsi="Arial" w:cs="Arial"/>
                <w:color w:val="000000"/>
                <w:lang w:eastAsia="en-GB"/>
              </w:rPr>
            </w:pPr>
          </w:p>
        </w:tc>
        <w:tc>
          <w:tcPr>
            <w:tcW w:w="1194" w:type="dxa"/>
            <w:tcBorders>
              <w:top w:val="nil"/>
              <w:left w:val="nil"/>
              <w:bottom w:val="single" w:sz="4" w:space="0" w:color="000000"/>
              <w:right w:val="single" w:sz="4" w:space="0" w:color="000000"/>
            </w:tcBorders>
            <w:shd w:val="clear" w:color="auto" w:fill="auto"/>
            <w:noWrap/>
            <w:vAlign w:val="bottom"/>
            <w:hideMark/>
          </w:tcPr>
          <w:p w14:paraId="239BEC62" w14:textId="77777777" w:rsidR="0023349A" w:rsidRPr="0023349A" w:rsidRDefault="0023349A" w:rsidP="0023349A">
            <w:pPr>
              <w:spacing w:before="240"/>
              <w:rPr>
                <w:rFonts w:ascii="Arial" w:hAnsi="Arial" w:cs="Arial"/>
                <w:color w:val="000000"/>
                <w:lang w:eastAsia="en-GB"/>
              </w:rPr>
            </w:pPr>
            <w:r w:rsidRPr="0023349A">
              <w:rPr>
                <w:rFonts w:ascii="Arial" w:hAnsi="Arial" w:cs="Arial"/>
                <w:color w:val="000000"/>
                <w:lang w:eastAsia="en-GB"/>
              </w:rPr>
              <w:t>Method 2</w:t>
            </w:r>
          </w:p>
        </w:tc>
        <w:tc>
          <w:tcPr>
            <w:tcW w:w="1216" w:type="dxa"/>
            <w:tcBorders>
              <w:top w:val="nil"/>
              <w:left w:val="nil"/>
              <w:bottom w:val="single" w:sz="4" w:space="0" w:color="000000"/>
              <w:right w:val="single" w:sz="4" w:space="0" w:color="000000"/>
            </w:tcBorders>
            <w:shd w:val="clear" w:color="auto" w:fill="auto"/>
            <w:noWrap/>
            <w:vAlign w:val="bottom"/>
            <w:hideMark/>
          </w:tcPr>
          <w:p w14:paraId="2FC83DA6"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24.4</w:t>
            </w:r>
          </w:p>
        </w:tc>
        <w:tc>
          <w:tcPr>
            <w:tcW w:w="981" w:type="dxa"/>
            <w:tcBorders>
              <w:top w:val="nil"/>
              <w:left w:val="nil"/>
              <w:bottom w:val="single" w:sz="4" w:space="0" w:color="000000"/>
              <w:right w:val="single" w:sz="4" w:space="0" w:color="000000"/>
            </w:tcBorders>
            <w:shd w:val="clear" w:color="auto" w:fill="auto"/>
            <w:noWrap/>
            <w:vAlign w:val="bottom"/>
            <w:hideMark/>
          </w:tcPr>
          <w:p w14:paraId="2FF1DF2C"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5.3</w:t>
            </w:r>
          </w:p>
        </w:tc>
        <w:tc>
          <w:tcPr>
            <w:tcW w:w="931" w:type="dxa"/>
            <w:tcBorders>
              <w:top w:val="nil"/>
              <w:left w:val="nil"/>
              <w:bottom w:val="single" w:sz="4" w:space="0" w:color="000000"/>
              <w:right w:val="single" w:sz="4" w:space="0" w:color="000000"/>
            </w:tcBorders>
            <w:shd w:val="clear" w:color="auto" w:fill="auto"/>
            <w:noWrap/>
            <w:vAlign w:val="bottom"/>
            <w:hideMark/>
          </w:tcPr>
          <w:p w14:paraId="6D0B7AF7"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7.8</w:t>
            </w:r>
          </w:p>
        </w:tc>
        <w:tc>
          <w:tcPr>
            <w:tcW w:w="913" w:type="dxa"/>
            <w:tcBorders>
              <w:top w:val="nil"/>
              <w:left w:val="nil"/>
              <w:bottom w:val="single" w:sz="4" w:space="0" w:color="000000"/>
              <w:right w:val="single" w:sz="4" w:space="0" w:color="000000"/>
            </w:tcBorders>
            <w:shd w:val="clear" w:color="auto" w:fill="auto"/>
            <w:noWrap/>
            <w:vAlign w:val="bottom"/>
            <w:hideMark/>
          </w:tcPr>
          <w:p w14:paraId="6C7949B8"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5.1</w:t>
            </w:r>
          </w:p>
        </w:tc>
        <w:tc>
          <w:tcPr>
            <w:tcW w:w="954" w:type="dxa"/>
            <w:tcBorders>
              <w:top w:val="nil"/>
              <w:left w:val="nil"/>
              <w:bottom w:val="single" w:sz="4" w:space="0" w:color="000000"/>
              <w:right w:val="single" w:sz="4" w:space="0" w:color="000000"/>
            </w:tcBorders>
            <w:shd w:val="clear" w:color="auto" w:fill="auto"/>
            <w:noWrap/>
            <w:vAlign w:val="bottom"/>
            <w:hideMark/>
          </w:tcPr>
          <w:p w14:paraId="040DF895"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1.54</w:t>
            </w:r>
          </w:p>
        </w:tc>
        <w:tc>
          <w:tcPr>
            <w:tcW w:w="876" w:type="dxa"/>
            <w:tcBorders>
              <w:top w:val="nil"/>
              <w:left w:val="nil"/>
              <w:bottom w:val="single" w:sz="4" w:space="0" w:color="000000"/>
              <w:right w:val="single" w:sz="4" w:space="0" w:color="000000"/>
            </w:tcBorders>
            <w:shd w:val="clear" w:color="auto" w:fill="auto"/>
            <w:noWrap/>
            <w:vAlign w:val="bottom"/>
            <w:hideMark/>
          </w:tcPr>
          <w:p w14:paraId="27060C6D"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3.3</w:t>
            </w:r>
          </w:p>
        </w:tc>
        <w:tc>
          <w:tcPr>
            <w:tcW w:w="999" w:type="dxa"/>
            <w:tcBorders>
              <w:top w:val="nil"/>
              <w:left w:val="nil"/>
              <w:bottom w:val="single" w:sz="4" w:space="0" w:color="000000"/>
              <w:right w:val="single" w:sz="4" w:space="0" w:color="000000"/>
            </w:tcBorders>
            <w:shd w:val="clear" w:color="auto" w:fill="auto"/>
            <w:noWrap/>
            <w:vAlign w:val="bottom"/>
            <w:hideMark/>
          </w:tcPr>
          <w:p w14:paraId="2E177017"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3.5</w:t>
            </w:r>
          </w:p>
        </w:tc>
      </w:tr>
      <w:tr w:rsidR="0023349A" w:rsidRPr="0023349A" w14:paraId="148A8BDA" w14:textId="77777777" w:rsidTr="00D234A5">
        <w:trPr>
          <w:trHeight w:val="291"/>
        </w:trPr>
        <w:tc>
          <w:tcPr>
            <w:tcW w:w="1139" w:type="dxa"/>
            <w:vMerge/>
            <w:tcBorders>
              <w:top w:val="nil"/>
              <w:left w:val="single" w:sz="4" w:space="0" w:color="000000"/>
              <w:bottom w:val="single" w:sz="4" w:space="0" w:color="000000"/>
              <w:right w:val="single" w:sz="4" w:space="0" w:color="000000"/>
            </w:tcBorders>
            <w:vAlign w:val="center"/>
            <w:hideMark/>
          </w:tcPr>
          <w:p w14:paraId="666DBDB8" w14:textId="77777777" w:rsidR="0023349A" w:rsidRPr="0023349A" w:rsidRDefault="0023349A" w:rsidP="0023349A">
            <w:pPr>
              <w:spacing w:before="240"/>
              <w:rPr>
                <w:rFonts w:ascii="Arial" w:hAnsi="Arial" w:cs="Arial"/>
                <w:color w:val="000000"/>
                <w:lang w:eastAsia="en-GB"/>
              </w:rPr>
            </w:pPr>
          </w:p>
        </w:tc>
        <w:tc>
          <w:tcPr>
            <w:tcW w:w="1194" w:type="dxa"/>
            <w:tcBorders>
              <w:top w:val="nil"/>
              <w:left w:val="nil"/>
              <w:bottom w:val="single" w:sz="4" w:space="0" w:color="000000"/>
              <w:right w:val="single" w:sz="4" w:space="0" w:color="000000"/>
            </w:tcBorders>
            <w:shd w:val="clear" w:color="auto" w:fill="auto"/>
            <w:noWrap/>
            <w:vAlign w:val="bottom"/>
            <w:hideMark/>
          </w:tcPr>
          <w:p w14:paraId="1B141AC8" w14:textId="77777777" w:rsidR="0023349A" w:rsidRPr="0023349A" w:rsidRDefault="0023349A" w:rsidP="0023349A">
            <w:pPr>
              <w:spacing w:before="240"/>
              <w:rPr>
                <w:rFonts w:ascii="Arial" w:hAnsi="Arial" w:cs="Arial"/>
                <w:color w:val="000000"/>
                <w:lang w:eastAsia="en-GB"/>
              </w:rPr>
            </w:pPr>
            <w:r w:rsidRPr="0023349A">
              <w:rPr>
                <w:rFonts w:ascii="Arial" w:hAnsi="Arial" w:cs="Arial"/>
                <w:color w:val="000000"/>
                <w:lang w:eastAsia="en-GB"/>
              </w:rPr>
              <w:t>Method 3</w:t>
            </w:r>
          </w:p>
        </w:tc>
        <w:tc>
          <w:tcPr>
            <w:tcW w:w="1216" w:type="dxa"/>
            <w:tcBorders>
              <w:top w:val="nil"/>
              <w:left w:val="nil"/>
              <w:bottom w:val="single" w:sz="4" w:space="0" w:color="000000"/>
              <w:right w:val="single" w:sz="4" w:space="0" w:color="000000"/>
            </w:tcBorders>
            <w:shd w:val="clear" w:color="auto" w:fill="auto"/>
            <w:noWrap/>
            <w:vAlign w:val="bottom"/>
            <w:hideMark/>
          </w:tcPr>
          <w:p w14:paraId="6D542373"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27.2</w:t>
            </w:r>
          </w:p>
        </w:tc>
        <w:tc>
          <w:tcPr>
            <w:tcW w:w="981" w:type="dxa"/>
            <w:tcBorders>
              <w:top w:val="nil"/>
              <w:left w:val="nil"/>
              <w:bottom w:val="single" w:sz="4" w:space="0" w:color="000000"/>
              <w:right w:val="single" w:sz="4" w:space="0" w:color="000000"/>
            </w:tcBorders>
            <w:shd w:val="clear" w:color="auto" w:fill="auto"/>
            <w:noWrap/>
            <w:vAlign w:val="bottom"/>
            <w:hideMark/>
          </w:tcPr>
          <w:p w14:paraId="4FE0E6D7"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5.5</w:t>
            </w:r>
          </w:p>
        </w:tc>
        <w:tc>
          <w:tcPr>
            <w:tcW w:w="931" w:type="dxa"/>
            <w:tcBorders>
              <w:top w:val="nil"/>
              <w:left w:val="nil"/>
              <w:bottom w:val="single" w:sz="4" w:space="0" w:color="000000"/>
              <w:right w:val="single" w:sz="4" w:space="0" w:color="000000"/>
            </w:tcBorders>
            <w:shd w:val="clear" w:color="auto" w:fill="auto"/>
            <w:noWrap/>
            <w:vAlign w:val="bottom"/>
            <w:hideMark/>
          </w:tcPr>
          <w:p w14:paraId="0204ADE3"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3.5</w:t>
            </w:r>
          </w:p>
        </w:tc>
        <w:tc>
          <w:tcPr>
            <w:tcW w:w="913" w:type="dxa"/>
            <w:tcBorders>
              <w:top w:val="nil"/>
              <w:left w:val="nil"/>
              <w:bottom w:val="single" w:sz="4" w:space="0" w:color="000000"/>
              <w:right w:val="single" w:sz="4" w:space="0" w:color="000000"/>
            </w:tcBorders>
            <w:shd w:val="clear" w:color="auto" w:fill="auto"/>
            <w:noWrap/>
            <w:vAlign w:val="bottom"/>
            <w:hideMark/>
          </w:tcPr>
          <w:p w14:paraId="088F8089"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8.9</w:t>
            </w:r>
          </w:p>
        </w:tc>
        <w:tc>
          <w:tcPr>
            <w:tcW w:w="954" w:type="dxa"/>
            <w:tcBorders>
              <w:top w:val="nil"/>
              <w:left w:val="nil"/>
              <w:bottom w:val="single" w:sz="4" w:space="0" w:color="000000"/>
              <w:right w:val="single" w:sz="4" w:space="0" w:color="000000"/>
            </w:tcBorders>
            <w:shd w:val="clear" w:color="auto" w:fill="auto"/>
            <w:noWrap/>
            <w:vAlign w:val="bottom"/>
            <w:hideMark/>
          </w:tcPr>
          <w:p w14:paraId="0442BB8D"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11.1</w:t>
            </w:r>
          </w:p>
        </w:tc>
        <w:tc>
          <w:tcPr>
            <w:tcW w:w="876" w:type="dxa"/>
            <w:tcBorders>
              <w:top w:val="nil"/>
              <w:left w:val="nil"/>
              <w:bottom w:val="single" w:sz="4" w:space="0" w:color="000000"/>
              <w:right w:val="single" w:sz="4" w:space="0" w:color="000000"/>
            </w:tcBorders>
            <w:shd w:val="clear" w:color="auto" w:fill="auto"/>
            <w:noWrap/>
            <w:vAlign w:val="bottom"/>
            <w:hideMark/>
          </w:tcPr>
          <w:p w14:paraId="0F21C80A"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8.1</w:t>
            </w:r>
          </w:p>
        </w:tc>
        <w:tc>
          <w:tcPr>
            <w:tcW w:w="999" w:type="dxa"/>
            <w:tcBorders>
              <w:top w:val="nil"/>
              <w:left w:val="nil"/>
              <w:bottom w:val="single" w:sz="4" w:space="0" w:color="000000"/>
              <w:right w:val="single" w:sz="4" w:space="0" w:color="000000"/>
            </w:tcBorders>
            <w:shd w:val="clear" w:color="auto" w:fill="auto"/>
            <w:noWrap/>
            <w:vAlign w:val="bottom"/>
            <w:hideMark/>
          </w:tcPr>
          <w:p w14:paraId="1E03D838"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4.7</w:t>
            </w:r>
          </w:p>
        </w:tc>
      </w:tr>
      <w:tr w:rsidR="0023349A" w:rsidRPr="0023349A" w14:paraId="350B30A5" w14:textId="77777777" w:rsidTr="00D234A5">
        <w:trPr>
          <w:trHeight w:val="291"/>
        </w:trPr>
        <w:tc>
          <w:tcPr>
            <w:tcW w:w="1139"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2223E3D1" w14:textId="77777777" w:rsidR="0023349A" w:rsidRPr="0023349A" w:rsidRDefault="0023349A" w:rsidP="0023349A">
            <w:pPr>
              <w:spacing w:before="240"/>
              <w:rPr>
                <w:rFonts w:ascii="Arial" w:hAnsi="Arial" w:cs="Arial"/>
                <w:color w:val="000000"/>
                <w:lang w:eastAsia="en-GB"/>
              </w:rPr>
            </w:pPr>
            <w:r w:rsidRPr="0023349A">
              <w:rPr>
                <w:rFonts w:ascii="Arial" w:hAnsi="Arial" w:cs="Arial"/>
                <w:color w:val="000000"/>
                <w:lang w:eastAsia="en-GB"/>
              </w:rPr>
              <w:t>Ludhiana</w:t>
            </w:r>
          </w:p>
        </w:tc>
        <w:tc>
          <w:tcPr>
            <w:tcW w:w="1194" w:type="dxa"/>
            <w:tcBorders>
              <w:top w:val="nil"/>
              <w:left w:val="nil"/>
              <w:bottom w:val="single" w:sz="4" w:space="0" w:color="000000"/>
              <w:right w:val="single" w:sz="4" w:space="0" w:color="000000"/>
            </w:tcBorders>
            <w:shd w:val="clear" w:color="auto" w:fill="auto"/>
            <w:noWrap/>
            <w:vAlign w:val="bottom"/>
            <w:hideMark/>
          </w:tcPr>
          <w:p w14:paraId="55E7968D" w14:textId="77777777" w:rsidR="0023349A" w:rsidRPr="0023349A" w:rsidRDefault="0023349A" w:rsidP="0023349A">
            <w:pPr>
              <w:spacing w:before="240"/>
              <w:rPr>
                <w:rFonts w:ascii="Arial" w:hAnsi="Arial" w:cs="Arial"/>
                <w:color w:val="000000"/>
                <w:lang w:eastAsia="en-GB"/>
              </w:rPr>
            </w:pPr>
            <w:r w:rsidRPr="0023349A">
              <w:rPr>
                <w:rFonts w:ascii="Arial" w:hAnsi="Arial" w:cs="Arial"/>
                <w:color w:val="000000"/>
                <w:lang w:eastAsia="en-GB"/>
              </w:rPr>
              <w:t>Method 1</w:t>
            </w:r>
          </w:p>
        </w:tc>
        <w:tc>
          <w:tcPr>
            <w:tcW w:w="1216" w:type="dxa"/>
            <w:tcBorders>
              <w:top w:val="nil"/>
              <w:left w:val="nil"/>
              <w:bottom w:val="single" w:sz="4" w:space="0" w:color="000000"/>
              <w:right w:val="single" w:sz="4" w:space="0" w:color="000000"/>
            </w:tcBorders>
            <w:shd w:val="clear" w:color="auto" w:fill="auto"/>
            <w:noWrap/>
            <w:vAlign w:val="bottom"/>
            <w:hideMark/>
          </w:tcPr>
          <w:p w14:paraId="30877FF5"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12.7</w:t>
            </w:r>
          </w:p>
        </w:tc>
        <w:tc>
          <w:tcPr>
            <w:tcW w:w="981" w:type="dxa"/>
            <w:tcBorders>
              <w:top w:val="nil"/>
              <w:left w:val="nil"/>
              <w:bottom w:val="single" w:sz="4" w:space="0" w:color="000000"/>
              <w:right w:val="single" w:sz="4" w:space="0" w:color="000000"/>
            </w:tcBorders>
            <w:shd w:val="clear" w:color="auto" w:fill="auto"/>
            <w:noWrap/>
            <w:vAlign w:val="bottom"/>
            <w:hideMark/>
          </w:tcPr>
          <w:p w14:paraId="5944A096"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9.3</w:t>
            </w:r>
          </w:p>
        </w:tc>
        <w:tc>
          <w:tcPr>
            <w:tcW w:w="931" w:type="dxa"/>
            <w:tcBorders>
              <w:top w:val="nil"/>
              <w:left w:val="nil"/>
              <w:bottom w:val="single" w:sz="4" w:space="0" w:color="000000"/>
              <w:right w:val="single" w:sz="4" w:space="0" w:color="000000"/>
            </w:tcBorders>
            <w:shd w:val="clear" w:color="auto" w:fill="auto"/>
            <w:noWrap/>
            <w:vAlign w:val="bottom"/>
            <w:hideMark/>
          </w:tcPr>
          <w:p w14:paraId="38D17861"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7</w:t>
            </w:r>
          </w:p>
        </w:tc>
        <w:tc>
          <w:tcPr>
            <w:tcW w:w="913" w:type="dxa"/>
            <w:tcBorders>
              <w:top w:val="nil"/>
              <w:left w:val="nil"/>
              <w:bottom w:val="single" w:sz="4" w:space="0" w:color="000000"/>
              <w:right w:val="single" w:sz="4" w:space="0" w:color="000000"/>
            </w:tcBorders>
            <w:shd w:val="clear" w:color="auto" w:fill="auto"/>
            <w:noWrap/>
            <w:vAlign w:val="bottom"/>
            <w:hideMark/>
          </w:tcPr>
          <w:p w14:paraId="5703EB91"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7.2</w:t>
            </w:r>
          </w:p>
        </w:tc>
        <w:tc>
          <w:tcPr>
            <w:tcW w:w="954" w:type="dxa"/>
            <w:tcBorders>
              <w:top w:val="nil"/>
              <w:left w:val="nil"/>
              <w:bottom w:val="single" w:sz="4" w:space="0" w:color="000000"/>
              <w:right w:val="single" w:sz="4" w:space="0" w:color="000000"/>
            </w:tcBorders>
            <w:shd w:val="clear" w:color="auto" w:fill="auto"/>
            <w:noWrap/>
            <w:vAlign w:val="bottom"/>
            <w:hideMark/>
          </w:tcPr>
          <w:p w14:paraId="4C70FAB5"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8.8</w:t>
            </w:r>
          </w:p>
        </w:tc>
        <w:tc>
          <w:tcPr>
            <w:tcW w:w="876" w:type="dxa"/>
            <w:tcBorders>
              <w:top w:val="nil"/>
              <w:left w:val="nil"/>
              <w:bottom w:val="single" w:sz="4" w:space="0" w:color="000000"/>
              <w:right w:val="single" w:sz="4" w:space="0" w:color="000000"/>
            </w:tcBorders>
            <w:shd w:val="clear" w:color="auto" w:fill="auto"/>
            <w:noWrap/>
            <w:vAlign w:val="bottom"/>
            <w:hideMark/>
          </w:tcPr>
          <w:p w14:paraId="254ED436"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16.5</w:t>
            </w:r>
          </w:p>
        </w:tc>
        <w:tc>
          <w:tcPr>
            <w:tcW w:w="999" w:type="dxa"/>
            <w:tcBorders>
              <w:top w:val="nil"/>
              <w:left w:val="nil"/>
              <w:bottom w:val="single" w:sz="4" w:space="0" w:color="000000"/>
              <w:right w:val="single" w:sz="4" w:space="0" w:color="000000"/>
            </w:tcBorders>
            <w:shd w:val="clear" w:color="auto" w:fill="auto"/>
            <w:noWrap/>
            <w:vAlign w:val="bottom"/>
            <w:hideMark/>
          </w:tcPr>
          <w:p w14:paraId="5C2FE904"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13.5</w:t>
            </w:r>
          </w:p>
        </w:tc>
      </w:tr>
      <w:tr w:rsidR="0023349A" w:rsidRPr="0023349A" w14:paraId="7769E9E3" w14:textId="77777777" w:rsidTr="00D234A5">
        <w:trPr>
          <w:trHeight w:val="291"/>
        </w:trPr>
        <w:tc>
          <w:tcPr>
            <w:tcW w:w="1139" w:type="dxa"/>
            <w:vMerge/>
            <w:tcBorders>
              <w:top w:val="nil"/>
              <w:left w:val="single" w:sz="4" w:space="0" w:color="000000"/>
              <w:bottom w:val="single" w:sz="4" w:space="0" w:color="000000"/>
              <w:right w:val="single" w:sz="4" w:space="0" w:color="000000"/>
            </w:tcBorders>
            <w:vAlign w:val="center"/>
            <w:hideMark/>
          </w:tcPr>
          <w:p w14:paraId="0955FCE4" w14:textId="77777777" w:rsidR="0023349A" w:rsidRPr="0023349A" w:rsidRDefault="0023349A" w:rsidP="0023349A">
            <w:pPr>
              <w:spacing w:before="240"/>
              <w:rPr>
                <w:rFonts w:ascii="Arial" w:hAnsi="Arial" w:cs="Arial"/>
                <w:color w:val="000000"/>
                <w:lang w:eastAsia="en-GB"/>
              </w:rPr>
            </w:pPr>
          </w:p>
        </w:tc>
        <w:tc>
          <w:tcPr>
            <w:tcW w:w="1194" w:type="dxa"/>
            <w:tcBorders>
              <w:top w:val="nil"/>
              <w:left w:val="nil"/>
              <w:bottom w:val="single" w:sz="4" w:space="0" w:color="000000"/>
              <w:right w:val="single" w:sz="4" w:space="0" w:color="000000"/>
            </w:tcBorders>
            <w:shd w:val="clear" w:color="auto" w:fill="auto"/>
            <w:noWrap/>
            <w:vAlign w:val="bottom"/>
            <w:hideMark/>
          </w:tcPr>
          <w:p w14:paraId="42D36D3A" w14:textId="77777777" w:rsidR="0023349A" w:rsidRPr="0023349A" w:rsidRDefault="0023349A" w:rsidP="0023349A">
            <w:pPr>
              <w:spacing w:before="240"/>
              <w:rPr>
                <w:rFonts w:ascii="Arial" w:hAnsi="Arial" w:cs="Arial"/>
                <w:color w:val="000000"/>
                <w:lang w:eastAsia="en-GB"/>
              </w:rPr>
            </w:pPr>
            <w:r w:rsidRPr="0023349A">
              <w:rPr>
                <w:rFonts w:ascii="Arial" w:hAnsi="Arial" w:cs="Arial"/>
                <w:color w:val="000000"/>
                <w:lang w:eastAsia="en-GB"/>
              </w:rPr>
              <w:t>Method 2</w:t>
            </w:r>
          </w:p>
        </w:tc>
        <w:tc>
          <w:tcPr>
            <w:tcW w:w="1216" w:type="dxa"/>
            <w:tcBorders>
              <w:top w:val="nil"/>
              <w:left w:val="nil"/>
              <w:bottom w:val="single" w:sz="4" w:space="0" w:color="000000"/>
              <w:right w:val="single" w:sz="4" w:space="0" w:color="000000"/>
            </w:tcBorders>
            <w:shd w:val="clear" w:color="auto" w:fill="auto"/>
            <w:noWrap/>
            <w:vAlign w:val="bottom"/>
            <w:hideMark/>
          </w:tcPr>
          <w:p w14:paraId="44121EF7"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12.7</w:t>
            </w:r>
          </w:p>
        </w:tc>
        <w:tc>
          <w:tcPr>
            <w:tcW w:w="981" w:type="dxa"/>
            <w:tcBorders>
              <w:top w:val="nil"/>
              <w:left w:val="nil"/>
              <w:bottom w:val="single" w:sz="4" w:space="0" w:color="000000"/>
              <w:right w:val="single" w:sz="4" w:space="0" w:color="000000"/>
            </w:tcBorders>
            <w:shd w:val="clear" w:color="auto" w:fill="auto"/>
            <w:noWrap/>
            <w:vAlign w:val="bottom"/>
            <w:hideMark/>
          </w:tcPr>
          <w:p w14:paraId="063ABBDB"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9.3</w:t>
            </w:r>
          </w:p>
        </w:tc>
        <w:tc>
          <w:tcPr>
            <w:tcW w:w="931" w:type="dxa"/>
            <w:tcBorders>
              <w:top w:val="nil"/>
              <w:left w:val="nil"/>
              <w:bottom w:val="single" w:sz="4" w:space="0" w:color="000000"/>
              <w:right w:val="single" w:sz="4" w:space="0" w:color="000000"/>
            </w:tcBorders>
            <w:shd w:val="clear" w:color="auto" w:fill="auto"/>
            <w:noWrap/>
            <w:vAlign w:val="bottom"/>
            <w:hideMark/>
          </w:tcPr>
          <w:p w14:paraId="16457709"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7.1</w:t>
            </w:r>
          </w:p>
        </w:tc>
        <w:tc>
          <w:tcPr>
            <w:tcW w:w="913" w:type="dxa"/>
            <w:tcBorders>
              <w:top w:val="nil"/>
              <w:left w:val="nil"/>
              <w:bottom w:val="single" w:sz="4" w:space="0" w:color="000000"/>
              <w:right w:val="single" w:sz="4" w:space="0" w:color="000000"/>
            </w:tcBorders>
            <w:shd w:val="clear" w:color="auto" w:fill="auto"/>
            <w:noWrap/>
            <w:vAlign w:val="bottom"/>
            <w:hideMark/>
          </w:tcPr>
          <w:p w14:paraId="01F449C6"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7.6</w:t>
            </w:r>
          </w:p>
        </w:tc>
        <w:tc>
          <w:tcPr>
            <w:tcW w:w="954" w:type="dxa"/>
            <w:tcBorders>
              <w:top w:val="nil"/>
              <w:left w:val="nil"/>
              <w:bottom w:val="single" w:sz="4" w:space="0" w:color="000000"/>
              <w:right w:val="single" w:sz="4" w:space="0" w:color="000000"/>
            </w:tcBorders>
            <w:shd w:val="clear" w:color="auto" w:fill="auto"/>
            <w:noWrap/>
            <w:vAlign w:val="bottom"/>
            <w:hideMark/>
          </w:tcPr>
          <w:p w14:paraId="13BED892"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8.7</w:t>
            </w:r>
          </w:p>
        </w:tc>
        <w:tc>
          <w:tcPr>
            <w:tcW w:w="876" w:type="dxa"/>
            <w:tcBorders>
              <w:top w:val="nil"/>
              <w:left w:val="nil"/>
              <w:bottom w:val="single" w:sz="4" w:space="0" w:color="000000"/>
              <w:right w:val="single" w:sz="4" w:space="0" w:color="000000"/>
            </w:tcBorders>
            <w:shd w:val="clear" w:color="auto" w:fill="auto"/>
            <w:noWrap/>
            <w:vAlign w:val="bottom"/>
            <w:hideMark/>
          </w:tcPr>
          <w:p w14:paraId="1B870FE4"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16.3</w:t>
            </w:r>
          </w:p>
        </w:tc>
        <w:tc>
          <w:tcPr>
            <w:tcW w:w="999" w:type="dxa"/>
            <w:tcBorders>
              <w:top w:val="nil"/>
              <w:left w:val="nil"/>
              <w:bottom w:val="single" w:sz="4" w:space="0" w:color="000000"/>
              <w:right w:val="single" w:sz="4" w:space="0" w:color="000000"/>
            </w:tcBorders>
            <w:shd w:val="clear" w:color="auto" w:fill="auto"/>
            <w:noWrap/>
            <w:vAlign w:val="bottom"/>
            <w:hideMark/>
          </w:tcPr>
          <w:p w14:paraId="277966CF"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13.5</w:t>
            </w:r>
          </w:p>
        </w:tc>
      </w:tr>
      <w:tr w:rsidR="0023349A" w:rsidRPr="0023349A" w14:paraId="5BE5B7E2" w14:textId="77777777" w:rsidTr="00D234A5">
        <w:trPr>
          <w:trHeight w:val="291"/>
        </w:trPr>
        <w:tc>
          <w:tcPr>
            <w:tcW w:w="1139" w:type="dxa"/>
            <w:vMerge/>
            <w:tcBorders>
              <w:top w:val="nil"/>
              <w:left w:val="single" w:sz="4" w:space="0" w:color="000000"/>
              <w:bottom w:val="single" w:sz="4" w:space="0" w:color="000000"/>
              <w:right w:val="single" w:sz="4" w:space="0" w:color="000000"/>
            </w:tcBorders>
            <w:vAlign w:val="center"/>
            <w:hideMark/>
          </w:tcPr>
          <w:p w14:paraId="353EAFBD" w14:textId="77777777" w:rsidR="0023349A" w:rsidRPr="0023349A" w:rsidRDefault="0023349A" w:rsidP="0023349A">
            <w:pPr>
              <w:spacing w:before="240"/>
              <w:rPr>
                <w:rFonts w:ascii="Arial" w:hAnsi="Arial" w:cs="Arial"/>
                <w:color w:val="000000"/>
                <w:lang w:eastAsia="en-GB"/>
              </w:rPr>
            </w:pPr>
          </w:p>
        </w:tc>
        <w:tc>
          <w:tcPr>
            <w:tcW w:w="1194" w:type="dxa"/>
            <w:tcBorders>
              <w:top w:val="nil"/>
              <w:left w:val="nil"/>
              <w:bottom w:val="single" w:sz="4" w:space="0" w:color="000000"/>
              <w:right w:val="single" w:sz="4" w:space="0" w:color="000000"/>
            </w:tcBorders>
            <w:shd w:val="clear" w:color="auto" w:fill="auto"/>
            <w:noWrap/>
            <w:vAlign w:val="bottom"/>
            <w:hideMark/>
          </w:tcPr>
          <w:p w14:paraId="40E8AC51" w14:textId="77777777" w:rsidR="0023349A" w:rsidRPr="0023349A" w:rsidRDefault="0023349A" w:rsidP="0023349A">
            <w:pPr>
              <w:spacing w:before="240"/>
              <w:rPr>
                <w:rFonts w:ascii="Arial" w:hAnsi="Arial" w:cs="Arial"/>
                <w:color w:val="000000"/>
                <w:lang w:eastAsia="en-GB"/>
              </w:rPr>
            </w:pPr>
            <w:r w:rsidRPr="0023349A">
              <w:rPr>
                <w:rFonts w:ascii="Arial" w:hAnsi="Arial" w:cs="Arial"/>
                <w:color w:val="000000"/>
                <w:lang w:eastAsia="en-GB"/>
              </w:rPr>
              <w:t>Method 3</w:t>
            </w:r>
          </w:p>
        </w:tc>
        <w:tc>
          <w:tcPr>
            <w:tcW w:w="1216" w:type="dxa"/>
            <w:tcBorders>
              <w:top w:val="nil"/>
              <w:left w:val="nil"/>
              <w:bottom w:val="single" w:sz="4" w:space="0" w:color="000000"/>
              <w:right w:val="single" w:sz="4" w:space="0" w:color="000000"/>
            </w:tcBorders>
            <w:shd w:val="clear" w:color="auto" w:fill="auto"/>
            <w:noWrap/>
            <w:vAlign w:val="bottom"/>
            <w:hideMark/>
          </w:tcPr>
          <w:p w14:paraId="39278448"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17.2</w:t>
            </w:r>
          </w:p>
        </w:tc>
        <w:tc>
          <w:tcPr>
            <w:tcW w:w="981" w:type="dxa"/>
            <w:tcBorders>
              <w:top w:val="nil"/>
              <w:left w:val="nil"/>
              <w:bottom w:val="single" w:sz="4" w:space="0" w:color="000000"/>
              <w:right w:val="single" w:sz="4" w:space="0" w:color="000000"/>
            </w:tcBorders>
            <w:shd w:val="clear" w:color="auto" w:fill="auto"/>
            <w:noWrap/>
            <w:vAlign w:val="bottom"/>
            <w:hideMark/>
          </w:tcPr>
          <w:p w14:paraId="3C0A845D"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7.1</w:t>
            </w:r>
          </w:p>
        </w:tc>
        <w:tc>
          <w:tcPr>
            <w:tcW w:w="931" w:type="dxa"/>
            <w:tcBorders>
              <w:top w:val="nil"/>
              <w:left w:val="nil"/>
              <w:bottom w:val="single" w:sz="4" w:space="0" w:color="000000"/>
              <w:right w:val="single" w:sz="4" w:space="0" w:color="000000"/>
            </w:tcBorders>
            <w:shd w:val="clear" w:color="auto" w:fill="auto"/>
            <w:noWrap/>
            <w:vAlign w:val="bottom"/>
            <w:hideMark/>
          </w:tcPr>
          <w:p w14:paraId="7A84C530"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11.8</w:t>
            </w:r>
          </w:p>
        </w:tc>
        <w:tc>
          <w:tcPr>
            <w:tcW w:w="913" w:type="dxa"/>
            <w:tcBorders>
              <w:top w:val="nil"/>
              <w:left w:val="nil"/>
              <w:bottom w:val="single" w:sz="4" w:space="0" w:color="000000"/>
              <w:right w:val="single" w:sz="4" w:space="0" w:color="000000"/>
            </w:tcBorders>
            <w:shd w:val="clear" w:color="auto" w:fill="auto"/>
            <w:noWrap/>
            <w:vAlign w:val="bottom"/>
            <w:hideMark/>
          </w:tcPr>
          <w:p w14:paraId="528DC7BC"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12.7</w:t>
            </w:r>
          </w:p>
        </w:tc>
        <w:tc>
          <w:tcPr>
            <w:tcW w:w="954" w:type="dxa"/>
            <w:tcBorders>
              <w:top w:val="nil"/>
              <w:left w:val="nil"/>
              <w:bottom w:val="single" w:sz="4" w:space="0" w:color="000000"/>
              <w:right w:val="single" w:sz="4" w:space="0" w:color="000000"/>
            </w:tcBorders>
            <w:shd w:val="clear" w:color="auto" w:fill="auto"/>
            <w:noWrap/>
            <w:vAlign w:val="bottom"/>
            <w:hideMark/>
          </w:tcPr>
          <w:p w14:paraId="24345688"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12.1</w:t>
            </w:r>
          </w:p>
        </w:tc>
        <w:tc>
          <w:tcPr>
            <w:tcW w:w="876" w:type="dxa"/>
            <w:tcBorders>
              <w:top w:val="nil"/>
              <w:left w:val="nil"/>
              <w:bottom w:val="single" w:sz="4" w:space="0" w:color="000000"/>
              <w:right w:val="single" w:sz="4" w:space="0" w:color="000000"/>
            </w:tcBorders>
            <w:shd w:val="clear" w:color="auto" w:fill="auto"/>
            <w:noWrap/>
            <w:vAlign w:val="bottom"/>
            <w:hideMark/>
          </w:tcPr>
          <w:p w14:paraId="06E87414"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15.4</w:t>
            </w:r>
          </w:p>
        </w:tc>
        <w:tc>
          <w:tcPr>
            <w:tcW w:w="999" w:type="dxa"/>
            <w:tcBorders>
              <w:top w:val="nil"/>
              <w:left w:val="nil"/>
              <w:bottom w:val="single" w:sz="4" w:space="0" w:color="000000"/>
              <w:right w:val="single" w:sz="4" w:space="0" w:color="000000"/>
            </w:tcBorders>
            <w:shd w:val="clear" w:color="auto" w:fill="auto"/>
            <w:noWrap/>
            <w:vAlign w:val="bottom"/>
            <w:hideMark/>
          </w:tcPr>
          <w:p w14:paraId="1EB9E07C"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14.4</w:t>
            </w:r>
          </w:p>
        </w:tc>
      </w:tr>
      <w:tr w:rsidR="0023349A" w:rsidRPr="0023349A" w14:paraId="4A7AE20E" w14:textId="77777777" w:rsidTr="00D234A5">
        <w:trPr>
          <w:trHeight w:val="291"/>
        </w:trPr>
        <w:tc>
          <w:tcPr>
            <w:tcW w:w="1139" w:type="dxa"/>
            <w:vMerge w:val="restart"/>
            <w:tcBorders>
              <w:top w:val="nil"/>
              <w:left w:val="single" w:sz="4" w:space="0" w:color="000000"/>
              <w:bottom w:val="single" w:sz="4" w:space="0" w:color="000000"/>
              <w:right w:val="single" w:sz="4" w:space="0" w:color="000000"/>
            </w:tcBorders>
            <w:shd w:val="clear" w:color="auto" w:fill="auto"/>
            <w:noWrap/>
            <w:vAlign w:val="bottom"/>
            <w:hideMark/>
          </w:tcPr>
          <w:p w14:paraId="16CC33D8" w14:textId="77777777" w:rsidR="0023349A" w:rsidRPr="0023349A" w:rsidRDefault="0023349A" w:rsidP="0023349A">
            <w:pPr>
              <w:spacing w:before="240"/>
              <w:rPr>
                <w:rFonts w:ascii="Arial" w:hAnsi="Arial" w:cs="Arial"/>
                <w:color w:val="000000"/>
                <w:lang w:eastAsia="en-GB"/>
              </w:rPr>
            </w:pPr>
            <w:r w:rsidRPr="0023349A">
              <w:rPr>
                <w:rFonts w:ascii="Arial" w:hAnsi="Arial" w:cs="Arial"/>
                <w:color w:val="000000"/>
                <w:lang w:eastAsia="en-GB"/>
              </w:rPr>
              <w:t>Faridkot</w:t>
            </w:r>
          </w:p>
        </w:tc>
        <w:tc>
          <w:tcPr>
            <w:tcW w:w="1194" w:type="dxa"/>
            <w:tcBorders>
              <w:top w:val="nil"/>
              <w:left w:val="nil"/>
              <w:bottom w:val="single" w:sz="4" w:space="0" w:color="000000"/>
              <w:right w:val="single" w:sz="4" w:space="0" w:color="000000"/>
            </w:tcBorders>
            <w:shd w:val="clear" w:color="auto" w:fill="auto"/>
            <w:noWrap/>
            <w:vAlign w:val="bottom"/>
            <w:hideMark/>
          </w:tcPr>
          <w:p w14:paraId="32ED97AC" w14:textId="77777777" w:rsidR="0023349A" w:rsidRPr="0023349A" w:rsidRDefault="0023349A" w:rsidP="0023349A">
            <w:pPr>
              <w:spacing w:before="240"/>
              <w:rPr>
                <w:rFonts w:ascii="Arial" w:hAnsi="Arial" w:cs="Arial"/>
                <w:color w:val="000000"/>
                <w:lang w:eastAsia="en-GB"/>
              </w:rPr>
            </w:pPr>
            <w:r w:rsidRPr="0023349A">
              <w:rPr>
                <w:rFonts w:ascii="Arial" w:hAnsi="Arial" w:cs="Arial"/>
                <w:color w:val="000000"/>
                <w:lang w:eastAsia="en-GB"/>
              </w:rPr>
              <w:t>Method 1</w:t>
            </w:r>
          </w:p>
        </w:tc>
        <w:tc>
          <w:tcPr>
            <w:tcW w:w="1216" w:type="dxa"/>
            <w:tcBorders>
              <w:top w:val="nil"/>
              <w:left w:val="nil"/>
              <w:bottom w:val="single" w:sz="4" w:space="0" w:color="000000"/>
              <w:right w:val="single" w:sz="4" w:space="0" w:color="000000"/>
            </w:tcBorders>
            <w:shd w:val="clear" w:color="auto" w:fill="auto"/>
            <w:noWrap/>
            <w:vAlign w:val="bottom"/>
            <w:hideMark/>
          </w:tcPr>
          <w:p w14:paraId="5FE06FC8"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8.5</w:t>
            </w:r>
          </w:p>
        </w:tc>
        <w:tc>
          <w:tcPr>
            <w:tcW w:w="981" w:type="dxa"/>
            <w:tcBorders>
              <w:top w:val="nil"/>
              <w:left w:val="nil"/>
              <w:bottom w:val="single" w:sz="4" w:space="0" w:color="000000"/>
              <w:right w:val="single" w:sz="4" w:space="0" w:color="000000"/>
            </w:tcBorders>
            <w:shd w:val="clear" w:color="auto" w:fill="auto"/>
            <w:noWrap/>
            <w:vAlign w:val="bottom"/>
            <w:hideMark/>
          </w:tcPr>
          <w:p w14:paraId="402D44BE"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11.1</w:t>
            </w:r>
          </w:p>
        </w:tc>
        <w:tc>
          <w:tcPr>
            <w:tcW w:w="931" w:type="dxa"/>
            <w:tcBorders>
              <w:top w:val="nil"/>
              <w:left w:val="nil"/>
              <w:bottom w:val="single" w:sz="4" w:space="0" w:color="000000"/>
              <w:right w:val="single" w:sz="4" w:space="0" w:color="000000"/>
            </w:tcBorders>
            <w:shd w:val="clear" w:color="auto" w:fill="auto"/>
            <w:noWrap/>
            <w:vAlign w:val="bottom"/>
            <w:hideMark/>
          </w:tcPr>
          <w:p w14:paraId="23B2F4E2"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5.4</w:t>
            </w:r>
          </w:p>
        </w:tc>
        <w:tc>
          <w:tcPr>
            <w:tcW w:w="913" w:type="dxa"/>
            <w:tcBorders>
              <w:top w:val="nil"/>
              <w:left w:val="nil"/>
              <w:bottom w:val="single" w:sz="4" w:space="0" w:color="000000"/>
              <w:right w:val="single" w:sz="4" w:space="0" w:color="000000"/>
            </w:tcBorders>
            <w:shd w:val="clear" w:color="auto" w:fill="auto"/>
            <w:noWrap/>
            <w:vAlign w:val="bottom"/>
            <w:hideMark/>
          </w:tcPr>
          <w:p w14:paraId="23693CFF"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3.6</w:t>
            </w:r>
          </w:p>
        </w:tc>
        <w:tc>
          <w:tcPr>
            <w:tcW w:w="954" w:type="dxa"/>
            <w:tcBorders>
              <w:top w:val="nil"/>
              <w:left w:val="nil"/>
              <w:bottom w:val="single" w:sz="4" w:space="0" w:color="000000"/>
              <w:right w:val="single" w:sz="4" w:space="0" w:color="000000"/>
            </w:tcBorders>
            <w:shd w:val="clear" w:color="auto" w:fill="auto"/>
            <w:noWrap/>
            <w:vAlign w:val="bottom"/>
            <w:hideMark/>
          </w:tcPr>
          <w:p w14:paraId="1755D3A3"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5.9</w:t>
            </w:r>
          </w:p>
        </w:tc>
        <w:tc>
          <w:tcPr>
            <w:tcW w:w="876" w:type="dxa"/>
            <w:tcBorders>
              <w:top w:val="nil"/>
              <w:left w:val="nil"/>
              <w:bottom w:val="single" w:sz="4" w:space="0" w:color="000000"/>
              <w:right w:val="single" w:sz="4" w:space="0" w:color="000000"/>
            </w:tcBorders>
            <w:shd w:val="clear" w:color="auto" w:fill="auto"/>
            <w:noWrap/>
            <w:vAlign w:val="bottom"/>
            <w:hideMark/>
          </w:tcPr>
          <w:p w14:paraId="52A4D540"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10.7</w:t>
            </w:r>
          </w:p>
        </w:tc>
        <w:tc>
          <w:tcPr>
            <w:tcW w:w="999" w:type="dxa"/>
            <w:tcBorders>
              <w:top w:val="nil"/>
              <w:left w:val="nil"/>
              <w:bottom w:val="single" w:sz="4" w:space="0" w:color="000000"/>
              <w:right w:val="single" w:sz="4" w:space="0" w:color="000000"/>
            </w:tcBorders>
            <w:shd w:val="clear" w:color="auto" w:fill="auto"/>
            <w:noWrap/>
            <w:vAlign w:val="bottom"/>
            <w:hideMark/>
          </w:tcPr>
          <w:p w14:paraId="1895EB91"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9.3</w:t>
            </w:r>
          </w:p>
        </w:tc>
      </w:tr>
      <w:tr w:rsidR="0023349A" w:rsidRPr="0023349A" w14:paraId="47C19817" w14:textId="77777777" w:rsidTr="00D234A5">
        <w:trPr>
          <w:trHeight w:val="291"/>
        </w:trPr>
        <w:tc>
          <w:tcPr>
            <w:tcW w:w="1139" w:type="dxa"/>
            <w:vMerge/>
            <w:tcBorders>
              <w:top w:val="nil"/>
              <w:left w:val="single" w:sz="4" w:space="0" w:color="000000"/>
              <w:bottom w:val="single" w:sz="4" w:space="0" w:color="000000"/>
              <w:right w:val="single" w:sz="4" w:space="0" w:color="000000"/>
            </w:tcBorders>
            <w:vAlign w:val="center"/>
            <w:hideMark/>
          </w:tcPr>
          <w:p w14:paraId="673F1EC1" w14:textId="77777777" w:rsidR="0023349A" w:rsidRPr="0023349A" w:rsidRDefault="0023349A" w:rsidP="0023349A">
            <w:pPr>
              <w:spacing w:before="240"/>
              <w:rPr>
                <w:rFonts w:ascii="Arial" w:hAnsi="Arial" w:cs="Arial"/>
                <w:color w:val="000000"/>
                <w:lang w:eastAsia="en-GB"/>
              </w:rPr>
            </w:pPr>
          </w:p>
        </w:tc>
        <w:tc>
          <w:tcPr>
            <w:tcW w:w="1194" w:type="dxa"/>
            <w:tcBorders>
              <w:top w:val="nil"/>
              <w:left w:val="nil"/>
              <w:bottom w:val="single" w:sz="4" w:space="0" w:color="000000"/>
              <w:right w:val="single" w:sz="4" w:space="0" w:color="000000"/>
            </w:tcBorders>
            <w:shd w:val="clear" w:color="auto" w:fill="auto"/>
            <w:noWrap/>
            <w:vAlign w:val="bottom"/>
            <w:hideMark/>
          </w:tcPr>
          <w:p w14:paraId="7B8BD2FD" w14:textId="77777777" w:rsidR="0023349A" w:rsidRPr="0023349A" w:rsidRDefault="0023349A" w:rsidP="0023349A">
            <w:pPr>
              <w:spacing w:before="240"/>
              <w:rPr>
                <w:rFonts w:ascii="Arial" w:hAnsi="Arial" w:cs="Arial"/>
                <w:color w:val="000000"/>
                <w:lang w:eastAsia="en-GB"/>
              </w:rPr>
            </w:pPr>
            <w:r w:rsidRPr="0023349A">
              <w:rPr>
                <w:rFonts w:ascii="Arial" w:hAnsi="Arial" w:cs="Arial"/>
                <w:color w:val="000000"/>
                <w:lang w:eastAsia="en-GB"/>
              </w:rPr>
              <w:t>Method 2</w:t>
            </w:r>
          </w:p>
        </w:tc>
        <w:tc>
          <w:tcPr>
            <w:tcW w:w="1216" w:type="dxa"/>
            <w:tcBorders>
              <w:top w:val="nil"/>
              <w:left w:val="nil"/>
              <w:bottom w:val="single" w:sz="4" w:space="0" w:color="000000"/>
              <w:right w:val="single" w:sz="4" w:space="0" w:color="000000"/>
            </w:tcBorders>
            <w:shd w:val="clear" w:color="auto" w:fill="auto"/>
            <w:noWrap/>
            <w:vAlign w:val="bottom"/>
            <w:hideMark/>
          </w:tcPr>
          <w:p w14:paraId="3E2A1DEF"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8.5</w:t>
            </w:r>
          </w:p>
        </w:tc>
        <w:tc>
          <w:tcPr>
            <w:tcW w:w="981" w:type="dxa"/>
            <w:tcBorders>
              <w:top w:val="nil"/>
              <w:left w:val="nil"/>
              <w:bottom w:val="single" w:sz="4" w:space="0" w:color="000000"/>
              <w:right w:val="single" w:sz="4" w:space="0" w:color="000000"/>
            </w:tcBorders>
            <w:shd w:val="clear" w:color="auto" w:fill="auto"/>
            <w:noWrap/>
            <w:vAlign w:val="bottom"/>
            <w:hideMark/>
          </w:tcPr>
          <w:p w14:paraId="70CB348F"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11.1</w:t>
            </w:r>
          </w:p>
        </w:tc>
        <w:tc>
          <w:tcPr>
            <w:tcW w:w="931" w:type="dxa"/>
            <w:tcBorders>
              <w:top w:val="nil"/>
              <w:left w:val="nil"/>
              <w:bottom w:val="single" w:sz="4" w:space="0" w:color="000000"/>
              <w:right w:val="single" w:sz="4" w:space="0" w:color="000000"/>
            </w:tcBorders>
            <w:shd w:val="clear" w:color="auto" w:fill="auto"/>
            <w:noWrap/>
            <w:vAlign w:val="bottom"/>
            <w:hideMark/>
          </w:tcPr>
          <w:p w14:paraId="3EAC50E1"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5.2</w:t>
            </w:r>
          </w:p>
        </w:tc>
        <w:tc>
          <w:tcPr>
            <w:tcW w:w="913" w:type="dxa"/>
            <w:tcBorders>
              <w:top w:val="nil"/>
              <w:left w:val="nil"/>
              <w:bottom w:val="single" w:sz="4" w:space="0" w:color="000000"/>
              <w:right w:val="single" w:sz="4" w:space="0" w:color="000000"/>
            </w:tcBorders>
            <w:shd w:val="clear" w:color="auto" w:fill="auto"/>
            <w:noWrap/>
            <w:vAlign w:val="bottom"/>
            <w:hideMark/>
          </w:tcPr>
          <w:p w14:paraId="73A7962F"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4.3</w:t>
            </w:r>
          </w:p>
        </w:tc>
        <w:tc>
          <w:tcPr>
            <w:tcW w:w="954" w:type="dxa"/>
            <w:tcBorders>
              <w:top w:val="nil"/>
              <w:left w:val="nil"/>
              <w:bottom w:val="single" w:sz="4" w:space="0" w:color="000000"/>
              <w:right w:val="single" w:sz="4" w:space="0" w:color="000000"/>
            </w:tcBorders>
            <w:shd w:val="clear" w:color="auto" w:fill="auto"/>
            <w:noWrap/>
            <w:vAlign w:val="bottom"/>
            <w:hideMark/>
          </w:tcPr>
          <w:p w14:paraId="7F399017"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6.7</w:t>
            </w:r>
          </w:p>
        </w:tc>
        <w:tc>
          <w:tcPr>
            <w:tcW w:w="876" w:type="dxa"/>
            <w:tcBorders>
              <w:top w:val="nil"/>
              <w:left w:val="nil"/>
              <w:bottom w:val="single" w:sz="4" w:space="0" w:color="000000"/>
              <w:right w:val="single" w:sz="4" w:space="0" w:color="000000"/>
            </w:tcBorders>
            <w:shd w:val="clear" w:color="auto" w:fill="auto"/>
            <w:noWrap/>
            <w:vAlign w:val="bottom"/>
            <w:hideMark/>
          </w:tcPr>
          <w:p w14:paraId="5E59CED8"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11.3</w:t>
            </w:r>
          </w:p>
        </w:tc>
        <w:tc>
          <w:tcPr>
            <w:tcW w:w="999" w:type="dxa"/>
            <w:tcBorders>
              <w:top w:val="nil"/>
              <w:left w:val="nil"/>
              <w:bottom w:val="single" w:sz="4" w:space="0" w:color="000000"/>
              <w:right w:val="single" w:sz="4" w:space="0" w:color="000000"/>
            </w:tcBorders>
            <w:shd w:val="clear" w:color="auto" w:fill="auto"/>
            <w:noWrap/>
            <w:vAlign w:val="bottom"/>
            <w:hideMark/>
          </w:tcPr>
          <w:p w14:paraId="3661247D"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9.5</w:t>
            </w:r>
          </w:p>
        </w:tc>
      </w:tr>
      <w:tr w:rsidR="0023349A" w:rsidRPr="0023349A" w14:paraId="526BAF0C" w14:textId="77777777" w:rsidTr="00D234A5">
        <w:trPr>
          <w:trHeight w:val="291"/>
        </w:trPr>
        <w:tc>
          <w:tcPr>
            <w:tcW w:w="1139" w:type="dxa"/>
            <w:vMerge/>
            <w:tcBorders>
              <w:top w:val="nil"/>
              <w:left w:val="single" w:sz="4" w:space="0" w:color="000000"/>
              <w:bottom w:val="single" w:sz="4" w:space="0" w:color="000000"/>
              <w:right w:val="single" w:sz="4" w:space="0" w:color="000000"/>
            </w:tcBorders>
            <w:vAlign w:val="center"/>
            <w:hideMark/>
          </w:tcPr>
          <w:p w14:paraId="68F48B89" w14:textId="77777777" w:rsidR="0023349A" w:rsidRPr="0023349A" w:rsidRDefault="0023349A" w:rsidP="0023349A">
            <w:pPr>
              <w:spacing w:before="240"/>
              <w:rPr>
                <w:rFonts w:ascii="Arial" w:hAnsi="Arial" w:cs="Arial"/>
                <w:color w:val="000000"/>
                <w:lang w:eastAsia="en-GB"/>
              </w:rPr>
            </w:pPr>
          </w:p>
        </w:tc>
        <w:tc>
          <w:tcPr>
            <w:tcW w:w="1194" w:type="dxa"/>
            <w:tcBorders>
              <w:top w:val="nil"/>
              <w:left w:val="nil"/>
              <w:bottom w:val="single" w:sz="4" w:space="0" w:color="000000"/>
              <w:right w:val="single" w:sz="4" w:space="0" w:color="000000"/>
            </w:tcBorders>
            <w:shd w:val="clear" w:color="auto" w:fill="auto"/>
            <w:noWrap/>
            <w:vAlign w:val="bottom"/>
            <w:hideMark/>
          </w:tcPr>
          <w:p w14:paraId="0899F72A" w14:textId="77777777" w:rsidR="0023349A" w:rsidRPr="0023349A" w:rsidRDefault="0023349A" w:rsidP="0023349A">
            <w:pPr>
              <w:spacing w:before="240"/>
              <w:rPr>
                <w:rFonts w:ascii="Arial" w:hAnsi="Arial" w:cs="Arial"/>
                <w:color w:val="000000"/>
                <w:lang w:eastAsia="en-GB"/>
              </w:rPr>
            </w:pPr>
            <w:r w:rsidRPr="0023349A">
              <w:rPr>
                <w:rFonts w:ascii="Arial" w:hAnsi="Arial" w:cs="Arial"/>
                <w:color w:val="000000"/>
                <w:lang w:eastAsia="en-GB"/>
              </w:rPr>
              <w:t>Method 3</w:t>
            </w:r>
          </w:p>
        </w:tc>
        <w:tc>
          <w:tcPr>
            <w:tcW w:w="1216" w:type="dxa"/>
            <w:tcBorders>
              <w:top w:val="nil"/>
              <w:left w:val="nil"/>
              <w:bottom w:val="single" w:sz="4" w:space="0" w:color="000000"/>
              <w:right w:val="single" w:sz="4" w:space="0" w:color="000000"/>
            </w:tcBorders>
            <w:shd w:val="clear" w:color="auto" w:fill="auto"/>
            <w:noWrap/>
            <w:vAlign w:val="bottom"/>
            <w:hideMark/>
          </w:tcPr>
          <w:p w14:paraId="15ABCB6B"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8.1</w:t>
            </w:r>
          </w:p>
        </w:tc>
        <w:tc>
          <w:tcPr>
            <w:tcW w:w="981" w:type="dxa"/>
            <w:tcBorders>
              <w:top w:val="nil"/>
              <w:left w:val="nil"/>
              <w:bottom w:val="single" w:sz="4" w:space="0" w:color="000000"/>
              <w:right w:val="single" w:sz="4" w:space="0" w:color="000000"/>
            </w:tcBorders>
            <w:shd w:val="clear" w:color="auto" w:fill="auto"/>
            <w:noWrap/>
            <w:vAlign w:val="bottom"/>
            <w:hideMark/>
          </w:tcPr>
          <w:p w14:paraId="7AA79472"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10.6</w:t>
            </w:r>
          </w:p>
        </w:tc>
        <w:tc>
          <w:tcPr>
            <w:tcW w:w="931" w:type="dxa"/>
            <w:tcBorders>
              <w:top w:val="nil"/>
              <w:left w:val="nil"/>
              <w:bottom w:val="single" w:sz="4" w:space="0" w:color="000000"/>
              <w:right w:val="single" w:sz="4" w:space="0" w:color="000000"/>
            </w:tcBorders>
            <w:shd w:val="clear" w:color="auto" w:fill="auto"/>
            <w:noWrap/>
            <w:vAlign w:val="bottom"/>
            <w:hideMark/>
          </w:tcPr>
          <w:p w14:paraId="09F6CBAF"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3.9</w:t>
            </w:r>
          </w:p>
        </w:tc>
        <w:tc>
          <w:tcPr>
            <w:tcW w:w="913" w:type="dxa"/>
            <w:tcBorders>
              <w:top w:val="nil"/>
              <w:left w:val="nil"/>
              <w:bottom w:val="single" w:sz="4" w:space="0" w:color="000000"/>
              <w:right w:val="single" w:sz="4" w:space="0" w:color="000000"/>
            </w:tcBorders>
            <w:shd w:val="clear" w:color="auto" w:fill="auto"/>
            <w:noWrap/>
            <w:vAlign w:val="bottom"/>
            <w:hideMark/>
          </w:tcPr>
          <w:p w14:paraId="5BF0AC33"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12.6</w:t>
            </w:r>
          </w:p>
        </w:tc>
        <w:tc>
          <w:tcPr>
            <w:tcW w:w="954" w:type="dxa"/>
            <w:tcBorders>
              <w:top w:val="nil"/>
              <w:left w:val="nil"/>
              <w:bottom w:val="single" w:sz="4" w:space="0" w:color="000000"/>
              <w:right w:val="single" w:sz="4" w:space="0" w:color="000000"/>
            </w:tcBorders>
            <w:shd w:val="clear" w:color="auto" w:fill="auto"/>
            <w:noWrap/>
            <w:vAlign w:val="bottom"/>
            <w:hideMark/>
          </w:tcPr>
          <w:p w14:paraId="3B0B0023"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12.2</w:t>
            </w:r>
          </w:p>
        </w:tc>
        <w:tc>
          <w:tcPr>
            <w:tcW w:w="876" w:type="dxa"/>
            <w:tcBorders>
              <w:top w:val="nil"/>
              <w:left w:val="nil"/>
              <w:bottom w:val="single" w:sz="4" w:space="0" w:color="000000"/>
              <w:right w:val="single" w:sz="4" w:space="0" w:color="000000"/>
            </w:tcBorders>
            <w:shd w:val="clear" w:color="auto" w:fill="auto"/>
            <w:noWrap/>
            <w:vAlign w:val="bottom"/>
            <w:hideMark/>
          </w:tcPr>
          <w:p w14:paraId="30110FDD"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13.9</w:t>
            </w:r>
          </w:p>
        </w:tc>
        <w:tc>
          <w:tcPr>
            <w:tcW w:w="999" w:type="dxa"/>
            <w:tcBorders>
              <w:top w:val="nil"/>
              <w:left w:val="nil"/>
              <w:bottom w:val="single" w:sz="4" w:space="0" w:color="000000"/>
              <w:right w:val="single" w:sz="4" w:space="0" w:color="000000"/>
            </w:tcBorders>
            <w:shd w:val="clear" w:color="auto" w:fill="auto"/>
            <w:noWrap/>
            <w:vAlign w:val="bottom"/>
            <w:hideMark/>
          </w:tcPr>
          <w:p w14:paraId="199A6043"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13</w:t>
            </w:r>
          </w:p>
        </w:tc>
      </w:tr>
    </w:tbl>
    <w:p w14:paraId="08274EDB" w14:textId="77777777" w:rsidR="0023349A" w:rsidRPr="0023349A" w:rsidRDefault="0023349A" w:rsidP="0023349A">
      <w:pPr>
        <w:spacing w:before="240"/>
        <w:jc w:val="both"/>
        <w:rPr>
          <w:rFonts w:ascii="Arial" w:hAnsi="Arial" w:cs="Arial"/>
        </w:rPr>
      </w:pPr>
    </w:p>
    <w:p w14:paraId="6708E5D2" w14:textId="77777777" w:rsidR="0023349A" w:rsidRPr="0023349A" w:rsidRDefault="0023349A" w:rsidP="0023349A">
      <w:pPr>
        <w:spacing w:before="240"/>
        <w:jc w:val="both"/>
        <w:rPr>
          <w:rFonts w:ascii="Arial" w:hAnsi="Arial" w:cs="Arial"/>
        </w:rPr>
      </w:pPr>
      <w:r w:rsidRPr="0023349A">
        <w:rPr>
          <w:rFonts w:ascii="Arial" w:hAnsi="Arial" w:cs="Arial"/>
        </w:rPr>
        <w:t>At Ludhiana, Methods 1 and 2 consistently provided low CV values across all stages, including Emergence (12.7%) and CRI (9.3%), reaffirming their stability for regions with moderate climatic variability. Method 3, however, exhibited slightly higher variation during Tillering (11.8%) and Jointing (12.7%), likely due to its sensitivity to localized temperature extremes. Despite this, Method 3 demonstrated comparable or lower CV values during Heading and Maturity stages, indicating improved precision in later stages.</w:t>
      </w:r>
    </w:p>
    <w:p w14:paraId="5B65A751" w14:textId="04094BA1" w:rsidR="0023349A" w:rsidRPr="0023349A" w:rsidRDefault="0023349A" w:rsidP="0023349A">
      <w:pPr>
        <w:spacing w:before="240"/>
        <w:jc w:val="both"/>
        <w:rPr>
          <w:rFonts w:ascii="Arial" w:hAnsi="Arial" w:cs="Arial"/>
        </w:rPr>
      </w:pPr>
      <w:r w:rsidRPr="0023349A">
        <w:rPr>
          <w:rFonts w:ascii="Arial" w:hAnsi="Arial" w:cs="Arial"/>
        </w:rPr>
        <w:t>At Faridkot, the cosine-wave method showed the lowest variation for Emergence (8.1%), outperforming Methods 1 and 2 (8.5%). However, its higher CV for Jointing (12.6%) and Heading (12.2%) suggests the influence of more pronounced temperature oscillations in this region. These results align with findings by</w:t>
      </w:r>
      <w:r>
        <w:rPr>
          <w:rFonts w:ascii="Arial" w:hAnsi="Arial" w:cs="Arial"/>
        </w:rPr>
        <w:t xml:space="preserve"> [14]</w:t>
      </w:r>
      <w:r w:rsidRPr="0023349A">
        <w:rPr>
          <w:rFonts w:ascii="Arial" w:hAnsi="Arial" w:cs="Arial"/>
        </w:rPr>
        <w:t>, emphasizing the need for dynamic GDD models in arid and semi-arid climates.</w:t>
      </w:r>
    </w:p>
    <w:p w14:paraId="65D0BC32" w14:textId="613754F1" w:rsidR="0023349A" w:rsidRPr="0023349A" w:rsidRDefault="0023349A" w:rsidP="0023349A">
      <w:pPr>
        <w:spacing w:before="240"/>
        <w:jc w:val="both"/>
        <w:rPr>
          <w:rFonts w:ascii="Arial" w:hAnsi="Arial" w:cs="Arial"/>
        </w:rPr>
      </w:pPr>
      <w:r w:rsidRPr="0023349A">
        <w:rPr>
          <w:rFonts w:ascii="Arial" w:hAnsi="Arial" w:cs="Arial"/>
        </w:rPr>
        <w:t xml:space="preserve">Overall, Methods 1 and 2 consistently provided low variation for early stages, while Method 3 excelled in mid- to late phenological stages due to its advanced temperature modeling capabilities. The cosine-wave method’s flexibility makes it particularly suitable for regions with variable temperature patterns, aligning with recent studies advocating for refined GDD models in climate-resilient agriculture </w:t>
      </w:r>
      <w:r w:rsidR="0005591D">
        <w:rPr>
          <w:rFonts w:ascii="Arial" w:hAnsi="Arial" w:cs="Arial"/>
        </w:rPr>
        <w:t>[15].</w:t>
      </w:r>
    </w:p>
    <w:p w14:paraId="13D0A7FA" w14:textId="77777777" w:rsidR="0023349A" w:rsidRPr="0023349A" w:rsidRDefault="0023349A" w:rsidP="0023349A">
      <w:pPr>
        <w:spacing w:before="240"/>
        <w:jc w:val="both"/>
        <w:rPr>
          <w:rFonts w:ascii="Arial" w:hAnsi="Arial" w:cs="Arial"/>
        </w:rPr>
      </w:pPr>
      <w:r w:rsidRPr="0023349A">
        <w:rPr>
          <w:rFonts w:ascii="Arial" w:hAnsi="Arial" w:cs="Arial"/>
        </w:rPr>
        <w:t>The Willmott's refined index of agreement (d</w:t>
      </w:r>
      <w:r w:rsidRPr="0023349A">
        <w:rPr>
          <w:rFonts w:ascii="Arial" w:hAnsi="Arial" w:cs="Arial"/>
          <w:vertAlign w:val="subscript"/>
        </w:rPr>
        <w:t>r</w:t>
      </w:r>
      <w:r w:rsidRPr="0023349A">
        <w:rPr>
          <w:rFonts w:ascii="Arial" w:hAnsi="Arial" w:cs="Arial"/>
        </w:rPr>
        <w:t>​) was calculated to evaluate the performance of three methods for estimating growing degree days (GDD) across three locations (</w:t>
      </w:r>
      <w:proofErr w:type="spellStart"/>
      <w:r w:rsidRPr="0023349A">
        <w:rPr>
          <w:rFonts w:ascii="Arial" w:hAnsi="Arial" w:cs="Arial"/>
        </w:rPr>
        <w:t>Ballowal</w:t>
      </w:r>
      <w:proofErr w:type="spellEnd"/>
      <w:r w:rsidRPr="0023349A">
        <w:rPr>
          <w:rFonts w:ascii="Arial" w:hAnsi="Arial" w:cs="Arial"/>
        </w:rPr>
        <w:t xml:space="preserve"> </w:t>
      </w:r>
      <w:proofErr w:type="spellStart"/>
      <w:r w:rsidRPr="0023349A">
        <w:rPr>
          <w:rFonts w:ascii="Arial" w:hAnsi="Arial" w:cs="Arial"/>
        </w:rPr>
        <w:t>Saunkhri</w:t>
      </w:r>
      <w:proofErr w:type="spellEnd"/>
      <w:r w:rsidRPr="0023349A">
        <w:rPr>
          <w:rFonts w:ascii="Arial" w:hAnsi="Arial" w:cs="Arial"/>
        </w:rPr>
        <w:t>, Ludhiana, and Faridkot) during 2020 and 2021. Higher dr​ values indicate better agreement between observed and predicted values, with values close to 1 signifying superior model performance.</w:t>
      </w:r>
    </w:p>
    <w:p w14:paraId="46C8E52E" w14:textId="71C8C772" w:rsidR="0023349A" w:rsidRPr="0023349A" w:rsidRDefault="0023349A" w:rsidP="0023349A">
      <w:pPr>
        <w:spacing w:before="240"/>
        <w:jc w:val="both"/>
        <w:rPr>
          <w:rFonts w:ascii="Arial" w:hAnsi="Arial" w:cs="Arial"/>
          <w:b/>
          <w:bCs/>
        </w:rPr>
      </w:pPr>
      <w:r w:rsidRPr="0023349A">
        <w:rPr>
          <w:rFonts w:ascii="Arial" w:hAnsi="Arial" w:cs="Arial"/>
          <w:b/>
          <w:bCs/>
        </w:rPr>
        <w:t>Table 2</w:t>
      </w:r>
      <w:r w:rsidR="00FD4C87">
        <w:rPr>
          <w:rFonts w:ascii="Arial" w:hAnsi="Arial" w:cs="Arial"/>
          <w:b/>
          <w:bCs/>
        </w:rPr>
        <w:t>.</w:t>
      </w:r>
      <w:r w:rsidRPr="0023349A">
        <w:rPr>
          <w:rFonts w:ascii="Arial" w:hAnsi="Arial" w:cs="Arial"/>
          <w:b/>
          <w:bCs/>
        </w:rPr>
        <w:t xml:space="preserve"> D</w:t>
      </w:r>
      <w:r w:rsidRPr="0023349A">
        <w:rPr>
          <w:rFonts w:ascii="Arial" w:hAnsi="Arial" w:cs="Arial"/>
          <w:b/>
          <w:bCs/>
          <w:vertAlign w:val="subscript"/>
        </w:rPr>
        <w:t>r</w:t>
      </w:r>
      <w:r w:rsidRPr="0023349A">
        <w:rPr>
          <w:rFonts w:ascii="Arial" w:hAnsi="Arial" w:cs="Arial"/>
          <w:b/>
          <w:bCs/>
        </w:rPr>
        <w:t xml:space="preserve"> for the prediction of developmental stage using the three methods.</w:t>
      </w:r>
    </w:p>
    <w:tbl>
      <w:tblPr>
        <w:tblW w:w="8813" w:type="dxa"/>
        <w:tblLook w:val="04A0" w:firstRow="1" w:lastRow="0" w:firstColumn="1" w:lastColumn="0" w:noHBand="0" w:noVBand="1"/>
      </w:tblPr>
      <w:tblGrid>
        <w:gridCol w:w="2031"/>
        <w:gridCol w:w="1893"/>
        <w:gridCol w:w="1600"/>
        <w:gridCol w:w="1701"/>
        <w:gridCol w:w="1588"/>
      </w:tblGrid>
      <w:tr w:rsidR="0023349A" w:rsidRPr="0023349A" w14:paraId="1068BD6A" w14:textId="77777777" w:rsidTr="00D234A5">
        <w:trPr>
          <w:trHeight w:val="334"/>
        </w:trPr>
        <w:tc>
          <w:tcPr>
            <w:tcW w:w="2031"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40CFADE" w14:textId="77777777" w:rsidR="0023349A" w:rsidRPr="0023349A" w:rsidRDefault="0023349A" w:rsidP="0023349A">
            <w:pPr>
              <w:spacing w:before="240"/>
              <w:rPr>
                <w:rFonts w:ascii="Arial" w:hAnsi="Arial" w:cs="Arial"/>
                <w:color w:val="000000"/>
                <w:lang w:eastAsia="en-GB"/>
              </w:rPr>
            </w:pPr>
            <w:r w:rsidRPr="0023349A">
              <w:rPr>
                <w:rFonts w:ascii="Arial" w:hAnsi="Arial" w:cs="Arial"/>
                <w:color w:val="000000"/>
                <w:lang w:eastAsia="en-GB"/>
              </w:rPr>
              <w:t>Location</w:t>
            </w:r>
          </w:p>
        </w:tc>
        <w:tc>
          <w:tcPr>
            <w:tcW w:w="1893" w:type="dxa"/>
            <w:tcBorders>
              <w:top w:val="single" w:sz="4" w:space="0" w:color="000000"/>
              <w:left w:val="nil"/>
              <w:bottom w:val="single" w:sz="4" w:space="0" w:color="000000"/>
              <w:right w:val="single" w:sz="4" w:space="0" w:color="000000"/>
            </w:tcBorders>
            <w:shd w:val="clear" w:color="auto" w:fill="auto"/>
            <w:noWrap/>
            <w:vAlign w:val="bottom"/>
            <w:hideMark/>
          </w:tcPr>
          <w:p w14:paraId="2100D25E"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Year</w:t>
            </w:r>
          </w:p>
        </w:tc>
        <w:tc>
          <w:tcPr>
            <w:tcW w:w="1600" w:type="dxa"/>
            <w:tcBorders>
              <w:top w:val="single" w:sz="4" w:space="0" w:color="000000"/>
              <w:left w:val="nil"/>
              <w:bottom w:val="single" w:sz="4" w:space="0" w:color="000000"/>
              <w:right w:val="single" w:sz="4" w:space="0" w:color="000000"/>
            </w:tcBorders>
            <w:shd w:val="clear" w:color="auto" w:fill="auto"/>
            <w:noWrap/>
            <w:vAlign w:val="bottom"/>
            <w:hideMark/>
          </w:tcPr>
          <w:p w14:paraId="37933112"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Method 1</w:t>
            </w:r>
          </w:p>
        </w:tc>
        <w:tc>
          <w:tcPr>
            <w:tcW w:w="1701" w:type="dxa"/>
            <w:tcBorders>
              <w:top w:val="single" w:sz="4" w:space="0" w:color="000000"/>
              <w:left w:val="nil"/>
              <w:bottom w:val="single" w:sz="4" w:space="0" w:color="000000"/>
              <w:right w:val="single" w:sz="4" w:space="0" w:color="000000"/>
            </w:tcBorders>
            <w:shd w:val="clear" w:color="auto" w:fill="auto"/>
            <w:noWrap/>
            <w:vAlign w:val="bottom"/>
            <w:hideMark/>
          </w:tcPr>
          <w:p w14:paraId="24CE5FF9"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Method 2</w:t>
            </w:r>
          </w:p>
        </w:tc>
        <w:tc>
          <w:tcPr>
            <w:tcW w:w="1588" w:type="dxa"/>
            <w:tcBorders>
              <w:top w:val="single" w:sz="4" w:space="0" w:color="000000"/>
              <w:left w:val="nil"/>
              <w:bottom w:val="single" w:sz="4" w:space="0" w:color="000000"/>
              <w:right w:val="single" w:sz="4" w:space="0" w:color="000000"/>
            </w:tcBorders>
          </w:tcPr>
          <w:p w14:paraId="1C44A488"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Method 3</w:t>
            </w:r>
          </w:p>
        </w:tc>
      </w:tr>
      <w:tr w:rsidR="0023349A" w:rsidRPr="0023349A" w14:paraId="3D6FA492" w14:textId="77777777" w:rsidTr="00D234A5">
        <w:trPr>
          <w:trHeight w:val="334"/>
        </w:trPr>
        <w:tc>
          <w:tcPr>
            <w:tcW w:w="2031" w:type="dxa"/>
            <w:vMerge w:val="restart"/>
            <w:tcBorders>
              <w:top w:val="nil"/>
              <w:left w:val="single" w:sz="4" w:space="0" w:color="000000"/>
              <w:bottom w:val="single" w:sz="4" w:space="0" w:color="000000"/>
              <w:right w:val="single" w:sz="4" w:space="0" w:color="000000"/>
            </w:tcBorders>
            <w:shd w:val="clear" w:color="auto" w:fill="auto"/>
            <w:vAlign w:val="center"/>
            <w:hideMark/>
          </w:tcPr>
          <w:p w14:paraId="1D375457" w14:textId="77777777" w:rsidR="0023349A" w:rsidRPr="0023349A" w:rsidRDefault="0023349A" w:rsidP="0023349A">
            <w:pPr>
              <w:spacing w:before="240"/>
              <w:rPr>
                <w:rFonts w:ascii="Arial" w:hAnsi="Arial" w:cs="Arial"/>
                <w:color w:val="000000"/>
                <w:lang w:eastAsia="en-GB"/>
              </w:rPr>
            </w:pPr>
            <w:proofErr w:type="spellStart"/>
            <w:r w:rsidRPr="0023349A">
              <w:rPr>
                <w:rFonts w:ascii="Arial" w:hAnsi="Arial" w:cs="Arial"/>
                <w:color w:val="000000"/>
                <w:lang w:eastAsia="en-GB"/>
              </w:rPr>
              <w:lastRenderedPageBreak/>
              <w:t>Ballowal</w:t>
            </w:r>
            <w:proofErr w:type="spellEnd"/>
            <w:r w:rsidRPr="0023349A">
              <w:rPr>
                <w:rFonts w:ascii="Arial" w:hAnsi="Arial" w:cs="Arial"/>
                <w:color w:val="000000"/>
                <w:lang w:eastAsia="en-GB"/>
              </w:rPr>
              <w:t xml:space="preserve"> </w:t>
            </w:r>
            <w:proofErr w:type="spellStart"/>
            <w:r w:rsidRPr="0023349A">
              <w:rPr>
                <w:rFonts w:ascii="Arial" w:hAnsi="Arial" w:cs="Arial"/>
                <w:color w:val="000000"/>
                <w:lang w:eastAsia="en-GB"/>
              </w:rPr>
              <w:t>Saunkhri</w:t>
            </w:r>
            <w:proofErr w:type="spellEnd"/>
          </w:p>
        </w:tc>
        <w:tc>
          <w:tcPr>
            <w:tcW w:w="1893" w:type="dxa"/>
            <w:tcBorders>
              <w:top w:val="nil"/>
              <w:left w:val="nil"/>
              <w:bottom w:val="single" w:sz="4" w:space="0" w:color="000000"/>
              <w:right w:val="single" w:sz="4" w:space="0" w:color="000000"/>
            </w:tcBorders>
            <w:shd w:val="clear" w:color="auto" w:fill="auto"/>
            <w:noWrap/>
            <w:vAlign w:val="bottom"/>
            <w:hideMark/>
          </w:tcPr>
          <w:p w14:paraId="6EAB565C"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2020</w:t>
            </w:r>
          </w:p>
        </w:tc>
        <w:tc>
          <w:tcPr>
            <w:tcW w:w="1600" w:type="dxa"/>
            <w:tcBorders>
              <w:top w:val="nil"/>
              <w:left w:val="nil"/>
              <w:bottom w:val="single" w:sz="4" w:space="0" w:color="000000"/>
              <w:right w:val="single" w:sz="4" w:space="0" w:color="000000"/>
            </w:tcBorders>
            <w:shd w:val="clear" w:color="auto" w:fill="auto"/>
            <w:noWrap/>
            <w:vAlign w:val="bottom"/>
            <w:hideMark/>
          </w:tcPr>
          <w:p w14:paraId="3E1CEF93"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0.80</w:t>
            </w:r>
          </w:p>
        </w:tc>
        <w:tc>
          <w:tcPr>
            <w:tcW w:w="1701" w:type="dxa"/>
            <w:tcBorders>
              <w:top w:val="nil"/>
              <w:left w:val="nil"/>
              <w:bottom w:val="single" w:sz="4" w:space="0" w:color="000000"/>
              <w:right w:val="single" w:sz="4" w:space="0" w:color="000000"/>
            </w:tcBorders>
            <w:shd w:val="clear" w:color="auto" w:fill="auto"/>
            <w:noWrap/>
            <w:vAlign w:val="bottom"/>
            <w:hideMark/>
          </w:tcPr>
          <w:p w14:paraId="771FA075"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0.86</w:t>
            </w:r>
          </w:p>
        </w:tc>
        <w:tc>
          <w:tcPr>
            <w:tcW w:w="1588" w:type="dxa"/>
            <w:tcBorders>
              <w:top w:val="nil"/>
              <w:left w:val="nil"/>
              <w:bottom w:val="single" w:sz="4" w:space="0" w:color="000000"/>
              <w:right w:val="single" w:sz="4" w:space="0" w:color="000000"/>
            </w:tcBorders>
            <w:vAlign w:val="bottom"/>
          </w:tcPr>
          <w:p w14:paraId="135BA257"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0.98</w:t>
            </w:r>
          </w:p>
        </w:tc>
      </w:tr>
      <w:tr w:rsidR="0023349A" w:rsidRPr="0023349A" w14:paraId="1E46454E" w14:textId="77777777" w:rsidTr="00D234A5">
        <w:trPr>
          <w:trHeight w:val="334"/>
        </w:trPr>
        <w:tc>
          <w:tcPr>
            <w:tcW w:w="2031" w:type="dxa"/>
            <w:vMerge/>
            <w:tcBorders>
              <w:top w:val="nil"/>
              <w:left w:val="single" w:sz="4" w:space="0" w:color="000000"/>
              <w:bottom w:val="single" w:sz="4" w:space="0" w:color="000000"/>
              <w:right w:val="single" w:sz="4" w:space="0" w:color="000000"/>
            </w:tcBorders>
            <w:vAlign w:val="center"/>
            <w:hideMark/>
          </w:tcPr>
          <w:p w14:paraId="7F093B05" w14:textId="77777777" w:rsidR="0023349A" w:rsidRPr="0023349A" w:rsidRDefault="0023349A" w:rsidP="0023349A">
            <w:pPr>
              <w:spacing w:before="240"/>
              <w:rPr>
                <w:rFonts w:ascii="Arial" w:hAnsi="Arial" w:cs="Arial"/>
                <w:color w:val="000000"/>
                <w:lang w:eastAsia="en-GB"/>
              </w:rPr>
            </w:pPr>
          </w:p>
        </w:tc>
        <w:tc>
          <w:tcPr>
            <w:tcW w:w="1893" w:type="dxa"/>
            <w:tcBorders>
              <w:top w:val="nil"/>
              <w:left w:val="nil"/>
              <w:bottom w:val="single" w:sz="4" w:space="0" w:color="000000"/>
              <w:right w:val="single" w:sz="4" w:space="0" w:color="000000"/>
            </w:tcBorders>
            <w:shd w:val="clear" w:color="auto" w:fill="auto"/>
            <w:noWrap/>
            <w:vAlign w:val="bottom"/>
            <w:hideMark/>
          </w:tcPr>
          <w:p w14:paraId="202A21AF"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2021</w:t>
            </w:r>
          </w:p>
        </w:tc>
        <w:tc>
          <w:tcPr>
            <w:tcW w:w="1600" w:type="dxa"/>
            <w:tcBorders>
              <w:top w:val="nil"/>
              <w:left w:val="nil"/>
              <w:bottom w:val="single" w:sz="4" w:space="0" w:color="000000"/>
              <w:right w:val="single" w:sz="4" w:space="0" w:color="000000"/>
            </w:tcBorders>
            <w:shd w:val="clear" w:color="auto" w:fill="auto"/>
            <w:noWrap/>
            <w:vAlign w:val="bottom"/>
            <w:hideMark/>
          </w:tcPr>
          <w:p w14:paraId="0B5AFB96"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0.93</w:t>
            </w:r>
          </w:p>
        </w:tc>
        <w:tc>
          <w:tcPr>
            <w:tcW w:w="1701" w:type="dxa"/>
            <w:tcBorders>
              <w:top w:val="nil"/>
              <w:left w:val="nil"/>
              <w:bottom w:val="single" w:sz="4" w:space="0" w:color="000000"/>
              <w:right w:val="single" w:sz="4" w:space="0" w:color="000000"/>
            </w:tcBorders>
            <w:shd w:val="clear" w:color="auto" w:fill="auto"/>
            <w:noWrap/>
            <w:vAlign w:val="bottom"/>
            <w:hideMark/>
          </w:tcPr>
          <w:p w14:paraId="3C726822"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0.92</w:t>
            </w:r>
          </w:p>
        </w:tc>
        <w:tc>
          <w:tcPr>
            <w:tcW w:w="1588" w:type="dxa"/>
            <w:tcBorders>
              <w:top w:val="nil"/>
              <w:left w:val="nil"/>
              <w:bottom w:val="single" w:sz="4" w:space="0" w:color="000000"/>
              <w:right w:val="single" w:sz="4" w:space="0" w:color="000000"/>
            </w:tcBorders>
            <w:vAlign w:val="bottom"/>
          </w:tcPr>
          <w:p w14:paraId="0C11B480"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0.94</w:t>
            </w:r>
          </w:p>
        </w:tc>
      </w:tr>
      <w:tr w:rsidR="0023349A" w:rsidRPr="0023349A" w14:paraId="78B23C44" w14:textId="77777777" w:rsidTr="00D234A5">
        <w:trPr>
          <w:trHeight w:val="334"/>
        </w:trPr>
        <w:tc>
          <w:tcPr>
            <w:tcW w:w="2031"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08DD7AA9" w14:textId="77777777" w:rsidR="0023349A" w:rsidRPr="0023349A" w:rsidRDefault="0023349A" w:rsidP="0023349A">
            <w:pPr>
              <w:spacing w:before="240"/>
              <w:rPr>
                <w:rFonts w:ascii="Arial" w:hAnsi="Arial" w:cs="Arial"/>
                <w:color w:val="000000"/>
                <w:lang w:eastAsia="en-GB"/>
              </w:rPr>
            </w:pPr>
            <w:r w:rsidRPr="0023349A">
              <w:rPr>
                <w:rFonts w:ascii="Arial" w:hAnsi="Arial" w:cs="Arial"/>
                <w:color w:val="000000"/>
                <w:lang w:eastAsia="en-GB"/>
              </w:rPr>
              <w:t>Ludhiana</w:t>
            </w:r>
          </w:p>
        </w:tc>
        <w:tc>
          <w:tcPr>
            <w:tcW w:w="1893" w:type="dxa"/>
            <w:tcBorders>
              <w:top w:val="nil"/>
              <w:left w:val="nil"/>
              <w:bottom w:val="single" w:sz="4" w:space="0" w:color="000000"/>
              <w:right w:val="single" w:sz="4" w:space="0" w:color="000000"/>
            </w:tcBorders>
            <w:shd w:val="clear" w:color="auto" w:fill="auto"/>
            <w:noWrap/>
            <w:vAlign w:val="bottom"/>
            <w:hideMark/>
          </w:tcPr>
          <w:p w14:paraId="33B75726"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2020</w:t>
            </w:r>
          </w:p>
        </w:tc>
        <w:tc>
          <w:tcPr>
            <w:tcW w:w="1600" w:type="dxa"/>
            <w:tcBorders>
              <w:top w:val="nil"/>
              <w:left w:val="nil"/>
              <w:bottom w:val="single" w:sz="4" w:space="0" w:color="000000"/>
              <w:right w:val="single" w:sz="4" w:space="0" w:color="000000"/>
            </w:tcBorders>
            <w:shd w:val="clear" w:color="auto" w:fill="auto"/>
            <w:noWrap/>
            <w:vAlign w:val="bottom"/>
            <w:hideMark/>
          </w:tcPr>
          <w:p w14:paraId="1B9717A9"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0.94</w:t>
            </w:r>
          </w:p>
        </w:tc>
        <w:tc>
          <w:tcPr>
            <w:tcW w:w="1701" w:type="dxa"/>
            <w:tcBorders>
              <w:top w:val="nil"/>
              <w:left w:val="nil"/>
              <w:bottom w:val="single" w:sz="4" w:space="0" w:color="000000"/>
              <w:right w:val="single" w:sz="4" w:space="0" w:color="000000"/>
            </w:tcBorders>
            <w:shd w:val="clear" w:color="auto" w:fill="auto"/>
            <w:noWrap/>
            <w:vAlign w:val="bottom"/>
            <w:hideMark/>
          </w:tcPr>
          <w:p w14:paraId="0E73737B"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0.94</w:t>
            </w:r>
          </w:p>
        </w:tc>
        <w:tc>
          <w:tcPr>
            <w:tcW w:w="1588" w:type="dxa"/>
            <w:tcBorders>
              <w:top w:val="nil"/>
              <w:left w:val="nil"/>
              <w:bottom w:val="single" w:sz="4" w:space="0" w:color="000000"/>
              <w:right w:val="single" w:sz="4" w:space="0" w:color="000000"/>
            </w:tcBorders>
            <w:vAlign w:val="bottom"/>
          </w:tcPr>
          <w:p w14:paraId="7E21FB4A"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0.95</w:t>
            </w:r>
          </w:p>
        </w:tc>
      </w:tr>
      <w:tr w:rsidR="0023349A" w:rsidRPr="0023349A" w14:paraId="4E10BBD3" w14:textId="77777777" w:rsidTr="00D234A5">
        <w:trPr>
          <w:trHeight w:val="334"/>
        </w:trPr>
        <w:tc>
          <w:tcPr>
            <w:tcW w:w="2031" w:type="dxa"/>
            <w:vMerge/>
            <w:tcBorders>
              <w:top w:val="nil"/>
              <w:left w:val="single" w:sz="4" w:space="0" w:color="000000"/>
              <w:bottom w:val="single" w:sz="4" w:space="0" w:color="000000"/>
              <w:right w:val="single" w:sz="4" w:space="0" w:color="000000"/>
            </w:tcBorders>
            <w:vAlign w:val="center"/>
            <w:hideMark/>
          </w:tcPr>
          <w:p w14:paraId="68BEFC9B" w14:textId="77777777" w:rsidR="0023349A" w:rsidRPr="0023349A" w:rsidRDefault="0023349A" w:rsidP="0023349A">
            <w:pPr>
              <w:spacing w:before="240"/>
              <w:rPr>
                <w:rFonts w:ascii="Arial" w:hAnsi="Arial" w:cs="Arial"/>
                <w:color w:val="000000"/>
                <w:lang w:eastAsia="en-GB"/>
              </w:rPr>
            </w:pPr>
          </w:p>
        </w:tc>
        <w:tc>
          <w:tcPr>
            <w:tcW w:w="1893" w:type="dxa"/>
            <w:tcBorders>
              <w:top w:val="nil"/>
              <w:left w:val="nil"/>
              <w:bottom w:val="single" w:sz="4" w:space="0" w:color="000000"/>
              <w:right w:val="single" w:sz="4" w:space="0" w:color="000000"/>
            </w:tcBorders>
            <w:shd w:val="clear" w:color="auto" w:fill="auto"/>
            <w:noWrap/>
            <w:vAlign w:val="bottom"/>
            <w:hideMark/>
          </w:tcPr>
          <w:p w14:paraId="01EDA28D"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2021</w:t>
            </w:r>
          </w:p>
        </w:tc>
        <w:tc>
          <w:tcPr>
            <w:tcW w:w="1600" w:type="dxa"/>
            <w:tcBorders>
              <w:top w:val="nil"/>
              <w:left w:val="nil"/>
              <w:bottom w:val="single" w:sz="4" w:space="0" w:color="000000"/>
              <w:right w:val="single" w:sz="4" w:space="0" w:color="000000"/>
            </w:tcBorders>
            <w:shd w:val="clear" w:color="auto" w:fill="auto"/>
            <w:noWrap/>
            <w:vAlign w:val="bottom"/>
            <w:hideMark/>
          </w:tcPr>
          <w:p w14:paraId="14819F57"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0.92</w:t>
            </w:r>
          </w:p>
        </w:tc>
        <w:tc>
          <w:tcPr>
            <w:tcW w:w="1701" w:type="dxa"/>
            <w:tcBorders>
              <w:top w:val="nil"/>
              <w:left w:val="nil"/>
              <w:bottom w:val="single" w:sz="4" w:space="0" w:color="000000"/>
              <w:right w:val="single" w:sz="4" w:space="0" w:color="000000"/>
            </w:tcBorders>
            <w:shd w:val="clear" w:color="auto" w:fill="auto"/>
            <w:noWrap/>
            <w:vAlign w:val="bottom"/>
            <w:hideMark/>
          </w:tcPr>
          <w:p w14:paraId="4BCA9537"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0.90</w:t>
            </w:r>
          </w:p>
        </w:tc>
        <w:tc>
          <w:tcPr>
            <w:tcW w:w="1588" w:type="dxa"/>
            <w:tcBorders>
              <w:top w:val="nil"/>
              <w:left w:val="nil"/>
              <w:bottom w:val="single" w:sz="4" w:space="0" w:color="000000"/>
              <w:right w:val="single" w:sz="4" w:space="0" w:color="000000"/>
            </w:tcBorders>
            <w:vAlign w:val="bottom"/>
          </w:tcPr>
          <w:p w14:paraId="35CB29D6"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0.96</w:t>
            </w:r>
          </w:p>
        </w:tc>
      </w:tr>
      <w:tr w:rsidR="0023349A" w:rsidRPr="0023349A" w14:paraId="60E58C03" w14:textId="77777777" w:rsidTr="00D234A5">
        <w:trPr>
          <w:trHeight w:val="334"/>
        </w:trPr>
        <w:tc>
          <w:tcPr>
            <w:tcW w:w="2031" w:type="dxa"/>
            <w:vMerge w:val="restart"/>
            <w:tcBorders>
              <w:top w:val="nil"/>
              <w:left w:val="single" w:sz="4" w:space="0" w:color="000000"/>
              <w:bottom w:val="single" w:sz="4" w:space="0" w:color="000000"/>
              <w:right w:val="single" w:sz="4" w:space="0" w:color="000000"/>
            </w:tcBorders>
            <w:shd w:val="clear" w:color="auto" w:fill="auto"/>
            <w:noWrap/>
            <w:vAlign w:val="center"/>
            <w:hideMark/>
          </w:tcPr>
          <w:p w14:paraId="7302799F" w14:textId="77777777" w:rsidR="0023349A" w:rsidRPr="0023349A" w:rsidRDefault="0023349A" w:rsidP="0023349A">
            <w:pPr>
              <w:spacing w:before="240"/>
              <w:rPr>
                <w:rFonts w:ascii="Arial" w:hAnsi="Arial" w:cs="Arial"/>
                <w:color w:val="000000"/>
                <w:lang w:eastAsia="en-GB"/>
              </w:rPr>
            </w:pPr>
            <w:r w:rsidRPr="0023349A">
              <w:rPr>
                <w:rFonts w:ascii="Arial" w:hAnsi="Arial" w:cs="Arial"/>
                <w:color w:val="000000"/>
                <w:lang w:eastAsia="en-GB"/>
              </w:rPr>
              <w:t>Faridkot</w:t>
            </w:r>
          </w:p>
        </w:tc>
        <w:tc>
          <w:tcPr>
            <w:tcW w:w="1893" w:type="dxa"/>
            <w:tcBorders>
              <w:top w:val="nil"/>
              <w:left w:val="nil"/>
              <w:bottom w:val="single" w:sz="4" w:space="0" w:color="000000"/>
              <w:right w:val="single" w:sz="4" w:space="0" w:color="000000"/>
            </w:tcBorders>
            <w:shd w:val="clear" w:color="auto" w:fill="auto"/>
            <w:noWrap/>
            <w:vAlign w:val="bottom"/>
            <w:hideMark/>
          </w:tcPr>
          <w:p w14:paraId="4100BF26"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2020</w:t>
            </w:r>
          </w:p>
        </w:tc>
        <w:tc>
          <w:tcPr>
            <w:tcW w:w="1600" w:type="dxa"/>
            <w:tcBorders>
              <w:top w:val="nil"/>
              <w:left w:val="nil"/>
              <w:bottom w:val="single" w:sz="4" w:space="0" w:color="000000"/>
              <w:right w:val="single" w:sz="4" w:space="0" w:color="000000"/>
            </w:tcBorders>
            <w:shd w:val="clear" w:color="auto" w:fill="auto"/>
            <w:noWrap/>
            <w:vAlign w:val="bottom"/>
            <w:hideMark/>
          </w:tcPr>
          <w:p w14:paraId="54B1EE58"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0.95</w:t>
            </w:r>
          </w:p>
        </w:tc>
        <w:tc>
          <w:tcPr>
            <w:tcW w:w="1701" w:type="dxa"/>
            <w:tcBorders>
              <w:top w:val="nil"/>
              <w:left w:val="nil"/>
              <w:bottom w:val="single" w:sz="4" w:space="0" w:color="000000"/>
              <w:right w:val="single" w:sz="4" w:space="0" w:color="000000"/>
            </w:tcBorders>
            <w:shd w:val="clear" w:color="auto" w:fill="auto"/>
            <w:noWrap/>
            <w:vAlign w:val="bottom"/>
            <w:hideMark/>
          </w:tcPr>
          <w:p w14:paraId="49118221"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0.93</w:t>
            </w:r>
          </w:p>
        </w:tc>
        <w:tc>
          <w:tcPr>
            <w:tcW w:w="1588" w:type="dxa"/>
            <w:tcBorders>
              <w:top w:val="nil"/>
              <w:left w:val="nil"/>
              <w:bottom w:val="single" w:sz="4" w:space="0" w:color="000000"/>
              <w:right w:val="single" w:sz="4" w:space="0" w:color="000000"/>
            </w:tcBorders>
            <w:vAlign w:val="bottom"/>
          </w:tcPr>
          <w:p w14:paraId="3FBA15DD"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0.96</w:t>
            </w:r>
          </w:p>
        </w:tc>
      </w:tr>
      <w:tr w:rsidR="0023349A" w:rsidRPr="0023349A" w14:paraId="1919A158" w14:textId="77777777" w:rsidTr="00D234A5">
        <w:trPr>
          <w:trHeight w:val="334"/>
        </w:trPr>
        <w:tc>
          <w:tcPr>
            <w:tcW w:w="2031" w:type="dxa"/>
            <w:vMerge/>
            <w:tcBorders>
              <w:top w:val="nil"/>
              <w:left w:val="single" w:sz="4" w:space="0" w:color="000000"/>
              <w:bottom w:val="single" w:sz="4" w:space="0" w:color="000000"/>
              <w:right w:val="single" w:sz="4" w:space="0" w:color="000000"/>
            </w:tcBorders>
            <w:vAlign w:val="center"/>
            <w:hideMark/>
          </w:tcPr>
          <w:p w14:paraId="613928ED" w14:textId="77777777" w:rsidR="0023349A" w:rsidRPr="0023349A" w:rsidRDefault="0023349A" w:rsidP="0023349A">
            <w:pPr>
              <w:spacing w:before="240"/>
              <w:rPr>
                <w:rFonts w:ascii="Arial" w:hAnsi="Arial" w:cs="Arial"/>
                <w:color w:val="000000"/>
                <w:lang w:eastAsia="en-GB"/>
              </w:rPr>
            </w:pPr>
          </w:p>
        </w:tc>
        <w:tc>
          <w:tcPr>
            <w:tcW w:w="1893" w:type="dxa"/>
            <w:tcBorders>
              <w:top w:val="nil"/>
              <w:left w:val="nil"/>
              <w:bottom w:val="single" w:sz="4" w:space="0" w:color="000000"/>
              <w:right w:val="single" w:sz="4" w:space="0" w:color="000000"/>
            </w:tcBorders>
            <w:shd w:val="clear" w:color="auto" w:fill="auto"/>
            <w:noWrap/>
            <w:vAlign w:val="bottom"/>
            <w:hideMark/>
          </w:tcPr>
          <w:p w14:paraId="68E40421"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2021</w:t>
            </w:r>
          </w:p>
        </w:tc>
        <w:tc>
          <w:tcPr>
            <w:tcW w:w="1600" w:type="dxa"/>
            <w:tcBorders>
              <w:top w:val="nil"/>
              <w:left w:val="nil"/>
              <w:bottom w:val="single" w:sz="4" w:space="0" w:color="000000"/>
              <w:right w:val="single" w:sz="4" w:space="0" w:color="000000"/>
            </w:tcBorders>
            <w:shd w:val="clear" w:color="auto" w:fill="auto"/>
            <w:noWrap/>
            <w:vAlign w:val="bottom"/>
            <w:hideMark/>
          </w:tcPr>
          <w:p w14:paraId="0E7F65BF"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0.90</w:t>
            </w:r>
          </w:p>
        </w:tc>
        <w:tc>
          <w:tcPr>
            <w:tcW w:w="1701" w:type="dxa"/>
            <w:tcBorders>
              <w:top w:val="nil"/>
              <w:left w:val="nil"/>
              <w:bottom w:val="single" w:sz="4" w:space="0" w:color="000000"/>
              <w:right w:val="single" w:sz="4" w:space="0" w:color="000000"/>
            </w:tcBorders>
            <w:shd w:val="clear" w:color="auto" w:fill="auto"/>
            <w:noWrap/>
            <w:vAlign w:val="bottom"/>
            <w:hideMark/>
          </w:tcPr>
          <w:p w14:paraId="486EF840"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0.84</w:t>
            </w:r>
          </w:p>
        </w:tc>
        <w:tc>
          <w:tcPr>
            <w:tcW w:w="1588" w:type="dxa"/>
            <w:tcBorders>
              <w:top w:val="nil"/>
              <w:left w:val="nil"/>
              <w:bottom w:val="single" w:sz="4" w:space="0" w:color="000000"/>
              <w:right w:val="single" w:sz="4" w:space="0" w:color="000000"/>
            </w:tcBorders>
            <w:vAlign w:val="bottom"/>
          </w:tcPr>
          <w:p w14:paraId="64367B00" w14:textId="77777777" w:rsidR="0023349A" w:rsidRPr="0023349A" w:rsidRDefault="0023349A" w:rsidP="0023349A">
            <w:pPr>
              <w:spacing w:before="240"/>
              <w:jc w:val="center"/>
              <w:rPr>
                <w:rFonts w:ascii="Arial" w:hAnsi="Arial" w:cs="Arial"/>
                <w:color w:val="000000"/>
                <w:lang w:eastAsia="en-GB"/>
              </w:rPr>
            </w:pPr>
            <w:r w:rsidRPr="0023349A">
              <w:rPr>
                <w:rFonts w:ascii="Arial" w:hAnsi="Arial" w:cs="Arial"/>
                <w:color w:val="000000"/>
                <w:lang w:eastAsia="en-GB"/>
              </w:rPr>
              <w:t>0.91</w:t>
            </w:r>
          </w:p>
        </w:tc>
      </w:tr>
    </w:tbl>
    <w:p w14:paraId="074F677E" w14:textId="77777777" w:rsidR="0023349A" w:rsidRPr="0023349A" w:rsidRDefault="0023349A" w:rsidP="0023349A">
      <w:pPr>
        <w:spacing w:before="240"/>
        <w:jc w:val="both"/>
        <w:rPr>
          <w:rFonts w:ascii="Arial" w:hAnsi="Arial" w:cs="Arial"/>
        </w:rPr>
      </w:pPr>
    </w:p>
    <w:p w14:paraId="0C41FAEF" w14:textId="77777777" w:rsidR="0023349A" w:rsidRPr="0023349A" w:rsidRDefault="0023349A" w:rsidP="0023349A">
      <w:pPr>
        <w:spacing w:before="240"/>
        <w:jc w:val="both"/>
        <w:rPr>
          <w:rFonts w:ascii="Arial" w:hAnsi="Arial" w:cs="Arial"/>
        </w:rPr>
      </w:pPr>
      <w:r w:rsidRPr="0023349A">
        <w:rPr>
          <w:rFonts w:ascii="Arial" w:hAnsi="Arial" w:cs="Arial"/>
        </w:rPr>
        <w:t xml:space="preserve">At </w:t>
      </w:r>
      <w:proofErr w:type="spellStart"/>
      <w:r w:rsidRPr="0023349A">
        <w:rPr>
          <w:rFonts w:ascii="Arial" w:hAnsi="Arial" w:cs="Arial"/>
        </w:rPr>
        <w:t>Ballowal</w:t>
      </w:r>
      <w:proofErr w:type="spellEnd"/>
      <w:r w:rsidRPr="0023349A">
        <w:rPr>
          <w:rFonts w:ascii="Arial" w:hAnsi="Arial" w:cs="Arial"/>
        </w:rPr>
        <w:t xml:space="preserve"> </w:t>
      </w:r>
      <w:proofErr w:type="spellStart"/>
      <w:r w:rsidRPr="0023349A">
        <w:rPr>
          <w:rFonts w:ascii="Arial" w:hAnsi="Arial" w:cs="Arial"/>
        </w:rPr>
        <w:t>Saunkhri</w:t>
      </w:r>
      <w:proofErr w:type="spellEnd"/>
      <w:r w:rsidRPr="0023349A">
        <w:rPr>
          <w:rFonts w:ascii="Arial" w:hAnsi="Arial" w:cs="Arial"/>
        </w:rPr>
        <w:t>, Method 3 consistently demonstrated the highest agreement (dr = 0.98 in 2020 and 0.94 in 2021), outperforming both Methods 1 and 3. This highlights the advantage of Method 3’s refined temperature threshold adjustments for regions with moderate temperature variability. Method 2 showed moderate agreement (dr ​= 0.86 in 2020 and 0.92 in 2021), while Method 1, though simpler, performed comparably in 2021 (dr = 0.93).</w:t>
      </w:r>
    </w:p>
    <w:p w14:paraId="5A44521A" w14:textId="77777777" w:rsidR="0023349A" w:rsidRPr="0023349A" w:rsidRDefault="0023349A" w:rsidP="0023349A">
      <w:pPr>
        <w:spacing w:before="240"/>
        <w:jc w:val="both"/>
        <w:rPr>
          <w:rFonts w:ascii="Arial" w:hAnsi="Arial" w:cs="Arial"/>
        </w:rPr>
      </w:pPr>
      <w:r w:rsidRPr="0023349A">
        <w:rPr>
          <w:rFonts w:ascii="Arial" w:hAnsi="Arial" w:cs="Arial"/>
        </w:rPr>
        <w:t>At Ludhiana, all methods displayed strong agreement during both years, with Method 3 achieving the highest dr​ values (0.95 in 2020 and 0.96 in 2021). Methods 1 and 2 performed similarly in 2020 (dr ​= 0.94), but Method 3's performance dropped slightly in 2021 (dr = 0.90). This suggests that Method 2's adjustments to extreme temperatures contributed to its higher consistency.</w:t>
      </w:r>
    </w:p>
    <w:p w14:paraId="0A0EA0E4" w14:textId="77777777" w:rsidR="0023349A" w:rsidRPr="0023349A" w:rsidRDefault="0023349A" w:rsidP="0023349A">
      <w:pPr>
        <w:spacing w:before="240"/>
        <w:jc w:val="both"/>
        <w:rPr>
          <w:rFonts w:ascii="Arial" w:hAnsi="Arial" w:cs="Arial"/>
        </w:rPr>
      </w:pPr>
      <w:r w:rsidRPr="0023349A">
        <w:rPr>
          <w:rFonts w:ascii="Arial" w:hAnsi="Arial" w:cs="Arial"/>
        </w:rPr>
        <w:t>At Faridkot, Method 3 again outperformed others with the highest dr​ values (0.96 in 2020 and 0.91 in 2021). Method 2 showed reduced agreement in 2021 (dr = 0.84), indicating a decline in performance under more variable climatic conditions. In contrast, Method 1 remained stable but slightly lower in performance compared to Method 3.</w:t>
      </w:r>
    </w:p>
    <w:p w14:paraId="6E3EFE74" w14:textId="2F00123C" w:rsidR="0023349A" w:rsidRPr="0023349A" w:rsidRDefault="0023349A" w:rsidP="0023349A">
      <w:pPr>
        <w:spacing w:before="240"/>
        <w:jc w:val="both"/>
        <w:rPr>
          <w:rFonts w:ascii="Arial" w:hAnsi="Arial" w:cs="Arial"/>
        </w:rPr>
      </w:pPr>
      <w:r w:rsidRPr="0023349A">
        <w:rPr>
          <w:rFonts w:ascii="Arial" w:hAnsi="Arial" w:cs="Arial"/>
        </w:rPr>
        <w:t xml:space="preserve">Overall, Method 3 consistently achieved the highest dr​ values across all locations and years, reinforcing its effectiveness in modeling GDD under diverse climatic conditions. These findings align with previous studies advocating for refined temperature threshold adjustments to improve model accuracy </w:t>
      </w:r>
      <w:r>
        <w:rPr>
          <w:rFonts w:ascii="Arial" w:hAnsi="Arial" w:cs="Arial"/>
        </w:rPr>
        <w:t>[1] [1</w:t>
      </w:r>
      <w:r w:rsidR="0005591D">
        <w:rPr>
          <w:rFonts w:ascii="Arial" w:hAnsi="Arial" w:cs="Arial"/>
        </w:rPr>
        <w:t>5</w:t>
      </w:r>
      <w:r>
        <w:rPr>
          <w:rFonts w:ascii="Arial" w:hAnsi="Arial" w:cs="Arial"/>
        </w:rPr>
        <w:t>]</w:t>
      </w:r>
      <w:r w:rsidRPr="0023349A">
        <w:rPr>
          <w:rFonts w:ascii="Arial" w:hAnsi="Arial" w:cs="Arial"/>
        </w:rPr>
        <w:t xml:space="preserve"> </w:t>
      </w:r>
    </w:p>
    <w:p w14:paraId="01B487C1" w14:textId="77777777" w:rsidR="0023349A" w:rsidRPr="0023349A" w:rsidRDefault="0023349A" w:rsidP="0023349A">
      <w:pPr>
        <w:spacing w:before="240"/>
        <w:jc w:val="both"/>
        <w:rPr>
          <w:rFonts w:ascii="Arial" w:hAnsi="Arial" w:cs="Arial"/>
          <w:b/>
          <w:bCs/>
        </w:rPr>
      </w:pPr>
      <w:r w:rsidRPr="0023349A">
        <w:rPr>
          <w:rFonts w:ascii="Arial" w:hAnsi="Arial" w:cs="Arial"/>
          <w:b/>
          <w:bCs/>
        </w:rPr>
        <w:t>The performance of describing the accumulation of dry matter:</w:t>
      </w:r>
    </w:p>
    <w:p w14:paraId="05C8A1E7" w14:textId="77777777" w:rsidR="0023349A" w:rsidRPr="0023349A" w:rsidRDefault="0023349A" w:rsidP="0023349A">
      <w:pPr>
        <w:spacing w:before="240"/>
        <w:jc w:val="both"/>
        <w:rPr>
          <w:rFonts w:ascii="Arial" w:hAnsi="Arial" w:cs="Arial"/>
        </w:rPr>
      </w:pPr>
      <w:r w:rsidRPr="0023349A">
        <w:rPr>
          <w:rFonts w:ascii="Arial" w:hAnsi="Arial" w:cs="Arial"/>
        </w:rPr>
        <w:t>The logistic model was applied to analyze the relationship between Growing Degree Days (GDD) and Relative Dry Matter (RDM) across three methods and three locations. The R</w:t>
      </w:r>
      <w:r w:rsidRPr="0023349A">
        <w:rPr>
          <w:rFonts w:ascii="Arial" w:hAnsi="Arial" w:cs="Arial"/>
          <w:vertAlign w:val="superscript"/>
        </w:rPr>
        <w:t>2</w:t>
      </w:r>
      <w:r w:rsidRPr="0023349A">
        <w:rPr>
          <w:rFonts w:ascii="Arial" w:hAnsi="Arial" w:cs="Arial"/>
        </w:rPr>
        <w:t xml:space="preserve"> and RMSE values from each combination indicate varying levels of model performance, providing insights into the effectiveness of the methods under different environmental conditions. The accumulation of dry matter was described well with the </w:t>
      </w:r>
      <w:proofErr w:type="spellStart"/>
      <w:r w:rsidRPr="0023349A">
        <w:rPr>
          <w:rFonts w:ascii="Arial" w:hAnsi="Arial" w:cs="Arial"/>
        </w:rPr>
        <w:t>normalised</w:t>
      </w:r>
      <w:proofErr w:type="spellEnd"/>
      <w:r w:rsidRPr="0023349A">
        <w:rPr>
          <w:rFonts w:ascii="Arial" w:hAnsi="Arial" w:cs="Arial"/>
        </w:rPr>
        <w:t xml:space="preserve"> logistic model as a function of GDD calculated by the three methods for the three locations (Fig. 2), with an RMSE between observed and fitted values by the three methods within 0.06. At </w:t>
      </w:r>
      <w:proofErr w:type="spellStart"/>
      <w:r w:rsidRPr="0023349A">
        <w:rPr>
          <w:rFonts w:ascii="Arial" w:hAnsi="Arial" w:cs="Arial"/>
        </w:rPr>
        <w:t>Ballowal</w:t>
      </w:r>
      <w:proofErr w:type="spellEnd"/>
      <w:r w:rsidRPr="0023349A">
        <w:rPr>
          <w:rFonts w:ascii="Arial" w:hAnsi="Arial" w:cs="Arial"/>
        </w:rPr>
        <w:t xml:space="preserve"> </w:t>
      </w:r>
      <w:proofErr w:type="spellStart"/>
      <w:r w:rsidRPr="0023349A">
        <w:rPr>
          <w:rFonts w:ascii="Arial" w:hAnsi="Arial" w:cs="Arial"/>
        </w:rPr>
        <w:t>Saunkhri</w:t>
      </w:r>
      <w:proofErr w:type="spellEnd"/>
      <w:r w:rsidRPr="0023349A">
        <w:rPr>
          <w:rFonts w:ascii="Arial" w:hAnsi="Arial" w:cs="Arial"/>
        </w:rPr>
        <w:t>, Method 3 showed the best performance with the highest R</w:t>
      </w:r>
      <w:r w:rsidRPr="0023349A">
        <w:rPr>
          <w:rFonts w:ascii="Arial" w:hAnsi="Arial" w:cs="Arial"/>
          <w:vertAlign w:val="superscript"/>
        </w:rPr>
        <w:t>2</w:t>
      </w:r>
      <w:r w:rsidRPr="0023349A">
        <w:rPr>
          <w:rFonts w:ascii="Arial" w:hAnsi="Arial" w:cs="Arial"/>
        </w:rPr>
        <w:t>=0.989 and the lowest RMSE of 0.039. Method 1 (R</w:t>
      </w:r>
      <w:r w:rsidRPr="0023349A">
        <w:rPr>
          <w:rFonts w:ascii="Arial" w:hAnsi="Arial" w:cs="Arial"/>
          <w:vertAlign w:val="superscript"/>
        </w:rPr>
        <w:t>2</w:t>
      </w:r>
      <w:r w:rsidRPr="0023349A">
        <w:rPr>
          <w:rFonts w:ascii="Arial" w:hAnsi="Arial" w:cs="Arial"/>
        </w:rPr>
        <w:t>=0.982, RMSE = 0.047) and Method 2 (R</w:t>
      </w:r>
      <w:r w:rsidRPr="0023349A">
        <w:rPr>
          <w:rFonts w:ascii="Arial" w:hAnsi="Arial" w:cs="Arial"/>
          <w:vertAlign w:val="superscript"/>
        </w:rPr>
        <w:t>2</w:t>
      </w:r>
      <w:r w:rsidRPr="0023349A">
        <w:rPr>
          <w:rFonts w:ascii="Arial" w:hAnsi="Arial" w:cs="Arial"/>
        </w:rPr>
        <w:t>=0.970, RMSE = 0.062) also performed well but were slightly less accurate compared to Method 3. For Ludhiana, method 3 again outperformed the other methods (R</w:t>
      </w:r>
      <w:r w:rsidRPr="0023349A">
        <w:rPr>
          <w:rFonts w:ascii="Arial" w:hAnsi="Arial" w:cs="Arial"/>
          <w:vertAlign w:val="superscript"/>
        </w:rPr>
        <w:t>2</w:t>
      </w:r>
      <w:r w:rsidRPr="0023349A">
        <w:rPr>
          <w:rFonts w:ascii="Arial" w:hAnsi="Arial" w:cs="Arial"/>
        </w:rPr>
        <w:t>=0.982, RMSE = 0.047), followed by Method 2 (R</w:t>
      </w:r>
      <w:r w:rsidRPr="0023349A">
        <w:rPr>
          <w:rFonts w:ascii="Arial" w:hAnsi="Arial" w:cs="Arial"/>
          <w:vertAlign w:val="superscript"/>
        </w:rPr>
        <w:t>2</w:t>
      </w:r>
      <w:r w:rsidRPr="0023349A">
        <w:rPr>
          <w:rFonts w:ascii="Arial" w:hAnsi="Arial" w:cs="Arial"/>
        </w:rPr>
        <w:t>=0.978, RMSE = 0.051), and Method 1 (R</w:t>
      </w:r>
      <w:r w:rsidRPr="0023349A">
        <w:rPr>
          <w:rFonts w:ascii="Arial" w:hAnsi="Arial" w:cs="Arial"/>
          <w:vertAlign w:val="superscript"/>
        </w:rPr>
        <w:t>2</w:t>
      </w:r>
      <w:r w:rsidRPr="0023349A">
        <w:rPr>
          <w:rFonts w:ascii="Arial" w:hAnsi="Arial" w:cs="Arial"/>
        </w:rPr>
        <w:t>=0.963, RMSE = 0.067). At Faridkot, Method 3 achieved the highest R</w:t>
      </w:r>
      <w:r w:rsidRPr="0023349A">
        <w:rPr>
          <w:rFonts w:ascii="Arial" w:hAnsi="Arial" w:cs="Arial"/>
          <w:vertAlign w:val="superscript"/>
        </w:rPr>
        <w:t>2</w:t>
      </w:r>
      <w:r w:rsidRPr="0023349A">
        <w:rPr>
          <w:rFonts w:ascii="Arial" w:hAnsi="Arial" w:cs="Arial"/>
        </w:rPr>
        <w:t>=0.988, with RMSE value 0.039. Method 1 (R</w:t>
      </w:r>
      <w:r w:rsidRPr="0023349A">
        <w:rPr>
          <w:rFonts w:ascii="Arial" w:hAnsi="Arial" w:cs="Arial"/>
          <w:vertAlign w:val="superscript"/>
        </w:rPr>
        <w:t>2</w:t>
      </w:r>
      <w:r w:rsidRPr="0023349A">
        <w:rPr>
          <w:rFonts w:ascii="Arial" w:hAnsi="Arial" w:cs="Arial"/>
        </w:rPr>
        <w:t>=0.980, RMSE = 0.050) and Method 2 (R</w:t>
      </w:r>
      <w:r w:rsidRPr="0023349A">
        <w:rPr>
          <w:rFonts w:ascii="Arial" w:hAnsi="Arial" w:cs="Arial"/>
          <w:vertAlign w:val="superscript"/>
        </w:rPr>
        <w:t>2</w:t>
      </w:r>
      <w:r w:rsidRPr="0023349A">
        <w:rPr>
          <w:rFonts w:ascii="Arial" w:hAnsi="Arial" w:cs="Arial"/>
        </w:rPr>
        <w:t>=0.972, RMSE = 0.060) demonstrated consistent and reliable performance.</w:t>
      </w:r>
    </w:p>
    <w:p w14:paraId="7CF7C387" w14:textId="77777777" w:rsidR="0023349A" w:rsidRPr="0023349A" w:rsidRDefault="0023349A" w:rsidP="0023349A">
      <w:pPr>
        <w:spacing w:before="240"/>
        <w:jc w:val="center"/>
        <w:rPr>
          <w:rFonts w:ascii="Arial" w:hAnsi="Arial" w:cs="Arial"/>
        </w:rPr>
      </w:pPr>
      <w:bookmarkStart w:id="1" w:name="_Hlk187613110"/>
      <w:r w:rsidRPr="0023349A">
        <w:rPr>
          <w:rFonts w:ascii="Arial" w:hAnsi="Arial" w:cs="Arial"/>
          <w:noProof/>
        </w:rPr>
        <w:lastRenderedPageBreak/>
        <w:drawing>
          <wp:inline distT="0" distB="0" distL="0" distR="0" wp14:anchorId="07066929" wp14:editId="66B72A0F">
            <wp:extent cx="2592000" cy="1950319"/>
            <wp:effectExtent l="0" t="0" r="0" b="0"/>
            <wp:docPr id="17363698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2000" cy="1950319"/>
                    </a:xfrm>
                    <a:prstGeom prst="rect">
                      <a:avLst/>
                    </a:prstGeom>
                    <a:noFill/>
                    <a:ln>
                      <a:noFill/>
                    </a:ln>
                  </pic:spPr>
                </pic:pic>
              </a:graphicData>
            </a:graphic>
          </wp:inline>
        </w:drawing>
      </w:r>
      <w:r w:rsidRPr="0023349A">
        <w:rPr>
          <w:rFonts w:ascii="Arial" w:hAnsi="Arial" w:cs="Arial"/>
          <w:noProof/>
        </w:rPr>
        <w:drawing>
          <wp:inline distT="0" distB="0" distL="0" distR="0" wp14:anchorId="515D9088" wp14:editId="57EE2967">
            <wp:extent cx="2592000" cy="1950319"/>
            <wp:effectExtent l="0" t="0" r="0" b="0"/>
            <wp:docPr id="8858190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92000" cy="1950319"/>
                    </a:xfrm>
                    <a:prstGeom prst="rect">
                      <a:avLst/>
                    </a:prstGeom>
                    <a:noFill/>
                    <a:ln>
                      <a:noFill/>
                    </a:ln>
                  </pic:spPr>
                </pic:pic>
              </a:graphicData>
            </a:graphic>
          </wp:inline>
        </w:drawing>
      </w:r>
      <w:r w:rsidRPr="0023349A">
        <w:rPr>
          <w:rFonts w:ascii="Arial" w:hAnsi="Arial" w:cs="Arial"/>
          <w:noProof/>
        </w:rPr>
        <w:drawing>
          <wp:inline distT="0" distB="0" distL="0" distR="0" wp14:anchorId="4AEFFEB7" wp14:editId="2A8F564A">
            <wp:extent cx="2592000" cy="1950319"/>
            <wp:effectExtent l="0" t="0" r="0" b="0"/>
            <wp:docPr id="14544578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92000" cy="1950319"/>
                    </a:xfrm>
                    <a:prstGeom prst="rect">
                      <a:avLst/>
                    </a:prstGeom>
                    <a:noFill/>
                    <a:ln>
                      <a:noFill/>
                    </a:ln>
                  </pic:spPr>
                </pic:pic>
              </a:graphicData>
            </a:graphic>
          </wp:inline>
        </w:drawing>
      </w:r>
    </w:p>
    <w:p w14:paraId="4815141C" w14:textId="77777777" w:rsidR="0023349A" w:rsidRPr="0023349A" w:rsidRDefault="0023349A" w:rsidP="0023349A">
      <w:pPr>
        <w:spacing w:before="240"/>
        <w:jc w:val="center"/>
        <w:rPr>
          <w:rFonts w:ascii="Arial" w:hAnsi="Arial" w:cs="Arial"/>
        </w:rPr>
      </w:pPr>
      <w:r w:rsidRPr="0023349A">
        <w:rPr>
          <w:rFonts w:ascii="Arial" w:hAnsi="Arial" w:cs="Arial"/>
        </w:rPr>
        <w:t>(a)</w:t>
      </w:r>
    </w:p>
    <w:p w14:paraId="6BB14D76" w14:textId="77777777" w:rsidR="0023349A" w:rsidRPr="0023349A" w:rsidRDefault="0023349A" w:rsidP="0023349A">
      <w:pPr>
        <w:spacing w:before="240"/>
        <w:jc w:val="center"/>
        <w:rPr>
          <w:rFonts w:ascii="Arial" w:hAnsi="Arial" w:cs="Arial"/>
          <w:noProof/>
        </w:rPr>
      </w:pPr>
      <w:r w:rsidRPr="0023349A">
        <w:rPr>
          <w:rFonts w:ascii="Arial" w:hAnsi="Arial" w:cs="Arial"/>
          <w:noProof/>
        </w:rPr>
        <w:drawing>
          <wp:inline distT="0" distB="0" distL="0" distR="0" wp14:anchorId="77EB104A" wp14:editId="5F9D2488">
            <wp:extent cx="2592000" cy="1950319"/>
            <wp:effectExtent l="0" t="0" r="0" b="0"/>
            <wp:docPr id="203462059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92000" cy="1950319"/>
                    </a:xfrm>
                    <a:prstGeom prst="rect">
                      <a:avLst/>
                    </a:prstGeom>
                    <a:noFill/>
                    <a:ln>
                      <a:noFill/>
                    </a:ln>
                  </pic:spPr>
                </pic:pic>
              </a:graphicData>
            </a:graphic>
          </wp:inline>
        </w:drawing>
      </w:r>
      <w:r w:rsidRPr="0023349A">
        <w:rPr>
          <w:rFonts w:ascii="Arial" w:hAnsi="Arial" w:cs="Arial"/>
          <w:noProof/>
        </w:rPr>
        <w:drawing>
          <wp:inline distT="0" distB="0" distL="0" distR="0" wp14:anchorId="2666A217" wp14:editId="196555E6">
            <wp:extent cx="2592000" cy="1939911"/>
            <wp:effectExtent l="0" t="0" r="0" b="0"/>
            <wp:docPr id="139654851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92000" cy="1939911"/>
                    </a:xfrm>
                    <a:prstGeom prst="rect">
                      <a:avLst/>
                    </a:prstGeom>
                    <a:noFill/>
                    <a:ln>
                      <a:noFill/>
                    </a:ln>
                  </pic:spPr>
                </pic:pic>
              </a:graphicData>
            </a:graphic>
          </wp:inline>
        </w:drawing>
      </w:r>
      <w:r w:rsidRPr="0023349A">
        <w:rPr>
          <w:rFonts w:ascii="Arial" w:hAnsi="Arial" w:cs="Arial"/>
          <w:noProof/>
        </w:rPr>
        <w:drawing>
          <wp:inline distT="0" distB="0" distL="0" distR="0" wp14:anchorId="2101F12E" wp14:editId="43832669">
            <wp:extent cx="2592000" cy="1950319"/>
            <wp:effectExtent l="0" t="0" r="0" b="0"/>
            <wp:docPr id="96636568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92000" cy="1950319"/>
                    </a:xfrm>
                    <a:prstGeom prst="rect">
                      <a:avLst/>
                    </a:prstGeom>
                    <a:noFill/>
                    <a:ln>
                      <a:noFill/>
                    </a:ln>
                  </pic:spPr>
                </pic:pic>
              </a:graphicData>
            </a:graphic>
          </wp:inline>
        </w:drawing>
      </w:r>
    </w:p>
    <w:p w14:paraId="0BF5992A" w14:textId="77777777" w:rsidR="0023349A" w:rsidRPr="0023349A" w:rsidRDefault="0023349A" w:rsidP="0023349A">
      <w:pPr>
        <w:spacing w:before="240"/>
        <w:jc w:val="center"/>
        <w:rPr>
          <w:rFonts w:ascii="Arial" w:hAnsi="Arial" w:cs="Arial"/>
          <w:noProof/>
        </w:rPr>
      </w:pPr>
      <w:r w:rsidRPr="0023349A">
        <w:rPr>
          <w:rFonts w:ascii="Arial" w:hAnsi="Arial" w:cs="Arial"/>
          <w:noProof/>
        </w:rPr>
        <w:t>(b)</w:t>
      </w:r>
    </w:p>
    <w:p w14:paraId="680185F2" w14:textId="77777777" w:rsidR="0023349A" w:rsidRPr="0023349A" w:rsidRDefault="0023349A" w:rsidP="0023349A">
      <w:pPr>
        <w:spacing w:before="240"/>
        <w:jc w:val="center"/>
        <w:rPr>
          <w:rFonts w:ascii="Arial" w:hAnsi="Arial" w:cs="Arial"/>
          <w:noProof/>
        </w:rPr>
      </w:pPr>
      <w:r w:rsidRPr="0023349A">
        <w:rPr>
          <w:rFonts w:ascii="Arial" w:hAnsi="Arial" w:cs="Arial"/>
          <w:noProof/>
        </w:rPr>
        <w:lastRenderedPageBreak/>
        <w:drawing>
          <wp:inline distT="0" distB="0" distL="0" distR="0" wp14:anchorId="05DBAA15" wp14:editId="7E88070B">
            <wp:extent cx="2592000" cy="1950319"/>
            <wp:effectExtent l="0" t="0" r="0" b="0"/>
            <wp:docPr id="160832516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592000" cy="1950319"/>
                    </a:xfrm>
                    <a:prstGeom prst="rect">
                      <a:avLst/>
                    </a:prstGeom>
                    <a:noFill/>
                    <a:ln>
                      <a:noFill/>
                    </a:ln>
                  </pic:spPr>
                </pic:pic>
              </a:graphicData>
            </a:graphic>
          </wp:inline>
        </w:drawing>
      </w:r>
      <w:r w:rsidRPr="0023349A">
        <w:rPr>
          <w:rFonts w:ascii="Arial" w:hAnsi="Arial" w:cs="Arial"/>
          <w:noProof/>
        </w:rPr>
        <w:drawing>
          <wp:inline distT="0" distB="0" distL="0" distR="0" wp14:anchorId="6673476F" wp14:editId="26C2140D">
            <wp:extent cx="2592000" cy="1950319"/>
            <wp:effectExtent l="0" t="0" r="0" b="0"/>
            <wp:docPr id="187036195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92000" cy="1950319"/>
                    </a:xfrm>
                    <a:prstGeom prst="rect">
                      <a:avLst/>
                    </a:prstGeom>
                    <a:noFill/>
                    <a:ln>
                      <a:noFill/>
                    </a:ln>
                  </pic:spPr>
                </pic:pic>
              </a:graphicData>
            </a:graphic>
          </wp:inline>
        </w:drawing>
      </w:r>
      <w:r w:rsidRPr="0023349A">
        <w:rPr>
          <w:rFonts w:ascii="Arial" w:hAnsi="Arial" w:cs="Arial"/>
          <w:noProof/>
        </w:rPr>
        <w:drawing>
          <wp:inline distT="0" distB="0" distL="0" distR="0" wp14:anchorId="5EB69309" wp14:editId="5A3462E0">
            <wp:extent cx="2592000" cy="1950319"/>
            <wp:effectExtent l="0" t="0" r="0" b="0"/>
            <wp:docPr id="86255258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592000" cy="1950319"/>
                    </a:xfrm>
                    <a:prstGeom prst="rect">
                      <a:avLst/>
                    </a:prstGeom>
                    <a:noFill/>
                    <a:ln>
                      <a:noFill/>
                    </a:ln>
                  </pic:spPr>
                </pic:pic>
              </a:graphicData>
            </a:graphic>
          </wp:inline>
        </w:drawing>
      </w:r>
    </w:p>
    <w:p w14:paraId="1D7C7CC4" w14:textId="77777777" w:rsidR="0023349A" w:rsidRPr="0023349A" w:rsidRDefault="0023349A" w:rsidP="0023349A">
      <w:pPr>
        <w:spacing w:before="240"/>
        <w:jc w:val="center"/>
        <w:rPr>
          <w:rFonts w:ascii="Arial" w:hAnsi="Arial" w:cs="Arial"/>
          <w:noProof/>
        </w:rPr>
      </w:pPr>
    </w:p>
    <w:bookmarkEnd w:id="1"/>
    <w:p w14:paraId="4BCB3B9A" w14:textId="77777777" w:rsidR="0023349A" w:rsidRPr="0023349A" w:rsidRDefault="0023349A" w:rsidP="0023349A">
      <w:pPr>
        <w:spacing w:before="240"/>
        <w:jc w:val="center"/>
        <w:rPr>
          <w:rFonts w:ascii="Arial" w:hAnsi="Arial" w:cs="Arial"/>
        </w:rPr>
      </w:pPr>
      <w:r w:rsidRPr="0023349A">
        <w:rPr>
          <w:rFonts w:ascii="Arial" w:hAnsi="Arial" w:cs="Arial"/>
        </w:rPr>
        <w:t>(c)</w:t>
      </w:r>
    </w:p>
    <w:p w14:paraId="4EBA58F6" w14:textId="6C4AC865" w:rsidR="0023349A" w:rsidRPr="0023349A" w:rsidRDefault="0023349A" w:rsidP="0023349A">
      <w:pPr>
        <w:spacing w:before="240"/>
        <w:jc w:val="center"/>
        <w:rPr>
          <w:rFonts w:ascii="Arial" w:hAnsi="Arial" w:cs="Arial"/>
          <w:b/>
          <w:bCs/>
        </w:rPr>
      </w:pPr>
      <w:r w:rsidRPr="0023349A">
        <w:rPr>
          <w:rFonts w:ascii="Arial" w:hAnsi="Arial" w:cs="Arial"/>
          <w:b/>
          <w:bCs/>
        </w:rPr>
        <w:t>Fig</w:t>
      </w:r>
      <w:r w:rsidR="00FD4C87">
        <w:rPr>
          <w:rFonts w:ascii="Arial" w:hAnsi="Arial" w:cs="Arial"/>
          <w:b/>
          <w:bCs/>
        </w:rPr>
        <w:t>.</w:t>
      </w:r>
      <w:r w:rsidRPr="0023349A">
        <w:rPr>
          <w:rFonts w:ascii="Arial" w:hAnsi="Arial" w:cs="Arial"/>
          <w:b/>
          <w:bCs/>
        </w:rPr>
        <w:t xml:space="preserve"> 2</w:t>
      </w:r>
      <w:r w:rsidR="00FD4C87">
        <w:rPr>
          <w:rFonts w:ascii="Arial" w:hAnsi="Arial" w:cs="Arial"/>
          <w:b/>
          <w:bCs/>
        </w:rPr>
        <w:t>.</w:t>
      </w:r>
      <w:r w:rsidRPr="0023349A">
        <w:rPr>
          <w:rFonts w:ascii="Arial" w:hAnsi="Arial" w:cs="Arial"/>
          <w:b/>
          <w:bCs/>
        </w:rPr>
        <w:t xml:space="preserve"> </w:t>
      </w:r>
      <w:bookmarkStart w:id="2" w:name="_Hlk187613233"/>
      <w:r w:rsidRPr="0023349A">
        <w:rPr>
          <w:rFonts w:ascii="Arial" w:hAnsi="Arial" w:cs="Arial"/>
          <w:b/>
          <w:bCs/>
        </w:rPr>
        <w:t xml:space="preserve">Relative accumulation of dry matter (RDM) fitted with a normalized logistic model as function of GDD at (a) </w:t>
      </w:r>
      <w:proofErr w:type="spellStart"/>
      <w:r w:rsidRPr="0023349A">
        <w:rPr>
          <w:rFonts w:ascii="Arial" w:hAnsi="Arial" w:cs="Arial"/>
          <w:b/>
          <w:bCs/>
        </w:rPr>
        <w:t>Ballowal</w:t>
      </w:r>
      <w:proofErr w:type="spellEnd"/>
      <w:r w:rsidRPr="0023349A">
        <w:rPr>
          <w:rFonts w:ascii="Arial" w:hAnsi="Arial" w:cs="Arial"/>
          <w:b/>
          <w:bCs/>
        </w:rPr>
        <w:t xml:space="preserve"> </w:t>
      </w:r>
      <w:proofErr w:type="spellStart"/>
      <w:r w:rsidRPr="0023349A">
        <w:rPr>
          <w:rFonts w:ascii="Arial" w:hAnsi="Arial" w:cs="Arial"/>
          <w:b/>
          <w:bCs/>
        </w:rPr>
        <w:t>Saunkhri</w:t>
      </w:r>
      <w:proofErr w:type="spellEnd"/>
      <w:r w:rsidRPr="0023349A">
        <w:rPr>
          <w:rFonts w:ascii="Arial" w:hAnsi="Arial" w:cs="Arial"/>
          <w:b/>
          <w:bCs/>
        </w:rPr>
        <w:t xml:space="preserve">, </w:t>
      </w:r>
      <w:bookmarkEnd w:id="2"/>
      <w:r w:rsidRPr="0023349A">
        <w:rPr>
          <w:rFonts w:ascii="Arial" w:hAnsi="Arial" w:cs="Arial"/>
          <w:b/>
          <w:bCs/>
        </w:rPr>
        <w:t>(b) Ludhiana, and (c) Faridkot</w:t>
      </w:r>
    </w:p>
    <w:p w14:paraId="5DF3C349" w14:textId="77777777" w:rsidR="0023349A" w:rsidRPr="0023349A" w:rsidRDefault="0023349A" w:rsidP="0023349A">
      <w:pPr>
        <w:spacing w:before="240"/>
        <w:jc w:val="both"/>
        <w:rPr>
          <w:rFonts w:ascii="Arial" w:hAnsi="Arial" w:cs="Arial"/>
        </w:rPr>
      </w:pPr>
      <w:r w:rsidRPr="0023349A">
        <w:rPr>
          <w:rFonts w:ascii="Arial" w:hAnsi="Arial" w:cs="Arial"/>
        </w:rPr>
        <w:t>The results suggest that Method 3 is the most robust for predicting RDM under different conditions, followed closely by Method 1. These models capture the sigmoidal growth pattern of crops effectively, enabling better prediction of growth stages. This can help farmers optimize agricultural practices, such as determining the best harvest time or managing resources efficiently. The curve for the accumulation of dry matter was steeper for Method 3 than the other methods because GDD was lower for Method 3 in some cases.</w:t>
      </w:r>
    </w:p>
    <w:p w14:paraId="6B97B344" w14:textId="757BB427" w:rsidR="0023349A" w:rsidRPr="0023349A" w:rsidRDefault="0023349A" w:rsidP="0023349A">
      <w:pPr>
        <w:pStyle w:val="Body"/>
        <w:spacing w:before="240" w:after="0"/>
        <w:rPr>
          <w:rFonts w:ascii="Arial" w:hAnsi="Arial" w:cs="Arial"/>
        </w:rPr>
      </w:pPr>
      <w:r w:rsidRPr="0023349A">
        <w:rPr>
          <w:rFonts w:ascii="Arial" w:hAnsi="Arial" w:cs="Arial"/>
        </w:rPr>
        <w:t>Traditional Growing Degree Day (GDD) calculation methods often rely on the average of daily maximum and minimum temperatures, which fail to account for the complexities of temperature fluctuations throughout the day, as temperatures typically peak around midday and drop significantly at night</w:t>
      </w:r>
      <w:r w:rsidR="0005591D">
        <w:rPr>
          <w:rFonts w:ascii="Arial" w:hAnsi="Arial" w:cs="Arial"/>
        </w:rPr>
        <w:t xml:space="preserve"> [16]</w:t>
      </w:r>
      <w:r w:rsidRPr="0023349A">
        <w:rPr>
          <w:rFonts w:ascii="Arial" w:hAnsi="Arial" w:cs="Arial"/>
        </w:rPr>
        <w:t>. By modeling temperature variation using a more realistic sine-wave pattern, the cosine-wave method provides a finer estimate of heat accumulation, particularly in regions with temperature extremes occurring at specific times</w:t>
      </w:r>
      <w:r w:rsidR="0005591D">
        <w:rPr>
          <w:rFonts w:ascii="Arial" w:hAnsi="Arial" w:cs="Arial"/>
        </w:rPr>
        <w:t xml:space="preserve"> [17]</w:t>
      </w:r>
      <w:r w:rsidRPr="0023349A">
        <w:rPr>
          <w:rFonts w:ascii="Arial" w:hAnsi="Arial" w:cs="Arial"/>
        </w:rPr>
        <w:t xml:space="preserve">. This approach improves the accuracy of GDD calculations </w:t>
      </w:r>
      <w:r w:rsidR="0005591D">
        <w:rPr>
          <w:rFonts w:ascii="Arial" w:hAnsi="Arial" w:cs="Arial"/>
        </w:rPr>
        <w:t>[17]</w:t>
      </w:r>
      <w:r w:rsidRPr="0023349A">
        <w:rPr>
          <w:rFonts w:ascii="Arial" w:hAnsi="Arial" w:cs="Arial"/>
        </w:rPr>
        <w:t xml:space="preserve"> and is essential for crop models that rely on GDD to predict development stages, yield potential, harvest dates, and pest outbreaks</w:t>
      </w:r>
      <w:r w:rsidR="0005591D">
        <w:rPr>
          <w:rFonts w:ascii="Arial" w:hAnsi="Arial" w:cs="Arial"/>
        </w:rPr>
        <w:t xml:space="preserve"> [16]</w:t>
      </w:r>
      <w:r w:rsidRPr="0023349A">
        <w:rPr>
          <w:rFonts w:ascii="Arial" w:hAnsi="Arial" w:cs="Arial"/>
        </w:rPr>
        <w:t>. The method’s enhanced precision also aids in optimizing agricultural practices such as irrigation schedules, fertilization, and pest management</w:t>
      </w:r>
      <w:r w:rsidR="0005591D">
        <w:rPr>
          <w:rFonts w:ascii="Arial" w:hAnsi="Arial" w:cs="Arial"/>
        </w:rPr>
        <w:t xml:space="preserve"> [17]</w:t>
      </w:r>
      <w:r w:rsidRPr="0023349A">
        <w:rPr>
          <w:rFonts w:ascii="Arial" w:hAnsi="Arial" w:cs="Arial"/>
        </w:rPr>
        <w:t>. Furthermore, the cosine-wave method better fits non-linear temperature profiles and captures the cyclical nature of daily temperature variation, which is particularly beneficial in areas with substantial daily temperature fluctuations, like temperate or semi-arid climates</w:t>
      </w:r>
      <w:r w:rsidR="0005591D">
        <w:rPr>
          <w:rFonts w:ascii="Arial" w:hAnsi="Arial" w:cs="Arial"/>
        </w:rPr>
        <w:t xml:space="preserve"> [18</w:t>
      </w:r>
      <w:r w:rsidRPr="0023349A">
        <w:rPr>
          <w:rFonts w:ascii="Arial" w:hAnsi="Arial" w:cs="Arial"/>
        </w:rPr>
        <w:t>. Overall, by accounting for diurnal temperature fluctuations more accurately, the cosine-wave method provides a more reliable measure of heat accumulation, crucial for crop modeling, forecasting, and agricultural management.</w:t>
      </w:r>
    </w:p>
    <w:p w14:paraId="35C51930" w14:textId="77777777" w:rsidR="0023349A" w:rsidRPr="0023349A" w:rsidRDefault="0023349A" w:rsidP="0023349A">
      <w:pPr>
        <w:pStyle w:val="ConcHead"/>
        <w:spacing w:before="240" w:after="0"/>
        <w:jc w:val="both"/>
        <w:rPr>
          <w:rFonts w:ascii="Arial" w:hAnsi="Arial" w:cs="Arial"/>
        </w:rPr>
      </w:pPr>
    </w:p>
    <w:p w14:paraId="6564060D" w14:textId="77777777" w:rsidR="0023349A" w:rsidRPr="0023349A" w:rsidRDefault="0023349A" w:rsidP="0023349A">
      <w:pPr>
        <w:spacing w:before="240"/>
        <w:jc w:val="both"/>
        <w:rPr>
          <w:rFonts w:ascii="Arial" w:hAnsi="Arial" w:cs="Arial"/>
          <w:b/>
          <w:bCs/>
        </w:rPr>
      </w:pPr>
      <w:r w:rsidRPr="0023349A">
        <w:rPr>
          <w:rFonts w:ascii="Arial" w:hAnsi="Arial" w:cs="Arial"/>
          <w:b/>
          <w:bCs/>
        </w:rPr>
        <w:t>4 Limitations of the study</w:t>
      </w:r>
    </w:p>
    <w:p w14:paraId="494902BB" w14:textId="77777777" w:rsidR="0023349A" w:rsidRPr="0023349A" w:rsidRDefault="0023349A" w:rsidP="0023349A">
      <w:pPr>
        <w:spacing w:before="240"/>
        <w:jc w:val="both"/>
        <w:rPr>
          <w:rFonts w:ascii="Arial" w:hAnsi="Arial" w:cs="Arial"/>
        </w:rPr>
      </w:pPr>
      <w:r w:rsidRPr="0023349A">
        <w:rPr>
          <w:rFonts w:ascii="Arial" w:hAnsi="Arial" w:cs="Arial"/>
        </w:rPr>
        <w:lastRenderedPageBreak/>
        <w:t>While the study provides valuable insights into the benefits of the cosine-wave method for calculating Growing Degree Days (GDD), there are several limitations to consider. Firstly, the study was conducted over a limited number of locations—</w:t>
      </w:r>
      <w:proofErr w:type="spellStart"/>
      <w:r w:rsidRPr="0023349A">
        <w:rPr>
          <w:rFonts w:ascii="Arial" w:hAnsi="Arial" w:cs="Arial"/>
        </w:rPr>
        <w:t>Ballowal</w:t>
      </w:r>
      <w:proofErr w:type="spellEnd"/>
      <w:r w:rsidRPr="0023349A">
        <w:rPr>
          <w:rFonts w:ascii="Arial" w:hAnsi="Arial" w:cs="Arial"/>
        </w:rPr>
        <w:t xml:space="preserve"> </w:t>
      </w:r>
      <w:proofErr w:type="spellStart"/>
      <w:r w:rsidRPr="0023349A">
        <w:rPr>
          <w:rFonts w:ascii="Arial" w:hAnsi="Arial" w:cs="Arial"/>
        </w:rPr>
        <w:t>Saunkhri</w:t>
      </w:r>
      <w:proofErr w:type="spellEnd"/>
      <w:r w:rsidRPr="0023349A">
        <w:rPr>
          <w:rFonts w:ascii="Arial" w:hAnsi="Arial" w:cs="Arial"/>
        </w:rPr>
        <w:t xml:space="preserve">, Ludhiana, and Faridkot—which may not fully represent the diverse </w:t>
      </w:r>
      <w:proofErr w:type="spellStart"/>
      <w:r w:rsidRPr="0023349A">
        <w:rPr>
          <w:rFonts w:ascii="Arial" w:hAnsi="Arial" w:cs="Arial"/>
        </w:rPr>
        <w:t>agro</w:t>
      </w:r>
      <w:proofErr w:type="spellEnd"/>
      <w:r w:rsidRPr="0023349A">
        <w:rPr>
          <w:rFonts w:ascii="Arial" w:hAnsi="Arial" w:cs="Arial"/>
        </w:rPr>
        <w:t>-climatic conditions across Punjab or other regions with differing climatic patterns. The results may not be generalizable to areas with more extreme weather conditions or those with different crop types. Additionally, the study focused on wheat, and the effectiveness of the cosine-wave method for other crops with varying thermal requirements remains to be explored. Furthermore, while Method 3 provided more accurate GDD estimates, it is computationally more complex compared to traditional methods, which may limit its practical application in resource-constrained settings. Lastly, the study's reliance on specific weather stations for temperature data may not capture microclimatic variations within larger agricultural landscapes.</w:t>
      </w:r>
    </w:p>
    <w:p w14:paraId="10FA89E4" w14:textId="77777777" w:rsidR="0023349A" w:rsidRPr="0023349A" w:rsidRDefault="0023349A" w:rsidP="0023349A">
      <w:pPr>
        <w:spacing w:before="240"/>
        <w:jc w:val="both"/>
        <w:rPr>
          <w:rFonts w:ascii="Arial" w:hAnsi="Arial" w:cs="Arial"/>
          <w:b/>
          <w:bCs/>
        </w:rPr>
      </w:pPr>
      <w:r w:rsidRPr="0023349A">
        <w:rPr>
          <w:rFonts w:ascii="Arial" w:hAnsi="Arial" w:cs="Arial"/>
          <w:b/>
          <w:bCs/>
        </w:rPr>
        <w:t>5 Conclusion</w:t>
      </w:r>
    </w:p>
    <w:p w14:paraId="7688AE04" w14:textId="77777777" w:rsidR="0023349A" w:rsidRPr="0023349A" w:rsidRDefault="0023349A" w:rsidP="0023349A">
      <w:pPr>
        <w:pStyle w:val="Body"/>
        <w:spacing w:before="240" w:after="0"/>
        <w:rPr>
          <w:rFonts w:ascii="Arial" w:hAnsi="Arial" w:cs="Arial"/>
        </w:rPr>
      </w:pPr>
      <w:r w:rsidRPr="0023349A">
        <w:rPr>
          <w:rFonts w:ascii="Arial" w:hAnsi="Arial" w:cs="Arial"/>
        </w:rPr>
        <w:t>In conclusion, the study highlights the superiority of the cosine-wave method (Method 3) for calculating Growing Degree Days (GDD) across different wheat-growing regions, particularly when accounting for complex diurnal temperature variations. Method 3 consistently outperformed traditional GDD calculation methods (Methods 1 and 2) in terms of precision, particularly during mid- to late phenological stages. This was evident in both the lower variation in coefficient of variation (CV) and higher agreement with observed data, as indicated by Willmott's refined index of agreement (dr). Additionally, the logistic model’s performance demonstrated that Method 3 provided the most accurate predictions of Relative Dry Matter (RDM), essential for optimizing crop management practices. The findings underscore the importance of refined GDD models that can accommodate localized temperature dynamics, offering significant potential for improving crop modeling, yield prediction, and climate-resilient agriculture, especially in regions with variable and extreme temperature patterns.</w:t>
      </w:r>
    </w:p>
    <w:p w14:paraId="217E85EF" w14:textId="77777777" w:rsidR="0023349A" w:rsidRPr="0023349A" w:rsidRDefault="0023349A" w:rsidP="0023349A">
      <w:pPr>
        <w:pStyle w:val="ReferHead"/>
        <w:spacing w:before="240" w:after="0"/>
        <w:jc w:val="both"/>
        <w:rPr>
          <w:rFonts w:ascii="Arial" w:hAnsi="Arial" w:cs="Arial"/>
          <w:bCs/>
        </w:rPr>
      </w:pPr>
      <w:r w:rsidRPr="0023349A">
        <w:rPr>
          <w:rFonts w:ascii="Arial" w:hAnsi="Arial" w:cs="Arial"/>
          <w:bCs/>
        </w:rPr>
        <w:t>Competing interests</w:t>
      </w:r>
    </w:p>
    <w:p w14:paraId="1F535716" w14:textId="77777777" w:rsidR="0023349A" w:rsidRPr="0023349A" w:rsidRDefault="0023349A" w:rsidP="0023349A">
      <w:pPr>
        <w:pStyle w:val="ReferHead"/>
        <w:spacing w:before="240" w:after="0"/>
        <w:jc w:val="both"/>
        <w:rPr>
          <w:rFonts w:ascii="Arial" w:hAnsi="Arial" w:cs="Arial"/>
          <w:b w:val="0"/>
          <w:caps w:val="0"/>
          <w:sz w:val="20"/>
        </w:rPr>
      </w:pPr>
      <w:r w:rsidRPr="0023349A">
        <w:rPr>
          <w:rFonts w:ascii="Arial" w:hAnsi="Arial" w:cs="Arial"/>
          <w:b w:val="0"/>
          <w:caps w:val="0"/>
          <w:sz w:val="20"/>
        </w:rPr>
        <w:t>Authors have declared that no competing interests exist.</w:t>
      </w:r>
    </w:p>
    <w:p w14:paraId="0C4ED1B0" w14:textId="77777777" w:rsidR="0023349A" w:rsidRPr="0023349A" w:rsidRDefault="0023349A" w:rsidP="0023349A">
      <w:pPr>
        <w:pStyle w:val="ReferHead"/>
        <w:spacing w:before="240" w:after="0"/>
        <w:jc w:val="both"/>
        <w:rPr>
          <w:rFonts w:ascii="Arial" w:hAnsi="Arial" w:cs="Arial"/>
        </w:rPr>
      </w:pPr>
      <w:r w:rsidRPr="0023349A">
        <w:rPr>
          <w:rFonts w:ascii="Arial" w:hAnsi="Arial" w:cs="Arial"/>
        </w:rPr>
        <w:t>References</w:t>
      </w:r>
    </w:p>
    <w:p w14:paraId="2A11D624" w14:textId="57FF2173" w:rsidR="0023349A" w:rsidRPr="0023349A" w:rsidRDefault="0023349A" w:rsidP="0023349A">
      <w:pPr>
        <w:numPr>
          <w:ilvl w:val="0"/>
          <w:numId w:val="2"/>
        </w:numPr>
        <w:spacing w:before="240"/>
        <w:rPr>
          <w:rFonts w:ascii="Arial" w:hAnsi="Arial" w:cs="Arial"/>
          <w:lang w:val="en-GB"/>
        </w:rPr>
      </w:pPr>
      <w:r w:rsidRPr="0023349A">
        <w:rPr>
          <w:rFonts w:ascii="Arial" w:hAnsi="Arial" w:cs="Arial"/>
          <w:lang w:val="en-GB"/>
        </w:rPr>
        <w:t>McMaster</w:t>
      </w:r>
      <w:r w:rsidR="00FD4C87">
        <w:rPr>
          <w:rFonts w:ascii="Arial" w:hAnsi="Arial" w:cs="Arial"/>
          <w:lang w:val="en-GB"/>
        </w:rPr>
        <w:t>,</w:t>
      </w:r>
      <w:r w:rsidRPr="0023349A">
        <w:rPr>
          <w:rFonts w:ascii="Arial" w:hAnsi="Arial" w:cs="Arial"/>
          <w:lang w:val="en-GB"/>
        </w:rPr>
        <w:t xml:space="preserve"> G</w:t>
      </w:r>
      <w:r w:rsidR="00FD4C87">
        <w:rPr>
          <w:rFonts w:ascii="Arial" w:hAnsi="Arial" w:cs="Arial"/>
          <w:lang w:val="en-GB"/>
        </w:rPr>
        <w:t>.</w:t>
      </w:r>
      <w:r w:rsidRPr="0023349A">
        <w:rPr>
          <w:rFonts w:ascii="Arial" w:hAnsi="Arial" w:cs="Arial"/>
          <w:lang w:val="en-GB"/>
        </w:rPr>
        <w:t>S</w:t>
      </w:r>
      <w:r w:rsidR="00FD4C87">
        <w:rPr>
          <w:rFonts w:ascii="Arial" w:hAnsi="Arial" w:cs="Arial"/>
          <w:lang w:val="en-GB"/>
        </w:rPr>
        <w:t>.</w:t>
      </w:r>
      <w:r w:rsidRPr="0023349A">
        <w:rPr>
          <w:rFonts w:ascii="Arial" w:hAnsi="Arial" w:cs="Arial"/>
          <w:lang w:val="en-GB"/>
        </w:rPr>
        <w:t>, Wilhelm</w:t>
      </w:r>
      <w:r w:rsidR="00FD4C87">
        <w:rPr>
          <w:rFonts w:ascii="Arial" w:hAnsi="Arial" w:cs="Arial"/>
          <w:lang w:val="en-GB"/>
        </w:rPr>
        <w:t>,</w:t>
      </w:r>
      <w:r w:rsidRPr="0023349A">
        <w:rPr>
          <w:rFonts w:ascii="Arial" w:hAnsi="Arial" w:cs="Arial"/>
          <w:lang w:val="en-GB"/>
        </w:rPr>
        <w:t xml:space="preserve"> W</w:t>
      </w:r>
      <w:r w:rsidR="00FD4C87">
        <w:rPr>
          <w:rFonts w:ascii="Arial" w:hAnsi="Arial" w:cs="Arial"/>
          <w:lang w:val="en-GB"/>
        </w:rPr>
        <w:t xml:space="preserve">. </w:t>
      </w:r>
      <w:r w:rsidRPr="0023349A">
        <w:rPr>
          <w:rFonts w:ascii="Arial" w:hAnsi="Arial" w:cs="Arial"/>
          <w:lang w:val="en-GB"/>
        </w:rPr>
        <w:t>W</w:t>
      </w:r>
      <w:r w:rsidR="00FD4C87">
        <w:rPr>
          <w:rFonts w:ascii="Arial" w:hAnsi="Arial" w:cs="Arial"/>
          <w:lang w:val="en-GB"/>
        </w:rPr>
        <w:t>.</w:t>
      </w:r>
      <w:r w:rsidRPr="0023349A">
        <w:rPr>
          <w:rFonts w:ascii="Arial" w:hAnsi="Arial" w:cs="Arial"/>
          <w:lang w:val="en-GB"/>
        </w:rPr>
        <w:t xml:space="preserve"> (1997)</w:t>
      </w:r>
      <w:r w:rsidR="00FD4C87">
        <w:rPr>
          <w:rFonts w:ascii="Arial" w:hAnsi="Arial" w:cs="Arial"/>
          <w:lang w:val="en-GB"/>
        </w:rPr>
        <w:t>.</w:t>
      </w:r>
      <w:r w:rsidRPr="0023349A">
        <w:rPr>
          <w:rFonts w:ascii="Arial" w:hAnsi="Arial" w:cs="Arial"/>
          <w:lang w:val="en-GB"/>
        </w:rPr>
        <w:t xml:space="preserve"> Growing degree-days: One equation, two interpretations. Agric</w:t>
      </w:r>
      <w:r w:rsidR="00FD4C87">
        <w:rPr>
          <w:rFonts w:ascii="Arial" w:hAnsi="Arial" w:cs="Arial"/>
          <w:lang w:val="en-GB"/>
        </w:rPr>
        <w:t>ulture and Forest</w:t>
      </w:r>
      <w:r w:rsidRPr="0023349A">
        <w:rPr>
          <w:rFonts w:ascii="Arial" w:hAnsi="Arial" w:cs="Arial"/>
          <w:lang w:val="en-GB"/>
        </w:rPr>
        <w:t xml:space="preserve"> Meteorol</w:t>
      </w:r>
      <w:r w:rsidR="00FD4C87">
        <w:rPr>
          <w:rFonts w:ascii="Arial" w:hAnsi="Arial" w:cs="Arial"/>
          <w:lang w:val="en-GB"/>
        </w:rPr>
        <w:t>ogy,</w:t>
      </w:r>
      <w:r w:rsidRPr="0023349A">
        <w:rPr>
          <w:rFonts w:ascii="Arial" w:hAnsi="Arial" w:cs="Arial"/>
          <w:lang w:val="en-GB"/>
        </w:rPr>
        <w:t xml:space="preserve"> 8</w:t>
      </w:r>
      <w:r w:rsidR="00FD4C87">
        <w:rPr>
          <w:rFonts w:ascii="Arial" w:hAnsi="Arial" w:cs="Arial"/>
          <w:lang w:val="en-GB"/>
        </w:rPr>
        <w:t xml:space="preserve">7, </w:t>
      </w:r>
      <w:r w:rsidRPr="0023349A">
        <w:rPr>
          <w:rFonts w:ascii="Arial" w:hAnsi="Arial" w:cs="Arial"/>
          <w:lang w:val="en-GB"/>
        </w:rPr>
        <w:t>291–300</w:t>
      </w:r>
      <w:r w:rsidR="00FD4C87">
        <w:rPr>
          <w:rFonts w:ascii="Arial" w:hAnsi="Arial" w:cs="Arial"/>
          <w:lang w:val="en-GB"/>
        </w:rPr>
        <w:t>.</w:t>
      </w:r>
    </w:p>
    <w:p w14:paraId="0950E2EC" w14:textId="3DA74E46" w:rsidR="0023349A" w:rsidRPr="0023349A" w:rsidRDefault="0023349A" w:rsidP="0023349A">
      <w:pPr>
        <w:numPr>
          <w:ilvl w:val="0"/>
          <w:numId w:val="2"/>
        </w:numPr>
        <w:spacing w:before="240"/>
        <w:rPr>
          <w:rFonts w:ascii="Arial" w:hAnsi="Arial" w:cs="Arial"/>
          <w:lang w:val="en-GB"/>
        </w:rPr>
      </w:pPr>
      <w:r w:rsidRPr="0023349A">
        <w:rPr>
          <w:rFonts w:ascii="Arial" w:hAnsi="Arial" w:cs="Arial"/>
          <w:lang w:val="en-GB"/>
        </w:rPr>
        <w:t>Baskerville</w:t>
      </w:r>
      <w:r w:rsidR="00FD4C87">
        <w:rPr>
          <w:rFonts w:ascii="Arial" w:hAnsi="Arial" w:cs="Arial"/>
          <w:lang w:val="en-GB"/>
        </w:rPr>
        <w:t>,</w:t>
      </w:r>
      <w:r w:rsidRPr="0023349A">
        <w:rPr>
          <w:rFonts w:ascii="Arial" w:hAnsi="Arial" w:cs="Arial"/>
          <w:lang w:val="en-GB"/>
        </w:rPr>
        <w:t xml:space="preserve"> G</w:t>
      </w:r>
      <w:r w:rsidR="00FD4C87">
        <w:rPr>
          <w:rFonts w:ascii="Arial" w:hAnsi="Arial" w:cs="Arial"/>
          <w:lang w:val="en-GB"/>
        </w:rPr>
        <w:t xml:space="preserve">. </w:t>
      </w:r>
      <w:r w:rsidRPr="0023349A">
        <w:rPr>
          <w:rFonts w:ascii="Arial" w:hAnsi="Arial" w:cs="Arial"/>
          <w:lang w:val="en-GB"/>
        </w:rPr>
        <w:t>L</w:t>
      </w:r>
      <w:r w:rsidR="00FD4C87">
        <w:rPr>
          <w:rFonts w:ascii="Arial" w:hAnsi="Arial" w:cs="Arial"/>
          <w:lang w:val="en-GB"/>
        </w:rPr>
        <w:t>. &amp;</w:t>
      </w:r>
      <w:r w:rsidRPr="0023349A">
        <w:rPr>
          <w:rFonts w:ascii="Arial" w:hAnsi="Arial" w:cs="Arial"/>
          <w:lang w:val="en-GB"/>
        </w:rPr>
        <w:t xml:space="preserve"> Emin</w:t>
      </w:r>
      <w:r w:rsidR="00FD4C87">
        <w:rPr>
          <w:rFonts w:ascii="Arial" w:hAnsi="Arial" w:cs="Arial"/>
          <w:lang w:val="en-GB"/>
        </w:rPr>
        <w:t>,</w:t>
      </w:r>
      <w:r w:rsidRPr="0023349A">
        <w:rPr>
          <w:rFonts w:ascii="Arial" w:hAnsi="Arial" w:cs="Arial"/>
          <w:lang w:val="en-GB"/>
        </w:rPr>
        <w:t xml:space="preserve"> P</w:t>
      </w:r>
      <w:r w:rsidR="00FD4C87">
        <w:rPr>
          <w:rFonts w:ascii="Arial" w:hAnsi="Arial" w:cs="Arial"/>
          <w:lang w:val="en-GB"/>
        </w:rPr>
        <w:t>.</w:t>
      </w:r>
      <w:r w:rsidRPr="0023349A">
        <w:rPr>
          <w:rFonts w:ascii="Arial" w:hAnsi="Arial" w:cs="Arial"/>
          <w:lang w:val="en-GB"/>
        </w:rPr>
        <w:t xml:space="preserve"> (1969)</w:t>
      </w:r>
      <w:r w:rsidR="00FD4C87">
        <w:rPr>
          <w:rFonts w:ascii="Arial" w:hAnsi="Arial" w:cs="Arial"/>
          <w:lang w:val="en-GB"/>
        </w:rPr>
        <w:t>.</w:t>
      </w:r>
      <w:r w:rsidRPr="0023349A">
        <w:rPr>
          <w:rFonts w:ascii="Arial" w:hAnsi="Arial" w:cs="Arial"/>
          <w:lang w:val="en-GB"/>
        </w:rPr>
        <w:t xml:space="preserve"> Rapid estimation of heat accumulation from maximum and minimum temperatures. Ecology</w:t>
      </w:r>
      <w:r w:rsidR="00FD4C87">
        <w:rPr>
          <w:rFonts w:ascii="Arial" w:hAnsi="Arial" w:cs="Arial"/>
          <w:lang w:val="en-GB"/>
        </w:rPr>
        <w:t>,</w:t>
      </w:r>
      <w:r w:rsidRPr="0023349A">
        <w:rPr>
          <w:rFonts w:ascii="Arial" w:hAnsi="Arial" w:cs="Arial"/>
          <w:lang w:val="en-GB"/>
        </w:rPr>
        <w:t xml:space="preserve"> 50</w:t>
      </w:r>
      <w:r w:rsidR="00FD4C87">
        <w:rPr>
          <w:rFonts w:ascii="Arial" w:hAnsi="Arial" w:cs="Arial"/>
          <w:lang w:val="en-GB"/>
        </w:rPr>
        <w:t xml:space="preserve">, </w:t>
      </w:r>
      <w:r w:rsidRPr="0023349A">
        <w:rPr>
          <w:rFonts w:ascii="Arial" w:hAnsi="Arial" w:cs="Arial"/>
          <w:lang w:val="en-GB"/>
        </w:rPr>
        <w:t>514–517</w:t>
      </w:r>
      <w:r w:rsidR="00FD4C87">
        <w:rPr>
          <w:rFonts w:ascii="Arial" w:hAnsi="Arial" w:cs="Arial"/>
          <w:lang w:val="en-GB"/>
        </w:rPr>
        <w:t>.</w:t>
      </w:r>
    </w:p>
    <w:p w14:paraId="7F1E21EA" w14:textId="0FFBF66F" w:rsidR="0023349A" w:rsidRPr="0023349A" w:rsidRDefault="0023349A" w:rsidP="0023349A">
      <w:pPr>
        <w:numPr>
          <w:ilvl w:val="0"/>
          <w:numId w:val="2"/>
        </w:numPr>
        <w:spacing w:before="240"/>
        <w:rPr>
          <w:rFonts w:ascii="Arial" w:hAnsi="Arial" w:cs="Arial"/>
          <w:lang w:val="en-GB"/>
        </w:rPr>
      </w:pPr>
      <w:r w:rsidRPr="0023349A">
        <w:rPr>
          <w:rFonts w:ascii="Arial" w:hAnsi="Arial" w:cs="Arial"/>
          <w:lang w:val="en-GB"/>
        </w:rPr>
        <w:t>Ritchie</w:t>
      </w:r>
      <w:r w:rsidR="00FD4C87">
        <w:rPr>
          <w:rFonts w:ascii="Arial" w:hAnsi="Arial" w:cs="Arial"/>
          <w:lang w:val="en-GB"/>
        </w:rPr>
        <w:t>,</w:t>
      </w:r>
      <w:r w:rsidRPr="0023349A">
        <w:rPr>
          <w:rFonts w:ascii="Arial" w:hAnsi="Arial" w:cs="Arial"/>
          <w:lang w:val="en-GB"/>
        </w:rPr>
        <w:t xml:space="preserve"> J</w:t>
      </w:r>
      <w:r w:rsidR="00FD4C87">
        <w:rPr>
          <w:rFonts w:ascii="Arial" w:hAnsi="Arial" w:cs="Arial"/>
          <w:lang w:val="en-GB"/>
        </w:rPr>
        <w:t>.</w:t>
      </w:r>
      <w:r w:rsidRPr="0023349A">
        <w:rPr>
          <w:rFonts w:ascii="Arial" w:hAnsi="Arial" w:cs="Arial"/>
          <w:lang w:val="en-GB"/>
        </w:rPr>
        <w:t>T</w:t>
      </w:r>
      <w:r w:rsidR="00FD4C87">
        <w:rPr>
          <w:rFonts w:ascii="Arial" w:hAnsi="Arial" w:cs="Arial"/>
          <w:lang w:val="en-GB"/>
        </w:rPr>
        <w:t>. &amp;</w:t>
      </w:r>
      <w:r w:rsidRPr="0023349A">
        <w:rPr>
          <w:rFonts w:ascii="Arial" w:hAnsi="Arial" w:cs="Arial"/>
          <w:lang w:val="en-GB"/>
        </w:rPr>
        <w:t xml:space="preserve"> NeSmith</w:t>
      </w:r>
      <w:r w:rsidR="00FD4C87">
        <w:rPr>
          <w:rFonts w:ascii="Arial" w:hAnsi="Arial" w:cs="Arial"/>
          <w:lang w:val="en-GB"/>
        </w:rPr>
        <w:t>,</w:t>
      </w:r>
      <w:r w:rsidRPr="0023349A">
        <w:rPr>
          <w:rFonts w:ascii="Arial" w:hAnsi="Arial" w:cs="Arial"/>
          <w:lang w:val="en-GB"/>
        </w:rPr>
        <w:t xml:space="preserve"> D</w:t>
      </w:r>
      <w:r w:rsidR="00FD4C87">
        <w:rPr>
          <w:rFonts w:ascii="Arial" w:hAnsi="Arial" w:cs="Arial"/>
          <w:lang w:val="en-GB"/>
        </w:rPr>
        <w:t xml:space="preserve">. </w:t>
      </w:r>
      <w:r w:rsidRPr="0023349A">
        <w:rPr>
          <w:rFonts w:ascii="Arial" w:hAnsi="Arial" w:cs="Arial"/>
          <w:lang w:val="en-GB"/>
        </w:rPr>
        <w:t>S</w:t>
      </w:r>
      <w:r w:rsidR="00FD4C87">
        <w:rPr>
          <w:rFonts w:ascii="Arial" w:hAnsi="Arial" w:cs="Arial"/>
          <w:lang w:val="en-GB"/>
        </w:rPr>
        <w:t>.</w:t>
      </w:r>
      <w:r w:rsidRPr="0023349A">
        <w:rPr>
          <w:rFonts w:ascii="Arial" w:hAnsi="Arial" w:cs="Arial"/>
          <w:lang w:val="en-GB"/>
        </w:rPr>
        <w:t xml:space="preserve"> (1991)</w:t>
      </w:r>
      <w:r w:rsidR="00FD4C87">
        <w:rPr>
          <w:rFonts w:ascii="Arial" w:hAnsi="Arial" w:cs="Arial"/>
          <w:lang w:val="en-GB"/>
        </w:rPr>
        <w:t>.</w:t>
      </w:r>
      <w:r w:rsidRPr="0023349A">
        <w:rPr>
          <w:rFonts w:ascii="Arial" w:hAnsi="Arial" w:cs="Arial"/>
          <w:lang w:val="en-GB"/>
        </w:rPr>
        <w:t xml:space="preserve"> Temperature and crop development. In: </w:t>
      </w:r>
      <w:proofErr w:type="spellStart"/>
      <w:r w:rsidRPr="0023349A">
        <w:rPr>
          <w:rFonts w:ascii="Arial" w:hAnsi="Arial" w:cs="Arial"/>
          <w:lang w:val="en-GB"/>
        </w:rPr>
        <w:t>Modeling</w:t>
      </w:r>
      <w:proofErr w:type="spellEnd"/>
      <w:r w:rsidRPr="0023349A">
        <w:rPr>
          <w:rFonts w:ascii="Arial" w:hAnsi="Arial" w:cs="Arial"/>
          <w:lang w:val="en-GB"/>
        </w:rPr>
        <w:t xml:space="preserve"> plant and soil systems. ASA, CSSA, and SSSA, pp 5–29</w:t>
      </w:r>
      <w:r w:rsidR="00FD4C87">
        <w:rPr>
          <w:rFonts w:ascii="Arial" w:hAnsi="Arial" w:cs="Arial"/>
          <w:lang w:val="en-GB"/>
        </w:rPr>
        <w:t>.</w:t>
      </w:r>
    </w:p>
    <w:p w14:paraId="42081853" w14:textId="204E65A3" w:rsidR="0023349A" w:rsidRPr="0023349A" w:rsidRDefault="0023349A" w:rsidP="0023349A">
      <w:pPr>
        <w:numPr>
          <w:ilvl w:val="0"/>
          <w:numId w:val="2"/>
        </w:numPr>
        <w:spacing w:before="240"/>
        <w:rPr>
          <w:rFonts w:ascii="Arial" w:hAnsi="Arial" w:cs="Arial"/>
          <w:lang w:val="en-GB"/>
        </w:rPr>
      </w:pPr>
      <w:r w:rsidRPr="0023349A">
        <w:rPr>
          <w:rFonts w:ascii="Arial" w:hAnsi="Arial" w:cs="Arial"/>
          <w:lang w:val="en-GB"/>
        </w:rPr>
        <w:t>Arnold</w:t>
      </w:r>
      <w:r w:rsidR="00FD4C87">
        <w:rPr>
          <w:rFonts w:ascii="Arial" w:hAnsi="Arial" w:cs="Arial"/>
          <w:lang w:val="en-GB"/>
        </w:rPr>
        <w:t>,</w:t>
      </w:r>
      <w:r w:rsidRPr="0023349A">
        <w:rPr>
          <w:rFonts w:ascii="Arial" w:hAnsi="Arial" w:cs="Arial"/>
          <w:lang w:val="en-GB"/>
        </w:rPr>
        <w:t xml:space="preserve"> C</w:t>
      </w:r>
      <w:r w:rsidR="00FD4C87">
        <w:rPr>
          <w:rFonts w:ascii="Arial" w:hAnsi="Arial" w:cs="Arial"/>
          <w:lang w:val="en-GB"/>
        </w:rPr>
        <w:t xml:space="preserve">. </w:t>
      </w:r>
      <w:r w:rsidRPr="0023349A">
        <w:rPr>
          <w:rFonts w:ascii="Arial" w:hAnsi="Arial" w:cs="Arial"/>
          <w:lang w:val="en-GB"/>
        </w:rPr>
        <w:t>Y</w:t>
      </w:r>
      <w:r w:rsidR="00FD4C87">
        <w:rPr>
          <w:rFonts w:ascii="Arial" w:hAnsi="Arial" w:cs="Arial"/>
          <w:lang w:val="en-GB"/>
        </w:rPr>
        <w:t>.</w:t>
      </w:r>
      <w:r w:rsidRPr="0023349A">
        <w:rPr>
          <w:rFonts w:ascii="Arial" w:hAnsi="Arial" w:cs="Arial"/>
          <w:lang w:val="en-GB"/>
        </w:rPr>
        <w:t xml:space="preserve"> (1960)</w:t>
      </w:r>
      <w:r w:rsidR="00FD4C87">
        <w:rPr>
          <w:rFonts w:ascii="Arial" w:hAnsi="Arial" w:cs="Arial"/>
          <w:lang w:val="en-GB"/>
        </w:rPr>
        <w:t>.</w:t>
      </w:r>
      <w:r w:rsidRPr="0023349A">
        <w:rPr>
          <w:rFonts w:ascii="Arial" w:hAnsi="Arial" w:cs="Arial"/>
          <w:lang w:val="en-GB"/>
        </w:rPr>
        <w:t xml:space="preserve"> Maximum-minimum temperatures as a basis for computing heat units. </w:t>
      </w:r>
      <w:r w:rsidR="00FD4C87">
        <w:rPr>
          <w:rFonts w:ascii="Arial" w:hAnsi="Arial" w:cs="Arial"/>
          <w:lang w:val="en-GB"/>
        </w:rPr>
        <w:t>Proceedings of American Society of Horticulture Science,</w:t>
      </w:r>
      <w:r w:rsidRPr="0023349A">
        <w:rPr>
          <w:rFonts w:ascii="Arial" w:hAnsi="Arial" w:cs="Arial"/>
          <w:lang w:val="en-GB"/>
        </w:rPr>
        <w:t xml:space="preserve"> 76</w:t>
      </w:r>
      <w:r w:rsidR="00FD4C87">
        <w:rPr>
          <w:rFonts w:ascii="Arial" w:hAnsi="Arial" w:cs="Arial"/>
          <w:lang w:val="en-GB"/>
        </w:rPr>
        <w:t xml:space="preserve">, </w:t>
      </w:r>
      <w:r w:rsidRPr="0023349A">
        <w:rPr>
          <w:rFonts w:ascii="Arial" w:hAnsi="Arial" w:cs="Arial"/>
          <w:lang w:val="en-GB"/>
        </w:rPr>
        <w:t>682–692</w:t>
      </w:r>
      <w:r w:rsidR="00FD4C87">
        <w:rPr>
          <w:rFonts w:ascii="Arial" w:hAnsi="Arial" w:cs="Arial"/>
          <w:lang w:val="en-GB"/>
        </w:rPr>
        <w:t>.</w:t>
      </w:r>
    </w:p>
    <w:p w14:paraId="4B9A0DFB" w14:textId="09DFFB3F" w:rsidR="0023349A" w:rsidRPr="0023349A" w:rsidRDefault="0023349A" w:rsidP="0023349A">
      <w:pPr>
        <w:numPr>
          <w:ilvl w:val="0"/>
          <w:numId w:val="2"/>
        </w:numPr>
        <w:spacing w:before="240"/>
        <w:rPr>
          <w:rFonts w:ascii="Arial" w:hAnsi="Arial" w:cs="Arial"/>
          <w:lang w:val="en-GB"/>
        </w:rPr>
      </w:pPr>
      <w:r w:rsidRPr="0023349A">
        <w:rPr>
          <w:rFonts w:ascii="Arial" w:hAnsi="Arial" w:cs="Arial"/>
          <w:lang w:val="en-GB"/>
        </w:rPr>
        <w:t>Gilmore</w:t>
      </w:r>
      <w:r w:rsidR="00FD4C87">
        <w:rPr>
          <w:rFonts w:ascii="Arial" w:hAnsi="Arial" w:cs="Arial"/>
          <w:lang w:val="en-GB"/>
        </w:rPr>
        <w:t>,</w:t>
      </w:r>
      <w:r w:rsidRPr="0023349A">
        <w:rPr>
          <w:rFonts w:ascii="Arial" w:hAnsi="Arial" w:cs="Arial"/>
          <w:lang w:val="en-GB"/>
        </w:rPr>
        <w:t xml:space="preserve"> E</w:t>
      </w:r>
      <w:r w:rsidR="00FD4C87">
        <w:rPr>
          <w:rFonts w:ascii="Arial" w:hAnsi="Arial" w:cs="Arial"/>
          <w:lang w:val="en-GB"/>
        </w:rPr>
        <w:t xml:space="preserve">. </w:t>
      </w:r>
      <w:r w:rsidRPr="0023349A">
        <w:rPr>
          <w:rFonts w:ascii="Arial" w:hAnsi="Arial" w:cs="Arial"/>
          <w:lang w:val="en-GB"/>
        </w:rPr>
        <w:t>C</w:t>
      </w:r>
      <w:r w:rsidR="00FD4C87">
        <w:rPr>
          <w:rFonts w:ascii="Arial" w:hAnsi="Arial" w:cs="Arial"/>
          <w:lang w:val="en-GB"/>
        </w:rPr>
        <w:t>. &amp;</w:t>
      </w:r>
      <w:r w:rsidRPr="0023349A">
        <w:rPr>
          <w:rFonts w:ascii="Arial" w:hAnsi="Arial" w:cs="Arial"/>
          <w:lang w:val="en-GB"/>
        </w:rPr>
        <w:t xml:space="preserve"> Rogers</w:t>
      </w:r>
      <w:r w:rsidR="00FD4C87">
        <w:rPr>
          <w:rFonts w:ascii="Arial" w:hAnsi="Arial" w:cs="Arial"/>
          <w:lang w:val="en-GB"/>
        </w:rPr>
        <w:t>,</w:t>
      </w:r>
      <w:r w:rsidRPr="0023349A">
        <w:rPr>
          <w:rFonts w:ascii="Arial" w:hAnsi="Arial" w:cs="Arial"/>
          <w:lang w:val="en-GB"/>
        </w:rPr>
        <w:t xml:space="preserve"> J</w:t>
      </w:r>
      <w:r w:rsidR="00FD4C87">
        <w:rPr>
          <w:rFonts w:ascii="Arial" w:hAnsi="Arial" w:cs="Arial"/>
          <w:lang w:val="en-GB"/>
        </w:rPr>
        <w:t xml:space="preserve">. </w:t>
      </w:r>
      <w:r w:rsidRPr="0023349A">
        <w:rPr>
          <w:rFonts w:ascii="Arial" w:hAnsi="Arial" w:cs="Arial"/>
          <w:lang w:val="en-GB"/>
        </w:rPr>
        <w:t>S</w:t>
      </w:r>
      <w:r w:rsidR="00FD4C87">
        <w:rPr>
          <w:rFonts w:ascii="Arial" w:hAnsi="Arial" w:cs="Arial"/>
          <w:lang w:val="en-GB"/>
        </w:rPr>
        <w:t>.</w:t>
      </w:r>
      <w:r w:rsidRPr="0023349A">
        <w:rPr>
          <w:rFonts w:ascii="Arial" w:hAnsi="Arial" w:cs="Arial"/>
          <w:lang w:val="en-GB"/>
        </w:rPr>
        <w:t xml:space="preserve"> (1958)</w:t>
      </w:r>
      <w:r w:rsidR="00FD4C87">
        <w:rPr>
          <w:rFonts w:ascii="Arial" w:hAnsi="Arial" w:cs="Arial"/>
          <w:lang w:val="en-GB"/>
        </w:rPr>
        <w:t>.</w:t>
      </w:r>
      <w:r w:rsidRPr="0023349A">
        <w:rPr>
          <w:rFonts w:ascii="Arial" w:hAnsi="Arial" w:cs="Arial"/>
          <w:lang w:val="en-GB"/>
        </w:rPr>
        <w:t xml:space="preserve"> Heat units as a method of measuring maturity in corn. Agron J 50</w:t>
      </w:r>
      <w:r w:rsidR="00FD4C87">
        <w:rPr>
          <w:rFonts w:ascii="Arial" w:hAnsi="Arial" w:cs="Arial"/>
          <w:lang w:val="en-GB"/>
        </w:rPr>
        <w:t xml:space="preserve">, </w:t>
      </w:r>
      <w:r w:rsidRPr="0023349A">
        <w:rPr>
          <w:rFonts w:ascii="Arial" w:hAnsi="Arial" w:cs="Arial"/>
          <w:lang w:val="en-GB"/>
        </w:rPr>
        <w:t>611–615</w:t>
      </w:r>
      <w:r w:rsidR="00FD4C87">
        <w:rPr>
          <w:rFonts w:ascii="Arial" w:hAnsi="Arial" w:cs="Arial"/>
          <w:lang w:val="en-GB"/>
        </w:rPr>
        <w:t>.</w:t>
      </w:r>
    </w:p>
    <w:p w14:paraId="70172A40" w14:textId="646B19A9" w:rsidR="0023349A" w:rsidRPr="0023349A" w:rsidRDefault="0023349A" w:rsidP="0023349A">
      <w:pPr>
        <w:numPr>
          <w:ilvl w:val="0"/>
          <w:numId w:val="2"/>
        </w:numPr>
        <w:spacing w:before="240"/>
        <w:rPr>
          <w:rFonts w:ascii="Arial" w:hAnsi="Arial" w:cs="Arial"/>
          <w:lang w:val="en-GB"/>
        </w:rPr>
      </w:pPr>
      <w:r w:rsidRPr="0023349A">
        <w:rPr>
          <w:rFonts w:ascii="Arial" w:hAnsi="Arial" w:cs="Arial"/>
          <w:lang w:val="en-GB"/>
        </w:rPr>
        <w:t>Parton</w:t>
      </w:r>
      <w:r w:rsidR="00FD4C87">
        <w:rPr>
          <w:rFonts w:ascii="Arial" w:hAnsi="Arial" w:cs="Arial"/>
          <w:lang w:val="en-GB"/>
        </w:rPr>
        <w:t>,</w:t>
      </w:r>
      <w:r w:rsidRPr="0023349A">
        <w:rPr>
          <w:rFonts w:ascii="Arial" w:hAnsi="Arial" w:cs="Arial"/>
          <w:lang w:val="en-GB"/>
        </w:rPr>
        <w:t xml:space="preserve"> W</w:t>
      </w:r>
      <w:r w:rsidR="00FD4C87">
        <w:rPr>
          <w:rFonts w:ascii="Arial" w:hAnsi="Arial" w:cs="Arial"/>
          <w:lang w:val="en-GB"/>
        </w:rPr>
        <w:t xml:space="preserve">. </w:t>
      </w:r>
      <w:r w:rsidRPr="0023349A">
        <w:rPr>
          <w:rFonts w:ascii="Arial" w:hAnsi="Arial" w:cs="Arial"/>
          <w:lang w:val="en-GB"/>
        </w:rPr>
        <w:t>J</w:t>
      </w:r>
      <w:r w:rsidR="00FD4C87">
        <w:rPr>
          <w:rFonts w:ascii="Arial" w:hAnsi="Arial" w:cs="Arial"/>
          <w:lang w:val="en-GB"/>
        </w:rPr>
        <w:t>.</w:t>
      </w:r>
      <w:r w:rsidRPr="0023349A">
        <w:rPr>
          <w:rFonts w:ascii="Arial" w:hAnsi="Arial" w:cs="Arial"/>
          <w:lang w:val="en-GB"/>
        </w:rPr>
        <w:t>, Logan</w:t>
      </w:r>
      <w:r w:rsidR="00FD4C87">
        <w:rPr>
          <w:rFonts w:ascii="Arial" w:hAnsi="Arial" w:cs="Arial"/>
          <w:lang w:val="en-GB"/>
        </w:rPr>
        <w:t>,</w:t>
      </w:r>
      <w:r w:rsidRPr="0023349A">
        <w:rPr>
          <w:rFonts w:ascii="Arial" w:hAnsi="Arial" w:cs="Arial"/>
          <w:lang w:val="en-GB"/>
        </w:rPr>
        <w:t xml:space="preserve"> J</w:t>
      </w:r>
      <w:r w:rsidR="00FD4C87">
        <w:rPr>
          <w:rFonts w:ascii="Arial" w:hAnsi="Arial" w:cs="Arial"/>
          <w:lang w:val="en-GB"/>
        </w:rPr>
        <w:t xml:space="preserve">. </w:t>
      </w:r>
      <w:r w:rsidRPr="0023349A">
        <w:rPr>
          <w:rFonts w:ascii="Arial" w:hAnsi="Arial" w:cs="Arial"/>
          <w:lang w:val="en-GB"/>
        </w:rPr>
        <w:t>A</w:t>
      </w:r>
      <w:r w:rsidR="00FD4C87">
        <w:rPr>
          <w:rFonts w:ascii="Arial" w:hAnsi="Arial" w:cs="Arial"/>
          <w:lang w:val="en-GB"/>
        </w:rPr>
        <w:t>.</w:t>
      </w:r>
      <w:r w:rsidRPr="0023349A">
        <w:rPr>
          <w:rFonts w:ascii="Arial" w:hAnsi="Arial" w:cs="Arial"/>
          <w:lang w:val="en-GB"/>
        </w:rPr>
        <w:t xml:space="preserve"> (1981)</w:t>
      </w:r>
      <w:r w:rsidR="00FD4C87">
        <w:rPr>
          <w:rFonts w:ascii="Arial" w:hAnsi="Arial" w:cs="Arial"/>
          <w:lang w:val="en-GB"/>
        </w:rPr>
        <w:t>.</w:t>
      </w:r>
      <w:r w:rsidRPr="0023349A">
        <w:rPr>
          <w:rFonts w:ascii="Arial" w:hAnsi="Arial" w:cs="Arial"/>
          <w:lang w:val="en-GB"/>
        </w:rPr>
        <w:t xml:space="preserve"> A model for diurnal variation in soil and air temperature. </w:t>
      </w:r>
      <w:r w:rsidR="00035FE4" w:rsidRPr="0023349A">
        <w:rPr>
          <w:rFonts w:ascii="Arial" w:hAnsi="Arial" w:cs="Arial"/>
          <w:lang w:val="en-GB"/>
        </w:rPr>
        <w:t>Agric</w:t>
      </w:r>
      <w:r w:rsidR="00035FE4">
        <w:rPr>
          <w:rFonts w:ascii="Arial" w:hAnsi="Arial" w:cs="Arial"/>
          <w:lang w:val="en-GB"/>
        </w:rPr>
        <w:t>ulture and Forest</w:t>
      </w:r>
      <w:r w:rsidR="00035FE4" w:rsidRPr="0023349A">
        <w:rPr>
          <w:rFonts w:ascii="Arial" w:hAnsi="Arial" w:cs="Arial"/>
          <w:lang w:val="en-GB"/>
        </w:rPr>
        <w:t xml:space="preserve"> Meteorol</w:t>
      </w:r>
      <w:r w:rsidR="00035FE4">
        <w:rPr>
          <w:rFonts w:ascii="Arial" w:hAnsi="Arial" w:cs="Arial"/>
          <w:lang w:val="en-GB"/>
        </w:rPr>
        <w:t>ogy</w:t>
      </w:r>
      <w:r w:rsidR="00FD4C87">
        <w:rPr>
          <w:rFonts w:ascii="Arial" w:hAnsi="Arial" w:cs="Arial"/>
          <w:lang w:val="en-GB"/>
        </w:rPr>
        <w:t>,</w:t>
      </w:r>
      <w:r w:rsidRPr="0023349A">
        <w:rPr>
          <w:rFonts w:ascii="Arial" w:hAnsi="Arial" w:cs="Arial"/>
          <w:lang w:val="en-GB"/>
        </w:rPr>
        <w:t xml:space="preserve"> 23</w:t>
      </w:r>
      <w:r w:rsidR="00FD4C87">
        <w:rPr>
          <w:rFonts w:ascii="Arial" w:hAnsi="Arial" w:cs="Arial"/>
          <w:lang w:val="en-GB"/>
        </w:rPr>
        <w:t xml:space="preserve">, </w:t>
      </w:r>
      <w:r w:rsidRPr="0023349A">
        <w:rPr>
          <w:rFonts w:ascii="Arial" w:hAnsi="Arial" w:cs="Arial"/>
          <w:lang w:val="en-GB"/>
        </w:rPr>
        <w:t>205–216</w:t>
      </w:r>
      <w:r w:rsidR="00FD4C87">
        <w:rPr>
          <w:rFonts w:ascii="Arial" w:hAnsi="Arial" w:cs="Arial"/>
          <w:lang w:val="en-GB"/>
        </w:rPr>
        <w:t>.</w:t>
      </w:r>
    </w:p>
    <w:p w14:paraId="43BCD1CF" w14:textId="317421CF" w:rsidR="0023349A" w:rsidRPr="0023349A" w:rsidRDefault="0023349A" w:rsidP="0023349A">
      <w:pPr>
        <w:numPr>
          <w:ilvl w:val="0"/>
          <w:numId w:val="2"/>
        </w:numPr>
        <w:spacing w:before="240"/>
        <w:rPr>
          <w:rFonts w:ascii="Arial" w:hAnsi="Arial" w:cs="Arial"/>
          <w:lang w:val="en-GB"/>
        </w:rPr>
      </w:pPr>
      <w:r w:rsidRPr="0023349A">
        <w:rPr>
          <w:rFonts w:ascii="Arial" w:hAnsi="Arial" w:cs="Arial"/>
          <w:lang w:val="en-GB"/>
        </w:rPr>
        <w:t>Prasad</w:t>
      </w:r>
      <w:r w:rsidR="00FD4C87">
        <w:rPr>
          <w:rFonts w:ascii="Arial" w:hAnsi="Arial" w:cs="Arial"/>
          <w:lang w:val="en-GB"/>
        </w:rPr>
        <w:t>,</w:t>
      </w:r>
      <w:r w:rsidRPr="0023349A">
        <w:rPr>
          <w:rFonts w:ascii="Arial" w:hAnsi="Arial" w:cs="Arial"/>
          <w:lang w:val="en-GB"/>
        </w:rPr>
        <w:t xml:space="preserve"> R</w:t>
      </w:r>
      <w:r w:rsidR="00FD4C87">
        <w:rPr>
          <w:rFonts w:ascii="Arial" w:hAnsi="Arial" w:cs="Arial"/>
          <w:lang w:val="en-GB"/>
        </w:rPr>
        <w:t>.</w:t>
      </w:r>
      <w:r w:rsidRPr="0023349A">
        <w:rPr>
          <w:rFonts w:ascii="Arial" w:hAnsi="Arial" w:cs="Arial"/>
          <w:lang w:val="en-GB"/>
        </w:rPr>
        <w:t>, Kumar</w:t>
      </w:r>
      <w:r w:rsidR="00FD4C87">
        <w:rPr>
          <w:rFonts w:ascii="Arial" w:hAnsi="Arial" w:cs="Arial"/>
          <w:lang w:val="en-GB"/>
        </w:rPr>
        <w:t>,</w:t>
      </w:r>
      <w:r w:rsidRPr="0023349A">
        <w:rPr>
          <w:rFonts w:ascii="Arial" w:hAnsi="Arial" w:cs="Arial"/>
          <w:lang w:val="en-GB"/>
        </w:rPr>
        <w:t xml:space="preserve"> S</w:t>
      </w:r>
      <w:r w:rsidR="00FD4C87">
        <w:rPr>
          <w:rFonts w:ascii="Arial" w:hAnsi="Arial" w:cs="Arial"/>
          <w:lang w:val="en-GB"/>
        </w:rPr>
        <w:t>. &amp;</w:t>
      </w:r>
      <w:r w:rsidRPr="0023349A">
        <w:rPr>
          <w:rFonts w:ascii="Arial" w:hAnsi="Arial" w:cs="Arial"/>
          <w:lang w:val="en-GB"/>
        </w:rPr>
        <w:t xml:space="preserve"> Singh</w:t>
      </w:r>
      <w:r w:rsidR="00FD4C87">
        <w:rPr>
          <w:rFonts w:ascii="Arial" w:hAnsi="Arial" w:cs="Arial"/>
          <w:lang w:val="en-GB"/>
        </w:rPr>
        <w:t>,</w:t>
      </w:r>
      <w:r w:rsidRPr="0023349A">
        <w:rPr>
          <w:rFonts w:ascii="Arial" w:hAnsi="Arial" w:cs="Arial"/>
          <w:lang w:val="en-GB"/>
        </w:rPr>
        <w:t xml:space="preserve"> M</w:t>
      </w:r>
      <w:r w:rsidR="00FD4C87">
        <w:rPr>
          <w:rFonts w:ascii="Arial" w:hAnsi="Arial" w:cs="Arial"/>
          <w:lang w:val="en-GB"/>
        </w:rPr>
        <w:t>.</w:t>
      </w:r>
      <w:r w:rsidRPr="0023349A">
        <w:rPr>
          <w:rFonts w:ascii="Arial" w:hAnsi="Arial" w:cs="Arial"/>
          <w:lang w:val="en-GB"/>
        </w:rPr>
        <w:t xml:space="preserve"> (2021)</w:t>
      </w:r>
      <w:r w:rsidR="00FD4C87">
        <w:rPr>
          <w:rFonts w:ascii="Arial" w:hAnsi="Arial" w:cs="Arial"/>
          <w:lang w:val="en-GB"/>
        </w:rPr>
        <w:t>.</w:t>
      </w:r>
      <w:r w:rsidRPr="0023349A">
        <w:rPr>
          <w:rFonts w:ascii="Arial" w:hAnsi="Arial" w:cs="Arial"/>
          <w:lang w:val="en-GB"/>
        </w:rPr>
        <w:t xml:space="preserve"> Comparison of thermal indices for predicting crop phenology under climate variability. Clim</w:t>
      </w:r>
      <w:r w:rsidR="00FD4C87">
        <w:rPr>
          <w:rFonts w:ascii="Arial" w:hAnsi="Arial" w:cs="Arial"/>
          <w:lang w:val="en-GB"/>
        </w:rPr>
        <w:t>ate</w:t>
      </w:r>
      <w:r w:rsidRPr="0023349A">
        <w:rPr>
          <w:rFonts w:ascii="Arial" w:hAnsi="Arial" w:cs="Arial"/>
          <w:lang w:val="en-GB"/>
        </w:rPr>
        <w:t xml:space="preserve"> Change</w:t>
      </w:r>
      <w:r w:rsidR="00FD4C87">
        <w:rPr>
          <w:rFonts w:ascii="Arial" w:hAnsi="Arial" w:cs="Arial"/>
          <w:lang w:val="en-GB"/>
        </w:rPr>
        <w:t>,</w:t>
      </w:r>
      <w:r w:rsidRPr="0023349A">
        <w:rPr>
          <w:rFonts w:ascii="Arial" w:hAnsi="Arial" w:cs="Arial"/>
          <w:lang w:val="en-GB"/>
        </w:rPr>
        <w:t xml:space="preserve"> 164</w:t>
      </w:r>
      <w:r w:rsidR="00FD4C87">
        <w:rPr>
          <w:rFonts w:ascii="Arial" w:hAnsi="Arial" w:cs="Arial"/>
          <w:lang w:val="en-GB"/>
        </w:rPr>
        <w:t xml:space="preserve">, </w:t>
      </w:r>
      <w:r w:rsidRPr="0023349A">
        <w:rPr>
          <w:rFonts w:ascii="Arial" w:hAnsi="Arial" w:cs="Arial"/>
          <w:lang w:val="en-GB"/>
        </w:rPr>
        <w:t xml:space="preserve">56. </w:t>
      </w:r>
      <w:hyperlink r:id="rId26" w:history="1">
        <w:r w:rsidRPr="0023349A">
          <w:rPr>
            <w:rStyle w:val="Hyperlink"/>
            <w:rFonts w:ascii="Arial" w:hAnsi="Arial" w:cs="Arial"/>
            <w:lang w:val="en-GB"/>
          </w:rPr>
          <w:t>https://doi.org/10.1007/s10584-021-03014-8</w:t>
        </w:r>
      </w:hyperlink>
      <w:r w:rsidR="00FD4C87">
        <w:t>.</w:t>
      </w:r>
    </w:p>
    <w:p w14:paraId="3DC9D614" w14:textId="19231813" w:rsidR="0023349A" w:rsidRPr="0023349A" w:rsidRDefault="0023349A" w:rsidP="0023349A">
      <w:pPr>
        <w:numPr>
          <w:ilvl w:val="0"/>
          <w:numId w:val="2"/>
        </w:numPr>
        <w:spacing w:before="240"/>
        <w:rPr>
          <w:rFonts w:ascii="Arial" w:hAnsi="Arial" w:cs="Arial"/>
          <w:lang w:val="en-GB"/>
        </w:rPr>
      </w:pPr>
      <w:r w:rsidRPr="0023349A">
        <w:rPr>
          <w:rFonts w:ascii="Arial" w:hAnsi="Arial" w:cs="Arial"/>
          <w:lang w:val="en-GB"/>
        </w:rPr>
        <w:t>Bonhomme</w:t>
      </w:r>
      <w:r w:rsidR="00FD4C87">
        <w:rPr>
          <w:rFonts w:ascii="Arial" w:hAnsi="Arial" w:cs="Arial"/>
          <w:lang w:val="en-GB"/>
        </w:rPr>
        <w:t>,</w:t>
      </w:r>
      <w:r w:rsidRPr="0023349A">
        <w:rPr>
          <w:rFonts w:ascii="Arial" w:hAnsi="Arial" w:cs="Arial"/>
          <w:lang w:val="en-GB"/>
        </w:rPr>
        <w:t xml:space="preserve"> R</w:t>
      </w:r>
      <w:r w:rsidR="00FD4C87">
        <w:rPr>
          <w:rFonts w:ascii="Arial" w:hAnsi="Arial" w:cs="Arial"/>
          <w:lang w:val="en-GB"/>
        </w:rPr>
        <w:t>.</w:t>
      </w:r>
      <w:r w:rsidRPr="0023349A">
        <w:rPr>
          <w:rFonts w:ascii="Arial" w:hAnsi="Arial" w:cs="Arial"/>
          <w:lang w:val="en-GB"/>
        </w:rPr>
        <w:t xml:space="preserve"> (2000)</w:t>
      </w:r>
      <w:r w:rsidR="00FD4C87">
        <w:rPr>
          <w:rFonts w:ascii="Arial" w:hAnsi="Arial" w:cs="Arial"/>
          <w:lang w:val="en-GB"/>
        </w:rPr>
        <w:t>.</w:t>
      </w:r>
      <w:r w:rsidRPr="0023349A">
        <w:rPr>
          <w:rFonts w:ascii="Arial" w:hAnsi="Arial" w:cs="Arial"/>
          <w:lang w:val="en-GB"/>
        </w:rPr>
        <w:t xml:space="preserve"> Bases and limits to using '</w:t>
      </w:r>
      <w:proofErr w:type="spellStart"/>
      <w:r w:rsidRPr="0023349A">
        <w:rPr>
          <w:rFonts w:ascii="Arial" w:hAnsi="Arial" w:cs="Arial"/>
          <w:lang w:val="en-GB"/>
        </w:rPr>
        <w:t>degree.day</w:t>
      </w:r>
      <w:proofErr w:type="spellEnd"/>
      <w:r w:rsidRPr="0023349A">
        <w:rPr>
          <w:rFonts w:ascii="Arial" w:hAnsi="Arial" w:cs="Arial"/>
          <w:lang w:val="en-GB"/>
        </w:rPr>
        <w:t>' units. Eur</w:t>
      </w:r>
      <w:r w:rsidR="00FD4C87">
        <w:rPr>
          <w:rFonts w:ascii="Arial" w:hAnsi="Arial" w:cs="Arial"/>
          <w:lang w:val="en-GB"/>
        </w:rPr>
        <w:t>opean</w:t>
      </w:r>
      <w:r w:rsidRPr="0023349A">
        <w:rPr>
          <w:rFonts w:ascii="Arial" w:hAnsi="Arial" w:cs="Arial"/>
          <w:lang w:val="en-GB"/>
        </w:rPr>
        <w:t xml:space="preserve"> J</w:t>
      </w:r>
      <w:r w:rsidR="00FD4C87">
        <w:rPr>
          <w:rFonts w:ascii="Arial" w:hAnsi="Arial" w:cs="Arial"/>
          <w:lang w:val="en-GB"/>
        </w:rPr>
        <w:t>ournal of</w:t>
      </w:r>
      <w:r w:rsidRPr="0023349A">
        <w:rPr>
          <w:rFonts w:ascii="Arial" w:hAnsi="Arial" w:cs="Arial"/>
          <w:lang w:val="en-GB"/>
        </w:rPr>
        <w:t xml:space="preserve"> Agron</w:t>
      </w:r>
      <w:r w:rsidR="00FD4C87">
        <w:rPr>
          <w:rFonts w:ascii="Arial" w:hAnsi="Arial" w:cs="Arial"/>
          <w:lang w:val="en-GB"/>
        </w:rPr>
        <w:t>omy,</w:t>
      </w:r>
      <w:r w:rsidRPr="0023349A">
        <w:rPr>
          <w:rFonts w:ascii="Arial" w:hAnsi="Arial" w:cs="Arial"/>
          <w:lang w:val="en-GB"/>
        </w:rPr>
        <w:t xml:space="preserve"> 13</w:t>
      </w:r>
      <w:r w:rsidR="00FD4C87">
        <w:rPr>
          <w:rFonts w:ascii="Arial" w:hAnsi="Arial" w:cs="Arial"/>
          <w:lang w:val="en-GB"/>
        </w:rPr>
        <w:t>,</w:t>
      </w:r>
      <w:r w:rsidRPr="0023349A">
        <w:rPr>
          <w:rFonts w:ascii="Arial" w:hAnsi="Arial" w:cs="Arial"/>
          <w:lang w:val="en-GB"/>
        </w:rPr>
        <w:t>1–10</w:t>
      </w:r>
      <w:r w:rsidR="00FD4C87">
        <w:rPr>
          <w:rFonts w:ascii="Arial" w:hAnsi="Arial" w:cs="Arial"/>
          <w:lang w:val="en-GB"/>
        </w:rPr>
        <w:t>.</w:t>
      </w:r>
    </w:p>
    <w:p w14:paraId="03269BFB" w14:textId="16B4B698" w:rsidR="0023349A" w:rsidRPr="0023349A" w:rsidRDefault="0023349A" w:rsidP="0023349A">
      <w:pPr>
        <w:numPr>
          <w:ilvl w:val="0"/>
          <w:numId w:val="2"/>
        </w:numPr>
        <w:spacing w:before="240"/>
        <w:rPr>
          <w:rFonts w:ascii="Arial" w:hAnsi="Arial" w:cs="Arial"/>
          <w:lang w:val="en-GB"/>
        </w:rPr>
      </w:pPr>
      <w:r w:rsidRPr="0023349A">
        <w:rPr>
          <w:rFonts w:ascii="Arial" w:hAnsi="Arial" w:cs="Arial"/>
          <w:lang w:val="en-GB"/>
        </w:rPr>
        <w:t>Timsina</w:t>
      </w:r>
      <w:r w:rsidR="00FD4C87">
        <w:rPr>
          <w:rFonts w:ascii="Arial" w:hAnsi="Arial" w:cs="Arial"/>
          <w:lang w:val="en-GB"/>
        </w:rPr>
        <w:t>,</w:t>
      </w:r>
      <w:r w:rsidRPr="0023349A">
        <w:rPr>
          <w:rFonts w:ascii="Arial" w:hAnsi="Arial" w:cs="Arial"/>
          <w:lang w:val="en-GB"/>
        </w:rPr>
        <w:t xml:space="preserve"> J</w:t>
      </w:r>
      <w:r w:rsidR="00FD4C87">
        <w:rPr>
          <w:rFonts w:ascii="Arial" w:hAnsi="Arial" w:cs="Arial"/>
          <w:lang w:val="en-GB"/>
        </w:rPr>
        <w:t>. &amp;</w:t>
      </w:r>
      <w:r w:rsidRPr="0023349A">
        <w:rPr>
          <w:rFonts w:ascii="Arial" w:hAnsi="Arial" w:cs="Arial"/>
          <w:lang w:val="en-GB"/>
        </w:rPr>
        <w:t xml:space="preserve"> Humphreys</w:t>
      </w:r>
      <w:r w:rsidR="00FD4C87">
        <w:rPr>
          <w:rFonts w:ascii="Arial" w:hAnsi="Arial" w:cs="Arial"/>
          <w:lang w:val="en-GB"/>
        </w:rPr>
        <w:t>,</w:t>
      </w:r>
      <w:r w:rsidRPr="0023349A">
        <w:rPr>
          <w:rFonts w:ascii="Arial" w:hAnsi="Arial" w:cs="Arial"/>
          <w:lang w:val="en-GB"/>
        </w:rPr>
        <w:t xml:space="preserve"> E</w:t>
      </w:r>
      <w:r w:rsidR="00FD4C87">
        <w:rPr>
          <w:rFonts w:ascii="Arial" w:hAnsi="Arial" w:cs="Arial"/>
          <w:lang w:val="en-GB"/>
        </w:rPr>
        <w:t>.</w:t>
      </w:r>
      <w:r w:rsidRPr="0023349A">
        <w:rPr>
          <w:rFonts w:ascii="Arial" w:hAnsi="Arial" w:cs="Arial"/>
          <w:lang w:val="en-GB"/>
        </w:rPr>
        <w:t xml:space="preserve"> (2006)</w:t>
      </w:r>
      <w:r w:rsidR="00FD4C87">
        <w:rPr>
          <w:rFonts w:ascii="Arial" w:hAnsi="Arial" w:cs="Arial"/>
          <w:lang w:val="en-GB"/>
        </w:rPr>
        <w:t>.</w:t>
      </w:r>
      <w:r w:rsidRPr="0023349A">
        <w:rPr>
          <w:rFonts w:ascii="Arial" w:hAnsi="Arial" w:cs="Arial"/>
          <w:lang w:val="en-GB"/>
        </w:rPr>
        <w:t xml:space="preserve"> Performance of CERES-Rice and CERES-Wheat models in rice-wheat systems: A review. Agric</w:t>
      </w:r>
      <w:r w:rsidR="00FD4C87">
        <w:rPr>
          <w:rFonts w:ascii="Arial" w:hAnsi="Arial" w:cs="Arial"/>
          <w:lang w:val="en-GB"/>
        </w:rPr>
        <w:t>ulture</w:t>
      </w:r>
      <w:r w:rsidRPr="0023349A">
        <w:rPr>
          <w:rFonts w:ascii="Arial" w:hAnsi="Arial" w:cs="Arial"/>
          <w:lang w:val="en-GB"/>
        </w:rPr>
        <w:t xml:space="preserve"> Syst</w:t>
      </w:r>
      <w:r w:rsidR="00FD4C87">
        <w:rPr>
          <w:rFonts w:ascii="Arial" w:hAnsi="Arial" w:cs="Arial"/>
          <w:lang w:val="en-GB"/>
        </w:rPr>
        <w:t>ems,</w:t>
      </w:r>
      <w:r w:rsidRPr="0023349A">
        <w:rPr>
          <w:rFonts w:ascii="Arial" w:hAnsi="Arial" w:cs="Arial"/>
          <w:lang w:val="en-GB"/>
        </w:rPr>
        <w:t xml:space="preserve"> 90</w:t>
      </w:r>
      <w:r w:rsidR="00FD4C87">
        <w:rPr>
          <w:rFonts w:ascii="Arial" w:hAnsi="Arial" w:cs="Arial"/>
          <w:lang w:val="en-GB"/>
        </w:rPr>
        <w:t xml:space="preserve">, </w:t>
      </w:r>
      <w:r w:rsidRPr="0023349A">
        <w:rPr>
          <w:rFonts w:ascii="Arial" w:hAnsi="Arial" w:cs="Arial"/>
          <w:lang w:val="en-GB"/>
        </w:rPr>
        <w:t>5–31</w:t>
      </w:r>
      <w:r w:rsidR="00FD4C87">
        <w:rPr>
          <w:rFonts w:ascii="Arial" w:hAnsi="Arial" w:cs="Arial"/>
          <w:lang w:val="en-GB"/>
        </w:rPr>
        <w:t>.</w:t>
      </w:r>
    </w:p>
    <w:p w14:paraId="7B3A9012" w14:textId="14C90479" w:rsidR="0023349A" w:rsidRPr="0023349A" w:rsidRDefault="0023349A" w:rsidP="0023349A">
      <w:pPr>
        <w:numPr>
          <w:ilvl w:val="0"/>
          <w:numId w:val="2"/>
        </w:numPr>
        <w:spacing w:before="240"/>
        <w:rPr>
          <w:rFonts w:ascii="Arial" w:hAnsi="Arial" w:cs="Arial"/>
          <w:lang w:val="en-GB"/>
        </w:rPr>
      </w:pPr>
      <w:r w:rsidRPr="0023349A">
        <w:rPr>
          <w:rFonts w:ascii="Arial" w:hAnsi="Arial" w:cs="Arial"/>
          <w:lang w:val="en-GB"/>
        </w:rPr>
        <w:lastRenderedPageBreak/>
        <w:t>Aggarwal</w:t>
      </w:r>
      <w:r w:rsidR="00FD4C87">
        <w:rPr>
          <w:rFonts w:ascii="Arial" w:hAnsi="Arial" w:cs="Arial"/>
          <w:lang w:val="en-GB"/>
        </w:rPr>
        <w:t>,</w:t>
      </w:r>
      <w:r w:rsidRPr="0023349A">
        <w:rPr>
          <w:rFonts w:ascii="Arial" w:hAnsi="Arial" w:cs="Arial"/>
          <w:lang w:val="en-GB"/>
        </w:rPr>
        <w:t xml:space="preserve"> R</w:t>
      </w:r>
      <w:r w:rsidR="00FD4C87">
        <w:rPr>
          <w:rFonts w:ascii="Arial" w:hAnsi="Arial" w:cs="Arial"/>
          <w:lang w:val="en-GB"/>
        </w:rPr>
        <w:t>.</w:t>
      </w:r>
      <w:r w:rsidRPr="0023349A">
        <w:rPr>
          <w:rFonts w:ascii="Arial" w:hAnsi="Arial" w:cs="Arial"/>
          <w:lang w:val="en-GB"/>
        </w:rPr>
        <w:t>, Sharma</w:t>
      </w:r>
      <w:r w:rsidR="00FD4C87">
        <w:rPr>
          <w:rFonts w:ascii="Arial" w:hAnsi="Arial" w:cs="Arial"/>
          <w:lang w:val="en-GB"/>
        </w:rPr>
        <w:t>,</w:t>
      </w:r>
      <w:r w:rsidRPr="0023349A">
        <w:rPr>
          <w:rFonts w:ascii="Arial" w:hAnsi="Arial" w:cs="Arial"/>
          <w:lang w:val="en-GB"/>
        </w:rPr>
        <w:t xml:space="preserve"> P</w:t>
      </w:r>
      <w:r w:rsidR="00FD4C87">
        <w:rPr>
          <w:rFonts w:ascii="Arial" w:hAnsi="Arial" w:cs="Arial"/>
          <w:lang w:val="en-GB"/>
        </w:rPr>
        <w:t>. &amp;</w:t>
      </w:r>
      <w:r w:rsidRPr="0023349A">
        <w:rPr>
          <w:rFonts w:ascii="Arial" w:hAnsi="Arial" w:cs="Arial"/>
          <w:lang w:val="en-GB"/>
        </w:rPr>
        <w:t xml:space="preserve"> Sidhu</w:t>
      </w:r>
      <w:r w:rsidR="00FD4C87">
        <w:rPr>
          <w:rFonts w:ascii="Arial" w:hAnsi="Arial" w:cs="Arial"/>
          <w:lang w:val="en-GB"/>
        </w:rPr>
        <w:t>,</w:t>
      </w:r>
      <w:r w:rsidRPr="0023349A">
        <w:rPr>
          <w:rFonts w:ascii="Arial" w:hAnsi="Arial" w:cs="Arial"/>
          <w:lang w:val="en-GB"/>
        </w:rPr>
        <w:t xml:space="preserve"> H</w:t>
      </w:r>
      <w:r w:rsidR="00FD4C87">
        <w:rPr>
          <w:rFonts w:ascii="Arial" w:hAnsi="Arial" w:cs="Arial"/>
          <w:lang w:val="en-GB"/>
        </w:rPr>
        <w:t xml:space="preserve">. </w:t>
      </w:r>
      <w:r w:rsidRPr="0023349A">
        <w:rPr>
          <w:rFonts w:ascii="Arial" w:hAnsi="Arial" w:cs="Arial"/>
          <w:lang w:val="en-GB"/>
        </w:rPr>
        <w:t>S</w:t>
      </w:r>
      <w:r w:rsidR="00FD4C87">
        <w:rPr>
          <w:rFonts w:ascii="Arial" w:hAnsi="Arial" w:cs="Arial"/>
          <w:lang w:val="en-GB"/>
        </w:rPr>
        <w:t>.</w:t>
      </w:r>
      <w:r w:rsidRPr="0023349A">
        <w:rPr>
          <w:rFonts w:ascii="Arial" w:hAnsi="Arial" w:cs="Arial"/>
          <w:lang w:val="en-GB"/>
        </w:rPr>
        <w:t xml:space="preserve"> (2022)</w:t>
      </w:r>
      <w:r w:rsidR="00FD4C87">
        <w:rPr>
          <w:rFonts w:ascii="Arial" w:hAnsi="Arial" w:cs="Arial"/>
          <w:lang w:val="en-GB"/>
        </w:rPr>
        <w:t>.</w:t>
      </w:r>
      <w:r w:rsidRPr="0023349A">
        <w:rPr>
          <w:rFonts w:ascii="Arial" w:hAnsi="Arial" w:cs="Arial"/>
          <w:lang w:val="en-GB"/>
        </w:rPr>
        <w:t xml:space="preserve"> Advances in thermal indices for crop phenology </w:t>
      </w:r>
      <w:r w:rsidR="00FD4C87" w:rsidRPr="0023349A">
        <w:rPr>
          <w:rFonts w:ascii="Arial" w:hAnsi="Arial" w:cs="Arial"/>
          <w:lang w:val="en-GB"/>
        </w:rPr>
        <w:t>modelling</w:t>
      </w:r>
      <w:r w:rsidRPr="0023349A">
        <w:rPr>
          <w:rFonts w:ascii="Arial" w:hAnsi="Arial" w:cs="Arial"/>
          <w:lang w:val="en-GB"/>
        </w:rPr>
        <w:t xml:space="preserve"> in Indian agriculture. J</w:t>
      </w:r>
      <w:r w:rsidR="00FD4C87">
        <w:rPr>
          <w:rFonts w:ascii="Arial" w:hAnsi="Arial" w:cs="Arial"/>
          <w:lang w:val="en-GB"/>
        </w:rPr>
        <w:t>ournal of</w:t>
      </w:r>
      <w:r w:rsidRPr="0023349A">
        <w:rPr>
          <w:rFonts w:ascii="Arial" w:hAnsi="Arial" w:cs="Arial"/>
          <w:lang w:val="en-GB"/>
        </w:rPr>
        <w:t xml:space="preserve"> Agrometeorol</w:t>
      </w:r>
      <w:r w:rsidR="00FD4C87">
        <w:rPr>
          <w:rFonts w:ascii="Arial" w:hAnsi="Arial" w:cs="Arial"/>
          <w:lang w:val="en-GB"/>
        </w:rPr>
        <w:t>ogy,</w:t>
      </w:r>
      <w:r w:rsidRPr="0023349A">
        <w:rPr>
          <w:rFonts w:ascii="Arial" w:hAnsi="Arial" w:cs="Arial"/>
          <w:lang w:val="en-GB"/>
        </w:rPr>
        <w:t xml:space="preserve"> 24</w:t>
      </w:r>
      <w:r w:rsidR="00FD4C87">
        <w:rPr>
          <w:rFonts w:ascii="Arial" w:hAnsi="Arial" w:cs="Arial"/>
          <w:lang w:val="en-GB"/>
        </w:rPr>
        <w:t xml:space="preserve">, </w:t>
      </w:r>
      <w:r w:rsidRPr="0023349A">
        <w:rPr>
          <w:rFonts w:ascii="Arial" w:hAnsi="Arial" w:cs="Arial"/>
          <w:lang w:val="en-GB"/>
        </w:rPr>
        <w:t>1–12</w:t>
      </w:r>
      <w:r w:rsidR="00FD4C87">
        <w:rPr>
          <w:rFonts w:ascii="Arial" w:hAnsi="Arial" w:cs="Arial"/>
          <w:lang w:val="en-GB"/>
        </w:rPr>
        <w:t>.</w:t>
      </w:r>
    </w:p>
    <w:p w14:paraId="10B602F9" w14:textId="20FA9B31" w:rsidR="0023349A" w:rsidRPr="0023349A" w:rsidRDefault="0023349A" w:rsidP="0023349A">
      <w:pPr>
        <w:numPr>
          <w:ilvl w:val="0"/>
          <w:numId w:val="2"/>
        </w:numPr>
        <w:spacing w:before="240"/>
        <w:rPr>
          <w:rFonts w:ascii="Arial" w:hAnsi="Arial" w:cs="Arial"/>
          <w:lang w:val="en-GB"/>
        </w:rPr>
      </w:pPr>
      <w:r w:rsidRPr="0023349A">
        <w:rPr>
          <w:rFonts w:ascii="Arial" w:hAnsi="Arial" w:cs="Arial"/>
          <w:lang w:val="en-GB"/>
        </w:rPr>
        <w:t>Challinor</w:t>
      </w:r>
      <w:r w:rsidR="00FD4C87">
        <w:rPr>
          <w:rFonts w:ascii="Arial" w:hAnsi="Arial" w:cs="Arial"/>
          <w:lang w:val="en-GB"/>
        </w:rPr>
        <w:t>,</w:t>
      </w:r>
      <w:r w:rsidRPr="0023349A">
        <w:rPr>
          <w:rFonts w:ascii="Arial" w:hAnsi="Arial" w:cs="Arial"/>
          <w:lang w:val="en-GB"/>
        </w:rPr>
        <w:t xml:space="preserve"> A</w:t>
      </w:r>
      <w:r w:rsidR="00FD4C87">
        <w:rPr>
          <w:rFonts w:ascii="Arial" w:hAnsi="Arial" w:cs="Arial"/>
          <w:lang w:val="en-GB"/>
        </w:rPr>
        <w:t>.</w:t>
      </w:r>
      <w:r w:rsidRPr="0023349A">
        <w:rPr>
          <w:rFonts w:ascii="Arial" w:hAnsi="Arial" w:cs="Arial"/>
          <w:lang w:val="en-GB"/>
        </w:rPr>
        <w:t>J</w:t>
      </w:r>
      <w:r w:rsidR="00FD4C87">
        <w:rPr>
          <w:rFonts w:ascii="Arial" w:hAnsi="Arial" w:cs="Arial"/>
          <w:lang w:val="en-GB"/>
        </w:rPr>
        <w:t>.</w:t>
      </w:r>
      <w:r w:rsidRPr="0023349A">
        <w:rPr>
          <w:rFonts w:ascii="Arial" w:hAnsi="Arial" w:cs="Arial"/>
          <w:lang w:val="en-GB"/>
        </w:rPr>
        <w:t>, Watson</w:t>
      </w:r>
      <w:r w:rsidR="00FD4C87">
        <w:rPr>
          <w:rFonts w:ascii="Arial" w:hAnsi="Arial" w:cs="Arial"/>
          <w:lang w:val="en-GB"/>
        </w:rPr>
        <w:t>,</w:t>
      </w:r>
      <w:r w:rsidRPr="0023349A">
        <w:rPr>
          <w:rFonts w:ascii="Arial" w:hAnsi="Arial" w:cs="Arial"/>
          <w:lang w:val="en-GB"/>
        </w:rPr>
        <w:t xml:space="preserve"> J</w:t>
      </w:r>
      <w:r w:rsidR="00FD4C87">
        <w:rPr>
          <w:rFonts w:ascii="Arial" w:hAnsi="Arial" w:cs="Arial"/>
          <w:lang w:val="en-GB"/>
        </w:rPr>
        <w:t>.</w:t>
      </w:r>
      <w:r w:rsidRPr="0023349A">
        <w:rPr>
          <w:rFonts w:ascii="Arial" w:hAnsi="Arial" w:cs="Arial"/>
          <w:lang w:val="en-GB"/>
        </w:rPr>
        <w:t>, Lobell</w:t>
      </w:r>
      <w:r w:rsidR="00FD4C87">
        <w:rPr>
          <w:rFonts w:ascii="Arial" w:hAnsi="Arial" w:cs="Arial"/>
          <w:lang w:val="en-GB"/>
        </w:rPr>
        <w:t>,</w:t>
      </w:r>
      <w:r w:rsidRPr="0023349A">
        <w:rPr>
          <w:rFonts w:ascii="Arial" w:hAnsi="Arial" w:cs="Arial"/>
          <w:lang w:val="en-GB"/>
        </w:rPr>
        <w:t xml:space="preserve"> D</w:t>
      </w:r>
      <w:r w:rsidR="00FD4C87">
        <w:rPr>
          <w:rFonts w:ascii="Arial" w:hAnsi="Arial" w:cs="Arial"/>
          <w:lang w:val="en-GB"/>
        </w:rPr>
        <w:t xml:space="preserve">. </w:t>
      </w:r>
      <w:r w:rsidRPr="0023349A">
        <w:rPr>
          <w:rFonts w:ascii="Arial" w:hAnsi="Arial" w:cs="Arial"/>
          <w:lang w:val="en-GB"/>
        </w:rPr>
        <w:t>B</w:t>
      </w:r>
      <w:r w:rsidR="00FD4C87">
        <w:rPr>
          <w:rFonts w:ascii="Arial" w:hAnsi="Arial" w:cs="Arial"/>
          <w:lang w:val="en-GB"/>
        </w:rPr>
        <w:t>.</w:t>
      </w:r>
      <w:r w:rsidRPr="0023349A">
        <w:rPr>
          <w:rFonts w:ascii="Arial" w:hAnsi="Arial" w:cs="Arial"/>
          <w:lang w:val="en-GB"/>
        </w:rPr>
        <w:t>, Howden</w:t>
      </w:r>
      <w:r w:rsidR="00FD4C87">
        <w:rPr>
          <w:rFonts w:ascii="Arial" w:hAnsi="Arial" w:cs="Arial"/>
          <w:lang w:val="en-GB"/>
        </w:rPr>
        <w:t>,</w:t>
      </w:r>
      <w:r w:rsidRPr="0023349A">
        <w:rPr>
          <w:rFonts w:ascii="Arial" w:hAnsi="Arial" w:cs="Arial"/>
          <w:lang w:val="en-GB"/>
        </w:rPr>
        <w:t xml:space="preserve"> S</w:t>
      </w:r>
      <w:r w:rsidR="00FD4C87">
        <w:rPr>
          <w:rFonts w:ascii="Arial" w:hAnsi="Arial" w:cs="Arial"/>
          <w:lang w:val="en-GB"/>
        </w:rPr>
        <w:t xml:space="preserve">. </w:t>
      </w:r>
      <w:r w:rsidRPr="0023349A">
        <w:rPr>
          <w:rFonts w:ascii="Arial" w:hAnsi="Arial" w:cs="Arial"/>
          <w:lang w:val="en-GB"/>
        </w:rPr>
        <w:t>M</w:t>
      </w:r>
      <w:r w:rsidR="00FD4C87">
        <w:rPr>
          <w:rFonts w:ascii="Arial" w:hAnsi="Arial" w:cs="Arial"/>
          <w:lang w:val="en-GB"/>
        </w:rPr>
        <w:t>.</w:t>
      </w:r>
      <w:r w:rsidRPr="0023349A">
        <w:rPr>
          <w:rFonts w:ascii="Arial" w:hAnsi="Arial" w:cs="Arial"/>
          <w:lang w:val="en-GB"/>
        </w:rPr>
        <w:t>, Smith</w:t>
      </w:r>
      <w:r w:rsidR="00FD4C87">
        <w:rPr>
          <w:rFonts w:ascii="Arial" w:hAnsi="Arial" w:cs="Arial"/>
          <w:lang w:val="en-GB"/>
        </w:rPr>
        <w:t>,</w:t>
      </w:r>
      <w:r w:rsidRPr="0023349A">
        <w:rPr>
          <w:rFonts w:ascii="Arial" w:hAnsi="Arial" w:cs="Arial"/>
          <w:lang w:val="en-GB"/>
        </w:rPr>
        <w:t xml:space="preserve"> D</w:t>
      </w:r>
      <w:r w:rsidR="00FD4C87">
        <w:rPr>
          <w:rFonts w:ascii="Arial" w:hAnsi="Arial" w:cs="Arial"/>
          <w:lang w:val="en-GB"/>
        </w:rPr>
        <w:t xml:space="preserve">. </w:t>
      </w:r>
      <w:r w:rsidRPr="0023349A">
        <w:rPr>
          <w:rFonts w:ascii="Arial" w:hAnsi="Arial" w:cs="Arial"/>
          <w:lang w:val="en-GB"/>
        </w:rPr>
        <w:t>R</w:t>
      </w:r>
      <w:r w:rsidR="00FD4C87">
        <w:rPr>
          <w:rFonts w:ascii="Arial" w:hAnsi="Arial" w:cs="Arial"/>
          <w:lang w:val="en-GB"/>
        </w:rPr>
        <w:t>. &amp;</w:t>
      </w:r>
      <w:r w:rsidRPr="0023349A">
        <w:rPr>
          <w:rFonts w:ascii="Arial" w:hAnsi="Arial" w:cs="Arial"/>
          <w:lang w:val="en-GB"/>
        </w:rPr>
        <w:t xml:space="preserve"> Chhetri</w:t>
      </w:r>
      <w:r w:rsidR="00FD4C87">
        <w:rPr>
          <w:rFonts w:ascii="Arial" w:hAnsi="Arial" w:cs="Arial"/>
          <w:lang w:val="en-GB"/>
        </w:rPr>
        <w:t>,</w:t>
      </w:r>
      <w:r w:rsidRPr="0023349A">
        <w:rPr>
          <w:rFonts w:ascii="Arial" w:hAnsi="Arial" w:cs="Arial"/>
          <w:lang w:val="en-GB"/>
        </w:rPr>
        <w:t xml:space="preserve"> N</w:t>
      </w:r>
      <w:r w:rsidR="00FD4C87">
        <w:rPr>
          <w:rFonts w:ascii="Arial" w:hAnsi="Arial" w:cs="Arial"/>
          <w:lang w:val="en-GB"/>
        </w:rPr>
        <w:t>.</w:t>
      </w:r>
      <w:r w:rsidRPr="0023349A">
        <w:rPr>
          <w:rFonts w:ascii="Arial" w:hAnsi="Arial" w:cs="Arial"/>
          <w:lang w:val="en-GB"/>
        </w:rPr>
        <w:t xml:space="preserve"> (2021)</w:t>
      </w:r>
      <w:r w:rsidR="00FD4C87">
        <w:rPr>
          <w:rFonts w:ascii="Arial" w:hAnsi="Arial" w:cs="Arial"/>
          <w:lang w:val="en-GB"/>
        </w:rPr>
        <w:t>.</w:t>
      </w:r>
      <w:r w:rsidRPr="0023349A">
        <w:rPr>
          <w:rFonts w:ascii="Arial" w:hAnsi="Arial" w:cs="Arial"/>
          <w:lang w:val="en-GB"/>
        </w:rPr>
        <w:t xml:space="preserve"> Advances in </w:t>
      </w:r>
      <w:proofErr w:type="spellStart"/>
      <w:r w:rsidRPr="0023349A">
        <w:rPr>
          <w:rFonts w:ascii="Arial" w:hAnsi="Arial" w:cs="Arial"/>
          <w:lang w:val="en-GB"/>
        </w:rPr>
        <w:t>modeling</w:t>
      </w:r>
      <w:proofErr w:type="spellEnd"/>
      <w:r w:rsidRPr="0023349A">
        <w:rPr>
          <w:rFonts w:ascii="Arial" w:hAnsi="Arial" w:cs="Arial"/>
          <w:lang w:val="en-GB"/>
        </w:rPr>
        <w:t xml:space="preserve"> crop phenology under climate variability. </w:t>
      </w:r>
      <w:r w:rsidR="00FD4C87" w:rsidRPr="0023349A">
        <w:rPr>
          <w:rFonts w:ascii="Arial" w:hAnsi="Arial" w:cs="Arial"/>
          <w:lang w:val="en-GB"/>
        </w:rPr>
        <w:t>Agric</w:t>
      </w:r>
      <w:r w:rsidR="00FD4C87">
        <w:rPr>
          <w:rFonts w:ascii="Arial" w:hAnsi="Arial" w:cs="Arial"/>
          <w:lang w:val="en-GB"/>
        </w:rPr>
        <w:t>ulture and Forest</w:t>
      </w:r>
      <w:r w:rsidR="00FD4C87" w:rsidRPr="0023349A">
        <w:rPr>
          <w:rFonts w:ascii="Arial" w:hAnsi="Arial" w:cs="Arial"/>
          <w:lang w:val="en-GB"/>
        </w:rPr>
        <w:t xml:space="preserve"> Meteorol</w:t>
      </w:r>
      <w:r w:rsidR="00FD4C87">
        <w:rPr>
          <w:rFonts w:ascii="Arial" w:hAnsi="Arial" w:cs="Arial"/>
          <w:lang w:val="en-GB"/>
        </w:rPr>
        <w:t>ogy,</w:t>
      </w:r>
      <w:r w:rsidR="00FD4C87" w:rsidRPr="0023349A">
        <w:rPr>
          <w:rFonts w:ascii="Arial" w:hAnsi="Arial" w:cs="Arial"/>
          <w:lang w:val="en-GB"/>
        </w:rPr>
        <w:t xml:space="preserve"> </w:t>
      </w:r>
      <w:r w:rsidRPr="0023349A">
        <w:rPr>
          <w:rFonts w:ascii="Arial" w:hAnsi="Arial" w:cs="Arial"/>
          <w:lang w:val="en-GB"/>
        </w:rPr>
        <w:t>307</w:t>
      </w:r>
      <w:r w:rsidR="00FD4C87">
        <w:rPr>
          <w:rFonts w:ascii="Arial" w:hAnsi="Arial" w:cs="Arial"/>
          <w:lang w:val="en-GB"/>
        </w:rPr>
        <w:t>,</w:t>
      </w:r>
      <w:r w:rsidRPr="0023349A">
        <w:rPr>
          <w:rFonts w:ascii="Arial" w:hAnsi="Arial" w:cs="Arial"/>
          <w:lang w:val="en-GB"/>
        </w:rPr>
        <w:t xml:space="preserve">108545. </w:t>
      </w:r>
      <w:hyperlink r:id="rId27" w:history="1">
        <w:r w:rsidRPr="0023349A">
          <w:rPr>
            <w:rStyle w:val="Hyperlink"/>
            <w:rFonts w:ascii="Arial" w:hAnsi="Arial" w:cs="Arial"/>
            <w:lang w:val="en-GB"/>
          </w:rPr>
          <w:t>https://doi.org/10.1016/j.agrformet.2021.108545</w:t>
        </w:r>
      </w:hyperlink>
      <w:r w:rsidR="00FD4C87">
        <w:t>.</w:t>
      </w:r>
    </w:p>
    <w:p w14:paraId="319CBB63" w14:textId="162C2ED0" w:rsidR="0023349A" w:rsidRPr="0023349A" w:rsidRDefault="0023349A" w:rsidP="0023349A">
      <w:pPr>
        <w:numPr>
          <w:ilvl w:val="0"/>
          <w:numId w:val="2"/>
        </w:numPr>
        <w:spacing w:before="240"/>
        <w:rPr>
          <w:rFonts w:ascii="Arial" w:hAnsi="Arial" w:cs="Arial"/>
          <w:lang w:val="en-GB"/>
        </w:rPr>
      </w:pPr>
      <w:r w:rsidRPr="0023349A">
        <w:rPr>
          <w:rFonts w:ascii="Arial" w:hAnsi="Arial" w:cs="Arial"/>
          <w:lang w:val="en-GB"/>
        </w:rPr>
        <w:t>Li</w:t>
      </w:r>
      <w:r w:rsidR="00FD4C87">
        <w:rPr>
          <w:rFonts w:ascii="Arial" w:hAnsi="Arial" w:cs="Arial"/>
          <w:lang w:val="en-GB"/>
        </w:rPr>
        <w:t>,</w:t>
      </w:r>
      <w:r w:rsidRPr="0023349A">
        <w:rPr>
          <w:rFonts w:ascii="Arial" w:hAnsi="Arial" w:cs="Arial"/>
          <w:lang w:val="en-GB"/>
        </w:rPr>
        <w:t xml:space="preserve"> Y</w:t>
      </w:r>
      <w:r w:rsidR="00FD4C87">
        <w:rPr>
          <w:rFonts w:ascii="Arial" w:hAnsi="Arial" w:cs="Arial"/>
          <w:lang w:val="en-GB"/>
        </w:rPr>
        <w:t>.</w:t>
      </w:r>
      <w:r w:rsidRPr="0023349A">
        <w:rPr>
          <w:rFonts w:ascii="Arial" w:hAnsi="Arial" w:cs="Arial"/>
          <w:lang w:val="en-GB"/>
        </w:rPr>
        <w:t>, Zhao</w:t>
      </w:r>
      <w:r w:rsidR="00FD4C87">
        <w:rPr>
          <w:rFonts w:ascii="Arial" w:hAnsi="Arial" w:cs="Arial"/>
          <w:lang w:val="en-GB"/>
        </w:rPr>
        <w:t>,</w:t>
      </w:r>
      <w:r w:rsidRPr="0023349A">
        <w:rPr>
          <w:rFonts w:ascii="Arial" w:hAnsi="Arial" w:cs="Arial"/>
          <w:lang w:val="en-GB"/>
        </w:rPr>
        <w:t xml:space="preserve"> Q</w:t>
      </w:r>
      <w:r w:rsidR="00FD4C87">
        <w:rPr>
          <w:rFonts w:ascii="Arial" w:hAnsi="Arial" w:cs="Arial"/>
          <w:lang w:val="en-GB"/>
        </w:rPr>
        <w:t>.</w:t>
      </w:r>
      <w:r w:rsidRPr="0023349A">
        <w:rPr>
          <w:rFonts w:ascii="Arial" w:hAnsi="Arial" w:cs="Arial"/>
          <w:lang w:val="en-GB"/>
        </w:rPr>
        <w:t>, Wang</w:t>
      </w:r>
      <w:r w:rsidR="00FD4C87">
        <w:rPr>
          <w:rFonts w:ascii="Arial" w:hAnsi="Arial" w:cs="Arial"/>
          <w:lang w:val="en-GB"/>
        </w:rPr>
        <w:t>,</w:t>
      </w:r>
      <w:r w:rsidRPr="0023349A">
        <w:rPr>
          <w:rFonts w:ascii="Arial" w:hAnsi="Arial" w:cs="Arial"/>
          <w:lang w:val="en-GB"/>
        </w:rPr>
        <w:t xml:space="preserve"> H</w:t>
      </w:r>
      <w:r w:rsidR="00FD4C87">
        <w:rPr>
          <w:rFonts w:ascii="Arial" w:hAnsi="Arial" w:cs="Arial"/>
          <w:lang w:val="en-GB"/>
        </w:rPr>
        <w:t>. &amp;</w:t>
      </w:r>
      <w:r w:rsidRPr="0023349A">
        <w:rPr>
          <w:rFonts w:ascii="Arial" w:hAnsi="Arial" w:cs="Arial"/>
          <w:lang w:val="en-GB"/>
        </w:rPr>
        <w:t xml:space="preserve"> Zhang</w:t>
      </w:r>
      <w:r w:rsidR="00FD4C87">
        <w:rPr>
          <w:rFonts w:ascii="Arial" w:hAnsi="Arial" w:cs="Arial"/>
          <w:lang w:val="en-GB"/>
        </w:rPr>
        <w:t>,</w:t>
      </w:r>
      <w:r w:rsidRPr="0023349A">
        <w:rPr>
          <w:rFonts w:ascii="Arial" w:hAnsi="Arial" w:cs="Arial"/>
          <w:lang w:val="en-GB"/>
        </w:rPr>
        <w:t xml:space="preserve"> W</w:t>
      </w:r>
      <w:r w:rsidR="00FD4C87">
        <w:rPr>
          <w:rFonts w:ascii="Arial" w:hAnsi="Arial" w:cs="Arial"/>
          <w:lang w:val="en-GB"/>
        </w:rPr>
        <w:t>.</w:t>
      </w:r>
      <w:r w:rsidRPr="0023349A">
        <w:rPr>
          <w:rFonts w:ascii="Arial" w:hAnsi="Arial" w:cs="Arial"/>
          <w:lang w:val="en-GB"/>
        </w:rPr>
        <w:t xml:space="preserve"> (2022)</w:t>
      </w:r>
      <w:r w:rsidR="00FD4C87">
        <w:rPr>
          <w:rFonts w:ascii="Arial" w:hAnsi="Arial" w:cs="Arial"/>
          <w:lang w:val="en-GB"/>
        </w:rPr>
        <w:t>.</w:t>
      </w:r>
      <w:r w:rsidRPr="0023349A">
        <w:rPr>
          <w:rFonts w:ascii="Arial" w:hAnsi="Arial" w:cs="Arial"/>
          <w:lang w:val="en-GB"/>
        </w:rPr>
        <w:t xml:space="preserve"> Dynamic </w:t>
      </w:r>
      <w:proofErr w:type="spellStart"/>
      <w:r w:rsidRPr="0023349A">
        <w:rPr>
          <w:rFonts w:ascii="Arial" w:hAnsi="Arial" w:cs="Arial"/>
          <w:lang w:val="en-GB"/>
        </w:rPr>
        <w:t>modeling</w:t>
      </w:r>
      <w:proofErr w:type="spellEnd"/>
      <w:r w:rsidRPr="0023349A">
        <w:rPr>
          <w:rFonts w:ascii="Arial" w:hAnsi="Arial" w:cs="Arial"/>
          <w:lang w:val="en-GB"/>
        </w:rPr>
        <w:t xml:space="preserve"> of degree days for phenological stages in crops. Environ</w:t>
      </w:r>
      <w:r w:rsidR="00FD4C87">
        <w:rPr>
          <w:rFonts w:ascii="Arial" w:hAnsi="Arial" w:cs="Arial"/>
          <w:lang w:val="en-GB"/>
        </w:rPr>
        <w:t>mental</w:t>
      </w:r>
      <w:r w:rsidRPr="0023349A">
        <w:rPr>
          <w:rFonts w:ascii="Arial" w:hAnsi="Arial" w:cs="Arial"/>
          <w:lang w:val="en-GB"/>
        </w:rPr>
        <w:t xml:space="preserve"> Res</w:t>
      </w:r>
      <w:r w:rsidR="00FD4C87">
        <w:rPr>
          <w:rFonts w:ascii="Arial" w:hAnsi="Arial" w:cs="Arial"/>
          <w:lang w:val="en-GB"/>
        </w:rPr>
        <w:t>earch</w:t>
      </w:r>
      <w:r w:rsidRPr="0023349A">
        <w:rPr>
          <w:rFonts w:ascii="Arial" w:hAnsi="Arial" w:cs="Arial"/>
          <w:lang w:val="en-GB"/>
        </w:rPr>
        <w:t xml:space="preserve"> Lett</w:t>
      </w:r>
      <w:r w:rsidR="00FD4C87">
        <w:rPr>
          <w:rFonts w:ascii="Arial" w:hAnsi="Arial" w:cs="Arial"/>
          <w:lang w:val="en-GB"/>
        </w:rPr>
        <w:t>ers,</w:t>
      </w:r>
      <w:r w:rsidRPr="0023349A">
        <w:rPr>
          <w:rFonts w:ascii="Arial" w:hAnsi="Arial" w:cs="Arial"/>
          <w:lang w:val="en-GB"/>
        </w:rPr>
        <w:t xml:space="preserve"> 17</w:t>
      </w:r>
      <w:r w:rsidR="00FD4C87">
        <w:rPr>
          <w:rFonts w:ascii="Arial" w:hAnsi="Arial" w:cs="Arial"/>
          <w:lang w:val="en-GB"/>
        </w:rPr>
        <w:t xml:space="preserve">, </w:t>
      </w:r>
      <w:r w:rsidRPr="0023349A">
        <w:rPr>
          <w:rFonts w:ascii="Arial" w:hAnsi="Arial" w:cs="Arial"/>
          <w:lang w:val="en-GB"/>
        </w:rPr>
        <w:t xml:space="preserve">045003. </w:t>
      </w:r>
      <w:hyperlink r:id="rId28" w:history="1">
        <w:r w:rsidRPr="0023349A">
          <w:rPr>
            <w:rStyle w:val="Hyperlink"/>
            <w:rFonts w:ascii="Arial" w:hAnsi="Arial" w:cs="Arial"/>
            <w:lang w:val="en-GB"/>
          </w:rPr>
          <w:t>https://doi.org/10.1088/1748-9326/ac4e16</w:t>
        </w:r>
      </w:hyperlink>
    </w:p>
    <w:p w14:paraId="64CD8FE4" w14:textId="092EF2E2" w:rsidR="0023349A" w:rsidRPr="0023349A" w:rsidRDefault="0023349A" w:rsidP="0023349A">
      <w:pPr>
        <w:numPr>
          <w:ilvl w:val="0"/>
          <w:numId w:val="2"/>
        </w:numPr>
        <w:spacing w:before="240"/>
        <w:rPr>
          <w:rFonts w:ascii="Arial" w:hAnsi="Arial" w:cs="Arial"/>
          <w:lang w:val="en-GB"/>
        </w:rPr>
      </w:pPr>
      <w:r w:rsidRPr="0023349A">
        <w:rPr>
          <w:rFonts w:ascii="Arial" w:hAnsi="Arial" w:cs="Arial"/>
          <w:lang w:val="en-GB"/>
        </w:rPr>
        <w:t>Kumar</w:t>
      </w:r>
      <w:r w:rsidR="00FD4C87">
        <w:rPr>
          <w:rFonts w:ascii="Arial" w:hAnsi="Arial" w:cs="Arial"/>
          <w:lang w:val="en-GB"/>
        </w:rPr>
        <w:t>,</w:t>
      </w:r>
      <w:r w:rsidRPr="0023349A">
        <w:rPr>
          <w:rFonts w:ascii="Arial" w:hAnsi="Arial" w:cs="Arial"/>
          <w:lang w:val="en-GB"/>
        </w:rPr>
        <w:t xml:space="preserve"> P</w:t>
      </w:r>
      <w:r w:rsidR="00FD4C87">
        <w:rPr>
          <w:rFonts w:ascii="Arial" w:hAnsi="Arial" w:cs="Arial"/>
          <w:lang w:val="en-GB"/>
        </w:rPr>
        <w:t>.</w:t>
      </w:r>
      <w:r w:rsidRPr="0023349A">
        <w:rPr>
          <w:rFonts w:ascii="Arial" w:hAnsi="Arial" w:cs="Arial"/>
          <w:lang w:val="en-GB"/>
        </w:rPr>
        <w:t>, Singh</w:t>
      </w:r>
      <w:r w:rsidR="00FD4C87">
        <w:rPr>
          <w:rFonts w:ascii="Arial" w:hAnsi="Arial" w:cs="Arial"/>
          <w:lang w:val="en-GB"/>
        </w:rPr>
        <w:t>,</w:t>
      </w:r>
      <w:r w:rsidRPr="0023349A">
        <w:rPr>
          <w:rFonts w:ascii="Arial" w:hAnsi="Arial" w:cs="Arial"/>
          <w:lang w:val="en-GB"/>
        </w:rPr>
        <w:t xml:space="preserve"> R</w:t>
      </w:r>
      <w:r w:rsidR="00FD4C87">
        <w:rPr>
          <w:rFonts w:ascii="Arial" w:hAnsi="Arial" w:cs="Arial"/>
          <w:lang w:val="en-GB"/>
        </w:rPr>
        <w:t>.</w:t>
      </w:r>
      <w:r w:rsidRPr="0023349A">
        <w:rPr>
          <w:rFonts w:ascii="Arial" w:hAnsi="Arial" w:cs="Arial"/>
          <w:lang w:val="en-GB"/>
        </w:rPr>
        <w:t>, Malik</w:t>
      </w:r>
      <w:r w:rsidR="00FD4C87">
        <w:rPr>
          <w:rFonts w:ascii="Arial" w:hAnsi="Arial" w:cs="Arial"/>
          <w:lang w:val="en-GB"/>
        </w:rPr>
        <w:t>,</w:t>
      </w:r>
      <w:r w:rsidRPr="0023349A">
        <w:rPr>
          <w:rFonts w:ascii="Arial" w:hAnsi="Arial" w:cs="Arial"/>
          <w:lang w:val="en-GB"/>
        </w:rPr>
        <w:t xml:space="preserve"> R</w:t>
      </w:r>
      <w:r w:rsidR="00FD4C87">
        <w:rPr>
          <w:rFonts w:ascii="Arial" w:hAnsi="Arial" w:cs="Arial"/>
          <w:lang w:val="en-GB"/>
        </w:rPr>
        <w:t>.</w:t>
      </w:r>
      <w:r w:rsidRPr="0023349A">
        <w:rPr>
          <w:rFonts w:ascii="Arial" w:hAnsi="Arial" w:cs="Arial"/>
          <w:lang w:val="en-GB"/>
        </w:rPr>
        <w:t>K</w:t>
      </w:r>
      <w:r w:rsidR="00FD4C87">
        <w:rPr>
          <w:rFonts w:ascii="Arial" w:hAnsi="Arial" w:cs="Arial"/>
          <w:lang w:val="en-GB"/>
        </w:rPr>
        <w:t>. &amp;</w:t>
      </w:r>
      <w:r w:rsidRPr="0023349A">
        <w:rPr>
          <w:rFonts w:ascii="Arial" w:hAnsi="Arial" w:cs="Arial"/>
          <w:lang w:val="en-GB"/>
        </w:rPr>
        <w:t xml:space="preserve"> Dhankhar</w:t>
      </w:r>
      <w:r w:rsidR="00FD4C87">
        <w:rPr>
          <w:rFonts w:ascii="Arial" w:hAnsi="Arial" w:cs="Arial"/>
          <w:lang w:val="en-GB"/>
        </w:rPr>
        <w:t>,</w:t>
      </w:r>
      <w:r w:rsidRPr="0023349A">
        <w:rPr>
          <w:rFonts w:ascii="Arial" w:hAnsi="Arial" w:cs="Arial"/>
          <w:lang w:val="en-GB"/>
        </w:rPr>
        <w:t xml:space="preserve"> R</w:t>
      </w:r>
      <w:r w:rsidR="00FD4C87">
        <w:rPr>
          <w:rFonts w:ascii="Arial" w:hAnsi="Arial" w:cs="Arial"/>
          <w:lang w:val="en-GB"/>
        </w:rPr>
        <w:t>.</w:t>
      </w:r>
      <w:r w:rsidRPr="0023349A">
        <w:rPr>
          <w:rFonts w:ascii="Arial" w:hAnsi="Arial" w:cs="Arial"/>
          <w:lang w:val="en-GB"/>
        </w:rPr>
        <w:t xml:space="preserve"> (2023)</w:t>
      </w:r>
      <w:r w:rsidR="00FD4C87">
        <w:rPr>
          <w:rFonts w:ascii="Arial" w:hAnsi="Arial" w:cs="Arial"/>
          <w:lang w:val="en-GB"/>
        </w:rPr>
        <w:t>.</w:t>
      </w:r>
      <w:r w:rsidRPr="0023349A">
        <w:rPr>
          <w:rFonts w:ascii="Arial" w:hAnsi="Arial" w:cs="Arial"/>
          <w:lang w:val="en-GB"/>
        </w:rPr>
        <w:t xml:space="preserve"> Evaluating advanced growing degree day models for arid regions. J</w:t>
      </w:r>
      <w:r w:rsidR="00035FE4">
        <w:rPr>
          <w:rFonts w:ascii="Arial" w:hAnsi="Arial" w:cs="Arial"/>
          <w:lang w:val="en-GB"/>
        </w:rPr>
        <w:t>ournal of</w:t>
      </w:r>
      <w:r w:rsidRPr="0023349A">
        <w:rPr>
          <w:rFonts w:ascii="Arial" w:hAnsi="Arial" w:cs="Arial"/>
          <w:lang w:val="en-GB"/>
        </w:rPr>
        <w:t xml:space="preserve"> Agric</w:t>
      </w:r>
      <w:r w:rsidR="00035FE4">
        <w:rPr>
          <w:rFonts w:ascii="Arial" w:hAnsi="Arial" w:cs="Arial"/>
          <w:lang w:val="en-GB"/>
        </w:rPr>
        <w:t>ultural Sciences,</w:t>
      </w:r>
      <w:r w:rsidRPr="0023349A">
        <w:rPr>
          <w:rFonts w:ascii="Arial" w:hAnsi="Arial" w:cs="Arial"/>
          <w:lang w:val="en-GB"/>
        </w:rPr>
        <w:t xml:space="preserve"> 161</w:t>
      </w:r>
      <w:r w:rsidR="00035FE4">
        <w:rPr>
          <w:rFonts w:ascii="Arial" w:hAnsi="Arial" w:cs="Arial"/>
          <w:lang w:val="en-GB"/>
        </w:rPr>
        <w:t>,</w:t>
      </w:r>
      <w:r w:rsidRPr="0023349A">
        <w:rPr>
          <w:rFonts w:ascii="Arial" w:hAnsi="Arial" w:cs="Arial"/>
          <w:lang w:val="en-GB"/>
        </w:rPr>
        <w:t>101–112</w:t>
      </w:r>
      <w:r w:rsidR="00035FE4">
        <w:rPr>
          <w:rFonts w:ascii="Arial" w:hAnsi="Arial" w:cs="Arial"/>
          <w:lang w:val="en-GB"/>
        </w:rPr>
        <w:t>.</w:t>
      </w:r>
    </w:p>
    <w:p w14:paraId="3D16103E" w14:textId="39FBA87C" w:rsidR="0023349A" w:rsidRPr="0023349A" w:rsidRDefault="0023349A" w:rsidP="0023349A">
      <w:pPr>
        <w:numPr>
          <w:ilvl w:val="0"/>
          <w:numId w:val="2"/>
        </w:numPr>
        <w:spacing w:before="240"/>
        <w:rPr>
          <w:rFonts w:ascii="Arial" w:hAnsi="Arial" w:cs="Arial"/>
          <w:lang w:val="en-GB"/>
        </w:rPr>
      </w:pPr>
      <w:r w:rsidRPr="0023349A">
        <w:rPr>
          <w:rFonts w:ascii="Arial" w:hAnsi="Arial" w:cs="Arial"/>
          <w:lang w:val="en-GB"/>
        </w:rPr>
        <w:t>Zhang</w:t>
      </w:r>
      <w:r w:rsidR="00035FE4">
        <w:rPr>
          <w:rFonts w:ascii="Arial" w:hAnsi="Arial" w:cs="Arial"/>
          <w:lang w:val="en-GB"/>
        </w:rPr>
        <w:t>,</w:t>
      </w:r>
      <w:r w:rsidRPr="0023349A">
        <w:rPr>
          <w:rFonts w:ascii="Arial" w:hAnsi="Arial" w:cs="Arial"/>
          <w:lang w:val="en-GB"/>
        </w:rPr>
        <w:t xml:space="preserve"> X</w:t>
      </w:r>
      <w:r w:rsidR="00035FE4">
        <w:rPr>
          <w:rFonts w:ascii="Arial" w:hAnsi="Arial" w:cs="Arial"/>
          <w:lang w:val="en-GB"/>
        </w:rPr>
        <w:t>.</w:t>
      </w:r>
      <w:r w:rsidRPr="0023349A">
        <w:rPr>
          <w:rFonts w:ascii="Arial" w:hAnsi="Arial" w:cs="Arial"/>
          <w:lang w:val="en-GB"/>
        </w:rPr>
        <w:t>, Li</w:t>
      </w:r>
      <w:r w:rsidR="00035FE4">
        <w:rPr>
          <w:rFonts w:ascii="Arial" w:hAnsi="Arial" w:cs="Arial"/>
          <w:lang w:val="en-GB"/>
        </w:rPr>
        <w:t>,</w:t>
      </w:r>
      <w:r w:rsidRPr="0023349A">
        <w:rPr>
          <w:rFonts w:ascii="Arial" w:hAnsi="Arial" w:cs="Arial"/>
          <w:lang w:val="en-GB"/>
        </w:rPr>
        <w:t xml:space="preserve"> W</w:t>
      </w:r>
      <w:r w:rsidR="00035FE4">
        <w:rPr>
          <w:rFonts w:ascii="Arial" w:hAnsi="Arial" w:cs="Arial"/>
          <w:lang w:val="en-GB"/>
        </w:rPr>
        <w:t>.</w:t>
      </w:r>
      <w:r w:rsidRPr="0023349A">
        <w:rPr>
          <w:rFonts w:ascii="Arial" w:hAnsi="Arial" w:cs="Arial"/>
          <w:lang w:val="en-GB"/>
        </w:rPr>
        <w:t>, Zhang</w:t>
      </w:r>
      <w:r w:rsidR="00035FE4">
        <w:rPr>
          <w:rFonts w:ascii="Arial" w:hAnsi="Arial" w:cs="Arial"/>
          <w:lang w:val="en-GB"/>
        </w:rPr>
        <w:t>,</w:t>
      </w:r>
      <w:r w:rsidRPr="0023349A">
        <w:rPr>
          <w:rFonts w:ascii="Arial" w:hAnsi="Arial" w:cs="Arial"/>
          <w:lang w:val="en-GB"/>
        </w:rPr>
        <w:t xml:space="preserve"> H</w:t>
      </w:r>
      <w:r w:rsidR="00035FE4">
        <w:rPr>
          <w:rFonts w:ascii="Arial" w:hAnsi="Arial" w:cs="Arial"/>
          <w:lang w:val="en-GB"/>
        </w:rPr>
        <w:t>. &amp;</w:t>
      </w:r>
      <w:r w:rsidRPr="0023349A">
        <w:rPr>
          <w:rFonts w:ascii="Arial" w:hAnsi="Arial" w:cs="Arial"/>
          <w:lang w:val="en-GB"/>
        </w:rPr>
        <w:t xml:space="preserve"> Chen</w:t>
      </w:r>
      <w:r w:rsidR="00035FE4">
        <w:rPr>
          <w:rFonts w:ascii="Arial" w:hAnsi="Arial" w:cs="Arial"/>
          <w:lang w:val="en-GB"/>
        </w:rPr>
        <w:t>,</w:t>
      </w:r>
      <w:r w:rsidRPr="0023349A">
        <w:rPr>
          <w:rFonts w:ascii="Arial" w:hAnsi="Arial" w:cs="Arial"/>
          <w:lang w:val="en-GB"/>
        </w:rPr>
        <w:t xml:space="preserve"> J</w:t>
      </w:r>
      <w:r w:rsidR="00035FE4">
        <w:rPr>
          <w:rFonts w:ascii="Arial" w:hAnsi="Arial" w:cs="Arial"/>
          <w:lang w:val="en-GB"/>
        </w:rPr>
        <w:t>.</w:t>
      </w:r>
      <w:r w:rsidRPr="0023349A">
        <w:rPr>
          <w:rFonts w:ascii="Arial" w:hAnsi="Arial" w:cs="Arial"/>
          <w:lang w:val="en-GB"/>
        </w:rPr>
        <w:t xml:space="preserve"> (2023)</w:t>
      </w:r>
      <w:r w:rsidR="00035FE4">
        <w:rPr>
          <w:rFonts w:ascii="Arial" w:hAnsi="Arial" w:cs="Arial"/>
          <w:lang w:val="en-GB"/>
        </w:rPr>
        <w:t>.</w:t>
      </w:r>
      <w:r w:rsidRPr="0023349A">
        <w:rPr>
          <w:rFonts w:ascii="Arial" w:hAnsi="Arial" w:cs="Arial"/>
          <w:lang w:val="en-GB"/>
        </w:rPr>
        <w:t xml:space="preserve"> Climate-resilient growing degree day models for crop productivity. Nat</w:t>
      </w:r>
      <w:r w:rsidR="00035FE4">
        <w:rPr>
          <w:rFonts w:ascii="Arial" w:hAnsi="Arial" w:cs="Arial"/>
          <w:lang w:val="en-GB"/>
        </w:rPr>
        <w:t>ure</w:t>
      </w:r>
      <w:r w:rsidRPr="0023349A">
        <w:rPr>
          <w:rFonts w:ascii="Arial" w:hAnsi="Arial" w:cs="Arial"/>
          <w:lang w:val="en-GB"/>
        </w:rPr>
        <w:t xml:space="preserve"> Clim</w:t>
      </w:r>
      <w:r w:rsidR="00035FE4">
        <w:rPr>
          <w:rFonts w:ascii="Arial" w:hAnsi="Arial" w:cs="Arial"/>
          <w:lang w:val="en-GB"/>
        </w:rPr>
        <w:t>ate</w:t>
      </w:r>
      <w:r w:rsidRPr="0023349A">
        <w:rPr>
          <w:rFonts w:ascii="Arial" w:hAnsi="Arial" w:cs="Arial"/>
          <w:lang w:val="en-GB"/>
        </w:rPr>
        <w:t xml:space="preserve"> Change</w:t>
      </w:r>
      <w:r w:rsidR="00035FE4">
        <w:rPr>
          <w:rFonts w:ascii="Arial" w:hAnsi="Arial" w:cs="Arial"/>
          <w:lang w:val="en-GB"/>
        </w:rPr>
        <w:t>,</w:t>
      </w:r>
      <w:r w:rsidRPr="0023349A">
        <w:rPr>
          <w:rFonts w:ascii="Arial" w:hAnsi="Arial" w:cs="Arial"/>
          <w:lang w:val="en-GB"/>
        </w:rPr>
        <w:t xml:space="preserve"> 13</w:t>
      </w:r>
      <w:r w:rsidR="00035FE4">
        <w:rPr>
          <w:rFonts w:ascii="Arial" w:hAnsi="Arial" w:cs="Arial"/>
          <w:lang w:val="en-GB"/>
        </w:rPr>
        <w:t xml:space="preserve">, </w:t>
      </w:r>
      <w:r w:rsidRPr="0023349A">
        <w:rPr>
          <w:rFonts w:ascii="Arial" w:hAnsi="Arial" w:cs="Arial"/>
          <w:lang w:val="en-GB"/>
        </w:rPr>
        <w:t>482–489</w:t>
      </w:r>
      <w:r w:rsidR="00035FE4">
        <w:rPr>
          <w:rFonts w:ascii="Arial" w:hAnsi="Arial" w:cs="Arial"/>
          <w:lang w:val="en-GB"/>
        </w:rPr>
        <w:t>.</w:t>
      </w:r>
    </w:p>
    <w:p w14:paraId="127A0261" w14:textId="205A9EC3" w:rsidR="0023349A" w:rsidRPr="0023349A" w:rsidRDefault="0023349A" w:rsidP="0023349A">
      <w:pPr>
        <w:numPr>
          <w:ilvl w:val="0"/>
          <w:numId w:val="2"/>
        </w:numPr>
        <w:spacing w:before="240"/>
        <w:rPr>
          <w:rFonts w:ascii="Arial" w:hAnsi="Arial" w:cs="Arial"/>
          <w:lang w:val="en-GB"/>
        </w:rPr>
      </w:pPr>
      <w:r w:rsidRPr="0023349A">
        <w:rPr>
          <w:rFonts w:ascii="Arial" w:hAnsi="Arial" w:cs="Arial"/>
          <w:lang w:val="en-GB"/>
        </w:rPr>
        <w:t>Liu</w:t>
      </w:r>
      <w:r w:rsidR="00035FE4">
        <w:rPr>
          <w:rFonts w:ascii="Arial" w:hAnsi="Arial" w:cs="Arial"/>
          <w:lang w:val="en-GB"/>
        </w:rPr>
        <w:t>,</w:t>
      </w:r>
      <w:r w:rsidRPr="0023349A">
        <w:rPr>
          <w:rFonts w:ascii="Arial" w:hAnsi="Arial" w:cs="Arial"/>
          <w:lang w:val="en-GB"/>
        </w:rPr>
        <w:t xml:space="preserve"> X</w:t>
      </w:r>
      <w:r w:rsidR="00035FE4">
        <w:rPr>
          <w:rFonts w:ascii="Arial" w:hAnsi="Arial" w:cs="Arial"/>
          <w:lang w:val="en-GB"/>
        </w:rPr>
        <w:t>.</w:t>
      </w:r>
      <w:r w:rsidRPr="0023349A">
        <w:rPr>
          <w:rFonts w:ascii="Arial" w:hAnsi="Arial" w:cs="Arial"/>
          <w:lang w:val="en-GB"/>
        </w:rPr>
        <w:t>, Zhang</w:t>
      </w:r>
      <w:r w:rsidR="00035FE4">
        <w:rPr>
          <w:rFonts w:ascii="Arial" w:hAnsi="Arial" w:cs="Arial"/>
          <w:lang w:val="en-GB"/>
        </w:rPr>
        <w:t>,</w:t>
      </w:r>
      <w:r w:rsidRPr="0023349A">
        <w:rPr>
          <w:rFonts w:ascii="Arial" w:hAnsi="Arial" w:cs="Arial"/>
          <w:lang w:val="en-GB"/>
        </w:rPr>
        <w:t xml:space="preserve"> X</w:t>
      </w:r>
      <w:r w:rsidR="00035FE4">
        <w:rPr>
          <w:rFonts w:ascii="Arial" w:hAnsi="Arial" w:cs="Arial"/>
          <w:lang w:val="en-GB"/>
        </w:rPr>
        <w:t>. &amp;</w:t>
      </w:r>
      <w:r w:rsidRPr="0023349A">
        <w:rPr>
          <w:rFonts w:ascii="Arial" w:hAnsi="Arial" w:cs="Arial"/>
          <w:lang w:val="en-GB"/>
        </w:rPr>
        <w:t xml:space="preserve"> Chen</w:t>
      </w:r>
      <w:r w:rsidR="00035FE4">
        <w:rPr>
          <w:rFonts w:ascii="Arial" w:hAnsi="Arial" w:cs="Arial"/>
          <w:lang w:val="en-GB"/>
        </w:rPr>
        <w:t>,</w:t>
      </w:r>
      <w:r w:rsidRPr="0023349A">
        <w:rPr>
          <w:rFonts w:ascii="Arial" w:hAnsi="Arial" w:cs="Arial"/>
          <w:lang w:val="en-GB"/>
        </w:rPr>
        <w:t xml:space="preserve"> M</w:t>
      </w:r>
      <w:r w:rsidR="00035FE4">
        <w:rPr>
          <w:rFonts w:ascii="Arial" w:hAnsi="Arial" w:cs="Arial"/>
          <w:lang w:val="en-GB"/>
        </w:rPr>
        <w:t>.</w:t>
      </w:r>
      <w:r w:rsidRPr="0023349A">
        <w:rPr>
          <w:rFonts w:ascii="Arial" w:hAnsi="Arial" w:cs="Arial"/>
          <w:lang w:val="en-GB"/>
        </w:rPr>
        <w:t xml:space="preserve"> (2019)</w:t>
      </w:r>
      <w:r w:rsidR="00035FE4">
        <w:rPr>
          <w:rFonts w:ascii="Arial" w:hAnsi="Arial" w:cs="Arial"/>
          <w:lang w:val="en-GB"/>
        </w:rPr>
        <w:t>.</w:t>
      </w:r>
      <w:r w:rsidRPr="0023349A">
        <w:rPr>
          <w:rFonts w:ascii="Arial" w:hAnsi="Arial" w:cs="Arial"/>
          <w:lang w:val="en-GB"/>
        </w:rPr>
        <w:t xml:space="preserve"> Application of the cosine-wave method for accurate estimation of Growing Degree Days: A case study. Agric</w:t>
      </w:r>
      <w:r w:rsidR="00035FE4">
        <w:rPr>
          <w:rFonts w:ascii="Arial" w:hAnsi="Arial" w:cs="Arial"/>
          <w:lang w:val="en-GB"/>
        </w:rPr>
        <w:t>ulture</w:t>
      </w:r>
      <w:r w:rsidRPr="0023349A">
        <w:rPr>
          <w:rFonts w:ascii="Arial" w:hAnsi="Arial" w:cs="Arial"/>
          <w:lang w:val="en-GB"/>
        </w:rPr>
        <w:t xml:space="preserve"> Syst</w:t>
      </w:r>
      <w:r w:rsidR="00035FE4">
        <w:rPr>
          <w:rFonts w:ascii="Arial" w:hAnsi="Arial" w:cs="Arial"/>
          <w:lang w:val="en-GB"/>
        </w:rPr>
        <w:t>ems,</w:t>
      </w:r>
      <w:r w:rsidRPr="0023349A">
        <w:rPr>
          <w:rFonts w:ascii="Arial" w:hAnsi="Arial" w:cs="Arial"/>
          <w:lang w:val="en-GB"/>
        </w:rPr>
        <w:t xml:space="preserve"> 174</w:t>
      </w:r>
      <w:r w:rsidR="00035FE4">
        <w:rPr>
          <w:rFonts w:ascii="Arial" w:hAnsi="Arial" w:cs="Arial"/>
          <w:lang w:val="en-GB"/>
        </w:rPr>
        <w:t>,</w:t>
      </w:r>
      <w:r w:rsidRPr="0023349A">
        <w:rPr>
          <w:rFonts w:ascii="Arial" w:hAnsi="Arial" w:cs="Arial"/>
          <w:lang w:val="en-GB"/>
        </w:rPr>
        <w:t>101–109</w:t>
      </w:r>
      <w:r w:rsidR="00035FE4">
        <w:rPr>
          <w:rFonts w:ascii="Arial" w:hAnsi="Arial" w:cs="Arial"/>
          <w:lang w:val="en-GB"/>
        </w:rPr>
        <w:t>.</w:t>
      </w:r>
    </w:p>
    <w:p w14:paraId="6DB9ED45" w14:textId="178C7243" w:rsidR="0023349A" w:rsidRPr="0023349A" w:rsidRDefault="0023349A" w:rsidP="0023349A">
      <w:pPr>
        <w:numPr>
          <w:ilvl w:val="0"/>
          <w:numId w:val="2"/>
        </w:numPr>
        <w:spacing w:before="240"/>
        <w:rPr>
          <w:rFonts w:ascii="Arial" w:hAnsi="Arial" w:cs="Arial"/>
          <w:lang w:val="en-GB"/>
        </w:rPr>
      </w:pPr>
      <w:r w:rsidRPr="0023349A">
        <w:rPr>
          <w:rFonts w:ascii="Arial" w:hAnsi="Arial" w:cs="Arial"/>
          <w:lang w:val="en-GB"/>
        </w:rPr>
        <w:t>Hunt</w:t>
      </w:r>
      <w:r w:rsidR="00035FE4">
        <w:rPr>
          <w:rFonts w:ascii="Arial" w:hAnsi="Arial" w:cs="Arial"/>
          <w:lang w:val="en-GB"/>
        </w:rPr>
        <w:t>,</w:t>
      </w:r>
      <w:r w:rsidRPr="0023349A">
        <w:rPr>
          <w:rFonts w:ascii="Arial" w:hAnsi="Arial" w:cs="Arial"/>
          <w:lang w:val="en-GB"/>
        </w:rPr>
        <w:t xml:space="preserve"> L</w:t>
      </w:r>
      <w:r w:rsidR="00035FE4">
        <w:rPr>
          <w:rFonts w:ascii="Arial" w:hAnsi="Arial" w:cs="Arial"/>
          <w:lang w:val="en-GB"/>
        </w:rPr>
        <w:t xml:space="preserve">. </w:t>
      </w:r>
      <w:r w:rsidRPr="0023349A">
        <w:rPr>
          <w:rFonts w:ascii="Arial" w:hAnsi="Arial" w:cs="Arial"/>
          <w:lang w:val="en-GB"/>
        </w:rPr>
        <w:t>L</w:t>
      </w:r>
      <w:r w:rsidR="00035FE4">
        <w:rPr>
          <w:rFonts w:ascii="Arial" w:hAnsi="Arial" w:cs="Arial"/>
          <w:lang w:val="en-GB"/>
        </w:rPr>
        <w:t>.</w:t>
      </w:r>
      <w:r w:rsidRPr="0023349A">
        <w:rPr>
          <w:rFonts w:ascii="Arial" w:hAnsi="Arial" w:cs="Arial"/>
          <w:lang w:val="en-GB"/>
        </w:rPr>
        <w:t>, Basara</w:t>
      </w:r>
      <w:r w:rsidR="00035FE4">
        <w:rPr>
          <w:rFonts w:ascii="Arial" w:hAnsi="Arial" w:cs="Arial"/>
          <w:lang w:val="en-GB"/>
        </w:rPr>
        <w:t>,</w:t>
      </w:r>
      <w:r w:rsidRPr="0023349A">
        <w:rPr>
          <w:rFonts w:ascii="Arial" w:hAnsi="Arial" w:cs="Arial"/>
          <w:lang w:val="en-GB"/>
        </w:rPr>
        <w:t xml:space="preserve"> J</w:t>
      </w:r>
      <w:r w:rsidR="00035FE4">
        <w:rPr>
          <w:rFonts w:ascii="Arial" w:hAnsi="Arial" w:cs="Arial"/>
          <w:lang w:val="en-GB"/>
        </w:rPr>
        <w:t xml:space="preserve">. </w:t>
      </w:r>
      <w:r w:rsidRPr="0023349A">
        <w:rPr>
          <w:rFonts w:ascii="Arial" w:hAnsi="Arial" w:cs="Arial"/>
          <w:lang w:val="en-GB"/>
        </w:rPr>
        <w:t>B</w:t>
      </w:r>
      <w:r w:rsidR="00035FE4">
        <w:rPr>
          <w:rFonts w:ascii="Arial" w:hAnsi="Arial" w:cs="Arial"/>
          <w:lang w:val="en-GB"/>
        </w:rPr>
        <w:t>.</w:t>
      </w:r>
      <w:r w:rsidRPr="0023349A">
        <w:rPr>
          <w:rFonts w:ascii="Arial" w:hAnsi="Arial" w:cs="Arial"/>
          <w:lang w:val="en-GB"/>
        </w:rPr>
        <w:t>, Norman</w:t>
      </w:r>
      <w:r w:rsidR="00035FE4">
        <w:rPr>
          <w:rFonts w:ascii="Arial" w:hAnsi="Arial" w:cs="Arial"/>
          <w:lang w:val="en-GB"/>
        </w:rPr>
        <w:t>,</w:t>
      </w:r>
      <w:r w:rsidRPr="0023349A">
        <w:rPr>
          <w:rFonts w:ascii="Arial" w:hAnsi="Arial" w:cs="Arial"/>
          <w:lang w:val="en-GB"/>
        </w:rPr>
        <w:t xml:space="preserve"> J</w:t>
      </w:r>
      <w:r w:rsidR="00035FE4">
        <w:rPr>
          <w:rFonts w:ascii="Arial" w:hAnsi="Arial" w:cs="Arial"/>
          <w:lang w:val="en-GB"/>
        </w:rPr>
        <w:t xml:space="preserve">. </w:t>
      </w:r>
      <w:r w:rsidRPr="0023349A">
        <w:rPr>
          <w:rFonts w:ascii="Arial" w:hAnsi="Arial" w:cs="Arial"/>
          <w:lang w:val="en-GB"/>
        </w:rPr>
        <w:t>M</w:t>
      </w:r>
      <w:r w:rsidR="00035FE4">
        <w:rPr>
          <w:rFonts w:ascii="Arial" w:hAnsi="Arial" w:cs="Arial"/>
          <w:lang w:val="en-GB"/>
        </w:rPr>
        <w:t>.</w:t>
      </w:r>
      <w:r w:rsidRPr="0023349A">
        <w:rPr>
          <w:rFonts w:ascii="Arial" w:hAnsi="Arial" w:cs="Arial"/>
          <w:lang w:val="en-GB"/>
        </w:rPr>
        <w:t xml:space="preserve"> (2021)</w:t>
      </w:r>
      <w:r w:rsidR="00035FE4">
        <w:rPr>
          <w:rFonts w:ascii="Arial" w:hAnsi="Arial" w:cs="Arial"/>
          <w:lang w:val="en-GB"/>
        </w:rPr>
        <w:t>.</w:t>
      </w:r>
      <w:r w:rsidRPr="0023349A">
        <w:rPr>
          <w:rFonts w:ascii="Arial" w:hAnsi="Arial" w:cs="Arial"/>
          <w:lang w:val="en-GB"/>
        </w:rPr>
        <w:t xml:space="preserve"> Use of growing degree days for agricultural applications. </w:t>
      </w:r>
      <w:r w:rsidR="00035FE4" w:rsidRPr="0023349A">
        <w:rPr>
          <w:rFonts w:ascii="Arial" w:hAnsi="Arial" w:cs="Arial"/>
          <w:lang w:val="en-GB"/>
        </w:rPr>
        <w:t>Agric</w:t>
      </w:r>
      <w:r w:rsidR="00035FE4">
        <w:rPr>
          <w:rFonts w:ascii="Arial" w:hAnsi="Arial" w:cs="Arial"/>
          <w:lang w:val="en-GB"/>
        </w:rPr>
        <w:t>ulture and Forest</w:t>
      </w:r>
      <w:r w:rsidR="00035FE4" w:rsidRPr="0023349A">
        <w:rPr>
          <w:rFonts w:ascii="Arial" w:hAnsi="Arial" w:cs="Arial"/>
          <w:lang w:val="en-GB"/>
        </w:rPr>
        <w:t xml:space="preserve"> Meteorol</w:t>
      </w:r>
      <w:r w:rsidR="00035FE4">
        <w:rPr>
          <w:rFonts w:ascii="Arial" w:hAnsi="Arial" w:cs="Arial"/>
          <w:lang w:val="en-GB"/>
        </w:rPr>
        <w:t>ogy,</w:t>
      </w:r>
      <w:r w:rsidRPr="0023349A">
        <w:rPr>
          <w:rFonts w:ascii="Arial" w:hAnsi="Arial" w:cs="Arial"/>
          <w:lang w:val="en-GB"/>
        </w:rPr>
        <w:t xml:space="preserve"> 113</w:t>
      </w:r>
      <w:r w:rsidR="00035FE4">
        <w:rPr>
          <w:rFonts w:ascii="Arial" w:hAnsi="Arial" w:cs="Arial"/>
          <w:lang w:val="en-GB"/>
        </w:rPr>
        <w:t xml:space="preserve">, </w:t>
      </w:r>
      <w:r w:rsidRPr="0023349A">
        <w:rPr>
          <w:rFonts w:ascii="Arial" w:hAnsi="Arial" w:cs="Arial"/>
          <w:lang w:val="en-GB"/>
        </w:rPr>
        <w:t>253–261</w:t>
      </w:r>
      <w:r w:rsidR="00035FE4">
        <w:rPr>
          <w:rFonts w:ascii="Arial" w:hAnsi="Arial" w:cs="Arial"/>
          <w:lang w:val="en-GB"/>
        </w:rPr>
        <w:t>.</w:t>
      </w:r>
    </w:p>
    <w:p w14:paraId="4D5A3278" w14:textId="4E6B5A96" w:rsidR="00035FE4" w:rsidRPr="00035FE4" w:rsidRDefault="0023349A" w:rsidP="00035FE4">
      <w:pPr>
        <w:numPr>
          <w:ilvl w:val="0"/>
          <w:numId w:val="2"/>
        </w:numPr>
        <w:spacing w:before="240"/>
        <w:rPr>
          <w:rFonts w:ascii="Arial" w:hAnsi="Arial" w:cs="Arial"/>
          <w:lang w:val="en-GB"/>
        </w:rPr>
      </w:pPr>
      <w:proofErr w:type="spellStart"/>
      <w:r w:rsidRPr="0023349A">
        <w:rPr>
          <w:rFonts w:ascii="Arial" w:hAnsi="Arial" w:cs="Arial"/>
          <w:lang w:val="en-GB"/>
        </w:rPr>
        <w:t>Goudriaan</w:t>
      </w:r>
      <w:proofErr w:type="spellEnd"/>
      <w:r w:rsidR="00035FE4">
        <w:rPr>
          <w:rFonts w:ascii="Arial" w:hAnsi="Arial" w:cs="Arial"/>
          <w:lang w:val="en-GB"/>
        </w:rPr>
        <w:t>,</w:t>
      </w:r>
      <w:r w:rsidRPr="0023349A">
        <w:rPr>
          <w:rFonts w:ascii="Arial" w:hAnsi="Arial" w:cs="Arial"/>
          <w:lang w:val="en-GB"/>
        </w:rPr>
        <w:t xml:space="preserve"> J</w:t>
      </w:r>
      <w:r w:rsidR="00035FE4">
        <w:rPr>
          <w:rFonts w:ascii="Arial" w:hAnsi="Arial" w:cs="Arial"/>
          <w:lang w:val="en-GB"/>
        </w:rPr>
        <w:t>. &amp;</w:t>
      </w:r>
      <w:r w:rsidRPr="0023349A">
        <w:rPr>
          <w:rFonts w:ascii="Arial" w:hAnsi="Arial" w:cs="Arial"/>
          <w:lang w:val="en-GB"/>
        </w:rPr>
        <w:t xml:space="preserve"> Van Laar</w:t>
      </w:r>
      <w:r w:rsidR="00035FE4">
        <w:rPr>
          <w:rFonts w:ascii="Arial" w:hAnsi="Arial" w:cs="Arial"/>
          <w:lang w:val="en-GB"/>
        </w:rPr>
        <w:t>,</w:t>
      </w:r>
      <w:r w:rsidRPr="0023349A">
        <w:rPr>
          <w:rFonts w:ascii="Arial" w:hAnsi="Arial" w:cs="Arial"/>
          <w:lang w:val="en-GB"/>
        </w:rPr>
        <w:t xml:space="preserve"> H</w:t>
      </w:r>
      <w:r w:rsidR="00035FE4">
        <w:rPr>
          <w:rFonts w:ascii="Arial" w:hAnsi="Arial" w:cs="Arial"/>
          <w:lang w:val="en-GB"/>
        </w:rPr>
        <w:t xml:space="preserve">. </w:t>
      </w:r>
      <w:r w:rsidRPr="0023349A">
        <w:rPr>
          <w:rFonts w:ascii="Arial" w:hAnsi="Arial" w:cs="Arial"/>
          <w:lang w:val="en-GB"/>
        </w:rPr>
        <w:t>H</w:t>
      </w:r>
      <w:r w:rsidR="00035FE4">
        <w:rPr>
          <w:rFonts w:ascii="Arial" w:hAnsi="Arial" w:cs="Arial"/>
          <w:lang w:val="en-GB"/>
        </w:rPr>
        <w:t>.</w:t>
      </w:r>
      <w:r w:rsidRPr="0023349A">
        <w:rPr>
          <w:rFonts w:ascii="Arial" w:hAnsi="Arial" w:cs="Arial"/>
          <w:lang w:val="en-GB"/>
        </w:rPr>
        <w:t xml:space="preserve"> (1994)</w:t>
      </w:r>
      <w:r w:rsidR="00035FE4">
        <w:rPr>
          <w:rFonts w:ascii="Arial" w:hAnsi="Arial" w:cs="Arial"/>
          <w:lang w:val="en-GB"/>
        </w:rPr>
        <w:t>.</w:t>
      </w:r>
      <w:r w:rsidRPr="0023349A">
        <w:rPr>
          <w:rFonts w:ascii="Arial" w:hAnsi="Arial" w:cs="Arial"/>
          <w:lang w:val="en-GB"/>
        </w:rPr>
        <w:t xml:space="preserve"> Modelling potential crop growth processes. Kluwer Academic Publishers</w:t>
      </w:r>
      <w:r w:rsidR="00035FE4">
        <w:rPr>
          <w:rFonts w:ascii="Arial" w:hAnsi="Arial" w:cs="Arial"/>
          <w:lang w:val="en-GB"/>
        </w:rPr>
        <w:t xml:space="preserve">, </w:t>
      </w:r>
      <w:r w:rsidR="00035FE4" w:rsidRPr="00035FE4">
        <w:rPr>
          <w:rFonts w:ascii="Arial" w:hAnsi="Arial" w:cs="Arial"/>
          <w:lang w:val="en-GB"/>
        </w:rPr>
        <w:t xml:space="preserve">Dordrecht. </w:t>
      </w:r>
      <w:hyperlink r:id="rId29" w:history="1">
        <w:r w:rsidR="00035FE4" w:rsidRPr="00495E79">
          <w:rPr>
            <w:rStyle w:val="Hyperlink"/>
            <w:rFonts w:ascii="Arial" w:hAnsi="Arial" w:cs="Arial"/>
            <w:lang w:val="en-GB"/>
          </w:rPr>
          <w:t>https://doi.org/10.1007/978-94-011-0750-1</w:t>
        </w:r>
      </w:hyperlink>
      <w:r w:rsidR="00035FE4">
        <w:rPr>
          <w:rFonts w:ascii="Arial" w:hAnsi="Arial" w:cs="Arial"/>
          <w:lang w:val="en-GB"/>
        </w:rPr>
        <w:t xml:space="preserve">. </w:t>
      </w:r>
    </w:p>
    <w:p w14:paraId="26DD3F56" w14:textId="157C34A7" w:rsidR="0023349A" w:rsidRPr="0023349A" w:rsidRDefault="0023349A" w:rsidP="0023349A">
      <w:pPr>
        <w:numPr>
          <w:ilvl w:val="0"/>
          <w:numId w:val="2"/>
        </w:numPr>
        <w:spacing w:before="240"/>
        <w:rPr>
          <w:rFonts w:ascii="Arial" w:hAnsi="Arial" w:cs="Arial"/>
          <w:lang w:val="en-GB"/>
        </w:rPr>
      </w:pPr>
      <w:r w:rsidRPr="0023349A">
        <w:rPr>
          <w:rFonts w:ascii="Arial" w:hAnsi="Arial" w:cs="Arial"/>
          <w:lang w:val="en-GB"/>
        </w:rPr>
        <w:t>Ritchie</w:t>
      </w:r>
      <w:r w:rsidR="00035FE4">
        <w:rPr>
          <w:rFonts w:ascii="Arial" w:hAnsi="Arial" w:cs="Arial"/>
          <w:lang w:val="en-GB"/>
        </w:rPr>
        <w:t>,</w:t>
      </w:r>
      <w:r w:rsidRPr="0023349A">
        <w:rPr>
          <w:rFonts w:ascii="Arial" w:hAnsi="Arial" w:cs="Arial"/>
          <w:lang w:val="en-GB"/>
        </w:rPr>
        <w:t xml:space="preserve"> J</w:t>
      </w:r>
      <w:r w:rsidR="00035FE4">
        <w:rPr>
          <w:rFonts w:ascii="Arial" w:hAnsi="Arial" w:cs="Arial"/>
          <w:lang w:val="en-GB"/>
        </w:rPr>
        <w:t xml:space="preserve">. </w:t>
      </w:r>
      <w:r w:rsidRPr="0023349A">
        <w:rPr>
          <w:rFonts w:ascii="Arial" w:hAnsi="Arial" w:cs="Arial"/>
          <w:lang w:val="en-GB"/>
        </w:rPr>
        <w:t>T</w:t>
      </w:r>
      <w:r w:rsidR="00035FE4">
        <w:rPr>
          <w:rFonts w:ascii="Arial" w:hAnsi="Arial" w:cs="Arial"/>
          <w:lang w:val="en-GB"/>
        </w:rPr>
        <w:t>.</w:t>
      </w:r>
      <w:r w:rsidRPr="0023349A">
        <w:rPr>
          <w:rFonts w:ascii="Arial" w:hAnsi="Arial" w:cs="Arial"/>
          <w:lang w:val="en-GB"/>
        </w:rPr>
        <w:t xml:space="preserve"> (1985)</w:t>
      </w:r>
      <w:r w:rsidR="00035FE4">
        <w:rPr>
          <w:rFonts w:ascii="Arial" w:hAnsi="Arial" w:cs="Arial"/>
          <w:lang w:val="en-GB"/>
        </w:rPr>
        <w:t>.</w:t>
      </w:r>
      <w:r w:rsidRPr="0023349A">
        <w:rPr>
          <w:rFonts w:ascii="Arial" w:hAnsi="Arial" w:cs="Arial"/>
          <w:lang w:val="en-GB"/>
        </w:rPr>
        <w:t xml:space="preserve"> </w:t>
      </w:r>
      <w:proofErr w:type="spellStart"/>
      <w:r w:rsidRPr="0023349A">
        <w:rPr>
          <w:rFonts w:ascii="Arial" w:hAnsi="Arial" w:cs="Arial"/>
          <w:lang w:val="en-GB"/>
        </w:rPr>
        <w:t>Modeling</w:t>
      </w:r>
      <w:proofErr w:type="spellEnd"/>
      <w:r w:rsidRPr="0023349A">
        <w:rPr>
          <w:rFonts w:ascii="Arial" w:hAnsi="Arial" w:cs="Arial"/>
          <w:lang w:val="en-GB"/>
        </w:rPr>
        <w:t xml:space="preserve"> the effects of temperature and daylength on crop development. In: Crop </w:t>
      </w:r>
      <w:r w:rsidR="00035FE4">
        <w:rPr>
          <w:rFonts w:ascii="Arial" w:hAnsi="Arial" w:cs="Arial"/>
          <w:lang w:val="en-GB"/>
        </w:rPr>
        <w:t>M</w:t>
      </w:r>
      <w:r w:rsidR="00035FE4" w:rsidRPr="0023349A">
        <w:rPr>
          <w:rFonts w:ascii="Arial" w:hAnsi="Arial" w:cs="Arial"/>
          <w:lang w:val="en-GB"/>
        </w:rPr>
        <w:t>odelling</w:t>
      </w:r>
      <w:r w:rsidRPr="0023349A">
        <w:rPr>
          <w:rFonts w:ascii="Arial" w:hAnsi="Arial" w:cs="Arial"/>
          <w:lang w:val="en-GB"/>
        </w:rPr>
        <w:t xml:space="preserve"> and </w:t>
      </w:r>
      <w:r w:rsidR="00035FE4">
        <w:rPr>
          <w:rFonts w:ascii="Arial" w:hAnsi="Arial" w:cs="Arial"/>
          <w:lang w:val="en-GB"/>
        </w:rPr>
        <w:t>S</w:t>
      </w:r>
      <w:r w:rsidRPr="0023349A">
        <w:rPr>
          <w:rFonts w:ascii="Arial" w:hAnsi="Arial" w:cs="Arial"/>
          <w:lang w:val="en-GB"/>
        </w:rPr>
        <w:t>imulation. Springer, pp 53–73</w:t>
      </w:r>
    </w:p>
    <w:sectPr w:rsidR="0023349A" w:rsidRPr="0023349A" w:rsidSect="000A2443">
      <w:headerReference w:type="even" r:id="rId30"/>
      <w:headerReference w:type="default" r:id="rId31"/>
      <w:footerReference w:type="default" r:id="rId32"/>
      <w:headerReference w:type="first" r:id="rId3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E48C1A" w14:textId="77777777" w:rsidR="001A15AA" w:rsidRDefault="001A15AA">
      <w:r>
        <w:separator/>
      </w:r>
    </w:p>
  </w:endnote>
  <w:endnote w:type="continuationSeparator" w:id="0">
    <w:p w14:paraId="3832E9C4" w14:textId="77777777" w:rsidR="001A15AA" w:rsidRDefault="001A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aavi">
    <w:altName w:val="Raavi"/>
    <w:panose1 w:val="02000500000000000000"/>
    <w:charset w:val="00"/>
    <w:family w:val="swiss"/>
    <w:pitch w:val="variable"/>
    <w:sig w:usb0="0002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53C01" w14:textId="77777777" w:rsidR="001A1461" w:rsidRDefault="001A14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E1705" w14:textId="77777777" w:rsidR="001A1461" w:rsidRDefault="001A14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1062A" w14:textId="77777777" w:rsidR="00FB6591" w:rsidRDefault="00FB6591">
    <w:pPr>
      <w:pStyle w:val="Footer"/>
      <w:rPr>
        <w:rFonts w:ascii="Arial" w:hAnsi="Arial" w:cs="Arial"/>
        <w:sz w:val="16"/>
      </w:rPr>
    </w:pPr>
  </w:p>
  <w:p w14:paraId="753635DF" w14:textId="77777777" w:rsidR="00FB6591" w:rsidRDefault="001A15AA" w:rsidP="009E048A">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3BBDAA31" w14:textId="77777777" w:rsidR="00FB6591" w:rsidRDefault="00FB6591">
    <w:pPr>
      <w:pStyle w:val="Footer"/>
      <w:rPr>
        <w:rFonts w:ascii="Arial" w:hAnsi="Arial" w:cs="Arial"/>
        <w:sz w:val="16"/>
      </w:rPr>
    </w:pPr>
  </w:p>
  <w:p w14:paraId="7636EF24" w14:textId="77777777" w:rsidR="00FB6591" w:rsidRPr="009E048A" w:rsidRDefault="001A15AA">
    <w:pPr>
      <w:pStyle w:val="Footer"/>
      <w:rPr>
        <w:rFonts w:ascii="Arial" w:hAnsi="Arial" w:cs="Arial"/>
        <w:i/>
        <w:sz w:val="16"/>
      </w:rPr>
    </w:pPr>
    <w:r w:rsidRPr="009E048A">
      <w:rPr>
        <w:rFonts w:ascii="Arial" w:hAnsi="Arial" w:cs="Arial"/>
        <w:i/>
        <w:sz w:val="16"/>
      </w:rPr>
      <w:t>*Corresponding author:</w:t>
    </w:r>
    <w:r w:rsidRPr="009E048A">
      <w:rPr>
        <w:rFonts w:ascii="Arial" w:hAnsi="Arial" w:cs="Arial"/>
        <w:i/>
        <w:sz w:val="16"/>
      </w:rPr>
      <w:t xml:space="preserve">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51B59" w14:textId="77777777" w:rsidR="00FB6591" w:rsidRPr="00C37E61" w:rsidRDefault="00FB659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B4DC3" w14:textId="77777777" w:rsidR="001A15AA" w:rsidRDefault="001A15AA">
      <w:r>
        <w:separator/>
      </w:r>
    </w:p>
  </w:footnote>
  <w:footnote w:type="continuationSeparator" w:id="0">
    <w:p w14:paraId="28BD35CA" w14:textId="77777777" w:rsidR="001A15AA" w:rsidRDefault="001A1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B0DF3" w14:textId="11096D0F" w:rsidR="001A1461" w:rsidRDefault="001A1461">
    <w:pPr>
      <w:pStyle w:val="Header"/>
    </w:pPr>
    <w:r>
      <w:rPr>
        <w:noProof/>
      </w:rPr>
      <w:pict w14:anchorId="637B6CC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10493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A25EA" w14:textId="4E13DF28" w:rsidR="001A1461" w:rsidRDefault="001A1461">
    <w:pPr>
      <w:pStyle w:val="Header"/>
    </w:pPr>
    <w:r>
      <w:rPr>
        <w:noProof/>
      </w:rPr>
      <w:pict w14:anchorId="28EE03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10493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DF1E3" w14:textId="4AA6D9DD" w:rsidR="00FB6591" w:rsidRPr="00296529" w:rsidRDefault="001A1461" w:rsidP="00296529">
    <w:pPr>
      <w:ind w:left="2160"/>
      <w:jc w:val="center"/>
      <w:rPr>
        <w:rFonts w:ascii="Times New Roman" w:eastAsia="Calibri" w:hAnsi="Times New Roman"/>
        <w:i/>
        <w:sz w:val="18"/>
        <w:szCs w:val="22"/>
      </w:rPr>
    </w:pPr>
    <w:r>
      <w:rPr>
        <w:noProof/>
      </w:rPr>
      <w:pict w14:anchorId="2D810B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10493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185824F" w14:textId="77777777" w:rsidR="00FB6591" w:rsidRPr="00296529" w:rsidRDefault="001A15AA"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49E4D94E" w14:textId="77777777" w:rsidR="00FB6591" w:rsidRPr="00296529" w:rsidRDefault="001A15A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B715F8C" w14:textId="77777777" w:rsidR="00FB6591" w:rsidRPr="00296529" w:rsidRDefault="001A15AA"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776B725F" w14:textId="77777777" w:rsidR="00FB6591" w:rsidRDefault="001A15AA"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00F91BB" w14:textId="77777777" w:rsidR="00FB6591" w:rsidRDefault="001A15AA"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056B071" w14:textId="77777777" w:rsidR="00FB6591" w:rsidRDefault="001A15A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64530" w14:textId="404DEEBB" w:rsidR="001A1461" w:rsidRDefault="001A1461">
    <w:pPr>
      <w:pStyle w:val="Header"/>
    </w:pPr>
    <w:r>
      <w:rPr>
        <w:noProof/>
      </w:rPr>
      <w:pict w14:anchorId="2A19F1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104941"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D5E8C" w14:textId="4DC17CEE" w:rsidR="001A1461" w:rsidRDefault="001A1461">
    <w:pPr>
      <w:pStyle w:val="Header"/>
    </w:pPr>
    <w:r>
      <w:rPr>
        <w:noProof/>
      </w:rPr>
      <w:pict w14:anchorId="29200D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104942"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58FAE" w14:textId="5F3B4F00" w:rsidR="001A1461" w:rsidRDefault="001A1461">
    <w:pPr>
      <w:pStyle w:val="Header"/>
    </w:pPr>
    <w:r>
      <w:rPr>
        <w:noProof/>
      </w:rPr>
      <w:pict w14:anchorId="35C846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2104940"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092771"/>
    <w:multiLevelType w:val="multilevel"/>
    <w:tmpl w:val="9DB0E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82B66D5"/>
    <w:multiLevelType w:val="multilevel"/>
    <w:tmpl w:val="A9BE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49A"/>
    <w:rsid w:val="000120E7"/>
    <w:rsid w:val="00035FE4"/>
    <w:rsid w:val="0005591D"/>
    <w:rsid w:val="000A2443"/>
    <w:rsid w:val="001A1461"/>
    <w:rsid w:val="001A15AA"/>
    <w:rsid w:val="0023349A"/>
    <w:rsid w:val="004627E1"/>
    <w:rsid w:val="006236A0"/>
    <w:rsid w:val="00860266"/>
    <w:rsid w:val="00882551"/>
    <w:rsid w:val="00A07619"/>
    <w:rsid w:val="00BF71EA"/>
    <w:rsid w:val="00C6422C"/>
    <w:rsid w:val="00CA689E"/>
    <w:rsid w:val="00DF1D21"/>
    <w:rsid w:val="00E74FED"/>
    <w:rsid w:val="00FB6591"/>
    <w:rsid w:val="00FD4C87"/>
  </w:rsids>
  <m:mathPr>
    <m:mathFont m:val="Cambria Math"/>
    <m:brkBin m:val="before"/>
    <m:brkBinSub m:val="--"/>
    <m:smallFrac m:val="0"/>
    <m:dispDef/>
    <m:lMargin m:val="0"/>
    <m:rMargin m:val="0"/>
    <m:defJc m:val="centerGroup"/>
    <m:wrapIndent m:val="1440"/>
    <m:intLim m:val="subSup"/>
    <m:naryLim m:val="undOvr"/>
  </m:mathPr>
  <w:themeFontLang w:val="en-GB" w:bidi="pa-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ECF29DB"/>
  <w15:chartTrackingRefBased/>
  <w15:docId w15:val="{D6A07410-A1E3-49A4-8F9C-D72C2D530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pa-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349A"/>
    <w:pPr>
      <w:spacing w:after="0" w:line="240" w:lineRule="auto"/>
    </w:pPr>
    <w:rPr>
      <w:rFonts w:ascii="Helvetica" w:eastAsia="Times New Roman" w:hAnsi="Helvetica" w:cs="Times New Roman"/>
      <w:sz w:val="20"/>
      <w:szCs w:val="20"/>
      <w:lang w:val="en-US" w:bidi="ar-SA"/>
    </w:rPr>
  </w:style>
  <w:style w:type="paragraph" w:styleId="Heading1">
    <w:name w:val="heading 1"/>
    <w:basedOn w:val="Normal"/>
    <w:next w:val="Normal"/>
    <w:link w:val="Heading1Char"/>
    <w:uiPriority w:val="9"/>
    <w:qFormat/>
    <w:rsid w:val="002334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34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34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34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34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349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349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349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349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4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34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34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34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34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34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34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34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349A"/>
    <w:rPr>
      <w:rFonts w:eastAsiaTheme="majorEastAsia" w:cstheme="majorBidi"/>
      <w:color w:val="272727" w:themeColor="text1" w:themeTint="D8"/>
    </w:rPr>
  </w:style>
  <w:style w:type="paragraph" w:styleId="Title">
    <w:name w:val="Title"/>
    <w:basedOn w:val="Normal"/>
    <w:next w:val="Normal"/>
    <w:link w:val="TitleChar"/>
    <w:qFormat/>
    <w:rsid w:val="0023349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34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34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34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349A"/>
    <w:pPr>
      <w:spacing w:before="160"/>
      <w:jc w:val="center"/>
    </w:pPr>
    <w:rPr>
      <w:i/>
      <w:iCs/>
      <w:color w:val="404040" w:themeColor="text1" w:themeTint="BF"/>
    </w:rPr>
  </w:style>
  <w:style w:type="character" w:customStyle="1" w:styleId="QuoteChar">
    <w:name w:val="Quote Char"/>
    <w:basedOn w:val="DefaultParagraphFont"/>
    <w:link w:val="Quote"/>
    <w:uiPriority w:val="29"/>
    <w:rsid w:val="0023349A"/>
    <w:rPr>
      <w:rFonts w:cs="Raavi"/>
      <w:i/>
      <w:iCs/>
      <w:color w:val="404040" w:themeColor="text1" w:themeTint="BF"/>
    </w:rPr>
  </w:style>
  <w:style w:type="paragraph" w:styleId="ListParagraph">
    <w:name w:val="List Paragraph"/>
    <w:basedOn w:val="Normal"/>
    <w:uiPriority w:val="34"/>
    <w:qFormat/>
    <w:rsid w:val="0023349A"/>
    <w:pPr>
      <w:ind w:left="720"/>
      <w:contextualSpacing/>
    </w:pPr>
  </w:style>
  <w:style w:type="character" w:styleId="IntenseEmphasis">
    <w:name w:val="Intense Emphasis"/>
    <w:basedOn w:val="DefaultParagraphFont"/>
    <w:uiPriority w:val="21"/>
    <w:qFormat/>
    <w:rsid w:val="0023349A"/>
    <w:rPr>
      <w:i/>
      <w:iCs/>
      <w:color w:val="2F5496" w:themeColor="accent1" w:themeShade="BF"/>
    </w:rPr>
  </w:style>
  <w:style w:type="paragraph" w:styleId="IntenseQuote">
    <w:name w:val="Intense Quote"/>
    <w:basedOn w:val="Normal"/>
    <w:next w:val="Normal"/>
    <w:link w:val="IntenseQuoteChar"/>
    <w:uiPriority w:val="30"/>
    <w:qFormat/>
    <w:rsid w:val="002334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349A"/>
    <w:rPr>
      <w:rFonts w:cs="Raavi"/>
      <w:i/>
      <w:iCs/>
      <w:color w:val="2F5496" w:themeColor="accent1" w:themeShade="BF"/>
    </w:rPr>
  </w:style>
  <w:style w:type="character" w:styleId="IntenseReference">
    <w:name w:val="Intense Reference"/>
    <w:basedOn w:val="DefaultParagraphFont"/>
    <w:uiPriority w:val="32"/>
    <w:qFormat/>
    <w:rsid w:val="0023349A"/>
    <w:rPr>
      <w:b/>
      <w:bCs/>
      <w:smallCaps/>
      <w:color w:val="2F5496" w:themeColor="accent1" w:themeShade="BF"/>
      <w:spacing w:val="5"/>
    </w:rPr>
  </w:style>
  <w:style w:type="paragraph" w:customStyle="1" w:styleId="Author">
    <w:name w:val="Author"/>
    <w:basedOn w:val="Normal"/>
    <w:rsid w:val="0023349A"/>
    <w:pPr>
      <w:spacing w:line="280" w:lineRule="exact"/>
      <w:jc w:val="right"/>
    </w:pPr>
    <w:rPr>
      <w:b/>
      <w:sz w:val="24"/>
    </w:rPr>
  </w:style>
  <w:style w:type="paragraph" w:customStyle="1" w:styleId="Affiliation">
    <w:name w:val="Affiliation"/>
    <w:basedOn w:val="Normal"/>
    <w:rsid w:val="0023349A"/>
    <w:pPr>
      <w:spacing w:after="240" w:line="240" w:lineRule="exact"/>
      <w:jc w:val="right"/>
    </w:pPr>
  </w:style>
  <w:style w:type="paragraph" w:customStyle="1" w:styleId="Body">
    <w:name w:val="Body"/>
    <w:basedOn w:val="Normal"/>
    <w:rsid w:val="0023349A"/>
    <w:pPr>
      <w:spacing w:after="240"/>
      <w:jc w:val="both"/>
    </w:pPr>
  </w:style>
  <w:style w:type="paragraph" w:customStyle="1" w:styleId="AbstHead">
    <w:name w:val="Abst Head"/>
    <w:basedOn w:val="Normal"/>
    <w:rsid w:val="0023349A"/>
    <w:pPr>
      <w:keepNext/>
      <w:spacing w:after="240"/>
    </w:pPr>
    <w:rPr>
      <w:b/>
      <w:caps/>
      <w:sz w:val="22"/>
    </w:rPr>
  </w:style>
  <w:style w:type="paragraph" w:customStyle="1" w:styleId="ConcHead">
    <w:name w:val="Conc Head"/>
    <w:basedOn w:val="Normal"/>
    <w:rsid w:val="0023349A"/>
    <w:pPr>
      <w:keepNext/>
      <w:spacing w:after="240"/>
    </w:pPr>
    <w:rPr>
      <w:b/>
      <w:caps/>
      <w:sz w:val="22"/>
    </w:rPr>
  </w:style>
  <w:style w:type="paragraph" w:customStyle="1" w:styleId="ReferHead">
    <w:name w:val="Refer Head"/>
    <w:basedOn w:val="Normal"/>
    <w:rsid w:val="0023349A"/>
    <w:pPr>
      <w:keepNext/>
      <w:spacing w:after="240"/>
    </w:pPr>
    <w:rPr>
      <w:b/>
      <w:caps/>
      <w:sz w:val="22"/>
    </w:rPr>
  </w:style>
  <w:style w:type="paragraph" w:customStyle="1" w:styleId="Copyright">
    <w:name w:val="Copyright"/>
    <w:basedOn w:val="Normal"/>
    <w:rsid w:val="0023349A"/>
    <w:pPr>
      <w:spacing w:after="960" w:line="200" w:lineRule="exact"/>
    </w:pPr>
    <w:rPr>
      <w:sz w:val="16"/>
    </w:rPr>
  </w:style>
  <w:style w:type="paragraph" w:customStyle="1" w:styleId="Head1">
    <w:name w:val="Head1"/>
    <w:basedOn w:val="Normal"/>
    <w:rsid w:val="0023349A"/>
    <w:pPr>
      <w:keepNext/>
      <w:spacing w:after="240"/>
    </w:pPr>
    <w:rPr>
      <w:b/>
      <w:caps/>
      <w:sz w:val="22"/>
    </w:rPr>
  </w:style>
  <w:style w:type="paragraph" w:styleId="Footer">
    <w:name w:val="footer"/>
    <w:basedOn w:val="Normal"/>
    <w:link w:val="FooterChar"/>
    <w:rsid w:val="0023349A"/>
    <w:pPr>
      <w:tabs>
        <w:tab w:val="center" w:pos="4320"/>
        <w:tab w:val="right" w:pos="8640"/>
      </w:tabs>
    </w:pPr>
  </w:style>
  <w:style w:type="character" w:customStyle="1" w:styleId="FooterChar">
    <w:name w:val="Footer Char"/>
    <w:basedOn w:val="DefaultParagraphFont"/>
    <w:link w:val="Footer"/>
    <w:rsid w:val="0023349A"/>
    <w:rPr>
      <w:rFonts w:ascii="Helvetica" w:eastAsia="Times New Roman" w:hAnsi="Helvetica" w:cs="Times New Roman"/>
      <w:sz w:val="20"/>
      <w:szCs w:val="20"/>
      <w:lang w:val="en-US" w:bidi="ar-SA"/>
    </w:rPr>
  </w:style>
  <w:style w:type="paragraph" w:styleId="Header">
    <w:name w:val="header"/>
    <w:basedOn w:val="Normal"/>
    <w:link w:val="HeaderChar"/>
    <w:rsid w:val="0023349A"/>
    <w:pPr>
      <w:tabs>
        <w:tab w:val="center" w:pos="4320"/>
        <w:tab w:val="right" w:pos="8640"/>
      </w:tabs>
    </w:pPr>
  </w:style>
  <w:style w:type="character" w:customStyle="1" w:styleId="HeaderChar">
    <w:name w:val="Header Char"/>
    <w:basedOn w:val="DefaultParagraphFont"/>
    <w:link w:val="Header"/>
    <w:rsid w:val="0023349A"/>
    <w:rPr>
      <w:rFonts w:ascii="Helvetica" w:eastAsia="Times New Roman" w:hAnsi="Helvetica" w:cs="Times New Roman"/>
      <w:sz w:val="20"/>
      <w:szCs w:val="20"/>
      <w:lang w:val="en-US" w:bidi="ar-SA"/>
    </w:rPr>
  </w:style>
  <w:style w:type="character" w:styleId="LineNumber">
    <w:name w:val="line number"/>
    <w:basedOn w:val="DefaultParagraphFont"/>
    <w:uiPriority w:val="99"/>
    <w:semiHidden/>
    <w:unhideWhenUsed/>
    <w:rsid w:val="0023349A"/>
  </w:style>
  <w:style w:type="character" w:styleId="Hyperlink">
    <w:name w:val="Hyperlink"/>
    <w:basedOn w:val="DefaultParagraphFont"/>
    <w:uiPriority w:val="99"/>
    <w:unhideWhenUsed/>
    <w:rsid w:val="0023349A"/>
    <w:rPr>
      <w:color w:val="0563C1" w:themeColor="hyperlink"/>
      <w:u w:val="single"/>
    </w:rPr>
  </w:style>
  <w:style w:type="character" w:styleId="UnresolvedMention">
    <w:name w:val="Unresolved Mention"/>
    <w:basedOn w:val="DefaultParagraphFont"/>
    <w:uiPriority w:val="99"/>
    <w:semiHidden/>
    <w:unhideWhenUsed/>
    <w:rsid w:val="0023349A"/>
    <w:rPr>
      <w:color w:val="605E5C"/>
      <w:shd w:val="clear" w:color="auto" w:fill="E1DFDD"/>
    </w:rPr>
  </w:style>
  <w:style w:type="paragraph" w:styleId="NormalWeb">
    <w:name w:val="Normal (Web)"/>
    <w:basedOn w:val="Normal"/>
    <w:uiPriority w:val="99"/>
    <w:semiHidden/>
    <w:unhideWhenUsed/>
    <w:rsid w:val="00035FE4"/>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859380">
      <w:bodyDiv w:val="1"/>
      <w:marLeft w:val="0"/>
      <w:marRight w:val="0"/>
      <w:marTop w:val="0"/>
      <w:marBottom w:val="0"/>
      <w:divBdr>
        <w:top w:val="none" w:sz="0" w:space="0" w:color="auto"/>
        <w:left w:val="none" w:sz="0" w:space="0" w:color="auto"/>
        <w:bottom w:val="none" w:sz="0" w:space="0" w:color="auto"/>
        <w:right w:val="none" w:sz="0" w:space="0" w:color="auto"/>
      </w:divBdr>
    </w:div>
    <w:div w:id="649021435">
      <w:bodyDiv w:val="1"/>
      <w:marLeft w:val="0"/>
      <w:marRight w:val="0"/>
      <w:marTop w:val="0"/>
      <w:marBottom w:val="0"/>
      <w:divBdr>
        <w:top w:val="none" w:sz="0" w:space="0" w:color="auto"/>
        <w:left w:val="none" w:sz="0" w:space="0" w:color="auto"/>
        <w:bottom w:val="none" w:sz="0" w:space="0" w:color="auto"/>
        <w:right w:val="none" w:sz="0" w:space="0" w:color="auto"/>
      </w:divBdr>
    </w:div>
    <w:div w:id="1022978236">
      <w:bodyDiv w:val="1"/>
      <w:marLeft w:val="0"/>
      <w:marRight w:val="0"/>
      <w:marTop w:val="0"/>
      <w:marBottom w:val="0"/>
      <w:divBdr>
        <w:top w:val="none" w:sz="0" w:space="0" w:color="auto"/>
        <w:left w:val="none" w:sz="0" w:space="0" w:color="auto"/>
        <w:bottom w:val="none" w:sz="0" w:space="0" w:color="auto"/>
        <w:right w:val="none" w:sz="0" w:space="0" w:color="auto"/>
      </w:divBdr>
    </w:div>
    <w:div w:id="1760441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hyperlink" Target="https://doi.org/10.1007/s10584-021-03014-8" TargetMode="External"/><Relationship Id="rId3" Type="http://schemas.openxmlformats.org/officeDocument/2006/relationships/settings" Target="settings.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eader" Target="header6.xm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hyperlink" Target="https://doi.org/10.1007/978-94-011-075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12.png"/><Relationship Id="rId32"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yperlink" Target="https://doi.org/10.1088/1748-9326/ac4e16" TargetMode="External"/><Relationship Id="rId10" Type="http://schemas.openxmlformats.org/officeDocument/2006/relationships/footer" Target="footer2.xml"/><Relationship Id="rId19" Type="http://schemas.openxmlformats.org/officeDocument/2006/relationships/image" Target="media/image7.png"/><Relationship Id="rId31"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yperlink" Target="https://doi.org/10.1016/j.agrformet.2021.108545" TargetMode="External"/><Relationship Id="rId30" Type="http://schemas.openxmlformats.org/officeDocument/2006/relationships/header" Target="header4.xml"/><Relationship Id="rId35" Type="http://schemas.openxmlformats.org/officeDocument/2006/relationships/theme" Target="theme/theme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11</Pages>
  <Words>3502</Words>
  <Characters>19967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Harvinder Singh Chahal</dc:creator>
  <cp:keywords/>
  <dc:description/>
  <cp:lastModifiedBy>SDI 1084</cp:lastModifiedBy>
  <cp:revision>12</cp:revision>
  <dcterms:created xsi:type="dcterms:W3CDTF">2025-05-25T01:26:00Z</dcterms:created>
  <dcterms:modified xsi:type="dcterms:W3CDTF">2025-05-26T09:51:00Z</dcterms:modified>
</cp:coreProperties>
</file>