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36CDB45C" w:rsidR="000763D2" w:rsidRDefault="000763D2" w:rsidP="000763D2">
      <w:pPr>
        <w:pStyle w:val="Author"/>
        <w:spacing w:line="240" w:lineRule="auto"/>
        <w:jc w:val="left"/>
        <w:rPr>
          <w:rFonts w:ascii="Arial" w:hAnsi="Arial" w:cs="Arial"/>
          <w:bCs/>
          <w:iCs/>
          <w:kern w:val="28"/>
          <w:szCs w:val="24"/>
        </w:rPr>
      </w:pPr>
      <w:bookmarkStart w:id="0" w:name="_GoBack"/>
      <w:bookmarkEnd w:id="0"/>
      <w:r w:rsidRPr="00303AA8">
        <w:rPr>
          <w:rFonts w:ascii="Arial" w:hAnsi="Arial" w:cs="Arial"/>
          <w:bCs/>
          <w:iCs/>
          <w:kern w:val="28"/>
          <w:szCs w:val="24"/>
        </w:rPr>
        <w:t>Original Research Article</w:t>
      </w:r>
    </w:p>
    <w:p w14:paraId="0C8D0175" w14:textId="77777777" w:rsidR="00EE3CA6" w:rsidRDefault="00EE3CA6" w:rsidP="000763D2">
      <w:pPr>
        <w:pStyle w:val="Author"/>
        <w:spacing w:line="240" w:lineRule="auto"/>
        <w:jc w:val="left"/>
        <w:rPr>
          <w:rFonts w:ascii="Arial" w:hAnsi="Arial" w:cs="Arial"/>
          <w:bCs/>
          <w:iCs/>
          <w:kern w:val="28"/>
          <w:szCs w:val="24"/>
        </w:rPr>
      </w:pPr>
    </w:p>
    <w:p w14:paraId="5156F3A4" w14:textId="68DA0DD8" w:rsidR="00DC6EF2" w:rsidRDefault="0053650D" w:rsidP="00B0064D">
      <w:pPr>
        <w:jc w:val="right"/>
        <w:rPr>
          <w:rFonts w:ascii="Arial" w:hAnsi="Arial" w:cs="Arial"/>
          <w:b/>
          <w:noProof/>
          <w:sz w:val="28"/>
          <w:szCs w:val="28"/>
          <w:lang w:val="en-PH" w:eastAsia="en-PH"/>
        </w:rPr>
      </w:pPr>
      <w:r>
        <w:rPr>
          <w:rFonts w:ascii="Arial" w:hAnsi="Arial" w:cs="Arial"/>
          <w:b/>
          <w:noProof/>
          <w:sz w:val="28"/>
          <w:szCs w:val="28"/>
          <w:lang w:val="en-PH" w:eastAsia="en-PH"/>
        </w:rPr>
        <w:t>PROFESSIONAL PREPARATION AND CURRICULUM ASSESSMENT OF PUBLIC SECONDARY SCHOOL TEACHERS IN THE K-12 EDUCATION CONTEXT</w:t>
      </w:r>
    </w:p>
    <w:p w14:paraId="1052102E" w14:textId="77777777" w:rsidR="00EE3CA6" w:rsidRDefault="00EE3CA6" w:rsidP="00B0064D">
      <w:pPr>
        <w:jc w:val="right"/>
        <w:rPr>
          <w:rFonts w:ascii="Arial" w:hAnsi="Arial" w:cs="Arial"/>
          <w:b/>
          <w:noProof/>
          <w:sz w:val="28"/>
          <w:szCs w:val="28"/>
          <w:lang w:val="en-PH" w:eastAsia="en-PH"/>
        </w:rPr>
      </w:pPr>
    </w:p>
    <w:p w14:paraId="46B3DCDD" w14:textId="6B0BE087" w:rsidR="00717F2E" w:rsidRDefault="00C15740" w:rsidP="001E60EF">
      <w:pPr>
        <w:ind w:left="2880"/>
        <w:rPr>
          <w:rFonts w:ascii="Arial" w:hAnsi="Arial" w:cs="Arial"/>
          <w:i/>
        </w:rPr>
        <w:sectPr w:rsidR="00717F2E" w:rsidSect="005940E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 xml:space="preserve">          </w:t>
      </w:r>
      <w:r w:rsidR="007632DC">
        <w:rPr>
          <w:rFonts w:ascii="Arial" w:hAnsi="Arial" w:cs="Arial"/>
        </w:rPr>
        <w:t xml:space="preserve">        </w:t>
      </w:r>
      <w:r>
        <w:rPr>
          <w:rFonts w:ascii="Arial" w:hAnsi="Arial" w:cs="Arial"/>
        </w:rPr>
        <w:t xml:space="preserve">  </w:t>
      </w:r>
      <w:r w:rsidR="0053650D">
        <w:rPr>
          <w:rFonts w:ascii="Arial" w:hAnsi="Arial" w:cs="Arial"/>
        </w:rPr>
        <w:tab/>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F46CE3B" w:rsidR="00717F2E" w:rsidRPr="000763D2" w:rsidRDefault="0053650D" w:rsidP="00896129">
            <w:pPr>
              <w:jc w:val="both"/>
              <w:rPr>
                <w:rFonts w:ascii="Arial" w:hAnsi="Arial" w:cs="Arial"/>
                <w:iCs/>
              </w:rPr>
            </w:pPr>
            <w:r w:rsidRPr="0053650D">
              <w:rPr>
                <w:rFonts w:ascii="Arial" w:hAnsi="Arial" w:cs="Arial"/>
                <w:iCs/>
              </w:rPr>
              <w:t>This study aimed to investigate the relationship between professional preparation and curriculum assessment among public elementary school teachers in the K-12 education system in Mati Central District, Division of Mati City. A descriptive-correlational research design was employed, involving a sample of 171 teachers from various public elementary schools in Mati Central District, Division of Mati City. Data were collected using standardized questionnaires administered through face-to-face surveys. The data were analyzed using mean, standard deviation (SD), Pearson product-moment correlation, and multiple linear regression techniques. The results indicated that professional preparation was at a very extensive level, while curriculum assessment was at an extensive level among the teachers. Correlation analysis revealed a significant relationship between professional preparation and curriculum assessment. In particular, the domains of professional preparation planning, executing, and evaluating were found to significantly influence the way teachers assessed the curriculum. Based on these findings, it is recommended that school administrators focus on strengthening these domains of professional preparation by providing professional development opportunities that emphasize the planning, execution, and evaluation of curricula. By enhancing teachers’ skills in these key areas, they will be better equipped to assess and adjust the curriculum effectively, ensuring that the K-12 education system remains responsive to students’ evolving needs.</w:t>
            </w:r>
          </w:p>
        </w:tc>
      </w:tr>
    </w:tbl>
    <w:p w14:paraId="175A3F79" w14:textId="77777777" w:rsidR="00717F2E" w:rsidRDefault="00717F2E">
      <w:pPr>
        <w:pStyle w:val="Body"/>
        <w:spacing w:after="0"/>
        <w:rPr>
          <w:rFonts w:ascii="Arial" w:hAnsi="Arial" w:cs="Arial"/>
          <w:i/>
        </w:rPr>
      </w:pPr>
    </w:p>
    <w:p w14:paraId="63DA1D4D" w14:textId="437DFAC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53650D" w:rsidRPr="0053650D">
        <w:rPr>
          <w:rFonts w:ascii="Arial" w:hAnsi="Arial" w:cs="Arial"/>
          <w:iCs/>
        </w:rPr>
        <w:t>Professional Preparation, Curriculum Assessment, Descriptive Correlational, Education, Public Elementary Schools</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137234BD" w14:textId="77777777" w:rsidR="0053650D" w:rsidRPr="0053650D" w:rsidRDefault="0053650D" w:rsidP="0053650D">
      <w:pPr>
        <w:jc w:val="both"/>
        <w:rPr>
          <w:rFonts w:ascii="Arial" w:hAnsi="Arial"/>
        </w:rPr>
      </w:pPr>
      <w:r w:rsidRPr="0053650D">
        <w:rPr>
          <w:rFonts w:ascii="Arial" w:hAnsi="Arial"/>
        </w:rPr>
        <w:t>Curriculum assessment plays a crucial role in ensuring the effectiveness of teaching and learning processes. However, poor curriculum assessment among teachers has been a persistent issue that affects educational outcomes. When teachers fail to properly assess the curriculum, they may struggle to align learning objectives with instructional strategies, leading to gaps in student achievement. Additionally, inadequate assessment methods can hinder the identification of areas that require curriculum improvements, affecting the overall quality of education. As a result, the inability to conduct effective curriculum assessments contributes to inconsistencies in educational delivery, limiting students' academic growth and preparedness for higher education or the workforce.</w:t>
      </w:r>
    </w:p>
    <w:p w14:paraId="6864D4D3" w14:textId="77777777" w:rsidR="00710AFA" w:rsidRDefault="00710AFA" w:rsidP="0053650D">
      <w:pPr>
        <w:jc w:val="both"/>
        <w:rPr>
          <w:rFonts w:ascii="Arial" w:hAnsi="Arial"/>
        </w:rPr>
      </w:pPr>
    </w:p>
    <w:p w14:paraId="1F5DF5C1" w14:textId="1E0607C5" w:rsidR="0053650D" w:rsidRPr="0053650D" w:rsidRDefault="0053650D" w:rsidP="0053650D">
      <w:pPr>
        <w:jc w:val="both"/>
        <w:rPr>
          <w:rFonts w:ascii="Arial" w:hAnsi="Arial"/>
        </w:rPr>
      </w:pPr>
      <w:r w:rsidRPr="0053650D">
        <w:rPr>
          <w:rFonts w:ascii="Arial" w:hAnsi="Arial"/>
        </w:rPr>
        <w:t>Internationally, poor curriculum assessment has been a challenge in various educational systems, particularly in developing countries. In Denmark, many teachers face difficulties in implementing effective assessment strategies due to a lack of professional training and limited access to updated educational resources (Chen et al., 2021). Research has shown that teachers in Turkey rely heavily on outdated assessment methods that do not align with modern pedagogical approaches, leading to ineffective evaluation of student learning (</w:t>
      </w:r>
      <w:proofErr w:type="spellStart"/>
      <w:r w:rsidRPr="0053650D">
        <w:rPr>
          <w:rFonts w:ascii="Arial" w:hAnsi="Arial"/>
        </w:rPr>
        <w:t>Meylani</w:t>
      </w:r>
      <w:proofErr w:type="spellEnd"/>
      <w:r w:rsidRPr="0053650D">
        <w:rPr>
          <w:rFonts w:ascii="Arial" w:hAnsi="Arial"/>
        </w:rPr>
        <w:t>, 2023). Furthermore, in Mexico, standardized testing has become the primary mode of assessment, often neglecting the importance of formative and alternative assessments that provide a more comprehensive understanding of student progress (</w:t>
      </w:r>
      <w:proofErr w:type="spellStart"/>
      <w:r w:rsidRPr="0053650D">
        <w:rPr>
          <w:rFonts w:ascii="Arial" w:hAnsi="Arial"/>
        </w:rPr>
        <w:t>Schissel</w:t>
      </w:r>
      <w:proofErr w:type="spellEnd"/>
      <w:r w:rsidRPr="0053650D">
        <w:rPr>
          <w:rFonts w:ascii="Arial" w:hAnsi="Arial"/>
        </w:rPr>
        <w:t xml:space="preserve"> et al., 2021). </w:t>
      </w:r>
    </w:p>
    <w:p w14:paraId="10CD0C05" w14:textId="77777777" w:rsidR="00710AFA" w:rsidRDefault="00710AFA" w:rsidP="0053650D">
      <w:pPr>
        <w:jc w:val="both"/>
        <w:rPr>
          <w:rFonts w:ascii="Arial" w:hAnsi="Arial"/>
        </w:rPr>
      </w:pPr>
    </w:p>
    <w:p w14:paraId="72A99E57" w14:textId="357E20C9" w:rsidR="0053650D" w:rsidRPr="0053650D" w:rsidRDefault="0053650D" w:rsidP="0053650D">
      <w:pPr>
        <w:jc w:val="both"/>
        <w:rPr>
          <w:rFonts w:ascii="Arial" w:hAnsi="Arial"/>
        </w:rPr>
      </w:pPr>
      <w:r w:rsidRPr="0053650D">
        <w:rPr>
          <w:rFonts w:ascii="Arial" w:hAnsi="Arial"/>
        </w:rPr>
        <w:t>However, professional preparation plays a crucial role in enhancing curriculum assessment among teachers (Callaway-Cole &amp; Kimble, 2021). Adequate training equips educators with the necessary skills to design, implement, and evaluate assessment strategies effectively (</w:t>
      </w:r>
      <w:r w:rsidR="00976231" w:rsidRPr="00976231">
        <w:rPr>
          <w:rFonts w:ascii="Arial" w:hAnsi="Arial"/>
        </w:rPr>
        <w:t>Bowers</w:t>
      </w:r>
      <w:r w:rsidR="00976231">
        <w:rPr>
          <w:rFonts w:ascii="Arial" w:hAnsi="Arial"/>
        </w:rPr>
        <w:t xml:space="preserve"> et al., 2022</w:t>
      </w:r>
      <w:r w:rsidRPr="0053650D">
        <w:rPr>
          <w:rFonts w:ascii="Arial" w:hAnsi="Arial"/>
        </w:rPr>
        <w:t xml:space="preserve">). Through continuous professional development, teachers gain exposure to modern assessment methodologies, ensuring that their evaluation practices align with current educational standards (Byrd &amp; Alexander, 2020). Additionally, professional preparation fosters critical thinking and adaptability, enabling teachers to tailor assessments to diverse learning needs (Doran, 2020). </w:t>
      </w:r>
    </w:p>
    <w:p w14:paraId="1A85D650" w14:textId="77777777" w:rsidR="00710AFA" w:rsidRDefault="00710AFA" w:rsidP="0053650D">
      <w:pPr>
        <w:jc w:val="both"/>
        <w:rPr>
          <w:rFonts w:ascii="Arial" w:hAnsi="Arial"/>
        </w:rPr>
      </w:pPr>
    </w:p>
    <w:p w14:paraId="702C5668" w14:textId="1A1550AE" w:rsidR="0053650D" w:rsidRPr="0053650D" w:rsidRDefault="0053650D" w:rsidP="0053650D">
      <w:pPr>
        <w:jc w:val="both"/>
        <w:rPr>
          <w:rFonts w:ascii="Arial" w:hAnsi="Arial"/>
        </w:rPr>
      </w:pPr>
      <w:r w:rsidRPr="0053650D">
        <w:rPr>
          <w:rFonts w:ascii="Arial" w:hAnsi="Arial"/>
        </w:rPr>
        <w:t xml:space="preserve">Moreover, several research studies have explored the relationship between professional preparation and curriculum assessment, emphasizing how continuous professional development influences educators' ability to evaluate and refine curricula effectively. Professional preparation, which include workshops, seminars, and other learning opportunities, have been shown to improve teachers' skills in assessing and adjusting curricula to meet student needs and educational standards (Smith </w:t>
      </w:r>
      <w:r w:rsidR="00976231">
        <w:rPr>
          <w:rFonts w:ascii="Arial" w:hAnsi="Arial"/>
        </w:rPr>
        <w:t xml:space="preserve">&amp; </w:t>
      </w:r>
      <w:r w:rsidR="00976231" w:rsidRPr="00976231">
        <w:rPr>
          <w:rFonts w:ascii="Arial" w:hAnsi="Arial"/>
        </w:rPr>
        <w:t>Gillespie</w:t>
      </w:r>
      <w:r w:rsidR="00976231">
        <w:rPr>
          <w:rFonts w:ascii="Arial" w:hAnsi="Arial"/>
        </w:rPr>
        <w:t>,</w:t>
      </w:r>
      <w:r w:rsidR="00976231" w:rsidRPr="00976231">
        <w:rPr>
          <w:rFonts w:ascii="Arial" w:hAnsi="Arial"/>
        </w:rPr>
        <w:t xml:space="preserve"> </w:t>
      </w:r>
      <w:r w:rsidRPr="0053650D">
        <w:rPr>
          <w:rFonts w:ascii="Arial" w:hAnsi="Arial"/>
        </w:rPr>
        <w:t>2023). Teachers who participate in such programs are better equipped to engage in reflective practices that enhance the quality of curriculum assessment, ensuring that it remains aligned with both academic goals and student learning outcomes (</w:t>
      </w:r>
      <w:proofErr w:type="spellStart"/>
      <w:r w:rsidRPr="0053650D">
        <w:rPr>
          <w:rFonts w:ascii="Arial" w:hAnsi="Arial"/>
        </w:rPr>
        <w:t>Kilag</w:t>
      </w:r>
      <w:proofErr w:type="spellEnd"/>
      <w:r w:rsidRPr="0053650D">
        <w:rPr>
          <w:rFonts w:ascii="Arial" w:hAnsi="Arial"/>
        </w:rPr>
        <w:t xml:space="preserve"> et al., 2023). </w:t>
      </w:r>
    </w:p>
    <w:p w14:paraId="4C339180" w14:textId="77777777" w:rsidR="00710AFA" w:rsidRDefault="00710AFA" w:rsidP="0053650D">
      <w:pPr>
        <w:jc w:val="both"/>
        <w:rPr>
          <w:rFonts w:ascii="Arial" w:hAnsi="Arial"/>
        </w:rPr>
      </w:pPr>
    </w:p>
    <w:p w14:paraId="6FFBB5B6" w14:textId="099C4C9B" w:rsidR="0053650D" w:rsidRPr="0053650D" w:rsidRDefault="0053650D" w:rsidP="0053650D">
      <w:pPr>
        <w:jc w:val="both"/>
        <w:rPr>
          <w:rFonts w:ascii="Arial" w:hAnsi="Arial"/>
        </w:rPr>
      </w:pPr>
      <w:r w:rsidRPr="0053650D">
        <w:rPr>
          <w:rFonts w:ascii="Arial" w:hAnsi="Arial"/>
        </w:rPr>
        <w:t>In the Philippines, particularly in Bataan, the issue of poor curriculum assessment among teachers remains a significant concern. Many educators struggle with assessing the curriculum effectively due to factors such as inadequate teacher training, insufficient resources, and the rapid implementation of curriculum reforms (</w:t>
      </w:r>
      <w:proofErr w:type="spellStart"/>
      <w:r w:rsidRPr="0053650D">
        <w:rPr>
          <w:rFonts w:ascii="Arial" w:hAnsi="Arial"/>
        </w:rPr>
        <w:t>Bongco</w:t>
      </w:r>
      <w:proofErr w:type="spellEnd"/>
      <w:r w:rsidRPr="0053650D">
        <w:rPr>
          <w:rFonts w:ascii="Arial" w:hAnsi="Arial"/>
        </w:rPr>
        <w:t xml:space="preserve"> &amp; David, 2020). The K-12 curriculum, for instance, introduced major changes in the education system, but many teachers were not adequately prepared to assess its effectiveness (</w:t>
      </w:r>
      <w:proofErr w:type="spellStart"/>
      <w:r w:rsidRPr="0053650D">
        <w:rPr>
          <w:rFonts w:ascii="Arial" w:hAnsi="Arial"/>
        </w:rPr>
        <w:t>Abragan</w:t>
      </w:r>
      <w:proofErr w:type="spellEnd"/>
      <w:r w:rsidRPr="0053650D">
        <w:rPr>
          <w:rFonts w:ascii="Arial" w:hAnsi="Arial"/>
        </w:rPr>
        <w:t xml:space="preserve"> et al., 2022). Additionally, in Manila, a lack of clear assessment guidelines and limited professional development opportunities have made it challenging for teachers to evaluate learning outcomes effectively (Alonzo et al., 2023). As a result, students may experience learning gaps, ultimately affecting their academic performance and future opportunities. </w:t>
      </w:r>
    </w:p>
    <w:p w14:paraId="036C77CF" w14:textId="77777777" w:rsidR="00710AFA" w:rsidRDefault="00710AFA" w:rsidP="0053650D">
      <w:pPr>
        <w:jc w:val="both"/>
        <w:rPr>
          <w:rFonts w:ascii="Arial" w:hAnsi="Arial"/>
        </w:rPr>
      </w:pPr>
    </w:p>
    <w:p w14:paraId="2676F08B" w14:textId="5B0C56D8" w:rsidR="0053650D" w:rsidRPr="0053650D" w:rsidRDefault="0053650D" w:rsidP="0053650D">
      <w:pPr>
        <w:jc w:val="both"/>
        <w:rPr>
          <w:rFonts w:ascii="Arial" w:hAnsi="Arial"/>
        </w:rPr>
      </w:pPr>
      <w:r w:rsidRPr="0053650D">
        <w:rPr>
          <w:rFonts w:ascii="Arial" w:hAnsi="Arial"/>
        </w:rPr>
        <w:t xml:space="preserve">Furthermore, studies suggest that professional preparation provide teachers with valuable opportunities for collaboration, enabling them to work together in teams to assess curricula more effectively across grade levels and subjects (Martinez, 2022). This collaborative approach not only improves individual teaching practices but also fosters a culture of shared responsibility for curriculum quality within schools (Meyer et al., 2023). Teachers who participate in these programs are more likely to engage in ongoing dialogue about curriculum assessment, ensuring continuous improvement and adaptation to the changing needs of students (Pak, 2020). </w:t>
      </w:r>
    </w:p>
    <w:p w14:paraId="1D0A35E1" w14:textId="77777777" w:rsidR="00710AFA" w:rsidRDefault="00710AFA" w:rsidP="0053650D">
      <w:pPr>
        <w:jc w:val="both"/>
        <w:rPr>
          <w:rFonts w:ascii="Arial" w:hAnsi="Arial"/>
        </w:rPr>
      </w:pPr>
    </w:p>
    <w:p w14:paraId="3BF6CDDA" w14:textId="7CA9E6DA" w:rsidR="0053650D" w:rsidRPr="0053650D" w:rsidRDefault="0053650D" w:rsidP="0053650D">
      <w:pPr>
        <w:jc w:val="both"/>
        <w:rPr>
          <w:rFonts w:ascii="Arial" w:hAnsi="Arial"/>
        </w:rPr>
      </w:pPr>
      <w:r w:rsidRPr="0053650D">
        <w:rPr>
          <w:rFonts w:ascii="Arial" w:hAnsi="Arial"/>
        </w:rPr>
        <w:t>In schools where professional preparation is emphasized, there tends to be a noticeable improvement in the quality of curriculum assessment, which positively impacts student achievement and long-term academic success (</w:t>
      </w:r>
      <w:proofErr w:type="spellStart"/>
      <w:r w:rsidRPr="0053650D">
        <w:rPr>
          <w:rFonts w:ascii="Arial" w:hAnsi="Arial"/>
        </w:rPr>
        <w:t>Firdausih</w:t>
      </w:r>
      <w:proofErr w:type="spellEnd"/>
      <w:r w:rsidRPr="0053650D">
        <w:rPr>
          <w:rFonts w:ascii="Arial" w:hAnsi="Arial"/>
        </w:rPr>
        <w:t xml:space="preserve"> &amp; Aslan, 2024). Teachers' ability to critically analyze and adjust curricula based on formative and summative assessments leads to more effective teaching practices and better student outcomes. Ultimately, the integration of professional preparation with curriculum assessment not only benefits teachers' professional growth but also enhances the overall quality of education provided to students (</w:t>
      </w:r>
      <w:proofErr w:type="spellStart"/>
      <w:r w:rsidRPr="0053650D">
        <w:rPr>
          <w:rFonts w:ascii="Arial" w:hAnsi="Arial"/>
        </w:rPr>
        <w:t>Sancar</w:t>
      </w:r>
      <w:proofErr w:type="spellEnd"/>
      <w:r w:rsidRPr="0053650D">
        <w:rPr>
          <w:rFonts w:ascii="Arial" w:hAnsi="Arial"/>
        </w:rPr>
        <w:t xml:space="preserve"> et al.,2021). </w:t>
      </w:r>
    </w:p>
    <w:p w14:paraId="0643F75F" w14:textId="77777777" w:rsidR="0053650D" w:rsidRPr="0053650D" w:rsidRDefault="0053650D" w:rsidP="0053650D">
      <w:pPr>
        <w:jc w:val="both"/>
        <w:rPr>
          <w:rFonts w:ascii="Arial" w:hAnsi="Arial"/>
        </w:rPr>
      </w:pPr>
      <w:r w:rsidRPr="0053650D">
        <w:rPr>
          <w:rFonts w:ascii="Arial" w:hAnsi="Arial"/>
        </w:rPr>
        <w:t xml:space="preserve">In Mati Central District, Division of Mati City, the problem of poor curriculum assessment among teachers is also evident in various schools. Many educators report difficulties in adapting to curriculum changes and assessing student performance </w:t>
      </w:r>
      <w:proofErr w:type="gramStart"/>
      <w:r w:rsidRPr="0053650D">
        <w:rPr>
          <w:rFonts w:ascii="Arial" w:hAnsi="Arial"/>
        </w:rPr>
        <w:t>accurately .</w:t>
      </w:r>
      <w:proofErr w:type="gramEnd"/>
      <w:r w:rsidRPr="0053650D">
        <w:rPr>
          <w:rFonts w:ascii="Arial" w:hAnsi="Arial"/>
        </w:rPr>
        <w:t xml:space="preserve"> Factors such as large class sizes, insufficient training, and limited access to updated assessment tools contribute to the challenge. Additionally, some schools face resource constraints, making it </w:t>
      </w:r>
      <w:r w:rsidRPr="0053650D">
        <w:rPr>
          <w:rFonts w:ascii="Arial" w:hAnsi="Arial"/>
        </w:rPr>
        <w:lastRenderedPageBreak/>
        <w:t xml:space="preserve">difficult to implement effective curriculum assessment strategies. Without proper assessment, it becomes challenging to identify areas for improvement, leading to inconsistent teaching practices and student learning outcomes. </w:t>
      </w:r>
    </w:p>
    <w:p w14:paraId="3CE57184" w14:textId="77777777" w:rsidR="00710AFA" w:rsidRDefault="00710AFA" w:rsidP="0053650D">
      <w:pPr>
        <w:jc w:val="both"/>
        <w:rPr>
          <w:rFonts w:ascii="Arial" w:hAnsi="Arial"/>
        </w:rPr>
      </w:pPr>
    </w:p>
    <w:p w14:paraId="7AEEE99D" w14:textId="65746221" w:rsidR="0074551A" w:rsidRPr="0053650D" w:rsidRDefault="0053650D" w:rsidP="0053650D">
      <w:pPr>
        <w:jc w:val="both"/>
        <w:rPr>
          <w:rFonts w:ascii="Arial" w:eastAsia="MS Mincho" w:hAnsi="Arial" w:cs="Arial"/>
          <w:b/>
          <w:bCs/>
          <w:lang w:eastAsia="ja-JP"/>
        </w:rPr>
      </w:pPr>
      <w:r w:rsidRPr="0053650D">
        <w:rPr>
          <w:rFonts w:ascii="Arial" w:hAnsi="Arial"/>
        </w:rPr>
        <w:t>To strengthen quality instructional assessment and evaluation, this study aims to determine the relationship between teachers' professional preparation and their ability to conduct effective curriculum assessments. Given the pressing need to improve educational quality, this research is urgent as it seeks to identify key factors that influence assessment practices and highlight areas requiring intervention. By understanding this relationship, policymakers and educational institutions can develop targeted training programs that enhance teachers' competency in curriculum assessment. The significance of this study lies in its potential to inform curriculum development strategies, improve teaching methodologies, and contribute to the overall advancement of education, particularly in public elementary schools in Mati Central District, Division of Mati City.</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4E2B6B39" w14:textId="0C2F55BB" w:rsidR="003227FA" w:rsidRDefault="003227FA" w:rsidP="00710AFA">
      <w:pP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3DEF936" w:rsidR="003227FA" w:rsidRDefault="00710AFA" w:rsidP="003340B8">
      <w:pPr>
        <w:jc w:val="center"/>
        <w:rPr>
          <w:rFonts w:ascii="Arial" w:eastAsia="MS Mincho" w:hAnsi="Arial" w:cs="Arial"/>
          <w:b/>
          <w:bCs/>
          <w:lang w:eastAsia="ja-JP"/>
        </w:rPr>
      </w:pPr>
      <w:r w:rsidRPr="00710AFA">
        <w:rPr>
          <w:rFonts w:ascii="Arial" w:eastAsia="MS Mincho" w:hAnsi="Arial" w:cs="Arial"/>
          <w:b/>
          <w:bCs/>
          <w:noProof/>
        </w:rPr>
        <w:drawing>
          <wp:inline distT="0" distB="0" distL="0" distR="0" wp14:anchorId="1C0B4D95" wp14:editId="4C050B53">
            <wp:extent cx="2170323" cy="1706801"/>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9060" cy="1713672"/>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0E41249F" w14:textId="06633302" w:rsidR="00710AFA" w:rsidRPr="00710AFA" w:rsidRDefault="00710AFA" w:rsidP="00710AFA">
      <w:pPr>
        <w:rPr>
          <w:rFonts w:ascii="Arial" w:eastAsia="MS Mincho" w:hAnsi="Arial" w:cs="Arial"/>
          <w:lang w:eastAsia="ja-JP"/>
        </w:rPr>
      </w:pPr>
      <w:r>
        <w:rPr>
          <w:rFonts w:ascii="Arial" w:eastAsia="MS Mincho" w:hAnsi="Arial" w:cs="Arial"/>
          <w:lang w:eastAsia="ja-JP"/>
        </w:rPr>
        <w:t>T</w:t>
      </w:r>
      <w:r w:rsidRPr="00710AFA">
        <w:rPr>
          <w:rFonts w:ascii="Arial" w:eastAsia="MS Mincho" w:hAnsi="Arial" w:cs="Arial"/>
          <w:lang w:eastAsia="ja-JP"/>
        </w:rPr>
        <w:t xml:space="preserve">his study aimed to determine the significant relationship between professional preparation and curriculum coherence of public elementary school teachers in Mati Central District, Division of Davao Oriental. Specifically, it sought to answer the following questions: </w:t>
      </w:r>
    </w:p>
    <w:p w14:paraId="7E45C368" w14:textId="77777777" w:rsidR="00710AFA" w:rsidRDefault="00710AFA" w:rsidP="00710AFA">
      <w:pPr>
        <w:rPr>
          <w:rFonts w:ascii="Arial" w:eastAsia="MS Mincho" w:hAnsi="Arial" w:cs="Arial"/>
          <w:lang w:eastAsia="ja-JP"/>
        </w:rPr>
      </w:pPr>
    </w:p>
    <w:p w14:paraId="74269CBC" w14:textId="6FE2A7C1"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 </w:t>
      </w:r>
      <w:r w:rsidRPr="00710AFA">
        <w:rPr>
          <w:rFonts w:ascii="Arial" w:eastAsia="MS Mincho" w:hAnsi="Arial" w:cs="Arial"/>
          <w:lang w:eastAsia="ja-JP"/>
        </w:rPr>
        <w:t xml:space="preserve">What is the degree of professional preparation of teachers in terms of: </w:t>
      </w:r>
    </w:p>
    <w:p w14:paraId="0857C240" w14:textId="68A03CC4"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1.1. </w:t>
      </w:r>
      <w:r w:rsidRPr="00710AFA">
        <w:rPr>
          <w:rFonts w:ascii="Arial" w:eastAsia="MS Mincho" w:hAnsi="Arial" w:cs="Arial"/>
          <w:lang w:eastAsia="ja-JP"/>
        </w:rPr>
        <w:t xml:space="preserve">planning; </w:t>
      </w:r>
    </w:p>
    <w:p w14:paraId="29C3BEBC" w14:textId="61FF7AE9"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1.2. </w:t>
      </w:r>
      <w:r w:rsidRPr="00710AFA">
        <w:rPr>
          <w:rFonts w:ascii="Arial" w:eastAsia="MS Mincho" w:hAnsi="Arial" w:cs="Arial"/>
          <w:lang w:eastAsia="ja-JP"/>
        </w:rPr>
        <w:t xml:space="preserve">executing; and </w:t>
      </w:r>
    </w:p>
    <w:p w14:paraId="5578EF96" w14:textId="6FF1443B"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1.3. </w:t>
      </w:r>
      <w:r w:rsidRPr="00710AFA">
        <w:rPr>
          <w:rFonts w:ascii="Arial" w:eastAsia="MS Mincho" w:hAnsi="Arial" w:cs="Arial"/>
          <w:lang w:eastAsia="ja-JP"/>
        </w:rPr>
        <w:t xml:space="preserve">evaluating? </w:t>
      </w:r>
    </w:p>
    <w:p w14:paraId="14C9FDC1" w14:textId="77777777" w:rsidR="00710AFA" w:rsidRDefault="00710AFA" w:rsidP="00710AFA">
      <w:pPr>
        <w:rPr>
          <w:rFonts w:ascii="Arial" w:eastAsia="MS Mincho" w:hAnsi="Arial" w:cs="Arial"/>
          <w:lang w:eastAsia="ja-JP"/>
        </w:rPr>
      </w:pPr>
    </w:p>
    <w:p w14:paraId="1B8C3DAA" w14:textId="0DDD0D29"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 </w:t>
      </w:r>
      <w:r w:rsidRPr="00710AFA">
        <w:rPr>
          <w:rFonts w:ascii="Arial" w:eastAsia="MS Mincho" w:hAnsi="Arial" w:cs="Arial"/>
          <w:lang w:eastAsia="ja-JP"/>
        </w:rPr>
        <w:t xml:space="preserve">What is the degree of curriculum assessment of teachers in terms of: </w:t>
      </w:r>
    </w:p>
    <w:p w14:paraId="6E265302" w14:textId="327DA312"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2.1. </w:t>
      </w:r>
      <w:r w:rsidRPr="00710AFA">
        <w:rPr>
          <w:rFonts w:ascii="Arial" w:eastAsia="MS Mincho" w:hAnsi="Arial" w:cs="Arial"/>
          <w:lang w:eastAsia="ja-JP"/>
        </w:rPr>
        <w:t xml:space="preserve">curriculum content; </w:t>
      </w:r>
    </w:p>
    <w:p w14:paraId="4F4B7307" w14:textId="026A0BC1"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2.2. </w:t>
      </w:r>
      <w:r w:rsidRPr="00710AFA">
        <w:rPr>
          <w:rFonts w:ascii="Arial" w:eastAsia="MS Mincho" w:hAnsi="Arial" w:cs="Arial"/>
          <w:lang w:eastAsia="ja-JP"/>
        </w:rPr>
        <w:t xml:space="preserve">curriculum objectives;   </w:t>
      </w:r>
    </w:p>
    <w:p w14:paraId="1C88C4C3" w14:textId="7CA12431"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2.3. </w:t>
      </w:r>
      <w:r w:rsidRPr="00710AFA">
        <w:rPr>
          <w:rFonts w:ascii="Arial" w:eastAsia="MS Mincho" w:hAnsi="Arial" w:cs="Arial"/>
          <w:lang w:eastAsia="ja-JP"/>
        </w:rPr>
        <w:t xml:space="preserve">educational effectiveness; and </w:t>
      </w:r>
    </w:p>
    <w:p w14:paraId="45F131EC" w14:textId="574D2676"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2.4. </w:t>
      </w:r>
      <w:r w:rsidRPr="00710AFA">
        <w:rPr>
          <w:rFonts w:ascii="Arial" w:eastAsia="MS Mincho" w:hAnsi="Arial" w:cs="Arial"/>
          <w:lang w:eastAsia="ja-JP"/>
        </w:rPr>
        <w:t xml:space="preserve">resource materials and facilities? </w:t>
      </w:r>
    </w:p>
    <w:p w14:paraId="511516B5" w14:textId="77417C8D"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3. </w:t>
      </w:r>
      <w:r w:rsidRPr="00710AFA">
        <w:rPr>
          <w:rFonts w:ascii="Arial" w:eastAsia="MS Mincho" w:hAnsi="Arial" w:cs="Arial"/>
          <w:lang w:eastAsia="ja-JP"/>
        </w:rPr>
        <w:t xml:space="preserve">Is there a significant relationship between professional preparation and the curriculum assessment of teachers in Mati Central District, Division of Davao Oriental.? </w:t>
      </w:r>
    </w:p>
    <w:p w14:paraId="1D3576A4" w14:textId="77777777" w:rsidR="00710AFA" w:rsidRDefault="00710AFA" w:rsidP="00710AFA">
      <w:pPr>
        <w:rPr>
          <w:rFonts w:ascii="Arial" w:eastAsia="MS Mincho" w:hAnsi="Arial" w:cs="Arial"/>
          <w:lang w:eastAsia="ja-JP"/>
        </w:rPr>
      </w:pPr>
    </w:p>
    <w:p w14:paraId="3243C943" w14:textId="755B5A41" w:rsidR="00B43C88" w:rsidRPr="00710AFA" w:rsidRDefault="00710AFA" w:rsidP="00710AFA">
      <w:pPr>
        <w:rPr>
          <w:rFonts w:ascii="Arial" w:eastAsia="MS Mincho" w:hAnsi="Arial" w:cs="Arial"/>
          <w:lang w:eastAsia="ja-JP"/>
        </w:rPr>
      </w:pPr>
      <w:r>
        <w:rPr>
          <w:rFonts w:ascii="Arial" w:eastAsia="MS Mincho" w:hAnsi="Arial" w:cs="Arial"/>
          <w:lang w:eastAsia="ja-JP"/>
        </w:rPr>
        <w:t xml:space="preserve">4. </w:t>
      </w:r>
      <w:r w:rsidRPr="00710AFA">
        <w:rPr>
          <w:rFonts w:ascii="Arial" w:eastAsia="MS Mincho" w:hAnsi="Arial" w:cs="Arial"/>
          <w:lang w:eastAsia="ja-JP"/>
        </w:rPr>
        <w:t>Which domains of professional preparation significantly influence the curriculum assessment of teachers in Mati Central District, Division of Davao Oriental.?</w:t>
      </w:r>
    </w:p>
    <w:p w14:paraId="1F94A9CE" w14:textId="77777777" w:rsidR="00710AFA" w:rsidRDefault="00710AFA" w:rsidP="002F5C4B">
      <w:pPr>
        <w:rPr>
          <w:rFonts w:ascii="Arial" w:eastAsia="MS Mincho" w:hAnsi="Arial" w:cs="Arial"/>
          <w:b/>
          <w:lang w:eastAsia="ja-JP"/>
        </w:rPr>
      </w:pPr>
    </w:p>
    <w:p w14:paraId="4110F409" w14:textId="515406C6"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2F49DD5A" w14:textId="77777777" w:rsidR="00710AFA" w:rsidRPr="00710AFA" w:rsidRDefault="00710AFA" w:rsidP="00710AFA">
      <w:pPr>
        <w:ind w:firstLine="720"/>
        <w:jc w:val="both"/>
        <w:rPr>
          <w:rFonts w:ascii="Arial" w:hAnsi="Arial" w:cs="Arial"/>
        </w:rPr>
      </w:pPr>
      <w:r w:rsidRPr="00710AFA">
        <w:rPr>
          <w:rFonts w:ascii="Arial" w:hAnsi="Arial" w:cs="Arial"/>
        </w:rPr>
        <w:t xml:space="preserve">Ho1: There is no significant relationship between professional preparation and the curriculum assessment of public elementary school teachers. </w:t>
      </w:r>
    </w:p>
    <w:p w14:paraId="2761BBBA" w14:textId="3FBD93B2" w:rsidR="000D23E6" w:rsidRPr="00710AFA" w:rsidRDefault="00710AFA" w:rsidP="00710AFA">
      <w:pPr>
        <w:ind w:firstLine="720"/>
        <w:jc w:val="both"/>
        <w:rPr>
          <w:rFonts w:ascii="Arial" w:hAnsi="Arial" w:cs="Arial"/>
        </w:rPr>
      </w:pPr>
      <w:r w:rsidRPr="00710AFA">
        <w:rPr>
          <w:rFonts w:ascii="Arial" w:hAnsi="Arial" w:cs="Arial"/>
        </w:rPr>
        <w:t>Ho2: None of the domains of professional preparation significantly influence the curriculum assessment of public elementary school teachers.</w:t>
      </w:r>
    </w:p>
    <w:p w14:paraId="0B3A866D" w14:textId="77777777" w:rsidR="00710AFA" w:rsidRDefault="00710AFA">
      <w:pPr>
        <w:pStyle w:val="AbstHead"/>
        <w:spacing w:after="0"/>
        <w:jc w:val="both"/>
        <w:rPr>
          <w:rFonts w:ascii="Arial" w:hAnsi="Arial" w:cs="Arial"/>
          <w:sz w:val="20"/>
        </w:rPr>
      </w:pPr>
    </w:p>
    <w:p w14:paraId="012EB897" w14:textId="083242D4"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4AC7422C"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B08A289" w14:textId="77777777" w:rsidR="00710AFA" w:rsidRPr="00710AFA" w:rsidRDefault="00710AFA" w:rsidP="00710AFA">
      <w:pPr>
        <w:jc w:val="both"/>
        <w:rPr>
          <w:rFonts w:ascii="Arial" w:hAnsi="Arial" w:cs="Arial"/>
        </w:rPr>
      </w:pPr>
      <w:r w:rsidRPr="00710AFA">
        <w:rPr>
          <w:rFonts w:ascii="Arial" w:hAnsi="Arial" w:cs="Arial"/>
        </w:rPr>
        <w:t>The study employed a quantitative research design, specifically utilizing a descriptive correlational approach. Quantitative research involved the systematic collection of numerical data, with statistical, mathematical, or computational techniques to ensure objective, accurate, and measurable results (</w:t>
      </w:r>
      <w:proofErr w:type="spellStart"/>
      <w:r w:rsidRPr="00710AFA">
        <w:rPr>
          <w:rFonts w:ascii="Arial" w:hAnsi="Arial" w:cs="Arial"/>
        </w:rPr>
        <w:t>Mohajan</w:t>
      </w:r>
      <w:proofErr w:type="spellEnd"/>
      <w:r w:rsidRPr="00710AFA">
        <w:rPr>
          <w:rFonts w:ascii="Arial" w:hAnsi="Arial" w:cs="Arial"/>
        </w:rPr>
        <w:t>, 2020). To achieved reliable findings, the study used standardized and controlled data collection methods, such as surveys, to quantify variables and test hypotheses (</w:t>
      </w:r>
      <w:proofErr w:type="spellStart"/>
      <w:r w:rsidRPr="00710AFA">
        <w:rPr>
          <w:rFonts w:ascii="Arial" w:hAnsi="Arial" w:cs="Arial"/>
        </w:rPr>
        <w:t>Rassel</w:t>
      </w:r>
      <w:proofErr w:type="spellEnd"/>
      <w:r w:rsidRPr="00710AFA">
        <w:rPr>
          <w:rFonts w:ascii="Arial" w:hAnsi="Arial" w:cs="Arial"/>
        </w:rPr>
        <w:t xml:space="preserve"> et al., 2020). </w:t>
      </w:r>
    </w:p>
    <w:p w14:paraId="4F67D35A" w14:textId="77777777" w:rsidR="00710AFA" w:rsidRDefault="00710AFA" w:rsidP="00710AFA">
      <w:pPr>
        <w:jc w:val="both"/>
        <w:rPr>
          <w:rFonts w:ascii="Arial" w:hAnsi="Arial" w:cs="Arial"/>
        </w:rPr>
      </w:pPr>
    </w:p>
    <w:p w14:paraId="25504042" w14:textId="12800165" w:rsidR="00710AFA" w:rsidRPr="00710AFA" w:rsidRDefault="00710AFA" w:rsidP="00710AFA">
      <w:pPr>
        <w:jc w:val="both"/>
        <w:rPr>
          <w:rFonts w:ascii="Arial" w:hAnsi="Arial" w:cs="Arial"/>
        </w:rPr>
      </w:pPr>
      <w:r w:rsidRPr="00710AFA">
        <w:rPr>
          <w:rFonts w:ascii="Arial" w:hAnsi="Arial" w:cs="Arial"/>
        </w:rPr>
        <w:t>Additionally, the research followed a non-experimental framework, which focused on observing and analyzing naturally occurring relationships between variables (Roberts, 2021). Unlike experimental research, which manipulates variables to explore cause-and-effect relationships, non-experimental research aimed to understand and describe relationships as they naturally unfold in real-world settings (</w:t>
      </w:r>
      <w:r w:rsidR="00241594" w:rsidRPr="00241594">
        <w:rPr>
          <w:rFonts w:ascii="Arial" w:hAnsi="Arial" w:cs="Arial"/>
        </w:rPr>
        <w:t>Gamage</w:t>
      </w:r>
      <w:r w:rsidR="00241594">
        <w:rPr>
          <w:rFonts w:ascii="Arial" w:hAnsi="Arial" w:cs="Arial"/>
        </w:rPr>
        <w:t>, 2025</w:t>
      </w:r>
      <w:r w:rsidRPr="00710AFA">
        <w:rPr>
          <w:rFonts w:ascii="Arial" w:hAnsi="Arial" w:cs="Arial"/>
        </w:rPr>
        <w:t xml:space="preserve">). </w:t>
      </w:r>
    </w:p>
    <w:p w14:paraId="115E2CBE" w14:textId="77777777" w:rsidR="00710AFA" w:rsidRDefault="00710AFA" w:rsidP="00710AFA">
      <w:pPr>
        <w:jc w:val="both"/>
        <w:rPr>
          <w:rFonts w:ascii="Arial" w:hAnsi="Arial" w:cs="Arial"/>
        </w:rPr>
      </w:pPr>
    </w:p>
    <w:p w14:paraId="12BDD954" w14:textId="558FD50C" w:rsidR="00710AFA" w:rsidRPr="00710AFA" w:rsidRDefault="00710AFA" w:rsidP="00710AFA">
      <w:pPr>
        <w:jc w:val="both"/>
        <w:rPr>
          <w:rFonts w:ascii="Arial" w:hAnsi="Arial" w:cs="Arial"/>
        </w:rPr>
      </w:pPr>
      <w:r w:rsidRPr="00710AFA">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w:t>
      </w:r>
      <w:r w:rsidR="00241594">
        <w:rPr>
          <w:rFonts w:ascii="Arial" w:hAnsi="Arial" w:cs="Arial"/>
        </w:rPr>
        <w:t xml:space="preserve"> variables (</w:t>
      </w:r>
      <w:proofErr w:type="spellStart"/>
      <w:r w:rsidR="00241594">
        <w:rPr>
          <w:rFonts w:ascii="Arial" w:hAnsi="Arial" w:cs="Arial"/>
        </w:rPr>
        <w:t>Mertler</w:t>
      </w:r>
      <w:proofErr w:type="spellEnd"/>
      <w:r w:rsidR="00241594">
        <w:rPr>
          <w:rFonts w:ascii="Arial" w:hAnsi="Arial" w:cs="Arial"/>
        </w:rPr>
        <w:t>, 2024</w:t>
      </w:r>
      <w:r w:rsidRPr="00710AFA">
        <w:rPr>
          <w:rFonts w:ascii="Arial" w:hAnsi="Arial" w:cs="Arial"/>
        </w:rPr>
        <w:t>). Unlike experimental research, which sought to establish causality by manipulating conditions, descriptive correlational research focuses on measuring the strength and direction of relationships</w:t>
      </w:r>
      <w:r w:rsidR="00241594">
        <w:rPr>
          <w:rFonts w:ascii="Arial" w:hAnsi="Arial" w:cs="Arial"/>
        </w:rPr>
        <w:t xml:space="preserve"> as they naturally occur (</w:t>
      </w:r>
      <w:proofErr w:type="spellStart"/>
      <w:r w:rsidR="00241594">
        <w:rPr>
          <w:rFonts w:ascii="Arial" w:hAnsi="Arial" w:cs="Arial"/>
        </w:rPr>
        <w:t>Seeram</w:t>
      </w:r>
      <w:proofErr w:type="spellEnd"/>
      <w:r w:rsidR="00241594">
        <w:rPr>
          <w:rFonts w:ascii="Arial" w:hAnsi="Arial" w:cs="Arial"/>
        </w:rPr>
        <w:t>, 2022</w:t>
      </w:r>
      <w:r w:rsidRPr="00710AFA">
        <w:rPr>
          <w:rFonts w:ascii="Arial" w:hAnsi="Arial" w:cs="Arial"/>
        </w:rPr>
        <w:t xml:space="preserve">). </w:t>
      </w:r>
    </w:p>
    <w:p w14:paraId="29C2FA0C" w14:textId="77777777" w:rsidR="00710AFA" w:rsidRDefault="00710AFA" w:rsidP="00710AFA">
      <w:pPr>
        <w:jc w:val="both"/>
        <w:rPr>
          <w:rFonts w:ascii="Arial" w:hAnsi="Arial" w:cs="Arial"/>
        </w:rPr>
      </w:pPr>
    </w:p>
    <w:p w14:paraId="227BD7A9" w14:textId="121AD0A5" w:rsidR="00F121AE" w:rsidRPr="00710AFA" w:rsidRDefault="00710AFA" w:rsidP="00710AFA">
      <w:pPr>
        <w:jc w:val="both"/>
        <w:rPr>
          <w:rFonts w:ascii="Arial" w:hAnsi="Arial" w:cs="Arial"/>
          <w:b/>
          <w:bCs/>
        </w:rPr>
      </w:pPr>
      <w:r w:rsidRPr="00710AFA">
        <w:rPr>
          <w:rFonts w:ascii="Arial" w:hAnsi="Arial" w:cs="Arial"/>
        </w:rPr>
        <w:t>In the context of this study, the descriptive-correlational research design was deemed appropriate because it aimed to described the extent of professional preparation and curriculum assessment among public elementary school teachers. It also sought to determine the significant relationship between professional preparation and curriculum assessment.</w:t>
      </w:r>
    </w:p>
    <w:p w14:paraId="2F763EAF" w14:textId="77777777" w:rsidR="00710AFA" w:rsidRDefault="00710AFA">
      <w:pPr>
        <w:rPr>
          <w:rFonts w:ascii="Arial" w:hAnsi="Arial" w:cs="Arial"/>
          <w:b/>
          <w:bCs/>
        </w:rPr>
      </w:pPr>
    </w:p>
    <w:p w14:paraId="318F0781" w14:textId="5BC8551E"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C2F3A21" w14:textId="77777777" w:rsidR="00710AFA" w:rsidRDefault="00710AFA" w:rsidP="00710AFA">
      <w:pPr>
        <w:jc w:val="both"/>
        <w:rPr>
          <w:rFonts w:ascii="Arial" w:hAnsi="Arial" w:cs="Arial"/>
        </w:rPr>
      </w:pPr>
      <w:r w:rsidRPr="00710AFA">
        <w:rPr>
          <w:rFonts w:ascii="Arial" w:hAnsi="Arial" w:cs="Arial"/>
        </w:rPr>
        <w:t xml:space="preserve">This study was conducted in Mati Central District, Division of Mati City. This study included the four secondary schools of Mati Central District. There were 171 teachers who were involved as respondents of the study out of 299 population using the </w:t>
      </w:r>
      <w:proofErr w:type="spellStart"/>
      <w:r w:rsidRPr="00710AFA">
        <w:rPr>
          <w:rFonts w:ascii="Arial" w:hAnsi="Arial" w:cs="Arial"/>
        </w:rPr>
        <w:t>Slovin’s</w:t>
      </w:r>
      <w:proofErr w:type="spellEnd"/>
      <w:r w:rsidRPr="00710AFA">
        <w:rPr>
          <w:rFonts w:ascii="Arial" w:hAnsi="Arial" w:cs="Arial"/>
        </w:rPr>
        <w:t xml:space="preserve"> Formula, who rated the Professional Preparation and Curriculum Assessment of Public Elementary School </w:t>
      </w:r>
    </w:p>
    <w:p w14:paraId="3ABDC5F7" w14:textId="77777777" w:rsidR="00710AFA" w:rsidRDefault="00710AFA" w:rsidP="00710AFA">
      <w:pPr>
        <w:jc w:val="both"/>
        <w:rPr>
          <w:rFonts w:ascii="Arial" w:hAnsi="Arial" w:cs="Arial"/>
        </w:rPr>
      </w:pPr>
    </w:p>
    <w:p w14:paraId="5D8844BF" w14:textId="23ACE444" w:rsidR="00710AFA" w:rsidRPr="00710AFA" w:rsidRDefault="00710AFA" w:rsidP="00710AFA">
      <w:pPr>
        <w:jc w:val="both"/>
        <w:rPr>
          <w:rFonts w:ascii="Arial" w:hAnsi="Arial" w:cs="Arial"/>
        </w:rPr>
      </w:pPr>
      <w:r w:rsidRPr="00710AFA">
        <w:rPr>
          <w:rFonts w:ascii="Arial" w:hAnsi="Arial" w:cs="Arial"/>
        </w:rPr>
        <w:t xml:space="preserve">Teachers in the K-12 Education Context.  This were conducted during the school year 2024-2025. In selecting the respondents, the researcher employed a simple random utilizing the lottery sampling or fishbowl technique. Numbers were assigned to the respondents in the population assembling them in a container big enough to allow the rolled pieces of paper to move freely in all directions when they were shaken. The researcher picked out the desired numbers of participants for the </w:t>
      </w:r>
      <w:proofErr w:type="spellStart"/>
      <w:proofErr w:type="gramStart"/>
      <w:r w:rsidRPr="00710AFA">
        <w:rPr>
          <w:rFonts w:ascii="Arial" w:hAnsi="Arial" w:cs="Arial"/>
        </w:rPr>
        <w:t>study.Teachers</w:t>
      </w:r>
      <w:proofErr w:type="spellEnd"/>
      <w:proofErr w:type="gramEnd"/>
      <w:r w:rsidRPr="00710AFA">
        <w:rPr>
          <w:rFonts w:ascii="Arial" w:hAnsi="Arial" w:cs="Arial"/>
        </w:rPr>
        <w:t xml:space="preserve"> with at least three years in service were chosen as respondents. </w:t>
      </w:r>
    </w:p>
    <w:p w14:paraId="63817FB6" w14:textId="77777777" w:rsidR="00710AFA" w:rsidRDefault="00710AFA" w:rsidP="00710AFA">
      <w:pPr>
        <w:jc w:val="both"/>
        <w:rPr>
          <w:rFonts w:ascii="Arial" w:hAnsi="Arial" w:cs="Arial"/>
        </w:rPr>
      </w:pPr>
    </w:p>
    <w:p w14:paraId="1E725D10" w14:textId="69971159" w:rsidR="00A67B21" w:rsidRDefault="00710AFA" w:rsidP="00710AFA">
      <w:pPr>
        <w:jc w:val="both"/>
        <w:rPr>
          <w:rFonts w:ascii="Arial" w:hAnsi="Arial" w:cs="Arial"/>
        </w:rPr>
      </w:pPr>
      <w:r w:rsidRPr="00710AFA">
        <w:rPr>
          <w:rFonts w:ascii="Arial" w:hAnsi="Arial" w:cs="Arial"/>
        </w:rPr>
        <w:lastRenderedPageBreak/>
        <w:t xml:space="preserve">The inclusion criteria were as follows: first, the teacher must be currently employed at a public secondary school within the Mati Central District, Division of Mati City during the 2024-2025 school year. Second, the teacher must have at least three years of teaching experience in any subject. Lastly, teachers who attended the training/seminar on </w:t>
      </w:r>
      <w:proofErr w:type="spellStart"/>
      <w:r w:rsidRPr="00710AFA">
        <w:rPr>
          <w:rFonts w:ascii="Arial" w:hAnsi="Arial" w:cs="Arial"/>
        </w:rPr>
        <w:t>Matatag</w:t>
      </w:r>
      <w:proofErr w:type="spellEnd"/>
      <w:r w:rsidRPr="00710AFA">
        <w:rPr>
          <w:rFonts w:ascii="Arial" w:hAnsi="Arial" w:cs="Arial"/>
        </w:rPr>
        <w:t xml:space="preserve"> Training. Teachers </w:t>
      </w:r>
      <w:r>
        <w:rPr>
          <w:rFonts w:ascii="Arial" w:hAnsi="Arial" w:cs="Arial"/>
        </w:rPr>
        <w:t>who do not meet these criteria a</w:t>
      </w:r>
      <w:r w:rsidRPr="00710AFA">
        <w:rPr>
          <w:rFonts w:ascii="Arial" w:hAnsi="Arial" w:cs="Arial"/>
        </w:rPr>
        <w:t>re excluded.</w:t>
      </w:r>
    </w:p>
    <w:p w14:paraId="40EA0A0B" w14:textId="77777777" w:rsidR="00710AFA" w:rsidRDefault="00710AFA" w:rsidP="00710AFA">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CF42F12" w14:textId="3FE0D25E" w:rsidR="00C52519" w:rsidRPr="005017A4" w:rsidRDefault="005017A4" w:rsidP="005017A4">
      <w:pPr>
        <w:jc w:val="both"/>
        <w:rPr>
          <w:rFonts w:ascii="Arial" w:hAnsi="Arial" w:cs="Arial"/>
        </w:rPr>
      </w:pPr>
      <w:r w:rsidRPr="005017A4">
        <w:rPr>
          <w:rFonts w:ascii="Arial" w:hAnsi="Arial" w:cs="Arial"/>
        </w:rPr>
        <w:t xml:space="preserve">The first part of the questionnaire was based on the Professional Preparation Scale by </w:t>
      </w:r>
      <w:proofErr w:type="spellStart"/>
      <w:r w:rsidRPr="005017A4">
        <w:rPr>
          <w:rFonts w:ascii="Arial" w:hAnsi="Arial" w:cs="Arial"/>
        </w:rPr>
        <w:t>Shakuna</w:t>
      </w:r>
      <w:proofErr w:type="spellEnd"/>
      <w:r w:rsidRPr="005017A4">
        <w:rPr>
          <w:rFonts w:ascii="Arial" w:hAnsi="Arial" w:cs="Arial"/>
        </w:rPr>
        <w:t xml:space="preserve"> et al. (2016), as cited in </w:t>
      </w:r>
      <w:proofErr w:type="spellStart"/>
      <w:r w:rsidRPr="005017A4">
        <w:rPr>
          <w:rFonts w:ascii="Arial" w:hAnsi="Arial" w:cs="Arial"/>
        </w:rPr>
        <w:t>Nurkhin</w:t>
      </w:r>
      <w:proofErr w:type="spellEnd"/>
      <w:r w:rsidRPr="005017A4">
        <w:rPr>
          <w:rFonts w:ascii="Arial" w:hAnsi="Arial" w:cs="Arial"/>
        </w:rPr>
        <w:t xml:space="preserve"> et al. (2023). This scale included multiple dimensions such as planning, executing and evaluating. Its overall Cronbach’s alpha coefficient is 0.950, which supports the reliability of the questionnaire for measuring the variable of future thinking skills. In this study, the Professional Preparation Scale also demonstrated excellent reliability, with a Cronbach’s alpha value of 0.988.</w:t>
      </w:r>
    </w:p>
    <w:p w14:paraId="7A6BBA6E" w14:textId="77777777" w:rsidR="005017A4" w:rsidRDefault="005017A4" w:rsidP="005017A4">
      <w:pPr>
        <w:jc w:val="both"/>
        <w:rPr>
          <w:rFonts w:ascii="Arial" w:hAnsi="Arial" w:cs="Arial"/>
          <w:b/>
          <w:bCs/>
        </w:rPr>
      </w:pPr>
    </w:p>
    <w:p w14:paraId="5CEA4446" w14:textId="4AADE237" w:rsidR="005017A4" w:rsidRPr="005017A4" w:rsidRDefault="005017A4" w:rsidP="005017A4">
      <w:pPr>
        <w:jc w:val="both"/>
        <w:rPr>
          <w:rFonts w:ascii="Arial" w:hAnsi="Arial" w:cs="Arial"/>
          <w:bCs/>
        </w:rPr>
      </w:pPr>
      <w:r w:rsidRPr="005017A4">
        <w:rPr>
          <w:rFonts w:ascii="Arial" w:hAnsi="Arial" w:cs="Arial"/>
          <w:bCs/>
        </w:rPr>
        <w:t>The second part of the questionnaire was developed by Quijano (2023) to assess curriculum assessment. The scale included four dimensions: curriculum content, curriculum objectives, educational effectiveness and resource materials and facilities. The overall Cronbach’s alpha coefficient for the scale is 0.810, indicating that the questionnaire was reliable for measuring the variable of curriculum coherence. Additionally, the curriculum assessment questionnaire demonstrated excellent reliability in this study, with a Cronbach’s alpha value of 0.994.</w:t>
      </w:r>
    </w:p>
    <w:p w14:paraId="27C4255B" w14:textId="77777777" w:rsidR="005017A4" w:rsidRDefault="005017A4" w:rsidP="005D71AE">
      <w:pPr>
        <w:rPr>
          <w:rFonts w:ascii="Arial" w:hAnsi="Arial" w:cs="Arial"/>
          <w:b/>
          <w:bCs/>
        </w:rPr>
      </w:pPr>
    </w:p>
    <w:p w14:paraId="27C6641A" w14:textId="01E8D970"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1B862CC" w14:textId="77777777" w:rsidR="005017A4" w:rsidRPr="005017A4" w:rsidRDefault="005017A4" w:rsidP="005017A4">
      <w:pPr>
        <w:pStyle w:val="Heading1"/>
        <w:jc w:val="both"/>
        <w:rPr>
          <w:rFonts w:cs="Arial"/>
          <w:b w:val="0"/>
          <w:kern w:val="0"/>
          <w:sz w:val="20"/>
        </w:rPr>
      </w:pPr>
      <w:r w:rsidRPr="005017A4">
        <w:rPr>
          <w:rFonts w:cs="Arial"/>
          <w:b w:val="0"/>
          <w:kern w:val="0"/>
          <w:sz w:val="20"/>
        </w:rPr>
        <w:t>The data collection procedure for this study were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09B307E6" w14:textId="77777777" w:rsidR="005017A4" w:rsidRPr="005017A4" w:rsidRDefault="005017A4" w:rsidP="005017A4">
      <w:pPr>
        <w:pStyle w:val="Heading1"/>
        <w:jc w:val="both"/>
        <w:rPr>
          <w:rFonts w:cs="Arial"/>
          <w:b w:val="0"/>
          <w:kern w:val="0"/>
          <w:sz w:val="20"/>
        </w:rPr>
      </w:pPr>
      <w:r w:rsidRPr="005017A4">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72C12DB5" w14:textId="77777777" w:rsidR="005017A4" w:rsidRDefault="005017A4" w:rsidP="005017A4">
      <w:pPr>
        <w:pStyle w:val="Heading1"/>
        <w:jc w:val="both"/>
        <w:rPr>
          <w:rFonts w:cs="Arial"/>
          <w:b w:val="0"/>
          <w:kern w:val="0"/>
          <w:sz w:val="20"/>
        </w:rPr>
      </w:pPr>
      <w:r w:rsidRPr="005017A4">
        <w:rPr>
          <w:rFonts w:cs="Arial"/>
          <w:b w:val="0"/>
          <w:kern w:val="0"/>
          <w:sz w:val="20"/>
        </w:rPr>
        <w:t xml:space="preserve">After data collection, the retrieval process involved carefully organizing and analyzing the collected information. The completed questionnaires were counted, and responses were </w:t>
      </w:r>
      <w:r w:rsidRPr="005017A4">
        <w:rPr>
          <w:rFonts w:cs="Arial"/>
          <w:b w:val="0"/>
          <w:kern w:val="0"/>
          <w:sz w:val="20"/>
        </w:rPr>
        <w:lastRenderedPageBreak/>
        <w:t>systematically recorded for statistical evaluation using statistical tools such as mean, standard deviation, and correlation analysis</w:t>
      </w:r>
    </w:p>
    <w:p w14:paraId="6BC856EB" w14:textId="014DE736" w:rsidR="005017A4" w:rsidRPr="005017A4" w:rsidRDefault="00180859" w:rsidP="005017A4">
      <w:pPr>
        <w:pStyle w:val="Heading1"/>
        <w:jc w:val="both"/>
        <w:rPr>
          <w:rFonts w:cs="Arial"/>
          <w:sz w:val="20"/>
        </w:rPr>
      </w:pPr>
      <w:r>
        <w:rPr>
          <w:rFonts w:cs="Arial"/>
          <w:sz w:val="20"/>
        </w:rPr>
        <w:t>2.5 Data Analysis</w:t>
      </w:r>
    </w:p>
    <w:p w14:paraId="62663977" w14:textId="77777777" w:rsidR="005017A4" w:rsidRDefault="005017A4" w:rsidP="005017A4">
      <w:pPr>
        <w:pStyle w:val="Head1"/>
        <w:jc w:val="both"/>
        <w:rPr>
          <w:rFonts w:ascii="Arial" w:hAnsi="Arial" w:cs="Arial"/>
          <w:b w:val="0"/>
          <w:caps w:val="0"/>
          <w:sz w:val="20"/>
        </w:rPr>
      </w:pPr>
    </w:p>
    <w:p w14:paraId="1981AFC4" w14:textId="6ACD55EC" w:rsidR="005017A4"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In analyzing and interpreting the data gathered for this study, several statistical tools were utilized to determine the aim of the study. </w:t>
      </w:r>
    </w:p>
    <w:p w14:paraId="1F40A681" w14:textId="77777777" w:rsidR="005017A4"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Mean was used to assess the extent of professional preparation and curriculum assessment among public elementary school teachers. </w:t>
      </w:r>
    </w:p>
    <w:p w14:paraId="0E407477" w14:textId="77777777" w:rsidR="005017A4"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Pearson r-moment correlation analysis was applied to examine the strength and direction of the relationship between professional preparation and curriculum assessment among public elementary school teachers. </w:t>
      </w:r>
    </w:p>
    <w:p w14:paraId="08B1DEAA" w14:textId="59C0A549" w:rsidR="00C84872"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Multiple linear regression analysis was used to identify which domains of professional preparation would most influence the curriculum assessment of public elementary school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55C7A46" w:rsidR="005D71AE" w:rsidRPr="005017A4" w:rsidRDefault="00180859" w:rsidP="005017A4">
      <w:pPr>
        <w:jc w:val="both"/>
        <w:rPr>
          <w:rFonts w:ascii="Arial" w:hAnsi="Arial" w:cs="Arial"/>
          <w:b/>
        </w:rPr>
      </w:pPr>
      <w:r>
        <w:rPr>
          <w:rFonts w:ascii="Arial" w:hAnsi="Arial" w:cs="Arial"/>
          <w:b/>
        </w:rPr>
        <w:t xml:space="preserve">3.1 </w:t>
      </w:r>
      <w:r w:rsidR="005017A4" w:rsidRPr="005017A4">
        <w:rPr>
          <w:rFonts w:ascii="Arial" w:hAnsi="Arial" w:cs="Arial"/>
          <w:b/>
        </w:rPr>
        <w:t xml:space="preserve">Extent of Professional Preparation </w:t>
      </w:r>
      <w:r w:rsidR="00483EDC" w:rsidRPr="00483EDC">
        <w:rPr>
          <w:rFonts w:ascii="Arial" w:hAnsi="Arial" w:cs="Arial"/>
          <w:b/>
        </w:rPr>
        <w:t xml:space="preserve">among Public </w:t>
      </w:r>
      <w:r w:rsidR="005017A4">
        <w:rPr>
          <w:rFonts w:ascii="Arial" w:hAnsi="Arial" w:cs="Arial"/>
          <w:b/>
        </w:rPr>
        <w:t>Secondary</w:t>
      </w:r>
      <w:r w:rsidR="00483EDC" w:rsidRPr="00483EDC">
        <w:rPr>
          <w:rFonts w:ascii="Arial" w:hAnsi="Arial" w:cs="Arial"/>
          <w:b/>
        </w:rPr>
        <w:t xml:space="preserve"> School Teachers</w:t>
      </w:r>
      <w:r w:rsidR="005017A4">
        <w:rPr>
          <w:rFonts w:ascii="Arial" w:hAnsi="Arial" w:cs="Arial"/>
          <w:b/>
        </w:rPr>
        <w:t xml:space="preserve"> </w:t>
      </w:r>
      <w:r w:rsidR="005017A4" w:rsidRPr="005017A4">
        <w:rPr>
          <w:rFonts w:ascii="Arial" w:hAnsi="Arial" w:cs="Arial"/>
          <w:b/>
        </w:rPr>
        <w:t>in the K-12 Education Context</w:t>
      </w:r>
    </w:p>
    <w:p w14:paraId="1B38FF68" w14:textId="77777777" w:rsidR="00EF4B2D" w:rsidRPr="005017A4" w:rsidRDefault="00EF4B2D" w:rsidP="005017A4">
      <w:pPr>
        <w:rPr>
          <w:rFonts w:ascii="Arial" w:hAnsi="Arial" w:cs="Arial"/>
          <w:b/>
        </w:rPr>
      </w:pPr>
    </w:p>
    <w:p w14:paraId="69D23EB0" w14:textId="234B87BC"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017A4" w:rsidRPr="005017A4">
        <w:rPr>
          <w:rFonts w:ascii="Arial" w:hAnsi="Arial" w:cs="Arial"/>
          <w:i/>
          <w:iCs/>
        </w:rPr>
        <w:t>Extent of Professional Preparation among Public Secondary School Teachers in the K-12 Education Context</w:t>
      </w:r>
    </w:p>
    <w:p w14:paraId="23A30693" w14:textId="77777777" w:rsidR="005017A4" w:rsidRDefault="005017A4">
      <w:pPr>
        <w:suppressAutoHyphens/>
        <w:jc w:val="both"/>
        <w:rPr>
          <w:rFonts w:ascii="Arial" w:hAnsi="Arial" w:cs="Arial"/>
          <w:i/>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72"/>
        <w:gridCol w:w="606"/>
        <w:gridCol w:w="728"/>
        <w:gridCol w:w="1862"/>
      </w:tblGrid>
      <w:tr w:rsidR="005017A4" w:rsidRPr="005017A4" w14:paraId="10B4E974" w14:textId="77777777" w:rsidTr="005017A4">
        <w:trPr>
          <w:trHeight w:val="35"/>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777368C2"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2186D43D"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4C88E214"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08" w:type="dxa"/>
              <w:bottom w:w="0" w:type="dxa"/>
              <w:right w:w="108" w:type="dxa"/>
            </w:tcMar>
            <w:hideMark/>
          </w:tcPr>
          <w:p w14:paraId="3A5602C4"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Descriptive Level</w:t>
            </w:r>
          </w:p>
        </w:tc>
      </w:tr>
      <w:tr w:rsidR="005017A4" w:rsidRPr="005017A4" w14:paraId="00B5962B" w14:textId="77777777" w:rsidTr="005017A4">
        <w:trPr>
          <w:trHeight w:val="269"/>
          <w:jc w:val="center"/>
        </w:trPr>
        <w:tc>
          <w:tcPr>
            <w:tcW w:w="0" w:type="auto"/>
            <w:tcBorders>
              <w:top w:val="single" w:sz="4" w:space="0" w:color="000000"/>
            </w:tcBorders>
            <w:tcMar>
              <w:top w:w="0" w:type="dxa"/>
              <w:left w:w="108" w:type="dxa"/>
              <w:bottom w:w="0" w:type="dxa"/>
              <w:right w:w="108" w:type="dxa"/>
            </w:tcMar>
            <w:hideMark/>
          </w:tcPr>
          <w:p w14:paraId="076CCF3A"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Planning</w:t>
            </w:r>
          </w:p>
        </w:tc>
        <w:tc>
          <w:tcPr>
            <w:tcW w:w="0" w:type="auto"/>
            <w:tcBorders>
              <w:top w:val="single" w:sz="4" w:space="0" w:color="000000"/>
            </w:tcBorders>
            <w:tcMar>
              <w:top w:w="0" w:type="dxa"/>
              <w:left w:w="108" w:type="dxa"/>
              <w:bottom w:w="0" w:type="dxa"/>
              <w:right w:w="108" w:type="dxa"/>
            </w:tcMar>
            <w:hideMark/>
          </w:tcPr>
          <w:p w14:paraId="74568D81"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0.70</w:t>
            </w:r>
          </w:p>
        </w:tc>
        <w:tc>
          <w:tcPr>
            <w:tcW w:w="0" w:type="auto"/>
            <w:tcBorders>
              <w:top w:val="single" w:sz="4" w:space="0" w:color="000000"/>
            </w:tcBorders>
            <w:tcMar>
              <w:top w:w="0" w:type="dxa"/>
              <w:left w:w="108" w:type="dxa"/>
              <w:bottom w:w="0" w:type="dxa"/>
              <w:right w:w="108" w:type="dxa"/>
            </w:tcMar>
            <w:hideMark/>
          </w:tcPr>
          <w:p w14:paraId="377F78DD"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4.40</w:t>
            </w:r>
          </w:p>
        </w:tc>
        <w:tc>
          <w:tcPr>
            <w:tcW w:w="0" w:type="auto"/>
            <w:tcBorders>
              <w:top w:val="single" w:sz="4" w:space="0" w:color="000000"/>
            </w:tcBorders>
            <w:tcMar>
              <w:top w:w="0" w:type="dxa"/>
              <w:left w:w="108" w:type="dxa"/>
              <w:bottom w:w="0" w:type="dxa"/>
              <w:right w:w="108" w:type="dxa"/>
            </w:tcMar>
            <w:hideMark/>
          </w:tcPr>
          <w:p w14:paraId="304C7873"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Very Extensive</w:t>
            </w:r>
          </w:p>
        </w:tc>
      </w:tr>
      <w:tr w:rsidR="005017A4" w:rsidRPr="005017A4" w14:paraId="737F33D5" w14:textId="77777777" w:rsidTr="005017A4">
        <w:trPr>
          <w:trHeight w:val="280"/>
          <w:jc w:val="center"/>
        </w:trPr>
        <w:tc>
          <w:tcPr>
            <w:tcW w:w="0" w:type="auto"/>
            <w:tcMar>
              <w:top w:w="0" w:type="dxa"/>
              <w:left w:w="108" w:type="dxa"/>
              <w:bottom w:w="0" w:type="dxa"/>
              <w:right w:w="108" w:type="dxa"/>
            </w:tcMar>
            <w:hideMark/>
          </w:tcPr>
          <w:p w14:paraId="514EA08C"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Executing</w:t>
            </w:r>
          </w:p>
        </w:tc>
        <w:tc>
          <w:tcPr>
            <w:tcW w:w="0" w:type="auto"/>
            <w:tcMar>
              <w:top w:w="0" w:type="dxa"/>
              <w:left w:w="108" w:type="dxa"/>
              <w:bottom w:w="0" w:type="dxa"/>
              <w:right w:w="108" w:type="dxa"/>
            </w:tcMar>
            <w:hideMark/>
          </w:tcPr>
          <w:p w14:paraId="50720C27"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0.65</w:t>
            </w:r>
          </w:p>
        </w:tc>
        <w:tc>
          <w:tcPr>
            <w:tcW w:w="0" w:type="auto"/>
            <w:tcMar>
              <w:top w:w="0" w:type="dxa"/>
              <w:left w:w="108" w:type="dxa"/>
              <w:bottom w:w="0" w:type="dxa"/>
              <w:right w:w="108" w:type="dxa"/>
            </w:tcMar>
            <w:hideMark/>
          </w:tcPr>
          <w:p w14:paraId="42490BAF"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4.39</w:t>
            </w:r>
          </w:p>
        </w:tc>
        <w:tc>
          <w:tcPr>
            <w:tcW w:w="0" w:type="auto"/>
            <w:tcMar>
              <w:top w:w="0" w:type="dxa"/>
              <w:left w:w="108" w:type="dxa"/>
              <w:bottom w:w="0" w:type="dxa"/>
              <w:right w:w="108" w:type="dxa"/>
            </w:tcMar>
            <w:hideMark/>
          </w:tcPr>
          <w:p w14:paraId="07521869"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Very Extensive</w:t>
            </w:r>
          </w:p>
        </w:tc>
      </w:tr>
      <w:tr w:rsidR="005017A4" w:rsidRPr="005017A4" w14:paraId="02EDBB0D" w14:textId="77777777" w:rsidTr="005017A4">
        <w:trPr>
          <w:trHeight w:val="280"/>
          <w:jc w:val="center"/>
        </w:trPr>
        <w:tc>
          <w:tcPr>
            <w:tcW w:w="0" w:type="auto"/>
            <w:tcBorders>
              <w:bottom w:val="single" w:sz="4" w:space="0" w:color="000000"/>
            </w:tcBorders>
            <w:tcMar>
              <w:top w:w="0" w:type="dxa"/>
              <w:left w:w="108" w:type="dxa"/>
              <w:bottom w:w="0" w:type="dxa"/>
              <w:right w:w="108" w:type="dxa"/>
            </w:tcMar>
            <w:hideMark/>
          </w:tcPr>
          <w:p w14:paraId="71F45B5A"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Evaluating</w:t>
            </w:r>
          </w:p>
        </w:tc>
        <w:tc>
          <w:tcPr>
            <w:tcW w:w="0" w:type="auto"/>
            <w:tcBorders>
              <w:bottom w:val="single" w:sz="4" w:space="0" w:color="000000"/>
            </w:tcBorders>
            <w:tcMar>
              <w:top w:w="0" w:type="dxa"/>
              <w:left w:w="108" w:type="dxa"/>
              <w:bottom w:w="0" w:type="dxa"/>
              <w:right w:w="108" w:type="dxa"/>
            </w:tcMar>
            <w:hideMark/>
          </w:tcPr>
          <w:p w14:paraId="466177F7"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0.73</w:t>
            </w:r>
          </w:p>
        </w:tc>
        <w:tc>
          <w:tcPr>
            <w:tcW w:w="0" w:type="auto"/>
            <w:tcBorders>
              <w:bottom w:val="single" w:sz="4" w:space="0" w:color="000000"/>
            </w:tcBorders>
            <w:tcMar>
              <w:top w:w="0" w:type="dxa"/>
              <w:left w:w="108" w:type="dxa"/>
              <w:bottom w:w="0" w:type="dxa"/>
              <w:right w:w="108" w:type="dxa"/>
            </w:tcMar>
            <w:hideMark/>
          </w:tcPr>
          <w:p w14:paraId="24442AB4"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4.40</w:t>
            </w:r>
          </w:p>
        </w:tc>
        <w:tc>
          <w:tcPr>
            <w:tcW w:w="0" w:type="auto"/>
            <w:tcBorders>
              <w:bottom w:val="single" w:sz="4" w:space="0" w:color="000000"/>
            </w:tcBorders>
            <w:tcMar>
              <w:top w:w="0" w:type="dxa"/>
              <w:left w:w="108" w:type="dxa"/>
              <w:bottom w:w="0" w:type="dxa"/>
              <w:right w:w="108" w:type="dxa"/>
            </w:tcMar>
            <w:hideMark/>
          </w:tcPr>
          <w:p w14:paraId="66270B69"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Very Extensive</w:t>
            </w:r>
          </w:p>
        </w:tc>
      </w:tr>
      <w:tr w:rsidR="005017A4" w:rsidRPr="005017A4" w14:paraId="35609314" w14:textId="77777777" w:rsidTr="005017A4">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752D9785"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711AB331"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0.55</w:t>
            </w:r>
          </w:p>
        </w:tc>
        <w:tc>
          <w:tcPr>
            <w:tcW w:w="0" w:type="auto"/>
            <w:tcBorders>
              <w:top w:val="single" w:sz="4" w:space="0" w:color="000000"/>
              <w:bottom w:val="single" w:sz="4" w:space="0" w:color="auto"/>
            </w:tcBorders>
            <w:tcMar>
              <w:top w:w="0" w:type="dxa"/>
              <w:left w:w="108" w:type="dxa"/>
              <w:bottom w:w="0" w:type="dxa"/>
              <w:right w:w="108" w:type="dxa"/>
            </w:tcMar>
            <w:hideMark/>
          </w:tcPr>
          <w:p w14:paraId="28594288"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4.40</w:t>
            </w:r>
          </w:p>
        </w:tc>
        <w:tc>
          <w:tcPr>
            <w:tcW w:w="0" w:type="auto"/>
            <w:tcBorders>
              <w:top w:val="single" w:sz="4" w:space="0" w:color="000000"/>
              <w:bottom w:val="single" w:sz="4" w:space="0" w:color="auto"/>
            </w:tcBorders>
            <w:tcMar>
              <w:top w:w="0" w:type="dxa"/>
              <w:left w:w="108" w:type="dxa"/>
              <w:bottom w:w="0" w:type="dxa"/>
              <w:right w:w="108" w:type="dxa"/>
            </w:tcMar>
            <w:hideMark/>
          </w:tcPr>
          <w:p w14:paraId="035A2C42"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60DA6EEE" w14:textId="24A0B937" w:rsidR="00A8786A" w:rsidRDefault="00A8786A" w:rsidP="00510ED2">
      <w:pPr>
        <w:jc w:val="both"/>
        <w:rPr>
          <w:rFonts w:ascii="Arial" w:hAnsi="Arial" w:cs="Arial"/>
        </w:rPr>
      </w:pPr>
      <w:r w:rsidRPr="00A8786A">
        <w:rPr>
          <w:rFonts w:ascii="Arial" w:hAnsi="Arial" w:cs="Arial"/>
        </w:rPr>
        <w:t xml:space="preserve">Presented in Table 1 is the </w:t>
      </w:r>
      <w:r w:rsidR="00510ED2" w:rsidRPr="00510ED2">
        <w:rPr>
          <w:rFonts w:ascii="Arial" w:hAnsi="Arial" w:cs="Arial"/>
        </w:rPr>
        <w:t>summary of the indicators in the extent of professional preparation of teachers, including planning, executing, and evaluating, based on the mean scores and standard deviations. The indicator of planning has a mean of 4.40, categorized as "very extensive," followed by evaluating, which also received a mean of 4.40, categorized as "very extensive." The indicator of executing has a mean of 4.39, categorized as "very extensive."</w:t>
      </w:r>
    </w:p>
    <w:p w14:paraId="44EE384A" w14:textId="0C302364" w:rsidR="00A41BB2" w:rsidRDefault="00A41BB2" w:rsidP="00510ED2">
      <w:pPr>
        <w:jc w:val="both"/>
        <w:rPr>
          <w:rFonts w:ascii="Arial" w:hAnsi="Arial" w:cs="Arial"/>
        </w:rPr>
      </w:pPr>
    </w:p>
    <w:p w14:paraId="672F1442" w14:textId="77777777" w:rsidR="00A41BB2" w:rsidRPr="00A41BB2" w:rsidRDefault="00A41BB2" w:rsidP="00A41BB2">
      <w:pPr>
        <w:jc w:val="both"/>
        <w:rPr>
          <w:rFonts w:ascii="Arial" w:hAnsi="Arial" w:cs="Arial"/>
        </w:rPr>
      </w:pPr>
      <w:r w:rsidRPr="00A41BB2">
        <w:rPr>
          <w:rFonts w:ascii="Arial" w:hAnsi="Arial" w:cs="Arial"/>
        </w:rPr>
        <w:t>The overall mean of 4.40 is described as "very extensive," indicating that teachers generally implement curriculum preparation practices to a very high degree across these indicators.</w:t>
      </w:r>
    </w:p>
    <w:p w14:paraId="06AFE426" w14:textId="465CE75F" w:rsidR="00A41BB2" w:rsidRPr="00A41BB2" w:rsidRDefault="00A41BB2" w:rsidP="00A41BB2">
      <w:pPr>
        <w:jc w:val="both"/>
        <w:rPr>
          <w:rFonts w:ascii="Arial" w:hAnsi="Arial" w:cs="Arial"/>
        </w:rPr>
      </w:pPr>
      <w:r w:rsidRPr="00A41BB2">
        <w:rPr>
          <w:rFonts w:ascii="Arial" w:hAnsi="Arial" w:cs="Arial"/>
        </w:rPr>
        <w:t xml:space="preserve">This suggests that teachers consistently and thoroughly engage in the processes of planning, executing, and evaluating the curriculum. Their professional preparation in these areas is comprehensive, likely contributing to their </w:t>
      </w:r>
      <w:r>
        <w:rPr>
          <w:rFonts w:ascii="Arial" w:hAnsi="Arial" w:cs="Arial"/>
        </w:rPr>
        <w:t xml:space="preserve">overall teaching effectiveness. </w:t>
      </w:r>
      <w:r w:rsidRPr="00A41BB2">
        <w:rPr>
          <w:rFonts w:ascii="Arial" w:hAnsi="Arial" w:cs="Arial"/>
        </w:rPr>
        <w:t>The overall standard deviation of 0.55, being less than 1, indicates that the ratings were consistent or closely clustered around the mean.</w:t>
      </w:r>
    </w:p>
    <w:p w14:paraId="577868CB" w14:textId="77777777" w:rsidR="00A41BB2" w:rsidRDefault="00A41BB2" w:rsidP="00A41BB2">
      <w:pPr>
        <w:jc w:val="both"/>
        <w:rPr>
          <w:rFonts w:ascii="Arial" w:hAnsi="Arial" w:cs="Arial"/>
        </w:rPr>
      </w:pPr>
    </w:p>
    <w:p w14:paraId="2DCA6A07" w14:textId="029634E8" w:rsidR="00A41BB2" w:rsidRPr="00510ED2" w:rsidRDefault="00A41BB2" w:rsidP="00A41BB2">
      <w:pPr>
        <w:jc w:val="both"/>
        <w:rPr>
          <w:rFonts w:ascii="Arial" w:hAnsi="Arial" w:cs="Arial"/>
        </w:rPr>
      </w:pPr>
      <w:r w:rsidRPr="00A41BB2">
        <w:rPr>
          <w:rFonts w:ascii="Arial" w:hAnsi="Arial" w:cs="Arial"/>
        </w:rPr>
        <w:t xml:space="preserve">This finding is consistent with the research of Kelley et al. (2020), which suggests that a strong levels of professional preparation significantly enhance teachers' ability to plan, execute, and evaluate their teaching effectively. Teachers who receive thorough professional development are more equipped to implement effective strategies in the classroom, contributing to improved </w:t>
      </w:r>
      <w:r w:rsidRPr="00A41BB2">
        <w:rPr>
          <w:rFonts w:ascii="Arial" w:hAnsi="Arial" w:cs="Arial"/>
        </w:rPr>
        <w:lastRenderedPageBreak/>
        <w:t>student outcomes. Furthermore, Byrd et al. (2020) found that teachers with strong professional preparation can adapt their teaching styles to meet the diverse needs of their students better, leading to a more inclusive and effective learning environment. Similarly, Mansfield (2020) highlighted that professional preparation not only improves teachers' knowledge but also empowers them to handle challenges with greater confidence and skill.</w:t>
      </w:r>
    </w:p>
    <w:p w14:paraId="66825AE4" w14:textId="77777777" w:rsidR="00510ED2" w:rsidRDefault="00510ED2">
      <w:pPr>
        <w:jc w:val="both"/>
        <w:rPr>
          <w:rFonts w:ascii="Arial" w:hAnsi="Arial" w:cs="Arial"/>
          <w:b/>
        </w:rPr>
      </w:pPr>
    </w:p>
    <w:p w14:paraId="49153FC3" w14:textId="6FA2FCCB" w:rsidR="00E16D4E" w:rsidRDefault="00180859">
      <w:pPr>
        <w:jc w:val="both"/>
        <w:rPr>
          <w:rFonts w:ascii="Arial" w:hAnsi="Arial" w:cs="Arial"/>
          <w:b/>
        </w:rPr>
      </w:pPr>
      <w:r>
        <w:rPr>
          <w:rFonts w:ascii="Arial" w:hAnsi="Arial" w:cs="Arial"/>
          <w:b/>
        </w:rPr>
        <w:t>3.2</w:t>
      </w:r>
      <w:r w:rsidR="00A41BB2">
        <w:rPr>
          <w:rFonts w:ascii="Arial" w:hAnsi="Arial" w:cs="Arial"/>
          <w:b/>
        </w:rPr>
        <w:t>.</w:t>
      </w:r>
      <w:r>
        <w:rPr>
          <w:rFonts w:ascii="Arial" w:hAnsi="Arial" w:cs="Arial"/>
          <w:b/>
        </w:rPr>
        <w:t xml:space="preserve"> </w:t>
      </w:r>
      <w:r w:rsidR="00A41BB2" w:rsidRPr="00A41BB2">
        <w:rPr>
          <w:rFonts w:ascii="Arial" w:hAnsi="Arial" w:cs="Arial"/>
          <w:b/>
        </w:rPr>
        <w:t>Extent of Curriculum Assessment among Public Secondary School Teachers in the K-12 Education Context</w:t>
      </w:r>
    </w:p>
    <w:p w14:paraId="5B335AF5" w14:textId="77777777" w:rsidR="00D532E8" w:rsidRDefault="00D532E8">
      <w:pPr>
        <w:jc w:val="both"/>
        <w:rPr>
          <w:rFonts w:ascii="Arial" w:hAnsi="Arial" w:cs="Arial"/>
          <w:b/>
        </w:rPr>
      </w:pPr>
    </w:p>
    <w:p w14:paraId="2745F126" w14:textId="1F58212F"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41BB2" w:rsidRPr="00A41BB2">
        <w:rPr>
          <w:rFonts w:ascii="Arial" w:hAnsi="Arial" w:cs="Arial"/>
          <w:i/>
        </w:rPr>
        <w:t>Extent of Curriculum Assessment among Public Secondary School Teachers in the K-12 Education Context</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62"/>
        <w:gridCol w:w="606"/>
        <w:gridCol w:w="728"/>
        <w:gridCol w:w="1862"/>
      </w:tblGrid>
      <w:tr w:rsidR="00A41BB2" w:rsidRPr="00A41BB2" w14:paraId="6BE5FC2C" w14:textId="77777777" w:rsidTr="00A41BB2">
        <w:trPr>
          <w:trHeight w:val="207"/>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5633AABB"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1729A49F"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39D35B0"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08" w:type="dxa"/>
              <w:bottom w:w="0" w:type="dxa"/>
              <w:right w:w="108" w:type="dxa"/>
            </w:tcMar>
            <w:hideMark/>
          </w:tcPr>
          <w:p w14:paraId="3121772E"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Descriptive Level</w:t>
            </w:r>
          </w:p>
        </w:tc>
      </w:tr>
      <w:tr w:rsidR="00A41BB2" w:rsidRPr="00A41BB2" w14:paraId="66EB685B" w14:textId="77777777" w:rsidTr="00A41BB2">
        <w:trPr>
          <w:trHeight w:val="269"/>
          <w:jc w:val="center"/>
        </w:trPr>
        <w:tc>
          <w:tcPr>
            <w:tcW w:w="0" w:type="auto"/>
            <w:tcBorders>
              <w:top w:val="single" w:sz="4" w:space="0" w:color="000000"/>
            </w:tcBorders>
            <w:tcMar>
              <w:top w:w="0" w:type="dxa"/>
              <w:left w:w="108" w:type="dxa"/>
              <w:bottom w:w="0" w:type="dxa"/>
              <w:right w:w="108" w:type="dxa"/>
            </w:tcMar>
            <w:hideMark/>
          </w:tcPr>
          <w:p w14:paraId="7108035E"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Curriculum Content</w:t>
            </w:r>
          </w:p>
        </w:tc>
        <w:tc>
          <w:tcPr>
            <w:tcW w:w="0" w:type="auto"/>
            <w:tcBorders>
              <w:top w:val="single" w:sz="4" w:space="0" w:color="000000"/>
            </w:tcBorders>
            <w:tcMar>
              <w:top w:w="0" w:type="dxa"/>
              <w:left w:w="108" w:type="dxa"/>
              <w:bottom w:w="0" w:type="dxa"/>
              <w:right w:w="108" w:type="dxa"/>
            </w:tcMar>
            <w:hideMark/>
          </w:tcPr>
          <w:p w14:paraId="5B760FD4"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0.68</w:t>
            </w:r>
          </w:p>
        </w:tc>
        <w:tc>
          <w:tcPr>
            <w:tcW w:w="0" w:type="auto"/>
            <w:tcBorders>
              <w:top w:val="single" w:sz="4" w:space="0" w:color="000000"/>
            </w:tcBorders>
            <w:tcMar>
              <w:top w:w="0" w:type="dxa"/>
              <w:left w:w="108" w:type="dxa"/>
              <w:bottom w:w="0" w:type="dxa"/>
              <w:right w:w="108" w:type="dxa"/>
            </w:tcMar>
            <w:hideMark/>
          </w:tcPr>
          <w:p w14:paraId="5B4A1A65"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4.11</w:t>
            </w:r>
          </w:p>
        </w:tc>
        <w:tc>
          <w:tcPr>
            <w:tcW w:w="0" w:type="auto"/>
            <w:tcBorders>
              <w:top w:val="single" w:sz="4" w:space="0" w:color="000000"/>
            </w:tcBorders>
            <w:tcMar>
              <w:top w:w="0" w:type="dxa"/>
              <w:left w:w="108" w:type="dxa"/>
              <w:bottom w:w="0" w:type="dxa"/>
              <w:right w:w="108" w:type="dxa"/>
            </w:tcMar>
            <w:hideMark/>
          </w:tcPr>
          <w:p w14:paraId="44E3817D"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0E47A480" w14:textId="77777777" w:rsidTr="00A41BB2">
        <w:trPr>
          <w:trHeight w:val="280"/>
          <w:jc w:val="center"/>
        </w:trPr>
        <w:tc>
          <w:tcPr>
            <w:tcW w:w="0" w:type="auto"/>
            <w:tcMar>
              <w:top w:w="0" w:type="dxa"/>
              <w:left w:w="108" w:type="dxa"/>
              <w:bottom w:w="0" w:type="dxa"/>
              <w:right w:w="108" w:type="dxa"/>
            </w:tcMar>
            <w:hideMark/>
          </w:tcPr>
          <w:p w14:paraId="700F63FE"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Curriculum Objectives</w:t>
            </w:r>
          </w:p>
        </w:tc>
        <w:tc>
          <w:tcPr>
            <w:tcW w:w="0" w:type="auto"/>
            <w:tcMar>
              <w:top w:w="0" w:type="dxa"/>
              <w:left w:w="108" w:type="dxa"/>
              <w:bottom w:w="0" w:type="dxa"/>
              <w:right w:w="108" w:type="dxa"/>
            </w:tcMar>
            <w:hideMark/>
          </w:tcPr>
          <w:p w14:paraId="197BE78F"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0.65</w:t>
            </w:r>
          </w:p>
        </w:tc>
        <w:tc>
          <w:tcPr>
            <w:tcW w:w="0" w:type="auto"/>
            <w:tcMar>
              <w:top w:w="0" w:type="dxa"/>
              <w:left w:w="108" w:type="dxa"/>
              <w:bottom w:w="0" w:type="dxa"/>
              <w:right w:w="108" w:type="dxa"/>
            </w:tcMar>
            <w:hideMark/>
          </w:tcPr>
          <w:p w14:paraId="416F1C29"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4.13</w:t>
            </w:r>
          </w:p>
        </w:tc>
        <w:tc>
          <w:tcPr>
            <w:tcW w:w="0" w:type="auto"/>
            <w:tcMar>
              <w:top w:w="0" w:type="dxa"/>
              <w:left w:w="108" w:type="dxa"/>
              <w:bottom w:w="0" w:type="dxa"/>
              <w:right w:w="108" w:type="dxa"/>
            </w:tcMar>
            <w:hideMark/>
          </w:tcPr>
          <w:p w14:paraId="5E98281C"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29841918" w14:textId="77777777" w:rsidTr="00A41BB2">
        <w:trPr>
          <w:trHeight w:val="280"/>
          <w:jc w:val="center"/>
        </w:trPr>
        <w:tc>
          <w:tcPr>
            <w:tcW w:w="0" w:type="auto"/>
            <w:tcMar>
              <w:top w:w="0" w:type="dxa"/>
              <w:left w:w="108" w:type="dxa"/>
              <w:bottom w:w="0" w:type="dxa"/>
              <w:right w:w="108" w:type="dxa"/>
            </w:tcMar>
            <w:hideMark/>
          </w:tcPr>
          <w:p w14:paraId="6D7E6C4F"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Educational Effectiveness</w:t>
            </w:r>
          </w:p>
        </w:tc>
        <w:tc>
          <w:tcPr>
            <w:tcW w:w="0" w:type="auto"/>
            <w:tcMar>
              <w:top w:w="0" w:type="dxa"/>
              <w:left w:w="108" w:type="dxa"/>
              <w:bottom w:w="0" w:type="dxa"/>
              <w:right w:w="108" w:type="dxa"/>
            </w:tcMar>
            <w:hideMark/>
          </w:tcPr>
          <w:p w14:paraId="260DFA2D"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0.60</w:t>
            </w:r>
          </w:p>
        </w:tc>
        <w:tc>
          <w:tcPr>
            <w:tcW w:w="0" w:type="auto"/>
            <w:tcMar>
              <w:top w:w="0" w:type="dxa"/>
              <w:left w:w="108" w:type="dxa"/>
              <w:bottom w:w="0" w:type="dxa"/>
              <w:right w:w="108" w:type="dxa"/>
            </w:tcMar>
            <w:hideMark/>
          </w:tcPr>
          <w:p w14:paraId="01436459"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4.15</w:t>
            </w:r>
          </w:p>
        </w:tc>
        <w:tc>
          <w:tcPr>
            <w:tcW w:w="0" w:type="auto"/>
            <w:tcMar>
              <w:top w:w="0" w:type="dxa"/>
              <w:left w:w="108" w:type="dxa"/>
              <w:bottom w:w="0" w:type="dxa"/>
              <w:right w:w="108" w:type="dxa"/>
            </w:tcMar>
            <w:hideMark/>
          </w:tcPr>
          <w:p w14:paraId="116D4F33"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5C0A5B80" w14:textId="77777777" w:rsidTr="00A41BB2">
        <w:trPr>
          <w:trHeight w:val="280"/>
          <w:jc w:val="center"/>
        </w:trPr>
        <w:tc>
          <w:tcPr>
            <w:tcW w:w="0" w:type="auto"/>
            <w:tcBorders>
              <w:bottom w:val="single" w:sz="4" w:space="0" w:color="000000"/>
            </w:tcBorders>
            <w:tcMar>
              <w:top w:w="0" w:type="dxa"/>
              <w:left w:w="108" w:type="dxa"/>
              <w:bottom w:w="0" w:type="dxa"/>
              <w:right w:w="108" w:type="dxa"/>
            </w:tcMar>
            <w:hideMark/>
          </w:tcPr>
          <w:p w14:paraId="4BC36A39"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Resource Materials and Facilities</w:t>
            </w:r>
          </w:p>
        </w:tc>
        <w:tc>
          <w:tcPr>
            <w:tcW w:w="0" w:type="auto"/>
            <w:tcBorders>
              <w:bottom w:val="single" w:sz="4" w:space="0" w:color="000000"/>
            </w:tcBorders>
            <w:tcMar>
              <w:top w:w="0" w:type="dxa"/>
              <w:left w:w="108" w:type="dxa"/>
              <w:bottom w:w="0" w:type="dxa"/>
              <w:right w:w="108" w:type="dxa"/>
            </w:tcMar>
            <w:hideMark/>
          </w:tcPr>
          <w:p w14:paraId="22CEED41"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0.58</w:t>
            </w:r>
          </w:p>
        </w:tc>
        <w:tc>
          <w:tcPr>
            <w:tcW w:w="0" w:type="auto"/>
            <w:tcBorders>
              <w:bottom w:val="single" w:sz="4" w:space="0" w:color="000000"/>
            </w:tcBorders>
            <w:tcMar>
              <w:top w:w="0" w:type="dxa"/>
              <w:left w:w="108" w:type="dxa"/>
              <w:bottom w:w="0" w:type="dxa"/>
              <w:right w:w="108" w:type="dxa"/>
            </w:tcMar>
            <w:hideMark/>
          </w:tcPr>
          <w:p w14:paraId="77709EFE"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3.95</w:t>
            </w:r>
          </w:p>
        </w:tc>
        <w:tc>
          <w:tcPr>
            <w:tcW w:w="0" w:type="auto"/>
            <w:tcBorders>
              <w:bottom w:val="single" w:sz="4" w:space="0" w:color="000000"/>
            </w:tcBorders>
            <w:tcMar>
              <w:top w:w="0" w:type="dxa"/>
              <w:left w:w="108" w:type="dxa"/>
              <w:bottom w:w="0" w:type="dxa"/>
              <w:right w:w="108" w:type="dxa"/>
            </w:tcMar>
            <w:hideMark/>
          </w:tcPr>
          <w:p w14:paraId="369061F2"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53A736A4" w14:textId="77777777" w:rsidTr="00A41BB2">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14652E7F"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Overall</w:t>
            </w:r>
          </w:p>
          <w:p w14:paraId="08B56E52" w14:textId="77777777" w:rsidR="00A41BB2" w:rsidRPr="00A41BB2" w:rsidRDefault="00A41BB2" w:rsidP="00A41BB2">
            <w:pPr>
              <w:rPr>
                <w:rFonts w:ascii="Times New Roman" w:hAnsi="Times New Roman"/>
                <w:lang w:val="en-PH" w:eastAsia="en-PH"/>
              </w:rPr>
            </w:pPr>
          </w:p>
        </w:tc>
        <w:tc>
          <w:tcPr>
            <w:tcW w:w="0" w:type="auto"/>
            <w:tcBorders>
              <w:top w:val="single" w:sz="4" w:space="0" w:color="000000"/>
              <w:bottom w:val="single" w:sz="4" w:space="0" w:color="auto"/>
            </w:tcBorders>
            <w:tcMar>
              <w:top w:w="0" w:type="dxa"/>
              <w:left w:w="108" w:type="dxa"/>
              <w:bottom w:w="0" w:type="dxa"/>
              <w:right w:w="108" w:type="dxa"/>
            </w:tcMar>
            <w:hideMark/>
          </w:tcPr>
          <w:p w14:paraId="3355EB66"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0.48</w:t>
            </w:r>
          </w:p>
        </w:tc>
        <w:tc>
          <w:tcPr>
            <w:tcW w:w="0" w:type="auto"/>
            <w:tcBorders>
              <w:top w:val="single" w:sz="4" w:space="0" w:color="000000"/>
              <w:bottom w:val="single" w:sz="4" w:space="0" w:color="auto"/>
            </w:tcBorders>
            <w:tcMar>
              <w:top w:w="0" w:type="dxa"/>
              <w:left w:w="108" w:type="dxa"/>
              <w:bottom w:w="0" w:type="dxa"/>
              <w:right w:w="108" w:type="dxa"/>
            </w:tcMar>
            <w:hideMark/>
          </w:tcPr>
          <w:p w14:paraId="023476F5"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4.37</w:t>
            </w:r>
          </w:p>
        </w:tc>
        <w:tc>
          <w:tcPr>
            <w:tcW w:w="0" w:type="auto"/>
            <w:tcBorders>
              <w:top w:val="single" w:sz="4" w:space="0" w:color="000000"/>
              <w:bottom w:val="single" w:sz="4" w:space="0" w:color="auto"/>
            </w:tcBorders>
            <w:tcMar>
              <w:top w:w="0" w:type="dxa"/>
              <w:left w:w="108" w:type="dxa"/>
              <w:bottom w:w="0" w:type="dxa"/>
              <w:right w:w="108" w:type="dxa"/>
            </w:tcMar>
            <w:hideMark/>
          </w:tcPr>
          <w:p w14:paraId="31C452BF"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Extensive</w:t>
            </w:r>
          </w:p>
        </w:tc>
      </w:tr>
    </w:tbl>
    <w:p w14:paraId="21ED3F61" w14:textId="1BE63C0C" w:rsidR="0073677C" w:rsidRDefault="0073677C" w:rsidP="0073677C">
      <w:pPr>
        <w:jc w:val="both"/>
        <w:rPr>
          <w:rFonts w:ascii="Arial" w:hAnsi="Arial" w:cs="Arial"/>
        </w:rPr>
      </w:pPr>
    </w:p>
    <w:p w14:paraId="6A9A65FC" w14:textId="77777777" w:rsidR="00A41BB2" w:rsidRDefault="00A41BB2" w:rsidP="0073677C">
      <w:pPr>
        <w:jc w:val="both"/>
        <w:rPr>
          <w:rFonts w:ascii="Arial" w:hAnsi="Arial" w:cs="Arial"/>
        </w:rPr>
      </w:pPr>
    </w:p>
    <w:p w14:paraId="05A76F15" w14:textId="77777777" w:rsidR="00A41BB2" w:rsidRPr="00A41BB2" w:rsidRDefault="00691641" w:rsidP="00A41BB2">
      <w:pPr>
        <w:jc w:val="both"/>
        <w:rPr>
          <w:rFonts w:ascii="Arial" w:hAnsi="Arial" w:cs="Arial"/>
        </w:rPr>
      </w:pPr>
      <w:r>
        <w:rPr>
          <w:rFonts w:ascii="Arial" w:hAnsi="Arial" w:cs="Arial"/>
        </w:rPr>
        <w:t>Presented in Table 2</w:t>
      </w:r>
      <w:r w:rsidRPr="00691641">
        <w:rPr>
          <w:rFonts w:ascii="Arial" w:hAnsi="Arial" w:cs="Arial"/>
        </w:rPr>
        <w:t xml:space="preserve"> </w:t>
      </w:r>
      <w:r w:rsidR="00A41BB2" w:rsidRPr="00A41BB2">
        <w:rPr>
          <w:rFonts w:ascii="Arial" w:hAnsi="Arial" w:cs="Arial"/>
        </w:rPr>
        <w:t>is the summary of the indicators in the extent of curriculum assessment of teachers, including curriculum content, curriculum objectives, educational effectiveness, and resource materials and facilities, based on the mean scores and standard deviations. The indicator of educational effectiveness has the highest mean of 4.15, which is categorized as "extensive," followed by curriculum objectives with a mean of 4.13, also categorized as "extensive." The indicator of curriculum content received a mean of 4.11, categorized as "extensive." The indicator of resource materials and facilities received the lowest mean of 3.95, categorized as "extensive." The overall mean of 4.37 is described as "extensive," indicating that teachers generally implement curriculum assessment practices to a high degree across these indicators.</w:t>
      </w:r>
    </w:p>
    <w:p w14:paraId="00631B5D" w14:textId="77777777" w:rsidR="00A41BB2" w:rsidRDefault="00A41BB2" w:rsidP="00A41BB2">
      <w:pPr>
        <w:jc w:val="both"/>
        <w:rPr>
          <w:rFonts w:ascii="Arial" w:hAnsi="Arial" w:cs="Arial"/>
        </w:rPr>
      </w:pPr>
    </w:p>
    <w:p w14:paraId="035D3E9E" w14:textId="354A59C8" w:rsidR="00A41BB2" w:rsidRPr="00A41BB2" w:rsidRDefault="00A41BB2" w:rsidP="00A41BB2">
      <w:pPr>
        <w:jc w:val="both"/>
        <w:rPr>
          <w:rFonts w:ascii="Arial" w:hAnsi="Arial" w:cs="Arial"/>
        </w:rPr>
      </w:pPr>
      <w:r w:rsidRPr="00A41BB2">
        <w:rPr>
          <w:rFonts w:ascii="Arial" w:hAnsi="Arial" w:cs="Arial"/>
        </w:rPr>
        <w:t>This suggests that teachers prioritize educational effectiveness and curriculum objectives in their assessments, with curriculum content also being highly emphasized. However, resource materials and facilities seem to be less emphasized compared to other indicators.</w:t>
      </w:r>
    </w:p>
    <w:p w14:paraId="1F13EE89" w14:textId="64DD7A18" w:rsidR="00D815DA" w:rsidRDefault="00A41BB2" w:rsidP="00A41BB2">
      <w:pPr>
        <w:jc w:val="both"/>
        <w:rPr>
          <w:rFonts w:ascii="Arial" w:hAnsi="Arial" w:cs="Arial"/>
        </w:rPr>
      </w:pPr>
      <w:r w:rsidRPr="00A41BB2">
        <w:rPr>
          <w:rFonts w:ascii="Arial" w:hAnsi="Arial" w:cs="Arial"/>
        </w:rPr>
        <w:t>The overall standard deviation of 0.48, being less than 1, indicates that the ratings were consistent or closely clustered around the mean.</w:t>
      </w:r>
    </w:p>
    <w:p w14:paraId="1FA1C443" w14:textId="10F8E760" w:rsidR="00A41BB2" w:rsidRDefault="00A41BB2" w:rsidP="00A41BB2">
      <w:pPr>
        <w:jc w:val="both"/>
        <w:rPr>
          <w:rFonts w:ascii="Arial" w:hAnsi="Arial" w:cs="Arial"/>
        </w:rPr>
      </w:pPr>
    </w:p>
    <w:p w14:paraId="37D10938" w14:textId="418F93B4" w:rsidR="00A41BB2" w:rsidRDefault="00A41BB2" w:rsidP="00A41BB2">
      <w:pPr>
        <w:jc w:val="both"/>
        <w:rPr>
          <w:rFonts w:ascii="Arial" w:hAnsi="Arial" w:cs="Arial"/>
        </w:rPr>
      </w:pPr>
      <w:r w:rsidRPr="00A41BB2">
        <w:rPr>
          <w:rFonts w:ascii="Arial" w:hAnsi="Arial" w:cs="Arial"/>
        </w:rPr>
        <w:t xml:space="preserve">This finding supports the conclusions drawn by Hamilton et al. (2021), who found that a high level of curriculum assessment is linked to more effective teaching practices and improved student outcomes. Teachers who engage in thorough curriculum assessment are better equipped to evaluate the alignment between learning objectives, content, and assessments, which ultimately enhances the coherence and relevance of their teaching. Furthermore, a study by </w:t>
      </w:r>
      <w:proofErr w:type="spellStart"/>
      <w:r w:rsidR="00A4596B" w:rsidRPr="00A4596B">
        <w:rPr>
          <w:rFonts w:ascii="Arial" w:hAnsi="Arial" w:cs="Arial"/>
        </w:rPr>
        <w:t>Kusmawan</w:t>
      </w:r>
      <w:proofErr w:type="spellEnd"/>
      <w:r w:rsidR="00A4596B" w:rsidRPr="00A4596B">
        <w:rPr>
          <w:rFonts w:ascii="Arial" w:hAnsi="Arial" w:cs="Arial"/>
        </w:rPr>
        <w:t xml:space="preserve"> </w:t>
      </w:r>
      <w:r w:rsidR="00A4596B">
        <w:rPr>
          <w:rFonts w:ascii="Arial" w:hAnsi="Arial" w:cs="Arial"/>
        </w:rPr>
        <w:t>et al. (2025</w:t>
      </w:r>
      <w:r w:rsidRPr="00A41BB2">
        <w:rPr>
          <w:rFonts w:ascii="Arial" w:hAnsi="Arial" w:cs="Arial"/>
        </w:rPr>
        <w:t>) found that teachers who actively assess and adjust their curriculum based on feedback and results are able to better meet the needs of their students, leading to higher levels of student engagement and academic success. Additionally, Harrington et al. (2021) argue that continuous curriculum assessment is crucial for fostering an adaptive teaching environment, where adjustments are made to ensure both content relevance and educational effectiveness.</w:t>
      </w:r>
    </w:p>
    <w:p w14:paraId="34E12B80" w14:textId="77777777" w:rsidR="00A41BB2" w:rsidRDefault="00A41BB2" w:rsidP="00A41BB2">
      <w:pPr>
        <w:jc w:val="both"/>
        <w:rPr>
          <w:rFonts w:ascii="Arial" w:hAnsi="Arial" w:cs="Arial"/>
        </w:rPr>
      </w:pPr>
    </w:p>
    <w:p w14:paraId="30567870" w14:textId="2131FF27" w:rsidR="00D815DA" w:rsidRDefault="00781D5E" w:rsidP="00F600DB">
      <w:pPr>
        <w:jc w:val="both"/>
        <w:rPr>
          <w:rFonts w:ascii="Arial" w:hAnsi="Arial" w:cs="Arial"/>
          <w:iCs/>
        </w:rPr>
      </w:pPr>
      <w:r>
        <w:rPr>
          <w:rFonts w:ascii="Arial" w:hAnsi="Arial" w:cs="Arial"/>
          <w:b/>
          <w:bCs/>
          <w:iCs/>
        </w:rPr>
        <w:t xml:space="preserve">3.3 </w:t>
      </w:r>
      <w:r w:rsidR="00A41BB2" w:rsidRPr="00A41BB2">
        <w:rPr>
          <w:rFonts w:ascii="Arial" w:hAnsi="Arial" w:cs="Arial"/>
          <w:b/>
          <w:bCs/>
          <w:iCs/>
        </w:rPr>
        <w:t>Significant Relationship between Professional Preparation and Curriculum Assessment of Public Elementary School Teachers</w:t>
      </w:r>
    </w:p>
    <w:p w14:paraId="1C8DB0B6" w14:textId="585D36DE" w:rsidR="00F927B2" w:rsidRDefault="00180859" w:rsidP="00F927B2">
      <w:pPr>
        <w:jc w:val="both"/>
        <w:rPr>
          <w:rFonts w:ascii="Arial" w:hAnsi="Arial" w:cs="Arial"/>
          <w:i/>
        </w:rPr>
      </w:pPr>
      <w:r>
        <w:rPr>
          <w:rFonts w:ascii="Arial" w:hAnsi="Arial" w:cs="Arial"/>
          <w:iCs/>
        </w:rPr>
        <w:lastRenderedPageBreak/>
        <w:t>Table 3</w:t>
      </w:r>
      <w:r w:rsidR="00781D5E">
        <w:rPr>
          <w:rFonts w:ascii="Arial" w:hAnsi="Arial" w:cs="Arial"/>
          <w:iCs/>
        </w:rPr>
        <w:t>.</w:t>
      </w:r>
      <w:r>
        <w:rPr>
          <w:rFonts w:ascii="Arial" w:hAnsi="Arial" w:cs="Arial"/>
          <w:iCs/>
        </w:rPr>
        <w:t xml:space="preserve">  </w:t>
      </w:r>
      <w:r w:rsidR="00A41BB2" w:rsidRPr="00A41BB2">
        <w:rPr>
          <w:rFonts w:ascii="Arial" w:hAnsi="Arial" w:cs="Arial"/>
          <w:i/>
        </w:rPr>
        <w:t>Significant Relationship between Professional Preparation and Curriculum Assessment of Public Elementary School Teachers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37"/>
        <w:gridCol w:w="728"/>
        <w:gridCol w:w="606"/>
        <w:gridCol w:w="606"/>
        <w:gridCol w:w="606"/>
        <w:gridCol w:w="1883"/>
        <w:gridCol w:w="818"/>
        <w:gridCol w:w="1124"/>
      </w:tblGrid>
      <w:tr w:rsidR="00A41BB2" w:rsidRPr="00A41BB2" w14:paraId="2FFA3284" w14:textId="77777777" w:rsidTr="00A41BB2">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1255B2A7"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7CB359F4"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08" w:type="dxa"/>
              <w:bottom w:w="0" w:type="dxa"/>
              <w:right w:w="108" w:type="dxa"/>
            </w:tcMar>
            <w:hideMark/>
          </w:tcPr>
          <w:p w14:paraId="078ECE35"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08" w:type="dxa"/>
              <w:bottom w:w="0" w:type="dxa"/>
              <w:right w:w="108" w:type="dxa"/>
            </w:tcMar>
            <w:hideMark/>
          </w:tcPr>
          <w:p w14:paraId="0C8979FC"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11196AE7" w14:textId="77777777" w:rsidR="00A41BB2" w:rsidRPr="00A41BB2" w:rsidRDefault="00A41BB2" w:rsidP="00A41BB2">
            <w:pPr>
              <w:shd w:val="clear" w:color="auto" w:fill="FFFFFF"/>
              <w:rPr>
                <w:rFonts w:ascii="Times New Roman" w:hAnsi="Times New Roman"/>
                <w:lang w:val="en-PH" w:eastAsia="en-PH"/>
              </w:rPr>
            </w:pPr>
            <w:r w:rsidRPr="00A41BB2">
              <w:rPr>
                <w:rFonts w:ascii="Arial" w:hAnsi="Arial" w:cs="Arial"/>
                <w:b/>
                <w:bCs/>
                <w:color w:val="000000"/>
                <w:lang w:val="en-PH" w:eastAsia="en-PH"/>
              </w:rPr>
              <w:t>R²</w:t>
            </w:r>
          </w:p>
          <w:p w14:paraId="1726D5CB" w14:textId="77777777" w:rsidR="00A41BB2" w:rsidRPr="00A41BB2" w:rsidRDefault="00A41BB2" w:rsidP="00A41BB2">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47E4973A"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Degree of Relationship</w:t>
            </w:r>
          </w:p>
          <w:p w14:paraId="278A54AD" w14:textId="77777777" w:rsidR="00A41BB2" w:rsidRPr="00A41BB2" w:rsidRDefault="00A41BB2" w:rsidP="00A41BB2">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00DF4B11"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114F72F7"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Decision</w:t>
            </w:r>
          </w:p>
        </w:tc>
      </w:tr>
      <w:tr w:rsidR="00A41BB2" w:rsidRPr="00A41BB2" w14:paraId="6A77C433" w14:textId="77777777" w:rsidTr="00A41BB2">
        <w:trPr>
          <w:jc w:val="center"/>
        </w:trPr>
        <w:tc>
          <w:tcPr>
            <w:tcW w:w="0" w:type="auto"/>
            <w:tcBorders>
              <w:top w:val="single" w:sz="4" w:space="0" w:color="000000"/>
            </w:tcBorders>
            <w:tcMar>
              <w:top w:w="0" w:type="dxa"/>
              <w:left w:w="108" w:type="dxa"/>
              <w:bottom w:w="0" w:type="dxa"/>
              <w:right w:w="108" w:type="dxa"/>
            </w:tcMar>
            <w:hideMark/>
          </w:tcPr>
          <w:p w14:paraId="2C70CD8E"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Professional Preparation</w:t>
            </w:r>
          </w:p>
          <w:p w14:paraId="7E8A8960"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3C526B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5D6A2B7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0.62</w:t>
            </w:r>
          </w:p>
        </w:tc>
        <w:tc>
          <w:tcPr>
            <w:tcW w:w="0" w:type="auto"/>
            <w:tcBorders>
              <w:top w:val="single" w:sz="4" w:space="0" w:color="000000"/>
            </w:tcBorders>
            <w:tcMar>
              <w:top w:w="0" w:type="dxa"/>
              <w:left w:w="108" w:type="dxa"/>
              <w:bottom w:w="0" w:type="dxa"/>
              <w:right w:w="108" w:type="dxa"/>
            </w:tcMar>
            <w:hideMark/>
          </w:tcPr>
          <w:p w14:paraId="4D117168"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31387714"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5E3CFB01"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64762CCD"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4A1B3B4" w14:textId="77777777" w:rsidR="00A41BB2" w:rsidRPr="00A41BB2" w:rsidRDefault="00A41BB2" w:rsidP="00A41BB2">
            <w:pPr>
              <w:rPr>
                <w:rFonts w:ascii="Times New Roman" w:hAnsi="Times New Roman"/>
                <w:lang w:val="en-PH" w:eastAsia="en-PH"/>
              </w:rPr>
            </w:pPr>
          </w:p>
        </w:tc>
      </w:tr>
      <w:tr w:rsidR="00A41BB2" w:rsidRPr="00A41BB2" w14:paraId="5598D787" w14:textId="77777777" w:rsidTr="00A41BB2">
        <w:trPr>
          <w:jc w:val="center"/>
        </w:trPr>
        <w:tc>
          <w:tcPr>
            <w:tcW w:w="0" w:type="auto"/>
            <w:tcMar>
              <w:top w:w="0" w:type="dxa"/>
              <w:left w:w="108" w:type="dxa"/>
              <w:bottom w:w="0" w:type="dxa"/>
              <w:right w:w="108" w:type="dxa"/>
            </w:tcMar>
            <w:hideMark/>
          </w:tcPr>
          <w:p w14:paraId="0FAEC121" w14:textId="77777777" w:rsidR="00A41BB2" w:rsidRPr="00A41BB2" w:rsidRDefault="00A41BB2" w:rsidP="00A41BB2">
            <w:pPr>
              <w:spacing w:after="240"/>
              <w:rPr>
                <w:rFonts w:ascii="Times New Roman" w:hAnsi="Times New Roman"/>
                <w:lang w:val="en-PH" w:eastAsia="en-PH"/>
              </w:rPr>
            </w:pPr>
            <w:r w:rsidRPr="00A41BB2">
              <w:rPr>
                <w:rFonts w:ascii="Times New Roman" w:hAnsi="Times New Roman"/>
                <w:lang w:val="en-PH" w:eastAsia="en-PH"/>
              </w:rPr>
              <w:br/>
            </w:r>
          </w:p>
        </w:tc>
        <w:tc>
          <w:tcPr>
            <w:tcW w:w="0" w:type="auto"/>
            <w:tcMar>
              <w:top w:w="0" w:type="dxa"/>
              <w:left w:w="108" w:type="dxa"/>
              <w:bottom w:w="0" w:type="dxa"/>
              <w:right w:w="108" w:type="dxa"/>
            </w:tcMar>
            <w:hideMark/>
          </w:tcPr>
          <w:p w14:paraId="3E33D858"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65FF7B23"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1523DF62"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0.46</w:t>
            </w:r>
          </w:p>
        </w:tc>
        <w:tc>
          <w:tcPr>
            <w:tcW w:w="0" w:type="auto"/>
            <w:tcMar>
              <w:top w:w="0" w:type="dxa"/>
              <w:left w:w="108" w:type="dxa"/>
              <w:bottom w:w="0" w:type="dxa"/>
              <w:right w:w="108" w:type="dxa"/>
            </w:tcMar>
            <w:hideMark/>
          </w:tcPr>
          <w:p w14:paraId="1C3D7B22"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0.21</w:t>
            </w:r>
          </w:p>
        </w:tc>
        <w:tc>
          <w:tcPr>
            <w:tcW w:w="0" w:type="auto"/>
            <w:tcMar>
              <w:top w:w="0" w:type="dxa"/>
              <w:left w:w="108" w:type="dxa"/>
              <w:bottom w:w="0" w:type="dxa"/>
              <w:right w:w="108" w:type="dxa"/>
            </w:tcMar>
            <w:hideMark/>
          </w:tcPr>
          <w:p w14:paraId="7DA99A98"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Moderate</w:t>
            </w:r>
          </w:p>
        </w:tc>
        <w:tc>
          <w:tcPr>
            <w:tcW w:w="0" w:type="auto"/>
            <w:tcMar>
              <w:top w:w="0" w:type="dxa"/>
              <w:left w:w="108" w:type="dxa"/>
              <w:bottom w:w="0" w:type="dxa"/>
              <w:right w:w="108" w:type="dxa"/>
            </w:tcMar>
            <w:hideMark/>
          </w:tcPr>
          <w:p w14:paraId="6E9CB1DA"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0C5FE31F"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Reject Ho1</w:t>
            </w:r>
          </w:p>
        </w:tc>
      </w:tr>
      <w:tr w:rsidR="00A41BB2" w:rsidRPr="00A41BB2" w14:paraId="68E15F32" w14:textId="77777777" w:rsidTr="00A41BB2">
        <w:trPr>
          <w:jc w:val="center"/>
        </w:trPr>
        <w:tc>
          <w:tcPr>
            <w:tcW w:w="0" w:type="auto"/>
            <w:tcBorders>
              <w:bottom w:val="single" w:sz="4" w:space="0" w:color="000000"/>
            </w:tcBorders>
            <w:tcMar>
              <w:top w:w="0" w:type="dxa"/>
              <w:left w:w="108" w:type="dxa"/>
              <w:bottom w:w="0" w:type="dxa"/>
              <w:right w:w="108" w:type="dxa"/>
            </w:tcMar>
            <w:hideMark/>
          </w:tcPr>
          <w:p w14:paraId="639149E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Curriculum Assessment</w:t>
            </w:r>
          </w:p>
          <w:p w14:paraId="57CC35E5"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503C876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3.95</w:t>
            </w:r>
          </w:p>
        </w:tc>
        <w:tc>
          <w:tcPr>
            <w:tcW w:w="0" w:type="auto"/>
            <w:tcBorders>
              <w:bottom w:val="single" w:sz="4" w:space="0" w:color="000000"/>
            </w:tcBorders>
            <w:tcMar>
              <w:top w:w="0" w:type="dxa"/>
              <w:left w:w="108" w:type="dxa"/>
              <w:bottom w:w="0" w:type="dxa"/>
              <w:right w:w="108" w:type="dxa"/>
            </w:tcMar>
            <w:hideMark/>
          </w:tcPr>
          <w:p w14:paraId="3D227160"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0.48</w:t>
            </w:r>
          </w:p>
        </w:tc>
        <w:tc>
          <w:tcPr>
            <w:tcW w:w="0" w:type="auto"/>
            <w:tcBorders>
              <w:bottom w:val="single" w:sz="4" w:space="0" w:color="000000"/>
            </w:tcBorders>
            <w:tcMar>
              <w:top w:w="0" w:type="dxa"/>
              <w:left w:w="108" w:type="dxa"/>
              <w:bottom w:w="0" w:type="dxa"/>
              <w:right w:w="108" w:type="dxa"/>
            </w:tcMar>
            <w:hideMark/>
          </w:tcPr>
          <w:p w14:paraId="6D64413F"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3A27F1C4"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2972CAFD"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33E21D22"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0484774C" w14:textId="77777777" w:rsidR="00A41BB2" w:rsidRPr="00A41BB2" w:rsidRDefault="00A41BB2" w:rsidP="00A41BB2">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2DCE8D08" w14:textId="77777777" w:rsidR="00A41BB2" w:rsidRPr="00A41BB2" w:rsidRDefault="00691641" w:rsidP="00A41BB2">
      <w:pPr>
        <w:jc w:val="both"/>
        <w:rPr>
          <w:rFonts w:ascii="Arial" w:hAnsi="Arial" w:cs="Arial"/>
        </w:rPr>
      </w:pPr>
      <w:r>
        <w:rPr>
          <w:rFonts w:ascii="Arial" w:hAnsi="Arial" w:cs="Arial"/>
        </w:rPr>
        <w:t>Presented in Table 3</w:t>
      </w:r>
      <w:r w:rsidRPr="00691641">
        <w:rPr>
          <w:rFonts w:ascii="Arial" w:hAnsi="Arial" w:cs="Arial"/>
        </w:rPr>
        <w:t xml:space="preserve"> </w:t>
      </w:r>
      <w:r w:rsidR="00A41BB2" w:rsidRPr="00A41BB2">
        <w:rPr>
          <w:rFonts w:ascii="Arial" w:hAnsi="Arial" w:cs="Arial"/>
        </w:rPr>
        <w:t>is the correlation analysis between professional preparation and curriculum assessment of public elementary school teachers. The relationship between professional preparation and curriculum assessment has a correlation coefficient of 0.46 with a p-value of 0.000, which is less than the 0.05 significance level. This indicates a moderate and statistically significant positive relationship between professional preparation and curriculum assessment. The R² value of 0.21 suggests that approximately 21% of the variation in curriculum assessment can be explained by professional preparation. Given that the p-value is less than 0.05, the null hypothesis (Ho1) is rejected, supporting the claim that professional preparation significantly influences the implementation of curriculum assessment.</w:t>
      </w:r>
    </w:p>
    <w:p w14:paraId="40E999CA" w14:textId="77777777" w:rsidR="00A41BB2" w:rsidRDefault="00A41BB2" w:rsidP="00A41BB2">
      <w:pPr>
        <w:jc w:val="both"/>
        <w:rPr>
          <w:rFonts w:ascii="Arial" w:hAnsi="Arial" w:cs="Arial"/>
        </w:rPr>
      </w:pPr>
    </w:p>
    <w:p w14:paraId="3B6CC02D" w14:textId="55372DEC" w:rsidR="00691641" w:rsidRPr="00A41BB2" w:rsidRDefault="00A41BB2" w:rsidP="00A41BB2">
      <w:pPr>
        <w:jc w:val="both"/>
        <w:rPr>
          <w:rFonts w:ascii="Arial" w:hAnsi="Arial" w:cs="Arial"/>
          <w:b/>
          <w:bCs/>
          <w:iCs/>
        </w:rPr>
      </w:pPr>
      <w:r w:rsidRPr="00A41BB2">
        <w:rPr>
          <w:rFonts w:ascii="Arial" w:hAnsi="Arial" w:cs="Arial"/>
        </w:rPr>
        <w:t>This suggests that teachers who engage in high levels of professional preparation are more likely to implement curriculum assessment practices in their classrooms effectively. Well-prepared teachers tend to have a deeper understanding of the curriculum and assessment strategies, enabling them to assess and adjust the curriculum more effectively based on student needs and learning outcomes. This connection highlights the importance of continuous professional development in supporting teachers' ability to assess and refine the curriculum to improve student learning.</w:t>
      </w:r>
    </w:p>
    <w:p w14:paraId="64DDED91" w14:textId="77777777" w:rsidR="00A41BB2" w:rsidRDefault="00A41BB2" w:rsidP="00151F8F">
      <w:pPr>
        <w:jc w:val="both"/>
        <w:rPr>
          <w:rFonts w:ascii="Arial" w:hAnsi="Arial" w:cs="Arial"/>
          <w:b/>
          <w:bCs/>
          <w:iCs/>
        </w:rPr>
      </w:pPr>
    </w:p>
    <w:p w14:paraId="4E1FC8E7" w14:textId="2982B647" w:rsidR="00A41BB2" w:rsidRPr="00A41BB2" w:rsidRDefault="00A41BB2" w:rsidP="00151F8F">
      <w:pPr>
        <w:jc w:val="both"/>
        <w:rPr>
          <w:rFonts w:ascii="Arial" w:hAnsi="Arial" w:cs="Arial"/>
          <w:bCs/>
          <w:iCs/>
        </w:rPr>
      </w:pPr>
      <w:r w:rsidRPr="00A41BB2">
        <w:rPr>
          <w:rFonts w:ascii="Arial" w:hAnsi="Arial" w:cs="Arial"/>
          <w:bCs/>
          <w:iCs/>
        </w:rPr>
        <w:t xml:space="preserve">This finding aligns with the work of Byrd et al. (2020), who found that teachers with strong professional preparation are better equipped to assess curriculum effectiveness and make necessary adjustments to meet educational goals. Their research indicated that well-prepared teachers are more adept at using assessments to guide instruction and improve overall curriculum quality. Additionally, the study by Iqbal et al. (2024) suggested that a teacher’s professional preparation is essential in fostering a reflective approach to curriculum assessment, helping educators identify areas for improvement and enhancing the overall teaching-learning process. Furthermore, </w:t>
      </w:r>
      <w:proofErr w:type="spellStart"/>
      <w:r w:rsidRPr="00A41BB2">
        <w:rPr>
          <w:rFonts w:ascii="Arial" w:hAnsi="Arial" w:cs="Arial"/>
          <w:bCs/>
          <w:iCs/>
        </w:rPr>
        <w:t>Sancar</w:t>
      </w:r>
      <w:proofErr w:type="spellEnd"/>
      <w:r w:rsidRPr="00A41BB2">
        <w:rPr>
          <w:rFonts w:ascii="Arial" w:hAnsi="Arial" w:cs="Arial"/>
          <w:bCs/>
          <w:iCs/>
        </w:rPr>
        <w:t xml:space="preserve"> et al. (2021) argued that when teachers engage in comprehensive professional development, they gain the skills needed to conduct effective curriculum assessments, leading to more impactful and efficient educational practices.</w:t>
      </w:r>
    </w:p>
    <w:p w14:paraId="1EC14021" w14:textId="77777777" w:rsidR="00A41BB2" w:rsidRDefault="00A41BB2" w:rsidP="00151F8F">
      <w:pPr>
        <w:jc w:val="both"/>
        <w:rPr>
          <w:rFonts w:ascii="Arial" w:hAnsi="Arial" w:cs="Arial"/>
          <w:b/>
          <w:bCs/>
          <w:iCs/>
        </w:rPr>
      </w:pPr>
    </w:p>
    <w:p w14:paraId="0D8ABDEF" w14:textId="772FADA0"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41BB2" w:rsidRPr="00A41BB2">
        <w:rPr>
          <w:rFonts w:ascii="Arial" w:hAnsi="Arial" w:cs="Arial"/>
          <w:b/>
          <w:bCs/>
          <w:iCs/>
        </w:rPr>
        <w:t>Domains of Professional Preparation that Significantly Influence the Curriculum Assessment of Public Elementary School Teachers</w:t>
      </w:r>
    </w:p>
    <w:p w14:paraId="7568132A" w14:textId="77777777" w:rsidR="00914755" w:rsidRDefault="00914755" w:rsidP="00665D1C">
      <w:pPr>
        <w:rPr>
          <w:rFonts w:ascii="Arial" w:hAnsi="Arial" w:cs="Arial"/>
          <w:b/>
          <w:bCs/>
          <w:iCs/>
        </w:rPr>
      </w:pPr>
    </w:p>
    <w:p w14:paraId="42F31227" w14:textId="245E037C" w:rsidR="00187916" w:rsidRPr="00B364F1" w:rsidRDefault="00B364F1" w:rsidP="00B364F1">
      <w:pPr>
        <w:jc w:val="both"/>
        <w:rPr>
          <w:rFonts w:ascii="Arial" w:eastAsia="Arial" w:hAnsi="Arial"/>
          <w:i/>
        </w:rPr>
      </w:pPr>
      <w:r w:rsidRPr="00B364F1">
        <w:rPr>
          <w:rFonts w:ascii="Arial" w:eastAsia="Arial" w:hAnsi="Arial"/>
          <w:b/>
        </w:rPr>
        <w:t xml:space="preserve">Table 4. </w:t>
      </w:r>
      <w:r w:rsidR="00A41BB2" w:rsidRPr="00A41BB2">
        <w:rPr>
          <w:rFonts w:ascii="Arial" w:eastAsia="Arial" w:hAnsi="Arial"/>
          <w:i/>
        </w:rPr>
        <w:t>Domains of Professional Preparation that Significantly Influence the Curriculum Assessment of Public Elementary School Teachers</w:t>
      </w:r>
    </w:p>
    <w:p w14:paraId="5CB07BF5" w14:textId="7437914E" w:rsidR="00D82866" w:rsidRPr="00D815DA" w:rsidRDefault="00D82866" w:rsidP="00D82866">
      <w:pPr>
        <w:jc w:val="both"/>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85"/>
        <w:gridCol w:w="835"/>
        <w:gridCol w:w="835"/>
        <w:gridCol w:w="896"/>
        <w:gridCol w:w="971"/>
        <w:gridCol w:w="1263"/>
        <w:gridCol w:w="1569"/>
      </w:tblGrid>
      <w:tr w:rsidR="00A41BB2" w:rsidRPr="00A41BB2" w14:paraId="6842849F" w14:textId="77777777" w:rsidTr="00A41BB2">
        <w:trPr>
          <w:trHeight w:val="323"/>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5AEE229A"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08" w:type="dxa"/>
              <w:bottom w:w="0" w:type="dxa"/>
              <w:right w:w="108" w:type="dxa"/>
            </w:tcMar>
            <w:hideMark/>
          </w:tcPr>
          <w:p w14:paraId="7CB250B3"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08" w:type="dxa"/>
              <w:bottom w:w="0" w:type="dxa"/>
              <w:right w:w="108" w:type="dxa"/>
            </w:tcMar>
            <w:hideMark/>
          </w:tcPr>
          <w:p w14:paraId="5FCECC4D"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08" w:type="dxa"/>
              <w:bottom w:w="0" w:type="dxa"/>
              <w:right w:w="108" w:type="dxa"/>
            </w:tcMar>
            <w:hideMark/>
          </w:tcPr>
          <w:p w14:paraId="1B8087C2"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08" w:type="dxa"/>
              <w:bottom w:w="0" w:type="dxa"/>
              <w:right w:w="108" w:type="dxa"/>
            </w:tcMar>
            <w:hideMark/>
          </w:tcPr>
          <w:p w14:paraId="2CE4D287"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08" w:type="dxa"/>
              <w:bottom w:w="0" w:type="dxa"/>
              <w:right w:w="108" w:type="dxa"/>
            </w:tcMar>
            <w:hideMark/>
          </w:tcPr>
          <w:p w14:paraId="616D4F98"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39937028"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Decision</w:t>
            </w:r>
          </w:p>
        </w:tc>
      </w:tr>
      <w:tr w:rsidR="00A41BB2" w:rsidRPr="00A41BB2" w14:paraId="4AD4CE6E" w14:textId="77777777" w:rsidTr="00A41BB2">
        <w:trPr>
          <w:trHeight w:val="536"/>
          <w:jc w:val="center"/>
        </w:trPr>
        <w:tc>
          <w:tcPr>
            <w:tcW w:w="0" w:type="auto"/>
            <w:tcBorders>
              <w:top w:val="single" w:sz="4" w:space="0" w:color="000000"/>
            </w:tcBorders>
            <w:tcMar>
              <w:top w:w="0" w:type="dxa"/>
              <w:left w:w="108" w:type="dxa"/>
              <w:bottom w:w="0" w:type="dxa"/>
              <w:right w:w="108" w:type="dxa"/>
            </w:tcMar>
            <w:hideMark/>
          </w:tcPr>
          <w:p w14:paraId="5AE6BCA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Constant</w:t>
            </w:r>
          </w:p>
        </w:tc>
        <w:tc>
          <w:tcPr>
            <w:tcW w:w="0" w:type="auto"/>
            <w:tcBorders>
              <w:top w:val="single" w:sz="4" w:space="0" w:color="000000"/>
            </w:tcBorders>
            <w:tcMar>
              <w:top w:w="0" w:type="dxa"/>
              <w:left w:w="108" w:type="dxa"/>
              <w:bottom w:w="0" w:type="dxa"/>
              <w:right w:w="108" w:type="dxa"/>
            </w:tcMar>
            <w:hideMark/>
          </w:tcPr>
          <w:p w14:paraId="60E013EE"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2.20</w:t>
            </w:r>
          </w:p>
        </w:tc>
        <w:tc>
          <w:tcPr>
            <w:tcW w:w="0" w:type="auto"/>
            <w:tcBorders>
              <w:top w:val="single" w:sz="4" w:space="0" w:color="000000"/>
            </w:tcBorders>
            <w:tcMar>
              <w:top w:w="0" w:type="dxa"/>
              <w:left w:w="108" w:type="dxa"/>
              <w:bottom w:w="0" w:type="dxa"/>
              <w:right w:w="108" w:type="dxa"/>
            </w:tcMar>
            <w:hideMark/>
          </w:tcPr>
          <w:p w14:paraId="0F697352"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0.65</w:t>
            </w:r>
          </w:p>
        </w:tc>
        <w:tc>
          <w:tcPr>
            <w:tcW w:w="0" w:type="auto"/>
            <w:tcBorders>
              <w:top w:val="single" w:sz="4" w:space="0" w:color="000000"/>
            </w:tcBorders>
            <w:tcMar>
              <w:top w:w="0" w:type="dxa"/>
              <w:left w:w="108" w:type="dxa"/>
              <w:bottom w:w="0" w:type="dxa"/>
              <w:right w:w="108" w:type="dxa"/>
            </w:tcMar>
            <w:hideMark/>
          </w:tcPr>
          <w:p w14:paraId="5B79CCCE"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6AB2E7A1"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6C6D01CC"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2CEAE80C"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49D0E017" w14:textId="77777777" w:rsidTr="00A41BB2">
        <w:trPr>
          <w:trHeight w:val="521"/>
          <w:jc w:val="center"/>
        </w:trPr>
        <w:tc>
          <w:tcPr>
            <w:tcW w:w="0" w:type="auto"/>
            <w:tcMar>
              <w:top w:w="0" w:type="dxa"/>
              <w:left w:w="108" w:type="dxa"/>
              <w:bottom w:w="0" w:type="dxa"/>
              <w:right w:w="108" w:type="dxa"/>
            </w:tcMar>
            <w:hideMark/>
          </w:tcPr>
          <w:p w14:paraId="61002308"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lastRenderedPageBreak/>
              <w:t>Planning</w:t>
            </w:r>
          </w:p>
        </w:tc>
        <w:tc>
          <w:tcPr>
            <w:tcW w:w="0" w:type="auto"/>
            <w:tcMar>
              <w:top w:w="0" w:type="dxa"/>
              <w:left w:w="108" w:type="dxa"/>
              <w:bottom w:w="0" w:type="dxa"/>
              <w:right w:w="108" w:type="dxa"/>
            </w:tcMar>
            <w:hideMark/>
          </w:tcPr>
          <w:p w14:paraId="5D4CD84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0.60</w:t>
            </w:r>
          </w:p>
        </w:tc>
        <w:tc>
          <w:tcPr>
            <w:tcW w:w="0" w:type="auto"/>
            <w:tcMar>
              <w:top w:w="0" w:type="dxa"/>
              <w:left w:w="108" w:type="dxa"/>
              <w:bottom w:w="0" w:type="dxa"/>
              <w:right w:w="108" w:type="dxa"/>
            </w:tcMar>
            <w:hideMark/>
          </w:tcPr>
          <w:p w14:paraId="6811E49F"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0.35</w:t>
            </w:r>
          </w:p>
        </w:tc>
        <w:tc>
          <w:tcPr>
            <w:tcW w:w="0" w:type="auto"/>
            <w:tcMar>
              <w:top w:w="0" w:type="dxa"/>
              <w:left w:w="108" w:type="dxa"/>
              <w:bottom w:w="0" w:type="dxa"/>
              <w:right w:w="108" w:type="dxa"/>
            </w:tcMar>
            <w:hideMark/>
          </w:tcPr>
          <w:p w14:paraId="117C96E2"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0.36</w:t>
            </w:r>
          </w:p>
        </w:tc>
        <w:tc>
          <w:tcPr>
            <w:tcW w:w="0" w:type="auto"/>
            <w:tcMar>
              <w:top w:w="0" w:type="dxa"/>
              <w:left w:w="108" w:type="dxa"/>
              <w:bottom w:w="0" w:type="dxa"/>
              <w:right w:w="108" w:type="dxa"/>
            </w:tcMar>
            <w:hideMark/>
          </w:tcPr>
          <w:p w14:paraId="73B51DE3"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2.32</w:t>
            </w:r>
          </w:p>
        </w:tc>
        <w:tc>
          <w:tcPr>
            <w:tcW w:w="0" w:type="auto"/>
            <w:tcMar>
              <w:top w:w="0" w:type="dxa"/>
              <w:left w:w="108" w:type="dxa"/>
              <w:bottom w:w="0" w:type="dxa"/>
              <w:right w:w="108" w:type="dxa"/>
            </w:tcMar>
            <w:hideMark/>
          </w:tcPr>
          <w:p w14:paraId="064879BD"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25730D45"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179397ED" w14:textId="77777777" w:rsidTr="00A41BB2">
        <w:trPr>
          <w:trHeight w:val="521"/>
          <w:jc w:val="center"/>
        </w:trPr>
        <w:tc>
          <w:tcPr>
            <w:tcW w:w="0" w:type="auto"/>
            <w:tcMar>
              <w:top w:w="0" w:type="dxa"/>
              <w:left w:w="108" w:type="dxa"/>
              <w:bottom w:w="0" w:type="dxa"/>
              <w:right w:w="108" w:type="dxa"/>
            </w:tcMar>
            <w:hideMark/>
          </w:tcPr>
          <w:p w14:paraId="6D31ABE4"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Executing</w:t>
            </w:r>
          </w:p>
        </w:tc>
        <w:tc>
          <w:tcPr>
            <w:tcW w:w="0" w:type="auto"/>
            <w:tcMar>
              <w:top w:w="0" w:type="dxa"/>
              <w:left w:w="108" w:type="dxa"/>
              <w:bottom w:w="0" w:type="dxa"/>
              <w:right w:w="108" w:type="dxa"/>
            </w:tcMar>
            <w:hideMark/>
          </w:tcPr>
          <w:p w14:paraId="259C4C5B"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0.62</w:t>
            </w:r>
          </w:p>
        </w:tc>
        <w:tc>
          <w:tcPr>
            <w:tcW w:w="0" w:type="auto"/>
            <w:tcMar>
              <w:top w:w="0" w:type="dxa"/>
              <w:left w:w="108" w:type="dxa"/>
              <w:bottom w:w="0" w:type="dxa"/>
              <w:right w:w="108" w:type="dxa"/>
            </w:tcMar>
            <w:hideMark/>
          </w:tcPr>
          <w:p w14:paraId="782A02B7"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0.24</w:t>
            </w:r>
          </w:p>
        </w:tc>
        <w:tc>
          <w:tcPr>
            <w:tcW w:w="0" w:type="auto"/>
            <w:tcMar>
              <w:top w:w="0" w:type="dxa"/>
              <w:left w:w="108" w:type="dxa"/>
              <w:bottom w:w="0" w:type="dxa"/>
              <w:right w:w="108" w:type="dxa"/>
            </w:tcMar>
            <w:hideMark/>
          </w:tcPr>
          <w:p w14:paraId="7EB72781"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0.32</w:t>
            </w:r>
          </w:p>
        </w:tc>
        <w:tc>
          <w:tcPr>
            <w:tcW w:w="0" w:type="auto"/>
            <w:tcMar>
              <w:top w:w="0" w:type="dxa"/>
              <w:left w:w="108" w:type="dxa"/>
              <w:bottom w:w="0" w:type="dxa"/>
              <w:right w:w="108" w:type="dxa"/>
            </w:tcMar>
            <w:hideMark/>
          </w:tcPr>
          <w:p w14:paraId="537377F9"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2.56</w:t>
            </w:r>
          </w:p>
        </w:tc>
        <w:tc>
          <w:tcPr>
            <w:tcW w:w="0" w:type="auto"/>
            <w:tcMar>
              <w:top w:w="0" w:type="dxa"/>
              <w:left w:w="108" w:type="dxa"/>
              <w:bottom w:w="0" w:type="dxa"/>
              <w:right w:w="108" w:type="dxa"/>
            </w:tcMar>
            <w:hideMark/>
          </w:tcPr>
          <w:p w14:paraId="0FCE6BE5"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7D0DDAE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6E918A3B" w14:textId="77777777" w:rsidTr="00A41BB2">
        <w:trPr>
          <w:trHeight w:val="521"/>
          <w:jc w:val="center"/>
        </w:trPr>
        <w:tc>
          <w:tcPr>
            <w:tcW w:w="0" w:type="auto"/>
            <w:tcMar>
              <w:top w:w="0" w:type="dxa"/>
              <w:left w:w="108" w:type="dxa"/>
              <w:bottom w:w="0" w:type="dxa"/>
              <w:right w:w="108" w:type="dxa"/>
            </w:tcMar>
            <w:hideMark/>
          </w:tcPr>
          <w:p w14:paraId="14382802"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Evaluating</w:t>
            </w:r>
          </w:p>
        </w:tc>
        <w:tc>
          <w:tcPr>
            <w:tcW w:w="0" w:type="auto"/>
            <w:tcMar>
              <w:top w:w="0" w:type="dxa"/>
              <w:left w:w="108" w:type="dxa"/>
              <w:bottom w:w="0" w:type="dxa"/>
              <w:right w:w="108" w:type="dxa"/>
            </w:tcMar>
            <w:hideMark/>
          </w:tcPr>
          <w:p w14:paraId="49637E1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0.58</w:t>
            </w:r>
          </w:p>
        </w:tc>
        <w:tc>
          <w:tcPr>
            <w:tcW w:w="0" w:type="auto"/>
            <w:tcMar>
              <w:top w:w="0" w:type="dxa"/>
              <w:left w:w="108" w:type="dxa"/>
              <w:bottom w:w="0" w:type="dxa"/>
              <w:right w:w="108" w:type="dxa"/>
            </w:tcMar>
            <w:hideMark/>
          </w:tcPr>
          <w:p w14:paraId="08E8F60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0.20</w:t>
            </w:r>
          </w:p>
        </w:tc>
        <w:tc>
          <w:tcPr>
            <w:tcW w:w="0" w:type="auto"/>
            <w:tcMar>
              <w:top w:w="0" w:type="dxa"/>
              <w:left w:w="108" w:type="dxa"/>
              <w:bottom w:w="0" w:type="dxa"/>
              <w:right w:w="108" w:type="dxa"/>
            </w:tcMar>
            <w:hideMark/>
          </w:tcPr>
          <w:p w14:paraId="6C330A7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0.30</w:t>
            </w:r>
          </w:p>
        </w:tc>
        <w:tc>
          <w:tcPr>
            <w:tcW w:w="0" w:type="auto"/>
            <w:tcMar>
              <w:top w:w="0" w:type="dxa"/>
              <w:left w:w="108" w:type="dxa"/>
              <w:bottom w:w="0" w:type="dxa"/>
              <w:right w:w="108" w:type="dxa"/>
            </w:tcMar>
            <w:hideMark/>
          </w:tcPr>
          <w:p w14:paraId="7D25393D"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2.18</w:t>
            </w:r>
          </w:p>
        </w:tc>
        <w:tc>
          <w:tcPr>
            <w:tcW w:w="0" w:type="auto"/>
            <w:tcMar>
              <w:top w:w="0" w:type="dxa"/>
              <w:left w:w="108" w:type="dxa"/>
              <w:bottom w:w="0" w:type="dxa"/>
              <w:right w:w="108" w:type="dxa"/>
            </w:tcMar>
            <w:hideMark/>
          </w:tcPr>
          <w:p w14:paraId="1811DA6A"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7FF4D4B8"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7CF948D7" w14:textId="77777777" w:rsidTr="00A41BB2">
        <w:trPr>
          <w:trHeight w:val="536"/>
          <w:jc w:val="center"/>
        </w:trPr>
        <w:tc>
          <w:tcPr>
            <w:tcW w:w="0" w:type="auto"/>
            <w:tcMar>
              <w:top w:w="0" w:type="dxa"/>
              <w:left w:w="108" w:type="dxa"/>
              <w:bottom w:w="0" w:type="dxa"/>
              <w:right w:w="108" w:type="dxa"/>
            </w:tcMar>
            <w:hideMark/>
          </w:tcPr>
          <w:p w14:paraId="6070EF25"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67934611"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17F3DC09"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014D014B"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02373A52"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1BC50561"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706C11F1" w14:textId="77777777" w:rsidR="00A41BB2" w:rsidRPr="00A41BB2" w:rsidRDefault="00A41BB2" w:rsidP="00A41BB2">
            <w:pPr>
              <w:rPr>
                <w:rFonts w:ascii="Times New Roman" w:hAnsi="Times New Roman"/>
                <w:lang w:val="en-PH" w:eastAsia="en-PH"/>
              </w:rPr>
            </w:pPr>
          </w:p>
        </w:tc>
      </w:tr>
      <w:tr w:rsidR="00A41BB2" w:rsidRPr="00A41BB2" w14:paraId="10BD9F36" w14:textId="77777777" w:rsidTr="00A41BB2">
        <w:trPr>
          <w:trHeight w:val="521"/>
          <w:jc w:val="center"/>
        </w:trPr>
        <w:tc>
          <w:tcPr>
            <w:tcW w:w="0" w:type="auto"/>
            <w:gridSpan w:val="7"/>
            <w:tcMar>
              <w:top w:w="0" w:type="dxa"/>
              <w:left w:w="108" w:type="dxa"/>
              <w:bottom w:w="0" w:type="dxa"/>
              <w:right w:w="108" w:type="dxa"/>
            </w:tcMar>
            <w:hideMark/>
          </w:tcPr>
          <w:p w14:paraId="026C5320"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b/>
                <w:bCs/>
                <w:color w:val="000000"/>
                <w:u w:val="single"/>
                <w:lang w:val="en-PH" w:eastAsia="en-PH"/>
              </w:rPr>
              <w:t>Regression Model</w:t>
            </w:r>
          </w:p>
        </w:tc>
      </w:tr>
      <w:tr w:rsidR="00A41BB2" w:rsidRPr="00A41BB2" w14:paraId="47196FC0" w14:textId="77777777" w:rsidTr="00A41BB2">
        <w:trPr>
          <w:trHeight w:val="521"/>
          <w:jc w:val="center"/>
        </w:trPr>
        <w:tc>
          <w:tcPr>
            <w:tcW w:w="0" w:type="auto"/>
            <w:gridSpan w:val="7"/>
            <w:tcMar>
              <w:top w:w="0" w:type="dxa"/>
              <w:left w:w="108" w:type="dxa"/>
              <w:bottom w:w="0" w:type="dxa"/>
              <w:right w:w="108" w:type="dxa"/>
            </w:tcMar>
            <w:hideMark/>
          </w:tcPr>
          <w:p w14:paraId="55919104"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Curriculum Assessment =2.20 + 0.60 (Planning) + 0.62 (Executing) + 0.58 (Evaluating) </w:t>
            </w:r>
          </w:p>
          <w:p w14:paraId="4C753259" w14:textId="77777777" w:rsidR="00A41BB2" w:rsidRPr="00A41BB2" w:rsidRDefault="00A41BB2" w:rsidP="00A41BB2">
            <w:pPr>
              <w:rPr>
                <w:rFonts w:ascii="Times New Roman" w:hAnsi="Times New Roman"/>
                <w:lang w:val="en-PH" w:eastAsia="en-PH"/>
              </w:rPr>
            </w:pPr>
          </w:p>
        </w:tc>
      </w:tr>
      <w:tr w:rsidR="00A41BB2" w:rsidRPr="00A41BB2" w14:paraId="1259F5EF" w14:textId="77777777" w:rsidTr="00A41BB2">
        <w:trPr>
          <w:trHeight w:val="80"/>
          <w:jc w:val="center"/>
        </w:trPr>
        <w:tc>
          <w:tcPr>
            <w:tcW w:w="0" w:type="auto"/>
            <w:gridSpan w:val="7"/>
            <w:tcBorders>
              <w:bottom w:val="single" w:sz="4" w:space="0" w:color="000000"/>
            </w:tcBorders>
            <w:tcMar>
              <w:top w:w="0" w:type="dxa"/>
              <w:left w:w="108" w:type="dxa"/>
              <w:bottom w:w="0" w:type="dxa"/>
              <w:right w:w="108" w:type="dxa"/>
            </w:tcMar>
            <w:hideMark/>
          </w:tcPr>
          <w:p w14:paraId="35E0F669"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R=0.46; R²=0.211; F=16.25; p-value=0.000</w:t>
            </w:r>
          </w:p>
        </w:tc>
      </w:tr>
    </w:tbl>
    <w:p w14:paraId="6FDD1CAA" w14:textId="77777777" w:rsidR="00717F2E" w:rsidRDefault="00717F2E">
      <w:pPr>
        <w:jc w:val="both"/>
        <w:rPr>
          <w:rFonts w:ascii="Arial" w:hAnsi="Arial" w:cs="Arial"/>
        </w:rPr>
      </w:pPr>
    </w:p>
    <w:p w14:paraId="1D48522A" w14:textId="77777777" w:rsidR="00A41BB2" w:rsidRPr="00A41BB2" w:rsidRDefault="004C5898" w:rsidP="00A41BB2">
      <w:pPr>
        <w:pStyle w:val="Body"/>
        <w:rPr>
          <w:rFonts w:ascii="Arial" w:hAnsi="Arial" w:cs="Arial"/>
        </w:rPr>
      </w:pPr>
      <w:r>
        <w:rPr>
          <w:rFonts w:ascii="Arial" w:hAnsi="Arial" w:cs="Arial"/>
        </w:rPr>
        <w:t>Presented in Table 4</w:t>
      </w:r>
      <w:r w:rsidRPr="004C5898">
        <w:rPr>
          <w:rFonts w:ascii="Arial" w:hAnsi="Arial" w:cs="Arial"/>
        </w:rPr>
        <w:t xml:space="preserve"> </w:t>
      </w:r>
      <w:r w:rsidR="00A41BB2" w:rsidRPr="00A41BB2">
        <w:rPr>
          <w:rFonts w:ascii="Arial" w:hAnsi="Arial" w:cs="Arial"/>
        </w:rPr>
        <w:t>is the analysis of how different domains of professional preparation—planning, executing, and evaluating significantly influence the curriculum assessment of public elementary school teachers. The regression model shows that all three domains positively contribute to curriculum assessment. Specifically, planning (with a Beta of 0.36) has the strongest relationship with curriculum assessment, followed by executing (Beta of 0.32), and evaluating (Beta of 0.30). The t-statistics for each domain (2.32 for planning, 2.56 for executing, and 2.18 for evaluating) and the p-values (all 0.000) confirm that these relationships are statistically significant.</w:t>
      </w:r>
    </w:p>
    <w:p w14:paraId="7A84E940" w14:textId="77777777" w:rsidR="00A41BB2" w:rsidRPr="00A41BB2" w:rsidRDefault="00A41BB2" w:rsidP="00A41BB2">
      <w:pPr>
        <w:pStyle w:val="Body"/>
        <w:rPr>
          <w:rFonts w:ascii="Arial" w:hAnsi="Arial" w:cs="Arial"/>
        </w:rPr>
      </w:pPr>
      <w:r w:rsidRPr="00A41BB2">
        <w:rPr>
          <w:rFonts w:ascii="Arial" w:hAnsi="Arial" w:cs="Arial"/>
        </w:rPr>
        <w:t>The regression equation, Curriculum Assessment = 2.20 + 0.60(Planning) + 0.62(Executing) + 0.58(Evaluating), reveals that the overall model explains 21.1% of the variance in curriculum assessment (R² = 0.211). Additionally, the model's F-value of 16.25 and its p-value of 0.000 indicate that the model is statistically significant.</w:t>
      </w:r>
    </w:p>
    <w:p w14:paraId="411B73A7" w14:textId="05208289" w:rsidR="004C5898" w:rsidRDefault="00A41BB2" w:rsidP="00A41BB2">
      <w:pPr>
        <w:pStyle w:val="Body"/>
        <w:rPr>
          <w:rFonts w:ascii="Arial" w:hAnsi="Arial" w:cs="Arial"/>
        </w:rPr>
      </w:pPr>
      <w:r w:rsidRPr="00A41BB2">
        <w:rPr>
          <w:rFonts w:ascii="Arial" w:hAnsi="Arial" w:cs="Arial"/>
        </w:rPr>
        <w:t>This suggests that teachers who engage in thorough planning, executing, and evaluating are more likely to implement effective curriculum assessment practices. Teachers who prioritize planning are better at aligning curriculum objectives with learning goals, while those who excel in executing and evaluating their instructional strategies are better positioned to assess and adjust their curriculum based on real-time classroom dynamics.</w:t>
      </w:r>
    </w:p>
    <w:p w14:paraId="29A612B3" w14:textId="77777777" w:rsidR="00A41BB2" w:rsidRPr="00A41BB2" w:rsidRDefault="00A41BB2" w:rsidP="00A41BB2">
      <w:pPr>
        <w:pStyle w:val="Body"/>
        <w:rPr>
          <w:rFonts w:ascii="Arial" w:hAnsi="Arial" w:cs="Arial"/>
        </w:rPr>
      </w:pPr>
      <w:r w:rsidRPr="00A41BB2">
        <w:rPr>
          <w:rFonts w:ascii="Arial" w:hAnsi="Arial" w:cs="Arial"/>
        </w:rPr>
        <w:t>As a result, teachers who invest in professional preparation are more likely to improve the overall effectiveness of curriculum assessment, ensuring a high-quality learning experience for students.</w:t>
      </w:r>
    </w:p>
    <w:p w14:paraId="5ACFEEC4" w14:textId="7B23A1C6" w:rsidR="00A41BB2" w:rsidRPr="00A41BB2" w:rsidRDefault="00A41BB2" w:rsidP="00A41BB2">
      <w:pPr>
        <w:pStyle w:val="Body"/>
        <w:rPr>
          <w:rFonts w:ascii="Arial" w:hAnsi="Arial" w:cs="Arial"/>
        </w:rPr>
      </w:pPr>
      <w:r w:rsidRPr="00A41BB2">
        <w:rPr>
          <w:rFonts w:ascii="Arial" w:hAnsi="Arial" w:cs="Arial"/>
        </w:rPr>
        <w:t xml:space="preserve">This finding supports the research of König et al. (2020), who emphasized the importance of professional preparation in shaping effective curriculum assessment. Their study found that teachers who plan, execute, and evaluate their lessons thoughtfully tend to assess and adjust the curriculum in a way that enhances student learning. Additionally, </w:t>
      </w:r>
      <w:proofErr w:type="spellStart"/>
      <w:r w:rsidRPr="00A41BB2">
        <w:rPr>
          <w:rFonts w:ascii="Arial" w:hAnsi="Arial" w:cs="Arial"/>
        </w:rPr>
        <w:t>Rouben</w:t>
      </w:r>
      <w:proofErr w:type="spellEnd"/>
      <w:r w:rsidRPr="00A41BB2">
        <w:rPr>
          <w:rFonts w:ascii="Arial" w:hAnsi="Arial" w:cs="Arial"/>
        </w:rPr>
        <w:t xml:space="preserve"> et al. (2023) suggested that teachers who have a strong foundation in planning, executing, and evaluating their lessons are more likely to adjust the curriculum based on real-time classroom dynamics. Their research highlighted that a well-structured approach to professional preparation equips teachers to make data-informed decisions, enhancing their ability to assess students effectively and adapt teaching strategies to meet learning goals. Moreover, </w:t>
      </w:r>
      <w:proofErr w:type="spellStart"/>
      <w:r w:rsidRPr="00A41BB2">
        <w:rPr>
          <w:rFonts w:ascii="Arial" w:hAnsi="Arial" w:cs="Arial"/>
        </w:rPr>
        <w:t>Trinter</w:t>
      </w:r>
      <w:proofErr w:type="spellEnd"/>
      <w:r w:rsidRPr="00A41BB2">
        <w:rPr>
          <w:rFonts w:ascii="Arial" w:hAnsi="Arial" w:cs="Arial"/>
        </w:rPr>
        <w:t xml:space="preserve"> and Hughes (2021) found that teachers who engage in thoughtful planning, effective execution, and continuous evaluation are better able to align their teaching strategies with curriculum goals. Their study emphasized that professional preparation not only improves the teachers' ability </w:t>
      </w:r>
      <w:r w:rsidRPr="00A41BB2">
        <w:rPr>
          <w:rFonts w:ascii="Arial" w:hAnsi="Arial" w:cs="Arial"/>
        </w:rPr>
        <w:lastRenderedPageBreak/>
        <w:t>to assess the curriculum but also fosters a more dynamic and responsive learning environment.</w:t>
      </w:r>
    </w:p>
    <w:p w14:paraId="08FEB9C6" w14:textId="6BA2015E" w:rsidR="002039CD" w:rsidRPr="002039CD" w:rsidRDefault="00180859" w:rsidP="00A41BB2">
      <w:pPr>
        <w:pStyle w:val="Body"/>
        <w:rPr>
          <w:rFonts w:ascii="Arial" w:hAnsi="Arial" w:cs="Arial"/>
          <w:b/>
          <w:bCs/>
        </w:rPr>
      </w:pPr>
      <w:r w:rsidRPr="00A41BB2">
        <w:rPr>
          <w:rFonts w:ascii="Arial" w:hAnsi="Arial" w:cs="Arial"/>
          <w:b/>
          <w:bCs/>
        </w:rPr>
        <w:t>5</w:t>
      </w:r>
      <w:r>
        <w:rPr>
          <w:rFonts w:ascii="Arial" w:hAnsi="Arial" w:cs="Arial"/>
          <w:b/>
          <w:bCs/>
        </w:rPr>
        <w:t xml:space="preserve">. </w:t>
      </w:r>
      <w:r w:rsidR="00B364F1">
        <w:rPr>
          <w:rFonts w:ascii="Arial" w:hAnsi="Arial" w:cs="Arial"/>
          <w:b/>
          <w:bCs/>
        </w:rPr>
        <w:t>CONCLUSIONS</w:t>
      </w:r>
    </w:p>
    <w:p w14:paraId="1528F94D"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Based on the findings of the study, the following conclusions were formulated:</w:t>
      </w:r>
    </w:p>
    <w:p w14:paraId="5FF0A9E8"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Firstly, the extent of professional preparation among teachers is always observed, with teachers consistently demonstrating a strong commitment to planning, executing, and evaluating their teaching practices. This indicates that teachers prioritize preparation in all stages of their instructional process, ensuring that they are well-equipped to deliver effective lessons and respond to student needs. The consistent focus on professional preparation is essential in maintaining high standards of teaching and contributing to a more organized and effective classroom environment.</w:t>
      </w:r>
    </w:p>
    <w:p w14:paraId="2EB30632"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Secondly, the extent of curriculum assessment among teachers is oftentimes observed, reflecting that teachers regularly engage in assessing their curriculum content, objectives, and the effectiveness of their teaching practices. While the observation of curriculum assessment is positive, it suggests that there may be occasional variations in the degree to which teachers consistently evaluate and adapt their curriculum. Nevertheless, the findings emphasize that regular assessment and reflection are key to enhancing the quality of instruction and ensuring that curriculum goals are met effectively.</w:t>
      </w:r>
    </w:p>
    <w:p w14:paraId="250168A2"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Thirdly, a significant relationship between professional preparation and curriculum assessment was observed. This indicates that teachers who engage in high levels of professional preparation are more likely to assess and refine their curriculum effectively. The findings suggest that well-prepared teachers are better equipped to evaluate and improve their curriculum, ultimately contributing to more successful teaching and learning outcomes.</w:t>
      </w:r>
    </w:p>
    <w:p w14:paraId="4217D8BB"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Finally, the domains of professional preparation significantly influence the development and implementation of curriculum assessment. This underscores the role of comprehensive teacher preparation in ensuring that curriculum assessment practices are carefully integrated into the instructional process. Teachers who engage deeply in preparation are more likely to actively assess their curriculum, adapt it to meet educational goals, and enhance the overall learning experience for their students. </w:t>
      </w:r>
    </w:p>
    <w:p w14:paraId="27E25B85"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The findings of this study indicate that the domains of professional preparation (planning, executing, and evaluating) significantly influence curriculum assessment and validate the theories of professional development theory, constructivist learning theory, and social learning theory. </w:t>
      </w:r>
    </w:p>
    <w:p w14:paraId="31DDD223" w14:textId="3392230E"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According to Professional Development Theory by </w:t>
      </w:r>
      <w:proofErr w:type="spellStart"/>
      <w:r w:rsidRPr="00A41BB2">
        <w:rPr>
          <w:rFonts w:ascii="Arial" w:hAnsi="Arial" w:cs="Arial"/>
          <w:b w:val="0"/>
          <w:caps w:val="0"/>
          <w:sz w:val="20"/>
        </w:rPr>
        <w:t>Guskey</w:t>
      </w:r>
      <w:proofErr w:type="spellEnd"/>
      <w:r w:rsidRPr="00A41BB2">
        <w:rPr>
          <w:rFonts w:ascii="Arial" w:hAnsi="Arial" w:cs="Arial"/>
          <w:b w:val="0"/>
          <w:caps w:val="0"/>
          <w:sz w:val="20"/>
        </w:rPr>
        <w:t xml:space="preserve"> (2</w:t>
      </w:r>
      <w:r w:rsidR="00C3607E">
        <w:rPr>
          <w:rFonts w:ascii="Arial" w:hAnsi="Arial" w:cs="Arial"/>
          <w:b w:val="0"/>
          <w:caps w:val="0"/>
          <w:sz w:val="20"/>
        </w:rPr>
        <w:t>024</w:t>
      </w:r>
      <w:r w:rsidRPr="00A41BB2">
        <w:rPr>
          <w:rFonts w:ascii="Arial" w:hAnsi="Arial" w:cs="Arial"/>
          <w:b w:val="0"/>
          <w:caps w:val="0"/>
          <w:sz w:val="20"/>
        </w:rPr>
        <w:t xml:space="preserve">), as cited by </w:t>
      </w:r>
      <w:proofErr w:type="spellStart"/>
      <w:r w:rsidRPr="00A41BB2">
        <w:rPr>
          <w:rFonts w:ascii="Arial" w:hAnsi="Arial" w:cs="Arial"/>
          <w:b w:val="0"/>
          <w:caps w:val="0"/>
          <w:sz w:val="20"/>
        </w:rPr>
        <w:t>Mallillin</w:t>
      </w:r>
      <w:proofErr w:type="spellEnd"/>
      <w:r w:rsidRPr="00A41BB2">
        <w:rPr>
          <w:rFonts w:ascii="Arial" w:hAnsi="Arial" w:cs="Arial"/>
          <w:b w:val="0"/>
          <w:caps w:val="0"/>
          <w:sz w:val="20"/>
        </w:rPr>
        <w:t xml:space="preserve"> &amp; Laurel (2022), continuous learning and skill development are essential for teachers to enhance their instructional practices. Teachers who engage in professional preparation, particularly in planning, executing, and evaluating, are better equipped to assess and improve their curricula. Effective professional development leads to improved teaching performance and better curriculum assessment. </w:t>
      </w:r>
    </w:p>
    <w:p w14:paraId="25D353DF" w14:textId="06B96C12"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Additionally, Constructivist Learning Theory by </w:t>
      </w:r>
      <w:proofErr w:type="spellStart"/>
      <w:r w:rsidR="00932192" w:rsidRPr="00932192">
        <w:rPr>
          <w:rFonts w:ascii="Arial" w:hAnsi="Arial" w:cs="Arial"/>
          <w:b w:val="0"/>
          <w:caps w:val="0"/>
          <w:sz w:val="20"/>
        </w:rPr>
        <w:t>Efgivia</w:t>
      </w:r>
      <w:proofErr w:type="spellEnd"/>
      <w:r w:rsidR="00932192">
        <w:rPr>
          <w:rFonts w:ascii="Arial" w:hAnsi="Arial" w:cs="Arial"/>
          <w:b w:val="0"/>
          <w:caps w:val="0"/>
          <w:sz w:val="20"/>
        </w:rPr>
        <w:t xml:space="preserve"> et al. (2021</w:t>
      </w:r>
      <w:r w:rsidRPr="00A41BB2">
        <w:rPr>
          <w:rFonts w:ascii="Arial" w:hAnsi="Arial" w:cs="Arial"/>
          <w:b w:val="0"/>
          <w:caps w:val="0"/>
          <w:sz w:val="20"/>
        </w:rPr>
        <w:t xml:space="preserve">), as cited by </w:t>
      </w:r>
      <w:proofErr w:type="spellStart"/>
      <w:r w:rsidRPr="00A41BB2">
        <w:rPr>
          <w:rFonts w:ascii="Arial" w:hAnsi="Arial" w:cs="Arial"/>
          <w:b w:val="0"/>
          <w:caps w:val="0"/>
          <w:sz w:val="20"/>
        </w:rPr>
        <w:t>Dolmacı</w:t>
      </w:r>
      <w:proofErr w:type="spellEnd"/>
      <w:r w:rsidRPr="00A41BB2">
        <w:rPr>
          <w:rFonts w:ascii="Arial" w:hAnsi="Arial" w:cs="Arial"/>
          <w:b w:val="0"/>
          <w:caps w:val="0"/>
          <w:sz w:val="20"/>
        </w:rPr>
        <w:t xml:space="preserve"> &amp; </w:t>
      </w:r>
      <w:proofErr w:type="spellStart"/>
      <w:r w:rsidRPr="00A41BB2">
        <w:rPr>
          <w:rFonts w:ascii="Arial" w:hAnsi="Arial" w:cs="Arial"/>
          <w:b w:val="0"/>
          <w:caps w:val="0"/>
          <w:sz w:val="20"/>
        </w:rPr>
        <w:t>Sarıgöz</w:t>
      </w:r>
      <w:proofErr w:type="spellEnd"/>
      <w:r w:rsidRPr="00A41BB2">
        <w:rPr>
          <w:rFonts w:ascii="Arial" w:hAnsi="Arial" w:cs="Arial"/>
          <w:b w:val="0"/>
          <w:caps w:val="0"/>
          <w:sz w:val="20"/>
        </w:rPr>
        <w:t xml:space="preserve"> (2024), emphasizes the importance of active, student-centered learning, which extends to curriculum assessment. Teachers who engage in professional preparation grounded in constructivist principles are more likely to design curricula that foster critical </w:t>
      </w:r>
      <w:r w:rsidRPr="00A41BB2">
        <w:rPr>
          <w:rFonts w:ascii="Arial" w:hAnsi="Arial" w:cs="Arial"/>
          <w:b w:val="0"/>
          <w:caps w:val="0"/>
          <w:sz w:val="20"/>
        </w:rPr>
        <w:lastRenderedPageBreak/>
        <w:t xml:space="preserve">thinking and problem-solving, which improves their ability to assess and adapt their curriculum based on students' needs. </w:t>
      </w:r>
    </w:p>
    <w:p w14:paraId="38D65CF8" w14:textId="37454C9B" w:rsidR="00F35314" w:rsidRDefault="00A41BB2" w:rsidP="00A41BB2">
      <w:pPr>
        <w:pStyle w:val="ReferHead"/>
        <w:spacing w:after="0"/>
        <w:jc w:val="both"/>
        <w:rPr>
          <w:rFonts w:ascii="Arial" w:hAnsi="Arial" w:cs="Arial"/>
          <w:b w:val="0"/>
          <w:caps w:val="0"/>
          <w:sz w:val="20"/>
        </w:rPr>
      </w:pPr>
      <w:r w:rsidRPr="00A41BB2">
        <w:rPr>
          <w:rFonts w:ascii="Arial" w:hAnsi="Arial" w:cs="Arial"/>
          <w:b w:val="0"/>
          <w:caps w:val="0"/>
          <w:sz w:val="20"/>
        </w:rPr>
        <w:t xml:space="preserve">Finally, Social Learning Theory by Bandura (1977), as cited by </w:t>
      </w:r>
      <w:proofErr w:type="spellStart"/>
      <w:r w:rsidRPr="00A41BB2">
        <w:rPr>
          <w:rFonts w:ascii="Arial" w:hAnsi="Arial" w:cs="Arial"/>
          <w:b w:val="0"/>
          <w:caps w:val="0"/>
          <w:sz w:val="20"/>
        </w:rPr>
        <w:t>Rumjaun</w:t>
      </w:r>
      <w:proofErr w:type="spellEnd"/>
      <w:r w:rsidRPr="00A41BB2">
        <w:rPr>
          <w:rFonts w:ascii="Arial" w:hAnsi="Arial" w:cs="Arial"/>
          <w:b w:val="0"/>
          <w:caps w:val="0"/>
          <w:sz w:val="20"/>
        </w:rPr>
        <w:t xml:space="preserve"> and </w:t>
      </w:r>
      <w:proofErr w:type="spellStart"/>
      <w:r w:rsidRPr="00A41BB2">
        <w:rPr>
          <w:rFonts w:ascii="Arial" w:hAnsi="Arial" w:cs="Arial"/>
          <w:b w:val="0"/>
          <w:caps w:val="0"/>
          <w:sz w:val="20"/>
        </w:rPr>
        <w:t>Narod</w:t>
      </w:r>
      <w:proofErr w:type="spellEnd"/>
      <w:r w:rsidRPr="00A41BB2">
        <w:rPr>
          <w:rFonts w:ascii="Arial" w:hAnsi="Arial" w:cs="Arial"/>
          <w:b w:val="0"/>
          <w:caps w:val="0"/>
          <w:sz w:val="20"/>
        </w:rPr>
        <w:t xml:space="preserve"> (2020), stresses the role of social interactions and peer collaboration in learning process. Teachers who work collaboratively and share best practices in professional development settings, such as professional learning communities, are better prepared to evaluate and revise their curriculum. This collaboration enhances their ability to </w:t>
      </w:r>
      <w:proofErr w:type="gramStart"/>
      <w:r w:rsidRPr="00A41BB2">
        <w:rPr>
          <w:rFonts w:ascii="Arial" w:hAnsi="Arial" w:cs="Arial"/>
          <w:b w:val="0"/>
          <w:caps w:val="0"/>
          <w:sz w:val="20"/>
        </w:rPr>
        <w:t>assess  in</w:t>
      </w:r>
      <w:proofErr w:type="gramEnd"/>
      <w:r w:rsidRPr="00A41BB2">
        <w:rPr>
          <w:rFonts w:ascii="Arial" w:hAnsi="Arial" w:cs="Arial"/>
          <w:b w:val="0"/>
          <w:caps w:val="0"/>
          <w:sz w:val="20"/>
        </w:rPr>
        <w:t xml:space="preserve"> a way that meets the evolving needs of their students, reflecting the core tenets of Social Learning Theory.</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240CDD9"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Firstly, given that professional preparation is very extensive among teachers, it may be important for school administrators to continue fostering and enhancing teachers' professional development programs. School administrators may organize targeted training that strengthens teachers’ skills in all aspects of professional preparation, particularly in areas such as planning, executing, and evaluating curricula. These professional development initiatives may focus on enhancing teachers' ability to assess and adapt curriculum content to meet students' needs better. As professional preparation is already very strong, these programs may further emphasize advanced strategies to sustain and deepen teachers' ability to improve educational outcomes. Teachers themselves may also actively seek out additional professional development opportunities to stay informed about the latest research and best practices in curriculum design and assessment.</w:t>
      </w:r>
    </w:p>
    <w:p w14:paraId="1B25EA68"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Secondly, since curriculum assessment is extensive among teachers, school administrators may prioritize continuous efforts to support teachers in ensuring the alignment of curriculum objectives, content, and assessments. Administrators may provide opportunities for teachers to collaborate and exchange best practices on curriculum evaluation and adjustment. Encouraging teachers to reflect on how they assess the effectiveness of their teaching may lead to more responsive and dynamic curricula. Additionally, providing teachers with regular feedback on their curriculum assessment strategies may help refine their practices and ensure they meet evolving student needs effectively.</w:t>
      </w:r>
    </w:p>
    <w:p w14:paraId="189E52D4"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Thirdly, given the significant relationship between professional preparation and curriculum assessment, school administrators may integrate professional preparation more closely with curriculum assessment. By developing programs that link the two, teachers may be better equipped to assess their teaching practices and adapt their curriculum accordingly. Workshops, seminars, or collaborative sessions may explore how effective professional preparation influences the quality and accuracy of curriculum assessment. This integration may help ensure that teachers' assessments are aligned with the best practices learned through professional development. Future researchers may also explore how different professional development models and curriculum assessment techniques can be linked in a way that promotes more cohesive teaching practices.</w:t>
      </w:r>
    </w:p>
    <w:p w14:paraId="53E88C64" w14:textId="4CE52F7D" w:rsidR="009676BB" w:rsidRDefault="00A41BB2" w:rsidP="00A41BB2">
      <w:pPr>
        <w:pStyle w:val="ReferHead"/>
        <w:spacing w:after="0"/>
        <w:jc w:val="both"/>
        <w:rPr>
          <w:rFonts w:ascii="Arial" w:hAnsi="Arial" w:cs="Arial"/>
          <w:b w:val="0"/>
          <w:caps w:val="0"/>
          <w:sz w:val="20"/>
        </w:rPr>
      </w:pPr>
      <w:r w:rsidRPr="00A41BB2">
        <w:rPr>
          <w:rFonts w:ascii="Arial" w:hAnsi="Arial" w:cs="Arial"/>
          <w:b w:val="0"/>
          <w:caps w:val="0"/>
          <w:sz w:val="20"/>
        </w:rPr>
        <w:t xml:space="preserve">Finally, recognizing that professional preparation significantly influences curriculum assessment, it may be recommended that school administrators prioritize ongoing support for teachers' professional growth in this area. Regularly scheduled peer feedback sessions and collaborative learning communities may help teachers refine their approaches to both professional preparation and curriculum assessment. Additionally, providing teachers with the tools to evaluate and adjust their curricula regularly may ensure that their teaching methods remain effective and responsive to students' changing needs. Teachers are encouraged to engage in self-reflection and adapt their practices, ensuring that the learning experiences they provide are both meaningful and forward-focused. Future researchers may investigate the </w:t>
      </w:r>
      <w:r w:rsidRPr="00A41BB2">
        <w:rPr>
          <w:rFonts w:ascii="Arial" w:hAnsi="Arial" w:cs="Arial"/>
          <w:b w:val="0"/>
          <w:caps w:val="0"/>
          <w:sz w:val="20"/>
        </w:rPr>
        <w:lastRenderedPageBreak/>
        <w:t>long-term impact of professional development on curriculum assessment and overall student outcomes to contribute valuable insights for continuous improvement.</w:t>
      </w:r>
    </w:p>
    <w:p w14:paraId="0F5B9D2A" w14:textId="77777777" w:rsidR="00A41BB2" w:rsidRDefault="00A41BB2" w:rsidP="00A41BB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66B24FB2" w:rsidR="00624A8B" w:rsidRDefault="00624D00" w:rsidP="00CD4D57">
      <w:pPr>
        <w:pStyle w:val="ReferHead"/>
        <w:spacing w:after="0"/>
        <w:jc w:val="both"/>
        <w:rPr>
          <w:rFonts w:ascii="Arial" w:hAnsi="Arial" w:cs="Arial"/>
          <w:b w:val="0"/>
          <w:caps w:val="0"/>
          <w:sz w:val="20"/>
        </w:rPr>
      </w:pPr>
      <w:r w:rsidRPr="00624D00">
        <w:rPr>
          <w:rFonts w:ascii="Arial" w:hAnsi="Arial" w:cs="Arial"/>
          <w:b w:val="0"/>
          <w:caps w:val="0"/>
          <w:sz w:val="20"/>
        </w:rPr>
        <w:t xml:space="preserve">This study was conducted in accordance with established ethical standards to ensure the safety, dignity, and well-being of all participants. Prior to data collection, the researcher secured all required approvals, including an endorsement from the Dean of the Graduate School of Rizal Memorial Colleges and ethical clearance from the institution’s Ethics Review Committee. The ethical procedures applied were guided by the framework of </w:t>
      </w:r>
      <w:proofErr w:type="spellStart"/>
      <w:r w:rsidRPr="00624D00">
        <w:rPr>
          <w:rFonts w:ascii="Arial" w:hAnsi="Arial" w:cs="Arial"/>
          <w:b w:val="0"/>
          <w:caps w:val="0"/>
          <w:sz w:val="20"/>
        </w:rPr>
        <w:t>Pregoner</w:t>
      </w:r>
      <w:proofErr w:type="spellEnd"/>
      <w:r w:rsidRPr="00624D00">
        <w:rPr>
          <w:rFonts w:ascii="Arial" w:hAnsi="Arial" w:cs="Arial"/>
          <w:b w:val="0"/>
          <w:caps w:val="0"/>
          <w:sz w:val="20"/>
        </w:rPr>
        <w:t xml:space="preserve"> et al. (2025), aligning with current protocols for research involving human participants in educational settings. Participation was completely voluntary, with all individuals thoroughly informed of the study’s purpose, scope, and their right to decline or withdraw at any time without consequence. Informed consent was obtained to confirm each participant’s understanding and willingness to participate. To ensure confidentiality, no personally identifiable information was collected, and all data were treated with the highest level of confidentiality. The information gathered was used solely for academic purposes. These measures ensured that the research was carried out with ethical transparency, integrity, and professional accountability.</w:t>
      </w:r>
    </w:p>
    <w:p w14:paraId="61A85B72" w14:textId="77777777" w:rsidR="00624D00" w:rsidRDefault="00624D00"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00335C3F" w:rsidR="007D2B80" w:rsidRDefault="00180859" w:rsidP="007D2B80">
      <w:pPr>
        <w:pStyle w:val="ReferHead"/>
        <w:spacing w:after="0"/>
        <w:jc w:val="both"/>
        <w:rPr>
          <w:rFonts w:ascii="Arial" w:hAnsi="Arial" w:cs="Arial"/>
          <w:sz w:val="20"/>
        </w:rPr>
      </w:pPr>
      <w:r>
        <w:rPr>
          <w:rFonts w:ascii="Arial" w:hAnsi="Arial" w:cs="Arial"/>
          <w:sz w:val="20"/>
        </w:rPr>
        <w:t>References</w:t>
      </w:r>
    </w:p>
    <w:p w14:paraId="4D667BAF" w14:textId="01B1C178" w:rsidR="00932192" w:rsidRDefault="00932192" w:rsidP="007D2B80">
      <w:pPr>
        <w:pStyle w:val="ReferHead"/>
        <w:spacing w:after="0"/>
        <w:jc w:val="both"/>
        <w:rPr>
          <w:rFonts w:ascii="Arial" w:hAnsi="Arial" w:cs="Arial"/>
          <w:sz w:val="20"/>
        </w:rPr>
      </w:pPr>
    </w:p>
    <w:p w14:paraId="1B57D1C4" w14:textId="2A4F57DA" w:rsidR="00932192" w:rsidRDefault="00932192" w:rsidP="007D2B80">
      <w:pPr>
        <w:pStyle w:val="ReferHead"/>
        <w:spacing w:after="0"/>
        <w:jc w:val="both"/>
        <w:rPr>
          <w:rFonts w:ascii="Arial" w:hAnsi="Arial" w:cs="Arial"/>
          <w:sz w:val="20"/>
        </w:rPr>
      </w:pPr>
    </w:p>
    <w:p w14:paraId="27055365"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Abragan</w:t>
      </w:r>
      <w:proofErr w:type="spellEnd"/>
      <w:r w:rsidRPr="00932192">
        <w:rPr>
          <w:rFonts w:ascii="Arial" w:hAnsi="Arial" w:cs="Arial"/>
          <w:shd w:val="clear" w:color="auto" w:fill="FFFFFF"/>
        </w:rPr>
        <w:t xml:space="preserve">, F., </w:t>
      </w:r>
      <w:proofErr w:type="spellStart"/>
      <w:r w:rsidRPr="00932192">
        <w:rPr>
          <w:rFonts w:ascii="Arial" w:hAnsi="Arial" w:cs="Arial"/>
          <w:shd w:val="clear" w:color="auto" w:fill="FFFFFF"/>
        </w:rPr>
        <w:t>Abarcas</w:t>
      </w:r>
      <w:proofErr w:type="spellEnd"/>
      <w:r w:rsidRPr="00932192">
        <w:rPr>
          <w:rFonts w:ascii="Arial" w:hAnsi="Arial" w:cs="Arial"/>
          <w:shd w:val="clear" w:color="auto" w:fill="FFFFFF"/>
        </w:rPr>
        <w:t xml:space="preserve">, V., Aquıno, I. M., &amp; </w:t>
      </w:r>
      <w:proofErr w:type="spellStart"/>
      <w:r w:rsidRPr="00932192">
        <w:rPr>
          <w:rFonts w:ascii="Arial" w:hAnsi="Arial" w:cs="Arial"/>
          <w:shd w:val="clear" w:color="auto" w:fill="FFFFFF"/>
        </w:rPr>
        <w:t>Bagongon</w:t>
      </w:r>
      <w:proofErr w:type="spellEnd"/>
      <w:r w:rsidRPr="00932192">
        <w:rPr>
          <w:rFonts w:ascii="Arial" w:hAnsi="Arial" w:cs="Arial"/>
          <w:shd w:val="clear" w:color="auto" w:fill="FFFFFF"/>
        </w:rPr>
        <w:t xml:space="preserve">, R. E. (2022). Research review on K-12 curriculum implementation in the Philippines: A generic perspective. </w:t>
      </w:r>
      <w:r w:rsidRPr="00932192">
        <w:rPr>
          <w:rFonts w:ascii="Arial" w:hAnsi="Arial" w:cs="Arial"/>
          <w:i/>
          <w:iCs/>
          <w:shd w:val="clear" w:color="auto" w:fill="FFFFFF"/>
        </w:rPr>
        <w:t>European Journal of Educational and Social Sciences</w:t>
      </w:r>
      <w:r w:rsidRPr="00932192">
        <w:rPr>
          <w:rFonts w:ascii="Arial" w:hAnsi="Arial" w:cs="Arial"/>
          <w:shd w:val="clear" w:color="auto" w:fill="FFFFFF"/>
        </w:rPr>
        <w:t xml:space="preserve">, </w:t>
      </w:r>
      <w:r w:rsidRPr="00932192">
        <w:rPr>
          <w:rFonts w:ascii="Arial" w:hAnsi="Arial" w:cs="Arial"/>
          <w:i/>
          <w:iCs/>
          <w:shd w:val="clear" w:color="auto" w:fill="FFFFFF"/>
        </w:rPr>
        <w:t>7</w:t>
      </w:r>
      <w:r w:rsidRPr="00932192">
        <w:rPr>
          <w:rFonts w:ascii="Arial" w:hAnsi="Arial" w:cs="Arial"/>
          <w:shd w:val="clear" w:color="auto" w:fill="FFFFFF"/>
        </w:rPr>
        <w:t>(1), 1-8.</w:t>
      </w:r>
      <w:r w:rsidRPr="00932192">
        <w:rPr>
          <w:rFonts w:ascii="Arial" w:hAnsi="Arial" w:cs="Arial"/>
        </w:rPr>
        <w:t xml:space="preserve"> </w:t>
      </w:r>
      <w:hyperlink r:id="rId15" w:history="1">
        <w:r w:rsidRPr="00932192">
          <w:rPr>
            <w:rStyle w:val="Hyperlink"/>
            <w:rFonts w:ascii="Arial" w:hAnsi="Arial" w:cs="Arial"/>
            <w:color w:val="auto"/>
            <w:u w:val="none"/>
            <w:shd w:val="clear" w:color="auto" w:fill="FFFFFF"/>
          </w:rPr>
          <w:t>https://dergipark.org.tr/en/download/article-file/2198595</w:t>
        </w:r>
      </w:hyperlink>
    </w:p>
    <w:p w14:paraId="125D1C7E" w14:textId="77777777" w:rsidR="00932192" w:rsidRPr="00932192" w:rsidRDefault="00932192" w:rsidP="00932192">
      <w:pPr>
        <w:ind w:left="1080" w:hanging="1080"/>
        <w:rPr>
          <w:rFonts w:ascii="Arial" w:hAnsi="Arial" w:cs="Arial"/>
          <w:shd w:val="clear" w:color="auto" w:fill="FFFFFF"/>
        </w:rPr>
      </w:pPr>
      <w:r w:rsidRPr="00932192">
        <w:rPr>
          <w:rFonts w:ascii="Arial" w:hAnsi="Arial" w:cs="Arial"/>
          <w:shd w:val="clear" w:color="auto" w:fill="FFFFFF"/>
        </w:rPr>
        <w:t xml:space="preserve">Alonzo, D., </w:t>
      </w:r>
      <w:proofErr w:type="spellStart"/>
      <w:r w:rsidRPr="00932192">
        <w:rPr>
          <w:rFonts w:ascii="Arial" w:hAnsi="Arial" w:cs="Arial"/>
          <w:shd w:val="clear" w:color="auto" w:fill="FFFFFF"/>
        </w:rPr>
        <w:t>Bejano</w:t>
      </w:r>
      <w:proofErr w:type="spellEnd"/>
      <w:r w:rsidRPr="00932192">
        <w:rPr>
          <w:rFonts w:ascii="Arial" w:hAnsi="Arial" w:cs="Arial"/>
          <w:shd w:val="clear" w:color="auto" w:fill="FFFFFF"/>
        </w:rPr>
        <w:t xml:space="preserve">, J., &amp; </w:t>
      </w:r>
      <w:proofErr w:type="spellStart"/>
      <w:r w:rsidRPr="00932192">
        <w:rPr>
          <w:rFonts w:ascii="Arial" w:hAnsi="Arial" w:cs="Arial"/>
          <w:shd w:val="clear" w:color="auto" w:fill="FFFFFF"/>
        </w:rPr>
        <w:t>Labad</w:t>
      </w:r>
      <w:proofErr w:type="spellEnd"/>
      <w:r w:rsidRPr="00932192">
        <w:rPr>
          <w:rFonts w:ascii="Arial" w:hAnsi="Arial" w:cs="Arial"/>
          <w:shd w:val="clear" w:color="auto" w:fill="FFFFFF"/>
        </w:rPr>
        <w:t>, V. (2023). Alignment between teachers’ assessment practices and principles of outcomes-based education in the context of Philippine education reform. International Journal of Instruction, 16(1), 489-506.</w:t>
      </w:r>
      <w:r w:rsidRPr="00932192">
        <w:rPr>
          <w:rFonts w:ascii="Arial" w:hAnsi="Arial" w:cs="Arial"/>
        </w:rPr>
        <w:t xml:space="preserve"> </w:t>
      </w:r>
      <w:hyperlink r:id="rId16" w:history="1">
        <w:r w:rsidRPr="00932192">
          <w:rPr>
            <w:rStyle w:val="Hyperlink"/>
            <w:rFonts w:ascii="Arial" w:hAnsi="Arial" w:cs="Arial"/>
            <w:color w:val="auto"/>
            <w:u w:val="none"/>
            <w:shd w:val="clear" w:color="auto" w:fill="FFFFFF"/>
          </w:rPr>
          <w:t>https://e-iji.net/ats/index.php/pub/article/view/205/289</w:t>
        </w:r>
      </w:hyperlink>
    </w:p>
    <w:p w14:paraId="191AB63D"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Bongco</w:t>
      </w:r>
      <w:proofErr w:type="spellEnd"/>
      <w:r w:rsidRPr="00932192">
        <w:rPr>
          <w:rFonts w:ascii="Arial" w:hAnsi="Arial" w:cs="Arial"/>
          <w:shd w:val="clear" w:color="auto" w:fill="FFFFFF"/>
        </w:rPr>
        <w:t xml:space="preserve">, R. T., &amp; David, A. P. (2020). Filipino teachers' experiences as curriculum policy implementers in the evolving K to 12 landscape. </w:t>
      </w:r>
      <w:r w:rsidRPr="00932192">
        <w:rPr>
          <w:rFonts w:ascii="Arial" w:hAnsi="Arial" w:cs="Arial"/>
          <w:i/>
          <w:iCs/>
          <w:shd w:val="clear" w:color="auto" w:fill="FFFFFF"/>
        </w:rPr>
        <w:t>Issues in Educational Research</w:t>
      </w:r>
      <w:r w:rsidRPr="00932192">
        <w:rPr>
          <w:rFonts w:ascii="Arial" w:hAnsi="Arial" w:cs="Arial"/>
          <w:shd w:val="clear" w:color="auto" w:fill="FFFFFF"/>
        </w:rPr>
        <w:t xml:space="preserve">, </w:t>
      </w:r>
      <w:r w:rsidRPr="00932192">
        <w:rPr>
          <w:rFonts w:ascii="Arial" w:hAnsi="Arial" w:cs="Arial"/>
          <w:i/>
          <w:iCs/>
          <w:shd w:val="clear" w:color="auto" w:fill="FFFFFF"/>
        </w:rPr>
        <w:t>30</w:t>
      </w:r>
      <w:r w:rsidRPr="00932192">
        <w:rPr>
          <w:rFonts w:ascii="Arial" w:hAnsi="Arial" w:cs="Arial"/>
          <w:shd w:val="clear" w:color="auto" w:fill="FFFFFF"/>
        </w:rPr>
        <w:t>(1), 19-34.</w:t>
      </w:r>
    </w:p>
    <w:p w14:paraId="30CDF8EF"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Bowers, D. S., Sabin, M., Raj, R. K., &amp; </w:t>
      </w:r>
      <w:proofErr w:type="spellStart"/>
      <w:r w:rsidRPr="00932192">
        <w:rPr>
          <w:rFonts w:ascii="Arial" w:hAnsi="Arial" w:cs="Arial"/>
          <w:shd w:val="clear" w:color="auto" w:fill="FFFFFF"/>
        </w:rPr>
        <w:t>Impagliazzo</w:t>
      </w:r>
      <w:proofErr w:type="spellEnd"/>
      <w:r w:rsidRPr="00932192">
        <w:rPr>
          <w:rFonts w:ascii="Arial" w:hAnsi="Arial" w:cs="Arial"/>
          <w:shd w:val="clear" w:color="auto" w:fill="FFFFFF"/>
        </w:rPr>
        <w:t xml:space="preserve">, J. (2022, March). Computing competencies: CC2020 dispositions versus </w:t>
      </w:r>
      <w:proofErr w:type="spellStart"/>
      <w:r w:rsidRPr="00932192">
        <w:rPr>
          <w:rFonts w:ascii="Arial" w:hAnsi="Arial" w:cs="Arial"/>
          <w:shd w:val="clear" w:color="auto" w:fill="FFFFFF"/>
        </w:rPr>
        <w:t>sfia</w:t>
      </w:r>
      <w:proofErr w:type="spellEnd"/>
      <w:r w:rsidRPr="00932192">
        <w:rPr>
          <w:rFonts w:ascii="Arial" w:hAnsi="Arial" w:cs="Arial"/>
          <w:shd w:val="clear" w:color="auto" w:fill="FFFFFF"/>
        </w:rPr>
        <w:t xml:space="preserve"> responsibility characteristics. In </w:t>
      </w:r>
      <w:r w:rsidRPr="00932192">
        <w:rPr>
          <w:rFonts w:ascii="Arial" w:hAnsi="Arial" w:cs="Arial"/>
          <w:i/>
          <w:iCs/>
          <w:shd w:val="clear" w:color="auto" w:fill="FFFFFF"/>
        </w:rPr>
        <w:t>EDUCON2022–IEEE Global Engineering Education Conference</w:t>
      </w:r>
      <w:r w:rsidRPr="00932192">
        <w:rPr>
          <w:rFonts w:ascii="Arial" w:hAnsi="Arial" w:cs="Arial"/>
          <w:shd w:val="clear" w:color="auto" w:fill="FFFFFF"/>
        </w:rPr>
        <w:t>.</w:t>
      </w:r>
      <w:r w:rsidRPr="00932192">
        <w:rPr>
          <w:rFonts w:ascii="Arial" w:hAnsi="Arial" w:cs="Arial"/>
        </w:rPr>
        <w:t xml:space="preserve"> </w:t>
      </w:r>
      <w:hyperlink r:id="rId17" w:history="1">
        <w:r w:rsidRPr="00932192">
          <w:rPr>
            <w:rStyle w:val="Hyperlink"/>
            <w:rFonts w:ascii="Arial" w:hAnsi="Arial" w:cs="Arial"/>
            <w:color w:val="auto"/>
            <w:u w:val="none"/>
          </w:rPr>
          <w:t>https://par.nsf.gov/servlets/purl/10405672</w:t>
        </w:r>
      </w:hyperlink>
    </w:p>
    <w:p w14:paraId="68D3BA32" w14:textId="77777777" w:rsidR="00932192" w:rsidRPr="00932192" w:rsidRDefault="00932192" w:rsidP="00932192">
      <w:pPr>
        <w:ind w:left="1080" w:hanging="1080"/>
        <w:rPr>
          <w:rFonts w:ascii="Arial" w:hAnsi="Arial" w:cs="Arial"/>
          <w:shd w:val="clear" w:color="auto" w:fill="FFFFFF"/>
        </w:rPr>
      </w:pPr>
      <w:r w:rsidRPr="00932192">
        <w:rPr>
          <w:rFonts w:ascii="Arial" w:hAnsi="Arial" w:cs="Arial"/>
          <w:shd w:val="clear" w:color="auto" w:fill="FFFFFF"/>
        </w:rPr>
        <w:t xml:space="preserve">Byrd, D. R., &amp; Alexander, M. (2020). Investigating special education teachers’ knowledge and skills: Preparing general teacher preparation for professional development. </w:t>
      </w:r>
      <w:r w:rsidRPr="00932192">
        <w:rPr>
          <w:rFonts w:ascii="Arial" w:hAnsi="Arial" w:cs="Arial"/>
          <w:i/>
          <w:iCs/>
          <w:shd w:val="clear" w:color="auto" w:fill="FFFFFF"/>
        </w:rPr>
        <w:t>Journal of Pedagogical Research</w:t>
      </w:r>
      <w:r w:rsidRPr="00932192">
        <w:rPr>
          <w:rFonts w:ascii="Arial" w:hAnsi="Arial" w:cs="Arial"/>
          <w:shd w:val="clear" w:color="auto" w:fill="FFFFFF"/>
        </w:rPr>
        <w:t xml:space="preserve">, </w:t>
      </w:r>
      <w:r w:rsidRPr="00932192">
        <w:rPr>
          <w:rFonts w:ascii="Arial" w:hAnsi="Arial" w:cs="Arial"/>
          <w:i/>
          <w:iCs/>
          <w:shd w:val="clear" w:color="auto" w:fill="FFFFFF"/>
        </w:rPr>
        <w:t>4</w:t>
      </w:r>
      <w:r w:rsidRPr="00932192">
        <w:rPr>
          <w:rFonts w:ascii="Arial" w:hAnsi="Arial" w:cs="Arial"/>
          <w:shd w:val="clear" w:color="auto" w:fill="FFFFFF"/>
        </w:rPr>
        <w:t>(2), 72-82.</w:t>
      </w:r>
      <w:r w:rsidRPr="00932192">
        <w:rPr>
          <w:rFonts w:ascii="Arial" w:hAnsi="Arial" w:cs="Arial"/>
        </w:rPr>
        <w:t xml:space="preserve"> </w:t>
      </w:r>
      <w:hyperlink r:id="rId18" w:history="1">
        <w:r w:rsidRPr="00932192">
          <w:rPr>
            <w:rStyle w:val="Hyperlink"/>
            <w:rFonts w:ascii="Arial" w:hAnsi="Arial" w:cs="Arial"/>
            <w:color w:val="auto"/>
            <w:u w:val="none"/>
            <w:shd w:val="clear" w:color="auto" w:fill="FFFFFF"/>
          </w:rPr>
          <w:t>https://www.ijopr.com/download/investigating-special-education-teachers-knowledge-and-skills-preparing-general-teacher-preparation-8204.pdf</w:t>
        </w:r>
      </w:hyperlink>
    </w:p>
    <w:p w14:paraId="47D37202" w14:textId="77777777" w:rsidR="00932192" w:rsidRPr="00932192" w:rsidRDefault="00932192" w:rsidP="00932192">
      <w:pPr>
        <w:ind w:left="720" w:hanging="720"/>
        <w:rPr>
          <w:rFonts w:ascii="Arial" w:hAnsi="Arial" w:cs="Arial"/>
          <w:shd w:val="clear" w:color="auto" w:fill="FFFFFF"/>
        </w:rPr>
      </w:pPr>
      <w:r w:rsidRPr="00932192">
        <w:rPr>
          <w:rFonts w:ascii="Arial" w:hAnsi="Arial" w:cs="Arial"/>
          <w:shd w:val="clear" w:color="auto" w:fill="FFFFFF"/>
        </w:rPr>
        <w:t>Callaway-Cole, L., &amp; Kimble, A. (2021). Maintaining professional standards in early childhood teacher preparation: Evaluating adaptations to fieldwork-based experiences during COVID-19. Early Childhood Education Journal, 49(5), 841-853.</w:t>
      </w:r>
      <w:r w:rsidRPr="00932192">
        <w:rPr>
          <w:rFonts w:ascii="Arial" w:hAnsi="Arial" w:cs="Arial"/>
        </w:rPr>
        <w:t xml:space="preserve"> </w:t>
      </w:r>
      <w:hyperlink r:id="rId19" w:history="1">
        <w:r w:rsidRPr="00932192">
          <w:rPr>
            <w:rStyle w:val="Hyperlink"/>
            <w:rFonts w:ascii="Arial" w:hAnsi="Arial" w:cs="Arial"/>
            <w:color w:val="auto"/>
            <w:u w:val="none"/>
            <w:shd w:val="clear" w:color="auto" w:fill="FFFFFF"/>
          </w:rPr>
          <w:t>https://link.springer.com/content/pdf/10.1007/s10643-021-01227-9.pdf</w:t>
        </w:r>
      </w:hyperlink>
    </w:p>
    <w:p w14:paraId="15C990CB" w14:textId="77777777" w:rsidR="00932192" w:rsidRPr="00932192" w:rsidRDefault="00932192" w:rsidP="00932192">
      <w:pPr>
        <w:ind w:left="720" w:hanging="720"/>
        <w:rPr>
          <w:rFonts w:ascii="Arial" w:hAnsi="Arial" w:cs="Arial"/>
          <w:shd w:val="clear" w:color="auto" w:fill="FFFFFF"/>
        </w:rPr>
      </w:pPr>
      <w:r w:rsidRPr="00932192">
        <w:rPr>
          <w:rFonts w:ascii="Arial" w:hAnsi="Arial" w:cs="Arial"/>
          <w:shd w:val="clear" w:color="auto" w:fill="FFFFFF"/>
        </w:rPr>
        <w:t xml:space="preserve">Chen, J., </w:t>
      </w:r>
      <w:proofErr w:type="spellStart"/>
      <w:r w:rsidRPr="00932192">
        <w:rPr>
          <w:rFonts w:ascii="Arial" w:hAnsi="Arial" w:cs="Arial"/>
          <w:shd w:val="clear" w:color="auto" w:fill="FFFFFF"/>
        </w:rPr>
        <w:t>Kolmos</w:t>
      </w:r>
      <w:proofErr w:type="spellEnd"/>
      <w:r w:rsidRPr="00932192">
        <w:rPr>
          <w:rFonts w:ascii="Arial" w:hAnsi="Arial" w:cs="Arial"/>
          <w:shd w:val="clear" w:color="auto" w:fill="FFFFFF"/>
        </w:rPr>
        <w:t xml:space="preserve">, A., &amp; Du, X. (2021). Forms of implementation and challenges of PBL in engineering education: a review of literature. </w:t>
      </w:r>
      <w:r w:rsidRPr="00932192">
        <w:rPr>
          <w:rFonts w:ascii="Arial" w:hAnsi="Arial" w:cs="Arial"/>
          <w:i/>
          <w:iCs/>
          <w:shd w:val="clear" w:color="auto" w:fill="FFFFFF"/>
        </w:rPr>
        <w:t>European Journal of Engineering Education</w:t>
      </w:r>
      <w:r w:rsidRPr="00932192">
        <w:rPr>
          <w:rFonts w:ascii="Arial" w:hAnsi="Arial" w:cs="Arial"/>
          <w:shd w:val="clear" w:color="auto" w:fill="FFFFFF"/>
        </w:rPr>
        <w:t xml:space="preserve">, </w:t>
      </w:r>
      <w:r w:rsidRPr="00932192">
        <w:rPr>
          <w:rFonts w:ascii="Arial" w:hAnsi="Arial" w:cs="Arial"/>
          <w:i/>
          <w:iCs/>
          <w:shd w:val="clear" w:color="auto" w:fill="FFFFFF"/>
        </w:rPr>
        <w:t>46</w:t>
      </w:r>
      <w:r w:rsidRPr="00932192">
        <w:rPr>
          <w:rFonts w:ascii="Arial" w:hAnsi="Arial" w:cs="Arial"/>
          <w:shd w:val="clear" w:color="auto" w:fill="FFFFFF"/>
        </w:rPr>
        <w:t>(1), 90-115.</w:t>
      </w:r>
      <w:r w:rsidRPr="00932192">
        <w:rPr>
          <w:rFonts w:ascii="Arial" w:hAnsi="Arial" w:cs="Arial"/>
        </w:rPr>
        <w:t xml:space="preserve"> </w:t>
      </w:r>
      <w:hyperlink r:id="rId20" w:history="1">
        <w:r w:rsidRPr="00932192">
          <w:rPr>
            <w:rStyle w:val="Hyperlink"/>
            <w:rFonts w:ascii="Arial" w:hAnsi="Arial" w:cs="Arial"/>
            <w:color w:val="auto"/>
            <w:u w:val="none"/>
            <w:shd w:val="clear" w:color="auto" w:fill="FFFFFF"/>
          </w:rPr>
          <w:t>https://www.tandfonline.com/doi/pdf/10.1080/03043797.2020.1718615</w:t>
        </w:r>
      </w:hyperlink>
    </w:p>
    <w:p w14:paraId="70C47BF5"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Dolmacı</w:t>
      </w:r>
      <w:proofErr w:type="spellEnd"/>
      <w:r w:rsidRPr="00932192">
        <w:rPr>
          <w:rFonts w:ascii="Arial" w:hAnsi="Arial" w:cs="Arial"/>
          <w:shd w:val="clear" w:color="auto" w:fill="FFFFFF"/>
        </w:rPr>
        <w:t xml:space="preserve">, A., &amp; </w:t>
      </w:r>
      <w:proofErr w:type="spellStart"/>
      <w:r w:rsidRPr="00932192">
        <w:rPr>
          <w:rFonts w:ascii="Arial" w:hAnsi="Arial" w:cs="Arial"/>
          <w:shd w:val="clear" w:color="auto" w:fill="FFFFFF"/>
        </w:rPr>
        <w:t>Sarıgöz</w:t>
      </w:r>
      <w:proofErr w:type="spellEnd"/>
      <w:r w:rsidRPr="00932192">
        <w:rPr>
          <w:rFonts w:ascii="Arial" w:hAnsi="Arial" w:cs="Arial"/>
          <w:shd w:val="clear" w:color="auto" w:fill="FFFFFF"/>
        </w:rPr>
        <w:t>, İ. H. (2024). Developing spiral vocabulary teaching model: A communicative and social constructivist-language instruction perspective. </w:t>
      </w:r>
      <w:r w:rsidRPr="00932192">
        <w:rPr>
          <w:rFonts w:ascii="Arial" w:hAnsi="Arial" w:cs="Arial"/>
          <w:i/>
          <w:iCs/>
          <w:shd w:val="clear" w:color="auto" w:fill="FFFFFF"/>
        </w:rPr>
        <w:t>Language Teaching and Educational Research</w:t>
      </w:r>
      <w:r w:rsidRPr="00932192">
        <w:rPr>
          <w:rFonts w:ascii="Arial" w:hAnsi="Arial" w:cs="Arial"/>
          <w:shd w:val="clear" w:color="auto" w:fill="FFFFFF"/>
        </w:rPr>
        <w:t>, </w:t>
      </w:r>
      <w:r w:rsidRPr="00932192">
        <w:rPr>
          <w:rFonts w:ascii="Arial" w:hAnsi="Arial" w:cs="Arial"/>
          <w:i/>
          <w:iCs/>
          <w:shd w:val="clear" w:color="auto" w:fill="FFFFFF"/>
        </w:rPr>
        <w:t>7</w:t>
      </w:r>
      <w:r w:rsidRPr="00932192">
        <w:rPr>
          <w:rFonts w:ascii="Arial" w:hAnsi="Arial" w:cs="Arial"/>
          <w:shd w:val="clear" w:color="auto" w:fill="FFFFFF"/>
        </w:rPr>
        <w:t>(2), 51-67.</w:t>
      </w:r>
      <w:r w:rsidRPr="00932192">
        <w:rPr>
          <w:rFonts w:ascii="Arial" w:hAnsi="Arial" w:cs="Arial"/>
        </w:rPr>
        <w:t xml:space="preserve"> </w:t>
      </w:r>
      <w:hyperlink r:id="rId21" w:history="1">
        <w:r w:rsidRPr="00932192">
          <w:rPr>
            <w:rStyle w:val="Hyperlink"/>
            <w:rFonts w:ascii="Arial" w:hAnsi="Arial" w:cs="Arial"/>
            <w:color w:val="auto"/>
            <w:u w:val="none"/>
            <w:shd w:val="clear" w:color="auto" w:fill="FFFFFF"/>
          </w:rPr>
          <w:t>https://dergipark.org.tr/en/download/article-file/3717354</w:t>
        </w:r>
      </w:hyperlink>
    </w:p>
    <w:p w14:paraId="3CD45965" w14:textId="77777777" w:rsidR="00932192" w:rsidRPr="00932192" w:rsidRDefault="00932192" w:rsidP="00932192">
      <w:pPr>
        <w:ind w:left="1080" w:hanging="1080"/>
        <w:rPr>
          <w:rFonts w:ascii="Arial" w:hAnsi="Arial" w:cs="Arial"/>
        </w:rPr>
      </w:pPr>
      <w:r w:rsidRPr="00932192">
        <w:rPr>
          <w:rFonts w:ascii="Arial" w:hAnsi="Arial" w:cs="Arial"/>
        </w:rPr>
        <w:t xml:space="preserve">Doran, P. R. (2020). What They Didn't Teach Us: New Teachers Reflect on Their Preparation Experiences. Professional Educator, 43(1), 59-69. </w:t>
      </w:r>
      <w:hyperlink r:id="rId22" w:history="1">
        <w:r w:rsidRPr="00932192">
          <w:rPr>
            <w:rStyle w:val="Hyperlink"/>
            <w:rFonts w:ascii="Arial" w:hAnsi="Arial" w:cs="Arial"/>
            <w:color w:val="auto"/>
            <w:u w:val="none"/>
          </w:rPr>
          <w:t>https://files.eric.ed.gov/fulltext/EJ1276115.pdf</w:t>
        </w:r>
      </w:hyperlink>
    </w:p>
    <w:p w14:paraId="3976470B"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Efgivia</w:t>
      </w:r>
      <w:proofErr w:type="spellEnd"/>
      <w:r w:rsidRPr="00932192">
        <w:rPr>
          <w:rFonts w:ascii="Arial" w:hAnsi="Arial" w:cs="Arial"/>
          <w:shd w:val="clear" w:color="auto" w:fill="FFFFFF"/>
        </w:rPr>
        <w:t xml:space="preserve">, M. G., </w:t>
      </w:r>
      <w:proofErr w:type="spellStart"/>
      <w:r w:rsidRPr="00932192">
        <w:rPr>
          <w:rFonts w:ascii="Arial" w:hAnsi="Arial" w:cs="Arial"/>
          <w:shd w:val="clear" w:color="auto" w:fill="FFFFFF"/>
        </w:rPr>
        <w:t>Rinanda</w:t>
      </w:r>
      <w:proofErr w:type="spellEnd"/>
      <w:r w:rsidRPr="00932192">
        <w:rPr>
          <w:rFonts w:ascii="Arial" w:hAnsi="Arial" w:cs="Arial"/>
          <w:shd w:val="clear" w:color="auto" w:fill="FFFFFF"/>
        </w:rPr>
        <w:t xml:space="preserve">, R. A., </w:t>
      </w:r>
      <w:proofErr w:type="spellStart"/>
      <w:r w:rsidRPr="00932192">
        <w:rPr>
          <w:rFonts w:ascii="Arial" w:hAnsi="Arial" w:cs="Arial"/>
          <w:shd w:val="clear" w:color="auto" w:fill="FFFFFF"/>
        </w:rPr>
        <w:t>Hidayat</w:t>
      </w:r>
      <w:proofErr w:type="spellEnd"/>
      <w:r w:rsidRPr="00932192">
        <w:rPr>
          <w:rFonts w:ascii="Arial" w:hAnsi="Arial" w:cs="Arial"/>
          <w:shd w:val="clear" w:color="auto" w:fill="FFFFFF"/>
        </w:rPr>
        <w:t xml:space="preserve">, A., Maulana, I., &amp; </w:t>
      </w:r>
      <w:proofErr w:type="spellStart"/>
      <w:r w:rsidRPr="00932192">
        <w:rPr>
          <w:rFonts w:ascii="Arial" w:hAnsi="Arial" w:cs="Arial"/>
          <w:shd w:val="clear" w:color="auto" w:fill="FFFFFF"/>
        </w:rPr>
        <w:t>Budiarjo</w:t>
      </w:r>
      <w:proofErr w:type="spellEnd"/>
      <w:r w:rsidRPr="00932192">
        <w:rPr>
          <w:rFonts w:ascii="Arial" w:hAnsi="Arial" w:cs="Arial"/>
          <w:shd w:val="clear" w:color="auto" w:fill="FFFFFF"/>
        </w:rPr>
        <w:t>, A. (2021, October). Analysis of constructivism learning theory. In </w:t>
      </w:r>
      <w:r w:rsidRPr="00932192">
        <w:rPr>
          <w:rFonts w:ascii="Arial" w:hAnsi="Arial" w:cs="Arial"/>
          <w:i/>
          <w:iCs/>
          <w:shd w:val="clear" w:color="auto" w:fill="FFFFFF"/>
        </w:rPr>
        <w:t>1st UMGESHIC International Seminar on Health, Social Science and Humanities (UMGESHIC-ISHSSH 2020)</w:t>
      </w:r>
      <w:r w:rsidRPr="00932192">
        <w:rPr>
          <w:rFonts w:ascii="Arial" w:hAnsi="Arial" w:cs="Arial"/>
          <w:shd w:val="clear" w:color="auto" w:fill="FFFFFF"/>
        </w:rPr>
        <w:t> (pp. 208-212). Atlantis Press.</w:t>
      </w:r>
      <w:r w:rsidRPr="00932192">
        <w:rPr>
          <w:rFonts w:ascii="Arial" w:hAnsi="Arial" w:cs="Arial"/>
        </w:rPr>
        <w:t xml:space="preserve"> </w:t>
      </w:r>
      <w:hyperlink r:id="rId23" w:history="1">
        <w:r w:rsidRPr="00932192">
          <w:rPr>
            <w:rStyle w:val="Hyperlink"/>
            <w:rFonts w:ascii="Arial" w:hAnsi="Arial" w:cs="Arial"/>
            <w:color w:val="auto"/>
            <w:u w:val="none"/>
            <w:shd w:val="clear" w:color="auto" w:fill="FFFFFF"/>
          </w:rPr>
          <w:t>https://www.atlantis-press.com/article/125961875.pdf</w:t>
        </w:r>
      </w:hyperlink>
    </w:p>
    <w:p w14:paraId="09903230" w14:textId="77777777" w:rsidR="00932192" w:rsidRPr="00932192" w:rsidRDefault="00932192" w:rsidP="00932192">
      <w:pPr>
        <w:ind w:left="1080" w:hanging="1080"/>
        <w:rPr>
          <w:rFonts w:ascii="Arial" w:hAnsi="Arial" w:cs="Arial"/>
        </w:rPr>
      </w:pPr>
      <w:proofErr w:type="spellStart"/>
      <w:r w:rsidRPr="00932192">
        <w:rPr>
          <w:rFonts w:ascii="Arial" w:hAnsi="Arial" w:cs="Arial"/>
          <w:shd w:val="clear" w:color="auto" w:fill="FFFFFF"/>
        </w:rPr>
        <w:t>Firdausih</w:t>
      </w:r>
      <w:proofErr w:type="spellEnd"/>
      <w:r w:rsidRPr="00932192">
        <w:rPr>
          <w:rFonts w:ascii="Arial" w:hAnsi="Arial" w:cs="Arial"/>
          <w:shd w:val="clear" w:color="auto" w:fill="FFFFFF"/>
        </w:rPr>
        <w:t>, F., &amp; Aslan, A. (2024). Literature review: The effect of project-based learning on student motivation and achievement in science. </w:t>
      </w:r>
      <w:r w:rsidRPr="00932192">
        <w:rPr>
          <w:rFonts w:ascii="Arial" w:hAnsi="Arial" w:cs="Arial"/>
          <w:i/>
          <w:iCs/>
          <w:shd w:val="clear" w:color="auto" w:fill="FFFFFF"/>
        </w:rPr>
        <w:t>Indonesian Journal of Education (INJOE)</w:t>
      </w:r>
      <w:r w:rsidRPr="00932192">
        <w:rPr>
          <w:rFonts w:ascii="Arial" w:hAnsi="Arial" w:cs="Arial"/>
          <w:shd w:val="clear" w:color="auto" w:fill="FFFFFF"/>
        </w:rPr>
        <w:t>, </w:t>
      </w:r>
      <w:r w:rsidRPr="00932192">
        <w:rPr>
          <w:rFonts w:ascii="Arial" w:hAnsi="Arial" w:cs="Arial"/>
          <w:i/>
          <w:iCs/>
          <w:shd w:val="clear" w:color="auto" w:fill="FFFFFF"/>
        </w:rPr>
        <w:t>4</w:t>
      </w:r>
      <w:r w:rsidRPr="00932192">
        <w:rPr>
          <w:rFonts w:ascii="Arial" w:hAnsi="Arial" w:cs="Arial"/>
          <w:shd w:val="clear" w:color="auto" w:fill="FFFFFF"/>
        </w:rPr>
        <w:t xml:space="preserve">(3), 1011-1022. </w:t>
      </w:r>
      <w:hyperlink r:id="rId24" w:history="1">
        <w:r w:rsidRPr="00932192">
          <w:rPr>
            <w:rStyle w:val="Hyperlink"/>
            <w:rFonts w:ascii="Arial" w:hAnsi="Arial" w:cs="Arial"/>
            <w:color w:val="auto"/>
            <w:u w:val="none"/>
            <w:shd w:val="clear" w:color="auto" w:fill="FFFFFF"/>
          </w:rPr>
          <w:t>https://www.injoe.org/index.php/INJOE/article/download/176/204</w:t>
        </w:r>
      </w:hyperlink>
    </w:p>
    <w:p w14:paraId="7BE20FF5" w14:textId="77777777" w:rsidR="00932192" w:rsidRPr="00481B98" w:rsidRDefault="00932192" w:rsidP="00932192">
      <w:pPr>
        <w:ind w:left="1080" w:hanging="1080"/>
        <w:rPr>
          <w:rFonts w:ascii="Arial" w:hAnsi="Arial" w:cs="Arial"/>
          <w:shd w:val="clear" w:color="auto" w:fill="FFFFFF"/>
        </w:rPr>
      </w:pPr>
      <w:r w:rsidRPr="00481B98">
        <w:rPr>
          <w:rFonts w:ascii="Arial" w:hAnsi="Arial" w:cs="Arial"/>
          <w:shd w:val="clear" w:color="auto" w:fill="FFFFFF"/>
        </w:rPr>
        <w:t>Gamage, A. N. (2025). Research Design, Philosophy, and Quantitative Approaches in Scientific Research Methodology. </w:t>
      </w:r>
      <w:r w:rsidRPr="00481B98">
        <w:rPr>
          <w:rFonts w:ascii="Arial" w:hAnsi="Arial" w:cs="Arial"/>
          <w:i/>
          <w:iCs/>
          <w:shd w:val="clear" w:color="auto" w:fill="FFFFFF"/>
        </w:rPr>
        <w:t xml:space="preserve">Sch J </w:t>
      </w:r>
      <w:proofErr w:type="spellStart"/>
      <w:r w:rsidRPr="00481B98">
        <w:rPr>
          <w:rFonts w:ascii="Arial" w:hAnsi="Arial" w:cs="Arial"/>
          <w:i/>
          <w:iCs/>
          <w:shd w:val="clear" w:color="auto" w:fill="FFFFFF"/>
        </w:rPr>
        <w:t>Eng</w:t>
      </w:r>
      <w:proofErr w:type="spellEnd"/>
      <w:r w:rsidRPr="00481B98">
        <w:rPr>
          <w:rFonts w:ascii="Arial" w:hAnsi="Arial" w:cs="Arial"/>
          <w:i/>
          <w:iCs/>
          <w:shd w:val="clear" w:color="auto" w:fill="FFFFFF"/>
        </w:rPr>
        <w:t xml:space="preserve"> Tech</w:t>
      </w:r>
      <w:r w:rsidRPr="00481B98">
        <w:rPr>
          <w:rFonts w:ascii="Arial" w:hAnsi="Arial" w:cs="Arial"/>
          <w:shd w:val="clear" w:color="auto" w:fill="FFFFFF"/>
        </w:rPr>
        <w:t>, </w:t>
      </w:r>
      <w:r w:rsidRPr="00481B98">
        <w:rPr>
          <w:rFonts w:ascii="Arial" w:hAnsi="Arial" w:cs="Arial"/>
          <w:i/>
          <w:iCs/>
          <w:shd w:val="clear" w:color="auto" w:fill="FFFFFF"/>
        </w:rPr>
        <w:t>2</w:t>
      </w:r>
      <w:r w:rsidRPr="00481B98">
        <w:rPr>
          <w:rFonts w:ascii="Arial" w:hAnsi="Arial" w:cs="Arial"/>
          <w:shd w:val="clear" w:color="auto" w:fill="FFFFFF"/>
        </w:rPr>
        <w:t>, 91-103.</w:t>
      </w:r>
      <w:r w:rsidRPr="00481B98">
        <w:rPr>
          <w:rFonts w:ascii="Arial" w:hAnsi="Arial" w:cs="Arial"/>
        </w:rPr>
        <w:t xml:space="preserve"> </w:t>
      </w:r>
      <w:hyperlink r:id="rId25" w:history="1">
        <w:r w:rsidRPr="00481B98">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p>
    <w:p w14:paraId="2A8B36DF"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Guskey</w:t>
      </w:r>
      <w:proofErr w:type="spellEnd"/>
      <w:r w:rsidRPr="00932192">
        <w:rPr>
          <w:rFonts w:ascii="Arial" w:hAnsi="Arial" w:cs="Arial"/>
          <w:shd w:val="clear" w:color="auto" w:fill="FFFFFF"/>
        </w:rPr>
        <w:t>, T. R. (2024). Look beyond the satisfaction survey: a framework to evaluate results of professional learning. </w:t>
      </w:r>
      <w:r w:rsidRPr="00932192">
        <w:rPr>
          <w:rFonts w:ascii="Arial" w:hAnsi="Arial" w:cs="Arial"/>
          <w:i/>
          <w:iCs/>
          <w:shd w:val="clear" w:color="auto" w:fill="FFFFFF"/>
        </w:rPr>
        <w:t>The Learning Professional</w:t>
      </w:r>
      <w:r w:rsidRPr="00932192">
        <w:rPr>
          <w:rFonts w:ascii="Arial" w:hAnsi="Arial" w:cs="Arial"/>
          <w:shd w:val="clear" w:color="auto" w:fill="FFFFFF"/>
        </w:rPr>
        <w:t>, </w:t>
      </w:r>
      <w:r w:rsidRPr="00932192">
        <w:rPr>
          <w:rFonts w:ascii="Arial" w:hAnsi="Arial" w:cs="Arial"/>
          <w:i/>
          <w:iCs/>
          <w:shd w:val="clear" w:color="auto" w:fill="FFFFFF"/>
        </w:rPr>
        <w:t>45</w:t>
      </w:r>
      <w:r w:rsidRPr="00932192">
        <w:rPr>
          <w:rFonts w:ascii="Arial" w:hAnsi="Arial" w:cs="Arial"/>
          <w:shd w:val="clear" w:color="auto" w:fill="FFFFFF"/>
        </w:rPr>
        <w:t>(1), 28-33.</w:t>
      </w:r>
      <w:r w:rsidRPr="00932192">
        <w:rPr>
          <w:rFonts w:ascii="Arial" w:hAnsi="Arial" w:cs="Arial"/>
        </w:rPr>
        <w:t xml:space="preserve"> </w:t>
      </w:r>
      <w:hyperlink r:id="rId26" w:history="1">
        <w:r w:rsidRPr="00932192">
          <w:rPr>
            <w:rStyle w:val="Hyperlink"/>
            <w:rFonts w:ascii="Arial" w:hAnsi="Arial" w:cs="Arial"/>
            <w:color w:val="auto"/>
            <w:u w:val="none"/>
            <w:shd w:val="clear" w:color="auto" w:fill="FFFFFF"/>
          </w:rPr>
          <w:t>https://tguskey.com/wp-content/uploads/LP-24-Prof-Lrng-Eval-PDF.pdf</w:t>
        </w:r>
      </w:hyperlink>
    </w:p>
    <w:p w14:paraId="39C4CF12"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Hamilton, D., McKechnie, J., Edgerton, E., &amp; Wilson, C. (2021). Immersive virtual reality as a pedagogical tool in education: a systematic literature review of quantitative learning outcomes and experimental design. </w:t>
      </w:r>
      <w:r w:rsidRPr="00932192">
        <w:rPr>
          <w:rFonts w:ascii="Arial" w:hAnsi="Arial" w:cs="Arial"/>
          <w:i/>
          <w:iCs/>
          <w:shd w:val="clear" w:color="auto" w:fill="FFFFFF"/>
        </w:rPr>
        <w:t>Journal of Computers in Education</w:t>
      </w:r>
      <w:r w:rsidRPr="00932192">
        <w:rPr>
          <w:rFonts w:ascii="Arial" w:hAnsi="Arial" w:cs="Arial"/>
          <w:shd w:val="clear" w:color="auto" w:fill="FFFFFF"/>
        </w:rPr>
        <w:t>, </w:t>
      </w:r>
      <w:r w:rsidRPr="00932192">
        <w:rPr>
          <w:rFonts w:ascii="Arial" w:hAnsi="Arial" w:cs="Arial"/>
          <w:i/>
          <w:iCs/>
          <w:shd w:val="clear" w:color="auto" w:fill="FFFFFF"/>
        </w:rPr>
        <w:t>8</w:t>
      </w:r>
      <w:r w:rsidRPr="00932192">
        <w:rPr>
          <w:rFonts w:ascii="Arial" w:hAnsi="Arial" w:cs="Arial"/>
          <w:shd w:val="clear" w:color="auto" w:fill="FFFFFF"/>
        </w:rPr>
        <w:t xml:space="preserve">(1), 1-32. </w:t>
      </w:r>
      <w:hyperlink r:id="rId27" w:history="1">
        <w:r w:rsidRPr="00932192">
          <w:rPr>
            <w:rStyle w:val="Hyperlink"/>
            <w:rFonts w:ascii="Arial" w:hAnsi="Arial" w:cs="Arial"/>
            <w:color w:val="auto"/>
            <w:u w:val="none"/>
            <w:shd w:val="clear" w:color="auto" w:fill="FFFFFF"/>
          </w:rPr>
          <w:t>https://link.springer.com/content/pdf/10.1007/s40692-020-00169-2.pdf</w:t>
        </w:r>
      </w:hyperlink>
    </w:p>
    <w:p w14:paraId="4E48B902"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Harrington, K., </w:t>
      </w:r>
      <w:proofErr w:type="spellStart"/>
      <w:r w:rsidRPr="00932192">
        <w:rPr>
          <w:rFonts w:ascii="Arial" w:hAnsi="Arial" w:cs="Arial"/>
          <w:shd w:val="clear" w:color="auto" w:fill="FFFFFF"/>
        </w:rPr>
        <w:t>Sinfield</w:t>
      </w:r>
      <w:proofErr w:type="spellEnd"/>
      <w:r w:rsidRPr="00932192">
        <w:rPr>
          <w:rFonts w:ascii="Arial" w:hAnsi="Arial" w:cs="Arial"/>
          <w:shd w:val="clear" w:color="auto" w:fill="FFFFFF"/>
        </w:rPr>
        <w:t>, S., &amp; Burns, T. (2021). Student engagement. </w:t>
      </w:r>
      <w:r w:rsidRPr="00932192">
        <w:rPr>
          <w:rFonts w:ascii="Arial" w:hAnsi="Arial" w:cs="Arial"/>
          <w:i/>
          <w:iCs/>
          <w:shd w:val="clear" w:color="auto" w:fill="FFFFFF"/>
        </w:rPr>
        <w:t>in HIGHER EDUCATION</w:t>
      </w:r>
      <w:r w:rsidRPr="00932192">
        <w:rPr>
          <w:rFonts w:ascii="Arial" w:hAnsi="Arial" w:cs="Arial"/>
          <w:shd w:val="clear" w:color="auto" w:fill="FFFFFF"/>
        </w:rPr>
        <w:t xml:space="preserve">, 106. </w:t>
      </w:r>
      <w:hyperlink r:id="rId28" w:history="1">
        <w:r w:rsidRPr="00932192">
          <w:rPr>
            <w:rStyle w:val="Hyperlink"/>
            <w:rFonts w:ascii="Arial" w:hAnsi="Arial" w:cs="Arial"/>
            <w:color w:val="auto"/>
            <w:u w:val="none"/>
            <w:shd w:val="clear" w:color="auto" w:fill="FFFFFF"/>
          </w:rPr>
          <w:t>https://repository.londonmet.ac.uk/5178/1/Harrington%20et%20al%20%20%282016%29%20Student%20Engagement%20%28chapter%206%20-%20proof%20copy%29.pdf</w:t>
        </w:r>
      </w:hyperlink>
    </w:p>
    <w:p w14:paraId="56EE68E7"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Iqbal, M. Z., &amp; Ali, M. Q. (2024). Improving Practicum Outcomes: Common Errors and Reflective Practices of Future Educators. </w:t>
      </w:r>
      <w:r w:rsidRPr="00932192">
        <w:rPr>
          <w:rFonts w:ascii="Arial" w:hAnsi="Arial" w:cs="Arial"/>
          <w:i/>
          <w:iCs/>
          <w:shd w:val="clear" w:color="auto" w:fill="FFFFFF"/>
        </w:rPr>
        <w:t>Journal of Policy Options</w:t>
      </w:r>
      <w:r w:rsidRPr="00932192">
        <w:rPr>
          <w:rFonts w:ascii="Arial" w:hAnsi="Arial" w:cs="Arial"/>
          <w:shd w:val="clear" w:color="auto" w:fill="FFFFFF"/>
        </w:rPr>
        <w:t>, </w:t>
      </w:r>
      <w:r w:rsidRPr="00932192">
        <w:rPr>
          <w:rFonts w:ascii="Arial" w:hAnsi="Arial" w:cs="Arial"/>
          <w:i/>
          <w:iCs/>
          <w:shd w:val="clear" w:color="auto" w:fill="FFFFFF"/>
        </w:rPr>
        <w:t>7</w:t>
      </w:r>
      <w:r w:rsidRPr="00932192">
        <w:rPr>
          <w:rFonts w:ascii="Arial" w:hAnsi="Arial" w:cs="Arial"/>
          <w:shd w:val="clear" w:color="auto" w:fill="FFFFFF"/>
        </w:rPr>
        <w:t xml:space="preserve">(2), 20-28. </w:t>
      </w:r>
      <w:hyperlink r:id="rId29" w:history="1">
        <w:r w:rsidRPr="00932192">
          <w:rPr>
            <w:rStyle w:val="Hyperlink"/>
            <w:rFonts w:ascii="Arial" w:hAnsi="Arial" w:cs="Arial"/>
            <w:color w:val="auto"/>
            <w:u w:val="none"/>
            <w:shd w:val="clear" w:color="auto" w:fill="FFFFFF"/>
          </w:rPr>
          <w:t>https://resdojournals.com/index.php/jpo/article/download/364/509</w:t>
        </w:r>
      </w:hyperlink>
    </w:p>
    <w:p w14:paraId="133B4455"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Kelley, T. R., Knowles, J. G., Holland, J. D., &amp; Han, J. (2020). Increasing high school </w:t>
      </w:r>
      <w:proofErr w:type="gramStart"/>
      <w:r w:rsidRPr="00932192">
        <w:rPr>
          <w:rFonts w:ascii="Arial" w:hAnsi="Arial" w:cs="Arial"/>
          <w:shd w:val="clear" w:color="auto" w:fill="FFFFFF"/>
        </w:rPr>
        <w:t>teachers</w:t>
      </w:r>
      <w:proofErr w:type="gramEnd"/>
      <w:r w:rsidRPr="00932192">
        <w:rPr>
          <w:rFonts w:ascii="Arial" w:hAnsi="Arial" w:cs="Arial"/>
          <w:shd w:val="clear" w:color="auto" w:fill="FFFFFF"/>
        </w:rPr>
        <w:t xml:space="preserve"> self-efficacy for integrated STEM instruction through a collaborative community of practice. </w:t>
      </w:r>
      <w:r w:rsidRPr="00932192">
        <w:rPr>
          <w:rFonts w:ascii="Arial" w:hAnsi="Arial" w:cs="Arial"/>
          <w:i/>
          <w:iCs/>
          <w:shd w:val="clear" w:color="auto" w:fill="FFFFFF"/>
        </w:rPr>
        <w:t>International Journal of STEM Education</w:t>
      </w:r>
      <w:r w:rsidRPr="00932192">
        <w:rPr>
          <w:rFonts w:ascii="Arial" w:hAnsi="Arial" w:cs="Arial"/>
          <w:shd w:val="clear" w:color="auto" w:fill="FFFFFF"/>
        </w:rPr>
        <w:t>, </w:t>
      </w:r>
      <w:r w:rsidRPr="00932192">
        <w:rPr>
          <w:rFonts w:ascii="Arial" w:hAnsi="Arial" w:cs="Arial"/>
          <w:i/>
          <w:iCs/>
          <w:shd w:val="clear" w:color="auto" w:fill="FFFFFF"/>
        </w:rPr>
        <w:t>7</w:t>
      </w:r>
      <w:r w:rsidRPr="00932192">
        <w:rPr>
          <w:rFonts w:ascii="Arial" w:hAnsi="Arial" w:cs="Arial"/>
          <w:shd w:val="clear" w:color="auto" w:fill="FFFFFF"/>
        </w:rPr>
        <w:t xml:space="preserve">, 1-13. </w:t>
      </w:r>
      <w:hyperlink r:id="rId30" w:history="1">
        <w:r w:rsidRPr="00932192">
          <w:rPr>
            <w:rStyle w:val="Hyperlink"/>
            <w:rFonts w:ascii="Arial" w:hAnsi="Arial" w:cs="Arial"/>
            <w:color w:val="auto"/>
            <w:u w:val="none"/>
            <w:shd w:val="clear" w:color="auto" w:fill="FFFFFF"/>
          </w:rPr>
          <w:t>https://link.springer.com/content/pdf/10.1186/s40594-020-00211-w.pdf</w:t>
        </w:r>
      </w:hyperlink>
    </w:p>
    <w:p w14:paraId="63B91F42"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lastRenderedPageBreak/>
        <w:t>Kilag</w:t>
      </w:r>
      <w:proofErr w:type="spellEnd"/>
      <w:r w:rsidRPr="00932192">
        <w:rPr>
          <w:rFonts w:ascii="Arial" w:hAnsi="Arial" w:cs="Arial"/>
          <w:shd w:val="clear" w:color="auto" w:fill="FFFFFF"/>
        </w:rPr>
        <w:t xml:space="preserve">, O. K. T., </w:t>
      </w:r>
      <w:proofErr w:type="spellStart"/>
      <w:r w:rsidRPr="00932192">
        <w:rPr>
          <w:rFonts w:ascii="Arial" w:hAnsi="Arial" w:cs="Arial"/>
          <w:shd w:val="clear" w:color="auto" w:fill="FFFFFF"/>
        </w:rPr>
        <w:t>Uy</w:t>
      </w:r>
      <w:proofErr w:type="spellEnd"/>
      <w:r w:rsidRPr="00932192">
        <w:rPr>
          <w:rFonts w:ascii="Arial" w:hAnsi="Arial" w:cs="Arial"/>
          <w:shd w:val="clear" w:color="auto" w:fill="FFFFFF"/>
        </w:rPr>
        <w:t xml:space="preserve">, F. T., </w:t>
      </w:r>
      <w:proofErr w:type="spellStart"/>
      <w:r w:rsidRPr="00932192">
        <w:rPr>
          <w:rFonts w:ascii="Arial" w:hAnsi="Arial" w:cs="Arial"/>
          <w:shd w:val="clear" w:color="auto" w:fill="FFFFFF"/>
        </w:rPr>
        <w:t>Abendan</w:t>
      </w:r>
      <w:proofErr w:type="spellEnd"/>
      <w:r w:rsidRPr="00932192">
        <w:rPr>
          <w:rFonts w:ascii="Arial" w:hAnsi="Arial" w:cs="Arial"/>
          <w:shd w:val="clear" w:color="auto" w:fill="FFFFFF"/>
        </w:rPr>
        <w:t xml:space="preserve">, C. F. K., &amp; </w:t>
      </w:r>
      <w:proofErr w:type="spellStart"/>
      <w:r w:rsidRPr="00932192">
        <w:rPr>
          <w:rFonts w:ascii="Arial" w:hAnsi="Arial" w:cs="Arial"/>
          <w:shd w:val="clear" w:color="auto" w:fill="FFFFFF"/>
        </w:rPr>
        <w:t>Malbas</w:t>
      </w:r>
      <w:proofErr w:type="spellEnd"/>
      <w:r w:rsidRPr="00932192">
        <w:rPr>
          <w:rFonts w:ascii="Arial" w:hAnsi="Arial" w:cs="Arial"/>
          <w:shd w:val="clear" w:color="auto" w:fill="FFFFFF"/>
        </w:rPr>
        <w:t xml:space="preserve">, M. H. (2023). Teaching leadership: an examination of best practices for leadership educators. Science and Education, 4(7), 430-445. </w:t>
      </w:r>
      <w:hyperlink r:id="rId31" w:history="1">
        <w:r w:rsidRPr="00932192">
          <w:rPr>
            <w:rStyle w:val="Hyperlink"/>
            <w:rFonts w:ascii="Arial" w:hAnsi="Arial" w:cs="Arial"/>
            <w:color w:val="auto"/>
            <w:u w:val="none"/>
            <w:shd w:val="clear" w:color="auto" w:fill="FFFFFF"/>
          </w:rPr>
          <w:t>https://journals.researchsynergypress.com/index.php/jess/article/download/1379/756</w:t>
        </w:r>
      </w:hyperlink>
    </w:p>
    <w:p w14:paraId="4FF11186" w14:textId="77777777" w:rsidR="00932192" w:rsidRPr="00932192" w:rsidRDefault="00932192" w:rsidP="00932192">
      <w:pPr>
        <w:ind w:left="1080" w:hanging="1080"/>
        <w:rPr>
          <w:rFonts w:ascii="Arial" w:hAnsi="Arial" w:cs="Arial"/>
        </w:rPr>
      </w:pPr>
      <w:r w:rsidRPr="00932192">
        <w:rPr>
          <w:rFonts w:ascii="Arial" w:hAnsi="Arial" w:cs="Arial"/>
        </w:rPr>
        <w:t xml:space="preserve">König, J., </w:t>
      </w:r>
      <w:proofErr w:type="spellStart"/>
      <w:r w:rsidRPr="00932192">
        <w:rPr>
          <w:rFonts w:ascii="Arial" w:hAnsi="Arial" w:cs="Arial"/>
        </w:rPr>
        <w:t>Bremerich</w:t>
      </w:r>
      <w:proofErr w:type="spellEnd"/>
      <w:r w:rsidRPr="00932192">
        <w:rPr>
          <w:rFonts w:ascii="Arial" w:hAnsi="Arial" w:cs="Arial"/>
        </w:rPr>
        <w:t xml:space="preserve">-Vos, A., </w:t>
      </w:r>
      <w:proofErr w:type="spellStart"/>
      <w:r w:rsidRPr="00932192">
        <w:rPr>
          <w:rFonts w:ascii="Arial" w:hAnsi="Arial" w:cs="Arial"/>
        </w:rPr>
        <w:t>Buchholtz</w:t>
      </w:r>
      <w:proofErr w:type="spellEnd"/>
      <w:r w:rsidRPr="00932192">
        <w:rPr>
          <w:rFonts w:ascii="Arial" w:hAnsi="Arial" w:cs="Arial"/>
        </w:rPr>
        <w:t xml:space="preserve">, C., &amp; </w:t>
      </w:r>
      <w:proofErr w:type="spellStart"/>
      <w:r w:rsidRPr="00932192">
        <w:rPr>
          <w:rFonts w:ascii="Arial" w:hAnsi="Arial" w:cs="Arial"/>
        </w:rPr>
        <w:t>Glutsch</w:t>
      </w:r>
      <w:proofErr w:type="spellEnd"/>
      <w:r w:rsidRPr="00932192">
        <w:rPr>
          <w:rFonts w:ascii="Arial" w:hAnsi="Arial" w:cs="Arial"/>
        </w:rPr>
        <w:t>, N. (2020). General pedagogical knowledge, pedagogical adaptivity in written lesson plans, and instructional practice among preservice teachers. Journal of curriculum studies, 52(6), 800-822. https://www.tandfonline.com/doi/pdf/10.1080/00220272.2020.1752804</w:t>
      </w:r>
    </w:p>
    <w:p w14:paraId="6E3A26C1"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Kusmawan</w:t>
      </w:r>
      <w:proofErr w:type="spellEnd"/>
      <w:r w:rsidRPr="00932192">
        <w:rPr>
          <w:rFonts w:ascii="Arial" w:hAnsi="Arial" w:cs="Arial"/>
          <w:shd w:val="clear" w:color="auto" w:fill="FFFFFF"/>
        </w:rPr>
        <w:t xml:space="preserve">, A., Rahman, R., Anis, N., &amp; </w:t>
      </w:r>
      <w:proofErr w:type="spellStart"/>
      <w:r w:rsidRPr="00932192">
        <w:rPr>
          <w:rFonts w:ascii="Arial" w:hAnsi="Arial" w:cs="Arial"/>
          <w:shd w:val="clear" w:color="auto" w:fill="FFFFFF"/>
        </w:rPr>
        <w:t>Arifudin</w:t>
      </w:r>
      <w:proofErr w:type="spellEnd"/>
      <w:r w:rsidRPr="00932192">
        <w:rPr>
          <w:rFonts w:ascii="Arial" w:hAnsi="Arial" w:cs="Arial"/>
          <w:shd w:val="clear" w:color="auto" w:fill="FFFFFF"/>
        </w:rPr>
        <w:t>, O. (2025). The Relationship Between Teacher Involvement in Curriculum Development and Student Learning Outcomes. </w:t>
      </w:r>
      <w:r w:rsidRPr="00932192">
        <w:rPr>
          <w:rFonts w:ascii="Arial" w:hAnsi="Arial" w:cs="Arial"/>
          <w:i/>
          <w:iCs/>
          <w:shd w:val="clear" w:color="auto" w:fill="FFFFFF"/>
        </w:rPr>
        <w:t xml:space="preserve">International Journal of </w:t>
      </w:r>
      <w:proofErr w:type="spellStart"/>
      <w:r w:rsidRPr="00932192">
        <w:rPr>
          <w:rFonts w:ascii="Arial" w:hAnsi="Arial" w:cs="Arial"/>
          <w:i/>
          <w:iCs/>
          <w:shd w:val="clear" w:color="auto" w:fill="FFFFFF"/>
        </w:rPr>
        <w:t>Educatio</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Elementaria</w:t>
      </w:r>
      <w:proofErr w:type="spellEnd"/>
      <w:r w:rsidRPr="00932192">
        <w:rPr>
          <w:rFonts w:ascii="Arial" w:hAnsi="Arial" w:cs="Arial"/>
          <w:i/>
          <w:iCs/>
          <w:shd w:val="clear" w:color="auto" w:fill="FFFFFF"/>
        </w:rPr>
        <w:t xml:space="preserve"> and </w:t>
      </w:r>
      <w:proofErr w:type="spellStart"/>
      <w:r w:rsidRPr="00932192">
        <w:rPr>
          <w:rFonts w:ascii="Arial" w:hAnsi="Arial" w:cs="Arial"/>
          <w:i/>
          <w:iCs/>
          <w:shd w:val="clear" w:color="auto" w:fill="FFFFFF"/>
        </w:rPr>
        <w:t>Psychologia</w:t>
      </w:r>
      <w:proofErr w:type="spellEnd"/>
      <w:r w:rsidRPr="00932192">
        <w:rPr>
          <w:rFonts w:ascii="Arial" w:hAnsi="Arial" w:cs="Arial"/>
          <w:shd w:val="clear" w:color="auto" w:fill="FFFFFF"/>
        </w:rPr>
        <w:t>, </w:t>
      </w:r>
      <w:r w:rsidRPr="00932192">
        <w:rPr>
          <w:rFonts w:ascii="Arial" w:hAnsi="Arial" w:cs="Arial"/>
          <w:i/>
          <w:iCs/>
          <w:shd w:val="clear" w:color="auto" w:fill="FFFFFF"/>
        </w:rPr>
        <w:t>2</w:t>
      </w:r>
      <w:r w:rsidRPr="00932192">
        <w:rPr>
          <w:rFonts w:ascii="Arial" w:hAnsi="Arial" w:cs="Arial"/>
          <w:shd w:val="clear" w:color="auto" w:fill="FFFFFF"/>
        </w:rPr>
        <w:t>(1), 1-12.</w:t>
      </w:r>
      <w:r w:rsidRPr="00932192">
        <w:rPr>
          <w:rFonts w:ascii="Arial" w:hAnsi="Arial" w:cs="Arial"/>
        </w:rPr>
        <w:t xml:space="preserve"> </w:t>
      </w:r>
      <w:hyperlink r:id="rId32" w:history="1">
        <w:r w:rsidRPr="00932192">
          <w:rPr>
            <w:rStyle w:val="Hyperlink"/>
            <w:rFonts w:ascii="Arial" w:hAnsi="Arial" w:cs="Arial"/>
            <w:color w:val="auto"/>
            <w:u w:val="none"/>
            <w:shd w:val="clear" w:color="auto" w:fill="FFFFFF"/>
          </w:rPr>
          <w:t>https://journal.ypidathu.or.id/index.php/ijeep/article/download/1890/1329</w:t>
        </w:r>
      </w:hyperlink>
    </w:p>
    <w:p w14:paraId="47EDBB97"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Mallillin</w:t>
      </w:r>
      <w:proofErr w:type="spellEnd"/>
      <w:r w:rsidRPr="00932192">
        <w:rPr>
          <w:rFonts w:ascii="Arial" w:hAnsi="Arial" w:cs="Arial"/>
          <w:shd w:val="clear" w:color="auto" w:fill="FFFFFF"/>
        </w:rPr>
        <w:t xml:space="preserve">, L. L. D., &amp; Laurel, R. D. (2022). Professional development system theory for quality education. European Journal of Education Studies, 9(8). </w:t>
      </w:r>
      <w:hyperlink r:id="rId33" w:history="1">
        <w:r w:rsidRPr="00932192">
          <w:rPr>
            <w:rStyle w:val="Hyperlink"/>
            <w:rFonts w:ascii="Arial" w:hAnsi="Arial" w:cs="Arial"/>
            <w:color w:val="auto"/>
            <w:u w:val="none"/>
            <w:shd w:val="clear" w:color="auto" w:fill="FFFFFF"/>
          </w:rPr>
          <w:t>https://oapub.org/edu/index.php/ejes/article/download/4407/7042</w:t>
        </w:r>
      </w:hyperlink>
    </w:p>
    <w:p w14:paraId="064264E7" w14:textId="77777777" w:rsidR="00932192" w:rsidRPr="00932192" w:rsidRDefault="00932192" w:rsidP="00932192">
      <w:pPr>
        <w:ind w:left="1080" w:hanging="1080"/>
        <w:rPr>
          <w:rFonts w:ascii="Arial" w:hAnsi="Arial" w:cs="Arial"/>
        </w:rPr>
      </w:pPr>
      <w:r w:rsidRPr="00932192">
        <w:rPr>
          <w:rFonts w:ascii="Arial" w:hAnsi="Arial" w:cs="Arial"/>
        </w:rPr>
        <w:t xml:space="preserve">Mansfield, C. F., </w:t>
      </w:r>
      <w:proofErr w:type="spellStart"/>
      <w:r w:rsidRPr="00932192">
        <w:rPr>
          <w:rFonts w:ascii="Arial" w:hAnsi="Arial" w:cs="Arial"/>
        </w:rPr>
        <w:t>Beltman</w:t>
      </w:r>
      <w:proofErr w:type="spellEnd"/>
      <w:r w:rsidRPr="00932192">
        <w:rPr>
          <w:rFonts w:ascii="Arial" w:hAnsi="Arial" w:cs="Arial"/>
        </w:rPr>
        <w:t xml:space="preserve">, S., &amp; Weatherby-Fell, N. (2020). " I actually felt more confident": An online resource for enhancing pre-service teacher resilience during professional experience. Australian Journal of Teacher Education (Online), 45(4), 30-48. </w:t>
      </w:r>
      <w:hyperlink r:id="rId34" w:history="1">
        <w:r w:rsidRPr="00932192">
          <w:rPr>
            <w:rStyle w:val="Hyperlink"/>
            <w:rFonts w:ascii="Arial" w:hAnsi="Arial" w:cs="Arial"/>
            <w:color w:val="auto"/>
            <w:u w:val="none"/>
          </w:rPr>
          <w:t>https://files.eric.ed.gov/fulltext/EJ1261069.pdf</w:t>
        </w:r>
      </w:hyperlink>
    </w:p>
    <w:p w14:paraId="3C25AB9D" w14:textId="77777777" w:rsidR="00932192" w:rsidRPr="00481B98" w:rsidRDefault="00932192" w:rsidP="00932192">
      <w:pPr>
        <w:ind w:left="1080" w:hanging="1080"/>
        <w:rPr>
          <w:rFonts w:ascii="Arial" w:hAnsi="Arial" w:cs="Arial"/>
        </w:rPr>
      </w:pPr>
      <w:r w:rsidRPr="00932192">
        <w:rPr>
          <w:rFonts w:ascii="Arial" w:hAnsi="Arial" w:cs="Arial"/>
        </w:rPr>
        <w:t xml:space="preserve">Martinez, C. (2022). Developing 21st century teaching skills: A case study of teaching and learning through project-based curriculum. Cogent Education, 9(1), 2024936. </w:t>
      </w:r>
      <w:hyperlink r:id="rId35" w:history="1">
        <w:r w:rsidRPr="00481B98">
          <w:rPr>
            <w:rStyle w:val="Hyperlink"/>
            <w:rFonts w:ascii="Arial" w:hAnsi="Arial" w:cs="Arial"/>
            <w:color w:val="auto"/>
            <w:u w:val="none"/>
          </w:rPr>
          <w:t>https://www.tandfonline.com/doi/pdf/10.1080/2331186X.2021.2024936</w:t>
        </w:r>
      </w:hyperlink>
    </w:p>
    <w:p w14:paraId="0C357AA2" w14:textId="77777777" w:rsidR="00932192" w:rsidRPr="00481B98"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Mertler</w:t>
      </w:r>
      <w:proofErr w:type="spellEnd"/>
      <w:r w:rsidRPr="00481B98">
        <w:rPr>
          <w:rFonts w:ascii="Arial" w:hAnsi="Arial" w:cs="Arial"/>
          <w:shd w:val="clear" w:color="auto" w:fill="FFFFFF"/>
        </w:rPr>
        <w:t>, C. A. (2024). </w:t>
      </w:r>
      <w:r w:rsidRPr="00481B98">
        <w:rPr>
          <w:rFonts w:ascii="Arial" w:hAnsi="Arial" w:cs="Arial"/>
          <w:i/>
          <w:iCs/>
          <w:shd w:val="clear" w:color="auto" w:fill="FFFFFF"/>
        </w:rPr>
        <w:t>Action research: Improving schools and empowering educators</w:t>
      </w:r>
      <w:r w:rsidRPr="00481B98">
        <w:rPr>
          <w:rFonts w:ascii="Arial" w:hAnsi="Arial" w:cs="Arial"/>
          <w:shd w:val="clear" w:color="auto" w:fill="FFFFFF"/>
        </w:rPr>
        <w:t>. Sage Publications.</w:t>
      </w:r>
      <w:r w:rsidRPr="00481B98">
        <w:rPr>
          <w:rFonts w:ascii="Arial" w:hAnsi="Arial" w:cs="Arial"/>
        </w:rPr>
        <w:t xml:space="preserve"> </w:t>
      </w:r>
      <w:hyperlink r:id="rId36" w:history="1">
        <w:r w:rsidRPr="00481B98">
          <w:rPr>
            <w:rStyle w:val="Hyperlink"/>
            <w:rFonts w:ascii="Arial" w:hAnsi="Arial" w:cs="Arial"/>
            <w:color w:val="auto"/>
            <w:u w:val="none"/>
            <w:shd w:val="clear" w:color="auto" w:fill="FFFFFF"/>
          </w:rPr>
          <w:t>https://journalhosting.ucalgary.ca/index.php/ajer/article/download/56076/pdf/0</w:t>
        </w:r>
      </w:hyperlink>
    </w:p>
    <w:p w14:paraId="7AAE4F19"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Meyer, A., Hartung-Beck, V., </w:t>
      </w:r>
      <w:proofErr w:type="spellStart"/>
      <w:r w:rsidRPr="00932192">
        <w:rPr>
          <w:rFonts w:ascii="Arial" w:hAnsi="Arial" w:cs="Arial"/>
          <w:shd w:val="clear" w:color="auto" w:fill="FFFFFF"/>
        </w:rPr>
        <w:t>Gronostaj</w:t>
      </w:r>
      <w:proofErr w:type="spellEnd"/>
      <w:r w:rsidRPr="00932192">
        <w:rPr>
          <w:rFonts w:ascii="Arial" w:hAnsi="Arial" w:cs="Arial"/>
          <w:shd w:val="clear" w:color="auto" w:fill="FFFFFF"/>
        </w:rPr>
        <w:t xml:space="preserve">, A., </w:t>
      </w:r>
      <w:proofErr w:type="spellStart"/>
      <w:r w:rsidRPr="00932192">
        <w:rPr>
          <w:rFonts w:ascii="Arial" w:hAnsi="Arial" w:cs="Arial"/>
          <w:shd w:val="clear" w:color="auto" w:fill="FFFFFF"/>
        </w:rPr>
        <w:t>Krüger</w:t>
      </w:r>
      <w:proofErr w:type="spellEnd"/>
      <w:r w:rsidRPr="00932192">
        <w:rPr>
          <w:rFonts w:ascii="Arial" w:hAnsi="Arial" w:cs="Arial"/>
          <w:shd w:val="clear" w:color="auto" w:fill="FFFFFF"/>
        </w:rPr>
        <w:t>, S., &amp; Richter, D. (2023). How can principal leadership practices promote teacher collaboration and organizational change? A longitudinal multiple case study of three school improvement initiatives. </w:t>
      </w:r>
      <w:r w:rsidRPr="00932192">
        <w:rPr>
          <w:rFonts w:ascii="Arial" w:hAnsi="Arial" w:cs="Arial"/>
          <w:i/>
          <w:iCs/>
          <w:shd w:val="clear" w:color="auto" w:fill="FFFFFF"/>
        </w:rPr>
        <w:t>Journal of Educational Change</w:t>
      </w:r>
      <w:r w:rsidRPr="00932192">
        <w:rPr>
          <w:rFonts w:ascii="Arial" w:hAnsi="Arial" w:cs="Arial"/>
          <w:shd w:val="clear" w:color="auto" w:fill="FFFFFF"/>
        </w:rPr>
        <w:t>, </w:t>
      </w:r>
      <w:r w:rsidRPr="00932192">
        <w:rPr>
          <w:rFonts w:ascii="Arial" w:hAnsi="Arial" w:cs="Arial"/>
          <w:i/>
          <w:iCs/>
          <w:shd w:val="clear" w:color="auto" w:fill="FFFFFF"/>
        </w:rPr>
        <w:t>24</w:t>
      </w:r>
      <w:r w:rsidRPr="00932192">
        <w:rPr>
          <w:rFonts w:ascii="Arial" w:hAnsi="Arial" w:cs="Arial"/>
          <w:shd w:val="clear" w:color="auto" w:fill="FFFFFF"/>
        </w:rPr>
        <w:t xml:space="preserve">(3), 425-455. </w:t>
      </w:r>
      <w:hyperlink r:id="rId37" w:history="1">
        <w:r w:rsidRPr="00932192">
          <w:rPr>
            <w:rStyle w:val="Hyperlink"/>
            <w:rFonts w:ascii="Arial" w:hAnsi="Arial" w:cs="Arial"/>
            <w:color w:val="auto"/>
            <w:u w:val="none"/>
            <w:shd w:val="clear" w:color="auto" w:fill="FFFFFF"/>
          </w:rPr>
          <w:t>https://link.springer.com/content/pdf/10.1007/s10833-022-09451-9.pdf</w:t>
        </w:r>
      </w:hyperlink>
    </w:p>
    <w:p w14:paraId="0C1D5F68" w14:textId="77777777" w:rsidR="00932192" w:rsidRPr="00932192" w:rsidRDefault="00932192" w:rsidP="00932192">
      <w:pPr>
        <w:ind w:left="720" w:hanging="720"/>
        <w:rPr>
          <w:rFonts w:ascii="Arial" w:hAnsi="Arial" w:cs="Arial"/>
          <w:shd w:val="clear" w:color="auto" w:fill="FFFFFF"/>
        </w:rPr>
      </w:pPr>
      <w:proofErr w:type="spellStart"/>
      <w:r w:rsidRPr="00932192">
        <w:rPr>
          <w:rFonts w:ascii="Arial" w:hAnsi="Arial" w:cs="Arial"/>
          <w:shd w:val="clear" w:color="auto" w:fill="FFFFFF"/>
        </w:rPr>
        <w:t>Meylani</w:t>
      </w:r>
      <w:proofErr w:type="spellEnd"/>
      <w:r w:rsidRPr="00932192">
        <w:rPr>
          <w:rFonts w:ascii="Arial" w:hAnsi="Arial" w:cs="Arial"/>
          <w:shd w:val="clear" w:color="auto" w:fill="FFFFFF"/>
        </w:rPr>
        <w:t xml:space="preserve">, R. (2023). A comparative analysis of traditional and modern approaches to assessment and evaluation in education. </w:t>
      </w:r>
      <w:proofErr w:type="spellStart"/>
      <w:r w:rsidRPr="00932192">
        <w:rPr>
          <w:rFonts w:ascii="Arial" w:hAnsi="Arial" w:cs="Arial"/>
          <w:i/>
          <w:iCs/>
          <w:shd w:val="clear" w:color="auto" w:fill="FFFFFF"/>
        </w:rPr>
        <w:t>Batı</w:t>
      </w:r>
      <w:proofErr w:type="spellEnd"/>
      <w:r w:rsidRPr="00932192">
        <w:rPr>
          <w:rFonts w:ascii="Arial" w:hAnsi="Arial" w:cs="Arial"/>
          <w:i/>
          <w:iCs/>
          <w:shd w:val="clear" w:color="auto" w:fill="FFFFFF"/>
        </w:rPr>
        <w:t xml:space="preserve"> Anadolu </w:t>
      </w:r>
      <w:proofErr w:type="spellStart"/>
      <w:r w:rsidRPr="00932192">
        <w:rPr>
          <w:rFonts w:ascii="Arial" w:hAnsi="Arial" w:cs="Arial"/>
          <w:i/>
          <w:iCs/>
          <w:shd w:val="clear" w:color="auto" w:fill="FFFFFF"/>
        </w:rPr>
        <w:t>Eğitim</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Bilimleri</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Dergisi</w:t>
      </w:r>
      <w:proofErr w:type="spellEnd"/>
      <w:r w:rsidRPr="00932192">
        <w:rPr>
          <w:rFonts w:ascii="Arial" w:hAnsi="Arial" w:cs="Arial"/>
          <w:shd w:val="clear" w:color="auto" w:fill="FFFFFF"/>
        </w:rPr>
        <w:t xml:space="preserve">, </w:t>
      </w:r>
      <w:r w:rsidRPr="00932192">
        <w:rPr>
          <w:rFonts w:ascii="Arial" w:hAnsi="Arial" w:cs="Arial"/>
          <w:i/>
          <w:iCs/>
          <w:shd w:val="clear" w:color="auto" w:fill="FFFFFF"/>
        </w:rPr>
        <w:t>15</w:t>
      </w:r>
      <w:r w:rsidRPr="00932192">
        <w:rPr>
          <w:rFonts w:ascii="Arial" w:hAnsi="Arial" w:cs="Arial"/>
          <w:shd w:val="clear" w:color="auto" w:fill="FFFFFF"/>
        </w:rPr>
        <w:t>(1), 520-555.</w:t>
      </w:r>
      <w:r w:rsidRPr="00932192">
        <w:rPr>
          <w:rFonts w:ascii="Arial" w:hAnsi="Arial" w:cs="Arial"/>
        </w:rPr>
        <w:t xml:space="preserve"> </w:t>
      </w:r>
      <w:hyperlink r:id="rId38" w:history="1">
        <w:r w:rsidRPr="00932192">
          <w:rPr>
            <w:rStyle w:val="Hyperlink"/>
            <w:rFonts w:ascii="Arial" w:hAnsi="Arial" w:cs="Arial"/>
            <w:color w:val="auto"/>
            <w:u w:val="none"/>
            <w:shd w:val="clear" w:color="auto" w:fill="FFFFFF"/>
          </w:rPr>
          <w:t>https://dergipark.org.tr/en/download/article-file/3519788</w:t>
        </w:r>
      </w:hyperlink>
    </w:p>
    <w:p w14:paraId="5DE1CCDB" w14:textId="77777777" w:rsidR="00932192" w:rsidRPr="00481B98"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Mohajan</w:t>
      </w:r>
      <w:proofErr w:type="spellEnd"/>
      <w:r w:rsidRPr="00481B98">
        <w:rPr>
          <w:rFonts w:ascii="Arial" w:hAnsi="Arial" w:cs="Arial"/>
          <w:shd w:val="clear" w:color="auto" w:fill="FFFFFF"/>
        </w:rPr>
        <w:t>, H. K. (2020). Quantitative research: A successful investigation in natural and social sciences. </w:t>
      </w:r>
      <w:r w:rsidRPr="00481B98">
        <w:rPr>
          <w:rFonts w:ascii="Arial" w:hAnsi="Arial" w:cs="Arial"/>
          <w:i/>
          <w:iCs/>
          <w:shd w:val="clear" w:color="auto" w:fill="FFFFFF"/>
        </w:rPr>
        <w:t>Journal of economic development, environment and people</w:t>
      </w:r>
      <w:r w:rsidRPr="00481B98">
        <w:rPr>
          <w:rFonts w:ascii="Arial" w:hAnsi="Arial" w:cs="Arial"/>
          <w:shd w:val="clear" w:color="auto" w:fill="FFFFFF"/>
        </w:rPr>
        <w:t>, </w:t>
      </w:r>
      <w:r w:rsidRPr="00481B98">
        <w:rPr>
          <w:rFonts w:ascii="Arial" w:hAnsi="Arial" w:cs="Arial"/>
          <w:i/>
          <w:iCs/>
          <w:shd w:val="clear" w:color="auto" w:fill="FFFFFF"/>
        </w:rPr>
        <w:t>9</w:t>
      </w:r>
      <w:r w:rsidRPr="00481B98">
        <w:rPr>
          <w:rFonts w:ascii="Arial" w:hAnsi="Arial" w:cs="Arial"/>
          <w:shd w:val="clear" w:color="auto" w:fill="FFFFFF"/>
        </w:rPr>
        <w:t>(4), 50-79.</w:t>
      </w:r>
      <w:r w:rsidRPr="00481B98">
        <w:rPr>
          <w:rFonts w:ascii="Arial" w:hAnsi="Arial" w:cs="Arial"/>
        </w:rPr>
        <w:t xml:space="preserve"> </w:t>
      </w:r>
      <w:hyperlink r:id="rId39" w:history="1">
        <w:r w:rsidRPr="00481B98">
          <w:rPr>
            <w:rStyle w:val="Hyperlink"/>
            <w:rFonts w:ascii="Arial" w:hAnsi="Arial" w:cs="Arial"/>
            <w:color w:val="auto"/>
            <w:u w:val="none"/>
            <w:shd w:val="clear" w:color="auto" w:fill="FFFFFF"/>
          </w:rPr>
          <w:t>https://mpra.ub.uni-muenchen.de/105149/1/MPRA_paper_105149.pdf</w:t>
        </w:r>
      </w:hyperlink>
    </w:p>
    <w:p w14:paraId="3A7CD09D" w14:textId="77777777" w:rsidR="00932192" w:rsidRPr="00932192" w:rsidRDefault="00932192" w:rsidP="00932192">
      <w:pPr>
        <w:ind w:left="1080" w:hanging="1080"/>
        <w:rPr>
          <w:rFonts w:ascii="Arial" w:hAnsi="Arial" w:cs="Arial"/>
        </w:rPr>
      </w:pPr>
      <w:proofErr w:type="spellStart"/>
      <w:r w:rsidRPr="00932192">
        <w:rPr>
          <w:rFonts w:ascii="Arial" w:hAnsi="Arial" w:cs="Arial"/>
        </w:rPr>
        <w:t>Nurkhin</w:t>
      </w:r>
      <w:proofErr w:type="spellEnd"/>
      <w:r w:rsidRPr="00932192">
        <w:rPr>
          <w:rFonts w:ascii="Arial" w:hAnsi="Arial" w:cs="Arial"/>
        </w:rPr>
        <w:t xml:space="preserve">, A., </w:t>
      </w:r>
      <w:proofErr w:type="spellStart"/>
      <w:r w:rsidRPr="00932192">
        <w:rPr>
          <w:rFonts w:ascii="Arial" w:hAnsi="Arial" w:cs="Arial"/>
        </w:rPr>
        <w:t>Mulyono</w:t>
      </w:r>
      <w:proofErr w:type="spellEnd"/>
      <w:r w:rsidRPr="00932192">
        <w:rPr>
          <w:rFonts w:ascii="Arial" w:hAnsi="Arial" w:cs="Arial"/>
        </w:rPr>
        <w:t xml:space="preserve">, K. B., </w:t>
      </w:r>
      <w:proofErr w:type="spellStart"/>
      <w:r w:rsidRPr="00932192">
        <w:rPr>
          <w:rFonts w:ascii="Arial" w:hAnsi="Arial" w:cs="Arial"/>
        </w:rPr>
        <w:t>Saputro</w:t>
      </w:r>
      <w:proofErr w:type="spellEnd"/>
      <w:r w:rsidRPr="00932192">
        <w:rPr>
          <w:rFonts w:ascii="Arial" w:hAnsi="Arial" w:cs="Arial"/>
        </w:rPr>
        <w:t xml:space="preserve">, I. H., </w:t>
      </w:r>
      <w:proofErr w:type="spellStart"/>
      <w:r w:rsidRPr="00932192">
        <w:rPr>
          <w:rFonts w:ascii="Arial" w:hAnsi="Arial" w:cs="Arial"/>
        </w:rPr>
        <w:t>Pramono</w:t>
      </w:r>
      <w:proofErr w:type="spellEnd"/>
      <w:r w:rsidRPr="00932192">
        <w:rPr>
          <w:rFonts w:ascii="Arial" w:hAnsi="Arial" w:cs="Arial"/>
        </w:rPr>
        <w:t xml:space="preserve">, D., &amp; </w:t>
      </w:r>
      <w:proofErr w:type="spellStart"/>
      <w:r w:rsidRPr="00932192">
        <w:rPr>
          <w:rFonts w:ascii="Arial" w:hAnsi="Arial" w:cs="Arial"/>
        </w:rPr>
        <w:t>Utomo</w:t>
      </w:r>
      <w:proofErr w:type="spellEnd"/>
      <w:r w:rsidRPr="00932192">
        <w:rPr>
          <w:rFonts w:ascii="Arial" w:hAnsi="Arial" w:cs="Arial"/>
        </w:rPr>
        <w:t xml:space="preserve">, A. P. Y. (2023). European Journal of Educational Research. European Journal of Educational Research, 12(2), 605-621. </w:t>
      </w:r>
      <w:hyperlink r:id="rId40" w:history="1">
        <w:r w:rsidRPr="00932192">
          <w:rPr>
            <w:rStyle w:val="Hyperlink"/>
            <w:rFonts w:ascii="Arial" w:hAnsi="Arial" w:cs="Arial"/>
            <w:color w:val="auto"/>
            <w:u w:val="none"/>
          </w:rPr>
          <w:t>https://www.academia.edu/download/101770947/EU-JER_12_2_605.pdf</w:t>
        </w:r>
      </w:hyperlink>
    </w:p>
    <w:p w14:paraId="615BF5D1" w14:textId="77777777" w:rsidR="00932192" w:rsidRPr="00932192" w:rsidRDefault="00932192" w:rsidP="00932192">
      <w:pPr>
        <w:ind w:left="1080" w:hanging="1080"/>
        <w:rPr>
          <w:rFonts w:ascii="Arial" w:hAnsi="Arial" w:cs="Arial"/>
          <w:shd w:val="clear" w:color="auto" w:fill="FFFFFF"/>
        </w:rPr>
      </w:pPr>
      <w:r w:rsidRPr="00932192">
        <w:rPr>
          <w:rFonts w:ascii="Arial" w:hAnsi="Arial" w:cs="Arial"/>
          <w:shd w:val="clear" w:color="auto" w:fill="FFFFFF"/>
        </w:rPr>
        <w:t xml:space="preserve">Pak, K., </w:t>
      </w:r>
      <w:proofErr w:type="spellStart"/>
      <w:r w:rsidRPr="00932192">
        <w:rPr>
          <w:rFonts w:ascii="Arial" w:hAnsi="Arial" w:cs="Arial"/>
          <w:shd w:val="clear" w:color="auto" w:fill="FFFFFF"/>
        </w:rPr>
        <w:t>Polikoff</w:t>
      </w:r>
      <w:proofErr w:type="spellEnd"/>
      <w:r w:rsidRPr="00932192">
        <w:rPr>
          <w:rFonts w:ascii="Arial" w:hAnsi="Arial" w:cs="Arial"/>
          <w:shd w:val="clear" w:color="auto" w:fill="FFFFFF"/>
        </w:rPr>
        <w:t xml:space="preserve">, M. S., Desimone, L. M., &amp; </w:t>
      </w:r>
      <w:proofErr w:type="spellStart"/>
      <w:r w:rsidRPr="00932192">
        <w:rPr>
          <w:rFonts w:ascii="Arial" w:hAnsi="Arial" w:cs="Arial"/>
          <w:shd w:val="clear" w:color="auto" w:fill="FFFFFF"/>
        </w:rPr>
        <w:t>Saldívar</w:t>
      </w:r>
      <w:proofErr w:type="spellEnd"/>
      <w:r w:rsidRPr="00932192">
        <w:rPr>
          <w:rFonts w:ascii="Arial" w:hAnsi="Arial" w:cs="Arial"/>
          <w:shd w:val="clear" w:color="auto" w:fill="FFFFFF"/>
        </w:rPr>
        <w:t xml:space="preserve"> García, E. (2020). The adaptive challenges of curriculum implementation: Insights for educational leaders driving standards-based reform. </w:t>
      </w:r>
      <w:proofErr w:type="spellStart"/>
      <w:r w:rsidRPr="00932192">
        <w:rPr>
          <w:rFonts w:ascii="Arial" w:hAnsi="Arial" w:cs="Arial"/>
          <w:i/>
          <w:iCs/>
          <w:shd w:val="clear" w:color="auto" w:fill="FFFFFF"/>
        </w:rPr>
        <w:t>Aera</w:t>
      </w:r>
      <w:proofErr w:type="spellEnd"/>
      <w:r w:rsidRPr="00932192">
        <w:rPr>
          <w:rFonts w:ascii="Arial" w:hAnsi="Arial" w:cs="Arial"/>
          <w:i/>
          <w:iCs/>
          <w:shd w:val="clear" w:color="auto" w:fill="FFFFFF"/>
        </w:rPr>
        <w:t xml:space="preserve"> Open</w:t>
      </w:r>
      <w:r w:rsidRPr="00932192">
        <w:rPr>
          <w:rFonts w:ascii="Arial" w:hAnsi="Arial" w:cs="Arial"/>
          <w:shd w:val="clear" w:color="auto" w:fill="FFFFFF"/>
        </w:rPr>
        <w:t>, </w:t>
      </w:r>
      <w:r w:rsidRPr="00932192">
        <w:rPr>
          <w:rFonts w:ascii="Arial" w:hAnsi="Arial" w:cs="Arial"/>
          <w:i/>
          <w:iCs/>
          <w:shd w:val="clear" w:color="auto" w:fill="FFFFFF"/>
        </w:rPr>
        <w:t>6</w:t>
      </w:r>
      <w:r w:rsidRPr="00932192">
        <w:rPr>
          <w:rFonts w:ascii="Arial" w:hAnsi="Arial" w:cs="Arial"/>
          <w:shd w:val="clear" w:color="auto" w:fill="FFFFFF"/>
        </w:rPr>
        <w:t xml:space="preserve">(2), 2332858420932828. </w:t>
      </w:r>
      <w:hyperlink r:id="rId41" w:history="1">
        <w:r w:rsidRPr="00932192">
          <w:rPr>
            <w:rStyle w:val="Hyperlink"/>
            <w:rFonts w:ascii="Arial" w:hAnsi="Arial" w:cs="Arial"/>
            <w:color w:val="auto"/>
            <w:u w:val="none"/>
            <w:shd w:val="clear" w:color="auto" w:fill="FFFFFF"/>
          </w:rPr>
          <w:t>https://journals.sagepub.com/doi/pdf/10.1177/2332858420932828</w:t>
        </w:r>
      </w:hyperlink>
    </w:p>
    <w:p w14:paraId="1FF24A83" w14:textId="77777777" w:rsidR="00932192" w:rsidRPr="00932192" w:rsidRDefault="00932192" w:rsidP="004A1859">
      <w:pPr>
        <w:ind w:left="1080" w:hanging="1080"/>
        <w:rPr>
          <w:rFonts w:ascii="Arial" w:hAnsi="Arial" w:cs="Arial"/>
          <w:shd w:val="clear" w:color="auto" w:fill="FFFFFF"/>
        </w:rPr>
      </w:pPr>
      <w:proofErr w:type="spellStart"/>
      <w:r w:rsidRPr="00932192">
        <w:rPr>
          <w:rFonts w:ascii="Arial" w:hAnsi="Arial" w:cs="Arial"/>
          <w:shd w:val="clear" w:color="auto" w:fill="FFFFFF"/>
        </w:rPr>
        <w:t>Pregoner</w:t>
      </w:r>
      <w:proofErr w:type="spellEnd"/>
      <w:r w:rsidRPr="00932192">
        <w:rPr>
          <w:rFonts w:ascii="Arial" w:hAnsi="Arial" w:cs="Arial"/>
          <w:shd w:val="clear" w:color="auto" w:fill="FFFFFF"/>
        </w:rPr>
        <w:t xml:space="preserve">, J. D., </w:t>
      </w:r>
      <w:proofErr w:type="spellStart"/>
      <w:r w:rsidRPr="00932192">
        <w:rPr>
          <w:rFonts w:ascii="Arial" w:hAnsi="Arial" w:cs="Arial"/>
          <w:shd w:val="clear" w:color="auto" w:fill="FFFFFF"/>
        </w:rPr>
        <w:t>Leopardas</w:t>
      </w:r>
      <w:proofErr w:type="spellEnd"/>
      <w:r w:rsidRPr="00932192">
        <w:rPr>
          <w:rFonts w:ascii="Arial" w:hAnsi="Arial" w:cs="Arial"/>
          <w:shd w:val="clear" w:color="auto" w:fill="FFFFFF"/>
        </w:rPr>
        <w:t xml:space="preserve">, R., </w:t>
      </w:r>
      <w:proofErr w:type="spellStart"/>
      <w:r w:rsidRPr="00932192">
        <w:rPr>
          <w:rFonts w:ascii="Arial" w:hAnsi="Arial" w:cs="Arial"/>
          <w:shd w:val="clear" w:color="auto" w:fill="FFFFFF"/>
        </w:rPr>
        <w:t>Ganancial</w:t>
      </w:r>
      <w:proofErr w:type="spellEnd"/>
      <w:r w:rsidRPr="00932192">
        <w:rPr>
          <w:rFonts w:ascii="Arial" w:hAnsi="Arial" w:cs="Arial"/>
          <w:shd w:val="clear" w:color="auto" w:fill="FFFFFF"/>
        </w:rPr>
        <w:t xml:space="preserve">, I. J., </w:t>
      </w:r>
      <w:proofErr w:type="spellStart"/>
      <w:r w:rsidRPr="00932192">
        <w:rPr>
          <w:rFonts w:ascii="Arial" w:hAnsi="Arial" w:cs="Arial"/>
          <w:shd w:val="clear" w:color="auto" w:fill="FFFFFF"/>
        </w:rPr>
        <w:t>Baguhin</w:t>
      </w:r>
      <w:proofErr w:type="spellEnd"/>
      <w:r w:rsidRPr="00932192">
        <w:rPr>
          <w:rFonts w:ascii="Arial" w:hAnsi="Arial" w:cs="Arial"/>
          <w:shd w:val="clear" w:color="auto" w:fill="FFFFFF"/>
        </w:rPr>
        <w:t xml:space="preserve">, M., &amp; </w:t>
      </w:r>
      <w:proofErr w:type="spellStart"/>
      <w:r w:rsidRPr="00932192">
        <w:rPr>
          <w:rFonts w:ascii="Arial" w:hAnsi="Arial" w:cs="Arial"/>
          <w:shd w:val="clear" w:color="auto" w:fill="FFFFFF"/>
        </w:rPr>
        <w:t>Sedo</w:t>
      </w:r>
      <w:proofErr w:type="spellEnd"/>
      <w:r w:rsidRPr="00932192">
        <w:rPr>
          <w:rFonts w:ascii="Arial" w:hAnsi="Arial" w:cs="Arial"/>
          <w:shd w:val="clear" w:color="auto" w:fill="FFFFFF"/>
        </w:rPr>
        <w:t>, F. (2025). Ethical Issues in Conducting Research Using Human Participants in the Post-COVID Era. </w:t>
      </w:r>
      <w:r w:rsidRPr="00932192">
        <w:rPr>
          <w:rFonts w:ascii="Arial" w:hAnsi="Arial" w:cs="Arial"/>
          <w:i/>
          <w:iCs/>
          <w:shd w:val="clear" w:color="auto" w:fill="FFFFFF"/>
        </w:rPr>
        <w:t>IMCC Journal of Science</w:t>
      </w:r>
      <w:r w:rsidRPr="00932192">
        <w:rPr>
          <w:rFonts w:ascii="Arial" w:hAnsi="Arial" w:cs="Arial"/>
          <w:shd w:val="clear" w:color="auto" w:fill="FFFFFF"/>
        </w:rPr>
        <w:t>, </w:t>
      </w:r>
      <w:r w:rsidRPr="00932192">
        <w:rPr>
          <w:rFonts w:ascii="Arial" w:hAnsi="Arial" w:cs="Arial"/>
          <w:i/>
          <w:iCs/>
          <w:shd w:val="clear" w:color="auto" w:fill="FFFFFF"/>
        </w:rPr>
        <w:t>5</w:t>
      </w:r>
      <w:r w:rsidRPr="00932192">
        <w:rPr>
          <w:rFonts w:ascii="Arial" w:hAnsi="Arial" w:cs="Arial"/>
          <w:shd w:val="clear" w:color="auto" w:fill="FFFFFF"/>
        </w:rPr>
        <w:t xml:space="preserve">(1), 1-9. </w:t>
      </w:r>
      <w:hyperlink r:id="rId42" w:history="1">
        <w:r w:rsidRPr="00932192">
          <w:rPr>
            <w:rStyle w:val="Hyperlink"/>
            <w:rFonts w:ascii="Arial" w:hAnsi="Arial" w:cs="Arial"/>
            <w:color w:val="auto"/>
            <w:u w:val="none"/>
            <w:shd w:val="clear" w:color="auto" w:fill="FFFFFF"/>
          </w:rPr>
          <w:t>https://hal.science/hal-05073466/</w:t>
        </w:r>
      </w:hyperlink>
    </w:p>
    <w:p w14:paraId="2D215989"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Quijano, G. (2023). Assessing the K-12 program implementation in the Philippines as an input to school-based policy plan. </w:t>
      </w:r>
      <w:r w:rsidRPr="00932192">
        <w:rPr>
          <w:rFonts w:ascii="Arial" w:hAnsi="Arial" w:cs="Arial"/>
          <w:i/>
          <w:iCs/>
          <w:shd w:val="clear" w:color="auto" w:fill="FFFFFF"/>
        </w:rPr>
        <w:t>JETT</w:t>
      </w:r>
      <w:r w:rsidRPr="00932192">
        <w:rPr>
          <w:rFonts w:ascii="Arial" w:hAnsi="Arial" w:cs="Arial"/>
          <w:shd w:val="clear" w:color="auto" w:fill="FFFFFF"/>
        </w:rPr>
        <w:t>, </w:t>
      </w:r>
      <w:r w:rsidRPr="00932192">
        <w:rPr>
          <w:rFonts w:ascii="Arial" w:hAnsi="Arial" w:cs="Arial"/>
          <w:i/>
          <w:iCs/>
          <w:shd w:val="clear" w:color="auto" w:fill="FFFFFF"/>
        </w:rPr>
        <w:t>14</w:t>
      </w:r>
      <w:r w:rsidRPr="00932192">
        <w:rPr>
          <w:rFonts w:ascii="Arial" w:hAnsi="Arial" w:cs="Arial"/>
          <w:shd w:val="clear" w:color="auto" w:fill="FFFFFF"/>
        </w:rPr>
        <w:t xml:space="preserve">(1), 248-266. </w:t>
      </w:r>
      <w:hyperlink r:id="rId43" w:history="1">
        <w:r w:rsidRPr="00932192">
          <w:rPr>
            <w:rStyle w:val="Hyperlink"/>
            <w:rFonts w:ascii="Arial" w:hAnsi="Arial" w:cs="Arial"/>
            <w:color w:val="auto"/>
            <w:u w:val="none"/>
            <w:shd w:val="clear" w:color="auto" w:fill="FFFFFF"/>
          </w:rPr>
          <w:t>https://dialnet.unirioja.es/descarga/articulo/8928334.pdf</w:t>
        </w:r>
      </w:hyperlink>
    </w:p>
    <w:p w14:paraId="73749D5B" w14:textId="77777777" w:rsidR="00932192" w:rsidRPr="00481B98"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Rassel</w:t>
      </w:r>
      <w:proofErr w:type="spellEnd"/>
      <w:r w:rsidRPr="00481B98">
        <w:rPr>
          <w:rFonts w:ascii="Arial" w:hAnsi="Arial" w:cs="Arial"/>
          <w:shd w:val="clear" w:color="auto" w:fill="FFFFFF"/>
        </w:rPr>
        <w:t>, G., Leland, S., Mohr, Z., &amp; O'Sullivan, E. (2020). </w:t>
      </w:r>
      <w:r w:rsidRPr="00481B98">
        <w:rPr>
          <w:rFonts w:ascii="Arial" w:hAnsi="Arial" w:cs="Arial"/>
          <w:i/>
          <w:iCs/>
          <w:shd w:val="clear" w:color="auto" w:fill="FFFFFF"/>
        </w:rPr>
        <w:t>Research methods for public administrators</w:t>
      </w:r>
      <w:r w:rsidRPr="00481B98">
        <w:rPr>
          <w:rFonts w:ascii="Arial" w:hAnsi="Arial" w:cs="Arial"/>
          <w:shd w:val="clear" w:color="auto" w:fill="FFFFFF"/>
        </w:rPr>
        <w:t>. Routledge.</w:t>
      </w:r>
      <w:r w:rsidRPr="00481B98">
        <w:rPr>
          <w:rFonts w:ascii="Arial" w:hAnsi="Arial" w:cs="Arial"/>
        </w:rPr>
        <w:t xml:space="preserve"> </w:t>
      </w:r>
      <w:hyperlink r:id="rId44" w:history="1">
        <w:r w:rsidRPr="00481B98">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5BC59BED" w14:textId="77777777" w:rsidR="00932192" w:rsidRPr="00481B98" w:rsidRDefault="00932192" w:rsidP="00932192">
      <w:pPr>
        <w:ind w:left="1080" w:hanging="1080"/>
        <w:rPr>
          <w:rFonts w:ascii="Arial" w:hAnsi="Arial" w:cs="Arial"/>
        </w:rPr>
      </w:pPr>
      <w:r w:rsidRPr="00481B98">
        <w:rPr>
          <w:rFonts w:ascii="Arial" w:hAnsi="Arial" w:cs="Arial"/>
          <w:shd w:val="clear" w:color="auto" w:fill="FFFFFF"/>
        </w:rPr>
        <w:t>Roberts, J. L., &amp; Inman, T. F. (2023). </w:t>
      </w:r>
      <w:r w:rsidRPr="00481B98">
        <w:rPr>
          <w:rFonts w:ascii="Arial" w:hAnsi="Arial" w:cs="Arial"/>
          <w:i/>
          <w:iCs/>
          <w:shd w:val="clear" w:color="auto" w:fill="FFFFFF"/>
        </w:rPr>
        <w:t>Strategies for differentiating instruction: Best practices for the classroom</w:t>
      </w:r>
      <w:r w:rsidRPr="00481B98">
        <w:rPr>
          <w:rFonts w:ascii="Arial" w:hAnsi="Arial" w:cs="Arial"/>
          <w:shd w:val="clear" w:color="auto" w:fill="FFFFFF"/>
        </w:rPr>
        <w:t xml:space="preserve">. Routledge. </w:t>
      </w:r>
      <w:hyperlink r:id="rId45" w:history="1">
        <w:r w:rsidRPr="00481B98">
          <w:rPr>
            <w:rStyle w:val="Hyperlink"/>
            <w:rFonts w:ascii="Arial" w:hAnsi="Arial" w:cs="Arial"/>
            <w:color w:val="auto"/>
            <w:u w:val="none"/>
            <w:shd w:val="clear" w:color="auto" w:fill="FFFFFF"/>
          </w:rPr>
          <w:t>http://cehd.gmu.edu/assets/docs/syllabi/2012/syllabus_15558.pdf</w:t>
        </w:r>
      </w:hyperlink>
    </w:p>
    <w:p w14:paraId="46FBB448" w14:textId="77777777" w:rsidR="00932192" w:rsidRPr="00932192" w:rsidRDefault="00932192" w:rsidP="00932192">
      <w:pPr>
        <w:ind w:left="1080" w:hanging="1080"/>
        <w:rPr>
          <w:rFonts w:ascii="Arial" w:hAnsi="Arial" w:cs="Arial"/>
        </w:rPr>
      </w:pPr>
      <w:proofErr w:type="spellStart"/>
      <w:r w:rsidRPr="00932192">
        <w:rPr>
          <w:rFonts w:ascii="Arial" w:hAnsi="Arial" w:cs="Arial"/>
        </w:rPr>
        <w:t>Rouben</w:t>
      </w:r>
      <w:proofErr w:type="spellEnd"/>
      <w:r w:rsidRPr="00932192">
        <w:rPr>
          <w:rFonts w:ascii="Arial" w:hAnsi="Arial" w:cs="Arial"/>
        </w:rPr>
        <w:t xml:space="preserve">, J., Carola, A., </w:t>
      </w:r>
      <w:proofErr w:type="spellStart"/>
      <w:r w:rsidRPr="00932192">
        <w:rPr>
          <w:rFonts w:ascii="Arial" w:hAnsi="Arial" w:cs="Arial"/>
        </w:rPr>
        <w:t>Seong</w:t>
      </w:r>
      <w:proofErr w:type="spellEnd"/>
      <w:r w:rsidRPr="00932192">
        <w:rPr>
          <w:rFonts w:ascii="Arial" w:hAnsi="Arial" w:cs="Arial"/>
        </w:rPr>
        <w:t xml:space="preserve">-Ho, L., &amp; </w:t>
      </w:r>
      <w:proofErr w:type="spellStart"/>
      <w:r w:rsidRPr="00932192">
        <w:rPr>
          <w:rFonts w:ascii="Arial" w:hAnsi="Arial" w:cs="Arial"/>
        </w:rPr>
        <w:t>Ratimir</w:t>
      </w:r>
      <w:proofErr w:type="spellEnd"/>
      <w:r w:rsidRPr="00932192">
        <w:rPr>
          <w:rFonts w:ascii="Arial" w:hAnsi="Arial" w:cs="Arial"/>
        </w:rPr>
        <w:t xml:space="preserve">, T. (2023). Investigating the Impact of Real-Time Feedback Formative Assessment on High School Algebra Learning Outcomes in the United States. Research and Advances in Education, 2(12), 7-16. </w:t>
      </w:r>
      <w:hyperlink r:id="rId46" w:history="1">
        <w:r w:rsidRPr="00932192">
          <w:rPr>
            <w:rStyle w:val="Hyperlink"/>
            <w:rFonts w:ascii="Arial" w:hAnsi="Arial" w:cs="Arial"/>
            <w:color w:val="auto"/>
            <w:u w:val="none"/>
          </w:rPr>
          <w:t>https://www.paradigmpress.org/rae/article/download/913/787</w:t>
        </w:r>
      </w:hyperlink>
    </w:p>
    <w:p w14:paraId="413FF830"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Rumjaun</w:t>
      </w:r>
      <w:proofErr w:type="spellEnd"/>
      <w:r w:rsidRPr="00932192">
        <w:rPr>
          <w:rFonts w:ascii="Arial" w:hAnsi="Arial" w:cs="Arial"/>
          <w:shd w:val="clear" w:color="auto" w:fill="FFFFFF"/>
        </w:rPr>
        <w:t xml:space="preserve">, A., &amp; </w:t>
      </w:r>
      <w:proofErr w:type="spellStart"/>
      <w:r w:rsidRPr="00932192">
        <w:rPr>
          <w:rFonts w:ascii="Arial" w:hAnsi="Arial" w:cs="Arial"/>
          <w:shd w:val="clear" w:color="auto" w:fill="FFFFFF"/>
        </w:rPr>
        <w:t>Narod</w:t>
      </w:r>
      <w:proofErr w:type="spellEnd"/>
      <w:r w:rsidRPr="00932192">
        <w:rPr>
          <w:rFonts w:ascii="Arial" w:hAnsi="Arial" w:cs="Arial"/>
          <w:shd w:val="clear" w:color="auto" w:fill="FFFFFF"/>
        </w:rPr>
        <w:t>, F. (2020). Social learning theory—albert bandura. </w:t>
      </w:r>
      <w:r w:rsidRPr="00932192">
        <w:rPr>
          <w:rFonts w:ascii="Arial" w:hAnsi="Arial" w:cs="Arial"/>
          <w:i/>
          <w:iCs/>
          <w:shd w:val="clear" w:color="auto" w:fill="FFFFFF"/>
        </w:rPr>
        <w:t>Science education in theory and practice: An introductory guide to learning theory</w:t>
      </w:r>
      <w:r w:rsidRPr="00932192">
        <w:rPr>
          <w:rFonts w:ascii="Arial" w:hAnsi="Arial" w:cs="Arial"/>
          <w:shd w:val="clear" w:color="auto" w:fill="FFFFFF"/>
        </w:rPr>
        <w:t xml:space="preserve">, 85-99. </w:t>
      </w:r>
      <w:hyperlink r:id="rId47" w:history="1">
        <w:r w:rsidRPr="00932192">
          <w:rPr>
            <w:rStyle w:val="Hyperlink"/>
            <w:rFonts w:ascii="Arial" w:hAnsi="Arial" w:cs="Arial"/>
            <w:color w:val="auto"/>
            <w:u w:val="none"/>
            <w:shd w:val="clear" w:color="auto" w:fill="FFFFFF"/>
          </w:rPr>
          <w:t>https://link.springer.com/chapter/10.1007/978-3-030-43620-9_7</w:t>
        </w:r>
      </w:hyperlink>
    </w:p>
    <w:p w14:paraId="4E210E99" w14:textId="77777777" w:rsidR="00932192" w:rsidRPr="00932192" w:rsidRDefault="00932192" w:rsidP="00932192">
      <w:pPr>
        <w:ind w:left="1080" w:hanging="1080"/>
        <w:rPr>
          <w:rFonts w:ascii="Arial" w:hAnsi="Arial" w:cs="Arial"/>
        </w:rPr>
      </w:pPr>
      <w:proofErr w:type="spellStart"/>
      <w:r w:rsidRPr="00932192">
        <w:rPr>
          <w:rFonts w:ascii="Arial" w:hAnsi="Arial" w:cs="Arial"/>
          <w:shd w:val="clear" w:color="auto" w:fill="FFFFFF"/>
        </w:rPr>
        <w:t>Sancar</w:t>
      </w:r>
      <w:proofErr w:type="spellEnd"/>
      <w:r w:rsidRPr="00932192">
        <w:rPr>
          <w:rFonts w:ascii="Arial" w:hAnsi="Arial" w:cs="Arial"/>
          <w:shd w:val="clear" w:color="auto" w:fill="FFFFFF"/>
        </w:rPr>
        <w:t xml:space="preserve">, R., Atal, D., &amp; </w:t>
      </w:r>
      <w:proofErr w:type="spellStart"/>
      <w:r w:rsidRPr="00932192">
        <w:rPr>
          <w:rFonts w:ascii="Arial" w:hAnsi="Arial" w:cs="Arial"/>
          <w:shd w:val="clear" w:color="auto" w:fill="FFFFFF"/>
        </w:rPr>
        <w:t>Deryakulu</w:t>
      </w:r>
      <w:proofErr w:type="spellEnd"/>
      <w:r w:rsidRPr="00932192">
        <w:rPr>
          <w:rFonts w:ascii="Arial" w:hAnsi="Arial" w:cs="Arial"/>
          <w:shd w:val="clear" w:color="auto" w:fill="FFFFFF"/>
        </w:rPr>
        <w:t>, D. (2021). A new framework for teachers’ professional development. </w:t>
      </w:r>
      <w:r w:rsidRPr="00932192">
        <w:rPr>
          <w:rFonts w:ascii="Arial" w:hAnsi="Arial" w:cs="Arial"/>
          <w:i/>
          <w:iCs/>
          <w:shd w:val="clear" w:color="auto" w:fill="FFFFFF"/>
        </w:rPr>
        <w:t>Teaching and teacher education</w:t>
      </w:r>
      <w:r w:rsidRPr="00932192">
        <w:rPr>
          <w:rFonts w:ascii="Arial" w:hAnsi="Arial" w:cs="Arial"/>
          <w:shd w:val="clear" w:color="auto" w:fill="FFFFFF"/>
        </w:rPr>
        <w:t>, </w:t>
      </w:r>
      <w:r w:rsidRPr="00932192">
        <w:rPr>
          <w:rFonts w:ascii="Arial" w:hAnsi="Arial" w:cs="Arial"/>
          <w:i/>
          <w:iCs/>
          <w:shd w:val="clear" w:color="auto" w:fill="FFFFFF"/>
        </w:rPr>
        <w:t>101</w:t>
      </w:r>
      <w:r w:rsidRPr="00932192">
        <w:rPr>
          <w:rFonts w:ascii="Arial" w:hAnsi="Arial" w:cs="Arial"/>
          <w:shd w:val="clear" w:color="auto" w:fill="FFFFFF"/>
        </w:rPr>
        <w:t xml:space="preserve">, 103305. </w:t>
      </w:r>
      <w:hyperlink r:id="rId48" w:history="1">
        <w:r w:rsidRPr="00932192">
          <w:rPr>
            <w:rStyle w:val="Hyperlink"/>
            <w:rFonts w:ascii="Arial" w:hAnsi="Arial" w:cs="Arial"/>
            <w:color w:val="auto"/>
            <w:u w:val="none"/>
            <w:shd w:val="clear" w:color="auto" w:fill="FFFFFF"/>
          </w:rPr>
          <w:t>https://openaccess.ahievran.edu.tr/xmlui/bitstream/handle/20.500.12513/7091/Raziye%20Sancar.pdf?sequence=1&amp;isAllowed=y</w:t>
        </w:r>
      </w:hyperlink>
    </w:p>
    <w:p w14:paraId="75F380CB" w14:textId="77777777" w:rsidR="00932192" w:rsidRPr="00932192" w:rsidRDefault="00932192" w:rsidP="00932192">
      <w:pPr>
        <w:ind w:left="720" w:hanging="720"/>
        <w:rPr>
          <w:rFonts w:ascii="Arial" w:hAnsi="Arial" w:cs="Arial"/>
          <w:shd w:val="clear" w:color="auto" w:fill="FFFFFF"/>
        </w:rPr>
      </w:pPr>
      <w:proofErr w:type="spellStart"/>
      <w:r w:rsidRPr="00932192">
        <w:rPr>
          <w:rFonts w:ascii="Arial" w:hAnsi="Arial" w:cs="Arial"/>
          <w:shd w:val="clear" w:color="auto" w:fill="FFFFFF"/>
        </w:rPr>
        <w:t>Schissel</w:t>
      </w:r>
      <w:proofErr w:type="spellEnd"/>
      <w:r w:rsidRPr="00932192">
        <w:rPr>
          <w:rFonts w:ascii="Arial" w:hAnsi="Arial" w:cs="Arial"/>
          <w:shd w:val="clear" w:color="auto" w:fill="FFFFFF"/>
        </w:rPr>
        <w:t xml:space="preserve">, J. L., De </w:t>
      </w:r>
      <w:proofErr w:type="spellStart"/>
      <w:r w:rsidRPr="00932192">
        <w:rPr>
          <w:rFonts w:ascii="Arial" w:hAnsi="Arial" w:cs="Arial"/>
          <w:shd w:val="clear" w:color="auto" w:fill="FFFFFF"/>
        </w:rPr>
        <w:t>Korne</w:t>
      </w:r>
      <w:proofErr w:type="spellEnd"/>
      <w:r w:rsidRPr="00932192">
        <w:rPr>
          <w:rFonts w:ascii="Arial" w:hAnsi="Arial" w:cs="Arial"/>
          <w:shd w:val="clear" w:color="auto" w:fill="FFFFFF"/>
        </w:rPr>
        <w:t>, H., &amp; López-</w:t>
      </w:r>
      <w:proofErr w:type="spellStart"/>
      <w:r w:rsidRPr="00932192">
        <w:rPr>
          <w:rFonts w:ascii="Arial" w:hAnsi="Arial" w:cs="Arial"/>
          <w:shd w:val="clear" w:color="auto" w:fill="FFFFFF"/>
        </w:rPr>
        <w:t>Gopar</w:t>
      </w:r>
      <w:proofErr w:type="spellEnd"/>
      <w:r w:rsidRPr="00932192">
        <w:rPr>
          <w:rFonts w:ascii="Arial" w:hAnsi="Arial" w:cs="Arial"/>
          <w:shd w:val="clear" w:color="auto" w:fill="FFFFFF"/>
        </w:rPr>
        <w:t xml:space="preserve">, M. (2021). Grappling with </w:t>
      </w:r>
      <w:proofErr w:type="spellStart"/>
      <w:r w:rsidRPr="00932192">
        <w:rPr>
          <w:rFonts w:ascii="Arial" w:hAnsi="Arial" w:cs="Arial"/>
          <w:shd w:val="clear" w:color="auto" w:fill="FFFFFF"/>
        </w:rPr>
        <w:t>translanguaging</w:t>
      </w:r>
      <w:proofErr w:type="spellEnd"/>
      <w:r w:rsidRPr="00932192">
        <w:rPr>
          <w:rFonts w:ascii="Arial" w:hAnsi="Arial" w:cs="Arial"/>
          <w:shd w:val="clear" w:color="auto" w:fill="FFFFFF"/>
        </w:rPr>
        <w:t xml:space="preserve"> for teaching and assessment in culturally and linguistically diverse contexts: Teacher perspectives from Oaxaca, Mexico. </w:t>
      </w:r>
      <w:r w:rsidRPr="00932192">
        <w:rPr>
          <w:rFonts w:ascii="Arial" w:hAnsi="Arial" w:cs="Arial"/>
          <w:i/>
          <w:iCs/>
          <w:shd w:val="clear" w:color="auto" w:fill="FFFFFF"/>
        </w:rPr>
        <w:t>International Journal of Bilingual Education and Bilingualism</w:t>
      </w:r>
      <w:r w:rsidRPr="00932192">
        <w:rPr>
          <w:rFonts w:ascii="Arial" w:hAnsi="Arial" w:cs="Arial"/>
          <w:shd w:val="clear" w:color="auto" w:fill="FFFFFF"/>
        </w:rPr>
        <w:t xml:space="preserve">, </w:t>
      </w:r>
      <w:r w:rsidRPr="00932192">
        <w:rPr>
          <w:rFonts w:ascii="Arial" w:hAnsi="Arial" w:cs="Arial"/>
          <w:i/>
          <w:iCs/>
          <w:shd w:val="clear" w:color="auto" w:fill="FFFFFF"/>
        </w:rPr>
        <w:t>24</w:t>
      </w:r>
      <w:r w:rsidRPr="00932192">
        <w:rPr>
          <w:rFonts w:ascii="Arial" w:hAnsi="Arial" w:cs="Arial"/>
          <w:shd w:val="clear" w:color="auto" w:fill="FFFFFF"/>
        </w:rPr>
        <w:t>(3), 340-356.</w:t>
      </w:r>
      <w:r w:rsidRPr="00932192">
        <w:rPr>
          <w:rFonts w:ascii="Arial" w:hAnsi="Arial" w:cs="Arial"/>
        </w:rPr>
        <w:t xml:space="preserve"> </w:t>
      </w:r>
      <w:hyperlink r:id="rId49" w:history="1">
        <w:r w:rsidRPr="00932192">
          <w:rPr>
            <w:rStyle w:val="Hyperlink"/>
            <w:rFonts w:ascii="Arial" w:hAnsi="Arial" w:cs="Arial"/>
            <w:color w:val="auto"/>
            <w:u w:val="none"/>
            <w:shd w:val="clear" w:color="auto" w:fill="FFFFFF"/>
          </w:rPr>
          <w:t>https://www.duo.uio.no/bitstream/handle/10852/67440/IJBEB_revisions2.pdf?sequence=1</w:t>
        </w:r>
      </w:hyperlink>
    </w:p>
    <w:p w14:paraId="19A0EC07" w14:textId="77777777" w:rsidR="00932192" w:rsidRPr="00932192"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Seeram</w:t>
      </w:r>
      <w:proofErr w:type="spellEnd"/>
      <w:r w:rsidRPr="00481B98">
        <w:rPr>
          <w:rFonts w:ascii="Arial" w:hAnsi="Arial" w:cs="Arial"/>
          <w:shd w:val="clear" w:color="auto" w:fill="FFFFFF"/>
        </w:rPr>
        <w:t>, E. (2022). Quantitative and qualitative research: An overview of approaches. </w:t>
      </w:r>
      <w:r w:rsidRPr="00481B98">
        <w:rPr>
          <w:rFonts w:ascii="Arial" w:hAnsi="Arial" w:cs="Arial"/>
          <w:i/>
          <w:iCs/>
          <w:shd w:val="clear" w:color="auto" w:fill="FFFFFF"/>
        </w:rPr>
        <w:t>Research for Medical Imaging and Radiation Sciences</w:t>
      </w:r>
      <w:r w:rsidRPr="00481B98">
        <w:rPr>
          <w:rFonts w:ascii="Arial" w:hAnsi="Arial" w:cs="Arial"/>
          <w:shd w:val="clear" w:color="auto" w:fill="FFFFFF"/>
        </w:rPr>
        <w:t>, 13-23.</w:t>
      </w:r>
      <w:r w:rsidRPr="00481B98">
        <w:rPr>
          <w:rFonts w:ascii="Arial" w:hAnsi="Arial" w:cs="Arial"/>
        </w:rPr>
        <w:t xml:space="preserve"> </w:t>
      </w:r>
      <w:hyperlink r:id="rId50" w:anchor="page=26" w:history="1">
        <w:r w:rsidRPr="00481B98">
          <w:rPr>
            <w:rStyle w:val="Hyperlink"/>
            <w:rFonts w:ascii="Arial" w:hAnsi="Arial" w:cs="Arial"/>
            <w:color w:val="auto"/>
            <w:u w:val="none"/>
            <w:shd w:val="clear" w:color="auto" w:fill="FFFFFF"/>
          </w:rPr>
          <w:t>https://www.dufuhselibrary.com.ng/eBM/RGY/2022%20Research%20for%20Medical%20Imaging%20and%20Radiation%20Sciences.pdf#page=26</w:t>
        </w:r>
      </w:hyperlink>
    </w:p>
    <w:p w14:paraId="4D8B7AD2" w14:textId="77777777" w:rsidR="00932192" w:rsidRPr="00932192" w:rsidRDefault="00932192" w:rsidP="00932192">
      <w:pPr>
        <w:ind w:left="1080" w:hanging="1080"/>
        <w:rPr>
          <w:rFonts w:ascii="Arial" w:hAnsi="Arial" w:cs="Arial"/>
        </w:rPr>
      </w:pPr>
      <w:proofErr w:type="spellStart"/>
      <w:r w:rsidRPr="00932192">
        <w:rPr>
          <w:rFonts w:ascii="Arial" w:hAnsi="Arial" w:cs="Arial"/>
        </w:rPr>
        <w:t>Shakuna</w:t>
      </w:r>
      <w:proofErr w:type="spellEnd"/>
      <w:r w:rsidRPr="00932192">
        <w:rPr>
          <w:rFonts w:ascii="Arial" w:hAnsi="Arial" w:cs="Arial"/>
        </w:rPr>
        <w:t xml:space="preserve">, K. S., Mohamed, M., &amp; Ali, A. B. (2016). Professional development of </w:t>
      </w:r>
      <w:proofErr w:type="gramStart"/>
      <w:r w:rsidRPr="00932192">
        <w:rPr>
          <w:rFonts w:ascii="Arial" w:hAnsi="Arial" w:cs="Arial"/>
        </w:rPr>
        <w:t>teachers</w:t>
      </w:r>
      <w:proofErr w:type="gramEnd"/>
      <w:r w:rsidRPr="00932192">
        <w:rPr>
          <w:rFonts w:ascii="Arial" w:hAnsi="Arial" w:cs="Arial"/>
        </w:rPr>
        <w:t xml:space="preserve"> scale (DDTS): Using confirmatory factor analysis. International Journal of Science and Research, 5(8), 1510-1515. </w:t>
      </w:r>
      <w:hyperlink r:id="rId51" w:history="1">
        <w:r w:rsidRPr="00932192">
          <w:rPr>
            <w:rStyle w:val="Hyperlink"/>
            <w:rFonts w:ascii="Arial" w:hAnsi="Arial" w:cs="Arial"/>
            <w:color w:val="auto"/>
            <w:u w:val="none"/>
          </w:rPr>
          <w:t>https://www.academia.edu/download/99021104/ART20161270.pdf</w:t>
        </w:r>
      </w:hyperlink>
    </w:p>
    <w:p w14:paraId="7AF39F8E"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Smith, C., &amp; Gillespie, M. (2023). Research on professional development and teacher change: Implications for adult basic education. In </w:t>
      </w:r>
      <w:r w:rsidRPr="00932192">
        <w:rPr>
          <w:rFonts w:ascii="Arial" w:hAnsi="Arial" w:cs="Arial"/>
          <w:i/>
          <w:iCs/>
          <w:shd w:val="clear" w:color="auto" w:fill="FFFFFF"/>
        </w:rPr>
        <w:t>Review of Adult Learning and Literacy, Volume 7</w:t>
      </w:r>
      <w:r w:rsidRPr="00932192">
        <w:rPr>
          <w:rFonts w:ascii="Arial" w:hAnsi="Arial" w:cs="Arial"/>
          <w:shd w:val="clear" w:color="auto" w:fill="FFFFFF"/>
        </w:rPr>
        <w:t xml:space="preserve"> (pp. 205-244). Routledge. </w:t>
      </w:r>
      <w:hyperlink r:id="rId52" w:history="1">
        <w:r w:rsidRPr="00932192">
          <w:rPr>
            <w:rStyle w:val="Hyperlink"/>
            <w:rFonts w:ascii="Arial" w:hAnsi="Arial" w:cs="Arial"/>
            <w:color w:val="auto"/>
            <w:u w:val="none"/>
            <w:shd w:val="clear" w:color="auto" w:fill="FFFFFF"/>
          </w:rPr>
          <w:t>https://www.academia.edu/download/78625272/smith-gillespie-07.pdf</w:t>
        </w:r>
      </w:hyperlink>
    </w:p>
    <w:p w14:paraId="6F3CFF8C" w14:textId="77777777" w:rsidR="00932192" w:rsidRPr="00932192" w:rsidRDefault="00932192" w:rsidP="00932192">
      <w:pPr>
        <w:ind w:left="1080" w:hanging="1080"/>
        <w:rPr>
          <w:rFonts w:ascii="Arial" w:hAnsi="Arial" w:cs="Arial"/>
        </w:rPr>
      </w:pPr>
      <w:proofErr w:type="spellStart"/>
      <w:r w:rsidRPr="00932192">
        <w:rPr>
          <w:rFonts w:ascii="Arial" w:hAnsi="Arial" w:cs="Arial"/>
          <w:shd w:val="clear" w:color="auto" w:fill="FFFFFF"/>
        </w:rPr>
        <w:t>Trinter</w:t>
      </w:r>
      <w:proofErr w:type="spellEnd"/>
      <w:r w:rsidRPr="00932192">
        <w:rPr>
          <w:rFonts w:ascii="Arial" w:hAnsi="Arial" w:cs="Arial"/>
          <w:shd w:val="clear" w:color="auto" w:fill="FFFFFF"/>
        </w:rPr>
        <w:t>, C. P., &amp; Hughes, H. E. (2021). Teachers as curriculum designers: Inviting teachers into the productive struggle. </w:t>
      </w:r>
      <w:r w:rsidRPr="00932192">
        <w:rPr>
          <w:rFonts w:ascii="Arial" w:hAnsi="Arial" w:cs="Arial"/>
          <w:i/>
          <w:iCs/>
          <w:shd w:val="clear" w:color="auto" w:fill="FFFFFF"/>
        </w:rPr>
        <w:t>RMLE online</w:t>
      </w:r>
      <w:r w:rsidRPr="00932192">
        <w:rPr>
          <w:rFonts w:ascii="Arial" w:hAnsi="Arial" w:cs="Arial"/>
          <w:shd w:val="clear" w:color="auto" w:fill="FFFFFF"/>
        </w:rPr>
        <w:t>, </w:t>
      </w:r>
      <w:r w:rsidRPr="00932192">
        <w:rPr>
          <w:rFonts w:ascii="Arial" w:hAnsi="Arial" w:cs="Arial"/>
          <w:i/>
          <w:iCs/>
          <w:shd w:val="clear" w:color="auto" w:fill="FFFFFF"/>
        </w:rPr>
        <w:t>44</w:t>
      </w:r>
      <w:r w:rsidRPr="00932192">
        <w:rPr>
          <w:rFonts w:ascii="Arial" w:hAnsi="Arial" w:cs="Arial"/>
          <w:shd w:val="clear" w:color="auto" w:fill="FFFFFF"/>
        </w:rPr>
        <w:t xml:space="preserve">(3), 1-16. </w:t>
      </w:r>
      <w:hyperlink r:id="rId53" w:history="1">
        <w:r w:rsidRPr="00932192">
          <w:rPr>
            <w:rStyle w:val="Hyperlink"/>
            <w:rFonts w:ascii="Arial" w:hAnsi="Arial" w:cs="Arial"/>
            <w:color w:val="auto"/>
            <w:u w:val="none"/>
            <w:shd w:val="clear" w:color="auto" w:fill="FFFFFF"/>
          </w:rPr>
          <w:t>https://www.tandfonline.com/doi/pdf/10.1080/19404476.2021.1878417</w:t>
        </w:r>
      </w:hyperlink>
    </w:p>
    <w:p w14:paraId="40EA159F" w14:textId="77777777" w:rsidR="00932192" w:rsidRPr="007D2B80" w:rsidRDefault="00932192" w:rsidP="007D2B80">
      <w:pPr>
        <w:pStyle w:val="ReferHead"/>
        <w:spacing w:after="0"/>
        <w:jc w:val="both"/>
        <w:rPr>
          <w:rFonts w:ascii="Arial" w:hAnsi="Arial" w:cs="Arial"/>
          <w:sz w:val="20"/>
        </w:rPr>
      </w:pP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5940E1">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EE00" w14:textId="77777777" w:rsidR="00BB7116" w:rsidRDefault="00BB7116">
      <w:r>
        <w:separator/>
      </w:r>
    </w:p>
  </w:endnote>
  <w:endnote w:type="continuationSeparator" w:id="0">
    <w:p w14:paraId="400A0D89" w14:textId="77777777" w:rsidR="00BB7116" w:rsidRDefault="00BB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16A98" w14:textId="77777777" w:rsidR="00CB1F48" w:rsidRDefault="00CB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9C8D" w14:textId="77777777" w:rsidR="00CB1F48" w:rsidRDefault="00CB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932192" w:rsidRDefault="00932192">
    <w:pPr>
      <w:pStyle w:val="Footer"/>
      <w:rPr>
        <w:rFonts w:ascii="Arial" w:hAnsi="Arial" w:cs="Arial"/>
        <w:sz w:val="16"/>
      </w:rPr>
    </w:pPr>
  </w:p>
  <w:p w14:paraId="37F70CA5" w14:textId="77777777" w:rsidR="00932192" w:rsidRDefault="0093219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932192" w:rsidRDefault="00932192">
    <w:pPr>
      <w:pStyle w:val="Footer"/>
      <w:rPr>
        <w:rFonts w:ascii="Arial" w:hAnsi="Arial" w:cs="Arial"/>
        <w:sz w:val="16"/>
      </w:rPr>
    </w:pPr>
  </w:p>
  <w:p w14:paraId="51867F36" w14:textId="77777777" w:rsidR="00932192" w:rsidRDefault="0093219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932192" w:rsidRDefault="00932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1607C" w14:textId="77777777" w:rsidR="00BB7116" w:rsidRDefault="00BB7116">
      <w:r>
        <w:separator/>
      </w:r>
    </w:p>
  </w:footnote>
  <w:footnote w:type="continuationSeparator" w:id="0">
    <w:p w14:paraId="735BCAA8" w14:textId="77777777" w:rsidR="00BB7116" w:rsidRDefault="00BB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465D" w14:textId="137255A1" w:rsidR="00CB1F48" w:rsidRDefault="00CB1F48">
    <w:pPr>
      <w:pStyle w:val="Header"/>
    </w:pPr>
    <w:r>
      <w:rPr>
        <w:noProof/>
      </w:rPr>
      <w:pict w14:anchorId="59A7B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C396" w14:textId="662FC4D2" w:rsidR="00CB1F48" w:rsidRDefault="00CB1F48">
    <w:pPr>
      <w:pStyle w:val="Header"/>
    </w:pPr>
    <w:r>
      <w:rPr>
        <w:noProof/>
      </w:rPr>
      <w:pict w14:anchorId="1C32D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7508E809" w:rsidR="00932192" w:rsidRDefault="00CB1F48">
    <w:pPr>
      <w:ind w:left="2160"/>
      <w:jc w:val="center"/>
      <w:rPr>
        <w:rFonts w:ascii="Times New Roman" w:eastAsia="Calibri" w:hAnsi="Times New Roman"/>
        <w:i/>
        <w:sz w:val="18"/>
        <w:szCs w:val="22"/>
      </w:rPr>
    </w:pPr>
    <w:r>
      <w:rPr>
        <w:noProof/>
      </w:rPr>
      <w:pict w14:anchorId="3A1FE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932192" w:rsidRDefault="0093219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932192" w:rsidRDefault="00932192">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932192" w:rsidRDefault="0093219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932192" w:rsidRDefault="0093219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932192" w:rsidRDefault="0093219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932192" w:rsidRDefault="009321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DC88" w14:textId="0A51926C" w:rsidR="00CB1F48" w:rsidRDefault="00CB1F48">
    <w:pPr>
      <w:pStyle w:val="Header"/>
    </w:pPr>
    <w:r>
      <w:rPr>
        <w:noProof/>
      </w:rPr>
      <w:pict w14:anchorId="4970E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5FBF" w14:textId="133E67DF" w:rsidR="00CB1F48" w:rsidRDefault="00CB1F48">
    <w:pPr>
      <w:pStyle w:val="Header"/>
    </w:pPr>
    <w:r>
      <w:rPr>
        <w:noProof/>
      </w:rPr>
      <w:pict w14:anchorId="6AB7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73CB" w14:textId="313109E1" w:rsidR="00CB1F48" w:rsidRDefault="00CB1F48">
    <w:pPr>
      <w:pStyle w:val="Header"/>
    </w:pPr>
    <w:r>
      <w:rPr>
        <w:noProof/>
      </w:rPr>
      <w:pict w14:anchorId="53E5C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0EF"/>
    <w:rsid w:val="001E6121"/>
    <w:rsid w:val="001E7EB7"/>
    <w:rsid w:val="001F72C3"/>
    <w:rsid w:val="001F7F3C"/>
    <w:rsid w:val="00200595"/>
    <w:rsid w:val="00200CF7"/>
    <w:rsid w:val="0020136A"/>
    <w:rsid w:val="002039CD"/>
    <w:rsid w:val="00203AF9"/>
    <w:rsid w:val="00204835"/>
    <w:rsid w:val="002074B8"/>
    <w:rsid w:val="00210C28"/>
    <w:rsid w:val="00215B06"/>
    <w:rsid w:val="002170C0"/>
    <w:rsid w:val="00224DE5"/>
    <w:rsid w:val="002274C1"/>
    <w:rsid w:val="002309B8"/>
    <w:rsid w:val="00231920"/>
    <w:rsid w:val="0023195C"/>
    <w:rsid w:val="00237589"/>
    <w:rsid w:val="00240CE3"/>
    <w:rsid w:val="00241594"/>
    <w:rsid w:val="00241741"/>
    <w:rsid w:val="002425B9"/>
    <w:rsid w:val="0024282C"/>
    <w:rsid w:val="002439AA"/>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1B98"/>
    <w:rsid w:val="00483372"/>
    <w:rsid w:val="00483EDC"/>
    <w:rsid w:val="0048547F"/>
    <w:rsid w:val="00490B0B"/>
    <w:rsid w:val="00491EFD"/>
    <w:rsid w:val="00495915"/>
    <w:rsid w:val="004A1859"/>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17A4"/>
    <w:rsid w:val="00502516"/>
    <w:rsid w:val="00502C0C"/>
    <w:rsid w:val="00502D46"/>
    <w:rsid w:val="00503ADC"/>
    <w:rsid w:val="00504CAB"/>
    <w:rsid w:val="00505231"/>
    <w:rsid w:val="00505F06"/>
    <w:rsid w:val="00506828"/>
    <w:rsid w:val="0050761B"/>
    <w:rsid w:val="00507A73"/>
    <w:rsid w:val="00510ED2"/>
    <w:rsid w:val="00523F46"/>
    <w:rsid w:val="00524ED0"/>
    <w:rsid w:val="0053056E"/>
    <w:rsid w:val="0053144C"/>
    <w:rsid w:val="00533886"/>
    <w:rsid w:val="0053558A"/>
    <w:rsid w:val="00535C8B"/>
    <w:rsid w:val="00535CBD"/>
    <w:rsid w:val="0053650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51AC"/>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940E1"/>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4D00"/>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0AFA"/>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1EFE"/>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192"/>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231"/>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1BB2"/>
    <w:rsid w:val="00A44B85"/>
    <w:rsid w:val="00A4596B"/>
    <w:rsid w:val="00A46357"/>
    <w:rsid w:val="00A469DA"/>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65DE"/>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B711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07E"/>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1F48"/>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010E"/>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4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3CA6"/>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E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003356677">
      <w:bodyDiv w:val="1"/>
      <w:marLeft w:val="0"/>
      <w:marRight w:val="0"/>
      <w:marTop w:val="0"/>
      <w:marBottom w:val="0"/>
      <w:divBdr>
        <w:top w:val="none" w:sz="0" w:space="0" w:color="auto"/>
        <w:left w:val="none" w:sz="0" w:space="0" w:color="auto"/>
        <w:bottom w:val="none" w:sz="0" w:space="0" w:color="auto"/>
        <w:right w:val="none" w:sz="0" w:space="0" w:color="auto"/>
      </w:divBdr>
    </w:div>
    <w:div w:id="1445921575">
      <w:bodyDiv w:val="1"/>
      <w:marLeft w:val="0"/>
      <w:marRight w:val="0"/>
      <w:marTop w:val="0"/>
      <w:marBottom w:val="0"/>
      <w:divBdr>
        <w:top w:val="none" w:sz="0" w:space="0" w:color="auto"/>
        <w:left w:val="none" w:sz="0" w:space="0" w:color="auto"/>
        <w:bottom w:val="none" w:sz="0" w:space="0" w:color="auto"/>
        <w:right w:val="none" w:sz="0" w:space="0" w:color="auto"/>
      </w:divBdr>
    </w:div>
    <w:div w:id="1826315173">
      <w:bodyDiv w:val="1"/>
      <w:marLeft w:val="0"/>
      <w:marRight w:val="0"/>
      <w:marTop w:val="0"/>
      <w:marBottom w:val="0"/>
      <w:divBdr>
        <w:top w:val="none" w:sz="0" w:space="0" w:color="auto"/>
        <w:left w:val="none" w:sz="0" w:space="0" w:color="auto"/>
        <w:bottom w:val="none" w:sz="0" w:space="0" w:color="auto"/>
        <w:right w:val="none" w:sz="0" w:space="0" w:color="auto"/>
      </w:divBdr>
    </w:div>
    <w:div w:id="199821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opr.com/download/investigating-special-education-teachers-knowledge-and-skills-preparing-general-teacher-preparation-8204.pdf" TargetMode="External"/><Relationship Id="rId26" Type="http://schemas.openxmlformats.org/officeDocument/2006/relationships/hyperlink" Target="https://tguskey.com/wp-content/uploads/LP-24-Prof-Lrng-Eval-PDF.pdf" TargetMode="External"/><Relationship Id="rId39" Type="http://schemas.openxmlformats.org/officeDocument/2006/relationships/hyperlink" Target="https://mpra.ub.uni-muenchen.de/105149/1/MPRA_paper_105149.pdf" TargetMode="External"/><Relationship Id="rId21" Type="http://schemas.openxmlformats.org/officeDocument/2006/relationships/hyperlink" Target="https://dergipark.org.tr/en/download/article-file/3717354" TargetMode="External"/><Relationship Id="rId34" Type="http://schemas.openxmlformats.org/officeDocument/2006/relationships/hyperlink" Target="https://files.eric.ed.gov/fulltext/EJ1261069.pdf" TargetMode="External"/><Relationship Id="rId42" Type="http://schemas.openxmlformats.org/officeDocument/2006/relationships/hyperlink" Target="https://hal.science/hal-05073466/" TargetMode="External"/><Relationship Id="rId47" Type="http://schemas.openxmlformats.org/officeDocument/2006/relationships/hyperlink" Target="https://link.springer.com/chapter/10.1007/978-3-030-43620-9_7" TargetMode="External"/><Relationship Id="rId50" Type="http://schemas.openxmlformats.org/officeDocument/2006/relationships/hyperlink" Target="https://www.dufuhselibrary.com.ng/eBM/RGY/2022%20Research%20for%20Medical%20Imaging%20and%20Radiation%20Sciences.pdf"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ji.net/ats/index.php/pub/article/view/205/289" TargetMode="External"/><Relationship Id="rId29" Type="http://schemas.openxmlformats.org/officeDocument/2006/relationships/hyperlink" Target="https://resdojournals.com/index.php/jpo/article/download/364/509" TargetMode="External"/><Relationship Id="rId11" Type="http://schemas.openxmlformats.org/officeDocument/2006/relationships/footer" Target="footer2.xml"/><Relationship Id="rId24" Type="http://schemas.openxmlformats.org/officeDocument/2006/relationships/hyperlink" Target="https://www.injoe.org/index.php/INJOE/article/download/176/204" TargetMode="External"/><Relationship Id="rId32" Type="http://schemas.openxmlformats.org/officeDocument/2006/relationships/hyperlink" Target="https://journal.ypidathu.or.id/index.php/ijeep/article/download/1890/1329" TargetMode="External"/><Relationship Id="rId37" Type="http://schemas.openxmlformats.org/officeDocument/2006/relationships/hyperlink" Target="https://link.springer.com/content/pdf/10.1007/s10833-022-09451-9.pdf" TargetMode="External"/><Relationship Id="rId40" Type="http://schemas.openxmlformats.org/officeDocument/2006/relationships/hyperlink" Target="https://www.academia.edu/download/101770947/EU-JER_12_2_605.pdf" TargetMode="External"/><Relationship Id="rId45" Type="http://schemas.openxmlformats.org/officeDocument/2006/relationships/hyperlink" Target="http://cehd.gmu.edu/assets/docs/syllabi/2012/syllabus_15558.pdf" TargetMode="External"/><Relationship Id="rId53" Type="http://schemas.openxmlformats.org/officeDocument/2006/relationships/hyperlink" Target="https://www.tandfonline.com/doi/pdf/10.1080/19404476.2021.187841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ink.springer.com/content/pdf/10.1007/s10643-021-01227-9.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files.eric.ed.gov/fulltext/EJ1276115.pdf" TargetMode="External"/><Relationship Id="rId27" Type="http://schemas.openxmlformats.org/officeDocument/2006/relationships/hyperlink" Target="https://link.springer.com/content/pdf/10.1007/s40692-020-00169-2.pdf" TargetMode="External"/><Relationship Id="rId30" Type="http://schemas.openxmlformats.org/officeDocument/2006/relationships/hyperlink" Target="https://link.springer.com/content/pdf/10.1186/s40594-020-00211-w.pdf" TargetMode="External"/><Relationship Id="rId35" Type="http://schemas.openxmlformats.org/officeDocument/2006/relationships/hyperlink" Target="https://www.tandfonline.com/doi/pdf/10.1080/2331186X.2021.2024936" TargetMode="External"/><Relationship Id="rId43" Type="http://schemas.openxmlformats.org/officeDocument/2006/relationships/hyperlink" Target="https://dialnet.unirioja.es/descarga/articulo/8928334.pdf" TargetMode="External"/><Relationship Id="rId48" Type="http://schemas.openxmlformats.org/officeDocument/2006/relationships/hyperlink" Target="https://openaccess.ahievran.edu.tr/xmlui/bitstream/handle/20.500.12513/7091/Raziye%20Sancar.pdf?sequence=1&amp;isAllowed=y"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academia.edu/download/99021104/ART20161270.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r.nsf.gov/servlets/purl/10405672" TargetMode="External"/><Relationship Id="rId25"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3" Type="http://schemas.openxmlformats.org/officeDocument/2006/relationships/hyperlink" Target="https://oapub.org/edu/index.php/ejes/article/download/4407/7042" TargetMode="External"/><Relationship Id="rId38" Type="http://schemas.openxmlformats.org/officeDocument/2006/relationships/hyperlink" Target="https://dergipark.org.tr/en/download/article-file/3519788" TargetMode="External"/><Relationship Id="rId46" Type="http://schemas.openxmlformats.org/officeDocument/2006/relationships/hyperlink" Target="https://www.paradigmpress.org/rae/article/download/913/787" TargetMode="External"/><Relationship Id="rId59" Type="http://schemas.openxmlformats.org/officeDocument/2006/relationships/theme" Target="theme/theme1.xml"/><Relationship Id="rId20" Type="http://schemas.openxmlformats.org/officeDocument/2006/relationships/hyperlink" Target="https://www.tandfonline.com/doi/pdf/10.1080/03043797.2020.1718615" TargetMode="External"/><Relationship Id="rId41" Type="http://schemas.openxmlformats.org/officeDocument/2006/relationships/hyperlink" Target="https://journals.sagepub.com/doi/pdf/10.1177/233285842093282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rgipark.org.tr/en/download/article-file/2198595" TargetMode="External"/><Relationship Id="rId23" Type="http://schemas.openxmlformats.org/officeDocument/2006/relationships/hyperlink" Target="https://www.atlantis-press.com/article/125961875.pdf" TargetMode="External"/><Relationship Id="rId28" Type="http://schemas.openxmlformats.org/officeDocument/2006/relationships/hyperlink" Target="https://repository.londonmet.ac.uk/5178/1/Harrington%20et%20al%20%20%282016%29%20Student%20Engagement%20%28chapter%206%20-%20proof%20copy%29.pdf" TargetMode="External"/><Relationship Id="rId36" Type="http://schemas.openxmlformats.org/officeDocument/2006/relationships/hyperlink" Target="https://journalhosting.ucalgary.ca/index.php/ajer/article/download/56076/pdf/0" TargetMode="External"/><Relationship Id="rId49" Type="http://schemas.openxmlformats.org/officeDocument/2006/relationships/hyperlink" Target="https://www.duo.uio.no/bitstream/handle/10852/67440/IJBEB_revisions2.pdf?sequence=1"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journals.researchsynergypress.com/index.php/jess/article/download/1379/756" TargetMode="External"/><Relationship Id="rId44"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52" Type="http://schemas.openxmlformats.org/officeDocument/2006/relationships/hyperlink" Target="https://www.academia.edu/download/78625272/smith-gillespie-0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15</Pages>
  <Words>7671</Words>
  <Characters>43729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2024-10-20T02:52:00Z</cp:lastPrinted>
  <dcterms:created xsi:type="dcterms:W3CDTF">2025-06-16T04:44:00Z</dcterms:created>
  <dcterms:modified xsi:type="dcterms:W3CDTF">2025-06-16T10:12:00Z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692be3c2-88d7-417c-915a-82a4aba32fc9</vt:lpwstr>
  </property>
</Properties>
</file>