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36F" w14:textId="7714F2D8" w:rsidR="00884620" w:rsidRPr="00884620" w:rsidRDefault="00884620">
      <w:pPr>
        <w:jc w:val="center"/>
        <w:rPr>
          <w:rFonts w:ascii="Garamond" w:eastAsia="Garamond" w:hAnsi="Garamond" w:cs="Garamond"/>
          <w:b/>
          <w:sz w:val="22"/>
          <w:szCs w:val="22"/>
          <w:u w:val="single"/>
        </w:rPr>
      </w:pPr>
      <w:bookmarkStart w:id="0" w:name="_Hlk200091886"/>
      <w:r w:rsidRPr="00884620">
        <w:rPr>
          <w:rFonts w:ascii="Garamond" w:eastAsia="Garamond" w:hAnsi="Garamond" w:cs="Garamond"/>
          <w:b/>
          <w:sz w:val="22"/>
          <w:szCs w:val="22"/>
          <w:u w:val="single"/>
        </w:rPr>
        <w:t>Original Research Article</w:t>
      </w:r>
    </w:p>
    <w:p w14:paraId="326FD274" w14:textId="77777777" w:rsidR="00884620" w:rsidRDefault="00884620">
      <w:pPr>
        <w:jc w:val="center"/>
        <w:rPr>
          <w:rFonts w:ascii="Garamond" w:eastAsia="Garamond" w:hAnsi="Garamond" w:cs="Garamond"/>
          <w:b/>
          <w:sz w:val="22"/>
          <w:szCs w:val="22"/>
        </w:rPr>
      </w:pPr>
    </w:p>
    <w:p w14:paraId="43FA2B91" w14:textId="77777777" w:rsidR="00884620" w:rsidRDefault="00884620">
      <w:pPr>
        <w:jc w:val="center"/>
        <w:rPr>
          <w:rFonts w:ascii="Garamond" w:eastAsia="Garamond" w:hAnsi="Garamond" w:cs="Garamond"/>
          <w:b/>
          <w:sz w:val="22"/>
          <w:szCs w:val="22"/>
        </w:rPr>
      </w:pPr>
    </w:p>
    <w:p w14:paraId="73B6F217" w14:textId="523A2B84" w:rsidR="00435F32" w:rsidRDefault="00000000">
      <w:pPr>
        <w:jc w:val="center"/>
        <w:rPr>
          <w:rFonts w:ascii="Garamond" w:eastAsia="Garamond" w:hAnsi="Garamond" w:cs="Garamond"/>
          <w:b/>
          <w:sz w:val="22"/>
          <w:szCs w:val="22"/>
        </w:rPr>
      </w:pPr>
      <w:r>
        <w:rPr>
          <w:rFonts w:ascii="Garamond" w:eastAsia="Garamond" w:hAnsi="Garamond" w:cs="Garamond"/>
          <w:b/>
          <w:sz w:val="22"/>
          <w:szCs w:val="22"/>
        </w:rPr>
        <w:t xml:space="preserve">Usage of AI-Based </w:t>
      </w:r>
      <w:proofErr w:type="gramStart"/>
      <w:r>
        <w:rPr>
          <w:rFonts w:ascii="Garamond" w:eastAsia="Garamond" w:hAnsi="Garamond" w:cs="Garamond"/>
          <w:b/>
          <w:sz w:val="22"/>
          <w:szCs w:val="22"/>
        </w:rPr>
        <w:t>ChatGPT</w:t>
      </w:r>
      <w:r w:rsidR="005D1745">
        <w:rPr>
          <w:rFonts w:ascii="Garamond" w:eastAsia="Garamond" w:hAnsi="Garamond" w:cs="Garamond"/>
          <w:b/>
          <w:sz w:val="22"/>
          <w:szCs w:val="22"/>
        </w:rPr>
        <w:t xml:space="preserve"> </w:t>
      </w:r>
      <w:r>
        <w:rPr>
          <w:rFonts w:ascii="Garamond" w:eastAsia="Garamond" w:hAnsi="Garamond" w:cs="Garamond"/>
          <w:b/>
          <w:sz w:val="22"/>
          <w:szCs w:val="22"/>
        </w:rPr>
        <w:t>,</w:t>
      </w:r>
      <w:proofErr w:type="gramEnd"/>
      <w:r>
        <w:rPr>
          <w:rFonts w:ascii="Garamond" w:eastAsia="Garamond" w:hAnsi="Garamond" w:cs="Garamond"/>
          <w:b/>
          <w:sz w:val="22"/>
          <w:szCs w:val="22"/>
        </w:rPr>
        <w:t xml:space="preserve"> Students’ Self-Efficacy, and Engagement in Mathematics</w:t>
      </w:r>
    </w:p>
    <w:bookmarkEnd w:id="0"/>
    <w:p w14:paraId="0B12C310" w14:textId="77777777" w:rsidR="00AC30CA" w:rsidRDefault="00AC30CA">
      <w:pPr>
        <w:keepNext/>
        <w:widowControl/>
        <w:pBdr>
          <w:top w:val="none" w:sz="0" w:space="0" w:color="000000"/>
          <w:left w:val="none" w:sz="0" w:space="0" w:color="000000"/>
          <w:bottom w:val="none" w:sz="0" w:space="0" w:color="000000"/>
          <w:right w:val="none" w:sz="0" w:space="0" w:color="000000"/>
          <w:between w:val="none" w:sz="0" w:space="0" w:color="000000"/>
        </w:pBdr>
        <w:tabs>
          <w:tab w:val="left" w:pos="2172"/>
          <w:tab w:val="center" w:pos="4370"/>
          <w:tab w:val="center" w:pos="4422"/>
          <w:tab w:val="right" w:pos="8845"/>
        </w:tabs>
        <w:spacing w:after="160"/>
        <w:jc w:val="center"/>
        <w:rPr>
          <w:rFonts w:ascii="Garamond" w:eastAsia="Garamond" w:hAnsi="Garamond" w:cs="Garamond"/>
          <w:sz w:val="22"/>
          <w:szCs w:val="22"/>
        </w:rPr>
      </w:pPr>
    </w:p>
    <w:p w14:paraId="35894EB1" w14:textId="77777777" w:rsidR="005D1745" w:rsidRDefault="005D1745">
      <w:pPr>
        <w:widowControl/>
        <w:pBdr>
          <w:top w:val="none" w:sz="0" w:space="0" w:color="000000"/>
          <w:left w:val="none" w:sz="0" w:space="0" w:color="000000"/>
          <w:bottom w:val="none" w:sz="0" w:space="0" w:color="000000"/>
          <w:right w:val="none" w:sz="0" w:space="0" w:color="000000"/>
          <w:between w:val="none" w:sz="0" w:space="0" w:color="000000"/>
        </w:pBdr>
        <w:jc w:val="center"/>
        <w:rPr>
          <w:rFonts w:ascii="Garamond" w:eastAsia="Garamond" w:hAnsi="Garamond" w:cs="Garamond"/>
          <w:i/>
          <w:color w:val="000000"/>
          <w:sz w:val="22"/>
          <w:szCs w:val="22"/>
        </w:rPr>
      </w:pPr>
    </w:p>
    <w:p w14:paraId="39193D59" w14:textId="77777777" w:rsidR="005D1745" w:rsidRDefault="005D1745">
      <w:pPr>
        <w:widowControl/>
        <w:pBdr>
          <w:top w:val="none" w:sz="0" w:space="0" w:color="000000"/>
          <w:left w:val="none" w:sz="0" w:space="0" w:color="000000"/>
          <w:bottom w:val="none" w:sz="0" w:space="0" w:color="000000"/>
          <w:right w:val="none" w:sz="0" w:space="0" w:color="000000"/>
          <w:between w:val="none" w:sz="0" w:space="0" w:color="000000"/>
        </w:pBdr>
        <w:jc w:val="center"/>
        <w:rPr>
          <w:rFonts w:ascii="Garamond" w:eastAsia="Garamond" w:hAnsi="Garamond" w:cs="Garamond"/>
          <w:i/>
          <w:color w:val="000000"/>
          <w:sz w:val="22"/>
          <w:szCs w:val="22"/>
        </w:rPr>
      </w:pPr>
    </w:p>
    <w:p w14:paraId="715FAC42" w14:textId="77777777" w:rsidR="00435F32" w:rsidRDefault="00435F32">
      <w:pPr>
        <w:rPr>
          <w:rFonts w:ascii="Garamond" w:eastAsia="Garamond" w:hAnsi="Garamond" w:cs="Garamond"/>
          <w:sz w:val="22"/>
          <w:szCs w:val="22"/>
        </w:rPr>
      </w:pPr>
    </w:p>
    <w:p w14:paraId="7E604A1B" w14:textId="77777777" w:rsidR="00435F32" w:rsidRDefault="00000000">
      <w:pPr>
        <w:keepNext/>
        <w:widowControl/>
        <w:pBdr>
          <w:top w:val="single" w:sz="4" w:space="10" w:color="000000"/>
          <w:left w:val="none" w:sz="0" w:space="0" w:color="000000"/>
          <w:bottom w:val="none" w:sz="0" w:space="0" w:color="000000"/>
          <w:right w:val="none" w:sz="0" w:space="0" w:color="000000"/>
          <w:between w:val="none" w:sz="0" w:space="0" w:color="000000"/>
        </w:pBdr>
        <w:spacing w:after="220"/>
        <w:rPr>
          <w:rFonts w:ascii="Garamond" w:eastAsia="Garamond" w:hAnsi="Garamond" w:cs="Garamond"/>
          <w:b/>
          <w:color w:val="000000"/>
          <w:sz w:val="22"/>
          <w:szCs w:val="22"/>
        </w:rPr>
      </w:pPr>
      <w:r>
        <w:rPr>
          <w:rFonts w:ascii="Garamond" w:eastAsia="Garamond" w:hAnsi="Garamond" w:cs="Garamond"/>
          <w:b/>
          <w:color w:val="000000"/>
          <w:sz w:val="22"/>
          <w:szCs w:val="22"/>
        </w:rPr>
        <w:t>Abstract</w:t>
      </w:r>
    </w:p>
    <w:p w14:paraId="7F622DE7" w14:textId="1B5BC2BA" w:rsidR="00435F32" w:rsidRDefault="00E907FD" w:rsidP="00E907FD">
      <w:pPr>
        <w:widowControl/>
        <w:pBdr>
          <w:top w:val="none" w:sz="0" w:space="0" w:color="000000"/>
          <w:left w:val="none" w:sz="0" w:space="0" w:color="000000"/>
          <w:bottom w:val="single" w:sz="4" w:space="10" w:color="000000"/>
          <w:right w:val="none" w:sz="0" w:space="0" w:color="000000"/>
          <w:between w:val="none" w:sz="0" w:space="0" w:color="000000"/>
        </w:pBdr>
        <w:spacing w:after="200"/>
        <w:ind w:firstLine="720"/>
        <w:jc w:val="both"/>
        <w:rPr>
          <w:rFonts w:ascii="Garamond" w:eastAsia="Garamond" w:hAnsi="Garamond" w:cs="Garamond"/>
          <w:i/>
          <w:sz w:val="22"/>
          <w:szCs w:val="22"/>
        </w:rPr>
      </w:pPr>
      <w:r w:rsidRPr="00E907FD">
        <w:rPr>
          <w:rFonts w:ascii="Garamond" w:eastAsia="Garamond" w:hAnsi="Garamond" w:cs="Garamond"/>
          <w:sz w:val="22"/>
          <w:szCs w:val="22"/>
        </w:rPr>
        <w:t xml:space="preserve">This study explores the relationship between the usage of AI-based ChatGPT and students’ self-efficacy and engagement in mathematics learning. With the growing integration of artificial intelligence in education, particularly in mathematics instruction, this research addresses how ChatGPT influences students’ confidence and active participation. Grounded in Constructivist Learning and Self-Efficacy theories, the study employed a descriptive-correlational design involving high school students </w:t>
      </w:r>
      <w:proofErr w:type="gramStart"/>
      <w:r w:rsidRPr="00E907FD">
        <w:rPr>
          <w:rFonts w:ascii="Garamond" w:eastAsia="Garamond" w:hAnsi="Garamond" w:cs="Garamond"/>
          <w:sz w:val="22"/>
          <w:szCs w:val="22"/>
        </w:rPr>
        <w:t>from  Mt.</w:t>
      </w:r>
      <w:proofErr w:type="gramEnd"/>
      <w:r w:rsidRPr="00E907FD">
        <w:rPr>
          <w:rFonts w:ascii="Garamond" w:eastAsia="Garamond" w:hAnsi="Garamond" w:cs="Garamond"/>
          <w:sz w:val="22"/>
          <w:szCs w:val="22"/>
        </w:rPr>
        <w:t xml:space="preserve"> Apo National High School. Standardized and validated survey instruments measured students’ perceived usage of ChatGPT, mathematical self-efficacy, and engagement levels. The findings aim to determine the extent to which AI tools can support the cognitive, emotional, and social aspects of student engagement while also enhancing self-belief in mathematical competence. The study offers timely insights into the pedagogical implications of AI in fostering meaningful and equitable learning experiences in the Philippine context.</w:t>
      </w:r>
    </w:p>
    <w:p w14:paraId="7487E12A" w14:textId="77777777" w:rsidR="00435F32" w:rsidRDefault="00000000">
      <w:pPr>
        <w:widowControl/>
        <w:pBdr>
          <w:top w:val="none" w:sz="0" w:space="0" w:color="000000"/>
          <w:left w:val="none" w:sz="0" w:space="0" w:color="000000"/>
          <w:bottom w:val="single" w:sz="4" w:space="10" w:color="000000"/>
          <w:right w:val="none" w:sz="0" w:space="0" w:color="000000"/>
          <w:between w:val="none" w:sz="0" w:space="0" w:color="000000"/>
        </w:pBdr>
        <w:spacing w:after="200"/>
        <w:rPr>
          <w:rFonts w:ascii="Garamond" w:eastAsia="Garamond" w:hAnsi="Garamond" w:cs="Garamond"/>
          <w:i/>
          <w:color w:val="000000"/>
          <w:sz w:val="22"/>
          <w:szCs w:val="22"/>
        </w:rPr>
      </w:pPr>
      <w:r>
        <w:rPr>
          <w:rFonts w:ascii="Garamond" w:eastAsia="Garamond" w:hAnsi="Garamond" w:cs="Garamond"/>
          <w:i/>
          <w:sz w:val="22"/>
          <w:szCs w:val="22"/>
        </w:rPr>
        <w:t>Keywords: AI (Artificial Intelligence), Self-efficacy, Engagement</w:t>
      </w:r>
    </w:p>
    <w:p w14:paraId="1BD5F7FA" w14:textId="77777777" w:rsidR="00435F32" w:rsidRDefault="00435F32">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bookmarkStart w:id="1" w:name="_heading=h.ecptmpvbr88c" w:colFirst="0" w:colLast="0"/>
      <w:bookmarkEnd w:id="1"/>
    </w:p>
    <w:p w14:paraId="7A970510" w14:textId="77777777" w:rsidR="00435F32" w:rsidRDefault="00000000">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Introduction</w:t>
      </w:r>
    </w:p>
    <w:p w14:paraId="0EC7DD66" w14:textId="51B47E8A" w:rsidR="007304B4" w:rsidRPr="007304B4" w:rsidRDefault="007304B4" w:rsidP="007304B4">
      <w:pPr>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Student engagement and self-efficacy remain pressing challenges in mathematics education, often contributing to poor academic performance and a lack of interest in the subject. Many students struggle to build confidence and sustain motivation when faced with complex mathematical concepts. The emergence of AI-based tools, such as ChatGPT, has introduced a new dimension in addressing these issues. These tools are increasingly being used to foster students' confidence and engagement by providing real-time feedback, supporting inquiry-based learning, and encouraging independent problem-solving (Abu </w:t>
      </w:r>
      <w:proofErr w:type="spellStart"/>
      <w:r w:rsidRPr="007304B4">
        <w:rPr>
          <w:rFonts w:ascii="Garamond" w:eastAsia="Garamond" w:hAnsi="Garamond" w:cs="Garamond"/>
          <w:sz w:val="22"/>
          <w:szCs w:val="22"/>
        </w:rPr>
        <w:t>Khurma</w:t>
      </w:r>
      <w:proofErr w:type="spellEnd"/>
      <w:r w:rsidRPr="007304B4">
        <w:rPr>
          <w:rFonts w:ascii="Garamond" w:eastAsia="Garamond" w:hAnsi="Garamond" w:cs="Garamond"/>
          <w:sz w:val="22"/>
          <w:szCs w:val="22"/>
        </w:rPr>
        <w:t xml:space="preserve"> et al., 2024; Yilmaz &amp; Yilmaz, 2023). In mathematics, specifically, ChatGPT has demonstrated the potential to boost learners' self-efficacy and enhance overall engagement, ultimately contributing to better learning outcomes.</w:t>
      </w:r>
    </w:p>
    <w:p w14:paraId="24855977" w14:textId="7F661353" w:rsidR="007304B4" w:rsidRPr="007304B4" w:rsidRDefault="007304B4" w:rsidP="007304B4">
      <w:pPr>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On the international front, various countries have begun integrating AI technologies into their educational systems in response to their transformative potential. Countries such as China, Korea, India, and several European nations are actively embedding AI in their curricula to modernize and enrich classroom instruction (Han et al., 2018; Karan &amp; Angadi, 2023; Lee et al., 2022a, 2022b; Park &amp; Lim, 2023). Data reveals that approximately 50% of educators worldwide now employ AI tools to design instructional content. In comparison, around 43% of college students in the United States have turned to applications like ChatGPT for academic support (Businessolution.org, 2023). These trends underscore a growing global recognition of AI's capacity to revolutionize teaching and learning, particularly in the domain of mathematics.</w:t>
      </w:r>
    </w:p>
    <w:p w14:paraId="2AC5E1AE" w14:textId="27F239F5" w:rsidR="007304B4" w:rsidRPr="007304B4" w:rsidRDefault="007304B4" w:rsidP="007304B4">
      <w:pPr>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Within the Philippine context, the adoption of AI in education is gaining traction, albeit at a slower pace. A recent study conducted in a state university indicates that students using ChatGPT for algebra experienced increased confidence, which in turn enhanced their algebraic proficiency (</w:t>
      </w:r>
      <w:proofErr w:type="spellStart"/>
      <w:r w:rsidRPr="007304B4">
        <w:rPr>
          <w:rFonts w:ascii="Garamond" w:eastAsia="Garamond" w:hAnsi="Garamond" w:cs="Garamond"/>
          <w:sz w:val="22"/>
          <w:szCs w:val="22"/>
        </w:rPr>
        <w:t>Etcuban</w:t>
      </w:r>
      <w:proofErr w:type="spellEnd"/>
      <w:r w:rsidRPr="007304B4">
        <w:rPr>
          <w:rFonts w:ascii="Garamond" w:eastAsia="Garamond" w:hAnsi="Garamond" w:cs="Garamond"/>
          <w:sz w:val="22"/>
          <w:szCs w:val="22"/>
        </w:rPr>
        <w:t>, 2025). Another study by Canonigo (2024) further supports the positive impact of AI integration in mathematics instruction, showing significant improvements in students' conceptual understanding and self-efficacy. Despite these developments, much of the existing local research continues to emphasize the general use of digital technologies, with a limited focus on the unique contributions of AI-based tools, such as ChatGPT, to student learning and engagement.</w:t>
      </w:r>
    </w:p>
    <w:p w14:paraId="283B92E2" w14:textId="366CD49B" w:rsidR="007304B4" w:rsidRDefault="007304B4" w:rsidP="007304B4">
      <w:pPr>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Despite the growing interest in AI-driven education, a substantial research gap remains, </w:t>
      </w:r>
      <w:r w:rsidRPr="007304B4">
        <w:rPr>
          <w:rFonts w:ascii="Garamond" w:eastAsia="Garamond" w:hAnsi="Garamond" w:cs="Garamond"/>
          <w:sz w:val="22"/>
          <w:szCs w:val="22"/>
        </w:rPr>
        <w:lastRenderedPageBreak/>
        <w:t xml:space="preserve">particularly concerning its influence on students' emotional and </w:t>
      </w:r>
      <w:proofErr w:type="spellStart"/>
      <w:r w:rsidRPr="007304B4">
        <w:rPr>
          <w:rFonts w:ascii="Garamond" w:eastAsia="Garamond" w:hAnsi="Garamond" w:cs="Garamond"/>
          <w:sz w:val="22"/>
          <w:szCs w:val="22"/>
        </w:rPr>
        <w:t>behavioral</w:t>
      </w:r>
      <w:proofErr w:type="spellEnd"/>
      <w:r w:rsidRPr="007304B4">
        <w:rPr>
          <w:rFonts w:ascii="Garamond" w:eastAsia="Garamond" w:hAnsi="Garamond" w:cs="Garamond"/>
          <w:sz w:val="22"/>
          <w:szCs w:val="22"/>
        </w:rPr>
        <w:t xml:space="preserve"> responses to learning mathematics. Most national studies focus on access and infrastructure challenges rather than investigating deeper learning outcomes such as self-efficacy and engagement. This lack of targeted research is particularly critical, especially in the Philippine educational landscape, where the digital transition is still in its early stages of evolution. Without a clearer understanding of how AI tools impact student motivation and emotional investment in mathematics, educators and policymakers risk implementing technologies that fail to maximize their benefits. Bridging this gap is essential to ensuring that AI integration fosters meaningful learning experiences, maintains human connection, and supports long-term educational development.</w:t>
      </w:r>
    </w:p>
    <w:p w14:paraId="688CFB9C" w14:textId="77777777" w:rsidR="007304B4" w:rsidRDefault="007304B4" w:rsidP="007304B4">
      <w:pPr>
        <w:jc w:val="both"/>
        <w:rPr>
          <w:rFonts w:ascii="Garamond" w:eastAsia="Garamond" w:hAnsi="Garamond" w:cs="Garamond"/>
          <w:sz w:val="22"/>
          <w:szCs w:val="22"/>
        </w:rPr>
      </w:pPr>
    </w:p>
    <w:p w14:paraId="41117D1A" w14:textId="107EB907" w:rsidR="00435F32" w:rsidRDefault="00000000" w:rsidP="007304B4">
      <w:pPr>
        <w:jc w:val="both"/>
        <w:rPr>
          <w:rFonts w:ascii="Garamond" w:eastAsia="Garamond" w:hAnsi="Garamond" w:cs="Garamond"/>
          <w:sz w:val="22"/>
          <w:szCs w:val="22"/>
          <w:highlight w:val="white"/>
        </w:rPr>
      </w:pPr>
      <w:r>
        <w:rPr>
          <w:rFonts w:ascii="Garamond" w:eastAsia="Garamond" w:hAnsi="Garamond" w:cs="Garamond"/>
          <w:b/>
          <w:color w:val="000000"/>
          <w:sz w:val="22"/>
          <w:szCs w:val="22"/>
          <w:highlight w:val="white"/>
        </w:rPr>
        <w:t>Statement of the Problem</w:t>
      </w:r>
    </w:p>
    <w:p w14:paraId="541F1027" w14:textId="5CF3C6EC" w:rsidR="007304B4" w:rsidRPr="007304B4" w:rsidRDefault="007304B4" w:rsidP="007304B4">
      <w:pPr>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This study aims to identify the significant relationship and influence of using AI-based ChatGPT in mathematics learning on students' self-efficacy and engagement in mathematics. Therefore, the following questions are expected to be answered in this study: </w:t>
      </w:r>
    </w:p>
    <w:p w14:paraId="46BB7B7D" w14:textId="2F5EAB08" w:rsidR="007304B4" w:rsidRPr="007304B4" w:rsidRDefault="007304B4" w:rsidP="007304B4">
      <w:pPr>
        <w:pStyle w:val="ListParagraph"/>
        <w:numPr>
          <w:ilvl w:val="0"/>
          <w:numId w:val="5"/>
        </w:numPr>
        <w:jc w:val="both"/>
        <w:rPr>
          <w:rFonts w:ascii="Garamond" w:eastAsia="Garamond" w:hAnsi="Garamond" w:cs="Garamond"/>
        </w:rPr>
      </w:pPr>
      <w:r w:rsidRPr="007304B4">
        <w:rPr>
          <w:rFonts w:ascii="Garamond" w:eastAsia="Garamond" w:hAnsi="Garamond" w:cs="Garamond"/>
        </w:rPr>
        <w:t>To determine the level of students' usage of AI-based ChatGPT in mathematics learning in terms of usage and engagement, perceptions of effectiveness, challenges and reservations and preferences and suggestions; the level of students' self-efficacy in mathematics in terms of mastery experiences, vicarious experiences, social persuasion, and physiological states; and the level of students' engagement in mathematics in terms of emotional engagement, social engagement, and cognitive engagement.</w:t>
      </w:r>
    </w:p>
    <w:p w14:paraId="217D43A7" w14:textId="597FFE14" w:rsidR="007304B4" w:rsidRPr="007304B4" w:rsidRDefault="007304B4" w:rsidP="007304B4">
      <w:pPr>
        <w:pStyle w:val="ListParagraph"/>
        <w:numPr>
          <w:ilvl w:val="0"/>
          <w:numId w:val="5"/>
        </w:numPr>
        <w:jc w:val="both"/>
        <w:rPr>
          <w:rFonts w:ascii="Garamond" w:eastAsia="Garamond" w:hAnsi="Garamond" w:cs="Garamond"/>
        </w:rPr>
      </w:pPr>
      <w:r w:rsidRPr="007304B4">
        <w:rPr>
          <w:rFonts w:ascii="Garamond" w:eastAsia="Garamond" w:hAnsi="Garamond" w:cs="Garamond"/>
        </w:rPr>
        <w:t>To determine the significant relationship between students' use of AI-based ChatGPT, their engagement, and their self-efficacy in mathematics learning.</w:t>
      </w:r>
    </w:p>
    <w:p w14:paraId="4858560A" w14:textId="77777777" w:rsidR="007304B4" w:rsidRPr="007304B4" w:rsidRDefault="007304B4" w:rsidP="007304B4">
      <w:pPr>
        <w:pStyle w:val="ListParagraph"/>
        <w:numPr>
          <w:ilvl w:val="0"/>
          <w:numId w:val="5"/>
        </w:numPr>
        <w:jc w:val="both"/>
        <w:rPr>
          <w:rFonts w:ascii="Garamond" w:eastAsia="Garamond" w:hAnsi="Garamond" w:cs="Garamond"/>
          <w:color w:val="000000"/>
          <w:highlight w:val="white"/>
        </w:rPr>
      </w:pPr>
      <w:r w:rsidRPr="007304B4">
        <w:rPr>
          <w:rFonts w:ascii="Garamond" w:eastAsia="Garamond" w:hAnsi="Garamond" w:cs="Garamond"/>
        </w:rPr>
        <w:t>To determine the influence of AI-based ChatGPT on students' self-efficacy and engagement in mathematics learning.</w:t>
      </w:r>
    </w:p>
    <w:p w14:paraId="7713B135" w14:textId="514E6A7E" w:rsidR="00435F32" w:rsidRPr="007304B4" w:rsidRDefault="00000000" w:rsidP="007304B4">
      <w:pPr>
        <w:jc w:val="both"/>
        <w:rPr>
          <w:rFonts w:ascii="Garamond" w:eastAsia="Garamond" w:hAnsi="Garamond" w:cs="Garamond"/>
          <w:color w:val="000000"/>
          <w:highlight w:val="white"/>
        </w:rPr>
      </w:pPr>
      <w:r w:rsidRPr="007304B4">
        <w:rPr>
          <w:rFonts w:ascii="Garamond" w:eastAsia="Garamond" w:hAnsi="Garamond" w:cs="Garamond"/>
          <w:b/>
          <w:color w:val="000000"/>
          <w:highlight w:val="white"/>
        </w:rPr>
        <w:t xml:space="preserve">Hypothesis </w:t>
      </w:r>
    </w:p>
    <w:p w14:paraId="498222CF" w14:textId="77777777" w:rsidR="00435F32" w:rsidRDefault="00000000">
      <w:pPr>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ab/>
        <w:t xml:space="preserve">Ho1: There is no significant </w:t>
      </w:r>
      <w:r>
        <w:rPr>
          <w:rFonts w:ascii="Garamond" w:eastAsia="Garamond" w:hAnsi="Garamond" w:cs="Garamond"/>
          <w:sz w:val="22"/>
          <w:szCs w:val="22"/>
        </w:rPr>
        <w:t>relationship and influence of the usage of the AI-based ChatGPT in mathematics learning on students’ self-efficacy and engagement in mathematics.</w:t>
      </w:r>
      <w:r>
        <w:rPr>
          <w:rFonts w:ascii="Garamond" w:eastAsia="Garamond" w:hAnsi="Garamond" w:cs="Garamond"/>
          <w:color w:val="000000"/>
          <w:sz w:val="22"/>
          <w:szCs w:val="22"/>
          <w:highlight w:val="white"/>
        </w:rPr>
        <w:tab/>
      </w:r>
    </w:p>
    <w:p w14:paraId="207E300D" w14:textId="77777777" w:rsidR="00435F32" w:rsidRDefault="00435F32">
      <w:pPr>
        <w:jc w:val="both"/>
        <w:rPr>
          <w:rFonts w:ascii="Garamond" w:eastAsia="Garamond" w:hAnsi="Garamond" w:cs="Garamond"/>
          <w:color w:val="000000"/>
          <w:sz w:val="22"/>
          <w:szCs w:val="22"/>
          <w:highlight w:val="white"/>
        </w:rPr>
      </w:pPr>
    </w:p>
    <w:p w14:paraId="240615D3" w14:textId="77777777" w:rsidR="00435F32" w:rsidRDefault="00000000">
      <w:pPr>
        <w:jc w:val="both"/>
        <w:rPr>
          <w:rFonts w:ascii="Garamond" w:eastAsia="Garamond" w:hAnsi="Garamond" w:cs="Garamond"/>
          <w:sz w:val="22"/>
          <w:szCs w:val="22"/>
        </w:rPr>
      </w:pPr>
      <w:r>
        <w:rPr>
          <w:rFonts w:ascii="Garamond" w:eastAsia="Garamond" w:hAnsi="Garamond" w:cs="Garamond"/>
          <w:b/>
          <w:color w:val="000000"/>
          <w:sz w:val="22"/>
          <w:szCs w:val="22"/>
          <w:highlight w:val="white"/>
        </w:rPr>
        <w:t>Theoretical/ Conceptual Framework</w:t>
      </w:r>
    </w:p>
    <w:p w14:paraId="4E307488" w14:textId="284DC49A" w:rsidR="007304B4" w:rsidRDefault="007304B4" w:rsidP="00B611D4">
      <w:pPr>
        <w:widowControl/>
        <w:spacing w:before="240" w:after="240"/>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This research is grounded in e-learning theory, which draws on principles from cognitive science to enhance the application of technology in educational settings, thereby improving student engagement and knowledge acquisition. The theory emphasizes the design and delivery of learning experiences through multimedia and electronic resources. Several scholars have made significant contributions to this field, including Richard E. Mayer (2001), John </w:t>
      </w:r>
      <w:proofErr w:type="spellStart"/>
      <w:r w:rsidRPr="007304B4">
        <w:rPr>
          <w:rFonts w:ascii="Garamond" w:eastAsia="Garamond" w:hAnsi="Garamond" w:cs="Garamond"/>
          <w:sz w:val="22"/>
          <w:szCs w:val="22"/>
        </w:rPr>
        <w:t>Sweller</w:t>
      </w:r>
      <w:proofErr w:type="spellEnd"/>
      <w:r w:rsidRPr="007304B4">
        <w:rPr>
          <w:rFonts w:ascii="Garamond" w:eastAsia="Garamond" w:hAnsi="Garamond" w:cs="Garamond"/>
          <w:sz w:val="22"/>
          <w:szCs w:val="22"/>
        </w:rPr>
        <w:t xml:space="preserve"> (1988), and Roxana Moreno (2006), whose work has helped shape the understanding and implementation of effective e-learning strategies.</w:t>
      </w:r>
    </w:p>
    <w:p w14:paraId="6568FD28" w14:textId="77777777" w:rsidR="007A346C" w:rsidRDefault="007A346C" w:rsidP="00B611D4">
      <w:pPr>
        <w:widowControl/>
        <w:spacing w:before="240" w:after="240"/>
        <w:jc w:val="both"/>
        <w:rPr>
          <w:rFonts w:ascii="Garamond" w:eastAsia="Garamond" w:hAnsi="Garamond" w:cs="Garamond"/>
          <w:sz w:val="22"/>
          <w:szCs w:val="22"/>
        </w:rPr>
      </w:pPr>
    </w:p>
    <w:p w14:paraId="23467F29" w14:textId="575C33C1" w:rsidR="007A346C" w:rsidRDefault="007A346C" w:rsidP="00B611D4">
      <w:pPr>
        <w:widowControl/>
        <w:spacing w:before="240" w:after="240"/>
        <w:jc w:val="both"/>
        <w:rPr>
          <w:rFonts w:ascii="Garamond" w:eastAsia="Garamond" w:hAnsi="Garamond" w:cs="Garamond"/>
          <w:sz w:val="22"/>
          <w:szCs w:val="22"/>
        </w:rPr>
      </w:pPr>
      <w:r>
        <w:rPr>
          <w:rFonts w:ascii="Garamond" w:eastAsia="Garamond" w:hAnsi="Garamond" w:cs="Garamond"/>
          <w:sz w:val="22"/>
          <w:szCs w:val="22"/>
        </w:rPr>
        <w:t xml:space="preserve">FIG 1. </w:t>
      </w:r>
      <w:r w:rsidR="0099236F" w:rsidRPr="0099236F">
        <w:rPr>
          <w:rFonts w:ascii="Garamond" w:eastAsia="Garamond" w:hAnsi="Garamond" w:cs="Garamond"/>
          <w:sz w:val="22"/>
          <w:szCs w:val="22"/>
        </w:rPr>
        <w:t>Conceptual Framework</w:t>
      </w:r>
    </w:p>
    <w:p w14:paraId="3C1D5D50" w14:textId="77777777" w:rsidR="007A346C" w:rsidRDefault="007A346C" w:rsidP="00B611D4">
      <w:pPr>
        <w:widowControl/>
        <w:spacing w:before="240" w:after="240"/>
        <w:jc w:val="both"/>
        <w:rPr>
          <w:rFonts w:ascii="Garamond" w:eastAsia="Garamond" w:hAnsi="Garamond" w:cs="Garamond"/>
          <w:sz w:val="22"/>
          <w:szCs w:val="22"/>
        </w:rPr>
      </w:pPr>
    </w:p>
    <w:p w14:paraId="673D0C40" w14:textId="77777777" w:rsidR="007A346C" w:rsidRDefault="007A346C" w:rsidP="00B611D4">
      <w:pPr>
        <w:widowControl/>
        <w:spacing w:before="240" w:after="240"/>
        <w:jc w:val="both"/>
        <w:rPr>
          <w:rFonts w:ascii="Garamond" w:eastAsia="Garamond" w:hAnsi="Garamond" w:cs="Garamond"/>
          <w:sz w:val="22"/>
          <w:szCs w:val="22"/>
        </w:rPr>
      </w:pPr>
    </w:p>
    <w:p w14:paraId="5FF22D0C" w14:textId="77777777" w:rsidR="007A346C" w:rsidRDefault="007A346C" w:rsidP="00B611D4">
      <w:pPr>
        <w:widowControl/>
        <w:spacing w:before="240" w:after="240"/>
        <w:jc w:val="both"/>
        <w:rPr>
          <w:rFonts w:ascii="Garamond" w:eastAsia="Garamond" w:hAnsi="Garamond" w:cs="Garamond"/>
          <w:sz w:val="22"/>
          <w:szCs w:val="22"/>
        </w:rPr>
      </w:pPr>
    </w:p>
    <w:p w14:paraId="04AC9078" w14:textId="0EAE4241" w:rsidR="00435F32" w:rsidRDefault="00AC30CA">
      <w:pPr>
        <w:widowControl/>
        <w:spacing w:before="240" w:after="240" w:line="360" w:lineRule="auto"/>
        <w:jc w:val="center"/>
        <w:rPr>
          <w:rFonts w:ascii="EB Garamond Medium" w:eastAsia="EB Garamond Medium" w:hAnsi="EB Garamond Medium" w:cs="EB Garamond Medium"/>
          <w:sz w:val="22"/>
          <w:szCs w:val="22"/>
        </w:rPr>
      </w:pPr>
      <w:r>
        <w:rPr>
          <w:noProof/>
        </w:rPr>
        <mc:AlternateContent>
          <mc:Choice Requires="wps">
            <w:drawing>
              <wp:anchor distT="114300" distB="114300" distL="114300" distR="114300" simplePos="0" relativeHeight="251656704" behindDoc="0" locked="0" layoutInCell="1" allowOverlap="1" wp14:anchorId="2D20EEB4" wp14:editId="4C68AFC6">
                <wp:simplePos x="0" y="0"/>
                <wp:positionH relativeFrom="column">
                  <wp:posOffset>3356085</wp:posOffset>
                </wp:positionH>
                <wp:positionV relativeFrom="paragraph">
                  <wp:posOffset>356236</wp:posOffset>
                </wp:positionV>
                <wp:extent cx="2187575" cy="1192696"/>
                <wp:effectExtent l="0" t="0" r="22225" b="26670"/>
                <wp:wrapNone/>
                <wp:docPr id="22" name="Rectangles 22"/>
                <wp:cNvGraphicFramePr/>
                <a:graphic xmlns:a="http://schemas.openxmlformats.org/drawingml/2006/main">
                  <a:graphicData uri="http://schemas.microsoft.com/office/word/2010/wordprocessingShape">
                    <wps:wsp>
                      <wps:cNvSpPr/>
                      <wps:spPr>
                        <a:xfrm>
                          <a:off x="0" y="0"/>
                          <a:ext cx="2187575" cy="1192696"/>
                        </a:xfrm>
                        <a:prstGeom prst="rect">
                          <a:avLst/>
                        </a:prstGeom>
                        <a:solidFill>
                          <a:srgbClr val="FFFFFF"/>
                        </a:solidFill>
                        <a:ln w="9525" cap="flat" cmpd="sng">
                          <a:solidFill>
                            <a:srgbClr val="000000"/>
                          </a:solidFill>
                          <a:prstDash val="solid"/>
                          <a:round/>
                          <a:headEnd type="none" w="sm" len="sm"/>
                          <a:tailEnd type="none" w="sm" len="sm"/>
                        </a:ln>
                      </wps:spPr>
                      <wps:txbx>
                        <w:txbxContent>
                          <w:p w14:paraId="386B9997" w14:textId="77777777" w:rsidR="00435F32" w:rsidRDefault="00000000">
                            <w:pPr>
                              <w:spacing w:after="160"/>
                              <w:jc w:val="center"/>
                            </w:pPr>
                            <w:r>
                              <w:rPr>
                                <w:rFonts w:ascii="Garamond" w:eastAsia="Garamond" w:hAnsi="Garamond" w:cs="Garamond"/>
                                <w:b/>
                                <w:color w:val="000000"/>
                                <w:sz w:val="22"/>
                              </w:rPr>
                              <w:t>STUDENTS’ SELF-EFFICACY</w:t>
                            </w:r>
                          </w:p>
                          <w:p w14:paraId="12EFFFF6"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Mastery Experiences</w:t>
                            </w:r>
                          </w:p>
                          <w:p w14:paraId="1C3B4C7F"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Vicarious Experiences</w:t>
                            </w:r>
                          </w:p>
                          <w:p w14:paraId="29F26C98"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Social Persuasion</w:t>
                            </w:r>
                          </w:p>
                          <w:p w14:paraId="543CCF7F"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Physiological States</w:t>
                            </w:r>
                          </w:p>
                          <w:p w14:paraId="3BF11188" w14:textId="77777777" w:rsidR="00435F32" w:rsidRDefault="00435F32">
                            <w:pPr>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D20EEB4" id="Rectangles 22" o:spid="_x0000_s1026" style="position:absolute;left:0;text-align:left;margin-left:264.25pt;margin-top:28.05pt;width:172.25pt;height:93.9pt;z-index:25165670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">
                <v:stroke startarrowwidth="narrow" startarrowlength="short" endarrowwidth="narrow" endarrowlength="short" joinstyle="round"/>
                <v:textbox inset="2.53958mm,2.53958mm,2.53958mm,2.53958mm">
                  <w:txbxContent>
                    <w:p w14:paraId="386B9997" w14:textId="77777777" w:rsidR="00435F32" w:rsidRDefault="00000000">
                      <w:pPr>
                        <w:spacing w:after="160"/>
                        <w:jc w:val="center"/>
                      </w:pPr>
                      <w:r>
                        <w:rPr>
                          <w:rFonts w:ascii="Garamond" w:eastAsia="Garamond" w:hAnsi="Garamond" w:cs="Garamond"/>
                          <w:b/>
                          <w:color w:val="000000"/>
                          <w:sz w:val="22"/>
                        </w:rPr>
                        <w:t>STUDENTS’ SELF-EFFICACY</w:t>
                      </w:r>
                    </w:p>
                    <w:p w14:paraId="12EFFFF6"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Mastery Experiences</w:t>
                      </w:r>
                    </w:p>
                    <w:p w14:paraId="1C3B4C7F"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Vicarious Experiences</w:t>
                      </w:r>
                    </w:p>
                    <w:p w14:paraId="29F26C98"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Social Persuasion</w:t>
                      </w:r>
                    </w:p>
                    <w:p w14:paraId="543CCF7F" w14:textId="77777777" w:rsidR="00435F32" w:rsidRDefault="00000000" w:rsidP="00AC30CA">
                      <w:pPr>
                        <w:pStyle w:val="ListParagraph"/>
                        <w:numPr>
                          <w:ilvl w:val="0"/>
                          <w:numId w:val="3"/>
                        </w:numPr>
                        <w:spacing w:line="258" w:lineRule="auto"/>
                        <w:jc w:val="both"/>
                      </w:pPr>
                      <w:r w:rsidRPr="00AC30CA">
                        <w:rPr>
                          <w:rFonts w:ascii="Garamond" w:eastAsia="Garamond" w:hAnsi="Garamond" w:cs="Garamond"/>
                          <w:color w:val="000000"/>
                        </w:rPr>
                        <w:t>Physiological States</w:t>
                      </w:r>
                    </w:p>
                    <w:p w14:paraId="3BF11188" w14:textId="77777777" w:rsidR="00435F32" w:rsidRDefault="00435F32">
                      <w:pPr>
                        <w:jc w:val="center"/>
                      </w:pPr>
                    </w:p>
                  </w:txbxContent>
                </v:textbox>
              </v:rect>
            </w:pict>
          </mc:Fallback>
        </mc:AlternateContent>
      </w:r>
      <w:r>
        <w:rPr>
          <w:rFonts w:ascii="Garamond" w:eastAsia="Garamond" w:hAnsi="Garamond" w:cs="Garamond"/>
          <w:sz w:val="22"/>
          <w:szCs w:val="22"/>
        </w:rPr>
        <w:t>Independent Variable</w:t>
      </w:r>
      <w:r>
        <w:rPr>
          <w:rFonts w:ascii="Garamond" w:eastAsia="Garamond" w:hAnsi="Garamond" w:cs="Garamond"/>
          <w:sz w:val="22"/>
          <w:szCs w:val="22"/>
        </w:rPr>
        <w:tab/>
      </w:r>
      <w:r>
        <w:rPr>
          <w:rFonts w:ascii="EB Garamond Medium" w:eastAsia="EB Garamond Medium" w:hAnsi="EB Garamond Medium" w:cs="EB Garamond Medium"/>
          <w:sz w:val="22"/>
          <w:szCs w:val="22"/>
        </w:rPr>
        <w:tab/>
      </w:r>
      <w:r>
        <w:rPr>
          <w:rFonts w:ascii="EB Garamond Medium" w:eastAsia="EB Garamond Medium" w:hAnsi="EB Garamond Medium" w:cs="EB Garamond Medium"/>
          <w:sz w:val="22"/>
          <w:szCs w:val="22"/>
        </w:rPr>
        <w:tab/>
      </w:r>
      <w:r>
        <w:rPr>
          <w:rFonts w:ascii="EB Garamond Medium" w:eastAsia="EB Garamond Medium" w:hAnsi="EB Garamond Medium" w:cs="EB Garamond Medium"/>
          <w:sz w:val="22"/>
          <w:szCs w:val="22"/>
        </w:rPr>
        <w:tab/>
      </w:r>
      <w:r>
        <w:rPr>
          <w:rFonts w:ascii="EB Garamond Medium" w:eastAsia="EB Garamond Medium" w:hAnsi="EB Garamond Medium" w:cs="EB Garamond Medium"/>
          <w:sz w:val="22"/>
          <w:szCs w:val="22"/>
        </w:rPr>
        <w:tab/>
      </w:r>
      <w:r>
        <w:rPr>
          <w:rFonts w:ascii="Garamond" w:eastAsia="Garamond" w:hAnsi="Garamond" w:cs="Garamond"/>
          <w:sz w:val="22"/>
          <w:szCs w:val="22"/>
        </w:rPr>
        <w:t xml:space="preserve"> Dependent Variables</w:t>
      </w:r>
      <w:r>
        <w:rPr>
          <w:rFonts w:ascii="EB Garamond Medium" w:eastAsia="EB Garamond Medium" w:hAnsi="EB Garamond Medium" w:cs="EB Garamond Medium"/>
          <w:sz w:val="22"/>
          <w:szCs w:val="22"/>
        </w:rPr>
        <w:br/>
      </w:r>
    </w:p>
    <w:p w14:paraId="6B2EF195" w14:textId="784F95C1" w:rsidR="00435F32" w:rsidRDefault="00AC30CA">
      <w:pPr>
        <w:widowControl/>
        <w:spacing w:before="240" w:after="240" w:line="360" w:lineRule="auto"/>
        <w:rPr>
          <w:rFonts w:ascii="EB Garamond Medium" w:eastAsia="EB Garamond Medium" w:hAnsi="EB Garamond Medium" w:cs="EB Garamond Medium"/>
          <w:sz w:val="22"/>
          <w:szCs w:val="22"/>
        </w:rPr>
      </w:pPr>
      <w:r>
        <w:rPr>
          <w:noProof/>
        </w:rPr>
        <mc:AlternateContent>
          <mc:Choice Requires="wps">
            <w:drawing>
              <wp:anchor distT="0" distB="0" distL="114300" distR="114300" simplePos="0" relativeHeight="251661824" behindDoc="0" locked="0" layoutInCell="1" allowOverlap="1" wp14:anchorId="203113B0" wp14:editId="4B2BC584">
                <wp:simplePos x="0" y="0"/>
                <wp:positionH relativeFrom="column">
                  <wp:posOffset>3032650</wp:posOffset>
                </wp:positionH>
                <wp:positionV relativeFrom="paragraph">
                  <wp:posOffset>90805</wp:posOffset>
                </wp:positionV>
                <wp:extent cx="347289" cy="0"/>
                <wp:effectExtent l="0" t="76200" r="15240" b="95250"/>
                <wp:wrapNone/>
                <wp:docPr id="1771477494" name="Straight Arrow Connector 8"/>
                <wp:cNvGraphicFramePr/>
                <a:graphic xmlns:a="http://schemas.openxmlformats.org/drawingml/2006/main">
                  <a:graphicData uri="http://schemas.microsoft.com/office/word/2010/wordprocessingShape">
                    <wps:wsp>
                      <wps:cNvCnPr/>
                      <wps:spPr>
                        <a:xfrm>
                          <a:off x="0" y="0"/>
                          <a:ext cx="3472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348BF6" id="_x0000_t32" coordsize="21600,21600" o:spt="32" o:oned="t" path="m,l21600,21600e" filled="f">
                <v:path arrowok="t" fillok="f" o:connecttype="none"/>
                <o:lock v:ext="edit" shapetype="t"/>
              </v:shapetype>
              <v:shape id="Straight Arrow Connector 8" o:spid="_x0000_s1026" type="#_x0000_t32" style="position:absolute;margin-left:238.8pt;margin-top:7.15pt;width:27.3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" strokecolor="black [3200]" strokeweight=".5pt">
                <v:stroke endarrow="block" joinstyle="miter"/>
              </v:shape>
            </w:pict>
          </mc:Fallback>
        </mc:AlternateContent>
      </w:r>
      <w:r>
        <w:rPr>
          <w:noProof/>
        </w:rPr>
        <mc:AlternateContent>
          <mc:Choice Requires="wps">
            <w:drawing>
              <wp:anchor distT="0" distB="0" distL="0" distR="0" simplePos="0" relativeHeight="251660800" behindDoc="1" locked="0" layoutInCell="1" allowOverlap="1" wp14:anchorId="46E0F3ED" wp14:editId="0517ACFB">
                <wp:simplePos x="0" y="0"/>
                <wp:positionH relativeFrom="column">
                  <wp:posOffset>77277</wp:posOffset>
                </wp:positionH>
                <wp:positionV relativeFrom="paragraph">
                  <wp:posOffset>142959</wp:posOffset>
                </wp:positionV>
                <wp:extent cx="2591435" cy="1466546"/>
                <wp:effectExtent l="0" t="0" r="18415" b="19685"/>
                <wp:wrapNone/>
                <wp:docPr id="26" name="Rectangles 26"/>
                <wp:cNvGraphicFramePr/>
                <a:graphic xmlns:a="http://schemas.openxmlformats.org/drawingml/2006/main">
                  <a:graphicData uri="http://schemas.microsoft.com/office/word/2010/wordprocessingShape">
                    <wps:wsp>
                      <wps:cNvSpPr/>
                      <wps:spPr>
                        <a:xfrm>
                          <a:off x="0" y="0"/>
                          <a:ext cx="2591435" cy="1466546"/>
                        </a:xfrm>
                        <a:prstGeom prst="rect">
                          <a:avLst/>
                        </a:prstGeom>
                        <a:solidFill>
                          <a:srgbClr val="FFFFFF"/>
                        </a:solidFill>
                        <a:ln w="9525" cap="flat" cmpd="sng">
                          <a:solidFill>
                            <a:srgbClr val="000000"/>
                          </a:solidFill>
                          <a:prstDash val="solid"/>
                          <a:round/>
                          <a:headEnd type="none" w="sm" len="sm"/>
                          <a:tailEnd type="none" w="sm" len="sm"/>
                        </a:ln>
                      </wps:spPr>
                      <wps:txbx>
                        <w:txbxContent>
                          <w:p w14:paraId="1A799032" w14:textId="77777777" w:rsidR="00435F32" w:rsidRDefault="00000000" w:rsidP="00AC30CA">
                            <w:pPr>
                              <w:spacing w:after="160"/>
                              <w:jc w:val="center"/>
                            </w:pPr>
                            <w:r>
                              <w:rPr>
                                <w:rFonts w:ascii="Garamond" w:eastAsia="Garamond" w:hAnsi="Garamond" w:cs="Garamond"/>
                                <w:b/>
                                <w:color w:val="000000"/>
                                <w:sz w:val="22"/>
                              </w:rPr>
                              <w:t>USAGE OF AI-BASED CHATGPT IN MATHEMATICS LEARNING</w:t>
                            </w:r>
                          </w:p>
                          <w:p w14:paraId="449D8B28"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Usage and Engagement</w:t>
                            </w:r>
                          </w:p>
                          <w:p w14:paraId="6AF051D3"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Perceptions of Effectiveness</w:t>
                            </w:r>
                          </w:p>
                          <w:p w14:paraId="207FF2C2"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Challenges and Reservations</w:t>
                            </w:r>
                          </w:p>
                          <w:p w14:paraId="6790AD8D"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Preferences and Suggestions</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6E0F3ED" id="Rectangles 26" o:spid="_x0000_s1027" style="position:absolute;margin-left:6.1pt;margin-top:11.25pt;width:204.05pt;height:115.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">
                <v:stroke startarrowwidth="narrow" startarrowlength="short" endarrowwidth="narrow" endarrowlength="short" joinstyle="round"/>
                <v:textbox inset="2.53958mm,2.53958mm,2.53958mm,2.53958mm">
                  <w:txbxContent>
                    <w:p w14:paraId="1A799032" w14:textId="77777777" w:rsidR="00435F32" w:rsidRDefault="00000000" w:rsidP="00AC30CA">
                      <w:pPr>
                        <w:spacing w:after="160"/>
                        <w:jc w:val="center"/>
                      </w:pPr>
                      <w:r>
                        <w:rPr>
                          <w:rFonts w:ascii="Garamond" w:eastAsia="Garamond" w:hAnsi="Garamond" w:cs="Garamond"/>
                          <w:b/>
                          <w:color w:val="000000"/>
                          <w:sz w:val="22"/>
                        </w:rPr>
                        <w:t>USAGE OF AI-BASED CHATGPT IN MATHEMATICS LEARNING</w:t>
                      </w:r>
                    </w:p>
                    <w:p w14:paraId="449D8B28"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Usage and Engagement</w:t>
                      </w:r>
                    </w:p>
                    <w:p w14:paraId="6AF051D3"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Perceptions of Effectiveness</w:t>
                      </w:r>
                    </w:p>
                    <w:p w14:paraId="207FF2C2"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Challenges and Reservations</w:t>
                      </w:r>
                    </w:p>
                    <w:p w14:paraId="6790AD8D" w14:textId="77777777" w:rsidR="00435F32" w:rsidRDefault="00000000" w:rsidP="00AC30CA">
                      <w:pPr>
                        <w:pStyle w:val="ListParagraph"/>
                        <w:numPr>
                          <w:ilvl w:val="0"/>
                          <w:numId w:val="2"/>
                        </w:numPr>
                        <w:spacing w:line="258" w:lineRule="auto"/>
                        <w:jc w:val="both"/>
                      </w:pPr>
                      <w:r w:rsidRPr="00AC30CA">
                        <w:rPr>
                          <w:rFonts w:ascii="Garamond" w:eastAsia="Garamond" w:hAnsi="Garamond" w:cs="Garamond"/>
                          <w:color w:val="000000"/>
                        </w:rPr>
                        <w:t>Preferences and Suggestions</w:t>
                      </w:r>
                    </w:p>
                  </w:txbxContent>
                </v:textbox>
              </v:rect>
            </w:pict>
          </mc:Fallback>
        </mc:AlternateContent>
      </w:r>
      <w:r>
        <w:rPr>
          <w:noProof/>
        </w:rPr>
        <mc:AlternateContent>
          <mc:Choice Requires="wps">
            <w:drawing>
              <wp:anchor distT="0" distB="0" distL="0" distR="0" simplePos="0" relativeHeight="251654656" behindDoc="1" locked="0" layoutInCell="1" allowOverlap="1" wp14:anchorId="2FE68B56" wp14:editId="2419F570">
                <wp:simplePos x="0" y="0"/>
                <wp:positionH relativeFrom="column">
                  <wp:posOffset>3016250</wp:posOffset>
                </wp:positionH>
                <wp:positionV relativeFrom="paragraph">
                  <wp:posOffset>81280</wp:posOffset>
                </wp:positionV>
                <wp:extent cx="3175" cy="1497330"/>
                <wp:effectExtent l="4445" t="0" r="11430" b="7620"/>
                <wp:wrapNone/>
                <wp:docPr id="20" name="Straight Arrow Connector 20"/>
                <wp:cNvGraphicFramePr/>
                <a:graphic xmlns:a="http://schemas.openxmlformats.org/drawingml/2006/main">
                  <a:graphicData uri="http://schemas.microsoft.com/office/word/2010/wordprocessingShape">
                    <wps:wsp>
                      <wps:cNvCnPr/>
                      <wps:spPr>
                        <a:xfrm>
                          <a:off x="5341555" y="2982440"/>
                          <a:ext cx="3175" cy="14973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41FF445D" id="Straight Arrow Connector 20" o:spid="_x0000_s1026" type="#_x0000_t32" style="position:absolute;margin-left:237.5pt;margin-top:6.4pt;width:.25pt;height:117.9pt;z-index:-2516618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">
                <v:stroke startarrowwidth="narrow" startarrowlength="short" endarrowwidth="narrow" endarrowlength="short"/>
              </v:shape>
            </w:pict>
          </mc:Fallback>
        </mc:AlternateContent>
      </w:r>
    </w:p>
    <w:p w14:paraId="02F6BE7E" w14:textId="77777777" w:rsidR="00435F32" w:rsidRDefault="00000000">
      <w:pPr>
        <w:widowControl/>
        <w:spacing w:before="240" w:after="240" w:line="360" w:lineRule="auto"/>
        <w:jc w:val="both"/>
        <w:rPr>
          <w:rFonts w:ascii="EB Garamond Medium" w:eastAsia="EB Garamond Medium" w:hAnsi="EB Garamond Medium" w:cs="EB Garamond Medium"/>
          <w:sz w:val="22"/>
          <w:szCs w:val="22"/>
        </w:rPr>
      </w:pPr>
      <w:r>
        <w:rPr>
          <w:rFonts w:ascii="EB Garamond Medium" w:eastAsia="EB Garamond Medium" w:hAnsi="EB Garamond Medium" w:cs="EB Garamond Medium"/>
          <w:sz w:val="22"/>
          <w:szCs w:val="22"/>
        </w:rPr>
        <w:t xml:space="preserve">   </w:t>
      </w:r>
      <w:r>
        <w:rPr>
          <w:noProof/>
        </w:rPr>
        <mc:AlternateContent>
          <mc:Choice Requires="wps">
            <w:drawing>
              <wp:anchor distT="0" distB="0" distL="114300" distR="114300" simplePos="0" relativeHeight="251655680" behindDoc="0" locked="0" layoutInCell="1" allowOverlap="1" wp14:anchorId="1392BBA1" wp14:editId="7F34BC38">
                <wp:simplePos x="0" y="0"/>
                <wp:positionH relativeFrom="column">
                  <wp:posOffset>2679700</wp:posOffset>
                </wp:positionH>
                <wp:positionV relativeFrom="paragraph">
                  <wp:posOffset>355600</wp:posOffset>
                </wp:positionV>
                <wp:extent cx="352425" cy="46990"/>
                <wp:effectExtent l="0" t="0" r="0" b="0"/>
                <wp:wrapNone/>
                <wp:docPr id="21" name="Right Arrow 21"/>
                <wp:cNvGraphicFramePr/>
                <a:graphic xmlns:a="http://schemas.openxmlformats.org/drawingml/2006/main">
                  <a:graphicData uri="http://schemas.microsoft.com/office/word/2010/wordprocessingShape">
                    <wps:wsp>
                      <wps:cNvSpPr/>
                      <wps:spPr>
                        <a:xfrm>
                          <a:off x="5072550" y="3764850"/>
                          <a:ext cx="546900" cy="303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8A43517" w14:textId="77777777" w:rsidR="00435F32" w:rsidRDefault="00435F32">
                            <w:pPr>
                              <w:jc w:val="center"/>
                            </w:pPr>
                          </w:p>
                        </w:txbxContent>
                      </wps:txbx>
                      <wps:bodyPr spcFirstLastPara="1" wrap="square" lIns="91425" tIns="91425" rIns="91425" bIns="91425" anchor="ctr" anchorCtr="0">
                        <a:noAutofit/>
                      </wps:bodyPr>
                    </wps:wsp>
                  </a:graphicData>
                </a:graphic>
              </wp:anchor>
            </w:drawing>
          </mc:Choice>
          <mc:Fallback>
            <w:pict>
              <v:shapetype w14:anchorId="1392BB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8" type="#_x0000_t13" style="position:absolute;left:0;text-align:left;margin-left:211pt;margin-top:28pt;width:27.75pt;height:3.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" adj="21002" fillcolor="#cfe2f3">
                <v:stroke startarrowwidth="narrow" startarrowlength="short" endarrowwidth="narrow" endarrowlength="short" joinstyle="round"/>
                <v:textbox inset="2.53958mm,2.53958mm,2.53958mm,2.53958mm">
                  <w:txbxContent>
                    <w:p w14:paraId="68A43517" w14:textId="77777777" w:rsidR="00435F32" w:rsidRDefault="00435F32">
                      <w:pPr>
                        <w:jc w:val="center"/>
                      </w:pPr>
                    </w:p>
                  </w:txbxContent>
                </v:textbox>
              </v:shape>
            </w:pict>
          </mc:Fallback>
        </mc:AlternateContent>
      </w:r>
    </w:p>
    <w:p w14:paraId="4EF6A7D6" w14:textId="507C2590" w:rsidR="00435F32" w:rsidRDefault="00AC30CA">
      <w:pPr>
        <w:widowControl/>
        <w:spacing w:before="240" w:after="240" w:line="360" w:lineRule="auto"/>
        <w:jc w:val="both"/>
        <w:rPr>
          <w:rFonts w:ascii="EB Garamond Medium" w:eastAsia="EB Garamond Medium" w:hAnsi="EB Garamond Medium" w:cs="EB Garamond Medium"/>
          <w:sz w:val="22"/>
          <w:szCs w:val="22"/>
        </w:rPr>
      </w:pPr>
      <w:r>
        <w:rPr>
          <w:noProof/>
        </w:rPr>
        <w:lastRenderedPageBreak/>
        <mc:AlternateContent>
          <mc:Choice Requires="wps">
            <w:drawing>
              <wp:anchor distT="114300" distB="114300" distL="114300" distR="114300" simplePos="0" relativeHeight="251658752" behindDoc="0" locked="0" layoutInCell="1" allowOverlap="1" wp14:anchorId="25259B0B" wp14:editId="6A6F9016">
                <wp:simplePos x="0" y="0"/>
                <wp:positionH relativeFrom="column">
                  <wp:posOffset>3361056</wp:posOffset>
                </wp:positionH>
                <wp:positionV relativeFrom="paragraph">
                  <wp:posOffset>73025</wp:posOffset>
                </wp:positionV>
                <wp:extent cx="2194560" cy="1065475"/>
                <wp:effectExtent l="0" t="0" r="15240" b="20955"/>
                <wp:wrapNone/>
                <wp:docPr id="24" name="Rectangles 24"/>
                <wp:cNvGraphicFramePr/>
                <a:graphic xmlns:a="http://schemas.openxmlformats.org/drawingml/2006/main">
                  <a:graphicData uri="http://schemas.microsoft.com/office/word/2010/wordprocessingShape">
                    <wps:wsp>
                      <wps:cNvSpPr/>
                      <wps:spPr>
                        <a:xfrm>
                          <a:off x="0" y="0"/>
                          <a:ext cx="2194560" cy="10654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4F195200" w14:textId="1501A255" w:rsidR="00435F32" w:rsidRDefault="00000000" w:rsidP="00AC30CA">
                            <w:pPr>
                              <w:spacing w:after="160"/>
                              <w:jc w:val="center"/>
                            </w:pPr>
                            <w:r>
                              <w:rPr>
                                <w:rFonts w:ascii="Garamond" w:eastAsia="Garamond" w:hAnsi="Garamond" w:cs="Garamond"/>
                                <w:b/>
                                <w:color w:val="000000"/>
                                <w:sz w:val="22"/>
                              </w:rPr>
                              <w:t>STUDENTS’ ENGAGEMENT</w:t>
                            </w:r>
                          </w:p>
                          <w:p w14:paraId="196BB4ED" w14:textId="77777777" w:rsidR="00435F32" w:rsidRDefault="00000000" w:rsidP="00AC30CA">
                            <w:pPr>
                              <w:pStyle w:val="ListParagraph"/>
                              <w:numPr>
                                <w:ilvl w:val="0"/>
                                <w:numId w:val="4"/>
                              </w:numPr>
                              <w:spacing w:line="258" w:lineRule="auto"/>
                              <w:jc w:val="both"/>
                            </w:pPr>
                            <w:r w:rsidRPr="00AC30CA">
                              <w:rPr>
                                <w:rFonts w:ascii="Garamond" w:eastAsia="Garamond" w:hAnsi="Garamond" w:cs="Garamond"/>
                                <w:color w:val="000000"/>
                              </w:rPr>
                              <w:t>Emotional Engagement</w:t>
                            </w:r>
                          </w:p>
                          <w:p w14:paraId="5408A34A" w14:textId="77777777" w:rsidR="00435F32" w:rsidRDefault="00000000" w:rsidP="00AC30CA">
                            <w:pPr>
                              <w:pStyle w:val="ListParagraph"/>
                              <w:numPr>
                                <w:ilvl w:val="0"/>
                                <w:numId w:val="4"/>
                              </w:numPr>
                              <w:spacing w:line="258" w:lineRule="auto"/>
                              <w:jc w:val="both"/>
                            </w:pPr>
                            <w:r w:rsidRPr="00AC30CA">
                              <w:rPr>
                                <w:rFonts w:ascii="Garamond" w:eastAsia="Garamond" w:hAnsi="Garamond" w:cs="Garamond"/>
                                <w:color w:val="000000"/>
                              </w:rPr>
                              <w:t>Social Engagement</w:t>
                            </w:r>
                          </w:p>
                          <w:p w14:paraId="6A6D3AC0" w14:textId="77777777" w:rsidR="00435F32" w:rsidRDefault="00000000" w:rsidP="00AC30CA">
                            <w:pPr>
                              <w:pStyle w:val="ListParagraph"/>
                              <w:numPr>
                                <w:ilvl w:val="0"/>
                                <w:numId w:val="4"/>
                              </w:numPr>
                              <w:spacing w:line="258" w:lineRule="auto"/>
                              <w:jc w:val="both"/>
                            </w:pPr>
                            <w:r w:rsidRPr="00AC30CA">
                              <w:rPr>
                                <w:rFonts w:ascii="Garamond" w:eastAsia="Garamond" w:hAnsi="Garamond" w:cs="Garamond"/>
                                <w:color w:val="000000"/>
                              </w:rPr>
                              <w:t>Cognitive Engagement</w:t>
                            </w:r>
                          </w:p>
                          <w:p w14:paraId="7B73D507" w14:textId="77777777" w:rsidR="00435F32" w:rsidRDefault="00435F32">
                            <w:pPr>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5259B0B" id="Rectangles 24" o:spid="_x0000_s1029" style="position:absolute;left:0;text-align:left;margin-left:264.65pt;margin-top:5.75pt;width:172.8pt;height:83.9pt;z-index:25165875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">
                <v:stroke startarrowwidth="narrow" startarrowlength="short" endarrowwidth="narrow" endarrowlength="short" joinstyle="round"/>
                <v:textbox inset="2.53958mm,2.53958mm,2.53958mm,2.53958mm">
                  <w:txbxContent>
                    <w:p w14:paraId="4F195200" w14:textId="1501A255" w:rsidR="00435F32" w:rsidRDefault="00000000" w:rsidP="00AC30CA">
                      <w:pPr>
                        <w:spacing w:after="160"/>
                        <w:jc w:val="center"/>
                      </w:pPr>
                      <w:r>
                        <w:rPr>
                          <w:rFonts w:ascii="Garamond" w:eastAsia="Garamond" w:hAnsi="Garamond" w:cs="Garamond"/>
                          <w:b/>
                          <w:color w:val="000000"/>
                          <w:sz w:val="22"/>
                        </w:rPr>
                        <w:t>STUDENTS’ ENGAGEMENT</w:t>
                      </w:r>
                    </w:p>
                    <w:p w14:paraId="196BB4ED" w14:textId="77777777" w:rsidR="00435F32" w:rsidRDefault="00000000" w:rsidP="00AC30CA">
                      <w:pPr>
                        <w:pStyle w:val="ListParagraph"/>
                        <w:numPr>
                          <w:ilvl w:val="0"/>
                          <w:numId w:val="4"/>
                        </w:numPr>
                        <w:spacing w:line="258" w:lineRule="auto"/>
                        <w:jc w:val="both"/>
                      </w:pPr>
                      <w:r w:rsidRPr="00AC30CA">
                        <w:rPr>
                          <w:rFonts w:ascii="Garamond" w:eastAsia="Garamond" w:hAnsi="Garamond" w:cs="Garamond"/>
                          <w:color w:val="000000"/>
                        </w:rPr>
                        <w:t>Emotional Engagement</w:t>
                      </w:r>
                    </w:p>
                    <w:p w14:paraId="5408A34A" w14:textId="77777777" w:rsidR="00435F32" w:rsidRDefault="00000000" w:rsidP="00AC30CA">
                      <w:pPr>
                        <w:pStyle w:val="ListParagraph"/>
                        <w:numPr>
                          <w:ilvl w:val="0"/>
                          <w:numId w:val="4"/>
                        </w:numPr>
                        <w:spacing w:line="258" w:lineRule="auto"/>
                        <w:jc w:val="both"/>
                      </w:pPr>
                      <w:r w:rsidRPr="00AC30CA">
                        <w:rPr>
                          <w:rFonts w:ascii="Garamond" w:eastAsia="Garamond" w:hAnsi="Garamond" w:cs="Garamond"/>
                          <w:color w:val="000000"/>
                        </w:rPr>
                        <w:t>Social Engagement</w:t>
                      </w:r>
                    </w:p>
                    <w:p w14:paraId="6A6D3AC0" w14:textId="77777777" w:rsidR="00435F32" w:rsidRDefault="00000000" w:rsidP="00AC30CA">
                      <w:pPr>
                        <w:pStyle w:val="ListParagraph"/>
                        <w:numPr>
                          <w:ilvl w:val="0"/>
                          <w:numId w:val="4"/>
                        </w:numPr>
                        <w:spacing w:line="258" w:lineRule="auto"/>
                        <w:jc w:val="both"/>
                      </w:pPr>
                      <w:r w:rsidRPr="00AC30CA">
                        <w:rPr>
                          <w:rFonts w:ascii="Garamond" w:eastAsia="Garamond" w:hAnsi="Garamond" w:cs="Garamond"/>
                          <w:color w:val="000000"/>
                        </w:rPr>
                        <w:t>Cognitive Engagement</w:t>
                      </w:r>
                    </w:p>
                    <w:p w14:paraId="7B73D507" w14:textId="77777777" w:rsidR="00435F32" w:rsidRDefault="00435F32">
                      <w:pPr>
                        <w:jc w:val="center"/>
                      </w:pPr>
                    </w:p>
                  </w:txbxContent>
                </v:textbox>
              </v:rect>
            </w:pict>
          </mc:Fallback>
        </mc:AlternateContent>
      </w:r>
    </w:p>
    <w:p w14:paraId="6791A232" w14:textId="3212FEB8" w:rsidR="00435F32" w:rsidRDefault="00AC30CA">
      <w:pPr>
        <w:widowControl/>
        <w:spacing w:before="240" w:after="240" w:line="360" w:lineRule="auto"/>
        <w:jc w:val="both"/>
        <w:rPr>
          <w:rFonts w:ascii="Garamond" w:eastAsia="Garamond" w:hAnsi="Garamond" w:cs="Garamond"/>
          <w:b/>
          <w:sz w:val="22"/>
          <w:szCs w:val="22"/>
        </w:rPr>
      </w:pPr>
      <w:r>
        <w:rPr>
          <w:rFonts w:ascii="Garamond" w:eastAsia="Garamond" w:hAnsi="Garamond" w:cs="Garamond"/>
          <w:b/>
          <w:noProof/>
          <w:sz w:val="22"/>
          <w:szCs w:val="22"/>
        </w:rPr>
        <mc:AlternateContent>
          <mc:Choice Requires="wps">
            <w:drawing>
              <wp:anchor distT="0" distB="0" distL="114300" distR="114300" simplePos="0" relativeHeight="251662848" behindDoc="0" locked="0" layoutInCell="1" allowOverlap="1" wp14:anchorId="1DC2A0B4" wp14:editId="2A7B8644">
                <wp:simplePos x="0" y="0"/>
                <wp:positionH relativeFrom="column">
                  <wp:posOffset>3032650</wp:posOffset>
                </wp:positionH>
                <wp:positionV relativeFrom="paragraph">
                  <wp:posOffset>292128</wp:posOffset>
                </wp:positionV>
                <wp:extent cx="344142" cy="0"/>
                <wp:effectExtent l="0" t="76200" r="18415" b="95250"/>
                <wp:wrapNone/>
                <wp:docPr id="560853639" name="Straight Arrow Connector 9"/>
                <wp:cNvGraphicFramePr/>
                <a:graphic xmlns:a="http://schemas.openxmlformats.org/drawingml/2006/main">
                  <a:graphicData uri="http://schemas.microsoft.com/office/word/2010/wordprocessingShape">
                    <wps:wsp>
                      <wps:cNvCnPr/>
                      <wps:spPr>
                        <a:xfrm>
                          <a:off x="0" y="0"/>
                          <a:ext cx="3441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AE59E8" id="Straight Arrow Connector 9" o:spid="_x0000_s1026" type="#_x0000_t32" style="position:absolute;margin-left:238.8pt;margin-top:23pt;width:27.1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" strokecolor="black [3200]" strokeweight=".5pt">
                <v:stroke endarrow="block" joinstyle="miter"/>
              </v:shape>
            </w:pict>
          </mc:Fallback>
        </mc:AlternateContent>
      </w:r>
    </w:p>
    <w:p w14:paraId="502F7046" w14:textId="77777777" w:rsidR="007A346C" w:rsidRDefault="007A346C">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p>
    <w:p w14:paraId="77BAAD96" w14:textId="77777777" w:rsidR="007A346C" w:rsidRDefault="007A346C">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p>
    <w:p w14:paraId="1D69B3C4" w14:textId="77777777" w:rsidR="007A346C" w:rsidRDefault="007A346C">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p>
    <w:p w14:paraId="696D7548" w14:textId="77777777" w:rsidR="007A346C" w:rsidRDefault="007A346C">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p>
    <w:p w14:paraId="590846C2" w14:textId="7B222EE1" w:rsidR="00435F32" w:rsidRDefault="00000000">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Method</w:t>
      </w:r>
    </w:p>
    <w:p w14:paraId="43C2748E" w14:textId="07AD6276" w:rsidR="007304B4" w:rsidRPr="007304B4" w:rsidRDefault="007304B4"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This study adopts a quantitative approach, specifically utilizing a descriptive correlational research design. This design is appropriate as it enables the researcher to systematically measure and </w:t>
      </w:r>
      <w:proofErr w:type="spellStart"/>
      <w:r w:rsidRPr="007304B4">
        <w:rPr>
          <w:rFonts w:ascii="Garamond" w:eastAsia="Garamond" w:hAnsi="Garamond" w:cs="Garamond"/>
          <w:sz w:val="22"/>
          <w:szCs w:val="22"/>
        </w:rPr>
        <w:t>analyze</w:t>
      </w:r>
      <w:proofErr w:type="spellEnd"/>
      <w:r w:rsidRPr="007304B4">
        <w:rPr>
          <w:rFonts w:ascii="Garamond" w:eastAsia="Garamond" w:hAnsi="Garamond" w:cs="Garamond"/>
          <w:sz w:val="22"/>
          <w:szCs w:val="22"/>
        </w:rPr>
        <w:t xml:space="preserve"> the levels of students' usage of AI-based ChatGPT in mathematics learning, self-efficacy in mathematics, and student engagement. By applying this design, the study can examine the relationships between the independent variable, which is the usage of AI-based ChatGPT, and the dependent variables, which are self-efficacy and engagement. This enables a comprehensive analysis of how the integration of AI tools affects students' confidence and active participation in mathematics learning.</w:t>
      </w:r>
    </w:p>
    <w:p w14:paraId="54C8EEA4" w14:textId="69A813FC" w:rsidR="007304B4" w:rsidRPr="007304B4" w:rsidRDefault="007304B4"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The respondents in this study consisted of 79 students from Mt. Apo National High School in Davao City. They were determined through a simple random sampling technique, where each member had an equal and independent chance of being chosen. This study employed three adopted, validated, and reliable questionnaires to collect data. All questionnaires used a five-point Likert scale to maintain consistency in measurement across all items. These instruments were adapted from tools published in reputable international journals and were tested in advance to ensure their validity, accuracy, and reliability. The survey questionnaires were administered through Google Forms, allowing for flexibility in participation and broader accessibility.</w:t>
      </w:r>
    </w:p>
    <w:p w14:paraId="04A68BA8" w14:textId="161551D2" w:rsidR="007304B4" w:rsidRPr="007304B4" w:rsidRDefault="007304B4"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Before </w:t>
      </w:r>
      <w:r>
        <w:rPr>
          <w:rFonts w:ascii="Garamond" w:eastAsia="Garamond" w:hAnsi="Garamond" w:cs="Garamond"/>
          <w:sz w:val="22"/>
          <w:szCs w:val="22"/>
        </w:rPr>
        <w:t>implementing the study</w:t>
      </w:r>
      <w:r w:rsidRPr="007304B4">
        <w:rPr>
          <w:rFonts w:ascii="Garamond" w:eastAsia="Garamond" w:hAnsi="Garamond" w:cs="Garamond"/>
          <w:sz w:val="22"/>
          <w:szCs w:val="22"/>
        </w:rPr>
        <w:t xml:space="preserve">, the researchers sought approval from the school administration of Mt. Apo National High School. To </w:t>
      </w:r>
      <w:proofErr w:type="spellStart"/>
      <w:r w:rsidRPr="007304B4">
        <w:rPr>
          <w:rFonts w:ascii="Garamond" w:eastAsia="Garamond" w:hAnsi="Garamond" w:cs="Garamond"/>
          <w:sz w:val="22"/>
          <w:szCs w:val="22"/>
        </w:rPr>
        <w:t>analyze</w:t>
      </w:r>
      <w:proofErr w:type="spellEnd"/>
      <w:r w:rsidRPr="007304B4">
        <w:rPr>
          <w:rFonts w:ascii="Garamond" w:eastAsia="Garamond" w:hAnsi="Garamond" w:cs="Garamond"/>
          <w:sz w:val="22"/>
          <w:szCs w:val="22"/>
        </w:rPr>
        <w:t xml:space="preserve"> the data and address the research questions, the study will employ mean and standard deviation to assess the levels of students' AI-based ChatGPT usage in mathematics, their self-efficacy, and engagement. Pearson's correlation coefficient will be used to determine the strength and direction of relationships between these variables. Additionally, multiple regression analysis will be conducted to evaluate whether and to what extent students' use of AI-based ChatGPT influences their self-efficacy and engagement.</w:t>
      </w:r>
    </w:p>
    <w:p w14:paraId="2AAB852C" w14:textId="5A24813F" w:rsidR="007304B4" w:rsidRDefault="007304B4"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In this study, students were informed that participation was optional and that they could withdraw at any time without any consequences. The researchers explained the study in simple terms to the students, answered their questions, and ensured they understood before proceeding. To protect privacy, names were removed from the data, and all information was kept secure and accessible only to the research team. The study adhered to the ethical guidelines established by the school and government, and the results will be shared with the school to inform its efforts to improve learning.</w:t>
      </w:r>
    </w:p>
    <w:p w14:paraId="13CD0265" w14:textId="64B91019" w:rsidR="00435F32" w:rsidRDefault="00000000"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b/>
          <w:color w:val="000000"/>
          <w:sz w:val="22"/>
          <w:szCs w:val="22"/>
          <w:highlight w:val="white"/>
        </w:rPr>
      </w:pPr>
      <w:r>
        <w:rPr>
          <w:rFonts w:ascii="Garamond" w:eastAsia="Garamond" w:hAnsi="Garamond" w:cs="Garamond"/>
          <w:b/>
          <w:color w:val="000000"/>
          <w:sz w:val="22"/>
          <w:szCs w:val="22"/>
          <w:highlight w:val="white"/>
        </w:rPr>
        <w:t>Results</w:t>
      </w:r>
    </w:p>
    <w:p w14:paraId="3AE18C6C" w14:textId="77777777" w:rsidR="00435F32" w:rsidRDefault="00000000">
      <w:pPr>
        <w:jc w:val="both"/>
        <w:rPr>
          <w:rFonts w:ascii="Arial" w:eastAsia="Arial" w:hAnsi="Arial" w:cs="Arial"/>
          <w:b/>
          <w:sz w:val="22"/>
          <w:szCs w:val="22"/>
        </w:rPr>
      </w:pPr>
      <w:r>
        <w:rPr>
          <w:rFonts w:ascii="Garamond" w:eastAsia="Garamond" w:hAnsi="Garamond" w:cs="Garamond"/>
          <w:b/>
          <w:sz w:val="22"/>
          <w:szCs w:val="22"/>
        </w:rPr>
        <w:t>Table 1. Descriptive Table</w:t>
      </w:r>
    </w:p>
    <w:tbl>
      <w:tblPr>
        <w:tblStyle w:val="Style62"/>
        <w:tblW w:w="8730" w:type="dxa"/>
        <w:tblInd w:w="0" w:type="dxa"/>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Layout w:type="fixed"/>
        <w:tblLook w:val="04A0" w:firstRow="1" w:lastRow="0" w:firstColumn="1" w:lastColumn="0" w:noHBand="0" w:noVBand="1"/>
      </w:tblPr>
      <w:tblGrid>
        <w:gridCol w:w="3090"/>
        <w:gridCol w:w="1290"/>
        <w:gridCol w:w="1545"/>
        <w:gridCol w:w="2805"/>
      </w:tblGrid>
      <w:tr w:rsidR="00435F32" w14:paraId="38983941" w14:textId="77777777" w:rsidTr="00435F32">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right w:val="nil"/>
            </w:tcBorders>
            <w:tcMar>
              <w:top w:w="0" w:type="dxa"/>
              <w:left w:w="108" w:type="dxa"/>
              <w:bottom w:w="0" w:type="dxa"/>
              <w:right w:w="108" w:type="dxa"/>
            </w:tcMar>
          </w:tcPr>
          <w:p w14:paraId="79D4D9C2" w14:textId="77777777" w:rsidR="00435F32" w:rsidRDefault="00000000">
            <w:pPr>
              <w:widowControl/>
              <w:jc w:val="center"/>
              <w:rPr>
                <w:rFonts w:ascii="Garamond" w:eastAsia="Garamond" w:hAnsi="Garamond" w:cs="Garamond"/>
                <w:sz w:val="22"/>
                <w:szCs w:val="22"/>
              </w:rPr>
            </w:pPr>
            <w:r>
              <w:rPr>
                <w:rFonts w:ascii="Garamond" w:eastAsia="Garamond" w:hAnsi="Garamond" w:cs="Garamond"/>
                <w:sz w:val="22"/>
                <w:szCs w:val="22"/>
              </w:rPr>
              <w:t>Variables and Their Indicators</w:t>
            </w:r>
          </w:p>
        </w:tc>
        <w:tc>
          <w:tcPr>
            <w:tcW w:w="1290" w:type="dxa"/>
            <w:tcBorders>
              <w:top w:val="single" w:sz="4" w:space="0" w:color="7F7F7F"/>
              <w:left w:val="nil"/>
              <w:right w:val="nil"/>
            </w:tcBorders>
            <w:tcMar>
              <w:top w:w="0" w:type="dxa"/>
              <w:left w:w="108" w:type="dxa"/>
              <w:bottom w:w="0" w:type="dxa"/>
              <w:right w:w="108" w:type="dxa"/>
            </w:tcMar>
          </w:tcPr>
          <w:p w14:paraId="75B2CF19" w14:textId="77777777" w:rsidR="00435F32" w:rsidRDefault="00000000">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Standard Deviation</w:t>
            </w:r>
          </w:p>
        </w:tc>
        <w:tc>
          <w:tcPr>
            <w:tcW w:w="1545" w:type="dxa"/>
            <w:tcBorders>
              <w:top w:val="single" w:sz="4" w:space="0" w:color="7F7F7F"/>
              <w:left w:val="nil"/>
              <w:right w:val="nil"/>
            </w:tcBorders>
            <w:tcMar>
              <w:top w:w="0" w:type="dxa"/>
              <w:left w:w="108" w:type="dxa"/>
              <w:bottom w:w="0" w:type="dxa"/>
              <w:right w:w="108" w:type="dxa"/>
            </w:tcMar>
          </w:tcPr>
          <w:p w14:paraId="67BFFA60" w14:textId="77777777" w:rsidR="00435F32" w:rsidRDefault="00000000">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Mean</w:t>
            </w:r>
          </w:p>
        </w:tc>
        <w:tc>
          <w:tcPr>
            <w:tcW w:w="2805" w:type="dxa"/>
            <w:tcBorders>
              <w:top w:val="single" w:sz="4" w:space="0" w:color="7F7F7F"/>
              <w:left w:val="nil"/>
              <w:right w:val="nil"/>
            </w:tcBorders>
            <w:tcMar>
              <w:top w:w="0" w:type="dxa"/>
              <w:left w:w="108" w:type="dxa"/>
              <w:bottom w:w="0" w:type="dxa"/>
              <w:right w:w="108" w:type="dxa"/>
            </w:tcMar>
          </w:tcPr>
          <w:p w14:paraId="4AF51E4C" w14:textId="77777777" w:rsidR="00435F32" w:rsidRDefault="00000000">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Verbal Description</w:t>
            </w:r>
          </w:p>
        </w:tc>
      </w:tr>
      <w:tr w:rsidR="00435F32" w14:paraId="13A5483F"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42D93ED1" w14:textId="77777777" w:rsidR="00435F32" w:rsidRDefault="00000000">
            <w:pPr>
              <w:widowControl/>
              <w:rPr>
                <w:rFonts w:ascii="Garamond" w:eastAsia="Garamond" w:hAnsi="Garamond" w:cs="Garamond"/>
                <w:sz w:val="22"/>
                <w:szCs w:val="22"/>
              </w:rPr>
            </w:pPr>
            <w:r>
              <w:rPr>
                <w:rFonts w:ascii="Garamond" w:eastAsia="Garamond" w:hAnsi="Garamond" w:cs="Garamond"/>
                <w:sz w:val="22"/>
                <w:szCs w:val="22"/>
              </w:rPr>
              <w:t>Independent Variable</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34BA75A"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3.52</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85FEFDA"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3.56</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38154F7"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4D562ACB"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46D15B6C" w14:textId="77777777" w:rsidR="00435F32" w:rsidRDefault="00000000">
            <w:pPr>
              <w:widowControl/>
              <w:ind w:firstLine="330"/>
              <w:rPr>
                <w:rFonts w:ascii="Garamond" w:eastAsia="Garamond" w:hAnsi="Garamond" w:cs="Garamond"/>
                <w:sz w:val="22"/>
                <w:szCs w:val="22"/>
              </w:rPr>
            </w:pPr>
            <w:r>
              <w:rPr>
                <w:rFonts w:ascii="Garamond" w:eastAsia="Garamond" w:hAnsi="Garamond" w:cs="Garamond"/>
                <w:b w:val="0"/>
                <w:sz w:val="22"/>
                <w:szCs w:val="22"/>
              </w:rPr>
              <w:t>Usage and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68AD2376"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1.01</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55364EEA"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3.37</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1F7E5A2D"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Moderate</w:t>
            </w:r>
          </w:p>
        </w:tc>
      </w:tr>
      <w:tr w:rsidR="00435F32" w14:paraId="4E87356D"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7DB47B4B" w14:textId="77777777" w:rsidR="00435F32" w:rsidRDefault="00000000">
            <w:pPr>
              <w:widowControl/>
              <w:ind w:firstLine="330"/>
              <w:rPr>
                <w:rFonts w:ascii="Garamond" w:eastAsia="Garamond" w:hAnsi="Garamond" w:cs="Garamond"/>
                <w:sz w:val="22"/>
                <w:szCs w:val="22"/>
              </w:rPr>
            </w:pPr>
            <w:r>
              <w:rPr>
                <w:rFonts w:ascii="Garamond" w:eastAsia="Garamond" w:hAnsi="Garamond" w:cs="Garamond"/>
                <w:b w:val="0"/>
                <w:sz w:val="22"/>
                <w:szCs w:val="22"/>
              </w:rPr>
              <w:t>Perceptions of Effectiveness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0FEAEC60"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0.97</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427AE9BB"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3.56</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0657006"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40441BBA"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341966A0" w14:textId="77777777" w:rsidR="00435F32" w:rsidRDefault="00000000">
            <w:pPr>
              <w:widowControl/>
              <w:ind w:firstLine="330"/>
              <w:rPr>
                <w:rFonts w:ascii="Garamond" w:eastAsia="Garamond" w:hAnsi="Garamond" w:cs="Garamond"/>
                <w:sz w:val="22"/>
                <w:szCs w:val="22"/>
              </w:rPr>
            </w:pPr>
            <w:r>
              <w:rPr>
                <w:rFonts w:ascii="Garamond" w:eastAsia="Garamond" w:hAnsi="Garamond" w:cs="Garamond"/>
                <w:b w:val="0"/>
                <w:sz w:val="22"/>
                <w:szCs w:val="22"/>
              </w:rPr>
              <w:t>Challenges and Reservations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4D82C9B0"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0.69</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D803C4E"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3.64</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2B964E3C"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3E4F7245"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0FE896CC" w14:textId="77777777" w:rsidR="00435F32" w:rsidRDefault="00000000">
            <w:pPr>
              <w:widowControl/>
              <w:ind w:firstLine="330"/>
              <w:rPr>
                <w:rFonts w:ascii="Garamond" w:eastAsia="Garamond" w:hAnsi="Garamond" w:cs="Garamond"/>
                <w:sz w:val="22"/>
                <w:szCs w:val="22"/>
              </w:rPr>
            </w:pPr>
            <w:r>
              <w:rPr>
                <w:rFonts w:ascii="Garamond" w:eastAsia="Garamond" w:hAnsi="Garamond" w:cs="Garamond"/>
                <w:b w:val="0"/>
                <w:sz w:val="22"/>
                <w:szCs w:val="22"/>
              </w:rPr>
              <w:t>Preferences and Suggestions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68EDDCFC"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0.85</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8439754"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3.67</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24111496"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74C3BA39"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08DF8841" w14:textId="77777777" w:rsidR="00435F32" w:rsidRDefault="00000000">
            <w:pPr>
              <w:widowControl/>
              <w:rPr>
                <w:rFonts w:ascii="Garamond" w:eastAsia="Garamond" w:hAnsi="Garamond" w:cs="Garamond"/>
                <w:sz w:val="22"/>
                <w:szCs w:val="22"/>
              </w:rPr>
            </w:pPr>
            <w:r>
              <w:rPr>
                <w:rFonts w:ascii="Garamond" w:eastAsia="Garamond" w:hAnsi="Garamond" w:cs="Garamond"/>
                <w:sz w:val="22"/>
                <w:szCs w:val="22"/>
              </w:rPr>
              <w:lastRenderedPageBreak/>
              <w:t>First Dependent Variable</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027AC829"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0.86</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3B5D7641"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3.62</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B8E7FA6"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371711DC"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13CC2262"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Mastery Experiences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194FBEE1"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0.72</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35A76D6"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3.59</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608DB2F4"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11631927"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0B14E8E3"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Vicarious Experiences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3C36F647"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0.71</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392C2E8"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3.99</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504C1233"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178E4713"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21C8B2DA"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Social Persuasion</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B822C30"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0.84</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3BE602DB"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3.73</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2086819"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6A750304"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48495C07"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Physiological States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415C44E5"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1.18</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BCBE28E"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3.16</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27BF2180"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Moderate</w:t>
            </w:r>
          </w:p>
        </w:tc>
      </w:tr>
      <w:tr w:rsidR="00435F32" w14:paraId="4F5DB073"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2601904A" w14:textId="77777777" w:rsidR="00435F32" w:rsidRDefault="00000000">
            <w:pPr>
              <w:widowControl/>
              <w:rPr>
                <w:rFonts w:ascii="Garamond" w:eastAsia="Garamond" w:hAnsi="Garamond" w:cs="Garamond"/>
                <w:sz w:val="22"/>
                <w:szCs w:val="22"/>
              </w:rPr>
            </w:pPr>
            <w:r>
              <w:rPr>
                <w:rFonts w:ascii="Garamond" w:eastAsia="Garamond" w:hAnsi="Garamond" w:cs="Garamond"/>
                <w:sz w:val="22"/>
                <w:szCs w:val="22"/>
              </w:rPr>
              <w:t>Second Dependent Variable</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5092693"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0.75</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6B199803"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3.75</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4FE99749"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38244955"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5846F8F4"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Emotional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35C985ED"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0.71</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F23B469"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3.62</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67CCD56B"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6A51E67A"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631E0516"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Social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11B61A93"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0.73</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12263D5E"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3.72</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600CE8F5"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19E3E5F3"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6303D09A" w14:textId="77777777" w:rsidR="00435F32" w:rsidRDefault="00000000">
            <w:pPr>
              <w:widowControl/>
              <w:ind w:firstLine="331"/>
              <w:rPr>
                <w:rFonts w:ascii="Garamond" w:eastAsia="Garamond" w:hAnsi="Garamond" w:cs="Garamond"/>
                <w:sz w:val="22"/>
                <w:szCs w:val="22"/>
              </w:rPr>
            </w:pPr>
            <w:r>
              <w:rPr>
                <w:rFonts w:ascii="Garamond" w:eastAsia="Garamond" w:hAnsi="Garamond" w:cs="Garamond"/>
                <w:sz w:val="22"/>
                <w:szCs w:val="22"/>
              </w:rPr>
              <w:t>Cognitive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4668E92"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0.80</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D783CBA"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3.90</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58BE5C33"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bl>
    <w:p w14:paraId="56F95173" w14:textId="77777777" w:rsidR="00435F32" w:rsidRDefault="00435F32">
      <w:pPr>
        <w:jc w:val="both"/>
        <w:rPr>
          <w:rFonts w:ascii="Garamond" w:eastAsia="Garamond" w:hAnsi="Garamond" w:cs="Garamond"/>
          <w:sz w:val="22"/>
          <w:szCs w:val="22"/>
        </w:rPr>
      </w:pPr>
    </w:p>
    <w:p w14:paraId="35B68F21" w14:textId="77777777" w:rsidR="00435F32" w:rsidRDefault="00435F32">
      <w:pPr>
        <w:ind w:firstLine="720"/>
        <w:jc w:val="both"/>
        <w:rPr>
          <w:rFonts w:ascii="Garamond" w:eastAsia="Garamond" w:hAnsi="Garamond" w:cs="Garamond"/>
          <w:sz w:val="22"/>
          <w:szCs w:val="22"/>
        </w:rPr>
      </w:pPr>
    </w:p>
    <w:p w14:paraId="41B99C67" w14:textId="77777777" w:rsidR="007304B4" w:rsidRPr="007304B4" w:rsidRDefault="007304B4" w:rsidP="007304B4">
      <w:pPr>
        <w:ind w:firstLine="720"/>
        <w:jc w:val="both"/>
        <w:rPr>
          <w:rFonts w:ascii="Garamond" w:eastAsia="Garamond" w:hAnsi="Garamond" w:cs="Garamond"/>
          <w:sz w:val="22"/>
          <w:szCs w:val="22"/>
        </w:rPr>
      </w:pPr>
      <w:r w:rsidRPr="007304B4">
        <w:rPr>
          <w:rFonts w:ascii="Garamond" w:eastAsia="Garamond" w:hAnsi="Garamond" w:cs="Garamond"/>
          <w:sz w:val="22"/>
          <w:szCs w:val="22"/>
        </w:rPr>
        <w:t>Table 1 presents the means and standard deviations of the usage of AI-based ChatGPT in responses for four indicators based on respondents' feedback. Preferences and Suggestions received the highest mean score of 3.67, described as "</w:t>
      </w:r>
      <w:r w:rsidRPr="007304B4">
        <w:rPr>
          <w:rFonts w:ascii="Garamond" w:eastAsia="Garamond" w:hAnsi="Garamond" w:cs="Garamond"/>
          <w:b/>
          <w:bCs/>
          <w:sz w:val="22"/>
          <w:szCs w:val="22"/>
        </w:rPr>
        <w:t>High</w:t>
      </w:r>
      <w:r w:rsidRPr="007304B4">
        <w:rPr>
          <w:rFonts w:ascii="Garamond" w:eastAsia="Garamond" w:hAnsi="Garamond" w:cs="Garamond"/>
          <w:sz w:val="22"/>
          <w:szCs w:val="22"/>
        </w:rPr>
        <w:t>," indicating that respondents often notice it. This is followed closely by Challenges and Reservations (3.64) and Perceptions of Effectiveness (3.56), both of which are also rated as "</w:t>
      </w:r>
      <w:r w:rsidRPr="007304B4">
        <w:rPr>
          <w:rFonts w:ascii="Garamond" w:eastAsia="Garamond" w:hAnsi="Garamond" w:cs="Garamond"/>
          <w:b/>
          <w:bCs/>
          <w:sz w:val="22"/>
          <w:szCs w:val="22"/>
        </w:rPr>
        <w:t>High</w:t>
      </w:r>
      <w:r w:rsidRPr="007304B4">
        <w:rPr>
          <w:rFonts w:ascii="Garamond" w:eastAsia="Garamond" w:hAnsi="Garamond" w:cs="Garamond"/>
          <w:sz w:val="22"/>
          <w:szCs w:val="22"/>
        </w:rPr>
        <w:t>." Usage and Engagement had the lowest mean of 3.37, categorized as "</w:t>
      </w:r>
      <w:r w:rsidRPr="007304B4">
        <w:rPr>
          <w:rFonts w:ascii="Garamond" w:eastAsia="Garamond" w:hAnsi="Garamond" w:cs="Garamond"/>
          <w:b/>
          <w:bCs/>
          <w:sz w:val="22"/>
          <w:szCs w:val="22"/>
        </w:rPr>
        <w:t>Moderate</w:t>
      </w:r>
      <w:r w:rsidRPr="007304B4">
        <w:rPr>
          <w:rFonts w:ascii="Garamond" w:eastAsia="Garamond" w:hAnsi="Garamond" w:cs="Garamond"/>
          <w:sz w:val="22"/>
          <w:szCs w:val="22"/>
        </w:rPr>
        <w:t>," suggesting less active involvement. The standard deviations indicate moderate consistency in responses, with the least variation seen in Challenges and Reservations.</w:t>
      </w:r>
    </w:p>
    <w:p w14:paraId="08B2054C" w14:textId="77777777" w:rsidR="007304B4" w:rsidRPr="007304B4" w:rsidRDefault="007304B4" w:rsidP="007304B4">
      <w:pPr>
        <w:ind w:firstLine="720"/>
        <w:jc w:val="both"/>
        <w:rPr>
          <w:rFonts w:ascii="Garamond" w:eastAsia="Garamond" w:hAnsi="Garamond" w:cs="Garamond"/>
          <w:sz w:val="22"/>
          <w:szCs w:val="22"/>
        </w:rPr>
      </w:pPr>
      <w:r w:rsidRPr="007304B4">
        <w:rPr>
          <w:rFonts w:ascii="Garamond" w:eastAsia="Garamond" w:hAnsi="Garamond" w:cs="Garamond"/>
          <w:sz w:val="22"/>
          <w:szCs w:val="22"/>
        </w:rPr>
        <w:t>This is followed by the test statistics for four self-efficacy indicators, which are the first dependent variable. Vicarious Experiences had the highest mean (3.99), followed by Social Persuasion (3.73), Mastery Experiences (3.59), and Physiological States (3.16). All except the Physiological States were rated as "</w:t>
      </w:r>
      <w:r w:rsidRPr="007304B4">
        <w:rPr>
          <w:rFonts w:ascii="Garamond" w:eastAsia="Garamond" w:hAnsi="Garamond" w:cs="Garamond"/>
          <w:b/>
          <w:bCs/>
          <w:sz w:val="22"/>
          <w:szCs w:val="22"/>
        </w:rPr>
        <w:t>High</w:t>
      </w:r>
      <w:r w:rsidRPr="007304B4">
        <w:rPr>
          <w:rFonts w:ascii="Garamond" w:eastAsia="Garamond" w:hAnsi="Garamond" w:cs="Garamond"/>
          <w:sz w:val="22"/>
          <w:szCs w:val="22"/>
        </w:rPr>
        <w:t xml:space="preserve">," indicating that respondents often build confidence through observing others, receiving encouragement, and recalling past successes. Standard deviations ranged from 0.71 to 1.18, showing moderate response variation, with Physiological States having the highest variability. </w:t>
      </w:r>
    </w:p>
    <w:p w14:paraId="2E8F0250" w14:textId="3081DAF9" w:rsidR="00435F32" w:rsidRDefault="007304B4" w:rsidP="007304B4">
      <w:pPr>
        <w:ind w:firstLine="720"/>
        <w:jc w:val="both"/>
        <w:rPr>
          <w:rFonts w:ascii="Garamond" w:eastAsia="Garamond" w:hAnsi="Garamond" w:cs="Garamond"/>
          <w:sz w:val="22"/>
          <w:szCs w:val="22"/>
        </w:rPr>
      </w:pPr>
      <w:r w:rsidRPr="007304B4">
        <w:rPr>
          <w:rFonts w:ascii="Garamond" w:eastAsia="Garamond" w:hAnsi="Garamond" w:cs="Garamond"/>
          <w:sz w:val="22"/>
          <w:szCs w:val="22"/>
        </w:rPr>
        <w:t>Lastly, the descriptive statistics for the second dependent variable, which is students' Engagement, cover emotional, social, and cognitive aspects. All indicators received a verbal rating of "</w:t>
      </w:r>
      <w:r w:rsidRPr="007304B4">
        <w:rPr>
          <w:rFonts w:ascii="Garamond" w:eastAsia="Garamond" w:hAnsi="Garamond" w:cs="Garamond"/>
          <w:b/>
          <w:bCs/>
          <w:sz w:val="22"/>
          <w:szCs w:val="22"/>
        </w:rPr>
        <w:t>High</w:t>
      </w:r>
      <w:r w:rsidRPr="007304B4">
        <w:rPr>
          <w:rFonts w:ascii="Garamond" w:eastAsia="Garamond" w:hAnsi="Garamond" w:cs="Garamond"/>
          <w:sz w:val="22"/>
          <w:szCs w:val="22"/>
        </w:rPr>
        <w:t xml:space="preserve">," with Cognitive Engagement showing the highest mean (3.90), followed by Social (3.72) and Emotional Engagement (3.62). This suggests that students frequently invest in mental effort, interact socially, and exhibit emotional involvement in learning activities. Standard deviations range from 0.71 to 0.80, reflecting moderate variability in responses. </w:t>
      </w:r>
    </w:p>
    <w:p w14:paraId="74EC9C30" w14:textId="77777777" w:rsidR="007304B4" w:rsidRDefault="007304B4" w:rsidP="007304B4">
      <w:pPr>
        <w:ind w:firstLine="720"/>
        <w:jc w:val="both"/>
        <w:rPr>
          <w:rFonts w:ascii="Garamond" w:eastAsia="Garamond" w:hAnsi="Garamond" w:cs="Garamond"/>
          <w:sz w:val="22"/>
          <w:szCs w:val="22"/>
        </w:rPr>
      </w:pPr>
    </w:p>
    <w:p w14:paraId="3F588EA7" w14:textId="4CB49DD1" w:rsidR="00435F32" w:rsidRDefault="00000000">
      <w:pPr>
        <w:jc w:val="both"/>
        <w:rPr>
          <w:rFonts w:ascii="Garamond" w:eastAsia="Garamond" w:hAnsi="Garamond" w:cs="Garamond"/>
          <w:b/>
          <w:sz w:val="22"/>
          <w:szCs w:val="22"/>
        </w:rPr>
      </w:pPr>
      <w:r>
        <w:rPr>
          <w:rFonts w:ascii="Garamond" w:eastAsia="Garamond" w:hAnsi="Garamond" w:cs="Garamond"/>
          <w:b/>
          <w:sz w:val="22"/>
          <w:szCs w:val="22"/>
        </w:rPr>
        <w:t xml:space="preserve">Table 2. Test of </w:t>
      </w:r>
      <w:r w:rsidR="00AC30CA">
        <w:rPr>
          <w:rFonts w:ascii="Garamond" w:eastAsia="Garamond" w:hAnsi="Garamond" w:cs="Garamond"/>
          <w:b/>
          <w:sz w:val="22"/>
          <w:szCs w:val="22"/>
        </w:rPr>
        <w:t>R</w:t>
      </w:r>
      <w:r>
        <w:rPr>
          <w:rFonts w:ascii="Garamond" w:eastAsia="Garamond" w:hAnsi="Garamond" w:cs="Garamond"/>
          <w:b/>
          <w:sz w:val="22"/>
          <w:szCs w:val="22"/>
        </w:rPr>
        <w:t>elationship</w:t>
      </w:r>
    </w:p>
    <w:tbl>
      <w:tblPr>
        <w:tblStyle w:val="Style63"/>
        <w:tblW w:w="9090" w:type="dxa"/>
        <w:tblInd w:w="0" w:type="dxa"/>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Layout w:type="fixed"/>
        <w:tblLook w:val="04A0" w:firstRow="1" w:lastRow="0" w:firstColumn="1" w:lastColumn="0" w:noHBand="0" w:noVBand="1"/>
      </w:tblPr>
      <w:tblGrid>
        <w:gridCol w:w="1843"/>
        <w:gridCol w:w="1843"/>
        <w:gridCol w:w="1134"/>
        <w:gridCol w:w="1134"/>
        <w:gridCol w:w="1559"/>
        <w:gridCol w:w="1577"/>
      </w:tblGrid>
      <w:tr w:rsidR="00435F32" w14:paraId="079515AA" w14:textId="77777777" w:rsidTr="0043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left w:val="nil"/>
              <w:right w:val="nil"/>
            </w:tcBorders>
            <w:tcMar>
              <w:top w:w="0" w:type="dxa"/>
              <w:left w:w="108" w:type="dxa"/>
              <w:bottom w:w="0" w:type="dxa"/>
              <w:right w:w="108" w:type="dxa"/>
            </w:tcMar>
          </w:tcPr>
          <w:p w14:paraId="43658378" w14:textId="77777777" w:rsidR="00435F32" w:rsidRDefault="00000000">
            <w:pPr>
              <w:widowControl/>
              <w:jc w:val="center"/>
              <w:rPr>
                <w:rFonts w:ascii="Garamond" w:eastAsia="Garamond" w:hAnsi="Garamond" w:cs="Garamond"/>
                <w:sz w:val="22"/>
                <w:szCs w:val="22"/>
              </w:rPr>
            </w:pPr>
            <w:r>
              <w:rPr>
                <w:rFonts w:ascii="Garamond" w:eastAsia="Garamond" w:hAnsi="Garamond" w:cs="Garamond"/>
                <w:sz w:val="22"/>
                <w:szCs w:val="22"/>
              </w:rPr>
              <w:t>Independent Variable</w:t>
            </w:r>
          </w:p>
        </w:tc>
        <w:tc>
          <w:tcPr>
            <w:tcW w:w="1843" w:type="dxa"/>
            <w:tcBorders>
              <w:top w:val="single" w:sz="4" w:space="0" w:color="7F7F7F"/>
              <w:left w:val="nil"/>
              <w:right w:val="nil"/>
            </w:tcBorders>
            <w:tcMar>
              <w:top w:w="0" w:type="dxa"/>
              <w:left w:w="108" w:type="dxa"/>
              <w:bottom w:w="0" w:type="dxa"/>
              <w:right w:w="108" w:type="dxa"/>
            </w:tcMar>
          </w:tcPr>
          <w:p w14:paraId="28717487" w14:textId="77777777" w:rsidR="00435F32" w:rsidRDefault="00000000">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Dependent Variable</w:t>
            </w:r>
          </w:p>
        </w:tc>
        <w:tc>
          <w:tcPr>
            <w:tcW w:w="1134" w:type="dxa"/>
            <w:tcBorders>
              <w:top w:val="single" w:sz="4" w:space="0" w:color="7F7F7F"/>
              <w:left w:val="nil"/>
              <w:right w:val="nil"/>
            </w:tcBorders>
            <w:tcMar>
              <w:top w:w="0" w:type="dxa"/>
              <w:left w:w="108" w:type="dxa"/>
              <w:bottom w:w="0" w:type="dxa"/>
              <w:right w:w="108" w:type="dxa"/>
            </w:tcMar>
          </w:tcPr>
          <w:p w14:paraId="23902208" w14:textId="77777777" w:rsidR="00435F32" w:rsidRDefault="00000000">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proofErr w:type="spellStart"/>
            <w:r>
              <w:rPr>
                <w:rFonts w:ascii="Garamond" w:eastAsia="Garamond" w:hAnsi="Garamond" w:cs="Garamond"/>
                <w:sz w:val="22"/>
                <w:szCs w:val="22"/>
              </w:rPr>
              <w:t>r-value</w:t>
            </w:r>
            <w:proofErr w:type="spellEnd"/>
          </w:p>
        </w:tc>
        <w:tc>
          <w:tcPr>
            <w:tcW w:w="1134" w:type="dxa"/>
            <w:tcBorders>
              <w:top w:val="single" w:sz="4" w:space="0" w:color="7F7F7F"/>
              <w:left w:val="nil"/>
              <w:right w:val="nil"/>
            </w:tcBorders>
            <w:tcMar>
              <w:top w:w="0" w:type="dxa"/>
              <w:left w:w="108" w:type="dxa"/>
              <w:bottom w:w="0" w:type="dxa"/>
              <w:right w:w="108" w:type="dxa"/>
            </w:tcMar>
          </w:tcPr>
          <w:p w14:paraId="6B764F37" w14:textId="77777777" w:rsidR="00435F32" w:rsidRDefault="00000000">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p-value</w:t>
            </w:r>
          </w:p>
        </w:tc>
        <w:tc>
          <w:tcPr>
            <w:tcW w:w="1559" w:type="dxa"/>
            <w:tcBorders>
              <w:top w:val="single" w:sz="4" w:space="0" w:color="7F7F7F"/>
              <w:left w:val="nil"/>
              <w:right w:val="nil"/>
            </w:tcBorders>
            <w:tcMar>
              <w:top w:w="0" w:type="dxa"/>
              <w:left w:w="108" w:type="dxa"/>
              <w:bottom w:w="0" w:type="dxa"/>
              <w:right w:w="108" w:type="dxa"/>
            </w:tcMar>
          </w:tcPr>
          <w:p w14:paraId="34C9E7AB" w14:textId="77777777" w:rsidR="00435F32" w:rsidRDefault="00000000">
            <w:pPr>
              <w:widowControl/>
              <w:tabs>
                <w:tab w:val="center" w:pos="4680"/>
                <w:tab w:val="right" w:pos="93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highlight w:val="white"/>
              </w:rPr>
              <w:t>Decision on Ho</w:t>
            </w:r>
          </w:p>
        </w:tc>
        <w:tc>
          <w:tcPr>
            <w:tcW w:w="1577" w:type="dxa"/>
            <w:tcBorders>
              <w:top w:val="single" w:sz="4" w:space="0" w:color="7F7F7F"/>
              <w:left w:val="nil"/>
              <w:right w:val="nil"/>
            </w:tcBorders>
            <w:tcMar>
              <w:top w:w="0" w:type="dxa"/>
              <w:left w:w="108" w:type="dxa"/>
              <w:bottom w:w="0" w:type="dxa"/>
              <w:right w:w="108" w:type="dxa"/>
            </w:tcMar>
          </w:tcPr>
          <w:p w14:paraId="40C95A2C" w14:textId="77777777" w:rsidR="00435F32" w:rsidRDefault="00000000">
            <w:pPr>
              <w:widowControl/>
              <w:tabs>
                <w:tab w:val="center" w:pos="4680"/>
                <w:tab w:val="right" w:pos="93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highlight w:val="white"/>
              </w:rPr>
            </w:pPr>
            <w:r>
              <w:rPr>
                <w:rFonts w:ascii="Garamond" w:eastAsia="Garamond" w:hAnsi="Garamond" w:cs="Garamond"/>
                <w:sz w:val="22"/>
                <w:szCs w:val="22"/>
                <w:highlight w:val="white"/>
              </w:rPr>
              <w:t>Interpretation</w:t>
            </w:r>
          </w:p>
        </w:tc>
      </w:tr>
      <w:tr w:rsidR="00435F32" w14:paraId="32427EEC" w14:textId="77777777" w:rsidTr="00435F32">
        <w:trPr>
          <w:trHeight w:val="491"/>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7F7F7F"/>
              <w:left w:val="nil"/>
              <w:bottom w:val="single" w:sz="4" w:space="0" w:color="7F7F7F"/>
              <w:right w:val="nil"/>
            </w:tcBorders>
            <w:tcMar>
              <w:top w:w="0" w:type="dxa"/>
              <w:left w:w="108" w:type="dxa"/>
              <w:bottom w:w="0" w:type="dxa"/>
              <w:right w:w="108" w:type="dxa"/>
            </w:tcMar>
          </w:tcPr>
          <w:p w14:paraId="7D6CDFC3" w14:textId="77777777" w:rsidR="00435F32" w:rsidRDefault="00435F32">
            <w:pPr>
              <w:widowControl/>
              <w:rPr>
                <w:rFonts w:ascii="Garamond" w:eastAsia="Garamond" w:hAnsi="Garamond" w:cs="Garamond"/>
                <w:sz w:val="22"/>
                <w:szCs w:val="22"/>
              </w:rPr>
            </w:pPr>
          </w:p>
          <w:p w14:paraId="54D14735" w14:textId="77777777" w:rsidR="00435F32" w:rsidRDefault="00000000">
            <w:pPr>
              <w:widowControl/>
              <w:rPr>
                <w:rFonts w:ascii="Garamond" w:eastAsia="Garamond" w:hAnsi="Garamond" w:cs="Garamond"/>
                <w:sz w:val="22"/>
                <w:szCs w:val="22"/>
              </w:rPr>
            </w:pPr>
            <w:r>
              <w:rPr>
                <w:rFonts w:ascii="Garamond" w:eastAsia="Garamond" w:hAnsi="Garamond" w:cs="Garamond"/>
                <w:sz w:val="22"/>
                <w:szCs w:val="22"/>
              </w:rPr>
              <w:t>Usage of AI-based ChatGPT</w:t>
            </w:r>
          </w:p>
        </w:tc>
        <w:tc>
          <w:tcPr>
            <w:tcW w:w="1843" w:type="dxa"/>
            <w:tcBorders>
              <w:top w:val="single" w:sz="4" w:space="0" w:color="7F7F7F"/>
              <w:left w:val="nil"/>
              <w:bottom w:val="single" w:sz="4" w:space="0" w:color="7F7F7F"/>
              <w:right w:val="nil"/>
            </w:tcBorders>
            <w:tcMar>
              <w:top w:w="0" w:type="dxa"/>
              <w:left w:w="108" w:type="dxa"/>
              <w:bottom w:w="0" w:type="dxa"/>
              <w:right w:w="108" w:type="dxa"/>
            </w:tcMar>
          </w:tcPr>
          <w:p w14:paraId="7BA59065" w14:textId="77777777" w:rsidR="00435F32" w:rsidRDefault="00000000">
            <w:pPr>
              <w:widowControl/>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Students’ Self-efficacy</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19A17239"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0.542</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61A7AE2D"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0.000</w:t>
            </w:r>
          </w:p>
          <w:p w14:paraId="78D1DA66" w14:textId="77777777" w:rsidR="00435F32" w:rsidRDefault="00435F32">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p>
        </w:tc>
        <w:tc>
          <w:tcPr>
            <w:tcW w:w="1559" w:type="dxa"/>
            <w:tcBorders>
              <w:top w:val="single" w:sz="4" w:space="0" w:color="7F7F7F"/>
              <w:left w:val="nil"/>
              <w:bottom w:val="single" w:sz="4" w:space="0" w:color="7F7F7F"/>
              <w:right w:val="nil"/>
            </w:tcBorders>
            <w:tcMar>
              <w:top w:w="0" w:type="dxa"/>
              <w:left w:w="108" w:type="dxa"/>
              <w:bottom w:w="0" w:type="dxa"/>
              <w:right w:w="108" w:type="dxa"/>
            </w:tcMar>
          </w:tcPr>
          <w:p w14:paraId="25B46408"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Rejected</w:t>
            </w:r>
          </w:p>
          <w:p w14:paraId="146E4CD1" w14:textId="77777777" w:rsidR="00435F32" w:rsidRDefault="00435F32">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p>
        </w:tc>
        <w:tc>
          <w:tcPr>
            <w:tcW w:w="1577" w:type="dxa"/>
            <w:tcBorders>
              <w:top w:val="single" w:sz="4" w:space="0" w:color="7F7F7F"/>
              <w:left w:val="nil"/>
              <w:bottom w:val="single" w:sz="4" w:space="0" w:color="7F7F7F"/>
              <w:right w:val="nil"/>
            </w:tcBorders>
            <w:tcMar>
              <w:top w:w="0" w:type="dxa"/>
              <w:left w:w="108" w:type="dxa"/>
              <w:bottom w:w="0" w:type="dxa"/>
              <w:right w:w="108" w:type="dxa"/>
            </w:tcMar>
          </w:tcPr>
          <w:p w14:paraId="6685B375"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Significant</w:t>
            </w:r>
          </w:p>
        </w:tc>
      </w:tr>
      <w:tr w:rsidR="00435F32" w14:paraId="2D8D4339" w14:textId="77777777" w:rsidTr="00435F32">
        <w:trPr>
          <w:trHeight w:val="413"/>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7F7F7F"/>
              <w:left w:val="nil"/>
              <w:bottom w:val="single" w:sz="4" w:space="0" w:color="7F7F7F"/>
              <w:right w:val="nil"/>
            </w:tcBorders>
            <w:tcMar>
              <w:top w:w="0" w:type="dxa"/>
              <w:left w:w="108" w:type="dxa"/>
              <w:bottom w:w="0" w:type="dxa"/>
              <w:right w:w="108" w:type="dxa"/>
            </w:tcMar>
          </w:tcPr>
          <w:p w14:paraId="3C0C0165" w14:textId="77777777" w:rsidR="00435F32" w:rsidRDefault="00435F32">
            <w:pPr>
              <w:spacing w:line="276" w:lineRule="auto"/>
              <w:rPr>
                <w:rFonts w:ascii="Garamond" w:eastAsia="Garamond" w:hAnsi="Garamond" w:cs="Garamond"/>
                <w:sz w:val="22"/>
                <w:szCs w:val="22"/>
              </w:rPr>
            </w:pPr>
          </w:p>
        </w:tc>
        <w:tc>
          <w:tcPr>
            <w:tcW w:w="1843" w:type="dxa"/>
            <w:tcBorders>
              <w:top w:val="single" w:sz="4" w:space="0" w:color="7F7F7F"/>
              <w:left w:val="nil"/>
              <w:bottom w:val="single" w:sz="4" w:space="0" w:color="7F7F7F"/>
              <w:right w:val="nil"/>
            </w:tcBorders>
            <w:tcMar>
              <w:top w:w="0" w:type="dxa"/>
              <w:left w:w="108" w:type="dxa"/>
              <w:bottom w:w="0" w:type="dxa"/>
              <w:right w:w="108" w:type="dxa"/>
            </w:tcMar>
          </w:tcPr>
          <w:p w14:paraId="339E5B7B" w14:textId="77777777" w:rsidR="00435F32" w:rsidRDefault="00000000">
            <w:pPr>
              <w:widowControl/>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Students’ Engagement</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5D2844B7"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0.332</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6CE101CF"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0.003</w:t>
            </w:r>
          </w:p>
        </w:tc>
        <w:tc>
          <w:tcPr>
            <w:tcW w:w="1559" w:type="dxa"/>
            <w:tcBorders>
              <w:top w:val="single" w:sz="4" w:space="0" w:color="7F7F7F"/>
              <w:left w:val="nil"/>
              <w:bottom w:val="single" w:sz="4" w:space="0" w:color="7F7F7F"/>
              <w:right w:val="nil"/>
            </w:tcBorders>
            <w:tcMar>
              <w:top w:w="0" w:type="dxa"/>
              <w:left w:w="108" w:type="dxa"/>
              <w:bottom w:w="0" w:type="dxa"/>
              <w:right w:w="108" w:type="dxa"/>
            </w:tcMar>
          </w:tcPr>
          <w:p w14:paraId="0F0F6088"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Rejected</w:t>
            </w:r>
          </w:p>
        </w:tc>
        <w:tc>
          <w:tcPr>
            <w:tcW w:w="1577" w:type="dxa"/>
            <w:tcBorders>
              <w:top w:val="single" w:sz="4" w:space="0" w:color="7F7F7F"/>
              <w:left w:val="nil"/>
              <w:bottom w:val="single" w:sz="4" w:space="0" w:color="7F7F7F"/>
              <w:right w:val="nil"/>
            </w:tcBorders>
            <w:tcMar>
              <w:top w:w="0" w:type="dxa"/>
              <w:left w:w="108" w:type="dxa"/>
              <w:bottom w:w="0" w:type="dxa"/>
              <w:right w:w="108" w:type="dxa"/>
            </w:tcMar>
          </w:tcPr>
          <w:p w14:paraId="5BF6FE79"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 xml:space="preserve">Significant </w:t>
            </w:r>
          </w:p>
        </w:tc>
      </w:tr>
      <w:tr w:rsidR="00435F32" w14:paraId="459A781A" w14:textId="77777777" w:rsidTr="00435F32">
        <w:trPr>
          <w:trHeight w:val="134"/>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4" w:space="0" w:color="7F7F7F"/>
              <w:left w:val="nil"/>
              <w:bottom w:val="single" w:sz="4" w:space="0" w:color="7F7F7F"/>
              <w:right w:val="nil"/>
            </w:tcBorders>
            <w:tcMar>
              <w:top w:w="0" w:type="dxa"/>
              <w:left w:w="108" w:type="dxa"/>
              <w:bottom w:w="0" w:type="dxa"/>
              <w:right w:w="108" w:type="dxa"/>
            </w:tcMar>
          </w:tcPr>
          <w:p w14:paraId="1F589E54" w14:textId="77777777" w:rsidR="00435F32" w:rsidRDefault="00000000">
            <w:pPr>
              <w:widowControl/>
              <w:jc w:val="center"/>
              <w:rPr>
                <w:rFonts w:ascii="Garamond" w:eastAsia="Garamond" w:hAnsi="Garamond" w:cs="Garamond"/>
                <w:sz w:val="22"/>
                <w:szCs w:val="22"/>
              </w:rPr>
            </w:pPr>
            <w:r>
              <w:rPr>
                <w:rFonts w:ascii="Garamond" w:eastAsia="Garamond" w:hAnsi="Garamond" w:cs="Garamond"/>
                <w:sz w:val="22"/>
                <w:szCs w:val="22"/>
              </w:rPr>
              <w:t>Combine Influence</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25BEADF8"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rPr>
              <w:t>0.437</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1F24D870"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rPr>
              <w:t>0.0015</w:t>
            </w:r>
          </w:p>
        </w:tc>
        <w:tc>
          <w:tcPr>
            <w:tcW w:w="1559" w:type="dxa"/>
            <w:tcBorders>
              <w:top w:val="single" w:sz="4" w:space="0" w:color="7F7F7F"/>
              <w:left w:val="nil"/>
              <w:bottom w:val="single" w:sz="4" w:space="0" w:color="7F7F7F"/>
              <w:right w:val="nil"/>
            </w:tcBorders>
            <w:tcMar>
              <w:top w:w="0" w:type="dxa"/>
              <w:left w:w="108" w:type="dxa"/>
              <w:bottom w:w="0" w:type="dxa"/>
              <w:right w:w="108" w:type="dxa"/>
            </w:tcMar>
          </w:tcPr>
          <w:p w14:paraId="63901641"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Rejected</w:t>
            </w:r>
          </w:p>
        </w:tc>
        <w:tc>
          <w:tcPr>
            <w:tcW w:w="1577" w:type="dxa"/>
            <w:tcBorders>
              <w:top w:val="single" w:sz="4" w:space="0" w:color="7F7F7F"/>
              <w:left w:val="nil"/>
              <w:bottom w:val="single" w:sz="4" w:space="0" w:color="7F7F7F"/>
              <w:right w:val="nil"/>
            </w:tcBorders>
            <w:tcMar>
              <w:top w:w="0" w:type="dxa"/>
              <w:left w:w="108" w:type="dxa"/>
              <w:bottom w:w="0" w:type="dxa"/>
              <w:right w:w="108" w:type="dxa"/>
            </w:tcMar>
          </w:tcPr>
          <w:p w14:paraId="29B2A617" w14:textId="77777777" w:rsidR="00435F32" w:rsidRDefault="00000000">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Significant</w:t>
            </w:r>
          </w:p>
        </w:tc>
      </w:tr>
    </w:tbl>
    <w:p w14:paraId="51FE5CAE" w14:textId="77777777" w:rsidR="00435F32" w:rsidRDefault="00435F32">
      <w:pPr>
        <w:jc w:val="both"/>
        <w:rPr>
          <w:rFonts w:ascii="Garamond" w:eastAsia="Garamond" w:hAnsi="Garamond" w:cs="Garamond"/>
          <w:sz w:val="22"/>
          <w:szCs w:val="22"/>
        </w:rPr>
      </w:pPr>
    </w:p>
    <w:p w14:paraId="263653E2" w14:textId="77777777" w:rsidR="00435F32" w:rsidRDefault="00000000">
      <w:pPr>
        <w:ind w:firstLine="720"/>
        <w:jc w:val="both"/>
        <w:rPr>
          <w:rFonts w:ascii="Garamond" w:eastAsia="Garamond" w:hAnsi="Garamond" w:cs="Garamond"/>
          <w:sz w:val="22"/>
          <w:szCs w:val="22"/>
        </w:rPr>
      </w:pPr>
      <w:r>
        <w:rPr>
          <w:rFonts w:ascii="Garamond" w:eastAsia="Garamond" w:hAnsi="Garamond" w:cs="Garamond"/>
          <w:sz w:val="22"/>
          <w:szCs w:val="22"/>
        </w:rPr>
        <w:t xml:space="preserve">Table 2 illustrates the correlation analysis between the usage of AI-based ChatGPT and two student-related outcomes: self-efficacy and engagement. The findings reveal statistically significant positive correlations. Specifically, the correlation between ChatGPT usage and students’ self-efficacy is moderate (r = 0.542, p = 0.000), while the correlation with student engagement is low (r = 0.332, p = 0.003). Given that all p-values are below the 0.05 threshold, the null hypothesis is rejected in both cases. These results suggest that increased use of ChatGPT is associated with higher levels of self-efficacy and engagement among students. </w:t>
      </w:r>
    </w:p>
    <w:p w14:paraId="0D3CC252" w14:textId="77777777" w:rsidR="00435F32" w:rsidRDefault="00435F32">
      <w:pPr>
        <w:jc w:val="both"/>
        <w:rPr>
          <w:rFonts w:ascii="Garamond" w:eastAsia="Garamond" w:hAnsi="Garamond" w:cs="Garamond"/>
          <w:b/>
          <w:sz w:val="22"/>
          <w:szCs w:val="22"/>
        </w:rPr>
      </w:pPr>
    </w:p>
    <w:p w14:paraId="6EF7869F" w14:textId="3C2AE211" w:rsidR="00435F32" w:rsidRDefault="00000000">
      <w:pPr>
        <w:jc w:val="both"/>
        <w:rPr>
          <w:rFonts w:ascii="Garamond" w:eastAsia="Garamond" w:hAnsi="Garamond" w:cs="Garamond"/>
          <w:b/>
          <w:sz w:val="22"/>
          <w:szCs w:val="22"/>
        </w:rPr>
      </w:pPr>
      <w:r>
        <w:rPr>
          <w:rFonts w:ascii="Garamond" w:eastAsia="Garamond" w:hAnsi="Garamond" w:cs="Garamond"/>
          <w:b/>
          <w:sz w:val="22"/>
          <w:szCs w:val="22"/>
        </w:rPr>
        <w:t xml:space="preserve">Table 3. Test of </w:t>
      </w:r>
      <w:r w:rsidR="00AC30CA">
        <w:rPr>
          <w:rFonts w:ascii="Garamond" w:eastAsia="Garamond" w:hAnsi="Garamond" w:cs="Garamond"/>
          <w:b/>
          <w:sz w:val="22"/>
          <w:szCs w:val="22"/>
        </w:rPr>
        <w:t>I</w:t>
      </w:r>
      <w:r>
        <w:rPr>
          <w:rFonts w:ascii="Garamond" w:eastAsia="Garamond" w:hAnsi="Garamond" w:cs="Garamond"/>
          <w:b/>
          <w:sz w:val="22"/>
          <w:szCs w:val="22"/>
        </w:rPr>
        <w:t>nfluence</w:t>
      </w:r>
    </w:p>
    <w:tbl>
      <w:tblPr>
        <w:tblStyle w:val="Style64"/>
        <w:tblW w:w="9045" w:type="dxa"/>
        <w:tblInd w:w="30" w:type="dxa"/>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35"/>
        <w:gridCol w:w="1635"/>
        <w:gridCol w:w="1020"/>
        <w:gridCol w:w="1050"/>
        <w:gridCol w:w="945"/>
        <w:gridCol w:w="1500"/>
        <w:gridCol w:w="1560"/>
      </w:tblGrid>
      <w:tr w:rsidR="00435F32" w14:paraId="25FDA4FF" w14:textId="77777777" w:rsidTr="0043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Borders>
              <w:top w:val="single" w:sz="4" w:space="0" w:color="7F7F7F"/>
              <w:left w:val="nil"/>
              <w:right w:val="nil"/>
            </w:tcBorders>
            <w:tcMar>
              <w:top w:w="0" w:type="dxa"/>
              <w:left w:w="108" w:type="dxa"/>
              <w:bottom w:w="0" w:type="dxa"/>
              <w:right w:w="108" w:type="dxa"/>
            </w:tcMar>
          </w:tcPr>
          <w:p w14:paraId="28F482DD" w14:textId="77777777" w:rsidR="00435F32" w:rsidRDefault="00000000">
            <w:pPr>
              <w:jc w:val="center"/>
              <w:rPr>
                <w:rFonts w:ascii="Garamond" w:eastAsia="Garamond" w:hAnsi="Garamond" w:cs="Garamond"/>
                <w:color w:val="000000"/>
              </w:rPr>
            </w:pPr>
            <w:r>
              <w:rPr>
                <w:rFonts w:ascii="Garamond" w:eastAsia="Garamond" w:hAnsi="Garamond" w:cs="Garamond"/>
                <w:color w:val="000000"/>
              </w:rPr>
              <w:t>Independent Variable</w:t>
            </w:r>
          </w:p>
        </w:tc>
        <w:tc>
          <w:tcPr>
            <w:tcW w:w="1635" w:type="dxa"/>
            <w:tcBorders>
              <w:top w:val="single" w:sz="4" w:space="0" w:color="7F7F7F"/>
              <w:left w:val="nil"/>
              <w:right w:val="nil"/>
            </w:tcBorders>
            <w:tcMar>
              <w:top w:w="0" w:type="dxa"/>
              <w:left w:w="108" w:type="dxa"/>
              <w:bottom w:w="0" w:type="dxa"/>
              <w:right w:w="108" w:type="dxa"/>
            </w:tcMar>
          </w:tcPr>
          <w:p w14:paraId="474D30ED" w14:textId="77777777" w:rsidR="00435F32" w:rsidRDefault="00000000">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color w:val="000000"/>
              </w:rPr>
            </w:pPr>
            <w:r>
              <w:rPr>
                <w:rFonts w:ascii="Garamond" w:eastAsia="Garamond" w:hAnsi="Garamond" w:cs="Garamond"/>
                <w:color w:val="000000"/>
              </w:rPr>
              <w:t>Dependent Variable</w:t>
            </w:r>
          </w:p>
        </w:tc>
        <w:tc>
          <w:tcPr>
            <w:tcW w:w="1020" w:type="dxa"/>
            <w:tcBorders>
              <w:top w:val="single" w:sz="4" w:space="0" w:color="7F7F7F"/>
              <w:left w:val="nil"/>
              <w:right w:val="nil"/>
            </w:tcBorders>
            <w:tcMar>
              <w:top w:w="0" w:type="dxa"/>
              <w:left w:w="108" w:type="dxa"/>
              <w:bottom w:w="0" w:type="dxa"/>
              <w:right w:w="108" w:type="dxa"/>
            </w:tcMar>
          </w:tcPr>
          <w:p w14:paraId="775AC95D" w14:textId="27A7F888" w:rsidR="00435F32" w:rsidRPr="00AC30CA"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R</w:t>
            </w:r>
            <w:r w:rsidR="00AC30CA">
              <w:rPr>
                <w:rFonts w:eastAsia="Times New Roman"/>
                <w:color w:val="000000"/>
                <w:vertAlign w:val="superscript"/>
              </w:rPr>
              <w:t>2</w:t>
            </w:r>
            <w:r w:rsidR="00AC30CA">
              <w:rPr>
                <w:rFonts w:eastAsia="Times New Roman"/>
                <w:color w:val="000000"/>
              </w:rPr>
              <w:t>-value</w:t>
            </w:r>
          </w:p>
        </w:tc>
        <w:tc>
          <w:tcPr>
            <w:tcW w:w="1050" w:type="dxa"/>
            <w:tcBorders>
              <w:top w:val="single" w:sz="4" w:space="0" w:color="7F7F7F"/>
              <w:left w:val="nil"/>
              <w:right w:val="nil"/>
            </w:tcBorders>
            <w:tcMar>
              <w:top w:w="0" w:type="dxa"/>
              <w:left w:w="108" w:type="dxa"/>
              <w:bottom w:w="0" w:type="dxa"/>
              <w:right w:w="108" w:type="dxa"/>
            </w:tcMar>
          </w:tcPr>
          <w:p w14:paraId="70EBE9BF" w14:textId="77777777" w:rsidR="00435F32"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F-Value</w:t>
            </w:r>
          </w:p>
        </w:tc>
        <w:tc>
          <w:tcPr>
            <w:tcW w:w="945" w:type="dxa"/>
            <w:tcBorders>
              <w:top w:val="single" w:sz="4" w:space="0" w:color="7F7F7F"/>
              <w:left w:val="nil"/>
              <w:right w:val="nil"/>
            </w:tcBorders>
            <w:tcMar>
              <w:top w:w="0" w:type="dxa"/>
              <w:left w:w="108" w:type="dxa"/>
              <w:bottom w:w="0" w:type="dxa"/>
              <w:right w:w="108" w:type="dxa"/>
            </w:tcMar>
          </w:tcPr>
          <w:p w14:paraId="2573330F" w14:textId="77777777" w:rsidR="00435F32"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p-value</w:t>
            </w:r>
          </w:p>
        </w:tc>
        <w:tc>
          <w:tcPr>
            <w:tcW w:w="1500" w:type="dxa"/>
            <w:tcBorders>
              <w:top w:val="single" w:sz="4" w:space="0" w:color="7F7F7F"/>
              <w:left w:val="nil"/>
              <w:right w:val="nil"/>
            </w:tcBorders>
            <w:tcMar>
              <w:top w:w="0" w:type="dxa"/>
              <w:left w:w="108" w:type="dxa"/>
              <w:bottom w:w="0" w:type="dxa"/>
              <w:right w:w="108" w:type="dxa"/>
            </w:tcMar>
          </w:tcPr>
          <w:p w14:paraId="4F7A84DD" w14:textId="77777777" w:rsidR="00435F32"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highlight w:val="white"/>
              </w:rPr>
              <w:t>Decision on Ho</w:t>
            </w:r>
          </w:p>
        </w:tc>
        <w:tc>
          <w:tcPr>
            <w:tcW w:w="1560" w:type="dxa"/>
            <w:tcBorders>
              <w:top w:val="single" w:sz="4" w:space="0" w:color="7F7F7F"/>
              <w:left w:val="nil"/>
              <w:right w:val="nil"/>
            </w:tcBorders>
            <w:tcMar>
              <w:top w:w="0" w:type="dxa"/>
              <w:left w:w="108" w:type="dxa"/>
              <w:bottom w:w="0" w:type="dxa"/>
              <w:right w:w="108" w:type="dxa"/>
            </w:tcMar>
          </w:tcPr>
          <w:p w14:paraId="2A47F7E4" w14:textId="77777777" w:rsidR="00435F32"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highlight w:val="white"/>
              </w:rPr>
            </w:pPr>
            <w:r>
              <w:rPr>
                <w:rFonts w:eastAsia="Times New Roman"/>
                <w:color w:val="000000"/>
                <w:highlight w:val="white"/>
              </w:rPr>
              <w:t>Interpretation</w:t>
            </w:r>
          </w:p>
        </w:tc>
      </w:tr>
      <w:tr w:rsidR="00435F32" w14:paraId="629C06F0" w14:textId="77777777" w:rsidTr="00435F32">
        <w:trPr>
          <w:trHeight w:val="275"/>
        </w:trPr>
        <w:tc>
          <w:tcPr>
            <w:cnfStyle w:val="001000000000" w:firstRow="0" w:lastRow="0" w:firstColumn="1" w:lastColumn="0" w:oddVBand="0" w:evenVBand="0" w:oddHBand="0" w:evenHBand="0" w:firstRowFirstColumn="0" w:firstRowLastColumn="0" w:lastRowFirstColumn="0" w:lastRowLastColumn="0"/>
            <w:tcW w:w="1335" w:type="dxa"/>
            <w:vMerge w:val="restart"/>
            <w:tcBorders>
              <w:top w:val="single" w:sz="4" w:space="0" w:color="7F7F7F"/>
              <w:left w:val="nil"/>
              <w:bottom w:val="single" w:sz="4" w:space="0" w:color="7F7F7F"/>
              <w:right w:val="nil"/>
            </w:tcBorders>
            <w:tcMar>
              <w:top w:w="0" w:type="dxa"/>
              <w:left w:w="108" w:type="dxa"/>
              <w:bottom w:w="0" w:type="dxa"/>
              <w:right w:w="108" w:type="dxa"/>
            </w:tcMar>
          </w:tcPr>
          <w:p w14:paraId="0EAF82D6" w14:textId="77777777" w:rsidR="00435F32" w:rsidRDefault="00000000">
            <w:pPr>
              <w:rPr>
                <w:rFonts w:ascii="Garamond" w:eastAsia="Garamond" w:hAnsi="Garamond" w:cs="Garamond"/>
                <w:color w:val="000000"/>
              </w:rPr>
            </w:pPr>
            <w:r>
              <w:rPr>
                <w:rFonts w:ascii="Garamond" w:eastAsia="Garamond" w:hAnsi="Garamond" w:cs="Garamond"/>
                <w:color w:val="000000"/>
              </w:rPr>
              <w:t>Usage of AI-based ChatGPT</w:t>
            </w:r>
          </w:p>
        </w:tc>
        <w:tc>
          <w:tcPr>
            <w:tcW w:w="1635" w:type="dxa"/>
            <w:tcBorders>
              <w:top w:val="single" w:sz="4" w:space="0" w:color="7F7F7F"/>
              <w:left w:val="nil"/>
              <w:bottom w:val="single" w:sz="4" w:space="0" w:color="7F7F7F"/>
              <w:right w:val="nil"/>
            </w:tcBorders>
            <w:tcMar>
              <w:top w:w="0" w:type="dxa"/>
              <w:left w:w="108" w:type="dxa"/>
              <w:bottom w:w="0" w:type="dxa"/>
              <w:right w:w="108" w:type="dxa"/>
            </w:tcMar>
          </w:tcPr>
          <w:p w14:paraId="7E3B080E" w14:textId="77777777" w:rsidR="00435F32" w:rsidRDefault="00000000">
            <w:pP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rPr>
            </w:pPr>
            <w:r>
              <w:rPr>
                <w:rFonts w:ascii="Garamond" w:eastAsia="Garamond" w:hAnsi="Garamond" w:cs="Garamond"/>
                <w:b/>
                <w:color w:val="000000"/>
              </w:rPr>
              <w:t>Self-efficacy</w:t>
            </w:r>
          </w:p>
        </w:tc>
        <w:tc>
          <w:tcPr>
            <w:tcW w:w="1020" w:type="dxa"/>
            <w:tcBorders>
              <w:top w:val="single" w:sz="4" w:space="0" w:color="7F7F7F"/>
              <w:left w:val="nil"/>
              <w:bottom w:val="single" w:sz="4" w:space="0" w:color="7F7F7F"/>
              <w:right w:val="nil"/>
            </w:tcBorders>
            <w:tcMar>
              <w:top w:w="0" w:type="dxa"/>
              <w:left w:w="108" w:type="dxa"/>
              <w:bottom w:w="0" w:type="dxa"/>
              <w:right w:w="108" w:type="dxa"/>
            </w:tcMar>
          </w:tcPr>
          <w:p w14:paraId="39B109C1"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29.4%</w:t>
            </w:r>
          </w:p>
        </w:tc>
        <w:tc>
          <w:tcPr>
            <w:tcW w:w="1050" w:type="dxa"/>
            <w:tcBorders>
              <w:top w:val="single" w:sz="4" w:space="0" w:color="7F7F7F"/>
              <w:left w:val="nil"/>
              <w:bottom w:val="single" w:sz="4" w:space="0" w:color="7F7F7F"/>
              <w:right w:val="nil"/>
            </w:tcBorders>
            <w:tcMar>
              <w:top w:w="0" w:type="dxa"/>
              <w:left w:w="108" w:type="dxa"/>
              <w:bottom w:w="0" w:type="dxa"/>
              <w:right w:w="108" w:type="dxa"/>
            </w:tcMar>
          </w:tcPr>
          <w:p w14:paraId="57D016F1"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32.047</w:t>
            </w:r>
          </w:p>
        </w:tc>
        <w:tc>
          <w:tcPr>
            <w:tcW w:w="945" w:type="dxa"/>
            <w:tcBorders>
              <w:top w:val="single" w:sz="4" w:space="0" w:color="7F7F7F"/>
              <w:left w:val="nil"/>
              <w:bottom w:val="single" w:sz="4" w:space="0" w:color="7F7F7F"/>
              <w:right w:val="nil"/>
            </w:tcBorders>
            <w:tcMar>
              <w:top w:w="0" w:type="dxa"/>
              <w:left w:w="108" w:type="dxa"/>
              <w:bottom w:w="0" w:type="dxa"/>
              <w:right w:w="108" w:type="dxa"/>
            </w:tcMar>
          </w:tcPr>
          <w:p w14:paraId="650CEF9E"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0.000</w:t>
            </w:r>
          </w:p>
        </w:tc>
        <w:tc>
          <w:tcPr>
            <w:tcW w:w="1500" w:type="dxa"/>
            <w:tcBorders>
              <w:top w:val="single" w:sz="4" w:space="0" w:color="7F7F7F"/>
              <w:left w:val="nil"/>
              <w:bottom w:val="single" w:sz="4" w:space="0" w:color="7F7F7F"/>
              <w:right w:val="nil"/>
            </w:tcBorders>
            <w:tcMar>
              <w:top w:w="0" w:type="dxa"/>
              <w:left w:w="108" w:type="dxa"/>
              <w:bottom w:w="0" w:type="dxa"/>
              <w:right w:w="108" w:type="dxa"/>
            </w:tcMar>
          </w:tcPr>
          <w:p w14:paraId="3C5178F5"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Rejected</w:t>
            </w:r>
          </w:p>
        </w:tc>
        <w:tc>
          <w:tcPr>
            <w:tcW w:w="1560" w:type="dxa"/>
            <w:tcBorders>
              <w:top w:val="single" w:sz="4" w:space="0" w:color="7F7F7F"/>
              <w:left w:val="nil"/>
              <w:bottom w:val="single" w:sz="4" w:space="0" w:color="7F7F7F"/>
              <w:right w:val="nil"/>
            </w:tcBorders>
            <w:tcMar>
              <w:top w:w="0" w:type="dxa"/>
              <w:left w:w="108" w:type="dxa"/>
              <w:bottom w:w="0" w:type="dxa"/>
              <w:right w:w="108" w:type="dxa"/>
            </w:tcMar>
          </w:tcPr>
          <w:p w14:paraId="1C9A32D0"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white"/>
              </w:rPr>
            </w:pPr>
            <w:r>
              <w:rPr>
                <w:rFonts w:eastAsia="Times New Roman"/>
                <w:color w:val="000000"/>
                <w:highlight w:val="white"/>
              </w:rPr>
              <w:t>Significant</w:t>
            </w:r>
          </w:p>
        </w:tc>
      </w:tr>
      <w:tr w:rsidR="00435F32" w14:paraId="4A1DD860" w14:textId="77777777" w:rsidTr="00435F32">
        <w:trPr>
          <w:trHeight w:val="407"/>
        </w:trPr>
        <w:tc>
          <w:tcPr>
            <w:cnfStyle w:val="001000000000" w:firstRow="0" w:lastRow="0" w:firstColumn="1" w:lastColumn="0" w:oddVBand="0" w:evenVBand="0" w:oddHBand="0" w:evenHBand="0" w:firstRowFirstColumn="0" w:firstRowLastColumn="0" w:lastRowFirstColumn="0" w:lastRowLastColumn="0"/>
            <w:tcW w:w="1335" w:type="dxa"/>
            <w:vMerge/>
            <w:tcBorders>
              <w:top w:val="single" w:sz="4" w:space="0" w:color="7F7F7F"/>
              <w:left w:val="nil"/>
              <w:bottom w:val="single" w:sz="4" w:space="0" w:color="7F7F7F"/>
              <w:right w:val="nil"/>
            </w:tcBorders>
            <w:tcMar>
              <w:top w:w="0" w:type="dxa"/>
              <w:left w:w="108" w:type="dxa"/>
              <w:bottom w:w="0" w:type="dxa"/>
              <w:right w:w="108" w:type="dxa"/>
            </w:tcMar>
          </w:tcPr>
          <w:p w14:paraId="16C319EE" w14:textId="77777777" w:rsidR="00435F32" w:rsidRDefault="00435F32">
            <w:pPr>
              <w:spacing w:line="276" w:lineRule="auto"/>
              <w:rPr>
                <w:rFonts w:eastAsia="Times New Roman"/>
                <w:color w:val="000000"/>
                <w:highlight w:val="white"/>
              </w:rPr>
            </w:pPr>
          </w:p>
        </w:tc>
        <w:tc>
          <w:tcPr>
            <w:tcW w:w="1635" w:type="dxa"/>
            <w:tcBorders>
              <w:top w:val="single" w:sz="4" w:space="0" w:color="7F7F7F"/>
              <w:left w:val="nil"/>
              <w:bottom w:val="single" w:sz="4" w:space="0" w:color="7F7F7F"/>
              <w:right w:val="nil"/>
            </w:tcBorders>
            <w:tcMar>
              <w:top w:w="0" w:type="dxa"/>
              <w:left w:w="108" w:type="dxa"/>
              <w:bottom w:w="0" w:type="dxa"/>
              <w:right w:w="108" w:type="dxa"/>
            </w:tcMar>
          </w:tcPr>
          <w:p w14:paraId="55C672C9" w14:textId="77777777" w:rsidR="00435F32" w:rsidRDefault="00000000">
            <w:pP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rPr>
            </w:pPr>
            <w:r>
              <w:rPr>
                <w:rFonts w:ascii="Garamond" w:eastAsia="Garamond" w:hAnsi="Garamond" w:cs="Garamond"/>
                <w:b/>
                <w:color w:val="000000"/>
              </w:rPr>
              <w:t xml:space="preserve"> Students’ Engagement</w:t>
            </w:r>
          </w:p>
        </w:tc>
        <w:tc>
          <w:tcPr>
            <w:tcW w:w="1020" w:type="dxa"/>
            <w:tcBorders>
              <w:top w:val="single" w:sz="4" w:space="0" w:color="7F7F7F"/>
              <w:left w:val="nil"/>
              <w:bottom w:val="single" w:sz="4" w:space="0" w:color="7F7F7F"/>
              <w:right w:val="nil"/>
            </w:tcBorders>
            <w:tcMar>
              <w:top w:w="0" w:type="dxa"/>
              <w:left w:w="108" w:type="dxa"/>
              <w:bottom w:w="0" w:type="dxa"/>
              <w:right w:w="108" w:type="dxa"/>
            </w:tcMar>
          </w:tcPr>
          <w:p w14:paraId="392E731E"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11%</w:t>
            </w:r>
          </w:p>
        </w:tc>
        <w:tc>
          <w:tcPr>
            <w:tcW w:w="1050" w:type="dxa"/>
            <w:tcBorders>
              <w:top w:val="single" w:sz="4" w:space="0" w:color="7F7F7F"/>
              <w:left w:val="nil"/>
              <w:bottom w:val="single" w:sz="4" w:space="0" w:color="7F7F7F"/>
              <w:right w:val="nil"/>
            </w:tcBorders>
            <w:tcMar>
              <w:top w:w="0" w:type="dxa"/>
              <w:left w:w="108" w:type="dxa"/>
              <w:bottom w:w="0" w:type="dxa"/>
              <w:right w:w="108" w:type="dxa"/>
            </w:tcMar>
          </w:tcPr>
          <w:p w14:paraId="46032788"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9.522</w:t>
            </w:r>
          </w:p>
        </w:tc>
        <w:tc>
          <w:tcPr>
            <w:tcW w:w="945" w:type="dxa"/>
            <w:tcBorders>
              <w:top w:val="single" w:sz="4" w:space="0" w:color="7F7F7F"/>
              <w:left w:val="nil"/>
              <w:bottom w:val="single" w:sz="4" w:space="0" w:color="7F7F7F"/>
              <w:right w:val="nil"/>
            </w:tcBorders>
            <w:tcMar>
              <w:top w:w="0" w:type="dxa"/>
              <w:left w:w="108" w:type="dxa"/>
              <w:bottom w:w="0" w:type="dxa"/>
              <w:right w:w="108" w:type="dxa"/>
            </w:tcMar>
          </w:tcPr>
          <w:p w14:paraId="021059E3"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0.003</w:t>
            </w:r>
          </w:p>
        </w:tc>
        <w:tc>
          <w:tcPr>
            <w:tcW w:w="1500" w:type="dxa"/>
            <w:tcBorders>
              <w:top w:val="single" w:sz="4" w:space="0" w:color="7F7F7F"/>
              <w:left w:val="nil"/>
              <w:bottom w:val="single" w:sz="4" w:space="0" w:color="7F7F7F"/>
              <w:right w:val="nil"/>
            </w:tcBorders>
            <w:tcMar>
              <w:top w:w="0" w:type="dxa"/>
              <w:left w:w="108" w:type="dxa"/>
              <w:bottom w:w="0" w:type="dxa"/>
              <w:right w:w="108" w:type="dxa"/>
            </w:tcMar>
          </w:tcPr>
          <w:p w14:paraId="485505E6"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Rejected</w:t>
            </w:r>
          </w:p>
        </w:tc>
        <w:tc>
          <w:tcPr>
            <w:tcW w:w="1560" w:type="dxa"/>
            <w:tcBorders>
              <w:top w:val="single" w:sz="4" w:space="0" w:color="7F7F7F"/>
              <w:left w:val="nil"/>
              <w:bottom w:val="single" w:sz="4" w:space="0" w:color="7F7F7F"/>
              <w:right w:val="nil"/>
            </w:tcBorders>
            <w:tcMar>
              <w:top w:w="0" w:type="dxa"/>
              <w:left w:w="108" w:type="dxa"/>
              <w:bottom w:w="0" w:type="dxa"/>
              <w:right w:w="108" w:type="dxa"/>
            </w:tcMar>
          </w:tcPr>
          <w:p w14:paraId="00D01763"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white"/>
              </w:rPr>
            </w:pPr>
            <w:r>
              <w:rPr>
                <w:rFonts w:eastAsia="Times New Roman"/>
                <w:color w:val="000000"/>
                <w:highlight w:val="white"/>
              </w:rPr>
              <w:t>Significant</w:t>
            </w:r>
          </w:p>
        </w:tc>
      </w:tr>
      <w:tr w:rsidR="00435F32" w14:paraId="1045DD1D" w14:textId="77777777" w:rsidTr="00435F32">
        <w:trPr>
          <w:trHeight w:val="286"/>
        </w:trPr>
        <w:tc>
          <w:tcPr>
            <w:cnfStyle w:val="001000000000" w:firstRow="0" w:lastRow="0" w:firstColumn="1" w:lastColumn="0" w:oddVBand="0" w:evenVBand="0" w:oddHBand="0" w:evenHBand="0" w:firstRowFirstColumn="0" w:firstRowLastColumn="0" w:lastRowFirstColumn="0" w:lastRowLastColumn="0"/>
            <w:tcW w:w="2970" w:type="dxa"/>
            <w:gridSpan w:val="2"/>
            <w:tcBorders>
              <w:top w:val="single" w:sz="4" w:space="0" w:color="7F7F7F"/>
              <w:left w:val="nil"/>
              <w:bottom w:val="single" w:sz="4" w:space="0" w:color="7F7F7F"/>
              <w:right w:val="nil"/>
            </w:tcBorders>
            <w:tcMar>
              <w:top w:w="0" w:type="dxa"/>
              <w:left w:w="108" w:type="dxa"/>
              <w:bottom w:w="0" w:type="dxa"/>
              <w:right w:w="108" w:type="dxa"/>
            </w:tcMar>
          </w:tcPr>
          <w:p w14:paraId="7602C98B" w14:textId="77777777" w:rsidR="00435F32" w:rsidRDefault="00000000">
            <w:pPr>
              <w:jc w:val="center"/>
              <w:rPr>
                <w:rFonts w:ascii="Garamond" w:eastAsia="Garamond" w:hAnsi="Garamond" w:cs="Garamond"/>
                <w:color w:val="000000"/>
                <w:sz w:val="22"/>
                <w:szCs w:val="22"/>
              </w:rPr>
            </w:pPr>
            <w:r>
              <w:rPr>
                <w:rFonts w:ascii="Garamond" w:eastAsia="Garamond" w:hAnsi="Garamond" w:cs="Garamond"/>
                <w:color w:val="000000"/>
                <w:sz w:val="22"/>
                <w:szCs w:val="22"/>
              </w:rPr>
              <w:t>Combined Influence</w:t>
            </w:r>
          </w:p>
        </w:tc>
        <w:tc>
          <w:tcPr>
            <w:tcW w:w="1020" w:type="dxa"/>
            <w:tcBorders>
              <w:top w:val="single" w:sz="4" w:space="0" w:color="7F7F7F"/>
              <w:left w:val="nil"/>
              <w:bottom w:val="single" w:sz="4" w:space="0" w:color="7F7F7F"/>
              <w:right w:val="nil"/>
            </w:tcBorders>
            <w:tcMar>
              <w:top w:w="0" w:type="dxa"/>
              <w:left w:w="108" w:type="dxa"/>
              <w:bottom w:w="0" w:type="dxa"/>
              <w:right w:w="108" w:type="dxa"/>
            </w:tcMar>
          </w:tcPr>
          <w:p w14:paraId="63FAC9A9"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20.20%</w:t>
            </w:r>
          </w:p>
        </w:tc>
        <w:tc>
          <w:tcPr>
            <w:tcW w:w="1050" w:type="dxa"/>
            <w:tcBorders>
              <w:top w:val="single" w:sz="4" w:space="0" w:color="7F7F7F"/>
              <w:left w:val="nil"/>
              <w:bottom w:val="single" w:sz="4" w:space="0" w:color="7F7F7F"/>
              <w:right w:val="nil"/>
            </w:tcBorders>
            <w:tcMar>
              <w:top w:w="0" w:type="dxa"/>
              <w:left w:w="108" w:type="dxa"/>
              <w:bottom w:w="0" w:type="dxa"/>
              <w:right w:w="108" w:type="dxa"/>
            </w:tcMar>
          </w:tcPr>
          <w:p w14:paraId="27175574"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20.785</w:t>
            </w:r>
          </w:p>
        </w:tc>
        <w:tc>
          <w:tcPr>
            <w:tcW w:w="945" w:type="dxa"/>
            <w:tcBorders>
              <w:top w:val="single" w:sz="4" w:space="0" w:color="7F7F7F"/>
              <w:left w:val="nil"/>
              <w:bottom w:val="single" w:sz="4" w:space="0" w:color="7F7F7F"/>
              <w:right w:val="nil"/>
            </w:tcBorders>
            <w:tcMar>
              <w:top w:w="0" w:type="dxa"/>
              <w:left w:w="108" w:type="dxa"/>
              <w:bottom w:w="0" w:type="dxa"/>
              <w:right w:w="108" w:type="dxa"/>
            </w:tcMar>
          </w:tcPr>
          <w:p w14:paraId="4535FCB0"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0.0015</w:t>
            </w:r>
          </w:p>
        </w:tc>
        <w:tc>
          <w:tcPr>
            <w:tcW w:w="1500" w:type="dxa"/>
            <w:tcBorders>
              <w:top w:val="single" w:sz="4" w:space="0" w:color="7F7F7F"/>
              <w:left w:val="nil"/>
              <w:bottom w:val="single" w:sz="4" w:space="0" w:color="7F7F7F"/>
              <w:right w:val="nil"/>
            </w:tcBorders>
            <w:tcMar>
              <w:top w:w="0" w:type="dxa"/>
              <w:left w:w="108" w:type="dxa"/>
              <w:bottom w:w="0" w:type="dxa"/>
              <w:right w:w="108" w:type="dxa"/>
            </w:tcMar>
          </w:tcPr>
          <w:p w14:paraId="432BB298"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Rejected</w:t>
            </w:r>
          </w:p>
        </w:tc>
        <w:tc>
          <w:tcPr>
            <w:tcW w:w="1560" w:type="dxa"/>
            <w:tcBorders>
              <w:top w:val="single" w:sz="4" w:space="0" w:color="7F7F7F"/>
              <w:left w:val="nil"/>
              <w:bottom w:val="single" w:sz="4" w:space="0" w:color="7F7F7F"/>
              <w:right w:val="nil"/>
            </w:tcBorders>
            <w:tcMar>
              <w:top w:w="0" w:type="dxa"/>
              <w:left w:w="108" w:type="dxa"/>
              <w:bottom w:w="0" w:type="dxa"/>
              <w:right w:w="108" w:type="dxa"/>
            </w:tcMar>
          </w:tcPr>
          <w:p w14:paraId="7E6F5612" w14:textId="77777777" w:rsidR="00435F32" w:rsidRDefault="00000000">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highlight w:val="white"/>
              </w:rPr>
            </w:pPr>
            <w:r>
              <w:rPr>
                <w:rFonts w:ascii="Garamond" w:eastAsia="Garamond" w:hAnsi="Garamond" w:cs="Garamond"/>
                <w:b/>
                <w:color w:val="000000"/>
                <w:sz w:val="22"/>
                <w:szCs w:val="22"/>
                <w:highlight w:val="white"/>
              </w:rPr>
              <w:t>Significant</w:t>
            </w:r>
          </w:p>
        </w:tc>
      </w:tr>
    </w:tbl>
    <w:p w14:paraId="63405CA7" w14:textId="2591D82F" w:rsidR="00435F32" w:rsidRDefault="007304B4">
      <w:pPr>
        <w:widowControl/>
        <w:spacing w:after="160" w:line="259" w:lineRule="auto"/>
        <w:ind w:firstLine="720"/>
        <w:jc w:val="both"/>
        <w:rPr>
          <w:rFonts w:ascii="Garamond" w:eastAsia="Garamond" w:hAnsi="Garamond" w:cs="Garamond"/>
          <w:sz w:val="22"/>
          <w:szCs w:val="22"/>
        </w:rPr>
      </w:pPr>
      <w:r w:rsidRPr="007304B4">
        <w:rPr>
          <w:rFonts w:ascii="Garamond" w:eastAsia="Garamond" w:hAnsi="Garamond" w:cs="Garamond"/>
          <w:sz w:val="22"/>
          <w:szCs w:val="22"/>
        </w:rPr>
        <w:lastRenderedPageBreak/>
        <w:t>Table 3 presents the results of statistical tests examining the significant influence of using AI-based ChatGPT on two dependent variables: students' self-efficacy and students' engagement. The table includes the coefficient of determination (R²), F-values, and p-values for each test. The indicator showing the most significant influence is the usage of AI-based ChatGPT on students' self-efficacy, with an R² value of 29.4% and an F-value of 32.047, supported by a p-value of 0.000. This indicates that nearly 30% of the variation in students' self-efficacy can be attributed to the use of ChatGPT, making it the strongest influencer among the variables tested. On the other hand, the usage of ChatGPT on students' engagement has a lower R² value of 11%, an F-value of 9.522, and a p-value of 0.003, which is still statistically significant but reflects a weaker influence compared to self-efficacy. The combined influence of AI-based ChatGPT on both dependent variables (self-efficacy and engagement) shows an R² value of 20.20%, indicating a significant overall impact with an F-value of 20.785 and a p-value of 0.0015. While this confirms the relevance of ChatGPT in shaping students' experiences, it also suggests that approximately 79.80% of the variation in students' self-efficacy and engagement is influenced by other factors not covered in this study. Future research could explore these additional variables to gain a more comprehensive understanding of what drives student outcomes</w:t>
      </w:r>
      <w:r>
        <w:rPr>
          <w:rFonts w:ascii="Garamond" w:eastAsia="Garamond" w:hAnsi="Garamond" w:cs="Garamond"/>
          <w:sz w:val="22"/>
          <w:szCs w:val="22"/>
        </w:rPr>
        <w:t>.</w:t>
      </w:r>
    </w:p>
    <w:p w14:paraId="372F5892" w14:textId="77777777" w:rsidR="00435F32" w:rsidRDefault="00000000">
      <w:pPr>
        <w:widowControl/>
        <w:spacing w:after="160" w:line="259" w:lineRule="auto"/>
        <w:rPr>
          <w:rFonts w:ascii="Garamond" w:eastAsia="Garamond" w:hAnsi="Garamond" w:cs="Garamond"/>
          <w:b/>
          <w:color w:val="EE0000"/>
          <w:sz w:val="22"/>
          <w:szCs w:val="22"/>
        </w:rPr>
      </w:pPr>
      <w:r>
        <w:rPr>
          <w:rFonts w:ascii="Garamond" w:eastAsia="Garamond" w:hAnsi="Garamond" w:cs="Garamond"/>
          <w:b/>
          <w:sz w:val="22"/>
          <w:szCs w:val="22"/>
        </w:rPr>
        <w:t>Discussion</w:t>
      </w:r>
    </w:p>
    <w:p w14:paraId="761D510C" w14:textId="1DF55921" w:rsidR="007B071B" w:rsidRPr="007B071B" w:rsidRDefault="007B071B"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Pr="007B071B">
        <w:rPr>
          <w:rFonts w:ascii="Garamond" w:eastAsia="Garamond" w:hAnsi="Garamond" w:cs="Garamond"/>
          <w:sz w:val="22"/>
          <w:szCs w:val="22"/>
        </w:rPr>
        <w:t>In terms of usage levels, Table 1 reveals that students reported high engagement with ChatGPT, particularly in the sections on Preferences and Suggestions and Challenges and Reservations, indicating frequent interaction and awareness of AI features in learning. Self-efficacy indicators such as Vicarious Experiences and Social Persuasion were also rated high, underscoring the significance of observational learning and encouragement, consistent with Usher and Pajares (2009). Similarly, high levels of cognitive, social, and emotional engagement were observed, supporting the framework of Fredricks et al. (2004).</w:t>
      </w:r>
    </w:p>
    <w:p w14:paraId="5DBB26C1" w14:textId="50F98392" w:rsidR="007B071B" w:rsidRPr="007B071B" w:rsidRDefault="007B071B"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Pr="007B071B">
        <w:rPr>
          <w:rFonts w:ascii="Garamond" w:eastAsia="Garamond" w:hAnsi="Garamond" w:cs="Garamond"/>
          <w:sz w:val="22"/>
          <w:szCs w:val="22"/>
        </w:rPr>
        <w:t xml:space="preserve">Regarding the relationships between variables, Table 2 demonstrates significant positive correlations between ChatGPT usage and student outcomes. A moderate correlation with self-efficacy (r = 0.542) suggests that AI tools may enhance students' confidence through feedback and </w:t>
      </w:r>
      <w:proofErr w:type="spellStart"/>
      <w:r w:rsidRPr="007B071B">
        <w:rPr>
          <w:rFonts w:ascii="Garamond" w:eastAsia="Garamond" w:hAnsi="Garamond" w:cs="Garamond"/>
          <w:sz w:val="22"/>
          <w:szCs w:val="22"/>
        </w:rPr>
        <w:t>modeled</w:t>
      </w:r>
      <w:proofErr w:type="spellEnd"/>
      <w:r w:rsidRPr="007B071B">
        <w:rPr>
          <w:rFonts w:ascii="Garamond" w:eastAsia="Garamond" w:hAnsi="Garamond" w:cs="Garamond"/>
          <w:sz w:val="22"/>
          <w:szCs w:val="22"/>
        </w:rPr>
        <w:t xml:space="preserve"> success, aligning with the findings of Schunk and DiBenedetto (2021). Meanwhile, the lower but still significant correlation with engagement (r = 0.332) suggests that AI has the potential to support active learning. However, this may be influenced by other motivational drivers, as proposed by Yilmaz and Yilmaz (2023).</w:t>
      </w:r>
    </w:p>
    <w:p w14:paraId="65AB38AB" w14:textId="03D57D68" w:rsidR="007B071B" w:rsidRDefault="007B071B"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t>Furthermore,</w:t>
      </w:r>
      <w:r w:rsidRPr="007B071B">
        <w:rPr>
          <w:rFonts w:ascii="Garamond" w:eastAsia="Garamond" w:hAnsi="Garamond" w:cs="Garamond"/>
          <w:sz w:val="22"/>
          <w:szCs w:val="22"/>
        </w:rPr>
        <w:t xml:space="preserve"> the influence of ChatGPT, Table 3 confirms its significant impact on both self-efficacy (R² = 0.294) and engagement (R² = 0.110), with a more substantial influence on self-efficacy. </w:t>
      </w:r>
      <w:proofErr w:type="gramStart"/>
      <w:r w:rsidRPr="007B071B">
        <w:rPr>
          <w:rFonts w:ascii="Garamond" w:eastAsia="Garamond" w:hAnsi="Garamond" w:cs="Garamond"/>
          <w:sz w:val="22"/>
          <w:szCs w:val="22"/>
        </w:rPr>
        <w:t>This finding highlights</w:t>
      </w:r>
      <w:proofErr w:type="gramEnd"/>
      <w:r w:rsidRPr="007B071B">
        <w:rPr>
          <w:rFonts w:ascii="Garamond" w:eastAsia="Garamond" w:hAnsi="Garamond" w:cs="Garamond"/>
          <w:sz w:val="22"/>
          <w:szCs w:val="22"/>
        </w:rPr>
        <w:t xml:space="preserve"> AI's role in shaping students' belief systems more effectively than </w:t>
      </w:r>
      <w:proofErr w:type="spellStart"/>
      <w:r w:rsidRPr="007B071B">
        <w:rPr>
          <w:rFonts w:ascii="Garamond" w:eastAsia="Garamond" w:hAnsi="Garamond" w:cs="Garamond"/>
          <w:sz w:val="22"/>
          <w:szCs w:val="22"/>
        </w:rPr>
        <w:t>behavioral</w:t>
      </w:r>
      <w:proofErr w:type="spellEnd"/>
      <w:r w:rsidRPr="007B071B">
        <w:rPr>
          <w:rFonts w:ascii="Garamond" w:eastAsia="Garamond" w:hAnsi="Garamond" w:cs="Garamond"/>
          <w:sz w:val="22"/>
          <w:szCs w:val="22"/>
        </w:rPr>
        <w:t xml:space="preserve"> participation, consistent with the findings of Kasneci et al. (2023). Although the combined influence (R² = 0.202) confirms ChatGPT's educational relevance, the substantial unexplained variance highlights the need to investigate additional factors, such as pedagogy, peer dynamics, and classroom environment, as emphasized by Yilmaz and Yilmaz (2023).</w:t>
      </w:r>
    </w:p>
    <w:p w14:paraId="6221853D" w14:textId="4ABA3C61" w:rsidR="00435F32" w:rsidRDefault="00000000"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b/>
          <w:sz w:val="22"/>
          <w:szCs w:val="22"/>
        </w:rPr>
      </w:pPr>
      <w:r>
        <w:rPr>
          <w:rFonts w:ascii="Garamond" w:eastAsia="Garamond" w:hAnsi="Garamond" w:cs="Garamond"/>
          <w:b/>
          <w:sz w:val="22"/>
          <w:szCs w:val="22"/>
        </w:rPr>
        <w:t xml:space="preserve">Conclusion </w:t>
      </w:r>
    </w:p>
    <w:p w14:paraId="3B01554B" w14:textId="08EBECBA" w:rsidR="00435F32" w:rsidRDefault="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7B071B">
        <w:rPr>
          <w:rFonts w:ascii="Garamond" w:eastAsia="Garamond" w:hAnsi="Garamond" w:cs="Garamond"/>
          <w:sz w:val="22"/>
          <w:szCs w:val="22"/>
        </w:rPr>
        <w:t xml:space="preserve">Based on the findings, it can be concluded that the use of AI-based ChatGPT in mathematics learning has a significant positive relationship with and influence on students’ self-efficacy and engagement. Students reported high levels of awareness and </w:t>
      </w:r>
      <w:proofErr w:type="spellStart"/>
      <w:r w:rsidRPr="007B071B">
        <w:rPr>
          <w:rFonts w:ascii="Garamond" w:eastAsia="Garamond" w:hAnsi="Garamond" w:cs="Garamond"/>
          <w:sz w:val="22"/>
          <w:szCs w:val="22"/>
        </w:rPr>
        <w:t>favorable</w:t>
      </w:r>
      <w:proofErr w:type="spellEnd"/>
      <w:r w:rsidRPr="007B071B">
        <w:rPr>
          <w:rFonts w:ascii="Garamond" w:eastAsia="Garamond" w:hAnsi="Garamond" w:cs="Garamond"/>
          <w:sz w:val="22"/>
          <w:szCs w:val="22"/>
        </w:rPr>
        <w:t xml:space="preserve"> perceptions of ChatGPT, particularly in terms of preferences, suggestions, and effectiveness. They also exhibited strong cognitive and emotional engagement, as well as high self-efficacy, through vicarious experiences and social persuasion. Statistically, ChatGPT usage showed a moderate positive correlation with self-efficacy and a low but significant correlation with engagement. Furthermore, ChatGPT significantly influenced both outcomes, accounting for 29.4% of the variance in self-efficacy and 11% of the variance in engagement. These results affirm that ChatGPT is an effective supplementary tool in mathematics learning, </w:t>
      </w:r>
      <w:r w:rsidRPr="007B071B">
        <w:rPr>
          <w:rFonts w:ascii="Garamond" w:eastAsia="Garamond" w:hAnsi="Garamond" w:cs="Garamond"/>
          <w:sz w:val="22"/>
          <w:szCs w:val="22"/>
        </w:rPr>
        <w:lastRenderedPageBreak/>
        <w:t>enhancing students’ confidence and participation, thereby directly addressing the study’s objective of identifying its relationship with and influence on self-efficacy and engagement.</w:t>
      </w:r>
      <w:r>
        <w:rPr>
          <w:rFonts w:ascii="Garamond" w:eastAsia="Garamond" w:hAnsi="Garamond" w:cs="Garamond"/>
          <w:sz w:val="22"/>
          <w:szCs w:val="22"/>
        </w:rPr>
        <w:tab/>
      </w:r>
    </w:p>
    <w:p w14:paraId="3D31F9CF" w14:textId="77777777" w:rsidR="00435F32" w:rsidRDefault="00000000">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Recommendations</w:t>
      </w:r>
    </w:p>
    <w:p w14:paraId="7DD4B5D9" w14:textId="259354A0" w:rsidR="007B071B" w:rsidRDefault="007B071B"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color w:val="000000"/>
          <w:sz w:val="22"/>
          <w:szCs w:val="22"/>
        </w:rPr>
      </w:pPr>
      <w:r>
        <w:rPr>
          <w:rFonts w:ascii="Garamond" w:eastAsia="Garamond" w:hAnsi="Garamond" w:cs="Garamond"/>
          <w:color w:val="000000"/>
          <w:sz w:val="22"/>
          <w:szCs w:val="22"/>
        </w:rPr>
        <w:tab/>
      </w:r>
      <w:r w:rsidRPr="007B071B">
        <w:rPr>
          <w:rFonts w:ascii="Garamond" w:eastAsia="Garamond" w:hAnsi="Garamond" w:cs="Garamond"/>
          <w:color w:val="000000"/>
          <w:sz w:val="22"/>
          <w:szCs w:val="22"/>
        </w:rPr>
        <w:t>In light of the study's findings, it is recommended that educational institutions and educators actively integrate AI tools, such as ChatGPT, into the mathematics curriculum to support student learning. Teachers should be trained on how to effectively incorporate AI technologies in pedagogical strategies while balancing technological support with human interaction to preserve the emotional and social aspects of learning. Additionally, developers should consider enhancing AI tools with adaptive and personalized features to address diverse learning needs and preferences. Ultimately, further research is encouraged to investigate the long-term effects and expand the scope to other subject areas and educational levels.</w:t>
      </w:r>
    </w:p>
    <w:p w14:paraId="1F101AAF" w14:textId="77777777" w:rsidR="009E1C3C" w:rsidRDefault="009E1C3C"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color w:val="000000"/>
          <w:sz w:val="22"/>
          <w:szCs w:val="22"/>
        </w:rPr>
      </w:pPr>
    </w:p>
    <w:p w14:paraId="2101E02C" w14:textId="77777777" w:rsidR="009E1C3C" w:rsidRPr="009E1C3C" w:rsidRDefault="009E1C3C" w:rsidP="009E1C3C">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color w:val="000000"/>
          <w:sz w:val="22"/>
          <w:szCs w:val="22"/>
        </w:rPr>
      </w:pPr>
      <w:r w:rsidRPr="009E1C3C">
        <w:rPr>
          <w:rFonts w:ascii="Garamond" w:eastAsia="Garamond" w:hAnsi="Garamond" w:cs="Garamond"/>
          <w:color w:val="000000"/>
          <w:sz w:val="22"/>
          <w:szCs w:val="22"/>
        </w:rPr>
        <w:t>COMPETING INTERESTS DISCLAIMER:</w:t>
      </w:r>
    </w:p>
    <w:p w14:paraId="6F14466A" w14:textId="6001AB75" w:rsidR="009E1C3C" w:rsidRDefault="009E1C3C" w:rsidP="009E1C3C">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color w:val="000000"/>
          <w:sz w:val="22"/>
          <w:szCs w:val="22"/>
        </w:rPr>
      </w:pPr>
      <w:r w:rsidRPr="009E1C3C">
        <w:rPr>
          <w:rFonts w:ascii="Garamond" w:eastAsia="Garamond" w:hAnsi="Garamond" w:cs="Garamond"/>
          <w:color w:val="000000"/>
          <w:sz w:val="22"/>
          <w:szCs w:val="22"/>
        </w:rPr>
        <w:t>Authors have declared that they have no known competing financial interests OR non-financial interests OR personal relationships that could have appeared to influence the work reported in this paper.</w:t>
      </w:r>
    </w:p>
    <w:p w14:paraId="34F617A2" w14:textId="7ECF9D5B" w:rsidR="00435F32" w:rsidRDefault="00000000">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References</w:t>
      </w:r>
    </w:p>
    <w:p w14:paraId="5FF578B1"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Abu </w:t>
      </w:r>
      <w:proofErr w:type="spellStart"/>
      <w:r>
        <w:rPr>
          <w:rFonts w:ascii="Garamond" w:eastAsia="Garamond" w:hAnsi="Garamond" w:cs="Garamond"/>
          <w:color w:val="000000"/>
          <w:sz w:val="22"/>
          <w:szCs w:val="22"/>
        </w:rPr>
        <w:t>Khurma</w:t>
      </w:r>
      <w:proofErr w:type="spellEnd"/>
      <w:r>
        <w:rPr>
          <w:rFonts w:ascii="Garamond" w:eastAsia="Garamond" w:hAnsi="Garamond" w:cs="Garamond"/>
          <w:color w:val="000000"/>
          <w:sz w:val="22"/>
          <w:szCs w:val="22"/>
        </w:rPr>
        <w:t xml:space="preserve">, O., </w:t>
      </w:r>
      <w:proofErr w:type="spellStart"/>
      <w:r>
        <w:rPr>
          <w:rFonts w:ascii="Garamond" w:eastAsia="Garamond" w:hAnsi="Garamond" w:cs="Garamond"/>
          <w:color w:val="000000"/>
          <w:sz w:val="22"/>
          <w:szCs w:val="22"/>
        </w:rPr>
        <w:t>Albahti</w:t>
      </w:r>
      <w:proofErr w:type="spellEnd"/>
      <w:r>
        <w:rPr>
          <w:rFonts w:ascii="Garamond" w:eastAsia="Garamond" w:hAnsi="Garamond" w:cs="Garamond"/>
          <w:color w:val="000000"/>
          <w:sz w:val="22"/>
          <w:szCs w:val="22"/>
        </w:rPr>
        <w:t xml:space="preserve">, F., Ali, N., &amp; </w:t>
      </w:r>
      <w:proofErr w:type="spellStart"/>
      <w:r>
        <w:rPr>
          <w:rFonts w:ascii="Garamond" w:eastAsia="Garamond" w:hAnsi="Garamond" w:cs="Garamond"/>
          <w:color w:val="000000"/>
          <w:sz w:val="22"/>
          <w:szCs w:val="22"/>
        </w:rPr>
        <w:t>Bustanji</w:t>
      </w:r>
      <w:proofErr w:type="spellEnd"/>
      <w:r>
        <w:rPr>
          <w:rFonts w:ascii="Garamond" w:eastAsia="Garamond" w:hAnsi="Garamond" w:cs="Garamond"/>
          <w:color w:val="000000"/>
          <w:sz w:val="22"/>
          <w:szCs w:val="22"/>
        </w:rPr>
        <w:t xml:space="preserve">, A. (2024). AI ChatGPT and student engagement: </w:t>
      </w:r>
      <w:proofErr w:type="spellStart"/>
      <w:r>
        <w:rPr>
          <w:rFonts w:ascii="Garamond" w:eastAsia="Garamond" w:hAnsi="Garamond" w:cs="Garamond"/>
          <w:color w:val="000000"/>
          <w:sz w:val="22"/>
          <w:szCs w:val="22"/>
        </w:rPr>
        <w:t>Unraveling</w:t>
      </w:r>
      <w:proofErr w:type="spellEnd"/>
      <w:r>
        <w:rPr>
          <w:rFonts w:ascii="Garamond" w:eastAsia="Garamond" w:hAnsi="Garamond" w:cs="Garamond"/>
          <w:color w:val="000000"/>
          <w:sz w:val="22"/>
          <w:szCs w:val="22"/>
        </w:rPr>
        <w:t xml:space="preserve"> dimensions through PRISMA analysis for enhanced learning experiences. Contemporary Educational Technology, 16(2), ep503. </w:t>
      </w:r>
      <w:hyperlink r:id="rId9">
        <w:r w:rsidR="00435F32">
          <w:rPr>
            <w:rFonts w:ascii="Garamond" w:eastAsia="Garamond" w:hAnsi="Garamond" w:cs="Garamond"/>
            <w:color w:val="000000"/>
            <w:sz w:val="22"/>
            <w:szCs w:val="22"/>
          </w:rPr>
          <w:t>https://doi.org/10.30935/cedtech/14334</w:t>
        </w:r>
      </w:hyperlink>
    </w:p>
    <w:p w14:paraId="67240C25" w14:textId="77777777" w:rsidR="00435F32" w:rsidRDefault="00435F32">
      <w:pPr>
        <w:ind w:left="720" w:hanging="720"/>
        <w:jc w:val="both"/>
        <w:rPr>
          <w:rFonts w:ascii="Garamond" w:eastAsia="Garamond" w:hAnsi="Garamond" w:cs="Garamond"/>
          <w:b/>
          <w:color w:val="000000"/>
          <w:sz w:val="22"/>
          <w:szCs w:val="22"/>
        </w:rPr>
      </w:pPr>
    </w:p>
    <w:p w14:paraId="6CF2CC38"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Businessolution.org, 2023. AI in Education Statistics 2023 [Adoption, Benefits, Challenges] 2023 Kingdom%20use%20AI%20for%20their%20projects%20and%20homework Retrieved</w:t>
      </w:r>
      <w:r>
        <w:rPr>
          <w:rFonts w:ascii="Garamond" w:eastAsia="Garamond" w:hAnsi="Garamond" w:cs="Garamond"/>
          <w:sz w:val="22"/>
          <w:szCs w:val="22"/>
        </w:rPr>
        <w:t xml:space="preserve"> </w:t>
      </w:r>
      <w:r>
        <w:rPr>
          <w:rFonts w:ascii="Garamond" w:eastAsia="Garamond" w:hAnsi="Garamond" w:cs="Garamond"/>
          <w:color w:val="000000"/>
          <w:sz w:val="22"/>
          <w:szCs w:val="22"/>
        </w:rPr>
        <w:t>from. Google Scholar</w:t>
      </w:r>
    </w:p>
    <w:p w14:paraId="399165F2" w14:textId="77777777" w:rsidR="00435F32" w:rsidRDefault="00435F32">
      <w:pPr>
        <w:ind w:left="720" w:hanging="720"/>
        <w:jc w:val="both"/>
        <w:rPr>
          <w:rFonts w:ascii="Garamond" w:eastAsia="Garamond" w:hAnsi="Garamond" w:cs="Garamond"/>
          <w:sz w:val="22"/>
          <w:szCs w:val="22"/>
        </w:rPr>
      </w:pPr>
    </w:p>
    <w:p w14:paraId="1A00DA72"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Canonigo, A. M. (2024). Leveraging AI to enhance students' conceptual understanding and confidence in mathematics. Journal of Computer Assisted Learning, 40(6), 3215–3229. https://doi.org/10.1111/jcal.13065</w:t>
      </w:r>
    </w:p>
    <w:p w14:paraId="2DC8FF9D" w14:textId="77777777" w:rsidR="00435F32" w:rsidRDefault="00435F32">
      <w:pPr>
        <w:ind w:left="720" w:hanging="720"/>
        <w:jc w:val="both"/>
        <w:rPr>
          <w:rFonts w:ascii="Garamond" w:eastAsia="Garamond" w:hAnsi="Garamond" w:cs="Garamond"/>
          <w:sz w:val="22"/>
          <w:szCs w:val="22"/>
        </w:rPr>
      </w:pPr>
    </w:p>
    <w:p w14:paraId="1302E65B"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sz w:val="22"/>
          <w:szCs w:val="22"/>
        </w:rPr>
        <w:t>Fred</w:t>
      </w:r>
      <w:r>
        <w:rPr>
          <w:rFonts w:ascii="Garamond" w:eastAsia="Garamond" w:hAnsi="Garamond" w:cs="Garamond"/>
          <w:color w:val="000000"/>
          <w:sz w:val="22"/>
          <w:szCs w:val="22"/>
        </w:rPr>
        <w:t xml:space="preserve">ricks, J. A., Blumenfeld, P. C., &amp; Paris, A. H. (2004). School engagement: Potential of the concept, state of the evidence. Review of Educational Research, 74(1), 59-109. </w:t>
      </w:r>
      <w:hyperlink r:id="rId10">
        <w:r w:rsidR="00435F32">
          <w:rPr>
            <w:rFonts w:ascii="Garamond" w:eastAsia="Garamond" w:hAnsi="Garamond" w:cs="Garamond"/>
            <w:color w:val="000000"/>
            <w:sz w:val="22"/>
            <w:szCs w:val="22"/>
          </w:rPr>
          <w:t>https://doi.org/10.3102/00346543074001059</w:t>
        </w:r>
      </w:hyperlink>
    </w:p>
    <w:p w14:paraId="714BED00" w14:textId="77777777" w:rsidR="00435F32" w:rsidRDefault="00435F32">
      <w:pPr>
        <w:ind w:left="720" w:hanging="720"/>
        <w:jc w:val="both"/>
        <w:rPr>
          <w:rFonts w:ascii="Garamond" w:eastAsia="Garamond" w:hAnsi="Garamond" w:cs="Garamond"/>
          <w:color w:val="000000"/>
          <w:sz w:val="22"/>
          <w:szCs w:val="22"/>
        </w:rPr>
      </w:pPr>
    </w:p>
    <w:p w14:paraId="08CFFED5" w14:textId="77777777" w:rsidR="00435F32" w:rsidRDefault="00000000">
      <w:pPr>
        <w:ind w:left="720" w:hanging="720"/>
        <w:jc w:val="both"/>
        <w:rPr>
          <w:rFonts w:ascii="Garamond" w:eastAsia="Garamond" w:hAnsi="Garamond" w:cs="Garamond"/>
          <w:color w:val="000000"/>
          <w:sz w:val="22"/>
          <w:szCs w:val="22"/>
        </w:rPr>
      </w:pPr>
      <w:proofErr w:type="spellStart"/>
      <w:r>
        <w:rPr>
          <w:rFonts w:ascii="Garamond" w:eastAsia="Garamond" w:hAnsi="Garamond" w:cs="Garamond"/>
          <w:color w:val="000000"/>
          <w:sz w:val="22"/>
          <w:szCs w:val="22"/>
        </w:rPr>
        <w:t>Egara</w:t>
      </w:r>
      <w:proofErr w:type="spellEnd"/>
      <w:r>
        <w:rPr>
          <w:rFonts w:ascii="Garamond" w:eastAsia="Garamond" w:hAnsi="Garamond" w:cs="Garamond"/>
          <w:color w:val="000000"/>
          <w:sz w:val="22"/>
          <w:szCs w:val="22"/>
        </w:rPr>
        <w:t xml:space="preserve">, Felix O., </w:t>
      </w:r>
      <w:proofErr w:type="spellStart"/>
      <w:r>
        <w:rPr>
          <w:rFonts w:ascii="Garamond" w:eastAsia="Garamond" w:hAnsi="Garamond" w:cs="Garamond"/>
          <w:color w:val="000000"/>
          <w:sz w:val="22"/>
          <w:szCs w:val="22"/>
        </w:rPr>
        <w:t>Mosimege</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Mogege</w:t>
      </w:r>
      <w:proofErr w:type="spellEnd"/>
      <w:r>
        <w:rPr>
          <w:rFonts w:ascii="Garamond" w:eastAsia="Garamond" w:hAnsi="Garamond" w:cs="Garamond"/>
          <w:color w:val="000000"/>
          <w:sz w:val="22"/>
          <w:szCs w:val="22"/>
        </w:rPr>
        <w:t>, &amp; Mosia, Moeketsi. (2025). Secondary school students' perceptions of their usage of artificial intelligence-based ChatGPT in mathematics learning. Journal of Education (University of KwaZulu-Natal), (98), 124-146. https://doi.org/10.17159/2520-9868/i98a07</w:t>
      </w:r>
    </w:p>
    <w:p w14:paraId="2E6FDF29" w14:textId="77777777" w:rsidR="00435F32" w:rsidRDefault="00435F32">
      <w:pPr>
        <w:ind w:left="720" w:hanging="720"/>
        <w:jc w:val="both"/>
        <w:rPr>
          <w:rFonts w:ascii="Garamond" w:eastAsia="Garamond" w:hAnsi="Garamond" w:cs="Garamond"/>
          <w:color w:val="000000"/>
          <w:sz w:val="22"/>
          <w:szCs w:val="22"/>
        </w:rPr>
      </w:pPr>
    </w:p>
    <w:p w14:paraId="14D10110" w14:textId="77777777" w:rsidR="00435F32" w:rsidRDefault="00000000">
      <w:pPr>
        <w:ind w:left="720" w:hanging="720"/>
        <w:jc w:val="both"/>
        <w:rPr>
          <w:rFonts w:ascii="Garamond" w:eastAsia="Garamond" w:hAnsi="Garamond" w:cs="Garamond"/>
          <w:color w:val="000000"/>
          <w:sz w:val="22"/>
          <w:szCs w:val="22"/>
        </w:rPr>
      </w:pPr>
      <w:proofErr w:type="spellStart"/>
      <w:r>
        <w:rPr>
          <w:rFonts w:ascii="Garamond" w:eastAsia="Garamond" w:hAnsi="Garamond" w:cs="Garamond"/>
          <w:color w:val="000000"/>
          <w:sz w:val="22"/>
          <w:szCs w:val="22"/>
        </w:rPr>
        <w:t>Etcuban</w:t>
      </w:r>
      <w:proofErr w:type="spellEnd"/>
      <w:r>
        <w:rPr>
          <w:rFonts w:ascii="Garamond" w:eastAsia="Garamond" w:hAnsi="Garamond" w:cs="Garamond"/>
          <w:color w:val="000000"/>
          <w:sz w:val="22"/>
          <w:szCs w:val="22"/>
        </w:rPr>
        <w:t xml:space="preserve">, J. O. (2025). The use of ChatGPT in addressing Algebra anxiety and promoting confidence. International Electronic Journal of Mathematics Education, 20(2), em0825. https://doi.org/10.29333/iejme/16008 </w:t>
      </w:r>
    </w:p>
    <w:p w14:paraId="31227C22" w14:textId="77777777" w:rsidR="00435F32" w:rsidRDefault="00435F32">
      <w:pPr>
        <w:ind w:left="720" w:hanging="720"/>
        <w:jc w:val="both"/>
        <w:rPr>
          <w:rFonts w:ascii="Garamond" w:eastAsia="Garamond" w:hAnsi="Garamond" w:cs="Garamond"/>
          <w:color w:val="000000"/>
          <w:sz w:val="22"/>
          <w:szCs w:val="22"/>
        </w:rPr>
      </w:pPr>
    </w:p>
    <w:p w14:paraId="1300FC78"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Han, X., Hu, F., Xiong, G., Liu, X., Gong, X., Niu, X., Shi, W., &amp; Wang, X. (2018). Design of AI + curriculum for primary and secondary schools in Qingdao. In 2018, Chinese Automation Congress (pp. 4135-4140). IEEE. https://doi.org/10.1109/CAC.2018.8623310 \</w:t>
      </w:r>
    </w:p>
    <w:p w14:paraId="27E25273" w14:textId="77777777" w:rsidR="00435F32" w:rsidRDefault="00435F32">
      <w:pPr>
        <w:ind w:left="720" w:hanging="720"/>
        <w:jc w:val="both"/>
        <w:rPr>
          <w:rFonts w:ascii="Garamond" w:eastAsia="Garamond" w:hAnsi="Garamond" w:cs="Garamond"/>
          <w:color w:val="000000"/>
          <w:sz w:val="22"/>
          <w:szCs w:val="22"/>
        </w:rPr>
      </w:pPr>
    </w:p>
    <w:p w14:paraId="3081CADD"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Kandemir, M. &amp; </w:t>
      </w:r>
      <w:proofErr w:type="spellStart"/>
      <w:r>
        <w:rPr>
          <w:rFonts w:ascii="Garamond" w:eastAsia="Garamond" w:hAnsi="Garamond" w:cs="Garamond"/>
          <w:color w:val="000000"/>
          <w:sz w:val="22"/>
          <w:szCs w:val="22"/>
        </w:rPr>
        <w:t>Rahile</w:t>
      </w:r>
      <w:proofErr w:type="spellEnd"/>
      <w:r>
        <w:rPr>
          <w:rFonts w:ascii="Garamond" w:eastAsia="Garamond" w:hAnsi="Garamond" w:cs="Garamond"/>
          <w:color w:val="000000"/>
          <w:sz w:val="22"/>
          <w:szCs w:val="22"/>
        </w:rPr>
        <w:t xml:space="preserve">, A. (2017). Examining the Validity of Sources of Mathematics Self-Efficacy Scale in Turkey. European Journal of Education Studies v3 n11 p69-88 2017. </w:t>
      </w:r>
      <w:proofErr w:type="spellStart"/>
      <w:r>
        <w:rPr>
          <w:rFonts w:ascii="Garamond" w:eastAsia="Garamond" w:hAnsi="Garamond" w:cs="Garamond"/>
          <w:color w:val="000000"/>
          <w:sz w:val="22"/>
          <w:szCs w:val="22"/>
        </w:rPr>
        <w:t>doi</w:t>
      </w:r>
      <w:proofErr w:type="spellEnd"/>
      <w:r>
        <w:rPr>
          <w:rFonts w:ascii="Garamond" w:eastAsia="Garamond" w:hAnsi="Garamond" w:cs="Garamond"/>
          <w:color w:val="000000"/>
          <w:sz w:val="22"/>
          <w:szCs w:val="22"/>
        </w:rPr>
        <w:t>: 10.5281/zenodo.1041845</w:t>
      </w:r>
    </w:p>
    <w:p w14:paraId="7E5045E4" w14:textId="77777777" w:rsidR="00435F32" w:rsidRDefault="00435F32">
      <w:pPr>
        <w:ind w:left="720" w:hanging="720"/>
        <w:jc w:val="both"/>
        <w:rPr>
          <w:rFonts w:ascii="Garamond" w:eastAsia="Garamond" w:hAnsi="Garamond" w:cs="Garamond"/>
          <w:sz w:val="22"/>
          <w:szCs w:val="22"/>
        </w:rPr>
      </w:pPr>
    </w:p>
    <w:p w14:paraId="68963236"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lastRenderedPageBreak/>
        <w:t xml:space="preserve">Kasneci, E.; </w:t>
      </w:r>
      <w:proofErr w:type="spellStart"/>
      <w:r>
        <w:rPr>
          <w:rFonts w:ascii="Garamond" w:eastAsia="Garamond" w:hAnsi="Garamond" w:cs="Garamond"/>
          <w:sz w:val="22"/>
          <w:szCs w:val="22"/>
        </w:rPr>
        <w:t>Seßler</w:t>
      </w:r>
      <w:proofErr w:type="spellEnd"/>
      <w:r>
        <w:rPr>
          <w:rFonts w:ascii="Garamond" w:eastAsia="Garamond" w:hAnsi="Garamond" w:cs="Garamond"/>
          <w:sz w:val="22"/>
          <w:szCs w:val="22"/>
        </w:rPr>
        <w:t xml:space="preserve">, K.; </w:t>
      </w:r>
      <w:proofErr w:type="spellStart"/>
      <w:r>
        <w:rPr>
          <w:rFonts w:ascii="Garamond" w:eastAsia="Garamond" w:hAnsi="Garamond" w:cs="Garamond"/>
          <w:sz w:val="22"/>
          <w:szCs w:val="22"/>
        </w:rPr>
        <w:t>Küchemann</w:t>
      </w:r>
      <w:proofErr w:type="spellEnd"/>
      <w:r>
        <w:rPr>
          <w:rFonts w:ascii="Garamond" w:eastAsia="Garamond" w:hAnsi="Garamond" w:cs="Garamond"/>
          <w:sz w:val="22"/>
          <w:szCs w:val="22"/>
        </w:rPr>
        <w:t xml:space="preserve">, S.; Bannert, M.; Dementieva, D.; Fischer, F.; Gasser, U.; Groh, G.; </w:t>
      </w:r>
      <w:proofErr w:type="spellStart"/>
      <w:r>
        <w:rPr>
          <w:rFonts w:ascii="Garamond" w:eastAsia="Garamond" w:hAnsi="Garamond" w:cs="Garamond"/>
          <w:sz w:val="22"/>
          <w:szCs w:val="22"/>
        </w:rPr>
        <w:t>Günnemann</w:t>
      </w:r>
      <w:proofErr w:type="spellEnd"/>
      <w:r>
        <w:rPr>
          <w:rFonts w:ascii="Garamond" w:eastAsia="Garamond" w:hAnsi="Garamond" w:cs="Garamond"/>
          <w:sz w:val="22"/>
          <w:szCs w:val="22"/>
        </w:rPr>
        <w:t xml:space="preserve">, S.; </w:t>
      </w:r>
      <w:proofErr w:type="spellStart"/>
      <w:r>
        <w:rPr>
          <w:rFonts w:ascii="Garamond" w:eastAsia="Garamond" w:hAnsi="Garamond" w:cs="Garamond"/>
          <w:sz w:val="22"/>
          <w:szCs w:val="22"/>
        </w:rPr>
        <w:t>Hüllermeier</w:t>
      </w:r>
      <w:proofErr w:type="spellEnd"/>
      <w:r>
        <w:rPr>
          <w:rFonts w:ascii="Garamond" w:eastAsia="Garamond" w:hAnsi="Garamond" w:cs="Garamond"/>
          <w:sz w:val="22"/>
          <w:szCs w:val="22"/>
        </w:rPr>
        <w:t xml:space="preserve">, E.; et al. ChatGPT for Good? On Opportunities and Challenges of Large Language Models for Education. Learn. </w:t>
      </w:r>
      <w:proofErr w:type="spellStart"/>
      <w:r>
        <w:rPr>
          <w:rFonts w:ascii="Garamond" w:eastAsia="Garamond" w:hAnsi="Garamond" w:cs="Garamond"/>
          <w:sz w:val="22"/>
          <w:szCs w:val="22"/>
        </w:rPr>
        <w:t>Individ</w:t>
      </w:r>
      <w:proofErr w:type="spellEnd"/>
      <w:r>
        <w:rPr>
          <w:rFonts w:ascii="Garamond" w:eastAsia="Garamond" w:hAnsi="Garamond" w:cs="Garamond"/>
          <w:sz w:val="22"/>
          <w:szCs w:val="22"/>
        </w:rPr>
        <w:t>. Differ. 2023, 103, 102274. [Google Scholar]</w:t>
      </w:r>
    </w:p>
    <w:p w14:paraId="65114185" w14:textId="77777777" w:rsidR="00435F32" w:rsidRDefault="00435F32">
      <w:pPr>
        <w:ind w:left="720" w:hanging="720"/>
        <w:jc w:val="both"/>
        <w:rPr>
          <w:rFonts w:ascii="Garamond" w:eastAsia="Garamond" w:hAnsi="Garamond" w:cs="Garamond"/>
          <w:sz w:val="22"/>
          <w:szCs w:val="22"/>
        </w:rPr>
      </w:pPr>
    </w:p>
    <w:p w14:paraId="620B677A"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 xml:space="preserve">Karan, B., &amp; Angadi, G. (2023). Artificial intelligence integration into school education: A review of Indian and foreign perspectives. Millennial Asia. https://doi.org/10.1177/09763996231158229 </w:t>
      </w:r>
    </w:p>
    <w:p w14:paraId="6A8D9D31" w14:textId="77777777" w:rsidR="00435F32" w:rsidRDefault="00435F32">
      <w:pPr>
        <w:ind w:left="720" w:hanging="720"/>
        <w:jc w:val="both"/>
        <w:rPr>
          <w:rFonts w:ascii="Garamond" w:eastAsia="Garamond" w:hAnsi="Garamond" w:cs="Garamond"/>
          <w:sz w:val="22"/>
          <w:szCs w:val="22"/>
        </w:rPr>
      </w:pPr>
    </w:p>
    <w:p w14:paraId="55D453E4"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Lee, D., Hwang, J., Lee, Y., &amp; Kim, S. (2022a). Informatics and artificial intelligence (AI) education in Korea: Situation analysis using the Darmstadt model. JOIV: International Journal on Informatics Visualization, 6(2). https://doi.org/10.30630/joiv.6.2.1000</w:t>
      </w:r>
    </w:p>
    <w:p w14:paraId="4DA32BAB" w14:textId="77777777" w:rsidR="00435F32" w:rsidRDefault="00435F32">
      <w:pPr>
        <w:ind w:left="720" w:hanging="720"/>
        <w:jc w:val="both"/>
        <w:rPr>
          <w:rFonts w:ascii="Garamond" w:eastAsia="Garamond" w:hAnsi="Garamond" w:cs="Garamond"/>
          <w:sz w:val="22"/>
          <w:szCs w:val="22"/>
        </w:rPr>
      </w:pPr>
    </w:p>
    <w:p w14:paraId="07CF10CC" w14:textId="77777777" w:rsidR="00435F32" w:rsidRDefault="00000000">
      <w:pPr>
        <w:ind w:left="720" w:hanging="720"/>
        <w:jc w:val="both"/>
        <w:rPr>
          <w:rFonts w:ascii="Garamond" w:eastAsia="Garamond" w:hAnsi="Garamond" w:cs="Garamond"/>
          <w:color w:val="434343"/>
          <w:sz w:val="22"/>
          <w:szCs w:val="22"/>
        </w:rPr>
      </w:pPr>
      <w:r>
        <w:rPr>
          <w:rFonts w:ascii="Garamond" w:eastAsia="Garamond" w:hAnsi="Garamond" w:cs="Garamond"/>
          <w:sz w:val="22"/>
          <w:szCs w:val="22"/>
        </w:rPr>
        <w:t xml:space="preserve">Lee, J. -E., Chan, J. Y. -C., Botelho, A., &amp; Ottmar, E. (2022b). Does slow and steady win the race? Clustering patterns of students’ </w:t>
      </w:r>
      <w:proofErr w:type="spellStart"/>
      <w:r>
        <w:rPr>
          <w:rFonts w:ascii="Garamond" w:eastAsia="Garamond" w:hAnsi="Garamond" w:cs="Garamond"/>
          <w:sz w:val="22"/>
          <w:szCs w:val="22"/>
        </w:rPr>
        <w:t>behaviors</w:t>
      </w:r>
      <w:proofErr w:type="spellEnd"/>
      <w:r>
        <w:rPr>
          <w:rFonts w:ascii="Garamond" w:eastAsia="Garamond" w:hAnsi="Garamond" w:cs="Garamond"/>
          <w:sz w:val="22"/>
          <w:szCs w:val="22"/>
        </w:rPr>
        <w:t xml:space="preserve"> in an interactive online mathematics game. Education Technology Research and Development, 70, 1575-1599.</w:t>
      </w:r>
      <w:r>
        <w:rPr>
          <w:rFonts w:ascii="Garamond" w:eastAsia="Garamond" w:hAnsi="Garamond" w:cs="Garamond"/>
          <w:color w:val="434343"/>
          <w:sz w:val="22"/>
          <w:szCs w:val="22"/>
        </w:rPr>
        <w:t xml:space="preserve"> </w:t>
      </w:r>
      <w:hyperlink r:id="rId11">
        <w:r w:rsidR="00435F32">
          <w:rPr>
            <w:rFonts w:ascii="Garamond" w:eastAsia="Garamond" w:hAnsi="Garamond" w:cs="Garamond"/>
            <w:color w:val="434343"/>
            <w:sz w:val="22"/>
            <w:szCs w:val="22"/>
          </w:rPr>
          <w:t>https://doi.org/10.1007/s11423-022-10138-4</w:t>
        </w:r>
      </w:hyperlink>
    </w:p>
    <w:p w14:paraId="2DC41523" w14:textId="77777777" w:rsidR="00435F32" w:rsidRDefault="00435F32">
      <w:pPr>
        <w:ind w:left="720" w:hanging="720"/>
        <w:jc w:val="both"/>
        <w:rPr>
          <w:rFonts w:ascii="Garamond" w:eastAsia="Garamond" w:hAnsi="Garamond" w:cs="Garamond"/>
          <w:sz w:val="22"/>
          <w:szCs w:val="22"/>
        </w:rPr>
      </w:pPr>
    </w:p>
    <w:p w14:paraId="566BADF0"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Mayer, R. (2001). Multimedia Learning. Cambridge: Cambridge University Press. http://dx.doi.org/10.1017/CBO9781139164603</w:t>
      </w:r>
    </w:p>
    <w:p w14:paraId="7BFCC24D" w14:textId="77777777" w:rsidR="00435F32" w:rsidRDefault="00435F32">
      <w:pPr>
        <w:ind w:left="720" w:hanging="720"/>
        <w:jc w:val="both"/>
        <w:rPr>
          <w:rFonts w:ascii="Garamond" w:eastAsia="Garamond" w:hAnsi="Garamond" w:cs="Garamond"/>
          <w:sz w:val="22"/>
          <w:szCs w:val="22"/>
        </w:rPr>
      </w:pPr>
    </w:p>
    <w:p w14:paraId="2AB6F651"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 xml:space="preserve">Moreno, </w:t>
      </w:r>
      <w:proofErr w:type="gramStart"/>
      <w:r>
        <w:rPr>
          <w:rFonts w:ascii="Garamond" w:eastAsia="Garamond" w:hAnsi="Garamond" w:cs="Garamond"/>
          <w:sz w:val="22"/>
          <w:szCs w:val="22"/>
        </w:rPr>
        <w:t>R..(</w:t>
      </w:r>
      <w:proofErr w:type="gramEnd"/>
      <w:r>
        <w:rPr>
          <w:rFonts w:ascii="Garamond" w:eastAsia="Garamond" w:hAnsi="Garamond" w:cs="Garamond"/>
          <w:sz w:val="22"/>
          <w:szCs w:val="22"/>
        </w:rPr>
        <w:t>2006). Cognitive load and learning effects of having students organize pictures and words in multimedia environments: The role of student interactivity and feedback. Educational Technology Research and Development, 54(2), 187–201.</w:t>
      </w:r>
    </w:p>
    <w:p w14:paraId="48143C18" w14:textId="77777777" w:rsidR="00435F32" w:rsidRDefault="00435F32">
      <w:pPr>
        <w:ind w:left="720" w:hanging="720"/>
        <w:jc w:val="both"/>
        <w:rPr>
          <w:rFonts w:ascii="Garamond" w:eastAsia="Garamond" w:hAnsi="Garamond" w:cs="Garamond"/>
          <w:sz w:val="22"/>
          <w:szCs w:val="22"/>
        </w:rPr>
      </w:pPr>
    </w:p>
    <w:p w14:paraId="4B52472D"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Park, M., &amp; Lim, W. (2023). AI-integrated mathematics education: A review of literature in the Korean context. The Korean society of educational studies in mathematics. Journal of Educational Research in Mathematics. https://doi.org/10.29275/jerm.2023.33.3.771</w:t>
      </w:r>
    </w:p>
    <w:p w14:paraId="2E8156C0" w14:textId="77777777" w:rsidR="00435F32" w:rsidRDefault="00435F32">
      <w:pPr>
        <w:ind w:left="720" w:hanging="720"/>
        <w:jc w:val="both"/>
        <w:rPr>
          <w:rFonts w:ascii="Garamond" w:eastAsia="Garamond" w:hAnsi="Garamond" w:cs="Garamond"/>
          <w:sz w:val="22"/>
          <w:szCs w:val="22"/>
        </w:rPr>
      </w:pPr>
    </w:p>
    <w:p w14:paraId="32E9CF94"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Rimm-Kaufman, S. E. (2010). Student Engagement in Mathematics Scale (SEMS). Unpublished</w:t>
      </w:r>
    </w:p>
    <w:p w14:paraId="4ECD33B6" w14:textId="77777777" w:rsidR="00435F32" w:rsidRDefault="00000000">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measure, University of Virginia, Charlottesville, VA.</w:t>
      </w:r>
    </w:p>
    <w:p w14:paraId="3145A9E1" w14:textId="77777777" w:rsidR="00435F32" w:rsidRDefault="00435F32">
      <w:pPr>
        <w:ind w:left="720" w:hanging="720"/>
        <w:jc w:val="both"/>
        <w:rPr>
          <w:rFonts w:ascii="Garamond" w:eastAsia="Garamond" w:hAnsi="Garamond" w:cs="Garamond"/>
          <w:sz w:val="22"/>
          <w:szCs w:val="22"/>
        </w:rPr>
      </w:pPr>
    </w:p>
    <w:p w14:paraId="5892F1A2"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 xml:space="preserve">Schunk, D. H., and DiBenedetto, M. K. (2021). “Self-efficacy and human motivation,” in Advances in Motivation Science (London: Elsevier Ltd), 153–179. </w:t>
      </w:r>
      <w:proofErr w:type="spellStart"/>
      <w:r>
        <w:rPr>
          <w:rFonts w:ascii="Garamond" w:eastAsia="Garamond" w:hAnsi="Garamond" w:cs="Garamond"/>
          <w:sz w:val="22"/>
          <w:szCs w:val="22"/>
        </w:rPr>
        <w:t>doi</w:t>
      </w:r>
      <w:proofErr w:type="spellEnd"/>
      <w:r>
        <w:rPr>
          <w:rFonts w:ascii="Garamond" w:eastAsia="Garamond" w:hAnsi="Garamond" w:cs="Garamond"/>
          <w:sz w:val="22"/>
          <w:szCs w:val="22"/>
        </w:rPr>
        <w:t>: 10.1016/bs.adms.2020.10.001</w:t>
      </w:r>
    </w:p>
    <w:p w14:paraId="184CA5FA" w14:textId="77777777" w:rsidR="00435F32" w:rsidRDefault="00435F32">
      <w:pPr>
        <w:ind w:left="720" w:hanging="720"/>
        <w:jc w:val="both"/>
        <w:rPr>
          <w:rFonts w:ascii="Garamond" w:eastAsia="Garamond" w:hAnsi="Garamond" w:cs="Garamond"/>
          <w:sz w:val="22"/>
          <w:szCs w:val="22"/>
        </w:rPr>
      </w:pPr>
    </w:p>
    <w:p w14:paraId="4F881E4B"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 xml:space="preserve">Skinner, E.A., and Belmont, </w:t>
      </w:r>
      <w:proofErr w:type="gramStart"/>
      <w:r>
        <w:rPr>
          <w:rFonts w:ascii="Garamond" w:eastAsia="Garamond" w:hAnsi="Garamond" w:cs="Garamond"/>
          <w:sz w:val="22"/>
          <w:szCs w:val="22"/>
        </w:rPr>
        <w:t>M.J.(</w:t>
      </w:r>
      <w:proofErr w:type="gramEnd"/>
      <w:r>
        <w:rPr>
          <w:rFonts w:ascii="Garamond" w:eastAsia="Garamond" w:hAnsi="Garamond" w:cs="Garamond"/>
          <w:sz w:val="22"/>
          <w:szCs w:val="22"/>
        </w:rPr>
        <w:t>1993). Motivation in the classroom: Reciprocal effects of</w:t>
      </w:r>
    </w:p>
    <w:p w14:paraId="33FEFF1C"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 xml:space="preserve">teacher </w:t>
      </w:r>
      <w:proofErr w:type="spellStart"/>
      <w:r>
        <w:rPr>
          <w:rFonts w:ascii="Garamond" w:eastAsia="Garamond" w:hAnsi="Garamond" w:cs="Garamond"/>
          <w:sz w:val="22"/>
          <w:szCs w:val="22"/>
        </w:rPr>
        <w:t>behavior</w:t>
      </w:r>
      <w:proofErr w:type="spellEnd"/>
      <w:r>
        <w:rPr>
          <w:rFonts w:ascii="Garamond" w:eastAsia="Garamond" w:hAnsi="Garamond" w:cs="Garamond"/>
          <w:sz w:val="22"/>
          <w:szCs w:val="22"/>
        </w:rPr>
        <w:t xml:space="preserve"> and student engagement across the school year. Journal of Educational Psychology, 85(4), 571-581. </w:t>
      </w:r>
    </w:p>
    <w:p w14:paraId="588DA32C" w14:textId="77777777" w:rsidR="00435F32" w:rsidRDefault="00435F32">
      <w:pPr>
        <w:ind w:left="720" w:hanging="720"/>
        <w:jc w:val="both"/>
        <w:rPr>
          <w:rFonts w:ascii="Garamond" w:eastAsia="Garamond" w:hAnsi="Garamond" w:cs="Garamond"/>
          <w:sz w:val="22"/>
          <w:szCs w:val="22"/>
        </w:rPr>
      </w:pPr>
    </w:p>
    <w:p w14:paraId="4CB9AC32" w14:textId="77777777" w:rsidR="00435F32" w:rsidRDefault="00000000">
      <w:pPr>
        <w:ind w:left="720" w:hanging="720"/>
        <w:jc w:val="both"/>
        <w:rPr>
          <w:rFonts w:ascii="Garamond" w:eastAsia="Garamond" w:hAnsi="Garamond" w:cs="Garamond"/>
          <w:sz w:val="22"/>
          <w:szCs w:val="22"/>
        </w:rPr>
      </w:pPr>
      <w:proofErr w:type="spellStart"/>
      <w:r>
        <w:rPr>
          <w:rFonts w:ascii="Garamond" w:eastAsia="Garamond" w:hAnsi="Garamond" w:cs="Garamond"/>
          <w:sz w:val="22"/>
          <w:szCs w:val="22"/>
        </w:rPr>
        <w:t>Sweller</w:t>
      </w:r>
      <w:proofErr w:type="spellEnd"/>
      <w:r>
        <w:rPr>
          <w:rFonts w:ascii="Garamond" w:eastAsia="Garamond" w:hAnsi="Garamond" w:cs="Garamond"/>
          <w:sz w:val="22"/>
          <w:szCs w:val="22"/>
        </w:rPr>
        <w:t>, J. (1988). Cognitive load during problem solving: Effects on learning. Cognitive Science, 12(2), 257–285. https://doi.org/10.1207/s15516709cog1202_4</w:t>
      </w:r>
    </w:p>
    <w:p w14:paraId="0A0FD282" w14:textId="77777777" w:rsidR="00435F32" w:rsidRDefault="00435F32">
      <w:pPr>
        <w:ind w:left="720" w:hanging="720"/>
        <w:jc w:val="both"/>
        <w:rPr>
          <w:rFonts w:ascii="Garamond" w:eastAsia="Garamond" w:hAnsi="Garamond" w:cs="Garamond"/>
          <w:sz w:val="22"/>
          <w:szCs w:val="22"/>
        </w:rPr>
      </w:pPr>
    </w:p>
    <w:p w14:paraId="1C0B7EA0" w14:textId="77777777" w:rsidR="00435F32" w:rsidRDefault="00000000">
      <w:pPr>
        <w:ind w:left="720" w:hanging="720"/>
        <w:jc w:val="both"/>
        <w:rPr>
          <w:rFonts w:ascii="Garamond" w:eastAsia="Garamond" w:hAnsi="Garamond" w:cs="Garamond"/>
          <w:sz w:val="22"/>
          <w:szCs w:val="22"/>
        </w:rPr>
      </w:pPr>
      <w:r>
        <w:rPr>
          <w:rFonts w:ascii="Garamond" w:eastAsia="Garamond" w:hAnsi="Garamond" w:cs="Garamond"/>
          <w:sz w:val="22"/>
          <w:szCs w:val="22"/>
        </w:rPr>
        <w:t xml:space="preserve">Usher, E. L., and Pajares, F. (2009). Sources of Self-Efficacy in school: critical review of the literature and future directions. </w:t>
      </w:r>
      <w:proofErr w:type="gramStart"/>
      <w:r>
        <w:rPr>
          <w:rFonts w:ascii="Garamond" w:eastAsia="Garamond" w:hAnsi="Garamond" w:cs="Garamond"/>
          <w:sz w:val="22"/>
          <w:szCs w:val="22"/>
        </w:rPr>
        <w:t>Rev..</w:t>
      </w:r>
      <w:proofErr w:type="gramEnd"/>
      <w:r>
        <w:rPr>
          <w:rFonts w:ascii="Garamond" w:eastAsia="Garamond" w:hAnsi="Garamond" w:cs="Garamond"/>
          <w:sz w:val="22"/>
          <w:szCs w:val="22"/>
        </w:rPr>
        <w:t xml:space="preserve"> Educ. Res. 78, 751–796. </w:t>
      </w:r>
      <w:proofErr w:type="spellStart"/>
      <w:r>
        <w:rPr>
          <w:rFonts w:ascii="Garamond" w:eastAsia="Garamond" w:hAnsi="Garamond" w:cs="Garamond"/>
          <w:sz w:val="22"/>
          <w:szCs w:val="22"/>
        </w:rPr>
        <w:t>doi</w:t>
      </w:r>
      <w:proofErr w:type="spellEnd"/>
      <w:r>
        <w:rPr>
          <w:rFonts w:ascii="Garamond" w:eastAsia="Garamond" w:hAnsi="Garamond" w:cs="Garamond"/>
          <w:sz w:val="22"/>
          <w:szCs w:val="22"/>
        </w:rPr>
        <w:t>: 10.3102/0034654308321456</w:t>
      </w:r>
    </w:p>
    <w:p w14:paraId="000578DA" w14:textId="77777777" w:rsidR="00435F32" w:rsidRDefault="00435F32">
      <w:pPr>
        <w:ind w:left="720" w:hanging="720"/>
        <w:jc w:val="both"/>
        <w:rPr>
          <w:rFonts w:ascii="Garamond" w:eastAsia="Garamond" w:hAnsi="Garamond" w:cs="Garamond"/>
          <w:sz w:val="22"/>
          <w:szCs w:val="22"/>
        </w:rPr>
      </w:pPr>
    </w:p>
    <w:p w14:paraId="6CF9E390" w14:textId="77777777" w:rsidR="00435F32" w:rsidRDefault="00000000">
      <w:pPr>
        <w:ind w:left="720" w:hanging="720"/>
        <w:jc w:val="both"/>
        <w:rPr>
          <w:rFonts w:ascii="Garamond" w:eastAsia="Garamond" w:hAnsi="Garamond" w:cs="Garamond"/>
          <w:color w:val="000000"/>
          <w:sz w:val="22"/>
          <w:szCs w:val="22"/>
        </w:rPr>
      </w:pPr>
      <w:proofErr w:type="gramStart"/>
      <w:r>
        <w:rPr>
          <w:rFonts w:ascii="Garamond" w:eastAsia="Garamond" w:hAnsi="Garamond" w:cs="Garamond"/>
          <w:color w:val="000000"/>
          <w:sz w:val="22"/>
          <w:szCs w:val="22"/>
        </w:rPr>
        <w:t>Yilmaz ,</w:t>
      </w:r>
      <w:proofErr w:type="gramEnd"/>
      <w:r>
        <w:rPr>
          <w:rFonts w:ascii="Garamond" w:eastAsia="Garamond" w:hAnsi="Garamond" w:cs="Garamond"/>
          <w:color w:val="000000"/>
          <w:sz w:val="22"/>
          <w:szCs w:val="22"/>
        </w:rPr>
        <w:t>K.</w:t>
      </w:r>
      <w:r>
        <w:rPr>
          <w:rFonts w:ascii="Garamond" w:eastAsia="Garamond" w:hAnsi="Garamond" w:cs="Garamond"/>
          <w:sz w:val="22"/>
          <w:szCs w:val="22"/>
        </w:rPr>
        <w:t xml:space="preserve"> &amp; </w:t>
      </w:r>
      <w:r>
        <w:rPr>
          <w:rFonts w:ascii="Garamond" w:eastAsia="Garamond" w:hAnsi="Garamond" w:cs="Garamond"/>
          <w:color w:val="000000"/>
          <w:sz w:val="22"/>
          <w:szCs w:val="22"/>
        </w:rPr>
        <w:t xml:space="preserve">Yilmaz, </w:t>
      </w:r>
      <w:r>
        <w:rPr>
          <w:rFonts w:ascii="Garamond" w:eastAsia="Garamond" w:hAnsi="Garamond" w:cs="Garamond"/>
          <w:sz w:val="22"/>
          <w:szCs w:val="22"/>
        </w:rPr>
        <w:t>F.G.</w:t>
      </w:r>
      <w:r>
        <w:rPr>
          <w:rFonts w:ascii="Garamond" w:eastAsia="Garamond" w:hAnsi="Garamond" w:cs="Garamond"/>
          <w:color w:val="000000"/>
          <w:sz w:val="22"/>
          <w:szCs w:val="22"/>
        </w:rPr>
        <w:t xml:space="preserve"> (2023). The effect of generative artificial intelligence (AI)-based tool use on students’ computational thinking skills, programming self-efficacy and motivation. Elsevier Ltd. https://doi.org/10.1016/j.caeai.2023.100147</w:t>
      </w:r>
    </w:p>
    <w:p w14:paraId="499BF723" w14:textId="77777777" w:rsidR="00435F32" w:rsidRDefault="00435F32">
      <w:pPr>
        <w:ind w:left="720" w:hanging="720"/>
        <w:jc w:val="both"/>
        <w:rPr>
          <w:rFonts w:ascii="Garamond" w:eastAsia="Garamond" w:hAnsi="Garamond" w:cs="Garamond"/>
          <w:color w:val="000000"/>
          <w:sz w:val="22"/>
          <w:szCs w:val="22"/>
        </w:rPr>
      </w:pPr>
    </w:p>
    <w:p w14:paraId="7F64C9A9" w14:textId="77777777" w:rsidR="00435F32" w:rsidRDefault="00435F32">
      <w:pPr>
        <w:ind w:left="720" w:hanging="720"/>
        <w:rPr>
          <w:rFonts w:ascii="Garamond" w:eastAsia="Garamond" w:hAnsi="Garamond" w:cs="Garamond"/>
          <w:sz w:val="22"/>
          <w:szCs w:val="22"/>
        </w:rPr>
      </w:pPr>
    </w:p>
    <w:p w14:paraId="58995154" w14:textId="77777777" w:rsidR="00435F32" w:rsidRDefault="00435F32">
      <w:pPr>
        <w:ind w:left="720" w:hanging="720"/>
        <w:jc w:val="center"/>
        <w:rPr>
          <w:rFonts w:ascii="Garamond" w:eastAsia="Garamond" w:hAnsi="Garamond" w:cs="Garamond"/>
          <w:b/>
          <w:color w:val="000000"/>
          <w:sz w:val="22"/>
          <w:szCs w:val="22"/>
        </w:rPr>
      </w:pPr>
    </w:p>
    <w:p w14:paraId="0CD1E3F4" w14:textId="77777777" w:rsidR="00435F32" w:rsidRDefault="00435F32">
      <w:pPr>
        <w:ind w:left="720" w:hanging="720"/>
        <w:jc w:val="center"/>
        <w:rPr>
          <w:rFonts w:ascii="Garamond" w:eastAsia="Garamond" w:hAnsi="Garamond" w:cs="Garamond"/>
          <w:b/>
          <w:color w:val="000000"/>
          <w:sz w:val="22"/>
          <w:szCs w:val="22"/>
        </w:rPr>
      </w:pPr>
    </w:p>
    <w:p w14:paraId="6B22B259" w14:textId="77777777" w:rsidR="00435F32" w:rsidRDefault="00435F32">
      <w:pPr>
        <w:widowControl/>
        <w:spacing w:after="160"/>
        <w:jc w:val="both"/>
        <w:rPr>
          <w:rFonts w:ascii="Garamond" w:eastAsia="Garamond" w:hAnsi="Garamond" w:cs="Garamond"/>
          <w:color w:val="000000"/>
          <w:sz w:val="22"/>
          <w:szCs w:val="22"/>
        </w:rPr>
      </w:pPr>
    </w:p>
    <w:sectPr w:rsidR="00435F32">
      <w:headerReference w:type="even" r:id="rId12"/>
      <w:headerReference w:type="default" r:id="rId13"/>
      <w:footerReference w:type="even" r:id="rId14"/>
      <w:footerReference w:type="default" r:id="rId15"/>
      <w:headerReference w:type="first" r:id="rId16"/>
      <w:footerReference w:type="first" r:id="rId17"/>
      <w:pgSz w:w="11907" w:h="16839"/>
      <w:pgMar w:top="1170" w:right="1440" w:bottom="1440" w:left="172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CC01" w14:textId="77777777" w:rsidR="005B55EB" w:rsidRDefault="005B55EB" w:rsidP="008C2430">
      <w:r>
        <w:separator/>
      </w:r>
    </w:p>
  </w:endnote>
  <w:endnote w:type="continuationSeparator" w:id="0">
    <w:p w14:paraId="1B47B8FD" w14:textId="77777777" w:rsidR="005B55EB" w:rsidRDefault="005B55EB" w:rsidP="008C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0915" w14:textId="77777777" w:rsidR="008C2430" w:rsidRDefault="008C2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BE6C" w14:textId="77777777" w:rsidR="008C2430" w:rsidRDefault="008C2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381E" w14:textId="77777777" w:rsidR="008C2430" w:rsidRDefault="008C2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0A20" w14:textId="77777777" w:rsidR="005B55EB" w:rsidRDefault="005B55EB" w:rsidP="008C2430">
      <w:r>
        <w:separator/>
      </w:r>
    </w:p>
  </w:footnote>
  <w:footnote w:type="continuationSeparator" w:id="0">
    <w:p w14:paraId="6414BB87" w14:textId="77777777" w:rsidR="005B55EB" w:rsidRDefault="005B55EB" w:rsidP="008C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46C" w14:textId="752F92C4" w:rsidR="008C2430" w:rsidRDefault="008C2430">
    <w:pPr>
      <w:pStyle w:val="Header"/>
    </w:pPr>
    <w:r>
      <w:rPr>
        <w:noProof/>
      </w:rPr>
      <w:pict w14:anchorId="7B43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41204" o:spid="_x0000_s1026" type="#_x0000_t136" style="position:absolute;margin-left:0;margin-top:0;width:554.4pt;height:61.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D257" w14:textId="781908C4" w:rsidR="008C2430" w:rsidRDefault="008C2430">
    <w:pPr>
      <w:pStyle w:val="Header"/>
    </w:pPr>
    <w:r>
      <w:rPr>
        <w:noProof/>
      </w:rPr>
      <w:pict w14:anchorId="531F7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41205" o:spid="_x0000_s1027" type="#_x0000_t136" style="position:absolute;margin-left:0;margin-top:0;width:554.4pt;height:61.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3667" w14:textId="0E963AED" w:rsidR="008C2430" w:rsidRDefault="008C2430">
    <w:pPr>
      <w:pStyle w:val="Header"/>
    </w:pPr>
    <w:r>
      <w:rPr>
        <w:noProof/>
      </w:rPr>
      <w:pict w14:anchorId="75105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41203" o:spid="_x0000_s1025" type="#_x0000_t136" style="position:absolute;margin-left:0;margin-top:0;width:554.4pt;height:61.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pStyle w:val="Els-1storder-head"/>
      <w:lvlText w:val="%1."/>
      <w:lvlJc w:val="left"/>
      <w:pPr>
        <w:ind w:left="720" w:hanging="360"/>
      </w:pPr>
      <w:rPr>
        <w:u w:val="none"/>
      </w:rPr>
    </w:lvl>
    <w:lvl w:ilvl="1">
      <w:start w:val="1"/>
      <w:numFmt w:val="lowerLetter"/>
      <w:pStyle w:val="Els-2ndorder-head"/>
      <w:lvlText w:val="%2."/>
      <w:lvlJc w:val="left"/>
      <w:pPr>
        <w:ind w:left="1440" w:hanging="360"/>
      </w:pPr>
      <w:rPr>
        <w:u w:val="none"/>
      </w:rPr>
    </w:lvl>
    <w:lvl w:ilvl="2">
      <w:start w:val="1"/>
      <w:numFmt w:val="lowerRoman"/>
      <w:pStyle w:val="Els-3rdorder-head"/>
      <w:lvlText w:val="%3."/>
      <w:lvlJc w:val="right"/>
      <w:pPr>
        <w:ind w:left="2160" w:hanging="360"/>
      </w:pPr>
      <w:rPr>
        <w:u w:val="none"/>
      </w:rPr>
    </w:lvl>
    <w:lvl w:ilvl="3">
      <w:start w:val="1"/>
      <w:numFmt w:val="decimal"/>
      <w:pStyle w:val="Els-4thorder-hea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680C1C"/>
    <w:multiLevelType w:val="hybridMultilevel"/>
    <w:tmpl w:val="0C78B0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E456630"/>
    <w:multiLevelType w:val="hybridMultilevel"/>
    <w:tmpl w:val="4B72EC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7023FD6"/>
    <w:multiLevelType w:val="hybridMultilevel"/>
    <w:tmpl w:val="A9664D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6216FA0"/>
    <w:multiLevelType w:val="hybridMultilevel"/>
    <w:tmpl w:val="66BA54A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08885907">
    <w:abstractNumId w:val="0"/>
  </w:num>
  <w:num w:numId="2" w16cid:durableId="258296137">
    <w:abstractNumId w:val="3"/>
  </w:num>
  <w:num w:numId="3" w16cid:durableId="1290086302">
    <w:abstractNumId w:val="2"/>
  </w:num>
  <w:num w:numId="4" w16cid:durableId="1373771906">
    <w:abstractNumId w:val="4"/>
  </w:num>
  <w:num w:numId="5" w16cid:durableId="129409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32"/>
    <w:rsid w:val="00435F32"/>
    <w:rsid w:val="0046224A"/>
    <w:rsid w:val="004C791F"/>
    <w:rsid w:val="005B55EB"/>
    <w:rsid w:val="005D1745"/>
    <w:rsid w:val="005E650F"/>
    <w:rsid w:val="007304B4"/>
    <w:rsid w:val="00763F6D"/>
    <w:rsid w:val="007961E9"/>
    <w:rsid w:val="007A346C"/>
    <w:rsid w:val="007B071B"/>
    <w:rsid w:val="00884620"/>
    <w:rsid w:val="008C2430"/>
    <w:rsid w:val="00985309"/>
    <w:rsid w:val="0099236F"/>
    <w:rsid w:val="009E1C3C"/>
    <w:rsid w:val="00AC30CA"/>
    <w:rsid w:val="00B611D4"/>
    <w:rsid w:val="00C34EDE"/>
    <w:rsid w:val="00DB5E6D"/>
    <w:rsid w:val="00E907FD"/>
    <w:rsid w:val="00F42368"/>
    <w:rsid w:val="1A04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4F06B"/>
  <w15:docId w15:val="{005AF2E9-D7BF-48E3-A833-5FD5D2E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Hyperlink" w:semiHidden="1" w:qFormat="1"/>
    <w:lsdException w:name="FollowedHyperlink" w:semiHidden="1"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New Roman" w:eastAsia="SimSun" w:hAnsi="Times New Roman" w:cs="Times New Roman"/>
      <w:lang w:val="en-GB" w:eastAsia="en-US"/>
    </w:rPr>
  </w:style>
  <w:style w:type="paragraph" w:styleId="Heading1">
    <w:name w:val="heading 1"/>
    <w:next w:val="Normal"/>
    <w:link w:val="Heading1Char"/>
    <w:uiPriority w:val="9"/>
    <w:qFormat/>
    <w:pPr>
      <w:spacing w:before="100" w:beforeAutospacing="1" w:after="100" w:afterAutospacing="1"/>
      <w:outlineLvl w:val="0"/>
    </w:pPr>
    <w:rPr>
      <w:rFonts w:eastAsia="Times New Roman"/>
      <w:b/>
      <w:bCs/>
      <w:kern w:val="36"/>
      <w:sz w:val="48"/>
      <w:szCs w:val="48"/>
      <w:lang w:val="en-US"/>
    </w:rPr>
  </w:style>
  <w:style w:type="paragraph" w:styleId="Heading2">
    <w:name w:val="heading 2"/>
    <w:next w:val="Normal"/>
    <w:qFormat/>
    <w:pPr>
      <w:keepNext/>
      <w:keepLines/>
      <w:widowControl w:val="0"/>
      <w:spacing w:before="360" w:after="80"/>
      <w:outlineLvl w:val="1"/>
    </w:pPr>
    <w:rPr>
      <w:b/>
      <w:sz w:val="36"/>
      <w:szCs w:val="36"/>
      <w:lang w:val="en-GB"/>
    </w:rPr>
  </w:style>
  <w:style w:type="paragraph" w:styleId="Heading3">
    <w:name w:val="heading 3"/>
    <w:next w:val="Normal"/>
    <w:qFormat/>
    <w:pPr>
      <w:keepNext/>
      <w:keepLines/>
      <w:widowControl w:val="0"/>
      <w:spacing w:before="280" w:after="80"/>
      <w:outlineLvl w:val="2"/>
    </w:pPr>
    <w:rPr>
      <w:b/>
      <w:sz w:val="28"/>
      <w:szCs w:val="28"/>
      <w:lang w:val="en-GB"/>
    </w:rPr>
  </w:style>
  <w:style w:type="paragraph" w:styleId="Heading4">
    <w:name w:val="heading 4"/>
    <w:next w:val="Normal"/>
    <w:qFormat/>
    <w:pPr>
      <w:keepNext/>
      <w:keepLines/>
      <w:widowControl w:val="0"/>
      <w:spacing w:before="240" w:after="40"/>
      <w:outlineLvl w:val="3"/>
    </w:pPr>
    <w:rPr>
      <w:b/>
      <w:sz w:val="24"/>
      <w:szCs w:val="24"/>
      <w:lang w:val="en-GB"/>
    </w:rPr>
  </w:style>
  <w:style w:type="paragraph" w:styleId="Heading5">
    <w:name w:val="heading 5"/>
    <w:next w:val="Normal"/>
    <w:qFormat/>
    <w:pPr>
      <w:keepNext/>
      <w:keepLines/>
      <w:widowControl w:val="0"/>
      <w:spacing w:before="220" w:after="40"/>
      <w:outlineLvl w:val="4"/>
    </w:pPr>
    <w:rPr>
      <w:b/>
      <w:sz w:val="22"/>
      <w:szCs w:val="22"/>
      <w:lang w:val="en-GB"/>
    </w:rPr>
  </w:style>
  <w:style w:type="paragraph" w:styleId="Heading6">
    <w:name w:val="heading 6"/>
    <w:next w:val="Normal"/>
    <w:qFormat/>
    <w:pPr>
      <w:keepNext/>
      <w:keepLines/>
      <w:widowControl w:val="0"/>
      <w:spacing w:before="200" w:after="40"/>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semiHidden/>
    <w:qFormat/>
    <w:rPr>
      <w:color w:val="auto"/>
      <w:sz w:val="16"/>
      <w:u w:val="none"/>
    </w:rPr>
  </w:style>
  <w:style w:type="paragraph" w:styleId="NormalWeb">
    <w:name w:val="Normal (Web)"/>
    <w:basedOn w:val="Normal"/>
    <w:uiPriority w:val="99"/>
    <w:unhideWhenUsed/>
    <w:qFormat/>
    <w:pPr>
      <w:widowControl/>
      <w:spacing w:before="100" w:beforeAutospacing="1" w:after="100" w:afterAutospacing="1"/>
    </w:pPr>
    <w:rPr>
      <w:rFonts w:eastAsia="Times New Roman"/>
      <w:sz w:val="24"/>
      <w:szCs w:val="24"/>
      <w:lang w:val="en-PH" w:eastAsia="en-PH"/>
    </w:rPr>
  </w:style>
  <w:style w:type="paragraph" w:styleId="Subtitle">
    <w:name w:val="Subtitle"/>
    <w:next w:val="Normal"/>
    <w:pPr>
      <w:keepNext/>
      <w:keepLines/>
      <w:widowControl w:val="0"/>
      <w:spacing w:before="360" w:after="80"/>
    </w:pPr>
    <w:rPr>
      <w:rFonts w:ascii="Georgia" w:eastAsia="Georgia" w:hAnsi="Georgia" w:cs="Georgia"/>
      <w:i/>
      <w:color w:val="666666"/>
      <w:sz w:val="48"/>
      <w:szCs w:val="48"/>
      <w:lang w:val="en-GB"/>
    </w:rPr>
  </w:style>
  <w:style w:type="table" w:styleId="TableGrid">
    <w:name w:val="Table Grid"/>
    <w:basedOn w:val="TableNormal12"/>
    <w:uiPriority w:val="39"/>
    <w:qFormat/>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tblPr>
      <w:tblCellMar>
        <w:top w:w="0" w:type="dxa"/>
        <w:left w:w="0" w:type="dxa"/>
        <w:bottom w:w="0" w:type="dxa"/>
        <w:right w:w="0" w:type="dxa"/>
      </w:tblCellMar>
    </w:tblPr>
  </w:style>
  <w:style w:type="paragraph" w:styleId="Title">
    <w:name w:val="Title"/>
    <w:next w:val="Normal"/>
    <w:qFormat/>
    <w:pPr>
      <w:keepNext/>
      <w:keepLines/>
      <w:widowControl w:val="0"/>
      <w:spacing w:before="480" w:after="120"/>
    </w:pPr>
    <w:rPr>
      <w:b/>
      <w:sz w:val="72"/>
      <w:szCs w:val="72"/>
      <w:lang w:val="en-GB"/>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Els-Affiliation">
    <w:name w:val="Els-Affiliation"/>
    <w:next w:val="Normal"/>
    <w:qFormat/>
    <w:pPr>
      <w:widowControl w:val="0"/>
      <w:suppressAutoHyphens/>
      <w:spacing w:line="200" w:lineRule="exact"/>
      <w:jc w:val="center"/>
    </w:pPr>
    <w:rPr>
      <w:rFonts w:ascii="Times New Roman" w:eastAsia="SimSun" w:hAnsi="Times New Roman" w:cs="Times New Roman"/>
      <w:i/>
      <w:sz w:val="16"/>
      <w:lang w:val="en-US" w:eastAsia="en-US"/>
    </w:rPr>
  </w:style>
  <w:style w:type="paragraph" w:customStyle="1" w:styleId="Els-Author">
    <w:name w:val="Els-Author"/>
    <w:next w:val="Normal"/>
    <w:qFormat/>
    <w:pPr>
      <w:keepNext/>
      <w:widowControl w:val="0"/>
      <w:suppressAutoHyphens/>
      <w:spacing w:after="160" w:line="300" w:lineRule="exact"/>
      <w:jc w:val="center"/>
    </w:pPr>
    <w:rPr>
      <w:rFonts w:ascii="Times New Roman" w:eastAsia="SimSun" w:hAnsi="Times New Roman" w:cs="Times New Roman"/>
      <w:sz w:val="26"/>
      <w:lang w:val="en-US" w:eastAsia="en-US"/>
    </w:rPr>
  </w:style>
  <w:style w:type="paragraph" w:customStyle="1" w:styleId="Els-Title">
    <w:name w:val="Els-Title"/>
    <w:next w:val="Els-Author"/>
    <w:autoRedefine/>
    <w:qFormat/>
    <w:pPr>
      <w:widowControl w:val="0"/>
      <w:suppressAutoHyphens/>
      <w:spacing w:after="240" w:line="400" w:lineRule="exact"/>
      <w:jc w:val="center"/>
    </w:pPr>
    <w:rPr>
      <w:rFonts w:ascii="Times New Roman" w:eastAsia="SimSun" w:hAnsi="Times New Roman" w:cs="Times New Roman"/>
      <w:sz w:val="34"/>
      <w:lang w:val="en-US" w:eastAsia="en-US"/>
    </w:rPr>
  </w:style>
  <w:style w:type="paragraph" w:customStyle="1" w:styleId="Els-1storder-head">
    <w:name w:val="Els-1storder-head"/>
    <w:next w:val="Normal"/>
    <w:qFormat/>
    <w:pPr>
      <w:keepNext/>
      <w:widowControl w:val="0"/>
      <w:numPr>
        <w:numId w:val="1"/>
      </w:numPr>
      <w:suppressAutoHyphens/>
      <w:spacing w:before="240" w:after="240" w:line="240" w:lineRule="exact"/>
    </w:pPr>
    <w:rPr>
      <w:rFonts w:ascii="Times New Roman" w:eastAsia="SimSun" w:hAnsi="Times New Roman" w:cs="Times New Roman"/>
      <w:b/>
      <w:lang w:val="en-US" w:eastAsia="en-US"/>
    </w:rPr>
  </w:style>
  <w:style w:type="paragraph" w:customStyle="1" w:styleId="Els-2ndorder-head">
    <w:name w:val="Els-2ndorder-head"/>
    <w:next w:val="Normal"/>
    <w:qFormat/>
    <w:pPr>
      <w:keepNext/>
      <w:widowControl w:val="0"/>
      <w:numPr>
        <w:ilvl w:val="1"/>
        <w:numId w:val="1"/>
      </w:numPr>
      <w:suppressAutoHyphens/>
      <w:spacing w:before="240" w:after="240" w:line="240" w:lineRule="exact"/>
    </w:pPr>
    <w:rPr>
      <w:rFonts w:ascii="Times New Roman" w:eastAsia="SimSun" w:hAnsi="Times New Roman" w:cs="Times New Roman"/>
      <w:i/>
      <w:lang w:val="en-US" w:eastAsia="en-US"/>
    </w:rPr>
  </w:style>
  <w:style w:type="paragraph" w:customStyle="1" w:styleId="Els-3rdorder-head">
    <w:name w:val="Els-3rdorder-head"/>
    <w:next w:val="Normal"/>
    <w:qFormat/>
    <w:pPr>
      <w:keepNext/>
      <w:widowControl w:val="0"/>
      <w:numPr>
        <w:ilvl w:val="2"/>
        <w:numId w:val="1"/>
      </w:numPr>
      <w:suppressAutoHyphens/>
      <w:spacing w:before="240" w:line="240" w:lineRule="exact"/>
    </w:pPr>
    <w:rPr>
      <w:rFonts w:ascii="Times New Roman" w:eastAsia="SimSun" w:hAnsi="Times New Roman" w:cs="Times New Roman"/>
      <w:i/>
      <w:lang w:val="en-US" w:eastAsia="en-US"/>
    </w:rPr>
  </w:style>
  <w:style w:type="paragraph" w:customStyle="1" w:styleId="Els-4thorder-head">
    <w:name w:val="Els-4thorder-head"/>
    <w:next w:val="Normal"/>
    <w:qFormat/>
    <w:pPr>
      <w:keepNext/>
      <w:widowControl w:val="0"/>
      <w:numPr>
        <w:ilvl w:val="3"/>
        <w:numId w:val="1"/>
      </w:numPr>
      <w:suppressAutoHyphens/>
      <w:spacing w:before="240" w:line="240" w:lineRule="exact"/>
    </w:pPr>
    <w:rPr>
      <w:rFonts w:ascii="Times New Roman" w:eastAsia="SimSun" w:hAnsi="Times New Roman" w:cs="Times New Roman"/>
      <w:i/>
      <w:lang w:val="en-US" w:eastAsia="en-US"/>
    </w:rPr>
  </w:style>
  <w:style w:type="paragraph" w:customStyle="1" w:styleId="Els-Abstract-head">
    <w:name w:val="Els-Abstract-head"/>
    <w:next w:val="Normal"/>
    <w:qFormat/>
    <w:pPr>
      <w:keepNext/>
      <w:widowControl w:val="0"/>
      <w:pBdr>
        <w:top w:val="single" w:sz="4" w:space="10" w:color="auto"/>
      </w:pBdr>
      <w:suppressAutoHyphens/>
      <w:spacing w:after="220" w:line="220" w:lineRule="exact"/>
    </w:pPr>
    <w:rPr>
      <w:rFonts w:ascii="Times New Roman" w:eastAsia="SimSun" w:hAnsi="Times New Roman" w:cs="Times New Roman"/>
      <w:b/>
      <w:sz w:val="18"/>
      <w:lang w:val="en-US" w:eastAsia="en-US"/>
    </w:rPr>
  </w:style>
  <w:style w:type="paragraph" w:customStyle="1" w:styleId="Els-history">
    <w:name w:val="Els-history"/>
    <w:next w:val="Normal"/>
    <w:qFormat/>
    <w:pPr>
      <w:widowControl w:val="0"/>
      <w:spacing w:before="120" w:after="400" w:line="200" w:lineRule="exact"/>
      <w:jc w:val="center"/>
    </w:pPr>
    <w:rPr>
      <w:rFonts w:ascii="Times New Roman" w:eastAsia="SimSun" w:hAnsi="Times New Roman" w:cs="Times New Roman"/>
      <w:sz w:val="16"/>
      <w:lang w:val="en-US" w:eastAsia="en-US"/>
    </w:rPr>
  </w:style>
  <w:style w:type="paragraph" w:customStyle="1" w:styleId="Els-keywords">
    <w:name w:val="Els-keywords"/>
    <w:next w:val="Normal"/>
    <w:qFormat/>
    <w:pPr>
      <w:widowControl w:val="0"/>
      <w:pBdr>
        <w:bottom w:val="single" w:sz="4" w:space="10" w:color="auto"/>
      </w:pBdr>
      <w:spacing w:after="200" w:line="200" w:lineRule="exact"/>
    </w:pPr>
    <w:rPr>
      <w:rFonts w:ascii="Times New Roman" w:eastAsia="SimSun" w:hAnsi="Times New Roman" w:cs="Times New Roman"/>
      <w:sz w:val="16"/>
      <w:lang w:val="en-US" w:eastAsia="en-US"/>
    </w:rPr>
  </w:style>
  <w:style w:type="paragraph" w:styleId="NoSpacing">
    <w:name w:val="No Spacing"/>
    <w:link w:val="NoSpacingChar"/>
    <w:uiPriority w:val="1"/>
    <w:qFormat/>
    <w:pPr>
      <w:widowControl w:val="0"/>
    </w:pPr>
    <w:rPr>
      <w:rFonts w:ascii="Times New Roman" w:eastAsia="SimSun" w:hAnsi="Times New Roman" w:cs="Times New Roman"/>
      <w:lang w:val="en-GB" w:eastAsia="en-US"/>
    </w:rPr>
  </w:style>
  <w:style w:type="character" w:customStyle="1" w:styleId="NoSpacingChar">
    <w:name w:val="No Spacing Char"/>
    <w:link w:val="NoSpacing"/>
    <w:uiPriority w:val="1"/>
    <w:qFormat/>
    <w:locked/>
    <w:rPr>
      <w:rFonts w:ascii="Times New Roman" w:eastAsia="SimSun" w:hAnsi="Times New Roman" w:cs="Times New Roman"/>
      <w:kern w:val="0"/>
      <w:sz w:val="20"/>
      <w:szCs w:val="20"/>
      <w:lang w:val="en-GB"/>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12"/>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36">
    <w:name w:val="_Style 36"/>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7">
    <w:name w:val="_Style 37"/>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8">
    <w:name w:val="_Style 38"/>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9">
    <w:name w:val="_Style 39"/>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40">
    <w:name w:val="_Style 40"/>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41">
    <w:name w:val="_Style 41"/>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42">
    <w:name w:val="_Style 42"/>
    <w:basedOn w:val="TableNormal1"/>
    <w:qFormat/>
    <w:tblPr>
      <w:tblCellMar>
        <w:left w:w="108" w:type="dxa"/>
        <w:right w:w="108" w:type="dxa"/>
      </w:tblCellMar>
    </w:tblPr>
  </w:style>
  <w:style w:type="table" w:customStyle="1" w:styleId="Style43">
    <w:name w:val="_Style 43"/>
    <w:basedOn w:val="TableNormal1"/>
    <w:qFormat/>
    <w:tblPr>
      <w:tblCellMar>
        <w:left w:w="108" w:type="dxa"/>
        <w:right w:w="108" w:type="dxa"/>
      </w:tblCellMar>
    </w:tbl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54">
    <w:name w:val="_Style 54"/>
    <w:basedOn w:val="TableNormal1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55">
    <w:name w:val="_Style 55"/>
    <w:basedOn w:val="TableNormal1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56">
    <w:name w:val="_Style 56"/>
    <w:basedOn w:val="TableNormal1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57">
    <w:name w:val="_Style 57"/>
    <w:basedOn w:val="TableNormal11"/>
    <w:qFormat/>
    <w:tblPr>
      <w:tblCellMar>
        <w:left w:w="108" w:type="dxa"/>
        <w:right w:w="108" w:type="dxa"/>
      </w:tblCellMar>
    </w:tblPr>
  </w:style>
  <w:style w:type="table" w:customStyle="1" w:styleId="Style58">
    <w:name w:val="_Style 58"/>
    <w:basedOn w:val="TableNormal11"/>
    <w:qFormat/>
    <w:tblPr>
      <w:tblCellMar>
        <w:left w:w="108" w:type="dxa"/>
        <w:right w:w="108" w:type="dxa"/>
      </w:tblCellMar>
    </w:tblPr>
  </w:style>
  <w:style w:type="table" w:customStyle="1" w:styleId="Style59">
    <w:name w:val="_Style 59"/>
    <w:basedOn w:val="TableNormal11"/>
    <w:qFormat/>
    <w:tblPr>
      <w:tblCellMar>
        <w:left w:w="108" w:type="dxa"/>
        <w:right w:w="108" w:type="dxa"/>
      </w:tblCellMar>
    </w:tblPr>
  </w:style>
  <w:style w:type="table" w:customStyle="1" w:styleId="Style60">
    <w:name w:val="_Style 60"/>
    <w:basedOn w:val="TableNormal11"/>
    <w:tblPr>
      <w:tblCellMar>
        <w:left w:w="108" w:type="dxa"/>
        <w:right w:w="108" w:type="dxa"/>
      </w:tblCellMar>
    </w:tblPr>
  </w:style>
  <w:style w:type="table" w:customStyle="1" w:styleId="Style62">
    <w:name w:val="_Style 62"/>
    <w:basedOn w:val="TableNormal12"/>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63">
    <w:name w:val="_Style 63"/>
    <w:basedOn w:val="TableNormal12"/>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64">
    <w:name w:val="_Style 64"/>
    <w:basedOn w:val="TableNormal12"/>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5D1745"/>
    <w:rPr>
      <w:color w:val="605E5C"/>
      <w:shd w:val="clear" w:color="auto" w:fill="E1DFDD"/>
    </w:rPr>
  </w:style>
  <w:style w:type="paragraph" w:styleId="Header">
    <w:name w:val="header"/>
    <w:basedOn w:val="Normal"/>
    <w:link w:val="HeaderChar"/>
    <w:rsid w:val="008C2430"/>
    <w:pPr>
      <w:tabs>
        <w:tab w:val="center" w:pos="4680"/>
        <w:tab w:val="right" w:pos="9360"/>
      </w:tabs>
    </w:pPr>
  </w:style>
  <w:style w:type="character" w:customStyle="1" w:styleId="HeaderChar">
    <w:name w:val="Header Char"/>
    <w:basedOn w:val="DefaultParagraphFont"/>
    <w:link w:val="Header"/>
    <w:rsid w:val="008C2430"/>
    <w:rPr>
      <w:rFonts w:ascii="Times New Roman" w:eastAsia="SimSun" w:hAnsi="Times New Roman" w:cs="Times New Roman"/>
      <w:lang w:val="en-GB" w:eastAsia="en-US"/>
    </w:rPr>
  </w:style>
  <w:style w:type="paragraph" w:styleId="Footer">
    <w:name w:val="footer"/>
    <w:basedOn w:val="Normal"/>
    <w:link w:val="FooterChar"/>
    <w:rsid w:val="008C2430"/>
    <w:pPr>
      <w:tabs>
        <w:tab w:val="center" w:pos="4680"/>
        <w:tab w:val="right" w:pos="9360"/>
      </w:tabs>
    </w:pPr>
  </w:style>
  <w:style w:type="character" w:customStyle="1" w:styleId="FooterChar">
    <w:name w:val="Footer Char"/>
    <w:basedOn w:val="DefaultParagraphFont"/>
    <w:link w:val="Footer"/>
    <w:rsid w:val="008C243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67941">
      <w:bodyDiv w:val="1"/>
      <w:marLeft w:val="0"/>
      <w:marRight w:val="0"/>
      <w:marTop w:val="0"/>
      <w:marBottom w:val="0"/>
      <w:divBdr>
        <w:top w:val="none" w:sz="0" w:space="0" w:color="auto"/>
        <w:left w:val="none" w:sz="0" w:space="0" w:color="auto"/>
        <w:bottom w:val="none" w:sz="0" w:space="0" w:color="auto"/>
        <w:right w:val="none" w:sz="0" w:space="0" w:color="auto"/>
      </w:divBdr>
    </w:div>
    <w:div w:id="186466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423-022-10138-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3102/0034654307400105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30935/cedtech/143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rMnilSppji4L+5mZHXtKRuJKQ==">CgMxLjAyDmguZWNwdG1wdmJyODhjOAByITFaYnJ0Qm9CQ1Z6RGdkOF9XZU9odTZNam9lWEdQdWJVSQ==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3479</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Editor-22</cp:lastModifiedBy>
  <cp:revision>35</cp:revision>
  <dcterms:created xsi:type="dcterms:W3CDTF">2025-06-02T04:12:00Z</dcterms:created>
  <dcterms:modified xsi:type="dcterms:W3CDTF">2025-06-07T10:39:00Z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f06fbed19a5ec500f1618064fbd076c2d39804f21d8a2ad0e1378b1f61fcb0cc</vt:lpwstr>
  </property>
  <property fmtid="{D5CDD505-2E9C-101B-9397-08002B2CF9AE}" pid="3" name="KSOProductBuildVer">
    <vt:lpwstr>1033-12.2.0.21179</vt:lpwstr>
  </property>
  <property fmtid="{D5CDD505-2E9C-101B-9397-08002B2CF9AE}" pid="4" name="ICV">
    <vt:lpwstr>9CBA86FAA43A488A96F6CB5C95E327E1_13</vt:lpwstr>
  </property>
</Properties>
</file>