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4ED1" w14:textId="77777777" w:rsidR="007F0518" w:rsidRPr="00911412" w:rsidRDefault="005D722A" w:rsidP="007F0518">
      <w:pPr>
        <w:jc w:val="center"/>
        <w:rPr>
          <w:rFonts w:ascii="Garamond" w:hAnsi="Garamond"/>
          <w:b/>
          <w:sz w:val="22"/>
          <w:szCs w:val="22"/>
        </w:rPr>
      </w:pPr>
      <w:r w:rsidRPr="00911412">
        <w:rPr>
          <w:rFonts w:ascii="Garamond" w:hAnsi="Garamond"/>
          <w:b/>
          <w:sz w:val="22"/>
          <w:szCs w:val="22"/>
        </w:rPr>
        <w:t xml:space="preserve">Comparative Analysis of NAT Results Across Five Learning Areas Among </w:t>
      </w:r>
      <w:proofErr w:type="spellStart"/>
      <w:r w:rsidRPr="00911412">
        <w:rPr>
          <w:rFonts w:ascii="Garamond" w:hAnsi="Garamond"/>
          <w:b/>
          <w:sz w:val="22"/>
          <w:szCs w:val="22"/>
        </w:rPr>
        <w:t>Buhangin</w:t>
      </w:r>
      <w:proofErr w:type="spellEnd"/>
      <w:r w:rsidRPr="00911412">
        <w:rPr>
          <w:rFonts w:ascii="Garamond" w:hAnsi="Garamond"/>
          <w:b/>
          <w:sz w:val="22"/>
          <w:szCs w:val="22"/>
        </w:rPr>
        <w:t xml:space="preserve"> East District Public </w:t>
      </w:r>
      <w:r w:rsidR="00DE7C62" w:rsidRPr="00911412">
        <w:rPr>
          <w:rFonts w:ascii="Garamond" w:hAnsi="Garamond"/>
          <w:b/>
          <w:sz w:val="22"/>
          <w:szCs w:val="22"/>
        </w:rPr>
        <w:t xml:space="preserve">Elementary </w:t>
      </w:r>
      <w:r w:rsidRPr="00911412">
        <w:rPr>
          <w:rFonts w:ascii="Garamond" w:hAnsi="Garamond"/>
          <w:b/>
          <w:sz w:val="22"/>
          <w:szCs w:val="22"/>
        </w:rPr>
        <w:t xml:space="preserve">Schools </w:t>
      </w:r>
    </w:p>
    <w:p w14:paraId="55E58FA4" w14:textId="4DDE2F4E" w:rsidR="008E6EDF" w:rsidRDefault="008E6EDF" w:rsidP="00F12B48">
      <w:pPr>
        <w:widowControl w:val="0"/>
        <w:pBdr>
          <w:bottom w:val="single" w:sz="12" w:space="1" w:color="auto"/>
        </w:pBdr>
        <w:spacing w:after="0" w:line="240" w:lineRule="auto"/>
        <w:rPr>
          <w:rFonts w:ascii="Garamond" w:eastAsia="Times New Roman" w:hAnsi="Garamond" w:cs="Arial"/>
          <w:b/>
          <w:bCs/>
          <w:color w:val="EE0000"/>
          <w:kern w:val="0"/>
          <w:sz w:val="22"/>
          <w:szCs w:val="22"/>
          <w:lang w:val="en-GB"/>
          <w14:ligatures w14:val="none"/>
        </w:rPr>
      </w:pPr>
    </w:p>
    <w:p w14:paraId="44898C5A" w14:textId="77777777" w:rsidR="00F31B4F" w:rsidRPr="001C0D87" w:rsidRDefault="00F31B4F" w:rsidP="00F12B48">
      <w:pPr>
        <w:widowControl w:val="0"/>
        <w:pBdr>
          <w:bottom w:val="single" w:sz="12" w:space="1" w:color="auto"/>
        </w:pBdr>
        <w:spacing w:after="0" w:line="240" w:lineRule="auto"/>
        <w:rPr>
          <w:rFonts w:ascii="Garamond" w:eastAsia="Times New Roman" w:hAnsi="Garamond" w:cs="Arial"/>
          <w:b/>
          <w:bCs/>
          <w:color w:val="EE0000"/>
          <w:kern w:val="0"/>
          <w:sz w:val="22"/>
          <w:szCs w:val="22"/>
          <w:lang w:val="en-GB"/>
          <w14:ligatures w14:val="none"/>
        </w:rPr>
      </w:pPr>
    </w:p>
    <w:p w14:paraId="62C46283" w14:textId="77777777" w:rsidR="008E6EDF" w:rsidRPr="00A72B51" w:rsidRDefault="008E6EDF" w:rsidP="00A72B51">
      <w:pPr>
        <w:pStyle w:val="NoSpacing"/>
        <w:rPr>
          <w:rFonts w:ascii="Garamond" w:hAnsi="Garamond"/>
          <w:b/>
          <w:bCs/>
          <w:sz w:val="22"/>
          <w:szCs w:val="22"/>
          <w:lang w:val="en-GB"/>
        </w:rPr>
      </w:pPr>
    </w:p>
    <w:p w14:paraId="230436ED" w14:textId="77777777" w:rsidR="008E6EDF" w:rsidRDefault="005D722A" w:rsidP="00A72B51">
      <w:pPr>
        <w:pStyle w:val="NoSpacing"/>
        <w:rPr>
          <w:rFonts w:ascii="Garamond" w:hAnsi="Garamond"/>
          <w:b/>
          <w:bCs/>
          <w:sz w:val="22"/>
          <w:szCs w:val="22"/>
          <w:lang w:val="en-GB"/>
        </w:rPr>
      </w:pPr>
      <w:r w:rsidRPr="00A72B51">
        <w:rPr>
          <w:rFonts w:ascii="Garamond" w:hAnsi="Garamond"/>
          <w:b/>
          <w:bCs/>
          <w:sz w:val="22"/>
          <w:szCs w:val="22"/>
          <w:lang w:val="en-GB"/>
        </w:rPr>
        <w:t>Abstract</w:t>
      </w:r>
    </w:p>
    <w:p w14:paraId="73BBD4D2" w14:textId="09E649CE" w:rsidR="00A72B51" w:rsidRDefault="005D722A" w:rsidP="001C0D87">
      <w:pPr>
        <w:pBdr>
          <w:bottom w:val="single" w:sz="12" w:space="1" w:color="auto"/>
        </w:pBdr>
        <w:spacing w:before="100" w:beforeAutospacing="1" w:after="100" w:afterAutospacing="1" w:line="240" w:lineRule="auto"/>
        <w:jc w:val="both"/>
        <w:rPr>
          <w:rFonts w:ascii="Garamond" w:eastAsia="Times New Roman" w:hAnsi="Garamond" w:cs="Arial"/>
          <w:bCs/>
          <w:color w:val="000000"/>
          <w:kern w:val="0"/>
          <w:sz w:val="22"/>
          <w:szCs w:val="22"/>
          <w14:ligatures w14:val="none"/>
        </w:rPr>
      </w:pPr>
      <w:r w:rsidRPr="00A72B51">
        <w:rPr>
          <w:rFonts w:ascii="Garamond" w:eastAsia="Times New Roman" w:hAnsi="Garamond" w:cs="Arial"/>
          <w:bCs/>
          <w:color w:val="000000"/>
          <w:kern w:val="0"/>
          <w:sz w:val="22"/>
          <w:szCs w:val="22"/>
          <w14:ligatures w14:val="none"/>
        </w:rPr>
        <w:t xml:space="preserve">This study aimed to analyze and compare the National Achievement Test (NAT) performance of public elementary schools in the </w:t>
      </w:r>
      <w:proofErr w:type="spellStart"/>
      <w:r w:rsidRPr="00A72B51">
        <w:rPr>
          <w:rFonts w:ascii="Garamond" w:eastAsia="Times New Roman" w:hAnsi="Garamond" w:cs="Arial"/>
          <w:bCs/>
          <w:color w:val="000000"/>
          <w:kern w:val="0"/>
          <w:sz w:val="22"/>
          <w:szCs w:val="22"/>
          <w14:ligatures w14:val="none"/>
        </w:rPr>
        <w:t>Buhangin</w:t>
      </w:r>
      <w:proofErr w:type="spellEnd"/>
      <w:r w:rsidRPr="00A72B51">
        <w:rPr>
          <w:rFonts w:ascii="Garamond" w:eastAsia="Times New Roman" w:hAnsi="Garamond" w:cs="Arial"/>
          <w:bCs/>
          <w:color w:val="000000"/>
          <w:kern w:val="0"/>
          <w:sz w:val="22"/>
          <w:szCs w:val="22"/>
          <w14:ligatures w14:val="none"/>
        </w:rPr>
        <w:t xml:space="preserve"> East District of Davao City across five key learning areas: English, Mathematics, Science, Filipino, and </w:t>
      </w:r>
      <w:proofErr w:type="spellStart"/>
      <w:r w:rsidRPr="00A72B51">
        <w:rPr>
          <w:rFonts w:ascii="Garamond" w:eastAsia="Times New Roman" w:hAnsi="Garamond" w:cs="Arial"/>
          <w:bCs/>
          <w:color w:val="000000"/>
          <w:kern w:val="0"/>
          <w:sz w:val="22"/>
          <w:szCs w:val="22"/>
          <w14:ligatures w14:val="none"/>
        </w:rPr>
        <w:t>Araling</w:t>
      </w:r>
      <w:proofErr w:type="spellEnd"/>
      <w:r w:rsidRPr="00A72B51">
        <w:rPr>
          <w:rFonts w:ascii="Garamond" w:eastAsia="Times New Roman" w:hAnsi="Garamond" w:cs="Arial"/>
          <w:bCs/>
          <w:color w:val="000000"/>
          <w:kern w:val="0"/>
          <w:sz w:val="22"/>
          <w:szCs w:val="22"/>
          <w14:ligatures w14:val="none"/>
        </w:rPr>
        <w:t xml:space="preserve"> </w:t>
      </w:r>
      <w:proofErr w:type="spellStart"/>
      <w:r w:rsidRPr="00A72B51">
        <w:rPr>
          <w:rFonts w:ascii="Garamond" w:eastAsia="Times New Roman" w:hAnsi="Garamond" w:cs="Arial"/>
          <w:bCs/>
          <w:color w:val="000000"/>
          <w:kern w:val="0"/>
          <w:sz w:val="22"/>
          <w:szCs w:val="22"/>
          <w14:ligatures w14:val="none"/>
        </w:rPr>
        <w:t>Panlipunan</w:t>
      </w:r>
      <w:proofErr w:type="spellEnd"/>
      <w:r w:rsidRPr="00A72B51">
        <w:rPr>
          <w:rFonts w:ascii="Garamond" w:eastAsia="Times New Roman" w:hAnsi="Garamond" w:cs="Arial"/>
          <w:bCs/>
          <w:color w:val="000000"/>
          <w:kern w:val="0"/>
          <w:sz w:val="22"/>
          <w:szCs w:val="22"/>
          <w14:ligatures w14:val="none"/>
        </w:rPr>
        <w:t xml:space="preserve">. Grounded in Tyler’s Objectives-Based Model, the research employed a quantitative, comparative design using school-level NAT data from Grade 6 learners. Descriptive statistics revealed that all subjects registered moderate mean percentage scores, with Filipino showing the highest average and Science the lowest. However, results from the </w:t>
      </w:r>
      <w:r w:rsidR="001C0D87">
        <w:rPr>
          <w:rFonts w:ascii="Garamond" w:eastAsia="Times New Roman" w:hAnsi="Garamond" w:cs="Arial"/>
          <w:bCs/>
          <w:color w:val="000000"/>
          <w:kern w:val="0"/>
          <w:sz w:val="22"/>
          <w:szCs w:val="22"/>
          <w14:ligatures w14:val="none"/>
        </w:rPr>
        <w:t>Kruskal-</w:t>
      </w:r>
      <w:proofErr w:type="gramStart"/>
      <w:r w:rsidR="001C0D87">
        <w:rPr>
          <w:rFonts w:ascii="Garamond" w:eastAsia="Times New Roman" w:hAnsi="Garamond" w:cs="Arial"/>
          <w:bCs/>
          <w:color w:val="000000"/>
          <w:kern w:val="0"/>
          <w:sz w:val="22"/>
          <w:szCs w:val="22"/>
          <w14:ligatures w14:val="none"/>
        </w:rPr>
        <w:t>Wallis</w:t>
      </w:r>
      <w:proofErr w:type="gramEnd"/>
      <w:r w:rsidRPr="00A72B51">
        <w:rPr>
          <w:rFonts w:ascii="Garamond" w:eastAsia="Times New Roman" w:hAnsi="Garamond" w:cs="Arial"/>
          <w:bCs/>
          <w:color w:val="000000"/>
          <w:kern w:val="0"/>
          <w:sz w:val="22"/>
          <w:szCs w:val="22"/>
          <w14:ligatures w14:val="none"/>
        </w:rPr>
        <w:t xml:space="preserve"> test indicated no statistically significant difference in performance among the five subjects (p &gt; 0.05). These findings suggest a relatively balanced academic performance across learning areas in the district. While the consistency in scores reflects positively on the district’s instructional delivery, the study recommends targeted interventions in subjects with lower averages, particularly Science and English. Enhanced teacher training, updated instructional resources, and subject-specific remediation programs are proposed to elevate student achievement further and ensure continuous educational improvement.</w:t>
      </w:r>
    </w:p>
    <w:p w14:paraId="07E07B5F" w14:textId="77777777" w:rsidR="00040ED9" w:rsidRPr="00A72B51" w:rsidRDefault="005D722A" w:rsidP="00A72B51">
      <w:pPr>
        <w:pBdr>
          <w:bottom w:val="single" w:sz="12" w:space="1" w:color="auto"/>
        </w:pBdr>
        <w:spacing w:before="100" w:beforeAutospacing="1" w:after="100" w:afterAutospacing="1" w:line="240" w:lineRule="auto"/>
        <w:jc w:val="both"/>
        <w:rPr>
          <w:rFonts w:ascii="Garamond" w:eastAsia="Times New Roman" w:hAnsi="Garamond" w:cs="Arial"/>
          <w:color w:val="000000"/>
          <w:kern w:val="0"/>
          <w:sz w:val="22"/>
          <w:szCs w:val="22"/>
          <w:lang w:val="en-GB"/>
          <w14:ligatures w14:val="none"/>
        </w:rPr>
      </w:pPr>
      <w:r w:rsidRPr="00911412">
        <w:rPr>
          <w:rFonts w:ascii="Garamond" w:hAnsi="Garamond"/>
          <w:b/>
          <w:bCs/>
          <w:i/>
          <w:sz w:val="22"/>
          <w:szCs w:val="22"/>
          <w:lang w:val="en-US"/>
        </w:rPr>
        <w:t>Keywords</w:t>
      </w:r>
      <w:r w:rsidRPr="00911412">
        <w:rPr>
          <w:rFonts w:ascii="Garamond" w:hAnsi="Garamond"/>
          <w:i/>
          <w:sz w:val="22"/>
          <w:szCs w:val="22"/>
          <w:lang w:val="en-US"/>
        </w:rPr>
        <w:t xml:space="preserve">:  NAT Results, learning areas, </w:t>
      </w:r>
      <w:proofErr w:type="spellStart"/>
      <w:r w:rsidRPr="00911412">
        <w:rPr>
          <w:rFonts w:ascii="Garamond" w:hAnsi="Garamond"/>
          <w:i/>
          <w:sz w:val="22"/>
          <w:szCs w:val="22"/>
          <w:lang w:val="en-US"/>
        </w:rPr>
        <w:t>Buhangin</w:t>
      </w:r>
      <w:proofErr w:type="spellEnd"/>
      <w:r w:rsidRPr="00911412">
        <w:rPr>
          <w:rFonts w:ascii="Garamond" w:hAnsi="Garamond"/>
          <w:i/>
          <w:sz w:val="22"/>
          <w:szCs w:val="22"/>
          <w:lang w:val="en-US"/>
        </w:rPr>
        <w:t xml:space="preserve"> East District, public elementary schools </w:t>
      </w:r>
    </w:p>
    <w:p w14:paraId="49E9A163" w14:textId="77777777" w:rsidR="008E6EDF" w:rsidRDefault="005D722A" w:rsidP="008E6EDF">
      <w:pPr>
        <w:keepNext/>
        <w:pBdr>
          <w:top w:val="nil"/>
          <w:left w:val="nil"/>
          <w:bottom w:val="nil"/>
          <w:right w:val="nil"/>
          <w:between w:val="nil"/>
        </w:pBdr>
        <w:spacing w:before="240" w:after="240" w:line="240" w:lineRule="auto"/>
        <w:jc w:val="both"/>
        <w:rPr>
          <w:rFonts w:ascii="Garamond" w:eastAsia="Times New Roman" w:hAnsi="Garamond" w:cs="Arial"/>
          <w:b/>
          <w:color w:val="000000"/>
          <w:kern w:val="0"/>
          <w:sz w:val="22"/>
          <w:szCs w:val="22"/>
          <w:lang w:val="en-GB"/>
          <w14:ligatures w14:val="none"/>
        </w:rPr>
      </w:pPr>
      <w:r w:rsidRPr="00911412">
        <w:rPr>
          <w:rFonts w:ascii="Garamond" w:eastAsia="Times New Roman" w:hAnsi="Garamond" w:cs="Arial"/>
          <w:b/>
          <w:color w:val="000000"/>
          <w:kern w:val="0"/>
          <w:sz w:val="22"/>
          <w:szCs w:val="22"/>
          <w:lang w:val="en-GB"/>
          <w14:ligatures w14:val="none"/>
        </w:rPr>
        <w:t>Introduction</w:t>
      </w:r>
    </w:p>
    <w:p w14:paraId="4F8BF020" w14:textId="38F5DE4E"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Education is a cornerstone of individual and national development, with standardized assessments playing a key role in monitoring and improving learning outcomes (DepEd, 2023; Bernardo, 2020). These assessments </w:t>
      </w:r>
      <w:r>
        <w:rPr>
          <w:rFonts w:ascii="Garamond" w:eastAsia="Times New Roman" w:hAnsi="Garamond" w:cs="Times New Roman"/>
          <w:kern w:val="0"/>
          <w:sz w:val="22"/>
          <w:lang w:val="en-US"/>
          <w14:ligatures w14:val="none"/>
        </w:rPr>
        <w:t>provide objective data on student performance, helping to</w:t>
      </w:r>
      <w:r w:rsidRPr="00F12B48">
        <w:rPr>
          <w:rFonts w:ascii="Garamond" w:eastAsia="Times New Roman" w:hAnsi="Garamond" w:cs="Times New Roman"/>
          <w:kern w:val="0"/>
          <w:sz w:val="22"/>
          <w:lang w:val="en-US"/>
          <w14:ligatures w14:val="none"/>
        </w:rPr>
        <w:t xml:space="preserve"> ensure that educational goals are met. In the Philippines, the Department of Education (DepEd) administers the National Achievement Test (NAT) to assess learners' proficiency in English, Mathematics, Science, Filipino, and </w:t>
      </w:r>
      <w:proofErr w:type="spellStart"/>
      <w:r w:rsidRPr="00F12B48">
        <w:rPr>
          <w:rFonts w:ascii="Garamond" w:eastAsia="Times New Roman" w:hAnsi="Garamond" w:cs="Times New Roman"/>
          <w:kern w:val="0"/>
          <w:sz w:val="22"/>
          <w:lang w:val="en-US"/>
          <w14:ligatures w14:val="none"/>
        </w:rPr>
        <w:t>Araling</w:t>
      </w:r>
      <w:proofErr w:type="spellEnd"/>
      <w:r w:rsidRPr="00F12B48">
        <w:rPr>
          <w:rFonts w:ascii="Garamond" w:eastAsia="Times New Roman" w:hAnsi="Garamond" w:cs="Times New Roman"/>
          <w:kern w:val="0"/>
          <w:sz w:val="22"/>
          <w:lang w:val="en-US"/>
          <w14:ligatures w14:val="none"/>
        </w:rPr>
        <w:t xml:space="preserve"> </w:t>
      </w:r>
      <w:proofErr w:type="spellStart"/>
      <w:r w:rsidRPr="00F12B48">
        <w:rPr>
          <w:rFonts w:ascii="Garamond" w:eastAsia="Times New Roman" w:hAnsi="Garamond" w:cs="Times New Roman"/>
          <w:kern w:val="0"/>
          <w:sz w:val="22"/>
          <w:lang w:val="en-US"/>
          <w14:ligatures w14:val="none"/>
        </w:rPr>
        <w:t>Panlipunan</w:t>
      </w:r>
      <w:proofErr w:type="spellEnd"/>
      <w:r w:rsidRPr="00F12B48">
        <w:rPr>
          <w:rFonts w:ascii="Garamond" w:eastAsia="Times New Roman" w:hAnsi="Garamond" w:cs="Times New Roman"/>
          <w:kern w:val="0"/>
          <w:sz w:val="22"/>
          <w:lang w:val="en-US"/>
          <w14:ligatures w14:val="none"/>
        </w:rPr>
        <w:t>, serving as a diagnostic and policy-shaping tool (DepEd, 2023).</w:t>
      </w:r>
    </w:p>
    <w:p w14:paraId="4687ED37" w14:textId="77777777"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Globally, standardized tests such as the </w:t>
      </w:r>
      <w:proofErr w:type="spellStart"/>
      <w:r w:rsidRPr="00F12B48">
        <w:rPr>
          <w:rFonts w:ascii="Garamond" w:eastAsia="Times New Roman" w:hAnsi="Garamond" w:cs="Times New Roman"/>
          <w:kern w:val="0"/>
          <w:sz w:val="22"/>
          <w:lang w:val="en-US"/>
          <w14:ligatures w14:val="none"/>
        </w:rPr>
        <w:t>Programme</w:t>
      </w:r>
      <w:proofErr w:type="spellEnd"/>
      <w:r w:rsidRPr="00F12B48">
        <w:rPr>
          <w:rFonts w:ascii="Garamond" w:eastAsia="Times New Roman" w:hAnsi="Garamond" w:cs="Times New Roman"/>
          <w:kern w:val="0"/>
          <w:sz w:val="22"/>
          <w:lang w:val="en-US"/>
          <w14:ligatures w14:val="none"/>
        </w:rPr>
        <w:t xml:space="preserve"> for International Student Assessment (PISA), Trends in International Mathematics and Science Study (TIMSS), and Progress in International Reading Literacy Study (PIRLS) are widely used to evaluate student competencies and inform educational reforms (OECD, 2019; Schleicher, 2018; Mullis et al., 2020). These tools reveal disparities in performance and highlight factors like teacher effectiveness, parental involvement, and school leadership that impact academic outcomes (Darling-Hammond, 2017; Gustafsson, 2020).</w:t>
      </w:r>
    </w:p>
    <w:p w14:paraId="67A43EE7" w14:textId="02055BC2" w:rsidR="00F12B48" w:rsidRPr="00F12B48" w:rsidRDefault="00F12B48" w:rsidP="00F12B48">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In the Philippines, the NAT is conducted at key grade levels and is part of </w:t>
      </w:r>
      <w:r w:rsidR="0053094F">
        <w:rPr>
          <w:rFonts w:ascii="Garamond" w:eastAsia="Times New Roman" w:hAnsi="Garamond" w:cs="Times New Roman"/>
          <w:kern w:val="0"/>
          <w:sz w:val="22"/>
          <w:lang w:val="en-US"/>
          <w14:ligatures w14:val="none"/>
        </w:rPr>
        <w:t>the Department of Education's (DepEd)</w:t>
      </w:r>
      <w:r w:rsidRPr="00F12B48">
        <w:rPr>
          <w:rFonts w:ascii="Garamond" w:eastAsia="Times New Roman" w:hAnsi="Garamond" w:cs="Times New Roman"/>
          <w:kern w:val="0"/>
          <w:sz w:val="22"/>
          <w:lang w:val="en-US"/>
          <w14:ligatures w14:val="none"/>
        </w:rPr>
        <w:t xml:space="preserve"> Basic Education Monitoring and Evaluation framework. However, systemic challenges—such as teacher shortages, overcrowded classrooms, and unequal access to learning materials—continue to hinder effective instruction (Sarmiento &amp; Oracion, 2022; Tupas, 2019). Additionally, significant variations in NAT performance exist across regions and learning areas, often reflecting disparities between urban and rural schools (Cruz, 2018; Delos Reyes, 2021).</w:t>
      </w:r>
    </w:p>
    <w:p w14:paraId="70B96A7C" w14:textId="03608DD5" w:rsidR="00F12B48" w:rsidRPr="00911412" w:rsidRDefault="00F12B48" w:rsidP="00F12B48">
      <w:pPr>
        <w:pStyle w:val="NormalWeb"/>
        <w:ind w:firstLine="720"/>
        <w:jc w:val="both"/>
        <w:rPr>
          <w:rFonts w:ascii="Garamond" w:hAnsi="Garamond"/>
          <w:sz w:val="22"/>
          <w:szCs w:val="22"/>
        </w:rPr>
      </w:pPr>
      <w:r w:rsidRPr="00F12B48">
        <w:rPr>
          <w:rFonts w:ascii="Garamond" w:hAnsi="Garamond"/>
          <w:sz w:val="22"/>
        </w:rPr>
        <w:t xml:space="preserve">In Davao City’s </w:t>
      </w:r>
      <w:proofErr w:type="spellStart"/>
      <w:r w:rsidRPr="00F12B48">
        <w:rPr>
          <w:rFonts w:ascii="Garamond" w:hAnsi="Garamond"/>
          <w:sz w:val="22"/>
        </w:rPr>
        <w:t>Buhangin</w:t>
      </w:r>
      <w:proofErr w:type="spellEnd"/>
      <w:r w:rsidRPr="00F12B48">
        <w:rPr>
          <w:rFonts w:ascii="Garamond" w:hAnsi="Garamond"/>
          <w:sz w:val="22"/>
        </w:rPr>
        <w:t xml:space="preserve"> East District, there is a lack of localized, subject-specific analysis of NAT results. Most studies focus on overall performance or isolated subjects, overlooking patterns across multiple learning areas (Delos Reyes, 2021; Cruz, 2018). This study addresses that gap by comparing NAT outcomes </w:t>
      </w:r>
      <w:r>
        <w:rPr>
          <w:rFonts w:ascii="Garamond" w:hAnsi="Garamond"/>
          <w:sz w:val="22"/>
        </w:rPr>
        <w:t>across all five subjects in public schools within</w:t>
      </w:r>
      <w:r w:rsidRPr="00F12B48">
        <w:rPr>
          <w:rFonts w:ascii="Garamond" w:hAnsi="Garamond"/>
          <w:sz w:val="22"/>
        </w:rPr>
        <w:t xml:space="preserve"> the district. The goal is to identify strengths and weaknesses in subject performance, enabling evidence-based instructional planning and targeted interventions.</w:t>
      </w:r>
      <w:r>
        <w:rPr>
          <w:rFonts w:ascii="Garamond" w:hAnsi="Garamond"/>
          <w:sz w:val="22"/>
        </w:rPr>
        <w:t xml:space="preserve"> </w:t>
      </w:r>
      <w:r>
        <w:rPr>
          <w:rFonts w:ascii="Garamond" w:hAnsi="Garamond"/>
          <w:sz w:val="22"/>
          <w:szCs w:val="22"/>
        </w:rPr>
        <w:t>But</w:t>
      </w:r>
      <w:r w:rsidRPr="00911412">
        <w:rPr>
          <w:rFonts w:ascii="Garamond" w:hAnsi="Garamond"/>
          <w:sz w:val="22"/>
          <w:szCs w:val="22"/>
        </w:rPr>
        <w:t xml:space="preserve"> without a detailed comparative analysis, it becomes difficult for school administrators and policymakers to design programs that address specific academic needs. Therefore, this study seeks to fill this gap by conducting a comparative analysis of NAT results across the five learning areas among public schools in the </w:t>
      </w:r>
      <w:proofErr w:type="spellStart"/>
      <w:r w:rsidRPr="00911412">
        <w:rPr>
          <w:rFonts w:ascii="Garamond" w:hAnsi="Garamond"/>
          <w:sz w:val="22"/>
          <w:szCs w:val="22"/>
        </w:rPr>
        <w:t>Buhangin</w:t>
      </w:r>
      <w:proofErr w:type="spellEnd"/>
      <w:r w:rsidRPr="00911412">
        <w:rPr>
          <w:rFonts w:ascii="Garamond" w:hAnsi="Garamond"/>
          <w:sz w:val="22"/>
          <w:szCs w:val="22"/>
        </w:rPr>
        <w:t xml:space="preserve"> East District. By doing so, it aims to provide a clearer understanding of subject-</w:t>
      </w:r>
      <w:r w:rsidRPr="00911412">
        <w:rPr>
          <w:rFonts w:ascii="Garamond" w:hAnsi="Garamond"/>
          <w:sz w:val="22"/>
          <w:szCs w:val="22"/>
        </w:rPr>
        <w:lastRenderedPageBreak/>
        <w:t>based performance differences, guide effective instructional planning, and support the continuous improvement of educational outcomes in the district.</w:t>
      </w:r>
    </w:p>
    <w:p w14:paraId="679FE8B2" w14:textId="77777777" w:rsidR="007F0518" w:rsidRPr="00911412" w:rsidRDefault="005D722A" w:rsidP="007F0518">
      <w:pPr>
        <w:jc w:val="both"/>
        <w:rPr>
          <w:rFonts w:ascii="Garamond" w:hAnsi="Garamond"/>
          <w:b/>
          <w:bCs/>
          <w:sz w:val="22"/>
          <w:szCs w:val="22"/>
        </w:rPr>
      </w:pPr>
      <w:r w:rsidRPr="00911412">
        <w:rPr>
          <w:rFonts w:ascii="Garamond" w:hAnsi="Garamond"/>
          <w:b/>
          <w:bCs/>
          <w:sz w:val="22"/>
          <w:szCs w:val="22"/>
        </w:rPr>
        <w:t>Statement of the Problem</w:t>
      </w:r>
    </w:p>
    <w:p w14:paraId="5EAFBD6C" w14:textId="00ACA765" w:rsidR="007F0518" w:rsidRPr="00911412" w:rsidRDefault="005D722A" w:rsidP="008E6EDF">
      <w:pPr>
        <w:ind w:firstLine="360"/>
        <w:jc w:val="both"/>
        <w:rPr>
          <w:rFonts w:ascii="Garamond" w:hAnsi="Garamond"/>
          <w:sz w:val="22"/>
          <w:szCs w:val="22"/>
        </w:rPr>
      </w:pPr>
      <w:r w:rsidRPr="00911412">
        <w:rPr>
          <w:rFonts w:ascii="Garamond" w:hAnsi="Garamond"/>
          <w:sz w:val="22"/>
          <w:szCs w:val="22"/>
        </w:rPr>
        <w:t>This study aim</w:t>
      </w:r>
      <w:r w:rsidR="005E1BF6">
        <w:rPr>
          <w:rFonts w:ascii="Garamond" w:hAnsi="Garamond"/>
          <w:sz w:val="22"/>
          <w:szCs w:val="22"/>
        </w:rPr>
        <w:t>ed</w:t>
      </w:r>
      <w:r w:rsidRPr="00911412">
        <w:rPr>
          <w:rFonts w:ascii="Garamond" w:hAnsi="Garamond"/>
          <w:sz w:val="22"/>
          <w:szCs w:val="22"/>
        </w:rPr>
        <w:t xml:space="preserve"> to analyze and compare the </w:t>
      </w:r>
      <w:r w:rsidR="008E6EDF" w:rsidRPr="00911412">
        <w:rPr>
          <w:rFonts w:ascii="Garamond" w:hAnsi="Garamond"/>
          <w:sz w:val="22"/>
          <w:szCs w:val="22"/>
        </w:rPr>
        <w:t xml:space="preserve">National Achievement Test (NAT) performance of elementary schools in </w:t>
      </w:r>
      <w:proofErr w:type="spellStart"/>
      <w:r w:rsidR="008E6EDF" w:rsidRPr="00911412">
        <w:rPr>
          <w:rFonts w:ascii="Garamond" w:hAnsi="Garamond"/>
          <w:sz w:val="22"/>
          <w:szCs w:val="22"/>
        </w:rPr>
        <w:t>Buhangin</w:t>
      </w:r>
      <w:proofErr w:type="spellEnd"/>
      <w:r w:rsidR="008E6EDF" w:rsidRPr="00911412">
        <w:rPr>
          <w:rFonts w:ascii="Garamond" w:hAnsi="Garamond"/>
          <w:sz w:val="22"/>
          <w:szCs w:val="22"/>
        </w:rPr>
        <w:t xml:space="preserve"> East District, Davao City, focusing on both subject areas and 21st-century</w:t>
      </w:r>
      <w:r w:rsidRPr="00911412">
        <w:rPr>
          <w:rFonts w:ascii="Garamond" w:hAnsi="Garamond"/>
          <w:sz w:val="22"/>
          <w:szCs w:val="22"/>
        </w:rPr>
        <w:t xml:space="preserve"> skills. Specifically, it seeks to answer the following questions:</w:t>
      </w:r>
    </w:p>
    <w:p w14:paraId="162F1547" w14:textId="21A73C22" w:rsidR="007F0518" w:rsidRPr="005E1BF6" w:rsidRDefault="005D722A" w:rsidP="005E1BF6">
      <w:pPr>
        <w:numPr>
          <w:ilvl w:val="0"/>
          <w:numId w:val="1"/>
        </w:numPr>
        <w:jc w:val="both"/>
        <w:rPr>
          <w:rFonts w:ascii="Garamond" w:hAnsi="Garamond"/>
          <w:sz w:val="22"/>
          <w:szCs w:val="22"/>
        </w:rPr>
      </w:pPr>
      <w:r w:rsidRPr="00911412">
        <w:rPr>
          <w:rFonts w:ascii="Garamond" w:hAnsi="Garamond"/>
          <w:sz w:val="22"/>
          <w:szCs w:val="22"/>
        </w:rPr>
        <w:t xml:space="preserve">What is the level of NAT performance of elementary schools in </w:t>
      </w:r>
      <w:proofErr w:type="spellStart"/>
      <w:r w:rsidRPr="00911412">
        <w:rPr>
          <w:rFonts w:ascii="Garamond" w:hAnsi="Garamond"/>
          <w:sz w:val="22"/>
          <w:szCs w:val="22"/>
        </w:rPr>
        <w:t>Buhangin</w:t>
      </w:r>
      <w:proofErr w:type="spellEnd"/>
      <w:r w:rsidRPr="00911412">
        <w:rPr>
          <w:rFonts w:ascii="Garamond" w:hAnsi="Garamond"/>
          <w:sz w:val="22"/>
          <w:szCs w:val="22"/>
        </w:rPr>
        <w:t xml:space="preserve"> East District in the following subject areas</w:t>
      </w:r>
      <w:r w:rsidR="005E1BF6">
        <w:rPr>
          <w:rFonts w:ascii="Garamond" w:hAnsi="Garamond"/>
          <w:sz w:val="22"/>
          <w:szCs w:val="22"/>
        </w:rPr>
        <w:t xml:space="preserve"> in terms of</w:t>
      </w:r>
      <w:r w:rsidR="00F12B48">
        <w:rPr>
          <w:rFonts w:ascii="Garamond" w:hAnsi="Garamond"/>
          <w:sz w:val="22"/>
          <w:szCs w:val="22"/>
        </w:rPr>
        <w:t xml:space="preserve"> </w:t>
      </w:r>
      <w:r w:rsidRPr="005E1BF6">
        <w:rPr>
          <w:rFonts w:ascii="Garamond" w:hAnsi="Garamond"/>
          <w:sz w:val="22"/>
          <w:szCs w:val="22"/>
        </w:rPr>
        <w:t>Filipino</w:t>
      </w:r>
      <w:r w:rsidR="005E1BF6">
        <w:rPr>
          <w:rFonts w:ascii="Garamond" w:hAnsi="Garamond"/>
          <w:sz w:val="22"/>
          <w:szCs w:val="22"/>
        </w:rPr>
        <w:t xml:space="preserve">, </w:t>
      </w:r>
      <w:r w:rsidRPr="005E1BF6">
        <w:rPr>
          <w:rFonts w:ascii="Garamond" w:hAnsi="Garamond"/>
          <w:sz w:val="22"/>
          <w:szCs w:val="22"/>
        </w:rPr>
        <w:t>Mathematics</w:t>
      </w:r>
      <w:r w:rsidR="005E1BF6">
        <w:rPr>
          <w:rFonts w:ascii="Garamond" w:hAnsi="Garamond"/>
          <w:sz w:val="22"/>
          <w:szCs w:val="22"/>
        </w:rPr>
        <w:t xml:space="preserve">, </w:t>
      </w:r>
      <w:r w:rsidRPr="005E1BF6">
        <w:rPr>
          <w:rFonts w:ascii="Garamond" w:hAnsi="Garamond"/>
          <w:sz w:val="22"/>
          <w:szCs w:val="22"/>
        </w:rPr>
        <w:t>English</w:t>
      </w:r>
      <w:r w:rsidR="005E1BF6">
        <w:rPr>
          <w:rFonts w:ascii="Garamond" w:hAnsi="Garamond"/>
          <w:sz w:val="22"/>
          <w:szCs w:val="22"/>
        </w:rPr>
        <w:t xml:space="preserve">, </w:t>
      </w:r>
      <w:r w:rsidRPr="005E1BF6">
        <w:rPr>
          <w:rFonts w:ascii="Garamond" w:hAnsi="Garamond"/>
          <w:sz w:val="22"/>
          <w:szCs w:val="22"/>
        </w:rPr>
        <w:t>Science</w:t>
      </w:r>
      <w:r w:rsidR="005E1BF6">
        <w:rPr>
          <w:rFonts w:ascii="Garamond" w:hAnsi="Garamond"/>
          <w:sz w:val="22"/>
          <w:szCs w:val="22"/>
        </w:rPr>
        <w:t xml:space="preserve">, and </w:t>
      </w:r>
      <w:proofErr w:type="spellStart"/>
      <w:r w:rsidRPr="005E1BF6">
        <w:rPr>
          <w:rFonts w:ascii="Garamond" w:hAnsi="Garamond"/>
          <w:sz w:val="22"/>
          <w:szCs w:val="22"/>
        </w:rPr>
        <w:t>Araling</w:t>
      </w:r>
      <w:proofErr w:type="spellEnd"/>
      <w:r w:rsidRPr="005E1BF6">
        <w:rPr>
          <w:rFonts w:ascii="Garamond" w:hAnsi="Garamond"/>
          <w:sz w:val="22"/>
          <w:szCs w:val="22"/>
        </w:rPr>
        <w:t xml:space="preserve"> </w:t>
      </w:r>
      <w:proofErr w:type="spellStart"/>
      <w:r w:rsidRPr="005E1BF6">
        <w:rPr>
          <w:rFonts w:ascii="Garamond" w:hAnsi="Garamond"/>
          <w:sz w:val="22"/>
          <w:szCs w:val="22"/>
        </w:rPr>
        <w:t>Panlipunan</w:t>
      </w:r>
      <w:proofErr w:type="spellEnd"/>
      <w:r w:rsidR="005E1BF6">
        <w:rPr>
          <w:rFonts w:ascii="Garamond" w:hAnsi="Garamond"/>
          <w:sz w:val="22"/>
          <w:szCs w:val="22"/>
        </w:rPr>
        <w:t>?</w:t>
      </w:r>
    </w:p>
    <w:p w14:paraId="447DE383" w14:textId="23CD09D5" w:rsidR="007B7697" w:rsidRPr="005E1BF6" w:rsidRDefault="005D722A" w:rsidP="008E6EDF">
      <w:pPr>
        <w:numPr>
          <w:ilvl w:val="0"/>
          <w:numId w:val="1"/>
        </w:numPr>
        <w:jc w:val="both"/>
        <w:rPr>
          <w:rFonts w:ascii="Garamond" w:hAnsi="Garamond"/>
          <w:sz w:val="22"/>
          <w:szCs w:val="22"/>
        </w:rPr>
      </w:pPr>
      <w:r w:rsidRPr="00911412">
        <w:rPr>
          <w:rFonts w:ascii="Garamond" w:hAnsi="Garamond"/>
          <w:sz w:val="22"/>
          <w:szCs w:val="22"/>
        </w:rPr>
        <w:t>Is</w:t>
      </w:r>
      <w:r w:rsidR="007F0518" w:rsidRPr="00911412">
        <w:rPr>
          <w:rFonts w:ascii="Garamond" w:hAnsi="Garamond"/>
          <w:sz w:val="22"/>
          <w:szCs w:val="22"/>
        </w:rPr>
        <w:t xml:space="preserve"> there </w:t>
      </w:r>
      <w:r w:rsidRPr="00911412">
        <w:rPr>
          <w:rFonts w:ascii="Garamond" w:hAnsi="Garamond"/>
          <w:sz w:val="22"/>
          <w:szCs w:val="22"/>
        </w:rPr>
        <w:t xml:space="preserve">a </w:t>
      </w:r>
      <w:r w:rsidR="007F0518" w:rsidRPr="00911412">
        <w:rPr>
          <w:rFonts w:ascii="Garamond" w:hAnsi="Garamond"/>
          <w:sz w:val="22"/>
          <w:szCs w:val="22"/>
        </w:rPr>
        <w:t xml:space="preserve">significant </w:t>
      </w:r>
      <w:r w:rsidRPr="00911412">
        <w:rPr>
          <w:rFonts w:ascii="Garamond" w:hAnsi="Garamond"/>
          <w:sz w:val="22"/>
          <w:szCs w:val="22"/>
        </w:rPr>
        <w:t>difference</w:t>
      </w:r>
      <w:r w:rsidR="007F0518" w:rsidRPr="00911412">
        <w:rPr>
          <w:rFonts w:ascii="Garamond" w:hAnsi="Garamond"/>
          <w:sz w:val="22"/>
          <w:szCs w:val="22"/>
        </w:rPr>
        <w:t xml:space="preserve"> in the NAT per</w:t>
      </w:r>
      <w:r w:rsidRPr="00911412">
        <w:rPr>
          <w:rFonts w:ascii="Garamond" w:hAnsi="Garamond"/>
          <w:sz w:val="22"/>
          <w:szCs w:val="22"/>
        </w:rPr>
        <w:t>formance of schools in terms of s</w:t>
      </w:r>
      <w:r w:rsidR="007F0518" w:rsidRPr="00911412">
        <w:rPr>
          <w:rFonts w:ascii="Garamond" w:hAnsi="Garamond"/>
          <w:sz w:val="22"/>
          <w:szCs w:val="22"/>
        </w:rPr>
        <w:t>ubject area mean percentage scores?</w:t>
      </w:r>
    </w:p>
    <w:p w14:paraId="2C8DE757" w14:textId="77777777" w:rsidR="008E6EDF" w:rsidRPr="00911412" w:rsidRDefault="005D722A" w:rsidP="008E6EDF">
      <w:pPr>
        <w:rPr>
          <w:rFonts w:ascii="Garamond" w:hAnsi="Garamond"/>
          <w:b/>
          <w:bCs/>
          <w:sz w:val="22"/>
          <w:szCs w:val="22"/>
        </w:rPr>
      </w:pPr>
      <w:r w:rsidRPr="00911412">
        <w:rPr>
          <w:rFonts w:ascii="Garamond" w:hAnsi="Garamond"/>
          <w:b/>
          <w:bCs/>
          <w:sz w:val="22"/>
          <w:szCs w:val="22"/>
        </w:rPr>
        <w:t>Hypothes</w:t>
      </w:r>
      <w:r w:rsidR="009D1F4C" w:rsidRPr="00911412">
        <w:rPr>
          <w:rFonts w:ascii="Garamond" w:hAnsi="Garamond"/>
          <w:b/>
          <w:bCs/>
          <w:sz w:val="22"/>
          <w:szCs w:val="22"/>
        </w:rPr>
        <w:t>i</w:t>
      </w:r>
      <w:r w:rsidRPr="00911412">
        <w:rPr>
          <w:rFonts w:ascii="Garamond" w:hAnsi="Garamond"/>
          <w:b/>
          <w:bCs/>
          <w:sz w:val="22"/>
          <w:szCs w:val="22"/>
        </w:rPr>
        <w:t>s of the Study</w:t>
      </w:r>
    </w:p>
    <w:p w14:paraId="5AF0CAC6" w14:textId="77777777" w:rsidR="008E6EDF" w:rsidRPr="00911412" w:rsidRDefault="005D722A" w:rsidP="008E6EDF">
      <w:pPr>
        <w:ind w:firstLine="720"/>
        <w:rPr>
          <w:rFonts w:ascii="Garamond" w:hAnsi="Garamond"/>
          <w:sz w:val="22"/>
          <w:szCs w:val="22"/>
        </w:rPr>
      </w:pPr>
      <w:r w:rsidRPr="00911412">
        <w:rPr>
          <w:rFonts w:ascii="Garamond" w:hAnsi="Garamond"/>
          <w:sz w:val="22"/>
          <w:szCs w:val="22"/>
        </w:rPr>
        <w:t>To address the research questions and guide the statistical analysis, the following hypotheses are formulated:</w:t>
      </w:r>
    </w:p>
    <w:p w14:paraId="2AE489BE" w14:textId="3B1E177B" w:rsidR="007F0518" w:rsidRPr="00911412" w:rsidRDefault="005D722A" w:rsidP="005E1BF6">
      <w:pPr>
        <w:rPr>
          <w:rFonts w:ascii="Garamond" w:hAnsi="Garamond"/>
          <w:sz w:val="22"/>
          <w:szCs w:val="22"/>
        </w:rPr>
      </w:pPr>
      <w:r w:rsidRPr="00911412">
        <w:rPr>
          <w:rFonts w:ascii="Garamond" w:hAnsi="Garamond"/>
          <w:b/>
          <w:bCs/>
          <w:sz w:val="22"/>
          <w:szCs w:val="22"/>
        </w:rPr>
        <w:t>H</w:t>
      </w:r>
      <w:r w:rsidRPr="00911412">
        <w:rPr>
          <w:rFonts w:ascii="Cambria Math" w:hAnsi="Cambria Math" w:cs="Cambria Math"/>
          <w:b/>
          <w:bCs/>
          <w:sz w:val="22"/>
          <w:szCs w:val="22"/>
        </w:rPr>
        <w:t>₀</w:t>
      </w:r>
      <w:r w:rsidRPr="00911412">
        <w:rPr>
          <w:rFonts w:ascii="Garamond" w:hAnsi="Garamond"/>
          <w:b/>
          <w:bCs/>
          <w:sz w:val="22"/>
          <w:szCs w:val="22"/>
        </w:rPr>
        <w:t>:</w:t>
      </w:r>
      <w:r w:rsidRPr="00911412">
        <w:rPr>
          <w:rFonts w:ascii="Garamond" w:hAnsi="Garamond"/>
          <w:sz w:val="22"/>
          <w:szCs w:val="22"/>
        </w:rPr>
        <w:t xml:space="preserve"> There is no significant difference in the NAT subject area scores (Filipino, Mathematics, English, Science, and </w:t>
      </w:r>
      <w:proofErr w:type="spellStart"/>
      <w:r w:rsidRPr="00911412">
        <w:rPr>
          <w:rFonts w:ascii="Garamond" w:hAnsi="Garamond"/>
          <w:sz w:val="22"/>
          <w:szCs w:val="22"/>
        </w:rPr>
        <w:t>Araling</w:t>
      </w:r>
      <w:proofErr w:type="spellEnd"/>
      <w:r w:rsidRPr="00911412">
        <w:rPr>
          <w:rFonts w:ascii="Garamond" w:hAnsi="Garamond"/>
          <w:sz w:val="22"/>
          <w:szCs w:val="22"/>
        </w:rPr>
        <w:t xml:space="preserve"> </w:t>
      </w:r>
      <w:proofErr w:type="spellStart"/>
      <w:r w:rsidRPr="00911412">
        <w:rPr>
          <w:rFonts w:ascii="Garamond" w:hAnsi="Garamond"/>
          <w:sz w:val="22"/>
          <w:szCs w:val="22"/>
        </w:rPr>
        <w:t>Panlipunan</w:t>
      </w:r>
      <w:proofErr w:type="spellEnd"/>
      <w:r w:rsidRPr="00911412">
        <w:rPr>
          <w:rFonts w:ascii="Garamond" w:hAnsi="Garamond"/>
          <w:sz w:val="22"/>
          <w:szCs w:val="22"/>
        </w:rPr>
        <w:t xml:space="preserve">) among the elementary schools in </w:t>
      </w:r>
      <w:proofErr w:type="spellStart"/>
      <w:r w:rsidRPr="00911412">
        <w:rPr>
          <w:rFonts w:ascii="Garamond" w:hAnsi="Garamond"/>
          <w:sz w:val="22"/>
          <w:szCs w:val="22"/>
        </w:rPr>
        <w:t>Buhangin</w:t>
      </w:r>
      <w:proofErr w:type="spellEnd"/>
      <w:r w:rsidRPr="00911412">
        <w:rPr>
          <w:rFonts w:ascii="Garamond" w:hAnsi="Garamond"/>
          <w:sz w:val="22"/>
          <w:szCs w:val="22"/>
        </w:rPr>
        <w:t xml:space="preserve"> East District.</w:t>
      </w:r>
    </w:p>
    <w:p w14:paraId="53C06A32" w14:textId="63A4F87E" w:rsidR="00F12B48" w:rsidRDefault="005D722A" w:rsidP="00F12B48">
      <w:pPr>
        <w:jc w:val="both"/>
        <w:rPr>
          <w:rFonts w:ascii="Garamond" w:hAnsi="Garamond"/>
          <w:b/>
          <w:color w:val="EE0000"/>
          <w:sz w:val="22"/>
          <w:szCs w:val="22"/>
        </w:rPr>
      </w:pPr>
      <w:r w:rsidRPr="00911412">
        <w:rPr>
          <w:rFonts w:ascii="Garamond" w:hAnsi="Garamond"/>
          <w:b/>
          <w:sz w:val="22"/>
          <w:szCs w:val="22"/>
        </w:rPr>
        <w:t>Theoretical</w:t>
      </w:r>
      <w:r w:rsidR="00E36562">
        <w:rPr>
          <w:rFonts w:ascii="Garamond" w:hAnsi="Garamond"/>
          <w:b/>
          <w:sz w:val="22"/>
          <w:szCs w:val="22"/>
        </w:rPr>
        <w:t>/Conceptual</w:t>
      </w:r>
      <w:r w:rsidRPr="00911412">
        <w:rPr>
          <w:rFonts w:ascii="Garamond" w:hAnsi="Garamond"/>
          <w:b/>
          <w:sz w:val="22"/>
          <w:szCs w:val="22"/>
        </w:rPr>
        <w:t xml:space="preserve"> Framework</w:t>
      </w:r>
      <w:r w:rsidR="005E1BF6">
        <w:rPr>
          <w:rFonts w:ascii="Garamond" w:hAnsi="Garamond"/>
          <w:b/>
          <w:sz w:val="22"/>
          <w:szCs w:val="22"/>
        </w:rPr>
        <w:t xml:space="preserve"> </w:t>
      </w:r>
    </w:p>
    <w:p w14:paraId="0EDD67C1" w14:textId="34562874" w:rsidR="00E36562" w:rsidRDefault="00F12B48" w:rsidP="00E36562">
      <w:pPr>
        <w:ind w:firstLine="720"/>
        <w:jc w:val="both"/>
        <w:rPr>
          <w:rFonts w:ascii="Garamond" w:eastAsia="Times New Roman" w:hAnsi="Garamond" w:cs="Times New Roman"/>
          <w:kern w:val="0"/>
          <w:sz w:val="22"/>
          <w:lang w:val="en-US"/>
          <w14:ligatures w14:val="none"/>
        </w:rPr>
      </w:pPr>
      <w:r w:rsidRPr="00F12B48">
        <w:rPr>
          <w:rFonts w:ascii="Garamond" w:eastAsia="Times New Roman" w:hAnsi="Garamond" w:cs="Times New Roman"/>
          <w:kern w:val="0"/>
          <w:sz w:val="22"/>
          <w:lang w:val="en-US"/>
          <w14:ligatures w14:val="none"/>
        </w:rPr>
        <w:t xml:space="preserve">This study is anchored in </w:t>
      </w:r>
      <w:r w:rsidR="005C0530" w:rsidRPr="005C0530">
        <w:rPr>
          <w:rFonts w:ascii="Garamond" w:eastAsia="Times New Roman" w:hAnsi="Garamond" w:cs="Times New Roman"/>
          <w:kern w:val="0"/>
          <w:sz w:val="22"/>
          <w:lang w:val="en-US"/>
          <w14:ligatures w14:val="none"/>
        </w:rPr>
        <w:t xml:space="preserve">Ralph Tyler's Objectives-Based Model, also known as the Tyler Model of Curriculum Development, </w:t>
      </w:r>
      <w:r w:rsidR="005C0530">
        <w:rPr>
          <w:rFonts w:ascii="Garamond" w:eastAsia="Times New Roman" w:hAnsi="Garamond" w:cs="Times New Roman"/>
          <w:kern w:val="0"/>
          <w:sz w:val="22"/>
          <w:lang w:val="en-US"/>
          <w14:ligatures w14:val="none"/>
        </w:rPr>
        <w:t xml:space="preserve">which </w:t>
      </w:r>
      <w:r w:rsidR="005C0530" w:rsidRPr="005C0530">
        <w:rPr>
          <w:rFonts w:ascii="Garamond" w:eastAsia="Times New Roman" w:hAnsi="Garamond" w:cs="Times New Roman"/>
          <w:kern w:val="0"/>
          <w:sz w:val="22"/>
          <w:lang w:val="en-US"/>
          <w14:ligatures w14:val="none"/>
        </w:rPr>
        <w:t>is a systematic approach to designing educational curricula. Developed in 1949, it focuses on clearly defined learning objectives and follows a structured process to ensure effective teaching and assessment</w:t>
      </w:r>
      <w:r w:rsidR="00355665">
        <w:rPr>
          <w:rFonts w:ascii="Garamond" w:eastAsia="Times New Roman" w:hAnsi="Garamond" w:cs="Times New Roman"/>
          <w:kern w:val="0"/>
          <w:sz w:val="22"/>
          <w:lang w:val="en-US"/>
          <w14:ligatures w14:val="none"/>
        </w:rPr>
        <w:t xml:space="preserve">. </w:t>
      </w:r>
      <w:r w:rsidR="00355665" w:rsidRPr="00355665">
        <w:rPr>
          <w:rFonts w:ascii="Garamond" w:eastAsia="Times New Roman" w:hAnsi="Garamond" w:cs="Times New Roman"/>
          <w:kern w:val="0"/>
          <w:sz w:val="22"/>
          <w:lang w:val="en-US"/>
          <w14:ligatures w14:val="none"/>
        </w:rPr>
        <w:t>The Tyler Model remains influential in modern classrooms, particularly in structured curriculum design and outcome-based education</w:t>
      </w:r>
    </w:p>
    <w:p w14:paraId="41B7932E" w14:textId="3F3AB8FD" w:rsidR="005D2B89" w:rsidRPr="00E36562" w:rsidRDefault="005D2B89" w:rsidP="00E36562">
      <w:pPr>
        <w:ind w:firstLine="720"/>
        <w:jc w:val="both"/>
        <w:rPr>
          <w:rFonts w:ascii="Garamond" w:eastAsia="Times New Roman" w:hAnsi="Garamond" w:cs="Times New Roman"/>
          <w:kern w:val="0"/>
          <w:sz w:val="22"/>
          <w:lang w:val="en-US"/>
          <w14:ligatures w14:val="none"/>
        </w:rPr>
      </w:pPr>
      <w:r>
        <w:rPr>
          <w:rFonts w:ascii="Garamond" w:eastAsia="Times New Roman" w:hAnsi="Garamond" w:cs="Times New Roman"/>
          <w:kern w:val="0"/>
          <w:sz w:val="22"/>
          <w:lang w:val="en-US"/>
          <w14:ligatures w14:val="none"/>
        </w:rPr>
        <w:t>FIG 1.</w:t>
      </w:r>
      <w:r w:rsidR="00D73770" w:rsidRPr="00D73770">
        <w:t xml:space="preserve"> </w:t>
      </w:r>
      <w:r w:rsidR="00D73770" w:rsidRPr="00D73770">
        <w:rPr>
          <w:rFonts w:ascii="Garamond" w:eastAsia="Times New Roman" w:hAnsi="Garamond" w:cs="Times New Roman"/>
          <w:kern w:val="0"/>
          <w:sz w:val="22"/>
          <w:lang w:val="en-US"/>
          <w14:ligatures w14:val="none"/>
        </w:rPr>
        <w:t>Conceptual Framework</w:t>
      </w:r>
    </w:p>
    <w:p w14:paraId="777B7252" w14:textId="32B66C5F" w:rsidR="007B7697" w:rsidRPr="00911412" w:rsidRDefault="001C0D87" w:rsidP="007B7697">
      <w:pPr>
        <w:jc w:val="both"/>
        <w:rPr>
          <w:rFonts w:ascii="Garamond" w:hAnsi="Garamond" w:cs="Arial"/>
          <w:b/>
          <w:color w:val="000000"/>
          <w:sz w:val="22"/>
          <w:szCs w:val="22"/>
        </w:rPr>
      </w:pPr>
      <w:r w:rsidRPr="00911412">
        <w:rPr>
          <w:rFonts w:ascii="Garamond" w:hAnsi="Garamond" w:cs="Arial"/>
          <w:noProof/>
          <w:color w:val="000000"/>
          <w:sz w:val="22"/>
          <w:szCs w:val="22"/>
          <w:lang w:val="en-US"/>
        </w:rPr>
        <mc:AlternateContent>
          <mc:Choice Requires="wps">
            <w:drawing>
              <wp:anchor distT="45720" distB="45720" distL="114300" distR="114300" simplePos="0" relativeHeight="251659264" behindDoc="0" locked="0" layoutInCell="1" allowOverlap="1" wp14:anchorId="5A44606C" wp14:editId="2FA92F67">
                <wp:simplePos x="0" y="0"/>
                <wp:positionH relativeFrom="margin">
                  <wp:posOffset>850265</wp:posOffset>
                </wp:positionH>
                <wp:positionV relativeFrom="paragraph">
                  <wp:posOffset>8255</wp:posOffset>
                </wp:positionV>
                <wp:extent cx="1748790" cy="17094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8790" cy="1709420"/>
                        </a:xfrm>
                        <a:prstGeom prst="rect">
                          <a:avLst/>
                        </a:prstGeom>
                        <a:solidFill>
                          <a:srgbClr val="FFFFFF"/>
                        </a:solidFill>
                        <a:ln w="9525">
                          <a:solidFill>
                            <a:srgbClr val="000000"/>
                          </a:solidFill>
                          <a:miter lim="800000"/>
                          <a:headEnd/>
                          <a:tailEnd/>
                        </a:ln>
                      </wps:spPr>
                      <wps:txbx>
                        <w:txbxContent>
                          <w:p w14:paraId="076E1753" w14:textId="77777777" w:rsidR="007B7697" w:rsidRPr="001C0D87" w:rsidRDefault="005D722A" w:rsidP="007B7697">
                            <w:pPr>
                              <w:jc w:val="center"/>
                              <w:rPr>
                                <w:rFonts w:ascii="Garamond" w:hAnsi="Garamond"/>
                                <w:b/>
                                <w:bCs/>
                                <w:sz w:val="22"/>
                                <w:szCs w:val="22"/>
                              </w:rPr>
                            </w:pPr>
                            <w:r w:rsidRPr="001C0D87">
                              <w:rPr>
                                <w:rFonts w:ascii="Garamond" w:hAnsi="Garamond"/>
                                <w:b/>
                                <w:bCs/>
                                <w:sz w:val="22"/>
                                <w:szCs w:val="22"/>
                              </w:rPr>
                              <w:t>Learning Areas</w:t>
                            </w:r>
                          </w:p>
                          <w:p w14:paraId="113F086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Filipino</w:t>
                            </w:r>
                          </w:p>
                          <w:p w14:paraId="3A330AE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Mathematics</w:t>
                            </w:r>
                          </w:p>
                          <w:p w14:paraId="5336EAF5"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English</w:t>
                            </w:r>
                          </w:p>
                          <w:p w14:paraId="7CE09011"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Science</w:t>
                            </w:r>
                          </w:p>
                          <w:p w14:paraId="25818DEA" w14:textId="4E03DEED" w:rsidR="007B7697" w:rsidRPr="001C0D87" w:rsidRDefault="001C0D87" w:rsidP="001C0D87">
                            <w:pPr>
                              <w:pStyle w:val="ListParagraph"/>
                              <w:numPr>
                                <w:ilvl w:val="0"/>
                                <w:numId w:val="3"/>
                              </w:numPr>
                              <w:rPr>
                                <w:rFonts w:ascii="Garamond" w:hAnsi="Garamond"/>
                                <w:sz w:val="22"/>
                                <w:szCs w:val="22"/>
                              </w:rPr>
                            </w:pPr>
                            <w:proofErr w:type="spellStart"/>
                            <w:r w:rsidRPr="001C0D87">
                              <w:rPr>
                                <w:rFonts w:ascii="Garamond" w:hAnsi="Garamond"/>
                                <w:sz w:val="22"/>
                                <w:szCs w:val="22"/>
                              </w:rPr>
                              <w:t>Araling</w:t>
                            </w:r>
                            <w:proofErr w:type="spellEnd"/>
                            <w:r w:rsidRPr="001C0D87">
                              <w:rPr>
                                <w:rFonts w:ascii="Garamond" w:hAnsi="Garamond"/>
                                <w:sz w:val="22"/>
                                <w:szCs w:val="22"/>
                              </w:rPr>
                              <w:t xml:space="preserve"> </w:t>
                            </w:r>
                            <w:proofErr w:type="spellStart"/>
                            <w:r w:rsidRPr="001C0D87">
                              <w:rPr>
                                <w:rFonts w:ascii="Garamond" w:hAnsi="Garamond"/>
                                <w:sz w:val="22"/>
                                <w:szCs w:val="22"/>
                              </w:rPr>
                              <w:t>Panlipunan</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4606C" id="_x0000_t202" coordsize="21600,21600" o:spt="202" path="m,l,21600r21600,l21600,xe">
                <v:stroke joinstyle="miter"/>
                <v:path gradientshapeok="t" o:connecttype="rect"/>
              </v:shapetype>
              <v:shape id="Text Box 2" o:spid="_x0000_s1026" type="#_x0000_t202" style="position:absolute;left:0;text-align:left;margin-left:66.95pt;margin-top:.65pt;width:137.7pt;height:134.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GB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">
                <v:textbox>
                  <w:txbxContent>
                    <w:p w14:paraId="076E1753" w14:textId="77777777" w:rsidR="007B7697" w:rsidRPr="001C0D87" w:rsidRDefault="005D722A" w:rsidP="007B7697">
                      <w:pPr>
                        <w:jc w:val="center"/>
                        <w:rPr>
                          <w:rFonts w:ascii="Garamond" w:hAnsi="Garamond"/>
                          <w:b/>
                          <w:bCs/>
                          <w:sz w:val="22"/>
                          <w:szCs w:val="22"/>
                        </w:rPr>
                      </w:pPr>
                      <w:r w:rsidRPr="001C0D87">
                        <w:rPr>
                          <w:rFonts w:ascii="Garamond" w:hAnsi="Garamond"/>
                          <w:b/>
                          <w:bCs/>
                          <w:sz w:val="22"/>
                          <w:szCs w:val="22"/>
                        </w:rPr>
                        <w:t>Learning Areas</w:t>
                      </w:r>
                    </w:p>
                    <w:p w14:paraId="113F086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Filipino</w:t>
                      </w:r>
                    </w:p>
                    <w:p w14:paraId="3A330AED"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Mathematics</w:t>
                      </w:r>
                    </w:p>
                    <w:p w14:paraId="5336EAF5"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English</w:t>
                      </w:r>
                    </w:p>
                    <w:p w14:paraId="7CE09011" w14:textId="77777777" w:rsidR="001C0D87" w:rsidRPr="001C0D87" w:rsidRDefault="001C0D87" w:rsidP="001C0D87">
                      <w:pPr>
                        <w:pStyle w:val="ListParagraph"/>
                        <w:numPr>
                          <w:ilvl w:val="0"/>
                          <w:numId w:val="3"/>
                        </w:numPr>
                        <w:rPr>
                          <w:rFonts w:ascii="Garamond" w:hAnsi="Garamond"/>
                          <w:sz w:val="22"/>
                          <w:szCs w:val="22"/>
                        </w:rPr>
                      </w:pPr>
                      <w:r w:rsidRPr="001C0D87">
                        <w:rPr>
                          <w:rFonts w:ascii="Garamond" w:hAnsi="Garamond"/>
                          <w:sz w:val="22"/>
                          <w:szCs w:val="22"/>
                        </w:rPr>
                        <w:t>Science</w:t>
                      </w:r>
                    </w:p>
                    <w:p w14:paraId="25818DEA" w14:textId="4E03DEED" w:rsidR="007B7697" w:rsidRPr="001C0D87" w:rsidRDefault="001C0D87" w:rsidP="001C0D87">
                      <w:pPr>
                        <w:pStyle w:val="ListParagraph"/>
                        <w:numPr>
                          <w:ilvl w:val="0"/>
                          <w:numId w:val="3"/>
                        </w:numPr>
                        <w:rPr>
                          <w:rFonts w:ascii="Garamond" w:hAnsi="Garamond"/>
                          <w:sz w:val="22"/>
                          <w:szCs w:val="22"/>
                        </w:rPr>
                      </w:pPr>
                      <w:proofErr w:type="spellStart"/>
                      <w:r w:rsidRPr="001C0D87">
                        <w:rPr>
                          <w:rFonts w:ascii="Garamond" w:hAnsi="Garamond"/>
                          <w:sz w:val="22"/>
                          <w:szCs w:val="22"/>
                        </w:rPr>
                        <w:t>Araling</w:t>
                      </w:r>
                      <w:proofErr w:type="spellEnd"/>
                      <w:r w:rsidRPr="001C0D87">
                        <w:rPr>
                          <w:rFonts w:ascii="Garamond" w:hAnsi="Garamond"/>
                          <w:sz w:val="22"/>
                          <w:szCs w:val="22"/>
                        </w:rPr>
                        <w:t xml:space="preserve"> </w:t>
                      </w:r>
                      <w:proofErr w:type="spellStart"/>
                      <w:r w:rsidRPr="001C0D87">
                        <w:rPr>
                          <w:rFonts w:ascii="Garamond" w:hAnsi="Garamond"/>
                          <w:sz w:val="22"/>
                          <w:szCs w:val="22"/>
                        </w:rPr>
                        <w:t>Panlipunan</w:t>
                      </w:r>
                      <w:proofErr w:type="spellEnd"/>
                    </w:p>
                  </w:txbxContent>
                </v:textbox>
                <w10:wrap type="square" anchorx="margin"/>
              </v:shape>
            </w:pict>
          </mc:Fallback>
        </mc:AlternateContent>
      </w:r>
      <w:r w:rsidRPr="00911412">
        <w:rPr>
          <w:rFonts w:ascii="Garamond" w:hAnsi="Garamond" w:cs="Arial"/>
          <w:noProof/>
          <w:color w:val="000000"/>
          <w:sz w:val="22"/>
          <w:szCs w:val="22"/>
          <w:lang w:val="en-US"/>
        </w:rPr>
        <mc:AlternateContent>
          <mc:Choice Requires="wps">
            <w:drawing>
              <wp:anchor distT="45720" distB="45720" distL="114300" distR="114300" simplePos="0" relativeHeight="251660288" behindDoc="0" locked="0" layoutInCell="1" allowOverlap="1" wp14:anchorId="1541A3D4" wp14:editId="3D647ED3">
                <wp:simplePos x="0" y="0"/>
                <wp:positionH relativeFrom="margin">
                  <wp:posOffset>3426460</wp:posOffset>
                </wp:positionH>
                <wp:positionV relativeFrom="paragraph">
                  <wp:posOffset>8255</wp:posOffset>
                </wp:positionV>
                <wp:extent cx="1714500" cy="1709420"/>
                <wp:effectExtent l="0" t="0" r="19050" b="2413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709420"/>
                        </a:xfrm>
                        <a:prstGeom prst="rect">
                          <a:avLst/>
                        </a:prstGeom>
                        <a:solidFill>
                          <a:srgbClr val="FFFFFF"/>
                        </a:solidFill>
                        <a:ln w="9525">
                          <a:solidFill>
                            <a:srgbClr val="000000"/>
                          </a:solidFill>
                          <a:miter lim="800000"/>
                          <a:headEnd/>
                          <a:tailEnd/>
                        </a:ln>
                      </wps:spPr>
                      <wps:txbx>
                        <w:txbxContent>
                          <w:p w14:paraId="59950C22" w14:textId="77777777" w:rsidR="007B7697" w:rsidRPr="001C0D87" w:rsidRDefault="005D722A" w:rsidP="007B7697">
                            <w:pPr>
                              <w:jc w:val="center"/>
                              <w:rPr>
                                <w:rFonts w:ascii="Garamond" w:hAnsi="Garamond"/>
                                <w:b/>
                                <w:bCs/>
                                <w:color w:val="000000"/>
                                <w:sz w:val="22"/>
                                <w:szCs w:val="22"/>
                              </w:rPr>
                            </w:pPr>
                            <w:r w:rsidRPr="001C0D87">
                              <w:rPr>
                                <w:rFonts w:ascii="Garamond" w:hAnsi="Garamond"/>
                                <w:b/>
                                <w:bCs/>
                                <w:color w:val="000000"/>
                                <w:sz w:val="22"/>
                                <w:szCs w:val="22"/>
                              </w:rPr>
                              <w:t>National Achievement Test Results</w:t>
                            </w:r>
                          </w:p>
                          <w:p w14:paraId="45FF5B3A" w14:textId="77777777" w:rsidR="007B7697" w:rsidRPr="007B7697" w:rsidRDefault="005D722A" w:rsidP="007B7697">
                            <w:pPr>
                              <w:jc w:val="center"/>
                              <w:rPr>
                                <w:rFonts w:ascii="Garamond" w:hAnsi="Garamond"/>
                                <w:color w:val="000000"/>
                                <w:sz w:val="22"/>
                                <w:szCs w:val="22"/>
                              </w:rPr>
                            </w:pPr>
                            <w:r w:rsidRPr="007B7697">
                              <w:rPr>
                                <w:rFonts w:ascii="Garamond" w:hAnsi="Garamond"/>
                                <w:color w:val="000000"/>
                                <w:sz w:val="22"/>
                                <w:szCs w:val="22"/>
                              </w:rPr>
                              <w:t>(Mean Percentage Scores)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1A3D4" id="_x0000_s1027" type="#_x0000_t202" style="position:absolute;left:0;text-align:left;margin-left:269.8pt;margin-top:.65pt;width:135pt;height:134.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">
                <v:textbox>
                  <w:txbxContent>
                    <w:p w14:paraId="59950C22" w14:textId="77777777" w:rsidR="007B7697" w:rsidRPr="001C0D87" w:rsidRDefault="005D722A" w:rsidP="007B7697">
                      <w:pPr>
                        <w:jc w:val="center"/>
                        <w:rPr>
                          <w:rFonts w:ascii="Garamond" w:hAnsi="Garamond"/>
                          <w:b/>
                          <w:bCs/>
                          <w:color w:val="000000"/>
                          <w:sz w:val="22"/>
                          <w:szCs w:val="22"/>
                        </w:rPr>
                      </w:pPr>
                      <w:r w:rsidRPr="001C0D87">
                        <w:rPr>
                          <w:rFonts w:ascii="Garamond" w:hAnsi="Garamond"/>
                          <w:b/>
                          <w:bCs/>
                          <w:color w:val="000000"/>
                          <w:sz w:val="22"/>
                          <w:szCs w:val="22"/>
                        </w:rPr>
                        <w:t>National Achievement Test Results</w:t>
                      </w:r>
                    </w:p>
                    <w:p w14:paraId="45FF5B3A" w14:textId="77777777" w:rsidR="007B7697" w:rsidRPr="007B7697" w:rsidRDefault="005D722A" w:rsidP="007B7697">
                      <w:pPr>
                        <w:jc w:val="center"/>
                        <w:rPr>
                          <w:rFonts w:ascii="Garamond" w:hAnsi="Garamond"/>
                          <w:color w:val="000000"/>
                          <w:sz w:val="22"/>
                          <w:szCs w:val="22"/>
                        </w:rPr>
                      </w:pPr>
                      <w:r w:rsidRPr="007B7697">
                        <w:rPr>
                          <w:rFonts w:ascii="Garamond" w:hAnsi="Garamond"/>
                          <w:color w:val="000000"/>
                          <w:sz w:val="22"/>
                          <w:szCs w:val="22"/>
                        </w:rPr>
                        <w:t>(Mean Percentage Scores)</w:t>
                      </w:r>
                    </w:p>
                  </w:txbxContent>
                </v:textbox>
                <w10:wrap type="square" anchorx="margin"/>
              </v:shape>
            </w:pict>
          </mc:Fallback>
        </mc:AlternateContent>
      </w:r>
      <w:r w:rsidRPr="00911412">
        <w:rPr>
          <w:rFonts w:ascii="Garamond" w:hAnsi="Garamond" w:cs="Arial"/>
          <w:b/>
          <w:color w:val="000000"/>
          <w:sz w:val="22"/>
          <w:szCs w:val="22"/>
        </w:rPr>
        <w:tab/>
      </w:r>
    </w:p>
    <w:p w14:paraId="55DDA322" w14:textId="77777777" w:rsidR="007B7697" w:rsidRPr="00911412" w:rsidRDefault="007B7697" w:rsidP="007B7697">
      <w:pPr>
        <w:jc w:val="both"/>
        <w:rPr>
          <w:rFonts w:ascii="Garamond" w:hAnsi="Garamond" w:cs="Arial"/>
          <w:b/>
          <w:color w:val="000000"/>
          <w:sz w:val="22"/>
          <w:szCs w:val="22"/>
        </w:rPr>
      </w:pPr>
    </w:p>
    <w:p w14:paraId="32C82632" w14:textId="518BB022" w:rsidR="007B7697" w:rsidRPr="00911412" w:rsidRDefault="007B7697" w:rsidP="007B7697">
      <w:pPr>
        <w:jc w:val="both"/>
        <w:rPr>
          <w:rFonts w:ascii="Garamond" w:hAnsi="Garamond" w:cs="Arial"/>
          <w:color w:val="000000"/>
          <w:sz w:val="22"/>
          <w:szCs w:val="22"/>
        </w:rPr>
      </w:pPr>
    </w:p>
    <w:p w14:paraId="436E13A5" w14:textId="76F0D8AC" w:rsidR="007B7697" w:rsidRPr="00911412" w:rsidRDefault="001C0D87" w:rsidP="007B7697">
      <w:pPr>
        <w:jc w:val="both"/>
        <w:rPr>
          <w:rFonts w:ascii="Garamond" w:hAnsi="Garamond" w:cs="Arial"/>
          <w:color w:val="000000"/>
          <w:sz w:val="22"/>
          <w:szCs w:val="22"/>
        </w:rPr>
      </w:pPr>
      <w:r>
        <w:rPr>
          <w:rFonts w:ascii="Garamond" w:hAnsi="Garamond" w:cs="Arial"/>
          <w:noProof/>
          <w:color w:val="000000"/>
          <w:sz w:val="22"/>
          <w:szCs w:val="22"/>
          <w:lang w:val="en-US"/>
          <w14:ligatures w14:val="none"/>
        </w:rPr>
        <mc:AlternateContent>
          <mc:Choice Requires="wps">
            <w:drawing>
              <wp:anchor distT="0" distB="0" distL="114300" distR="114300" simplePos="0" relativeHeight="251661312" behindDoc="0" locked="0" layoutInCell="1" allowOverlap="1" wp14:anchorId="7F5111D9" wp14:editId="566EF602">
                <wp:simplePos x="0" y="0"/>
                <wp:positionH relativeFrom="column">
                  <wp:posOffset>2576747</wp:posOffset>
                </wp:positionH>
                <wp:positionV relativeFrom="paragraph">
                  <wp:posOffset>75427</wp:posOffset>
                </wp:positionV>
                <wp:extent cx="850790" cy="0"/>
                <wp:effectExtent l="0" t="76200" r="26035" b="95250"/>
                <wp:wrapNone/>
                <wp:docPr id="1841261593" name="Straight Arrow Connector 4"/>
                <wp:cNvGraphicFramePr/>
                <a:graphic xmlns:a="http://schemas.openxmlformats.org/drawingml/2006/main">
                  <a:graphicData uri="http://schemas.microsoft.com/office/word/2010/wordprocessingShape">
                    <wps:wsp>
                      <wps:cNvCnPr/>
                      <wps:spPr>
                        <a:xfrm>
                          <a:off x="0" y="0"/>
                          <a:ext cx="85079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6D75FC9" id="_x0000_t32" coordsize="21600,21600" o:spt="32" o:oned="t" path="m,l21600,21600e" filled="f">
                <v:path arrowok="t" fillok="f" o:connecttype="none"/>
                <o:lock v:ext="edit" shapetype="t"/>
              </v:shapetype>
              <v:shape id="Straight Arrow Connector 4" o:spid="_x0000_s1026" type="#_x0000_t32" style="position:absolute;margin-left:202.9pt;margin-top:5.95pt;width:6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" strokecolor="black [3200]" strokeweight=".5pt">
                <v:stroke endarrow="block" joinstyle="miter"/>
              </v:shape>
            </w:pict>
          </mc:Fallback>
        </mc:AlternateContent>
      </w:r>
    </w:p>
    <w:p w14:paraId="70F485B8" w14:textId="77777777" w:rsidR="007B7697" w:rsidRPr="00911412" w:rsidRDefault="007B7697" w:rsidP="007B7697">
      <w:pPr>
        <w:rPr>
          <w:rFonts w:ascii="Garamond" w:eastAsia="Times New Roman" w:hAnsi="Garamond" w:cs="Times New Roman"/>
          <w:b/>
          <w:bCs/>
          <w:kern w:val="0"/>
          <w:sz w:val="22"/>
          <w:szCs w:val="22"/>
          <w:lang w:eastAsia="en-PH"/>
          <w14:ligatures w14:val="none"/>
        </w:rPr>
      </w:pPr>
    </w:p>
    <w:p w14:paraId="6FBAC972" w14:textId="77777777" w:rsidR="009D1F4C" w:rsidRPr="00911412" w:rsidRDefault="009D1F4C" w:rsidP="007B7697">
      <w:pPr>
        <w:rPr>
          <w:rFonts w:ascii="Garamond" w:eastAsia="Times New Roman" w:hAnsi="Garamond" w:cs="Times New Roman"/>
          <w:b/>
          <w:bCs/>
          <w:kern w:val="0"/>
          <w:sz w:val="22"/>
          <w:szCs w:val="22"/>
          <w:lang w:eastAsia="en-PH"/>
          <w14:ligatures w14:val="none"/>
        </w:rPr>
      </w:pPr>
    </w:p>
    <w:p w14:paraId="3DD1FFC4" w14:textId="77777777" w:rsidR="00E36562" w:rsidRDefault="00E36562" w:rsidP="007B7697">
      <w:pPr>
        <w:rPr>
          <w:rFonts w:ascii="Garamond" w:eastAsia="Times New Roman" w:hAnsi="Garamond" w:cs="Times New Roman"/>
          <w:b/>
          <w:bCs/>
          <w:kern w:val="0"/>
          <w:sz w:val="22"/>
          <w:szCs w:val="22"/>
          <w:lang w:eastAsia="en-PH"/>
          <w14:ligatures w14:val="none"/>
        </w:rPr>
      </w:pPr>
    </w:p>
    <w:p w14:paraId="6BCEFFF1" w14:textId="3AC8DC13" w:rsidR="007B7697" w:rsidRPr="00911412" w:rsidRDefault="005D722A" w:rsidP="007B7697">
      <w:pPr>
        <w:rPr>
          <w:rFonts w:ascii="Garamond" w:eastAsia="Times New Roman" w:hAnsi="Garamond" w:cs="Times New Roman"/>
          <w:b/>
          <w:bCs/>
          <w:kern w:val="0"/>
          <w:sz w:val="22"/>
          <w:szCs w:val="22"/>
          <w:lang w:eastAsia="en-PH"/>
          <w14:ligatures w14:val="none"/>
        </w:rPr>
      </w:pPr>
      <w:r w:rsidRPr="00911412">
        <w:rPr>
          <w:rFonts w:ascii="Garamond" w:eastAsia="Times New Roman" w:hAnsi="Garamond" w:cs="Times New Roman"/>
          <w:b/>
          <w:bCs/>
          <w:kern w:val="0"/>
          <w:sz w:val="22"/>
          <w:szCs w:val="22"/>
          <w:lang w:eastAsia="en-PH"/>
          <w14:ligatures w14:val="none"/>
        </w:rPr>
        <w:t>Methodology</w:t>
      </w:r>
    </w:p>
    <w:p w14:paraId="7F3D9F2F" w14:textId="77777777"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t xml:space="preserve">This study utilizes a quantitative, comparative research design. It focuses on analyzing and comparing the National Achievement Test (NAT) performance among elementary schools in the </w:t>
      </w:r>
      <w:proofErr w:type="spellStart"/>
      <w:r w:rsidRPr="00911412">
        <w:rPr>
          <w:rFonts w:ascii="Garamond" w:eastAsia="Times New Roman" w:hAnsi="Garamond" w:cs="Times New Roman"/>
          <w:kern w:val="0"/>
          <w:sz w:val="22"/>
          <w:szCs w:val="22"/>
          <w:lang w:eastAsia="en-PH"/>
          <w14:ligatures w14:val="none"/>
        </w:rPr>
        <w:t>Buhangin</w:t>
      </w:r>
      <w:proofErr w:type="spellEnd"/>
      <w:r w:rsidRPr="00911412">
        <w:rPr>
          <w:rFonts w:ascii="Garamond" w:eastAsia="Times New Roman" w:hAnsi="Garamond" w:cs="Times New Roman"/>
          <w:kern w:val="0"/>
          <w:sz w:val="22"/>
          <w:szCs w:val="22"/>
          <w:lang w:eastAsia="en-PH"/>
          <w14:ligatures w14:val="none"/>
        </w:rPr>
        <w:t xml:space="preserve"> East District. The design is suited for identifying differences in academic achievement across schools by using standardized assessment data. Specifically, the study conducts a subject-based and competency-based comparison of performance using descriptive and inferential statistical tools.</w:t>
      </w:r>
    </w:p>
    <w:p w14:paraId="7A10B7CB" w14:textId="77777777"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lastRenderedPageBreak/>
        <w:t xml:space="preserve">The study is conducted in the </w:t>
      </w:r>
      <w:proofErr w:type="spellStart"/>
      <w:r w:rsidRPr="00911412">
        <w:rPr>
          <w:rFonts w:ascii="Garamond" w:eastAsia="Times New Roman" w:hAnsi="Garamond" w:cs="Times New Roman"/>
          <w:kern w:val="0"/>
          <w:sz w:val="22"/>
          <w:szCs w:val="22"/>
          <w:lang w:eastAsia="en-PH"/>
          <w14:ligatures w14:val="none"/>
        </w:rPr>
        <w:t>Buhangin</w:t>
      </w:r>
      <w:proofErr w:type="spellEnd"/>
      <w:r w:rsidRPr="00911412">
        <w:rPr>
          <w:rFonts w:ascii="Garamond" w:eastAsia="Times New Roman" w:hAnsi="Garamond" w:cs="Times New Roman"/>
          <w:kern w:val="0"/>
          <w:sz w:val="22"/>
          <w:szCs w:val="22"/>
          <w:lang w:eastAsia="en-PH"/>
          <w14:ligatures w14:val="none"/>
        </w:rPr>
        <w:t xml:space="preserve"> East District, a district under the </w:t>
      </w:r>
      <w:r w:rsidR="009B1194" w:rsidRPr="00911412">
        <w:rPr>
          <w:rFonts w:ascii="Garamond" w:eastAsia="Times New Roman" w:hAnsi="Garamond" w:cs="Times New Roman"/>
          <w:kern w:val="0"/>
          <w:sz w:val="22"/>
          <w:szCs w:val="22"/>
          <w:lang w:eastAsia="en-PH"/>
          <w14:ligatures w14:val="none"/>
        </w:rPr>
        <w:t xml:space="preserve">jurisdiction of the </w:t>
      </w:r>
      <w:r w:rsidRPr="00911412">
        <w:rPr>
          <w:rFonts w:ascii="Garamond" w:eastAsia="Times New Roman" w:hAnsi="Garamond" w:cs="Times New Roman"/>
          <w:kern w:val="0"/>
          <w:sz w:val="22"/>
          <w:szCs w:val="22"/>
          <w:lang w:eastAsia="en-PH"/>
          <w14:ligatures w14:val="none"/>
        </w:rPr>
        <w:t xml:space="preserve">Department of Education, Division of Davao City. The district comprises several public elementary schools that participate in administering the National </w:t>
      </w:r>
      <w:r w:rsidR="009B1194" w:rsidRPr="00911412">
        <w:rPr>
          <w:rFonts w:ascii="Garamond" w:eastAsia="Times New Roman" w:hAnsi="Garamond" w:cs="Times New Roman"/>
          <w:kern w:val="0"/>
          <w:sz w:val="22"/>
          <w:szCs w:val="22"/>
          <w:lang w:eastAsia="en-PH"/>
          <w14:ligatures w14:val="none"/>
        </w:rPr>
        <w:t xml:space="preserve">Assessment of Educational Progress (NAEP), also known as the National </w:t>
      </w:r>
      <w:r w:rsidR="00A646E4" w:rsidRPr="00911412">
        <w:rPr>
          <w:rFonts w:ascii="Garamond" w:eastAsia="Times New Roman" w:hAnsi="Garamond" w:cs="Times New Roman"/>
          <w:kern w:val="0"/>
          <w:sz w:val="22"/>
          <w:szCs w:val="22"/>
          <w:lang w:eastAsia="en-PH"/>
          <w14:ligatures w14:val="none"/>
        </w:rPr>
        <w:t>Assessment of Educational Progress (NAEP</w:t>
      </w:r>
      <w:r w:rsidRPr="00911412">
        <w:rPr>
          <w:rFonts w:ascii="Garamond" w:eastAsia="Times New Roman" w:hAnsi="Garamond" w:cs="Times New Roman"/>
          <w:kern w:val="0"/>
          <w:sz w:val="22"/>
          <w:szCs w:val="22"/>
          <w:lang w:eastAsia="en-PH"/>
          <w14:ligatures w14:val="none"/>
        </w:rPr>
        <w:t>). The focus of this research is on schools within this district with complete and valid NAT results.</w:t>
      </w:r>
    </w:p>
    <w:p w14:paraId="6E67F256" w14:textId="77777777" w:rsidR="007B7697" w:rsidRPr="00911412" w:rsidRDefault="005D722A" w:rsidP="00AE7401">
      <w:pPr>
        <w:ind w:firstLine="720"/>
        <w:jc w:val="both"/>
        <w:rPr>
          <w:rFonts w:ascii="Garamond" w:eastAsia="Times New Roman" w:hAnsi="Garamond" w:cs="Times New Roman"/>
          <w:kern w:val="0"/>
          <w:sz w:val="22"/>
          <w:szCs w:val="22"/>
          <w:lang w:eastAsia="en-PH"/>
          <w14:ligatures w14:val="none"/>
        </w:rPr>
      </w:pPr>
      <w:r w:rsidRPr="00911412">
        <w:rPr>
          <w:rFonts w:ascii="Garamond" w:eastAsia="Times New Roman" w:hAnsi="Garamond" w:cs="Times New Roman"/>
          <w:kern w:val="0"/>
          <w:sz w:val="22"/>
          <w:szCs w:val="22"/>
          <w:lang w:eastAsia="en-PH"/>
          <w14:ligatures w14:val="none"/>
        </w:rPr>
        <w:t xml:space="preserve">The participants of the study are the Grade 6 learners’ NAT results from public elementary schools in the </w:t>
      </w:r>
      <w:proofErr w:type="spellStart"/>
      <w:r w:rsidRPr="00911412">
        <w:rPr>
          <w:rFonts w:ascii="Garamond" w:eastAsia="Times New Roman" w:hAnsi="Garamond" w:cs="Times New Roman"/>
          <w:kern w:val="0"/>
          <w:sz w:val="22"/>
          <w:szCs w:val="22"/>
          <w:lang w:eastAsia="en-PH"/>
          <w14:ligatures w14:val="none"/>
        </w:rPr>
        <w:t>Buhangin</w:t>
      </w:r>
      <w:proofErr w:type="spellEnd"/>
      <w:r w:rsidRPr="00911412">
        <w:rPr>
          <w:rFonts w:ascii="Garamond" w:eastAsia="Times New Roman" w:hAnsi="Garamond" w:cs="Times New Roman"/>
          <w:kern w:val="0"/>
          <w:sz w:val="22"/>
          <w:szCs w:val="22"/>
          <w:lang w:eastAsia="en-PH"/>
          <w14:ligatures w14:val="none"/>
        </w:rPr>
        <w:t xml:space="preserve"> East District. Since the unit of analysis is the school-level performance, the NAT scores are aggregated per school. Individual learners are not directly surveyed, and no personal identifiers are used.</w:t>
      </w:r>
    </w:p>
    <w:p w14:paraId="12063A45" w14:textId="5B84C8D7" w:rsidR="00F433DF" w:rsidRPr="00911412" w:rsidRDefault="005E1BF6" w:rsidP="005E1BF6">
      <w:pPr>
        <w:pStyle w:val="NormalWeb"/>
        <w:ind w:firstLine="720"/>
        <w:jc w:val="both"/>
        <w:rPr>
          <w:rFonts w:ascii="Garamond" w:hAnsi="Garamond"/>
          <w:sz w:val="22"/>
          <w:szCs w:val="22"/>
        </w:rPr>
      </w:pPr>
      <w:r>
        <w:rPr>
          <w:rFonts w:ascii="Garamond" w:hAnsi="Garamond"/>
          <w:sz w:val="22"/>
          <w:szCs w:val="22"/>
        </w:rPr>
        <w:t xml:space="preserve">The test statistics used in the study are </w:t>
      </w:r>
      <w:r w:rsidRPr="00911412">
        <w:rPr>
          <w:rFonts w:ascii="Garamond" w:hAnsi="Garamond"/>
          <w:sz w:val="22"/>
          <w:szCs w:val="22"/>
        </w:rPr>
        <w:t xml:space="preserve">the mean (average), median, standard deviation, </w:t>
      </w:r>
      <w:r>
        <w:rPr>
          <w:rFonts w:ascii="Garamond" w:hAnsi="Garamond"/>
          <w:sz w:val="22"/>
          <w:szCs w:val="22"/>
        </w:rPr>
        <w:t xml:space="preserve">and Kruskal-Wallis H-test.  They </w:t>
      </w:r>
      <w:r w:rsidRPr="00911412">
        <w:rPr>
          <w:rFonts w:ascii="Garamond" w:hAnsi="Garamond"/>
          <w:sz w:val="22"/>
          <w:szCs w:val="22"/>
        </w:rPr>
        <w:t xml:space="preserve">were used to provide a general summary of the </w:t>
      </w:r>
      <w:r w:rsidR="00E36562" w:rsidRPr="00911412">
        <w:rPr>
          <w:rFonts w:ascii="Garamond" w:hAnsi="Garamond"/>
          <w:sz w:val="22"/>
          <w:szCs w:val="22"/>
        </w:rPr>
        <w:t>students’</w:t>
      </w:r>
      <w:r w:rsidRPr="00911412">
        <w:rPr>
          <w:rFonts w:ascii="Garamond" w:hAnsi="Garamond"/>
          <w:sz w:val="22"/>
          <w:szCs w:val="22"/>
        </w:rPr>
        <w:t xml:space="preserve"> performance in each subject. These tools helped describe how high or low the scores </w:t>
      </w:r>
      <w:r w:rsidR="00F433DF" w:rsidRPr="00911412">
        <w:rPr>
          <w:rFonts w:ascii="Garamond" w:hAnsi="Garamond"/>
          <w:sz w:val="22"/>
          <w:szCs w:val="22"/>
        </w:rPr>
        <w:t>were and</w:t>
      </w:r>
      <w:r w:rsidRPr="00911412">
        <w:rPr>
          <w:rFonts w:ascii="Garamond" w:hAnsi="Garamond"/>
          <w:sz w:val="22"/>
          <w:szCs w:val="22"/>
        </w:rPr>
        <w:t xml:space="preserve"> how spread out the scores were within each subject. To determine if there were any significant differences in student performance across the five subjects, the study employed the </w:t>
      </w:r>
      <w:r w:rsidRPr="00911412">
        <w:rPr>
          <w:rStyle w:val="Strong"/>
          <w:rFonts w:ascii="Garamond" w:hAnsi="Garamond"/>
          <w:b w:val="0"/>
          <w:bCs w:val="0"/>
          <w:sz w:val="22"/>
          <w:szCs w:val="22"/>
        </w:rPr>
        <w:t>Kruskal-Wallis H test</w:t>
      </w:r>
      <w:r w:rsidRPr="00911412">
        <w:rPr>
          <w:rFonts w:ascii="Garamond" w:hAnsi="Garamond"/>
          <w:sz w:val="22"/>
          <w:szCs w:val="22"/>
        </w:rPr>
        <w:t>. This test is used when the scores may not follow a normal distribution or when the number of students in each group is not equal. It compares the scores in each subject to determine if any subject performs better or worse than the others. Since the Kruskal-</w:t>
      </w:r>
      <w:proofErr w:type="gramStart"/>
      <w:r w:rsidRPr="00911412">
        <w:rPr>
          <w:rFonts w:ascii="Garamond" w:hAnsi="Garamond"/>
          <w:sz w:val="22"/>
          <w:szCs w:val="22"/>
        </w:rPr>
        <w:t>Wallis</w:t>
      </w:r>
      <w:proofErr w:type="gramEnd"/>
      <w:r w:rsidRPr="00911412">
        <w:rPr>
          <w:rFonts w:ascii="Garamond" w:hAnsi="Garamond"/>
          <w:sz w:val="22"/>
          <w:szCs w:val="22"/>
        </w:rPr>
        <w:t xml:space="preserve"> test does not assume normal data, </w:t>
      </w:r>
      <w:r w:rsidR="00E36562">
        <w:rPr>
          <w:rFonts w:ascii="Garamond" w:hAnsi="Garamond"/>
          <w:sz w:val="22"/>
          <w:szCs w:val="22"/>
        </w:rPr>
        <w:t>comparing NAT scores from different subjects is safer and more appropriate</w:t>
      </w:r>
      <w:r w:rsidRPr="00911412">
        <w:rPr>
          <w:rFonts w:ascii="Garamond" w:hAnsi="Garamond"/>
          <w:sz w:val="22"/>
          <w:szCs w:val="22"/>
        </w:rPr>
        <w:t>.</w:t>
      </w:r>
    </w:p>
    <w:p w14:paraId="13F61953" w14:textId="77777777" w:rsidR="009D1F4C" w:rsidRPr="00911412" w:rsidRDefault="005D722A" w:rsidP="00F433DF">
      <w:pPr>
        <w:jc w:val="both"/>
        <w:rPr>
          <w:rFonts w:ascii="Garamond" w:hAnsi="Garamond" w:cs="Arial"/>
          <w:b/>
          <w:color w:val="000000"/>
          <w:sz w:val="22"/>
          <w:szCs w:val="22"/>
        </w:rPr>
      </w:pPr>
      <w:r w:rsidRPr="00911412">
        <w:rPr>
          <w:rFonts w:ascii="Garamond" w:hAnsi="Garamond" w:cs="Arial"/>
          <w:b/>
          <w:color w:val="000000"/>
          <w:sz w:val="22"/>
          <w:szCs w:val="22"/>
        </w:rPr>
        <w:t>Results and Discussions</w:t>
      </w:r>
    </w:p>
    <w:p w14:paraId="633637BA" w14:textId="360E57C3" w:rsidR="000218A9" w:rsidRPr="00911412" w:rsidRDefault="005D722A" w:rsidP="000218A9">
      <w:pPr>
        <w:jc w:val="both"/>
        <w:rPr>
          <w:rFonts w:ascii="Garamond" w:eastAsia="Garamond" w:hAnsi="Garamond" w:cs="Garamond"/>
          <w:b/>
          <w:sz w:val="22"/>
          <w:szCs w:val="22"/>
        </w:rPr>
      </w:pPr>
      <w:r w:rsidRPr="00911412">
        <w:rPr>
          <w:rFonts w:ascii="Garamond" w:eastAsia="Garamond" w:hAnsi="Garamond" w:cs="Garamond"/>
          <w:b/>
          <w:sz w:val="22"/>
          <w:szCs w:val="22"/>
        </w:rPr>
        <w:t xml:space="preserve">Table </w:t>
      </w:r>
      <w:r w:rsidR="00F433DF" w:rsidRPr="00911412">
        <w:rPr>
          <w:rFonts w:ascii="Garamond" w:eastAsia="Garamond" w:hAnsi="Garamond" w:cs="Garamond"/>
          <w:b/>
          <w:sz w:val="22"/>
          <w:szCs w:val="22"/>
        </w:rPr>
        <w:t>1</w:t>
      </w:r>
      <w:r w:rsidRPr="00911412">
        <w:rPr>
          <w:rFonts w:ascii="Garamond" w:eastAsia="Garamond" w:hAnsi="Garamond" w:cs="Garamond"/>
          <w:b/>
          <w:sz w:val="22"/>
          <w:szCs w:val="22"/>
        </w:rPr>
        <w:t xml:space="preserve">. </w:t>
      </w:r>
      <w:r w:rsidR="00FA5268" w:rsidRPr="00911412">
        <w:rPr>
          <w:rFonts w:ascii="Garamond" w:eastAsia="Garamond" w:hAnsi="Garamond" w:cs="Garamond"/>
          <w:b/>
          <w:sz w:val="22"/>
          <w:szCs w:val="22"/>
        </w:rPr>
        <w:t xml:space="preserve">Descriptive </w:t>
      </w:r>
      <w:r w:rsidR="00355665">
        <w:rPr>
          <w:rFonts w:ascii="Garamond" w:eastAsia="Garamond" w:hAnsi="Garamond" w:cs="Garamond"/>
          <w:b/>
          <w:sz w:val="22"/>
          <w:szCs w:val="22"/>
        </w:rPr>
        <w:t>Table</w:t>
      </w:r>
    </w:p>
    <w:tbl>
      <w:tblPr>
        <w:tblW w:w="9166" w:type="dxa"/>
        <w:jc w:val="center"/>
        <w:tblLayout w:type="fixed"/>
        <w:tblLook w:val="0400" w:firstRow="0" w:lastRow="0" w:firstColumn="0" w:lastColumn="0" w:noHBand="0" w:noVBand="1"/>
      </w:tblPr>
      <w:tblGrid>
        <w:gridCol w:w="3119"/>
        <w:gridCol w:w="2126"/>
        <w:gridCol w:w="1559"/>
        <w:gridCol w:w="2362"/>
      </w:tblGrid>
      <w:tr w:rsidR="006C233A" w14:paraId="5CCD5E1D" w14:textId="77777777" w:rsidTr="006157DD">
        <w:trPr>
          <w:trHeight w:val="468"/>
          <w:jc w:val="center"/>
        </w:trPr>
        <w:tc>
          <w:tcPr>
            <w:tcW w:w="3119" w:type="dxa"/>
            <w:tcBorders>
              <w:top w:val="double" w:sz="4" w:space="0" w:color="000000"/>
              <w:bottom w:val="single" w:sz="4" w:space="0" w:color="000000"/>
            </w:tcBorders>
            <w:tcMar>
              <w:top w:w="0" w:type="dxa"/>
              <w:left w:w="108" w:type="dxa"/>
              <w:bottom w:w="0" w:type="dxa"/>
              <w:right w:w="108" w:type="dxa"/>
            </w:tcMar>
          </w:tcPr>
          <w:p w14:paraId="3204CBB7" w14:textId="77777777" w:rsidR="000218A9" w:rsidRPr="00911412" w:rsidRDefault="005D722A" w:rsidP="000218A9">
            <w:pPr>
              <w:pStyle w:val="NoSpacing"/>
              <w:jc w:val="center"/>
              <w:rPr>
                <w:rFonts w:ascii="Garamond" w:hAnsi="Garamond"/>
                <w:b/>
                <w:bCs/>
                <w:sz w:val="22"/>
                <w:szCs w:val="22"/>
                <w:highlight w:val="white"/>
              </w:rPr>
            </w:pPr>
            <w:r w:rsidRPr="00911412">
              <w:rPr>
                <w:rFonts w:ascii="Garamond" w:hAnsi="Garamond"/>
                <w:b/>
                <w:bCs/>
                <w:sz w:val="22"/>
                <w:szCs w:val="22"/>
                <w:highlight w:val="white"/>
              </w:rPr>
              <w:t>Mean Percentage Scores per Learning Area</w:t>
            </w:r>
          </w:p>
        </w:tc>
        <w:tc>
          <w:tcPr>
            <w:tcW w:w="2126" w:type="dxa"/>
            <w:tcBorders>
              <w:top w:val="double" w:sz="4" w:space="0" w:color="000000"/>
              <w:bottom w:val="single" w:sz="4" w:space="0" w:color="000000"/>
            </w:tcBorders>
            <w:tcMar>
              <w:top w:w="0" w:type="dxa"/>
              <w:left w:w="108" w:type="dxa"/>
              <w:bottom w:w="0" w:type="dxa"/>
              <w:right w:w="108" w:type="dxa"/>
            </w:tcMar>
          </w:tcPr>
          <w:p w14:paraId="7D07E998" w14:textId="77777777" w:rsidR="000218A9" w:rsidRPr="00911412" w:rsidRDefault="005D722A" w:rsidP="001D6A8E">
            <w:pPr>
              <w:pStyle w:val="NoSpacing"/>
              <w:jc w:val="center"/>
              <w:rPr>
                <w:rFonts w:ascii="Garamond" w:hAnsi="Garamond"/>
                <w:sz w:val="22"/>
                <w:szCs w:val="22"/>
                <w:highlight w:val="white"/>
              </w:rPr>
            </w:pPr>
            <w:r w:rsidRPr="00911412">
              <w:rPr>
                <w:rFonts w:ascii="Garamond" w:hAnsi="Garamond"/>
                <w:b/>
                <w:color w:val="000000"/>
                <w:sz w:val="22"/>
                <w:szCs w:val="22"/>
              </w:rPr>
              <w:t>Standard Deviation</w:t>
            </w:r>
          </w:p>
        </w:tc>
        <w:tc>
          <w:tcPr>
            <w:tcW w:w="1559" w:type="dxa"/>
            <w:tcBorders>
              <w:top w:val="double" w:sz="4" w:space="0" w:color="000000"/>
              <w:bottom w:val="single" w:sz="4" w:space="0" w:color="000000"/>
            </w:tcBorders>
            <w:tcMar>
              <w:top w:w="0" w:type="dxa"/>
              <w:left w:w="108" w:type="dxa"/>
              <w:bottom w:w="0" w:type="dxa"/>
              <w:right w:w="108" w:type="dxa"/>
            </w:tcMar>
          </w:tcPr>
          <w:p w14:paraId="33995C50" w14:textId="77777777" w:rsidR="000218A9" w:rsidRPr="00911412" w:rsidRDefault="005D722A" w:rsidP="001D6A8E">
            <w:pPr>
              <w:pStyle w:val="NoSpacing"/>
              <w:jc w:val="center"/>
              <w:rPr>
                <w:rFonts w:ascii="Garamond" w:hAnsi="Garamond"/>
                <w:sz w:val="22"/>
                <w:szCs w:val="22"/>
                <w:highlight w:val="white"/>
              </w:rPr>
            </w:pPr>
            <w:r w:rsidRPr="00911412">
              <w:rPr>
                <w:rFonts w:ascii="Garamond" w:hAnsi="Garamond"/>
                <w:b/>
                <w:color w:val="000000"/>
                <w:sz w:val="22"/>
                <w:szCs w:val="22"/>
              </w:rPr>
              <w:t>Mean</w:t>
            </w:r>
          </w:p>
        </w:tc>
        <w:tc>
          <w:tcPr>
            <w:tcW w:w="2362" w:type="dxa"/>
            <w:tcBorders>
              <w:top w:val="double" w:sz="4" w:space="0" w:color="000000"/>
              <w:bottom w:val="single" w:sz="4" w:space="0" w:color="000000"/>
            </w:tcBorders>
            <w:tcMar>
              <w:top w:w="0" w:type="dxa"/>
              <w:left w:w="108" w:type="dxa"/>
              <w:bottom w:w="0" w:type="dxa"/>
              <w:right w:w="108" w:type="dxa"/>
            </w:tcMar>
          </w:tcPr>
          <w:p w14:paraId="1D7738B7" w14:textId="77777777" w:rsidR="000218A9" w:rsidRPr="00911412" w:rsidRDefault="005D722A" w:rsidP="001D6A8E">
            <w:pPr>
              <w:pStyle w:val="NoSpacing"/>
              <w:jc w:val="center"/>
              <w:rPr>
                <w:rFonts w:ascii="Garamond" w:hAnsi="Garamond"/>
                <w:b/>
                <w:color w:val="000000"/>
                <w:sz w:val="22"/>
                <w:szCs w:val="22"/>
              </w:rPr>
            </w:pPr>
            <w:r w:rsidRPr="00911412">
              <w:rPr>
                <w:rFonts w:ascii="Garamond" w:hAnsi="Garamond"/>
                <w:b/>
                <w:color w:val="000000"/>
                <w:sz w:val="22"/>
                <w:szCs w:val="22"/>
              </w:rPr>
              <w:t>Level Description</w:t>
            </w:r>
          </w:p>
          <w:p w14:paraId="01C77B2F" w14:textId="77777777" w:rsidR="006157DD" w:rsidRPr="00911412" w:rsidRDefault="006157DD" w:rsidP="001D6A8E">
            <w:pPr>
              <w:pStyle w:val="NoSpacing"/>
              <w:jc w:val="center"/>
              <w:rPr>
                <w:rFonts w:ascii="Garamond" w:hAnsi="Garamond"/>
                <w:sz w:val="22"/>
                <w:szCs w:val="22"/>
                <w:highlight w:val="white"/>
              </w:rPr>
            </w:pPr>
          </w:p>
        </w:tc>
      </w:tr>
      <w:tr w:rsidR="006C233A" w14:paraId="190E4411" w14:textId="77777777" w:rsidTr="006157DD">
        <w:trPr>
          <w:trHeight w:val="227"/>
          <w:jc w:val="center"/>
        </w:trPr>
        <w:tc>
          <w:tcPr>
            <w:tcW w:w="3119" w:type="dxa"/>
            <w:tcBorders>
              <w:top w:val="single" w:sz="4" w:space="0" w:color="000000"/>
              <w:bottom w:val="single" w:sz="4" w:space="0" w:color="000000"/>
            </w:tcBorders>
            <w:tcMar>
              <w:top w:w="0" w:type="dxa"/>
              <w:left w:w="108" w:type="dxa"/>
              <w:bottom w:w="0" w:type="dxa"/>
              <w:right w:w="108" w:type="dxa"/>
            </w:tcMar>
          </w:tcPr>
          <w:p w14:paraId="4DA0668A" w14:textId="77777777" w:rsidR="000218A9" w:rsidRPr="00911412" w:rsidRDefault="005D722A" w:rsidP="00B70DA7">
            <w:pPr>
              <w:pStyle w:val="NoSpacing"/>
              <w:rPr>
                <w:rFonts w:ascii="Garamond" w:hAnsi="Garamond"/>
                <w:b/>
                <w:bCs/>
                <w:color w:val="000000"/>
                <w:sz w:val="22"/>
                <w:szCs w:val="22"/>
              </w:rPr>
            </w:pPr>
            <w:bookmarkStart w:id="0" w:name="_Hlk200117477"/>
            <w:r w:rsidRPr="00911412">
              <w:rPr>
                <w:rFonts w:ascii="Garamond" w:hAnsi="Garamond"/>
                <w:b/>
                <w:bCs/>
                <w:color w:val="000000"/>
                <w:sz w:val="22"/>
                <w:szCs w:val="22"/>
              </w:rPr>
              <w:t>Filipino</w:t>
            </w:r>
          </w:p>
        </w:tc>
        <w:tc>
          <w:tcPr>
            <w:tcW w:w="2126" w:type="dxa"/>
            <w:tcBorders>
              <w:top w:val="single" w:sz="4" w:space="0" w:color="000000"/>
              <w:bottom w:val="single" w:sz="4" w:space="0" w:color="000000"/>
            </w:tcBorders>
            <w:tcMar>
              <w:top w:w="0" w:type="dxa"/>
              <w:left w:w="108" w:type="dxa"/>
              <w:bottom w:w="0" w:type="dxa"/>
              <w:right w:w="108" w:type="dxa"/>
            </w:tcMar>
          </w:tcPr>
          <w:p w14:paraId="1D8A8B1C" w14:textId="3ACB6039" w:rsidR="000218A9" w:rsidRPr="00911412" w:rsidRDefault="005D722A" w:rsidP="001D6A8E">
            <w:pPr>
              <w:pStyle w:val="NoSpacing"/>
              <w:jc w:val="center"/>
              <w:rPr>
                <w:rFonts w:ascii="Garamond" w:hAnsi="Garamond"/>
                <w:bCs/>
                <w:color w:val="000000"/>
                <w:sz w:val="22"/>
                <w:szCs w:val="22"/>
              </w:rPr>
            </w:pPr>
            <w:r w:rsidRPr="00911412">
              <w:rPr>
                <w:rFonts w:ascii="Garamond" w:hAnsi="Garamond"/>
                <w:bCs/>
                <w:color w:val="000000"/>
                <w:sz w:val="22"/>
                <w:szCs w:val="22"/>
              </w:rPr>
              <w:t>13.477</w:t>
            </w:r>
          </w:p>
        </w:tc>
        <w:tc>
          <w:tcPr>
            <w:tcW w:w="1559" w:type="dxa"/>
            <w:tcBorders>
              <w:top w:val="single" w:sz="4" w:space="0" w:color="000000"/>
              <w:bottom w:val="single" w:sz="4" w:space="0" w:color="000000"/>
            </w:tcBorders>
            <w:tcMar>
              <w:top w:w="0" w:type="dxa"/>
              <w:left w:w="108" w:type="dxa"/>
              <w:bottom w:w="0" w:type="dxa"/>
              <w:right w:w="108" w:type="dxa"/>
            </w:tcMar>
          </w:tcPr>
          <w:p w14:paraId="670775E1" w14:textId="277CA0D7" w:rsidR="000218A9" w:rsidRPr="00911412" w:rsidRDefault="005D722A" w:rsidP="001D6A8E">
            <w:pPr>
              <w:pStyle w:val="NoSpacing"/>
              <w:jc w:val="center"/>
              <w:rPr>
                <w:rFonts w:ascii="Garamond" w:hAnsi="Garamond"/>
                <w:bCs/>
                <w:color w:val="000000"/>
                <w:sz w:val="22"/>
                <w:szCs w:val="22"/>
              </w:rPr>
            </w:pPr>
            <w:r w:rsidRPr="00911412">
              <w:rPr>
                <w:rFonts w:ascii="Garamond" w:hAnsi="Garamond"/>
                <w:bCs/>
                <w:color w:val="000000"/>
                <w:sz w:val="22"/>
                <w:szCs w:val="22"/>
              </w:rPr>
              <w:t>60.2</w:t>
            </w:r>
            <w:r w:rsidR="005E1BF6">
              <w:rPr>
                <w:rFonts w:ascii="Garamond" w:hAnsi="Garamond"/>
                <w:bCs/>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2442283C" w14:textId="77777777" w:rsidR="000218A9" w:rsidRPr="00911412" w:rsidRDefault="005D722A" w:rsidP="001D6A8E">
            <w:pPr>
              <w:pStyle w:val="NoSpacing"/>
              <w:jc w:val="center"/>
              <w:rPr>
                <w:rFonts w:ascii="Garamond" w:hAnsi="Garamond"/>
                <w:bCs/>
                <w:color w:val="EE0000"/>
                <w:sz w:val="22"/>
                <w:szCs w:val="22"/>
              </w:rPr>
            </w:pPr>
            <w:r w:rsidRPr="00911412">
              <w:rPr>
                <w:rFonts w:ascii="Garamond" w:hAnsi="Garamond"/>
                <w:bCs/>
                <w:sz w:val="22"/>
                <w:szCs w:val="22"/>
              </w:rPr>
              <w:t>Moderate</w:t>
            </w:r>
          </w:p>
        </w:tc>
      </w:tr>
      <w:tr w:rsidR="006C233A" w14:paraId="6EB00556" w14:textId="77777777" w:rsidTr="006157DD">
        <w:trPr>
          <w:trHeight w:val="241"/>
          <w:jc w:val="center"/>
        </w:trPr>
        <w:tc>
          <w:tcPr>
            <w:tcW w:w="3119" w:type="dxa"/>
            <w:tcBorders>
              <w:top w:val="single" w:sz="4" w:space="0" w:color="000000"/>
              <w:bottom w:val="single" w:sz="4" w:space="0" w:color="000000"/>
            </w:tcBorders>
            <w:tcMar>
              <w:top w:w="0" w:type="dxa"/>
              <w:left w:w="108" w:type="dxa"/>
              <w:bottom w:w="0" w:type="dxa"/>
              <w:right w:w="108" w:type="dxa"/>
            </w:tcMar>
          </w:tcPr>
          <w:p w14:paraId="5355F17A" w14:textId="77777777" w:rsidR="000218A9" w:rsidRPr="00911412" w:rsidRDefault="005D722A" w:rsidP="00B70DA7">
            <w:pPr>
              <w:pStyle w:val="NoSpacing"/>
              <w:rPr>
                <w:rFonts w:ascii="Garamond" w:hAnsi="Garamond"/>
                <w:b/>
                <w:sz w:val="22"/>
                <w:szCs w:val="22"/>
                <w:highlight w:val="white"/>
              </w:rPr>
            </w:pPr>
            <w:r w:rsidRPr="00911412">
              <w:rPr>
                <w:rFonts w:ascii="Garamond" w:hAnsi="Garamond"/>
                <w:b/>
                <w:color w:val="000000"/>
                <w:sz w:val="22"/>
                <w:szCs w:val="22"/>
              </w:rPr>
              <w:t>Mathematics</w:t>
            </w:r>
          </w:p>
        </w:tc>
        <w:tc>
          <w:tcPr>
            <w:tcW w:w="2126" w:type="dxa"/>
            <w:tcBorders>
              <w:top w:val="single" w:sz="4" w:space="0" w:color="000000"/>
              <w:bottom w:val="single" w:sz="4" w:space="0" w:color="000000"/>
            </w:tcBorders>
            <w:tcMar>
              <w:top w:w="0" w:type="dxa"/>
              <w:left w:w="108" w:type="dxa"/>
              <w:bottom w:w="0" w:type="dxa"/>
              <w:right w:w="108" w:type="dxa"/>
            </w:tcMar>
          </w:tcPr>
          <w:p w14:paraId="231DC318" w14:textId="0C05FACA"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21.943</w:t>
            </w:r>
          </w:p>
        </w:tc>
        <w:tc>
          <w:tcPr>
            <w:tcW w:w="1559" w:type="dxa"/>
            <w:tcBorders>
              <w:top w:val="single" w:sz="4" w:space="0" w:color="000000"/>
              <w:bottom w:val="single" w:sz="4" w:space="0" w:color="000000"/>
            </w:tcBorders>
            <w:tcMar>
              <w:top w:w="0" w:type="dxa"/>
              <w:left w:w="108" w:type="dxa"/>
              <w:bottom w:w="0" w:type="dxa"/>
              <w:right w:w="108" w:type="dxa"/>
            </w:tcMar>
          </w:tcPr>
          <w:p w14:paraId="47D2272A" w14:textId="44F0696B"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57.9</w:t>
            </w:r>
            <w:r w:rsidR="005E1BF6">
              <w:rPr>
                <w:rFonts w:ascii="Garamond" w:hAnsi="Garamond"/>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64355FFB" w14:textId="77777777" w:rsidR="000218A9" w:rsidRPr="00911412" w:rsidRDefault="005D722A" w:rsidP="001D6A8E">
            <w:pPr>
              <w:pStyle w:val="NoSpacing"/>
              <w:jc w:val="center"/>
              <w:rPr>
                <w:rFonts w:ascii="Garamond" w:hAnsi="Garamond"/>
                <w:color w:val="EE0000"/>
                <w:sz w:val="22"/>
                <w:szCs w:val="22"/>
                <w:highlight w:val="white"/>
              </w:rPr>
            </w:pPr>
            <w:r w:rsidRPr="00911412">
              <w:rPr>
                <w:rFonts w:ascii="Garamond" w:hAnsi="Garamond"/>
                <w:bCs/>
                <w:sz w:val="22"/>
                <w:szCs w:val="22"/>
              </w:rPr>
              <w:t>Moderate</w:t>
            </w:r>
          </w:p>
        </w:tc>
      </w:tr>
      <w:tr w:rsidR="006C233A" w14:paraId="2DDB0587" w14:textId="77777777" w:rsidTr="006157DD">
        <w:trPr>
          <w:trHeight w:val="232"/>
          <w:jc w:val="center"/>
        </w:trPr>
        <w:tc>
          <w:tcPr>
            <w:tcW w:w="3119" w:type="dxa"/>
            <w:tcBorders>
              <w:top w:val="single" w:sz="4" w:space="0" w:color="000000"/>
              <w:bottom w:val="single" w:sz="4" w:space="0" w:color="000000"/>
            </w:tcBorders>
            <w:tcMar>
              <w:top w:w="0" w:type="dxa"/>
              <w:left w:w="108" w:type="dxa"/>
              <w:bottom w:w="0" w:type="dxa"/>
              <w:right w:w="108" w:type="dxa"/>
            </w:tcMar>
          </w:tcPr>
          <w:p w14:paraId="71C99652" w14:textId="77777777" w:rsidR="000218A9" w:rsidRPr="00911412" w:rsidRDefault="005D722A" w:rsidP="00B70DA7">
            <w:pPr>
              <w:pStyle w:val="NoSpacing"/>
              <w:rPr>
                <w:rFonts w:ascii="Garamond" w:hAnsi="Garamond"/>
                <w:b/>
                <w:sz w:val="22"/>
                <w:szCs w:val="22"/>
                <w:highlight w:val="white"/>
              </w:rPr>
            </w:pPr>
            <w:r w:rsidRPr="00911412">
              <w:rPr>
                <w:rFonts w:ascii="Garamond" w:hAnsi="Garamond"/>
                <w:b/>
                <w:color w:val="000000"/>
                <w:sz w:val="22"/>
                <w:szCs w:val="22"/>
              </w:rPr>
              <w:t>English</w:t>
            </w:r>
          </w:p>
        </w:tc>
        <w:tc>
          <w:tcPr>
            <w:tcW w:w="2126" w:type="dxa"/>
            <w:tcBorders>
              <w:top w:val="single" w:sz="4" w:space="0" w:color="000000"/>
              <w:bottom w:val="single" w:sz="4" w:space="0" w:color="000000"/>
            </w:tcBorders>
            <w:tcMar>
              <w:top w:w="0" w:type="dxa"/>
              <w:left w:w="108" w:type="dxa"/>
              <w:bottom w:w="0" w:type="dxa"/>
              <w:right w:w="108" w:type="dxa"/>
            </w:tcMar>
          </w:tcPr>
          <w:p w14:paraId="5D98BF26" w14:textId="7BEE2C9A"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19.43</w:t>
            </w:r>
            <w:r w:rsidR="005E1BF6">
              <w:rPr>
                <w:rFonts w:ascii="Garamond" w:hAnsi="Garamond"/>
                <w:color w:val="000000"/>
                <w:sz w:val="22"/>
                <w:szCs w:val="22"/>
              </w:rPr>
              <w:t>4</w:t>
            </w:r>
          </w:p>
        </w:tc>
        <w:tc>
          <w:tcPr>
            <w:tcW w:w="1559" w:type="dxa"/>
            <w:tcBorders>
              <w:top w:val="single" w:sz="4" w:space="0" w:color="000000"/>
              <w:bottom w:val="single" w:sz="4" w:space="0" w:color="000000"/>
            </w:tcBorders>
            <w:tcMar>
              <w:top w:w="0" w:type="dxa"/>
              <w:left w:w="108" w:type="dxa"/>
              <w:bottom w:w="0" w:type="dxa"/>
              <w:right w:w="108" w:type="dxa"/>
            </w:tcMar>
          </w:tcPr>
          <w:p w14:paraId="47E9FC48" w14:textId="5DAC28D3" w:rsidR="000218A9" w:rsidRPr="00911412" w:rsidRDefault="005D722A" w:rsidP="001D6A8E">
            <w:pPr>
              <w:pStyle w:val="NoSpacing"/>
              <w:jc w:val="center"/>
              <w:rPr>
                <w:rFonts w:ascii="Garamond" w:hAnsi="Garamond"/>
                <w:sz w:val="22"/>
                <w:szCs w:val="22"/>
                <w:highlight w:val="white"/>
              </w:rPr>
            </w:pPr>
            <w:r w:rsidRPr="00911412">
              <w:rPr>
                <w:rFonts w:ascii="Garamond" w:hAnsi="Garamond"/>
                <w:color w:val="000000"/>
                <w:sz w:val="22"/>
                <w:szCs w:val="22"/>
              </w:rPr>
              <w:t>53.9</w:t>
            </w:r>
            <w:r w:rsidR="005E1BF6">
              <w:rPr>
                <w:rFonts w:ascii="Garamond" w:hAnsi="Garamond"/>
                <w:color w:val="000000"/>
                <w:sz w:val="22"/>
                <w:szCs w:val="22"/>
              </w:rPr>
              <w:t>1</w:t>
            </w:r>
          </w:p>
        </w:tc>
        <w:tc>
          <w:tcPr>
            <w:tcW w:w="2362" w:type="dxa"/>
            <w:tcBorders>
              <w:top w:val="single" w:sz="4" w:space="0" w:color="000000"/>
              <w:bottom w:val="single" w:sz="4" w:space="0" w:color="000000"/>
            </w:tcBorders>
            <w:tcMar>
              <w:top w:w="0" w:type="dxa"/>
              <w:left w:w="108" w:type="dxa"/>
              <w:bottom w:w="0" w:type="dxa"/>
              <w:right w:w="108" w:type="dxa"/>
            </w:tcMar>
          </w:tcPr>
          <w:p w14:paraId="76802A13" w14:textId="77777777" w:rsidR="000218A9" w:rsidRPr="00911412" w:rsidRDefault="005D722A" w:rsidP="001D6A8E">
            <w:pPr>
              <w:pStyle w:val="NoSpacing"/>
              <w:jc w:val="center"/>
              <w:rPr>
                <w:rFonts w:ascii="Garamond" w:hAnsi="Garamond"/>
                <w:color w:val="EE0000"/>
                <w:sz w:val="22"/>
                <w:szCs w:val="22"/>
                <w:highlight w:val="white"/>
              </w:rPr>
            </w:pPr>
            <w:r w:rsidRPr="00911412">
              <w:rPr>
                <w:rFonts w:ascii="Garamond" w:hAnsi="Garamond"/>
                <w:bCs/>
                <w:sz w:val="22"/>
                <w:szCs w:val="22"/>
              </w:rPr>
              <w:t>Moderate</w:t>
            </w:r>
          </w:p>
        </w:tc>
      </w:tr>
      <w:tr w:rsidR="006C233A" w14:paraId="140B7351" w14:textId="77777777" w:rsidTr="006157DD">
        <w:trPr>
          <w:trHeight w:val="241"/>
          <w:jc w:val="center"/>
        </w:trPr>
        <w:tc>
          <w:tcPr>
            <w:tcW w:w="3119" w:type="dxa"/>
            <w:tcBorders>
              <w:top w:val="single" w:sz="4" w:space="0" w:color="000000"/>
              <w:bottom w:val="single" w:sz="4" w:space="0" w:color="000000"/>
            </w:tcBorders>
            <w:tcMar>
              <w:top w:w="0" w:type="dxa"/>
              <w:left w:w="108" w:type="dxa"/>
              <w:bottom w:w="0" w:type="dxa"/>
              <w:right w:w="108" w:type="dxa"/>
            </w:tcMar>
          </w:tcPr>
          <w:p w14:paraId="466FD1CD" w14:textId="77777777" w:rsidR="000218A9" w:rsidRPr="00911412" w:rsidRDefault="005D722A" w:rsidP="00B70DA7">
            <w:pPr>
              <w:pStyle w:val="NoSpacing"/>
              <w:rPr>
                <w:rFonts w:ascii="Garamond" w:hAnsi="Garamond"/>
                <w:b/>
                <w:color w:val="000000"/>
                <w:sz w:val="22"/>
                <w:szCs w:val="22"/>
              </w:rPr>
            </w:pPr>
            <w:r w:rsidRPr="00911412">
              <w:rPr>
                <w:rFonts w:ascii="Garamond" w:hAnsi="Garamond"/>
                <w:b/>
                <w:color w:val="000000"/>
                <w:sz w:val="22"/>
                <w:szCs w:val="22"/>
              </w:rPr>
              <w:t>Science</w:t>
            </w:r>
          </w:p>
        </w:tc>
        <w:tc>
          <w:tcPr>
            <w:tcW w:w="2126" w:type="dxa"/>
            <w:tcBorders>
              <w:top w:val="single" w:sz="4" w:space="0" w:color="000000"/>
              <w:bottom w:val="single" w:sz="4" w:space="0" w:color="000000"/>
            </w:tcBorders>
            <w:tcMar>
              <w:top w:w="0" w:type="dxa"/>
              <w:left w:w="108" w:type="dxa"/>
              <w:bottom w:w="0" w:type="dxa"/>
              <w:right w:w="108" w:type="dxa"/>
            </w:tcMar>
          </w:tcPr>
          <w:p w14:paraId="4AD0836F" w14:textId="19167C2E"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14.99</w:t>
            </w:r>
            <w:r w:rsidR="005E1BF6">
              <w:rPr>
                <w:rFonts w:ascii="Garamond" w:hAnsi="Garamond"/>
                <w:color w:val="000000"/>
                <w:sz w:val="22"/>
                <w:szCs w:val="22"/>
              </w:rPr>
              <w:t>2</w:t>
            </w:r>
          </w:p>
        </w:tc>
        <w:tc>
          <w:tcPr>
            <w:tcW w:w="1559" w:type="dxa"/>
            <w:tcBorders>
              <w:top w:val="single" w:sz="4" w:space="0" w:color="000000"/>
              <w:bottom w:val="single" w:sz="4" w:space="0" w:color="000000"/>
            </w:tcBorders>
            <w:tcMar>
              <w:top w:w="0" w:type="dxa"/>
              <w:left w:w="108" w:type="dxa"/>
              <w:bottom w:w="0" w:type="dxa"/>
              <w:right w:w="108" w:type="dxa"/>
            </w:tcMar>
          </w:tcPr>
          <w:p w14:paraId="3C4F0A9F" w14:textId="363DE6E0"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50.4</w:t>
            </w:r>
            <w:r w:rsidR="005E1BF6">
              <w:rPr>
                <w:rFonts w:ascii="Garamond" w:hAnsi="Garamond"/>
                <w:color w:val="000000"/>
                <w:sz w:val="22"/>
                <w:szCs w:val="22"/>
              </w:rPr>
              <w:t>8</w:t>
            </w:r>
          </w:p>
        </w:tc>
        <w:tc>
          <w:tcPr>
            <w:tcW w:w="2362" w:type="dxa"/>
            <w:tcBorders>
              <w:top w:val="single" w:sz="4" w:space="0" w:color="000000"/>
              <w:bottom w:val="single" w:sz="4" w:space="0" w:color="000000"/>
            </w:tcBorders>
            <w:tcMar>
              <w:top w:w="0" w:type="dxa"/>
              <w:left w:w="108" w:type="dxa"/>
              <w:bottom w:w="0" w:type="dxa"/>
              <w:right w:w="108" w:type="dxa"/>
            </w:tcMar>
          </w:tcPr>
          <w:p w14:paraId="3F5752AC" w14:textId="77777777" w:rsidR="000218A9" w:rsidRPr="00911412" w:rsidRDefault="005D722A" w:rsidP="001D6A8E">
            <w:pPr>
              <w:pStyle w:val="NoSpacing"/>
              <w:jc w:val="center"/>
              <w:rPr>
                <w:rFonts w:ascii="Garamond" w:hAnsi="Garamond"/>
                <w:color w:val="EE0000"/>
                <w:sz w:val="22"/>
                <w:szCs w:val="22"/>
              </w:rPr>
            </w:pPr>
            <w:r w:rsidRPr="00911412">
              <w:rPr>
                <w:rFonts w:ascii="Garamond" w:hAnsi="Garamond"/>
                <w:bCs/>
                <w:sz w:val="22"/>
                <w:szCs w:val="22"/>
              </w:rPr>
              <w:t>Moderate</w:t>
            </w:r>
          </w:p>
        </w:tc>
      </w:tr>
      <w:tr w:rsidR="006C233A" w14:paraId="155BB49F" w14:textId="77777777" w:rsidTr="006157DD">
        <w:trPr>
          <w:trHeight w:val="227"/>
          <w:jc w:val="center"/>
        </w:trPr>
        <w:tc>
          <w:tcPr>
            <w:tcW w:w="3119" w:type="dxa"/>
            <w:tcBorders>
              <w:top w:val="single" w:sz="4" w:space="0" w:color="000000"/>
              <w:bottom w:val="single" w:sz="4" w:space="0" w:color="000000"/>
            </w:tcBorders>
            <w:tcMar>
              <w:top w:w="0" w:type="dxa"/>
              <w:left w:w="108" w:type="dxa"/>
              <w:bottom w:w="0" w:type="dxa"/>
              <w:right w:w="108" w:type="dxa"/>
            </w:tcMar>
          </w:tcPr>
          <w:p w14:paraId="1653B44F" w14:textId="77777777" w:rsidR="000218A9" w:rsidRPr="00911412" w:rsidRDefault="005D722A" w:rsidP="00B70DA7">
            <w:pPr>
              <w:pStyle w:val="NoSpacing"/>
              <w:rPr>
                <w:rFonts w:ascii="Garamond" w:hAnsi="Garamond"/>
                <w:b/>
                <w:color w:val="000000"/>
                <w:sz w:val="22"/>
                <w:szCs w:val="22"/>
              </w:rPr>
            </w:pPr>
            <w:proofErr w:type="spellStart"/>
            <w:r w:rsidRPr="00911412">
              <w:rPr>
                <w:rFonts w:ascii="Garamond" w:hAnsi="Garamond"/>
                <w:b/>
                <w:sz w:val="22"/>
                <w:szCs w:val="22"/>
              </w:rPr>
              <w:t>Araling</w:t>
            </w:r>
            <w:proofErr w:type="spellEnd"/>
            <w:r w:rsidRPr="00911412">
              <w:rPr>
                <w:rFonts w:ascii="Garamond" w:hAnsi="Garamond"/>
                <w:b/>
                <w:sz w:val="22"/>
                <w:szCs w:val="22"/>
              </w:rPr>
              <w:t xml:space="preserve"> </w:t>
            </w:r>
            <w:proofErr w:type="spellStart"/>
            <w:r w:rsidRPr="00911412">
              <w:rPr>
                <w:rFonts w:ascii="Garamond" w:hAnsi="Garamond"/>
                <w:b/>
                <w:sz w:val="22"/>
                <w:szCs w:val="22"/>
              </w:rPr>
              <w:t>Panlipunan</w:t>
            </w:r>
            <w:proofErr w:type="spellEnd"/>
          </w:p>
        </w:tc>
        <w:tc>
          <w:tcPr>
            <w:tcW w:w="2126" w:type="dxa"/>
            <w:tcBorders>
              <w:top w:val="single" w:sz="4" w:space="0" w:color="000000"/>
              <w:bottom w:val="single" w:sz="4" w:space="0" w:color="000000"/>
            </w:tcBorders>
            <w:tcMar>
              <w:top w:w="0" w:type="dxa"/>
              <w:left w:w="108" w:type="dxa"/>
              <w:bottom w:w="0" w:type="dxa"/>
              <w:right w:w="108" w:type="dxa"/>
            </w:tcMar>
          </w:tcPr>
          <w:p w14:paraId="2438F1EC" w14:textId="1119E20E"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17.42</w:t>
            </w:r>
            <w:r w:rsidR="005E1BF6">
              <w:rPr>
                <w:rFonts w:ascii="Garamond" w:hAnsi="Garamond"/>
                <w:color w:val="000000"/>
                <w:sz w:val="22"/>
                <w:szCs w:val="22"/>
              </w:rPr>
              <w:t>1</w:t>
            </w:r>
          </w:p>
        </w:tc>
        <w:tc>
          <w:tcPr>
            <w:tcW w:w="1559" w:type="dxa"/>
            <w:tcBorders>
              <w:top w:val="single" w:sz="4" w:space="0" w:color="000000"/>
              <w:bottom w:val="single" w:sz="4" w:space="0" w:color="000000"/>
            </w:tcBorders>
            <w:tcMar>
              <w:top w:w="0" w:type="dxa"/>
              <w:left w:w="108" w:type="dxa"/>
              <w:bottom w:w="0" w:type="dxa"/>
              <w:right w:w="108" w:type="dxa"/>
            </w:tcMar>
          </w:tcPr>
          <w:p w14:paraId="37A5BF8E" w14:textId="3EEE6AAD" w:rsidR="000218A9" w:rsidRPr="00911412" w:rsidRDefault="005D722A" w:rsidP="001D6A8E">
            <w:pPr>
              <w:pStyle w:val="NoSpacing"/>
              <w:jc w:val="center"/>
              <w:rPr>
                <w:rFonts w:ascii="Garamond" w:hAnsi="Garamond"/>
                <w:color w:val="000000"/>
                <w:sz w:val="22"/>
                <w:szCs w:val="22"/>
              </w:rPr>
            </w:pPr>
            <w:r w:rsidRPr="00911412">
              <w:rPr>
                <w:rFonts w:ascii="Garamond" w:hAnsi="Garamond"/>
                <w:color w:val="000000"/>
                <w:sz w:val="22"/>
                <w:szCs w:val="22"/>
              </w:rPr>
              <w:t>54.74</w:t>
            </w:r>
          </w:p>
        </w:tc>
        <w:tc>
          <w:tcPr>
            <w:tcW w:w="2362" w:type="dxa"/>
            <w:tcBorders>
              <w:top w:val="single" w:sz="4" w:space="0" w:color="000000"/>
              <w:bottom w:val="single" w:sz="4" w:space="0" w:color="000000"/>
            </w:tcBorders>
            <w:tcMar>
              <w:top w:w="0" w:type="dxa"/>
              <w:left w:w="108" w:type="dxa"/>
              <w:bottom w:w="0" w:type="dxa"/>
              <w:right w:w="108" w:type="dxa"/>
            </w:tcMar>
          </w:tcPr>
          <w:p w14:paraId="6CB275BD" w14:textId="77777777" w:rsidR="000218A9" w:rsidRPr="00911412" w:rsidRDefault="005D722A" w:rsidP="001D6A8E">
            <w:pPr>
              <w:pStyle w:val="NoSpacing"/>
              <w:jc w:val="center"/>
              <w:rPr>
                <w:rFonts w:ascii="Garamond" w:hAnsi="Garamond"/>
                <w:color w:val="EE0000"/>
                <w:sz w:val="22"/>
                <w:szCs w:val="22"/>
              </w:rPr>
            </w:pPr>
            <w:r w:rsidRPr="00911412">
              <w:rPr>
                <w:rFonts w:ascii="Garamond" w:hAnsi="Garamond"/>
                <w:bCs/>
                <w:sz w:val="22"/>
                <w:szCs w:val="22"/>
              </w:rPr>
              <w:t>Moderate</w:t>
            </w:r>
          </w:p>
        </w:tc>
      </w:tr>
    </w:tbl>
    <w:bookmarkEnd w:id="0"/>
    <w:p w14:paraId="0018D8D8" w14:textId="77777777" w:rsidR="005E1BF6" w:rsidRDefault="005D722A" w:rsidP="005E1BF6">
      <w:pPr>
        <w:tabs>
          <w:tab w:val="center" w:pos="4680"/>
          <w:tab w:val="right" w:pos="9360"/>
        </w:tabs>
        <w:spacing w:line="240" w:lineRule="auto"/>
        <w:ind w:firstLine="851"/>
        <w:jc w:val="both"/>
        <w:rPr>
          <w:rFonts w:ascii="Garamond" w:eastAsia="Garamond" w:hAnsi="Garamond" w:cs="Garamond"/>
          <w:bCs/>
          <w:sz w:val="22"/>
          <w:szCs w:val="22"/>
        </w:rPr>
      </w:pPr>
      <w:r w:rsidRPr="00911412">
        <w:rPr>
          <w:rFonts w:ascii="Garamond" w:eastAsia="Garamond" w:hAnsi="Garamond" w:cs="Garamond"/>
          <w:bCs/>
          <w:sz w:val="22"/>
          <w:szCs w:val="22"/>
        </w:rPr>
        <w:t xml:space="preserve"> </w:t>
      </w:r>
      <w:r w:rsidRPr="00911412">
        <w:rPr>
          <w:rFonts w:ascii="Garamond" w:eastAsia="Garamond" w:hAnsi="Garamond" w:cs="Garamond"/>
          <w:bCs/>
          <w:sz w:val="22"/>
          <w:szCs w:val="22"/>
        </w:rPr>
        <w:tab/>
      </w:r>
    </w:p>
    <w:p w14:paraId="11B7EB6A" w14:textId="77777777" w:rsidR="0053094F" w:rsidRPr="0053094F" w:rsidRDefault="005D722A" w:rsidP="0053094F">
      <w:pPr>
        <w:tabs>
          <w:tab w:val="center" w:pos="4680"/>
          <w:tab w:val="right" w:pos="9360"/>
        </w:tabs>
        <w:spacing w:line="240" w:lineRule="auto"/>
        <w:ind w:firstLine="851"/>
        <w:jc w:val="both"/>
        <w:rPr>
          <w:rFonts w:ascii="Garamond" w:eastAsia="Garamond" w:hAnsi="Garamond" w:cs="Garamond"/>
          <w:b/>
          <w:sz w:val="22"/>
          <w:szCs w:val="22"/>
        </w:rPr>
      </w:pPr>
      <w:r w:rsidRPr="00911412">
        <w:rPr>
          <w:rFonts w:ascii="Garamond" w:eastAsia="Garamond" w:hAnsi="Garamond" w:cs="Garamond"/>
          <w:bCs/>
          <w:sz w:val="22"/>
          <w:szCs w:val="22"/>
        </w:rPr>
        <w:t xml:space="preserve">The table presents the descriptive statistics of the National Achievement Test (NAT) results across five learning areas: Filipino, Mathematics, English, Science, and </w:t>
      </w:r>
      <w:proofErr w:type="spellStart"/>
      <w:r w:rsidRPr="00911412">
        <w:rPr>
          <w:rFonts w:ascii="Garamond" w:eastAsia="Garamond" w:hAnsi="Garamond" w:cs="Garamond"/>
          <w:bCs/>
          <w:sz w:val="22"/>
          <w:szCs w:val="22"/>
        </w:rPr>
        <w:t>Araling</w:t>
      </w:r>
      <w:proofErr w:type="spellEnd"/>
      <w:r w:rsidRPr="00911412">
        <w:rPr>
          <w:rFonts w:ascii="Garamond" w:eastAsia="Garamond" w:hAnsi="Garamond" w:cs="Garamond"/>
          <w:bCs/>
          <w:sz w:val="22"/>
          <w:szCs w:val="22"/>
        </w:rPr>
        <w:t xml:space="preserve"> </w:t>
      </w:r>
      <w:proofErr w:type="spellStart"/>
      <w:r w:rsidRPr="00911412">
        <w:rPr>
          <w:rFonts w:ascii="Garamond" w:eastAsia="Garamond" w:hAnsi="Garamond" w:cs="Garamond"/>
          <w:bCs/>
          <w:sz w:val="22"/>
          <w:szCs w:val="22"/>
        </w:rPr>
        <w:t>Panlipunan</w:t>
      </w:r>
      <w:proofErr w:type="spellEnd"/>
      <w:r w:rsidRPr="00911412">
        <w:rPr>
          <w:rFonts w:ascii="Garamond" w:eastAsia="Garamond" w:hAnsi="Garamond" w:cs="Garamond"/>
          <w:bCs/>
          <w:sz w:val="22"/>
          <w:szCs w:val="22"/>
        </w:rPr>
        <w:t>. Among these subjects, Filipino registered the highest mean score of 60.27</w:t>
      </w:r>
      <w:r w:rsidR="00911412" w:rsidRPr="00911412">
        <w:rPr>
          <w:rFonts w:ascii="Garamond" w:eastAsia="Garamond" w:hAnsi="Garamond" w:cs="Garamond"/>
          <w:bCs/>
          <w:sz w:val="22"/>
          <w:szCs w:val="22"/>
        </w:rPr>
        <w:t>48</w:t>
      </w:r>
      <w:r w:rsidRPr="00911412">
        <w:rPr>
          <w:rFonts w:ascii="Garamond" w:eastAsia="Garamond" w:hAnsi="Garamond" w:cs="Garamond"/>
          <w:bCs/>
          <w:sz w:val="22"/>
          <w:szCs w:val="22"/>
        </w:rPr>
        <w:t>, indicating that students generally performed best in this area. It also had a relatively low standard deviation of 13.4</w:t>
      </w:r>
      <w:r w:rsidR="00911412" w:rsidRPr="00911412">
        <w:rPr>
          <w:rFonts w:ascii="Garamond" w:eastAsia="Garamond" w:hAnsi="Garamond" w:cs="Garamond"/>
          <w:bCs/>
          <w:sz w:val="22"/>
          <w:szCs w:val="22"/>
        </w:rPr>
        <w:t>7732</w:t>
      </w:r>
      <w:r w:rsidRPr="00911412">
        <w:rPr>
          <w:rFonts w:ascii="Garamond" w:eastAsia="Garamond" w:hAnsi="Garamond" w:cs="Garamond"/>
          <w:bCs/>
          <w:sz w:val="22"/>
          <w:szCs w:val="22"/>
        </w:rPr>
        <w:t>, suggesting a more consistent level of performance among the students. Mathematics followed with a mean score of 57.9</w:t>
      </w:r>
      <w:r w:rsidR="00911412" w:rsidRPr="00911412">
        <w:rPr>
          <w:rFonts w:ascii="Garamond" w:eastAsia="Garamond" w:hAnsi="Garamond" w:cs="Garamond"/>
          <w:bCs/>
          <w:sz w:val="22"/>
          <w:szCs w:val="22"/>
        </w:rPr>
        <w:t>753</w:t>
      </w:r>
      <w:r w:rsidRPr="00911412">
        <w:rPr>
          <w:rFonts w:ascii="Garamond" w:eastAsia="Garamond" w:hAnsi="Garamond" w:cs="Garamond"/>
          <w:bCs/>
          <w:sz w:val="22"/>
          <w:szCs w:val="22"/>
        </w:rPr>
        <w:t>; however, it recorded the highest standard deviation at 21.94</w:t>
      </w:r>
      <w:r w:rsidR="00911412" w:rsidRPr="00911412">
        <w:rPr>
          <w:rFonts w:ascii="Garamond" w:eastAsia="Garamond" w:hAnsi="Garamond" w:cs="Garamond"/>
          <w:bCs/>
          <w:sz w:val="22"/>
          <w:szCs w:val="22"/>
        </w:rPr>
        <w:t>309</w:t>
      </w:r>
      <w:r w:rsidRPr="00911412">
        <w:rPr>
          <w:rFonts w:ascii="Garamond" w:eastAsia="Garamond" w:hAnsi="Garamond" w:cs="Garamond"/>
          <w:bCs/>
          <w:sz w:val="22"/>
          <w:szCs w:val="22"/>
        </w:rPr>
        <w:t>, indicating a wide variation in student performance—some students performed very well, while others struggled significantly. English had a mean score of 53.9</w:t>
      </w:r>
      <w:r w:rsidR="00911412" w:rsidRPr="00911412">
        <w:rPr>
          <w:rFonts w:ascii="Garamond" w:eastAsia="Garamond" w:hAnsi="Garamond" w:cs="Garamond"/>
          <w:bCs/>
          <w:sz w:val="22"/>
          <w:szCs w:val="22"/>
        </w:rPr>
        <w:t>054</w:t>
      </w:r>
      <w:r w:rsidRPr="00911412">
        <w:rPr>
          <w:rFonts w:ascii="Garamond" w:eastAsia="Garamond" w:hAnsi="Garamond" w:cs="Garamond"/>
          <w:bCs/>
          <w:sz w:val="22"/>
          <w:szCs w:val="22"/>
        </w:rPr>
        <w:t xml:space="preserve"> and a moderately high standard deviation of 19.43</w:t>
      </w:r>
      <w:r w:rsidR="00911412" w:rsidRPr="00911412">
        <w:rPr>
          <w:rFonts w:ascii="Garamond" w:eastAsia="Garamond" w:hAnsi="Garamond" w:cs="Garamond"/>
          <w:bCs/>
          <w:sz w:val="22"/>
          <w:szCs w:val="22"/>
        </w:rPr>
        <w:t>366</w:t>
      </w:r>
      <w:r w:rsidRPr="00911412">
        <w:rPr>
          <w:rFonts w:ascii="Garamond" w:eastAsia="Garamond" w:hAnsi="Garamond" w:cs="Garamond"/>
          <w:bCs/>
          <w:sz w:val="22"/>
          <w:szCs w:val="22"/>
        </w:rPr>
        <w:t>, reflecting average performance with some variability. Science had the lowest mean score at 50.4</w:t>
      </w:r>
      <w:r w:rsidR="00911412" w:rsidRPr="00911412">
        <w:rPr>
          <w:rFonts w:ascii="Garamond" w:eastAsia="Garamond" w:hAnsi="Garamond" w:cs="Garamond"/>
          <w:bCs/>
          <w:sz w:val="22"/>
          <w:szCs w:val="22"/>
        </w:rPr>
        <w:t>795</w:t>
      </w:r>
      <w:r w:rsidRPr="00911412">
        <w:rPr>
          <w:rFonts w:ascii="Garamond" w:eastAsia="Garamond" w:hAnsi="Garamond" w:cs="Garamond"/>
          <w:bCs/>
          <w:sz w:val="22"/>
          <w:szCs w:val="22"/>
        </w:rPr>
        <w:t>, suggesting it may be the most challenging subject for students; however, the standard deviation of 14.99</w:t>
      </w:r>
      <w:r w:rsidR="00911412" w:rsidRPr="00911412">
        <w:rPr>
          <w:rFonts w:ascii="Garamond" w:eastAsia="Garamond" w:hAnsi="Garamond" w:cs="Garamond"/>
          <w:bCs/>
          <w:sz w:val="22"/>
          <w:szCs w:val="22"/>
        </w:rPr>
        <w:t>158</w:t>
      </w:r>
      <w:r w:rsidRPr="00911412">
        <w:rPr>
          <w:rFonts w:ascii="Garamond" w:eastAsia="Garamond" w:hAnsi="Garamond" w:cs="Garamond"/>
          <w:bCs/>
          <w:sz w:val="22"/>
          <w:szCs w:val="22"/>
        </w:rPr>
        <w:t xml:space="preserve"> points indicates less variation in performance compared to Mathematics and English. </w:t>
      </w:r>
      <w:proofErr w:type="spellStart"/>
      <w:r w:rsidRPr="00911412">
        <w:rPr>
          <w:rFonts w:ascii="Garamond" w:eastAsia="Garamond" w:hAnsi="Garamond" w:cs="Garamond"/>
          <w:bCs/>
          <w:sz w:val="22"/>
          <w:szCs w:val="22"/>
        </w:rPr>
        <w:t>Araling</w:t>
      </w:r>
      <w:proofErr w:type="spellEnd"/>
      <w:r w:rsidRPr="00911412">
        <w:rPr>
          <w:rFonts w:ascii="Garamond" w:eastAsia="Garamond" w:hAnsi="Garamond" w:cs="Garamond"/>
          <w:bCs/>
          <w:sz w:val="22"/>
          <w:szCs w:val="22"/>
        </w:rPr>
        <w:t xml:space="preserve"> </w:t>
      </w:r>
      <w:proofErr w:type="spellStart"/>
      <w:r w:rsidRPr="00911412">
        <w:rPr>
          <w:rFonts w:ascii="Garamond" w:eastAsia="Garamond" w:hAnsi="Garamond" w:cs="Garamond"/>
          <w:bCs/>
          <w:sz w:val="22"/>
          <w:szCs w:val="22"/>
        </w:rPr>
        <w:t>Panlipunan</w:t>
      </w:r>
      <w:proofErr w:type="spellEnd"/>
      <w:r w:rsidRPr="00911412">
        <w:rPr>
          <w:rFonts w:ascii="Garamond" w:eastAsia="Garamond" w:hAnsi="Garamond" w:cs="Garamond"/>
          <w:bCs/>
          <w:sz w:val="22"/>
          <w:szCs w:val="22"/>
        </w:rPr>
        <w:t xml:space="preserve"> had a mean of 54.74</w:t>
      </w:r>
      <w:r w:rsidR="00911412" w:rsidRPr="00911412">
        <w:rPr>
          <w:rFonts w:ascii="Garamond" w:eastAsia="Garamond" w:hAnsi="Garamond" w:cs="Garamond"/>
          <w:bCs/>
          <w:sz w:val="22"/>
          <w:szCs w:val="22"/>
        </w:rPr>
        <w:t>39</w:t>
      </w:r>
      <w:r w:rsidRPr="00911412">
        <w:rPr>
          <w:rFonts w:ascii="Garamond" w:eastAsia="Garamond" w:hAnsi="Garamond" w:cs="Garamond"/>
          <w:bCs/>
          <w:sz w:val="22"/>
          <w:szCs w:val="22"/>
        </w:rPr>
        <w:t xml:space="preserve"> and a standard deviation of 17.42</w:t>
      </w:r>
      <w:r w:rsidR="00911412" w:rsidRPr="00911412">
        <w:rPr>
          <w:rFonts w:ascii="Garamond" w:eastAsia="Garamond" w:hAnsi="Garamond" w:cs="Garamond"/>
          <w:bCs/>
          <w:sz w:val="22"/>
          <w:szCs w:val="22"/>
        </w:rPr>
        <w:t>064</w:t>
      </w:r>
      <w:r w:rsidRPr="00911412">
        <w:rPr>
          <w:rFonts w:ascii="Garamond" w:eastAsia="Garamond" w:hAnsi="Garamond" w:cs="Garamond"/>
          <w:bCs/>
          <w:sz w:val="22"/>
          <w:szCs w:val="22"/>
        </w:rPr>
        <w:t xml:space="preserve">, placing it in the mid-range in terms of both average performance and variability. Despite the differences in mean scores and standard deviations, all subjects were classified under the same level description of “Moderate,” indicating that, overall, students </w:t>
      </w:r>
      <w:r w:rsidRPr="0053094F">
        <w:rPr>
          <w:rFonts w:ascii="Garamond" w:eastAsia="Garamond" w:hAnsi="Garamond" w:cs="Garamond"/>
          <w:bCs/>
          <w:sz w:val="22"/>
          <w:szCs w:val="22"/>
        </w:rPr>
        <w:t>demonstrated an average level of achievement across all learning areas.</w:t>
      </w:r>
      <w:r w:rsidR="005E1BF6" w:rsidRPr="0053094F">
        <w:rPr>
          <w:rFonts w:ascii="Garamond" w:eastAsia="Garamond" w:hAnsi="Garamond" w:cs="Garamond"/>
          <w:bCs/>
          <w:sz w:val="22"/>
          <w:szCs w:val="22"/>
        </w:rPr>
        <w:t xml:space="preserve"> </w:t>
      </w:r>
    </w:p>
    <w:p w14:paraId="2209C1E2" w14:textId="77777777" w:rsidR="0053094F" w:rsidRDefault="0053094F" w:rsidP="0053094F">
      <w:pPr>
        <w:tabs>
          <w:tab w:val="center" w:pos="4680"/>
          <w:tab w:val="right" w:pos="9360"/>
        </w:tabs>
        <w:spacing w:line="240" w:lineRule="auto"/>
        <w:jc w:val="both"/>
        <w:rPr>
          <w:rFonts w:ascii="Garamond" w:eastAsia="Garamond" w:hAnsi="Garamond" w:cs="Garamond"/>
          <w:b/>
          <w:color w:val="EE0000"/>
          <w:sz w:val="22"/>
          <w:szCs w:val="22"/>
        </w:rPr>
      </w:pPr>
    </w:p>
    <w:p w14:paraId="27AFE85C" w14:textId="77777777" w:rsidR="00355665" w:rsidRDefault="00355665" w:rsidP="0053094F">
      <w:pPr>
        <w:tabs>
          <w:tab w:val="center" w:pos="4680"/>
          <w:tab w:val="right" w:pos="9360"/>
        </w:tabs>
        <w:spacing w:line="240" w:lineRule="auto"/>
        <w:jc w:val="both"/>
        <w:rPr>
          <w:rFonts w:ascii="Garamond" w:eastAsia="Garamond" w:hAnsi="Garamond" w:cs="Garamond"/>
          <w:b/>
          <w:sz w:val="22"/>
          <w:szCs w:val="22"/>
        </w:rPr>
      </w:pPr>
    </w:p>
    <w:p w14:paraId="76E2364B" w14:textId="5F49A79C" w:rsidR="009D1F4C" w:rsidRPr="00911412" w:rsidRDefault="005D722A" w:rsidP="0053094F">
      <w:pPr>
        <w:tabs>
          <w:tab w:val="center" w:pos="4680"/>
          <w:tab w:val="right" w:pos="9360"/>
        </w:tabs>
        <w:spacing w:line="240" w:lineRule="auto"/>
        <w:jc w:val="both"/>
        <w:rPr>
          <w:rFonts w:ascii="Garamond" w:eastAsia="Garamond" w:hAnsi="Garamond" w:cs="Garamond"/>
          <w:b/>
          <w:sz w:val="22"/>
          <w:szCs w:val="22"/>
        </w:rPr>
      </w:pPr>
      <w:r w:rsidRPr="00911412">
        <w:rPr>
          <w:rFonts w:ascii="Garamond" w:eastAsia="Garamond" w:hAnsi="Garamond" w:cs="Garamond"/>
          <w:b/>
          <w:sz w:val="22"/>
          <w:szCs w:val="22"/>
        </w:rPr>
        <w:t xml:space="preserve">Table </w:t>
      </w:r>
      <w:r w:rsidR="00F433DF" w:rsidRPr="00911412">
        <w:rPr>
          <w:rFonts w:ascii="Garamond" w:eastAsia="Garamond" w:hAnsi="Garamond" w:cs="Garamond"/>
          <w:b/>
          <w:sz w:val="22"/>
          <w:szCs w:val="22"/>
        </w:rPr>
        <w:t>2</w:t>
      </w:r>
      <w:r w:rsidRPr="00911412">
        <w:rPr>
          <w:rFonts w:ascii="Garamond" w:eastAsia="Garamond" w:hAnsi="Garamond" w:cs="Garamond"/>
          <w:b/>
          <w:sz w:val="22"/>
          <w:szCs w:val="22"/>
        </w:rPr>
        <w:t xml:space="preserve">. </w:t>
      </w:r>
      <w:bookmarkStart w:id="1" w:name="_Hlk198583133"/>
      <w:r w:rsidR="00A646E4" w:rsidRPr="00911412">
        <w:rPr>
          <w:rFonts w:ascii="Garamond" w:eastAsia="Garamond" w:hAnsi="Garamond" w:cs="Garamond"/>
          <w:b/>
          <w:sz w:val="22"/>
          <w:szCs w:val="22"/>
        </w:rPr>
        <w:t xml:space="preserve">Kruskal-Wallis Test </w:t>
      </w:r>
    </w:p>
    <w:tbl>
      <w:tblPr>
        <w:tblStyle w:val="TableGrid"/>
        <w:tblW w:w="9214" w:type="dxa"/>
        <w:tblLook w:val="04A0" w:firstRow="1" w:lastRow="0" w:firstColumn="1" w:lastColumn="0" w:noHBand="0" w:noVBand="1"/>
      </w:tblPr>
      <w:tblGrid>
        <w:gridCol w:w="2127"/>
        <w:gridCol w:w="1417"/>
        <w:gridCol w:w="1418"/>
        <w:gridCol w:w="1275"/>
        <w:gridCol w:w="1418"/>
        <w:gridCol w:w="1559"/>
      </w:tblGrid>
      <w:tr w:rsidR="006C233A" w14:paraId="239F7488" w14:textId="77777777" w:rsidTr="002B4865">
        <w:trPr>
          <w:trHeight w:val="432"/>
        </w:trPr>
        <w:tc>
          <w:tcPr>
            <w:tcW w:w="2127" w:type="dxa"/>
            <w:tcBorders>
              <w:top w:val="double" w:sz="4" w:space="0" w:color="auto"/>
              <w:left w:val="nil"/>
              <w:bottom w:val="single" w:sz="4" w:space="0" w:color="auto"/>
              <w:right w:val="nil"/>
            </w:tcBorders>
          </w:tcPr>
          <w:bookmarkEnd w:id="1"/>
          <w:p w14:paraId="5F49C066"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lastRenderedPageBreak/>
              <w:t>Subject Areas</w:t>
            </w:r>
          </w:p>
        </w:tc>
        <w:tc>
          <w:tcPr>
            <w:tcW w:w="1417" w:type="dxa"/>
            <w:tcBorders>
              <w:top w:val="double" w:sz="4" w:space="0" w:color="auto"/>
              <w:left w:val="nil"/>
              <w:bottom w:val="single" w:sz="4" w:space="0" w:color="auto"/>
              <w:right w:val="nil"/>
            </w:tcBorders>
          </w:tcPr>
          <w:p w14:paraId="2B66EB4A"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Mean</w:t>
            </w:r>
          </w:p>
        </w:tc>
        <w:tc>
          <w:tcPr>
            <w:tcW w:w="1418" w:type="dxa"/>
            <w:tcBorders>
              <w:top w:val="double" w:sz="4" w:space="0" w:color="auto"/>
              <w:left w:val="nil"/>
              <w:bottom w:val="single" w:sz="4" w:space="0" w:color="auto"/>
              <w:right w:val="nil"/>
            </w:tcBorders>
          </w:tcPr>
          <w:p w14:paraId="265D2E61"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H-Statistic</w:t>
            </w:r>
          </w:p>
        </w:tc>
        <w:tc>
          <w:tcPr>
            <w:tcW w:w="1275" w:type="dxa"/>
            <w:tcBorders>
              <w:top w:val="double" w:sz="4" w:space="0" w:color="auto"/>
              <w:left w:val="nil"/>
              <w:bottom w:val="single" w:sz="4" w:space="0" w:color="auto"/>
              <w:right w:val="nil"/>
            </w:tcBorders>
          </w:tcPr>
          <w:p w14:paraId="5FC9176D"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p-value</w:t>
            </w:r>
          </w:p>
        </w:tc>
        <w:tc>
          <w:tcPr>
            <w:tcW w:w="1418" w:type="dxa"/>
            <w:tcBorders>
              <w:top w:val="double" w:sz="4" w:space="0" w:color="auto"/>
              <w:left w:val="nil"/>
              <w:bottom w:val="single" w:sz="4" w:space="0" w:color="auto"/>
              <w:right w:val="nil"/>
            </w:tcBorders>
          </w:tcPr>
          <w:p w14:paraId="4094A8C8"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Decision on Ho</w:t>
            </w:r>
          </w:p>
        </w:tc>
        <w:tc>
          <w:tcPr>
            <w:tcW w:w="1559" w:type="dxa"/>
            <w:tcBorders>
              <w:top w:val="double" w:sz="4" w:space="0" w:color="auto"/>
              <w:left w:val="nil"/>
              <w:bottom w:val="single" w:sz="4" w:space="0" w:color="auto"/>
              <w:right w:val="nil"/>
            </w:tcBorders>
          </w:tcPr>
          <w:p w14:paraId="221BE7FC" w14:textId="77777777" w:rsidR="00F8576F" w:rsidRPr="00911412" w:rsidRDefault="005D722A" w:rsidP="00F8576F">
            <w:pPr>
              <w:pStyle w:val="NoSpacing"/>
              <w:jc w:val="center"/>
              <w:rPr>
                <w:rFonts w:ascii="Garamond" w:hAnsi="Garamond"/>
                <w:b/>
                <w:bCs/>
                <w:sz w:val="22"/>
                <w:szCs w:val="22"/>
                <w:highlight w:val="white"/>
              </w:rPr>
            </w:pPr>
            <w:r w:rsidRPr="00911412">
              <w:rPr>
                <w:rFonts w:ascii="Garamond" w:hAnsi="Garamond"/>
                <w:b/>
                <w:bCs/>
                <w:sz w:val="22"/>
                <w:szCs w:val="22"/>
                <w:highlight w:val="white"/>
              </w:rPr>
              <w:t>Interpretation</w:t>
            </w:r>
          </w:p>
        </w:tc>
      </w:tr>
      <w:tr w:rsidR="006C233A" w14:paraId="22294441" w14:textId="77777777" w:rsidTr="002B4865">
        <w:trPr>
          <w:trHeight w:val="241"/>
        </w:trPr>
        <w:tc>
          <w:tcPr>
            <w:tcW w:w="2127" w:type="dxa"/>
            <w:tcBorders>
              <w:top w:val="single" w:sz="4" w:space="0" w:color="auto"/>
              <w:left w:val="nil"/>
              <w:bottom w:val="nil"/>
              <w:right w:val="nil"/>
            </w:tcBorders>
          </w:tcPr>
          <w:p w14:paraId="374651E9"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Filipino</w:t>
            </w:r>
          </w:p>
        </w:tc>
        <w:tc>
          <w:tcPr>
            <w:tcW w:w="1417" w:type="dxa"/>
            <w:tcBorders>
              <w:top w:val="single" w:sz="4" w:space="0" w:color="auto"/>
              <w:left w:val="nil"/>
              <w:bottom w:val="nil"/>
              <w:right w:val="nil"/>
            </w:tcBorders>
          </w:tcPr>
          <w:p w14:paraId="1FC11C95"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color w:val="000000"/>
                <w:sz w:val="22"/>
                <w:szCs w:val="22"/>
              </w:rPr>
              <w:t>60.2748</w:t>
            </w:r>
          </w:p>
        </w:tc>
        <w:tc>
          <w:tcPr>
            <w:tcW w:w="1418" w:type="dxa"/>
            <w:vMerge w:val="restart"/>
            <w:tcBorders>
              <w:top w:val="single" w:sz="4" w:space="0" w:color="auto"/>
              <w:left w:val="nil"/>
              <w:right w:val="nil"/>
            </w:tcBorders>
          </w:tcPr>
          <w:p w14:paraId="4E7237CD" w14:textId="77777777" w:rsidR="00F8576F" w:rsidRPr="00911412" w:rsidRDefault="00F8576F" w:rsidP="00F8576F">
            <w:pPr>
              <w:pStyle w:val="NoSpacing"/>
              <w:jc w:val="center"/>
              <w:rPr>
                <w:rFonts w:ascii="Garamond" w:hAnsi="Garamond"/>
                <w:bCs/>
                <w:sz w:val="22"/>
                <w:szCs w:val="22"/>
                <w:highlight w:val="white"/>
              </w:rPr>
            </w:pPr>
          </w:p>
          <w:p w14:paraId="0ED38BBE" w14:textId="77777777" w:rsidR="00F8576F" w:rsidRPr="00911412" w:rsidRDefault="00F8576F" w:rsidP="00F8576F">
            <w:pPr>
              <w:pStyle w:val="NoSpacing"/>
              <w:jc w:val="center"/>
              <w:rPr>
                <w:rFonts w:ascii="Garamond" w:hAnsi="Garamond"/>
                <w:bCs/>
                <w:sz w:val="22"/>
                <w:szCs w:val="22"/>
                <w:highlight w:val="white"/>
              </w:rPr>
            </w:pPr>
          </w:p>
          <w:p w14:paraId="64A4AA73"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2.324</w:t>
            </w:r>
          </w:p>
        </w:tc>
        <w:tc>
          <w:tcPr>
            <w:tcW w:w="1275" w:type="dxa"/>
            <w:vMerge w:val="restart"/>
            <w:tcBorders>
              <w:top w:val="single" w:sz="4" w:space="0" w:color="auto"/>
              <w:left w:val="nil"/>
              <w:right w:val="nil"/>
            </w:tcBorders>
          </w:tcPr>
          <w:p w14:paraId="1C2BE0FC" w14:textId="77777777" w:rsidR="00F8576F" w:rsidRPr="00911412" w:rsidRDefault="005D722A" w:rsidP="00F8576F">
            <w:pPr>
              <w:pStyle w:val="NoSpacing"/>
              <w:jc w:val="center"/>
              <w:rPr>
                <w:rFonts w:ascii="Garamond" w:hAnsi="Garamond"/>
                <w:bCs/>
                <w:sz w:val="22"/>
                <w:szCs w:val="22"/>
              </w:rPr>
            </w:pPr>
            <w:r w:rsidRPr="00911412">
              <w:rPr>
                <w:rFonts w:ascii="Garamond" w:hAnsi="Garamond"/>
                <w:bCs/>
                <w:sz w:val="22"/>
                <w:szCs w:val="22"/>
                <w:highlight w:val="white"/>
              </w:rPr>
              <w:t>.</w:t>
            </w:r>
          </w:p>
          <w:p w14:paraId="5A62E9E7" w14:textId="77777777" w:rsidR="00F8576F" w:rsidRPr="00911412" w:rsidRDefault="00F8576F" w:rsidP="00F8576F">
            <w:pPr>
              <w:pStyle w:val="NoSpacing"/>
              <w:jc w:val="center"/>
              <w:rPr>
                <w:rFonts w:ascii="Garamond" w:hAnsi="Garamond"/>
                <w:bCs/>
                <w:sz w:val="22"/>
                <w:szCs w:val="22"/>
                <w:highlight w:val="white"/>
              </w:rPr>
            </w:pPr>
          </w:p>
          <w:p w14:paraId="1FB43244"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0.676</w:t>
            </w:r>
          </w:p>
        </w:tc>
        <w:tc>
          <w:tcPr>
            <w:tcW w:w="1418" w:type="dxa"/>
            <w:vMerge w:val="restart"/>
            <w:tcBorders>
              <w:top w:val="single" w:sz="4" w:space="0" w:color="auto"/>
              <w:left w:val="nil"/>
              <w:right w:val="nil"/>
            </w:tcBorders>
          </w:tcPr>
          <w:p w14:paraId="5EF90B08" w14:textId="77777777" w:rsidR="00F8576F" w:rsidRPr="00911412" w:rsidRDefault="00F8576F" w:rsidP="00F8576F">
            <w:pPr>
              <w:pStyle w:val="NoSpacing"/>
              <w:jc w:val="center"/>
              <w:rPr>
                <w:rFonts w:ascii="Garamond" w:hAnsi="Garamond"/>
                <w:bCs/>
                <w:sz w:val="22"/>
                <w:szCs w:val="22"/>
                <w:highlight w:val="white"/>
              </w:rPr>
            </w:pPr>
          </w:p>
          <w:p w14:paraId="132911D1" w14:textId="77777777" w:rsidR="00F8576F" w:rsidRPr="00911412" w:rsidRDefault="00F8576F" w:rsidP="00F8576F">
            <w:pPr>
              <w:pStyle w:val="NoSpacing"/>
              <w:jc w:val="center"/>
              <w:rPr>
                <w:rFonts w:ascii="Garamond" w:hAnsi="Garamond"/>
                <w:bCs/>
                <w:sz w:val="22"/>
                <w:szCs w:val="22"/>
                <w:highlight w:val="white"/>
              </w:rPr>
            </w:pPr>
          </w:p>
          <w:p w14:paraId="299D4596"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Accepted</w:t>
            </w:r>
          </w:p>
        </w:tc>
        <w:tc>
          <w:tcPr>
            <w:tcW w:w="1559" w:type="dxa"/>
            <w:vMerge w:val="restart"/>
            <w:tcBorders>
              <w:top w:val="single" w:sz="4" w:space="0" w:color="auto"/>
              <w:left w:val="nil"/>
            </w:tcBorders>
          </w:tcPr>
          <w:p w14:paraId="118349FC" w14:textId="77777777" w:rsidR="00F8576F" w:rsidRPr="00911412" w:rsidRDefault="00F8576F" w:rsidP="00F8576F">
            <w:pPr>
              <w:pStyle w:val="NoSpacing"/>
              <w:jc w:val="center"/>
              <w:rPr>
                <w:rFonts w:ascii="Garamond" w:hAnsi="Garamond"/>
                <w:bCs/>
                <w:sz w:val="22"/>
                <w:szCs w:val="22"/>
                <w:highlight w:val="white"/>
              </w:rPr>
            </w:pPr>
          </w:p>
          <w:p w14:paraId="74BA0EC0" w14:textId="77777777" w:rsidR="00F8576F" w:rsidRPr="00911412" w:rsidRDefault="00F8576F" w:rsidP="00F8576F">
            <w:pPr>
              <w:pStyle w:val="NoSpacing"/>
              <w:jc w:val="center"/>
              <w:rPr>
                <w:rFonts w:ascii="Garamond" w:hAnsi="Garamond"/>
                <w:bCs/>
                <w:sz w:val="22"/>
                <w:szCs w:val="22"/>
                <w:highlight w:val="white"/>
              </w:rPr>
            </w:pPr>
          </w:p>
          <w:p w14:paraId="20D4E386"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bCs/>
                <w:sz w:val="22"/>
                <w:szCs w:val="22"/>
                <w:highlight w:val="white"/>
              </w:rPr>
              <w:t>Not Significant</w:t>
            </w:r>
          </w:p>
        </w:tc>
      </w:tr>
      <w:tr w:rsidR="006C233A" w14:paraId="4DF9A275" w14:textId="77777777" w:rsidTr="002B4865">
        <w:trPr>
          <w:trHeight w:val="263"/>
        </w:trPr>
        <w:tc>
          <w:tcPr>
            <w:tcW w:w="2127" w:type="dxa"/>
            <w:tcBorders>
              <w:top w:val="nil"/>
              <w:left w:val="nil"/>
              <w:bottom w:val="nil"/>
              <w:right w:val="nil"/>
            </w:tcBorders>
          </w:tcPr>
          <w:p w14:paraId="242C2A69"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Mathematics</w:t>
            </w:r>
          </w:p>
        </w:tc>
        <w:tc>
          <w:tcPr>
            <w:tcW w:w="1417" w:type="dxa"/>
            <w:tcBorders>
              <w:top w:val="nil"/>
              <w:left w:val="nil"/>
              <w:bottom w:val="nil"/>
              <w:right w:val="nil"/>
            </w:tcBorders>
          </w:tcPr>
          <w:p w14:paraId="4D63CBD8"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57.9753</w:t>
            </w:r>
          </w:p>
        </w:tc>
        <w:tc>
          <w:tcPr>
            <w:tcW w:w="1418" w:type="dxa"/>
            <w:vMerge/>
            <w:tcBorders>
              <w:left w:val="nil"/>
              <w:right w:val="nil"/>
            </w:tcBorders>
          </w:tcPr>
          <w:p w14:paraId="0890052C"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18232B73"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184692AD"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6675BDA7" w14:textId="77777777" w:rsidR="00F8576F" w:rsidRPr="00911412" w:rsidRDefault="00F8576F" w:rsidP="00F8576F">
            <w:pPr>
              <w:pStyle w:val="NoSpacing"/>
              <w:jc w:val="center"/>
              <w:rPr>
                <w:rFonts w:ascii="Garamond" w:hAnsi="Garamond"/>
                <w:bCs/>
                <w:sz w:val="22"/>
                <w:szCs w:val="22"/>
                <w:highlight w:val="white"/>
              </w:rPr>
            </w:pPr>
          </w:p>
        </w:tc>
      </w:tr>
      <w:tr w:rsidR="006C233A" w14:paraId="04801113" w14:textId="77777777" w:rsidTr="002B4865">
        <w:trPr>
          <w:trHeight w:val="281"/>
        </w:trPr>
        <w:tc>
          <w:tcPr>
            <w:tcW w:w="2127" w:type="dxa"/>
            <w:tcBorders>
              <w:top w:val="nil"/>
              <w:left w:val="nil"/>
              <w:bottom w:val="nil"/>
              <w:right w:val="nil"/>
            </w:tcBorders>
          </w:tcPr>
          <w:p w14:paraId="7CDA46D4"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English</w:t>
            </w:r>
          </w:p>
        </w:tc>
        <w:tc>
          <w:tcPr>
            <w:tcW w:w="1417" w:type="dxa"/>
            <w:tcBorders>
              <w:top w:val="nil"/>
              <w:left w:val="nil"/>
              <w:bottom w:val="nil"/>
              <w:right w:val="nil"/>
            </w:tcBorders>
          </w:tcPr>
          <w:p w14:paraId="5CDC3B89"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53.9054</w:t>
            </w:r>
          </w:p>
        </w:tc>
        <w:tc>
          <w:tcPr>
            <w:tcW w:w="1418" w:type="dxa"/>
            <w:vMerge/>
            <w:tcBorders>
              <w:left w:val="nil"/>
              <w:right w:val="nil"/>
            </w:tcBorders>
          </w:tcPr>
          <w:p w14:paraId="07E4CED0"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6FDEC572"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504995FB"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320BA9DB" w14:textId="77777777" w:rsidR="00F8576F" w:rsidRPr="00911412" w:rsidRDefault="00F8576F" w:rsidP="00F8576F">
            <w:pPr>
              <w:pStyle w:val="NoSpacing"/>
              <w:jc w:val="center"/>
              <w:rPr>
                <w:rFonts w:ascii="Garamond" w:hAnsi="Garamond"/>
                <w:bCs/>
                <w:sz w:val="22"/>
                <w:szCs w:val="22"/>
                <w:highlight w:val="white"/>
              </w:rPr>
            </w:pPr>
          </w:p>
        </w:tc>
      </w:tr>
      <w:tr w:rsidR="006C233A" w14:paraId="6A0E1414" w14:textId="77777777" w:rsidTr="002B4865">
        <w:trPr>
          <w:trHeight w:val="257"/>
        </w:trPr>
        <w:tc>
          <w:tcPr>
            <w:tcW w:w="2127" w:type="dxa"/>
            <w:tcBorders>
              <w:top w:val="nil"/>
              <w:left w:val="nil"/>
              <w:bottom w:val="single" w:sz="4" w:space="0" w:color="auto"/>
              <w:right w:val="nil"/>
            </w:tcBorders>
          </w:tcPr>
          <w:p w14:paraId="401BC990" w14:textId="77777777" w:rsidR="00F8576F" w:rsidRPr="00911412" w:rsidRDefault="005D722A" w:rsidP="00F8576F">
            <w:pPr>
              <w:pStyle w:val="NoSpacing"/>
              <w:rPr>
                <w:rFonts w:ascii="Garamond" w:hAnsi="Garamond"/>
                <w:bCs/>
                <w:sz w:val="22"/>
                <w:szCs w:val="22"/>
                <w:highlight w:val="white"/>
              </w:rPr>
            </w:pPr>
            <w:r w:rsidRPr="00911412">
              <w:rPr>
                <w:rFonts w:ascii="Garamond" w:hAnsi="Garamond"/>
                <w:bCs/>
                <w:sz w:val="22"/>
                <w:szCs w:val="22"/>
                <w:highlight w:val="white"/>
              </w:rPr>
              <w:t>Science</w:t>
            </w:r>
          </w:p>
        </w:tc>
        <w:tc>
          <w:tcPr>
            <w:tcW w:w="1417" w:type="dxa"/>
            <w:tcBorders>
              <w:top w:val="nil"/>
              <w:left w:val="nil"/>
              <w:bottom w:val="single" w:sz="4" w:space="0" w:color="auto"/>
              <w:right w:val="nil"/>
            </w:tcBorders>
          </w:tcPr>
          <w:p w14:paraId="051073FB"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50.4795</w:t>
            </w:r>
          </w:p>
        </w:tc>
        <w:tc>
          <w:tcPr>
            <w:tcW w:w="1418" w:type="dxa"/>
            <w:vMerge/>
            <w:tcBorders>
              <w:left w:val="nil"/>
              <w:right w:val="nil"/>
            </w:tcBorders>
          </w:tcPr>
          <w:p w14:paraId="633E0F6A"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right w:val="nil"/>
            </w:tcBorders>
          </w:tcPr>
          <w:p w14:paraId="5EE24E4A"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right w:val="nil"/>
            </w:tcBorders>
          </w:tcPr>
          <w:p w14:paraId="2AE26598"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tcBorders>
          </w:tcPr>
          <w:p w14:paraId="4A604399" w14:textId="77777777" w:rsidR="00F8576F" w:rsidRPr="00911412" w:rsidRDefault="00F8576F" w:rsidP="00F8576F">
            <w:pPr>
              <w:pStyle w:val="NoSpacing"/>
              <w:jc w:val="center"/>
              <w:rPr>
                <w:rFonts w:ascii="Garamond" w:hAnsi="Garamond"/>
                <w:bCs/>
                <w:sz w:val="22"/>
                <w:szCs w:val="22"/>
                <w:highlight w:val="white"/>
              </w:rPr>
            </w:pPr>
          </w:p>
        </w:tc>
      </w:tr>
      <w:tr w:rsidR="006C233A" w14:paraId="7408C8F3" w14:textId="77777777" w:rsidTr="002B4865">
        <w:trPr>
          <w:trHeight w:val="133"/>
        </w:trPr>
        <w:tc>
          <w:tcPr>
            <w:tcW w:w="2127" w:type="dxa"/>
            <w:tcBorders>
              <w:top w:val="single" w:sz="4" w:space="0" w:color="auto"/>
              <w:left w:val="nil"/>
              <w:bottom w:val="single" w:sz="4" w:space="0" w:color="auto"/>
              <w:right w:val="nil"/>
            </w:tcBorders>
          </w:tcPr>
          <w:p w14:paraId="392538C1" w14:textId="77777777" w:rsidR="00F8576F" w:rsidRPr="00911412" w:rsidRDefault="005D722A" w:rsidP="00F8576F">
            <w:pPr>
              <w:pStyle w:val="NoSpacing"/>
              <w:rPr>
                <w:rFonts w:ascii="Garamond" w:hAnsi="Garamond"/>
                <w:bCs/>
                <w:sz w:val="22"/>
                <w:szCs w:val="22"/>
                <w:highlight w:val="white"/>
              </w:rPr>
            </w:pPr>
            <w:proofErr w:type="spellStart"/>
            <w:r w:rsidRPr="00911412">
              <w:rPr>
                <w:rFonts w:ascii="Garamond" w:hAnsi="Garamond"/>
                <w:bCs/>
                <w:sz w:val="22"/>
                <w:szCs w:val="22"/>
                <w:highlight w:val="white"/>
              </w:rPr>
              <w:t>Araling</w:t>
            </w:r>
            <w:proofErr w:type="spellEnd"/>
            <w:r w:rsidRPr="00911412">
              <w:rPr>
                <w:rFonts w:ascii="Garamond" w:hAnsi="Garamond"/>
                <w:bCs/>
                <w:sz w:val="22"/>
                <w:szCs w:val="22"/>
                <w:highlight w:val="white"/>
              </w:rPr>
              <w:t xml:space="preserve"> Panlipunnan</w:t>
            </w:r>
          </w:p>
        </w:tc>
        <w:tc>
          <w:tcPr>
            <w:tcW w:w="1417" w:type="dxa"/>
            <w:tcBorders>
              <w:top w:val="single" w:sz="4" w:space="0" w:color="auto"/>
              <w:left w:val="nil"/>
              <w:bottom w:val="single" w:sz="4" w:space="0" w:color="auto"/>
              <w:right w:val="nil"/>
            </w:tcBorders>
          </w:tcPr>
          <w:p w14:paraId="63FF16C2" w14:textId="77777777" w:rsidR="00F8576F" w:rsidRPr="00911412" w:rsidRDefault="005D722A" w:rsidP="00F8576F">
            <w:pPr>
              <w:pStyle w:val="NoSpacing"/>
              <w:jc w:val="center"/>
              <w:rPr>
                <w:rFonts w:ascii="Garamond" w:hAnsi="Garamond"/>
                <w:bCs/>
                <w:sz w:val="22"/>
                <w:szCs w:val="22"/>
                <w:highlight w:val="white"/>
              </w:rPr>
            </w:pPr>
            <w:r w:rsidRPr="00911412">
              <w:rPr>
                <w:rFonts w:ascii="Garamond" w:hAnsi="Garamond"/>
                <w:color w:val="000000"/>
                <w:sz w:val="22"/>
                <w:szCs w:val="22"/>
              </w:rPr>
              <w:t>54.7439</w:t>
            </w:r>
          </w:p>
        </w:tc>
        <w:tc>
          <w:tcPr>
            <w:tcW w:w="1418" w:type="dxa"/>
            <w:vMerge/>
            <w:tcBorders>
              <w:left w:val="nil"/>
              <w:bottom w:val="single" w:sz="4" w:space="0" w:color="auto"/>
              <w:right w:val="nil"/>
            </w:tcBorders>
          </w:tcPr>
          <w:p w14:paraId="4C18F7BA" w14:textId="77777777" w:rsidR="00F8576F" w:rsidRPr="00911412" w:rsidRDefault="00F8576F" w:rsidP="00F8576F">
            <w:pPr>
              <w:pStyle w:val="NoSpacing"/>
              <w:jc w:val="center"/>
              <w:rPr>
                <w:rFonts w:ascii="Garamond" w:hAnsi="Garamond"/>
                <w:bCs/>
                <w:sz w:val="22"/>
                <w:szCs w:val="22"/>
                <w:highlight w:val="white"/>
              </w:rPr>
            </w:pPr>
          </w:p>
        </w:tc>
        <w:tc>
          <w:tcPr>
            <w:tcW w:w="1275" w:type="dxa"/>
            <w:vMerge/>
            <w:tcBorders>
              <w:left w:val="nil"/>
              <w:bottom w:val="single" w:sz="4" w:space="0" w:color="auto"/>
              <w:right w:val="nil"/>
            </w:tcBorders>
          </w:tcPr>
          <w:p w14:paraId="74E47FF2" w14:textId="77777777" w:rsidR="00F8576F" w:rsidRPr="00911412" w:rsidRDefault="00F8576F" w:rsidP="00F8576F">
            <w:pPr>
              <w:pStyle w:val="NoSpacing"/>
              <w:jc w:val="center"/>
              <w:rPr>
                <w:rFonts w:ascii="Garamond" w:hAnsi="Garamond"/>
                <w:bCs/>
                <w:sz w:val="22"/>
                <w:szCs w:val="22"/>
                <w:highlight w:val="white"/>
              </w:rPr>
            </w:pPr>
          </w:p>
        </w:tc>
        <w:tc>
          <w:tcPr>
            <w:tcW w:w="1418" w:type="dxa"/>
            <w:vMerge/>
            <w:tcBorders>
              <w:left w:val="nil"/>
              <w:bottom w:val="single" w:sz="4" w:space="0" w:color="auto"/>
              <w:right w:val="nil"/>
            </w:tcBorders>
          </w:tcPr>
          <w:p w14:paraId="7D0D5DE6" w14:textId="77777777" w:rsidR="00F8576F" w:rsidRPr="00911412" w:rsidRDefault="00F8576F" w:rsidP="00F8576F">
            <w:pPr>
              <w:pStyle w:val="NoSpacing"/>
              <w:jc w:val="center"/>
              <w:rPr>
                <w:rFonts w:ascii="Garamond" w:hAnsi="Garamond"/>
                <w:bCs/>
                <w:sz w:val="22"/>
                <w:szCs w:val="22"/>
                <w:highlight w:val="white"/>
              </w:rPr>
            </w:pPr>
          </w:p>
        </w:tc>
        <w:tc>
          <w:tcPr>
            <w:tcW w:w="1559" w:type="dxa"/>
            <w:vMerge/>
            <w:tcBorders>
              <w:left w:val="nil"/>
              <w:bottom w:val="single" w:sz="4" w:space="0" w:color="auto"/>
            </w:tcBorders>
          </w:tcPr>
          <w:p w14:paraId="04D82B7B" w14:textId="77777777" w:rsidR="00F8576F" w:rsidRPr="00911412" w:rsidRDefault="00F8576F" w:rsidP="00F8576F">
            <w:pPr>
              <w:pStyle w:val="NoSpacing"/>
              <w:jc w:val="center"/>
              <w:rPr>
                <w:rFonts w:ascii="Garamond" w:hAnsi="Garamond"/>
                <w:bCs/>
                <w:sz w:val="22"/>
                <w:szCs w:val="22"/>
                <w:highlight w:val="white"/>
              </w:rPr>
            </w:pPr>
          </w:p>
        </w:tc>
      </w:tr>
    </w:tbl>
    <w:p w14:paraId="4D770555" w14:textId="77777777" w:rsidR="005E1BF6" w:rsidRDefault="005D722A" w:rsidP="00911412">
      <w:pPr>
        <w:pStyle w:val="NoSpacing"/>
        <w:rPr>
          <w:rFonts w:ascii="Garamond" w:hAnsi="Garamond"/>
          <w:sz w:val="22"/>
          <w:szCs w:val="22"/>
        </w:rPr>
      </w:pPr>
      <w:r w:rsidRPr="00911412">
        <w:rPr>
          <w:rFonts w:ascii="Garamond" w:hAnsi="Garamond"/>
          <w:sz w:val="22"/>
          <w:szCs w:val="22"/>
        </w:rPr>
        <w:t xml:space="preserve"> </w:t>
      </w:r>
      <w:r w:rsidRPr="00911412">
        <w:rPr>
          <w:rFonts w:ascii="Garamond" w:hAnsi="Garamond"/>
          <w:sz w:val="22"/>
          <w:szCs w:val="22"/>
        </w:rPr>
        <w:tab/>
      </w:r>
    </w:p>
    <w:p w14:paraId="1012061F" w14:textId="4BEDBCA1" w:rsidR="00C351BF" w:rsidRPr="00911412" w:rsidRDefault="005E1BF6" w:rsidP="005E1BF6">
      <w:pPr>
        <w:pStyle w:val="NoSpacing"/>
        <w:jc w:val="both"/>
        <w:rPr>
          <w:rFonts w:ascii="Garamond" w:hAnsi="Garamond"/>
          <w:sz w:val="22"/>
          <w:szCs w:val="22"/>
        </w:rPr>
      </w:pPr>
      <w:r>
        <w:rPr>
          <w:rFonts w:ascii="Garamond" w:hAnsi="Garamond"/>
          <w:sz w:val="22"/>
          <w:szCs w:val="22"/>
        </w:rPr>
        <w:t xml:space="preserve">             The Kruskal-</w:t>
      </w:r>
      <w:proofErr w:type="gramStart"/>
      <w:r>
        <w:rPr>
          <w:rFonts w:ascii="Garamond" w:hAnsi="Garamond"/>
          <w:sz w:val="22"/>
          <w:szCs w:val="22"/>
        </w:rPr>
        <w:t>Wallis</w:t>
      </w:r>
      <w:proofErr w:type="gramEnd"/>
      <w:r>
        <w:rPr>
          <w:rFonts w:ascii="Garamond" w:hAnsi="Garamond"/>
          <w:sz w:val="22"/>
          <w:szCs w:val="22"/>
        </w:rPr>
        <w:t xml:space="preserve"> test was utilized to determine whether there are statistically significant differences in the National Achievement Test (NAT) scores across five core subjects: Filipino, Mathematics, English, Science, and </w:t>
      </w:r>
      <w:proofErr w:type="spellStart"/>
      <w:r>
        <w:rPr>
          <w:rFonts w:ascii="Garamond" w:hAnsi="Garamond"/>
          <w:sz w:val="22"/>
          <w:szCs w:val="22"/>
        </w:rPr>
        <w:t>Araling</w:t>
      </w:r>
      <w:proofErr w:type="spellEnd"/>
      <w:r>
        <w:rPr>
          <w:rFonts w:ascii="Garamond" w:hAnsi="Garamond"/>
          <w:sz w:val="22"/>
          <w:szCs w:val="22"/>
        </w:rPr>
        <w:t xml:space="preserve"> </w:t>
      </w:r>
      <w:proofErr w:type="spellStart"/>
      <w:r>
        <w:rPr>
          <w:rFonts w:ascii="Garamond" w:hAnsi="Garamond"/>
          <w:sz w:val="22"/>
          <w:szCs w:val="22"/>
        </w:rPr>
        <w:t>Panlipunan</w:t>
      </w:r>
      <w:proofErr w:type="spellEnd"/>
      <w:r>
        <w:rPr>
          <w:rFonts w:ascii="Garamond" w:hAnsi="Garamond"/>
          <w:sz w:val="22"/>
          <w:szCs w:val="22"/>
        </w:rPr>
        <w:t xml:space="preserve"> in elementary schools within the </w:t>
      </w:r>
      <w:proofErr w:type="spellStart"/>
      <w:r>
        <w:rPr>
          <w:rFonts w:ascii="Garamond" w:hAnsi="Garamond"/>
          <w:sz w:val="22"/>
          <w:szCs w:val="22"/>
        </w:rPr>
        <w:t>Buhangin</w:t>
      </w:r>
      <w:proofErr w:type="spellEnd"/>
      <w:r>
        <w:rPr>
          <w:rFonts w:ascii="Garamond" w:hAnsi="Garamond"/>
          <w:sz w:val="22"/>
          <w:szCs w:val="22"/>
        </w:rPr>
        <w:t xml:space="preserve"> East District. This non-parametric test is appropriate because it compares more than two independent groups and does not assume a normal distribution of scores.</w:t>
      </w:r>
    </w:p>
    <w:p w14:paraId="1E817FD9" w14:textId="5585569A" w:rsidR="00C351BF" w:rsidRPr="00911412" w:rsidRDefault="005E1BF6" w:rsidP="005E1BF6">
      <w:pPr>
        <w:pStyle w:val="NoSpacing"/>
        <w:jc w:val="both"/>
        <w:rPr>
          <w:rFonts w:ascii="Garamond" w:hAnsi="Garamond"/>
          <w:sz w:val="22"/>
          <w:szCs w:val="22"/>
        </w:rPr>
      </w:pPr>
      <w:r>
        <w:rPr>
          <w:rFonts w:ascii="Garamond" w:hAnsi="Garamond"/>
          <w:sz w:val="22"/>
          <w:szCs w:val="22"/>
        </w:rPr>
        <w:t xml:space="preserve"> </w:t>
      </w:r>
      <w:r>
        <w:rPr>
          <w:rFonts w:ascii="Garamond" w:hAnsi="Garamond"/>
          <w:sz w:val="22"/>
          <w:szCs w:val="22"/>
        </w:rPr>
        <w:tab/>
        <w:t>According to the results, the computed H-statistic is 2.324, with a p-value of 0.676. This p-value is significantly higher than the commonly accepted alpha level of 0.05. Therefore, the null hypothesis (Ho), which states that there is no significant difference in the median NAT scores among the five subject areas, is accepted. In other words, the differences in mean scores among the subjects are not statistically significant at the 5% significance level.</w:t>
      </w:r>
    </w:p>
    <w:p w14:paraId="69125E3A" w14:textId="77777777" w:rsidR="00C351BF" w:rsidRPr="00911412" w:rsidRDefault="005D722A" w:rsidP="005E1BF6">
      <w:pPr>
        <w:pStyle w:val="NoSpacing"/>
        <w:jc w:val="both"/>
        <w:rPr>
          <w:rFonts w:ascii="Garamond" w:hAnsi="Garamond"/>
          <w:sz w:val="22"/>
          <w:szCs w:val="22"/>
        </w:rPr>
      </w:pPr>
      <w:r w:rsidRPr="00911412">
        <w:rPr>
          <w:rFonts w:ascii="Garamond" w:hAnsi="Garamond"/>
          <w:sz w:val="22"/>
          <w:szCs w:val="22"/>
        </w:rPr>
        <w:t xml:space="preserve">  </w:t>
      </w:r>
      <w:r w:rsidRPr="00911412">
        <w:rPr>
          <w:rFonts w:ascii="Garamond" w:hAnsi="Garamond"/>
          <w:sz w:val="22"/>
          <w:szCs w:val="22"/>
        </w:rPr>
        <w:tab/>
        <w:t>Although the mean scores differ numerically (Filipino having the highest average at 60.2748 and Science having the lowest at 50.4795), these differences are not significant enough to conclude that student performance in one subject is significantly better or worse than in another.</w:t>
      </w:r>
    </w:p>
    <w:p w14:paraId="3C9FFCCE" w14:textId="450284BC" w:rsidR="005E1BF6" w:rsidRDefault="005E1BF6" w:rsidP="00774762">
      <w:pPr>
        <w:keepNext/>
        <w:pBdr>
          <w:top w:val="nil"/>
          <w:left w:val="nil"/>
          <w:bottom w:val="nil"/>
          <w:right w:val="nil"/>
          <w:between w:val="nil"/>
        </w:pBdr>
        <w:spacing w:before="240" w:after="240"/>
        <w:jc w:val="both"/>
        <w:rPr>
          <w:rFonts w:ascii="Garamond" w:hAnsi="Garamond" w:cs="Arial"/>
          <w:b/>
          <w:color w:val="000000"/>
          <w:sz w:val="22"/>
          <w:szCs w:val="22"/>
          <w:lang w:val="en-US"/>
        </w:rPr>
      </w:pPr>
      <w:r>
        <w:rPr>
          <w:rFonts w:ascii="Garamond" w:hAnsi="Garamond" w:cs="Arial"/>
          <w:b/>
          <w:color w:val="000000"/>
          <w:sz w:val="22"/>
          <w:szCs w:val="22"/>
          <w:lang w:val="en-US"/>
        </w:rPr>
        <w:t>Discussion</w:t>
      </w:r>
    </w:p>
    <w:p w14:paraId="55E6B147" w14:textId="79AA0061" w:rsidR="0053094F" w:rsidRPr="0053094F" w:rsidRDefault="0053094F" w:rsidP="0053094F">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53094F">
        <w:rPr>
          <w:rFonts w:ascii="Garamond" w:eastAsia="Times New Roman" w:hAnsi="Garamond" w:cs="Times New Roman"/>
          <w:kern w:val="0"/>
          <w:sz w:val="22"/>
          <w:lang w:val="en-US"/>
          <w14:ligatures w14:val="none"/>
        </w:rPr>
        <w:t xml:space="preserve">The results of the study reveal that while there are observable differences in the mean percentage scores across the five learning areas in the National Achievement Test (NAT), all subjects fell within the same qualitative description of “Moderate.” Filipino had the highest mean score of 60.28 and the lowest standard deviation (13.48), suggesting relatively consistent and higher performance among students in this subject. In contrast, Science recorded the lowest mean score at 50.48, implying it may be the most challenging area for students; however, its standard deviation (14.99) suggests less variation in performance compared to subjects like Mathematics, which had a higher mean (57.98) but also the highest standard deviation (21.94). This wide variability in Mathematics indicates significant disparities in student understanding, with some learners excelling while others struggle. The moderate performance level across all subjects aligns with prior findings by Cruz (2018) and Delos Reyes (2021), who observed uneven student </w:t>
      </w:r>
      <w:r>
        <w:rPr>
          <w:rFonts w:ascii="Garamond" w:eastAsia="Times New Roman" w:hAnsi="Garamond" w:cs="Times New Roman"/>
          <w:kern w:val="0"/>
          <w:sz w:val="22"/>
          <w:lang w:val="en-US"/>
          <w14:ligatures w14:val="none"/>
        </w:rPr>
        <w:t>achievement in NAT results, often linked to instructional quality and access to resources</w:t>
      </w:r>
      <w:r w:rsidRPr="0053094F">
        <w:rPr>
          <w:rFonts w:ascii="Garamond" w:eastAsia="Times New Roman" w:hAnsi="Garamond" w:cs="Times New Roman"/>
          <w:kern w:val="0"/>
          <w:sz w:val="22"/>
          <w:lang w:val="en-US"/>
          <w14:ligatures w14:val="none"/>
        </w:rPr>
        <w:t>.</w:t>
      </w:r>
    </w:p>
    <w:p w14:paraId="0CAB0CCC" w14:textId="1D241579" w:rsidR="0053094F" w:rsidRPr="0053094F" w:rsidRDefault="0053094F" w:rsidP="0053094F">
      <w:pPr>
        <w:spacing w:before="100" w:beforeAutospacing="1" w:after="100" w:afterAutospacing="1" w:line="240" w:lineRule="auto"/>
        <w:ind w:firstLine="720"/>
        <w:jc w:val="both"/>
        <w:rPr>
          <w:rFonts w:ascii="Garamond" w:eastAsia="Times New Roman" w:hAnsi="Garamond" w:cs="Times New Roman"/>
          <w:kern w:val="0"/>
          <w:sz w:val="22"/>
          <w:lang w:val="en-US"/>
          <w14:ligatures w14:val="none"/>
        </w:rPr>
      </w:pPr>
      <w:r w:rsidRPr="0053094F">
        <w:rPr>
          <w:rFonts w:ascii="Garamond" w:eastAsia="Times New Roman" w:hAnsi="Garamond" w:cs="Times New Roman"/>
          <w:kern w:val="0"/>
          <w:sz w:val="22"/>
          <w:lang w:val="en-US"/>
          <w14:ligatures w14:val="none"/>
        </w:rPr>
        <w:t>Despite these numerical differences, the Kruskal-</w:t>
      </w:r>
      <w:proofErr w:type="gramStart"/>
      <w:r w:rsidRPr="0053094F">
        <w:rPr>
          <w:rFonts w:ascii="Garamond" w:eastAsia="Times New Roman" w:hAnsi="Garamond" w:cs="Times New Roman"/>
          <w:kern w:val="0"/>
          <w:sz w:val="22"/>
          <w:lang w:val="en-US"/>
          <w14:ligatures w14:val="none"/>
        </w:rPr>
        <w:t>Wallis</w:t>
      </w:r>
      <w:proofErr w:type="gramEnd"/>
      <w:r w:rsidRPr="0053094F">
        <w:rPr>
          <w:rFonts w:ascii="Garamond" w:eastAsia="Times New Roman" w:hAnsi="Garamond" w:cs="Times New Roman"/>
          <w:kern w:val="0"/>
          <w:sz w:val="22"/>
          <w:lang w:val="en-US"/>
          <w14:ligatures w14:val="none"/>
        </w:rPr>
        <w:t xml:space="preserve"> test revealed no statistically significant difference in NAT scores among the five subjects, as shown by an H-statistic of 2.324 and a p-value of 0.676. Since </w:t>
      </w:r>
      <w:r>
        <w:rPr>
          <w:rFonts w:ascii="Garamond" w:eastAsia="Times New Roman" w:hAnsi="Garamond" w:cs="Times New Roman"/>
          <w:kern w:val="0"/>
          <w:sz w:val="22"/>
          <w:lang w:val="en-US"/>
          <w14:ligatures w14:val="none"/>
        </w:rPr>
        <w:t xml:space="preserve">the p-value exceeds the 0.05 significance level, the null hypothesis stating that there is </w:t>
      </w:r>
      <w:r w:rsidRPr="0053094F">
        <w:rPr>
          <w:rFonts w:ascii="Garamond" w:eastAsia="Times New Roman" w:hAnsi="Garamond" w:cs="Times New Roman"/>
          <w:kern w:val="0"/>
          <w:sz w:val="22"/>
          <w:lang w:val="en-US"/>
          <w14:ligatures w14:val="none"/>
        </w:rPr>
        <w:t xml:space="preserve">no significant difference in median scores across subject areas is accepted. This suggests that while subjects like Filipino appear </w:t>
      </w:r>
      <w:r>
        <w:rPr>
          <w:rFonts w:ascii="Garamond" w:eastAsia="Times New Roman" w:hAnsi="Garamond" w:cs="Times New Roman"/>
          <w:kern w:val="0"/>
          <w:sz w:val="22"/>
          <w:lang w:val="en-US"/>
          <w14:ligatures w14:val="none"/>
        </w:rPr>
        <w:t>firmer</w:t>
      </w:r>
      <w:r w:rsidRPr="0053094F">
        <w:rPr>
          <w:rFonts w:ascii="Garamond" w:eastAsia="Times New Roman" w:hAnsi="Garamond" w:cs="Times New Roman"/>
          <w:kern w:val="0"/>
          <w:sz w:val="22"/>
          <w:lang w:val="en-US"/>
          <w14:ligatures w14:val="none"/>
        </w:rPr>
        <w:t xml:space="preserve"> on the surface, the variations are not statistically significant enough to claim superior or inferior academic performance in any specific learning area. As supported by Sarmiento and Oracion (2022), this finding </w:t>
      </w:r>
      <w:r>
        <w:rPr>
          <w:rFonts w:ascii="Garamond" w:eastAsia="Times New Roman" w:hAnsi="Garamond" w:cs="Times New Roman"/>
          <w:kern w:val="0"/>
          <w:sz w:val="22"/>
          <w:lang w:val="en-US"/>
          <w14:ligatures w14:val="none"/>
        </w:rPr>
        <w:t>underscores the importance of employing data-driven yet</w:t>
      </w:r>
      <w:r w:rsidRPr="0053094F">
        <w:rPr>
          <w:rFonts w:ascii="Garamond" w:eastAsia="Times New Roman" w:hAnsi="Garamond" w:cs="Times New Roman"/>
          <w:kern w:val="0"/>
          <w:sz w:val="22"/>
          <w:lang w:val="en-US"/>
          <w14:ligatures w14:val="none"/>
        </w:rPr>
        <w:t xml:space="preserve"> holistic approaches when designing interventions. It </w:t>
      </w:r>
      <w:r>
        <w:rPr>
          <w:rFonts w:ascii="Garamond" w:eastAsia="Times New Roman" w:hAnsi="Garamond" w:cs="Times New Roman"/>
          <w:kern w:val="0"/>
          <w:sz w:val="22"/>
          <w:lang w:val="en-US"/>
          <w14:ligatures w14:val="none"/>
        </w:rPr>
        <w:t>suggests that educational improvements should not focus solely on a particular subject but rather address cross-cutting issues such as teacher competence, instructional methods, and resource distribution to enhance</w:t>
      </w:r>
      <w:r w:rsidRPr="0053094F">
        <w:rPr>
          <w:rFonts w:ascii="Garamond" w:eastAsia="Times New Roman" w:hAnsi="Garamond" w:cs="Times New Roman"/>
          <w:kern w:val="0"/>
          <w:sz w:val="22"/>
          <w:lang w:val="en-US"/>
          <w14:ligatures w14:val="none"/>
        </w:rPr>
        <w:t xml:space="preserve"> overall student achievement.</w:t>
      </w:r>
    </w:p>
    <w:p w14:paraId="00B5D255" w14:textId="60B2328A" w:rsidR="00774762" w:rsidRPr="00911412" w:rsidRDefault="005D722A" w:rsidP="00774762">
      <w:pPr>
        <w:keepNext/>
        <w:pBdr>
          <w:top w:val="nil"/>
          <w:left w:val="nil"/>
          <w:bottom w:val="nil"/>
          <w:right w:val="nil"/>
          <w:between w:val="nil"/>
        </w:pBdr>
        <w:spacing w:before="240" w:after="240"/>
        <w:jc w:val="both"/>
        <w:rPr>
          <w:rFonts w:ascii="Garamond" w:hAnsi="Garamond" w:cs="Arial"/>
          <w:b/>
          <w:color w:val="000000"/>
          <w:sz w:val="22"/>
          <w:szCs w:val="22"/>
          <w:lang w:val="en-US"/>
        </w:rPr>
      </w:pPr>
      <w:r w:rsidRPr="00911412">
        <w:rPr>
          <w:rFonts w:ascii="Garamond" w:hAnsi="Garamond" w:cs="Arial"/>
          <w:b/>
          <w:color w:val="000000"/>
          <w:sz w:val="22"/>
          <w:szCs w:val="22"/>
          <w:lang w:val="en-US"/>
        </w:rPr>
        <w:t>Conclusion</w:t>
      </w:r>
    </w:p>
    <w:p w14:paraId="5A52B2A3" w14:textId="6EEA09E2" w:rsidR="00774762" w:rsidRPr="00911412" w:rsidRDefault="001C0D87" w:rsidP="00774762">
      <w:pPr>
        <w:keepNext/>
        <w:pBdr>
          <w:top w:val="nil"/>
          <w:left w:val="nil"/>
          <w:bottom w:val="nil"/>
          <w:right w:val="nil"/>
          <w:between w:val="nil"/>
        </w:pBdr>
        <w:spacing w:before="240" w:after="240"/>
        <w:jc w:val="both"/>
        <w:rPr>
          <w:rFonts w:ascii="Garamond" w:hAnsi="Garamond" w:cs="Arial"/>
          <w:color w:val="000000"/>
          <w:sz w:val="22"/>
          <w:szCs w:val="22"/>
          <w:lang w:val="en-US"/>
        </w:rPr>
      </w:pPr>
      <w:r>
        <w:rPr>
          <w:rFonts w:ascii="Garamond" w:hAnsi="Garamond" w:cs="Arial"/>
          <w:color w:val="000000"/>
          <w:sz w:val="22"/>
          <w:szCs w:val="22"/>
        </w:rPr>
        <w:t xml:space="preserve"> </w:t>
      </w:r>
      <w:r>
        <w:rPr>
          <w:rFonts w:ascii="Garamond" w:hAnsi="Garamond" w:cs="Arial"/>
          <w:color w:val="000000"/>
          <w:sz w:val="22"/>
          <w:szCs w:val="22"/>
        </w:rPr>
        <w:tab/>
        <w:t xml:space="preserve">The analysis indicates that student performance in the NAT across various subject areas in the </w:t>
      </w:r>
      <w:proofErr w:type="spellStart"/>
      <w:r>
        <w:rPr>
          <w:rFonts w:ascii="Garamond" w:hAnsi="Garamond" w:cs="Arial"/>
          <w:color w:val="000000"/>
          <w:sz w:val="22"/>
          <w:szCs w:val="22"/>
        </w:rPr>
        <w:t>Buhangin</w:t>
      </w:r>
      <w:proofErr w:type="spellEnd"/>
      <w:r>
        <w:rPr>
          <w:rFonts w:ascii="Garamond" w:hAnsi="Garamond" w:cs="Arial"/>
          <w:color w:val="000000"/>
          <w:sz w:val="22"/>
          <w:szCs w:val="22"/>
        </w:rPr>
        <w:t xml:space="preserve"> East District is generally consistent, with no significant statistical differences among the subjects of Filipino, Mathematics, English, Science, and </w:t>
      </w:r>
      <w:proofErr w:type="spellStart"/>
      <w:r>
        <w:rPr>
          <w:rFonts w:ascii="Garamond" w:hAnsi="Garamond" w:cs="Arial"/>
          <w:color w:val="000000"/>
          <w:sz w:val="22"/>
          <w:szCs w:val="22"/>
        </w:rPr>
        <w:t>Araling</w:t>
      </w:r>
      <w:proofErr w:type="spellEnd"/>
      <w:r>
        <w:rPr>
          <w:rFonts w:ascii="Garamond" w:hAnsi="Garamond" w:cs="Arial"/>
          <w:color w:val="000000"/>
          <w:sz w:val="22"/>
          <w:szCs w:val="22"/>
        </w:rPr>
        <w:t xml:space="preserve"> </w:t>
      </w:r>
      <w:proofErr w:type="spellStart"/>
      <w:r>
        <w:rPr>
          <w:rFonts w:ascii="Garamond" w:hAnsi="Garamond" w:cs="Arial"/>
          <w:color w:val="000000"/>
          <w:sz w:val="22"/>
          <w:szCs w:val="22"/>
        </w:rPr>
        <w:t>Panlipunan</w:t>
      </w:r>
      <w:proofErr w:type="spellEnd"/>
      <w:r>
        <w:rPr>
          <w:rFonts w:ascii="Garamond" w:hAnsi="Garamond" w:cs="Arial"/>
          <w:color w:val="000000"/>
          <w:sz w:val="22"/>
          <w:szCs w:val="22"/>
        </w:rPr>
        <w:t xml:space="preserve">. This positively reflects the district's ability to provide a balanced academic foundation across core subjects. However, educational stakeholders should not interpret the findings as a signal to maintain the status quo. Instead, the results should encourage </w:t>
      </w:r>
      <w:r>
        <w:rPr>
          <w:rFonts w:ascii="Garamond" w:hAnsi="Garamond" w:cs="Arial"/>
          <w:color w:val="000000"/>
          <w:sz w:val="22"/>
          <w:szCs w:val="22"/>
        </w:rPr>
        <w:lastRenderedPageBreak/>
        <w:t>continuous improvement efforts, particularly in subjects with lower average outcomes. Strategic interventions, professional development for teachers, and enhancements to subject-specific instructional resources can further elevate student performance, ensuring not only uniformity but also excellence across all academic areas.</w:t>
      </w:r>
    </w:p>
    <w:p w14:paraId="319BF40E" w14:textId="77777777" w:rsidR="00774762" w:rsidRPr="00911412" w:rsidRDefault="005D722A" w:rsidP="00774762">
      <w:pPr>
        <w:keepNext/>
        <w:pBdr>
          <w:top w:val="nil"/>
          <w:left w:val="nil"/>
          <w:bottom w:val="nil"/>
          <w:right w:val="nil"/>
          <w:between w:val="nil"/>
        </w:pBdr>
        <w:spacing w:before="240" w:after="240"/>
        <w:jc w:val="both"/>
        <w:rPr>
          <w:rFonts w:ascii="Garamond" w:hAnsi="Garamond" w:cs="Arial"/>
          <w:b/>
          <w:color w:val="000000"/>
          <w:sz w:val="22"/>
          <w:szCs w:val="22"/>
          <w:lang w:val="en-US"/>
        </w:rPr>
      </w:pPr>
      <w:r w:rsidRPr="00911412">
        <w:rPr>
          <w:rFonts w:ascii="Garamond" w:hAnsi="Garamond" w:cs="Arial"/>
          <w:b/>
          <w:color w:val="000000"/>
          <w:sz w:val="22"/>
          <w:szCs w:val="22"/>
          <w:lang w:val="en-US"/>
        </w:rPr>
        <w:t>Recommendation</w:t>
      </w:r>
    </w:p>
    <w:p w14:paraId="46667EB5" w14:textId="68E499B3" w:rsidR="00911412" w:rsidRDefault="005D722A" w:rsidP="001C0D87">
      <w:pPr>
        <w:ind w:firstLine="720"/>
        <w:jc w:val="both"/>
        <w:rPr>
          <w:rFonts w:ascii="Garamond" w:hAnsi="Garamond"/>
          <w:sz w:val="22"/>
          <w:szCs w:val="22"/>
        </w:rPr>
      </w:pPr>
      <w:r w:rsidRPr="00911412">
        <w:rPr>
          <w:rFonts w:ascii="Garamond" w:hAnsi="Garamond"/>
          <w:sz w:val="22"/>
          <w:szCs w:val="22"/>
        </w:rPr>
        <w:t xml:space="preserve">While the findings indicate no significant difference in NAT scores across subjects, the </w:t>
      </w:r>
      <w:proofErr w:type="spellStart"/>
      <w:r w:rsidRPr="00911412">
        <w:rPr>
          <w:rFonts w:ascii="Garamond" w:hAnsi="Garamond"/>
          <w:sz w:val="22"/>
          <w:szCs w:val="22"/>
        </w:rPr>
        <w:t>Buhangin</w:t>
      </w:r>
      <w:proofErr w:type="spellEnd"/>
      <w:r w:rsidRPr="00911412">
        <w:rPr>
          <w:rFonts w:ascii="Garamond" w:hAnsi="Garamond"/>
          <w:sz w:val="22"/>
          <w:szCs w:val="22"/>
        </w:rPr>
        <w:t xml:space="preserve"> East District is encouraged to sustain its balanced curriculum implementation. However, attention </w:t>
      </w:r>
      <w:r w:rsidR="001C0D87">
        <w:rPr>
          <w:rFonts w:ascii="Garamond" w:hAnsi="Garamond"/>
          <w:sz w:val="22"/>
          <w:szCs w:val="22"/>
        </w:rPr>
        <w:t>may</w:t>
      </w:r>
      <w:r w:rsidRPr="00911412">
        <w:rPr>
          <w:rFonts w:ascii="Garamond" w:hAnsi="Garamond"/>
          <w:sz w:val="22"/>
          <w:szCs w:val="22"/>
        </w:rPr>
        <w:t xml:space="preserve"> be given to subjects with lower mean scores, particularly Science and English. Targeted diagnostic assessments, subject-specific remediation programs, and enhanced teacher training in these areas are strongly recommended. Providing updated instructional materials and promoting innovative teaching strategies will further support student learning. Continuous classroom monitoring and active involvement of parents and communities can reinforce academic performance. Lastly, conducting qualitative research will provide deeper insights into factors affecting student achievement, enabling the district to develop more informed and effective educational strategies.</w:t>
      </w:r>
    </w:p>
    <w:p w14:paraId="391D260B" w14:textId="77777777" w:rsidR="002A4845" w:rsidRDefault="002A4845" w:rsidP="001C0D87">
      <w:pPr>
        <w:ind w:firstLine="720"/>
        <w:jc w:val="both"/>
        <w:rPr>
          <w:rFonts w:ascii="Garamond" w:hAnsi="Garamond"/>
          <w:sz w:val="22"/>
          <w:szCs w:val="22"/>
        </w:rPr>
      </w:pPr>
    </w:p>
    <w:p w14:paraId="7390A54E" w14:textId="77777777" w:rsidR="002A4845" w:rsidRPr="002A4845" w:rsidRDefault="002A4845" w:rsidP="002A4845">
      <w:pPr>
        <w:spacing w:after="200"/>
        <w:jc w:val="both"/>
        <w:outlineLvl w:val="0"/>
        <w:rPr>
          <w:rFonts w:ascii="Arial" w:eastAsia="Times New Roman" w:hAnsi="Arial" w:cs="Arial"/>
          <w:kern w:val="0"/>
          <w:sz w:val="22"/>
          <w:szCs w:val="22"/>
          <w:lang w:val="en-GB" w:eastAsia="en-GB"/>
          <w14:ligatures w14:val="none"/>
        </w:rPr>
      </w:pPr>
      <w:r w:rsidRPr="002A4845">
        <w:rPr>
          <w:rFonts w:ascii="Arial" w:eastAsia="Times New Roman" w:hAnsi="Arial" w:cs="Arial"/>
          <w:b/>
          <w:bCs/>
          <w:kern w:val="0"/>
          <w:sz w:val="22"/>
          <w:szCs w:val="22"/>
          <w:lang w:val="en-GB" w:eastAsia="en-GB"/>
          <w14:ligatures w14:val="none"/>
        </w:rPr>
        <w:t>COMPETING INTERESTS DISCLAIMER:</w:t>
      </w:r>
    </w:p>
    <w:p w14:paraId="0F228957" w14:textId="77777777" w:rsidR="002A4845" w:rsidRPr="002A4845" w:rsidRDefault="002A4845" w:rsidP="002A4845">
      <w:pPr>
        <w:spacing w:after="200"/>
        <w:rPr>
          <w:rFonts w:ascii="Calibri" w:eastAsia="Times New Roman" w:hAnsi="Calibri" w:cs="Times New Roman"/>
          <w:kern w:val="0"/>
          <w:sz w:val="22"/>
          <w:szCs w:val="22"/>
          <w:lang w:val="en-GB" w:eastAsia="en-GB"/>
          <w14:ligatures w14:val="none"/>
        </w:rPr>
      </w:pPr>
      <w:r w:rsidRPr="002A4845">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97BC79C" w14:textId="77777777" w:rsidR="002A4845" w:rsidRPr="001C0D87" w:rsidRDefault="002A4845" w:rsidP="001C0D87">
      <w:pPr>
        <w:ind w:firstLine="720"/>
        <w:jc w:val="both"/>
        <w:rPr>
          <w:rFonts w:ascii="Garamond" w:hAnsi="Garamond"/>
          <w:sz w:val="22"/>
          <w:szCs w:val="22"/>
        </w:rPr>
      </w:pPr>
    </w:p>
    <w:p w14:paraId="6517B241" w14:textId="77777777" w:rsidR="007F0518" w:rsidRPr="00911412" w:rsidRDefault="005D722A" w:rsidP="007F0518">
      <w:pPr>
        <w:jc w:val="both"/>
        <w:rPr>
          <w:rFonts w:ascii="Garamond" w:hAnsi="Garamond"/>
          <w:b/>
          <w:bCs/>
          <w:sz w:val="22"/>
          <w:szCs w:val="22"/>
          <w:lang w:val="en-US"/>
        </w:rPr>
      </w:pPr>
      <w:r w:rsidRPr="00911412">
        <w:rPr>
          <w:rFonts w:ascii="Garamond" w:hAnsi="Garamond"/>
          <w:b/>
          <w:bCs/>
          <w:sz w:val="22"/>
          <w:szCs w:val="22"/>
          <w:lang w:val="en-US"/>
        </w:rPr>
        <w:t>References</w:t>
      </w:r>
    </w:p>
    <w:p w14:paraId="591E52E9"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Bernardo, A. B. I. (2020). The Philippine education system and the challenges of the 21st century. </w:t>
      </w:r>
      <w:r w:rsidRPr="00911412">
        <w:rPr>
          <w:rFonts w:ascii="Garamond" w:hAnsi="Garamond"/>
          <w:i/>
          <w:iCs/>
          <w:sz w:val="22"/>
          <w:szCs w:val="22"/>
          <w:lang w:val="en-US"/>
        </w:rPr>
        <w:t>Asia Pacific Education Review</w:t>
      </w:r>
      <w:r w:rsidRPr="00911412">
        <w:rPr>
          <w:rFonts w:ascii="Garamond" w:hAnsi="Garamond"/>
          <w:sz w:val="22"/>
          <w:szCs w:val="22"/>
          <w:lang w:val="en-US"/>
        </w:rPr>
        <w:t xml:space="preserve">, </w:t>
      </w:r>
      <w:r w:rsidRPr="00911412">
        <w:rPr>
          <w:rFonts w:ascii="Garamond" w:hAnsi="Garamond"/>
          <w:i/>
          <w:iCs/>
          <w:sz w:val="22"/>
          <w:szCs w:val="22"/>
          <w:lang w:val="en-US"/>
        </w:rPr>
        <w:t>21</w:t>
      </w:r>
      <w:r w:rsidRPr="00911412">
        <w:rPr>
          <w:rFonts w:ascii="Garamond" w:hAnsi="Garamond"/>
          <w:sz w:val="22"/>
          <w:szCs w:val="22"/>
          <w:lang w:val="en-US"/>
        </w:rPr>
        <w:t>(3), 345–357. https://doi.org/10.1007/s12564-020-09645-z</w:t>
      </w:r>
    </w:p>
    <w:p w14:paraId="7B5F92AD"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Cruz, F. A. (2018). Academic performance in the National Achievement Test and its implications for education quality. </w:t>
      </w:r>
      <w:r w:rsidRPr="00911412">
        <w:rPr>
          <w:rFonts w:ascii="Garamond" w:hAnsi="Garamond"/>
          <w:i/>
          <w:iCs/>
          <w:sz w:val="22"/>
          <w:szCs w:val="22"/>
          <w:lang w:val="en-US"/>
        </w:rPr>
        <w:t>Philippine Journal of Education Studies</w:t>
      </w:r>
      <w:r w:rsidRPr="00911412">
        <w:rPr>
          <w:rFonts w:ascii="Garamond" w:hAnsi="Garamond"/>
          <w:sz w:val="22"/>
          <w:szCs w:val="22"/>
          <w:lang w:val="en-US"/>
        </w:rPr>
        <w:t xml:space="preserve">, </w:t>
      </w:r>
      <w:r w:rsidRPr="00911412">
        <w:rPr>
          <w:rFonts w:ascii="Garamond" w:hAnsi="Garamond"/>
          <w:i/>
          <w:iCs/>
          <w:sz w:val="22"/>
          <w:szCs w:val="22"/>
          <w:lang w:val="en-US"/>
        </w:rPr>
        <w:t>45</w:t>
      </w:r>
      <w:r w:rsidRPr="00911412">
        <w:rPr>
          <w:rFonts w:ascii="Garamond" w:hAnsi="Garamond"/>
          <w:sz w:val="22"/>
          <w:szCs w:val="22"/>
          <w:lang w:val="en-US"/>
        </w:rPr>
        <w:t>(2), 55–67.</w:t>
      </w:r>
    </w:p>
    <w:p w14:paraId="1C8AF57B"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Darling-Hammond, L. (2017). Teacher education around the world: What can we learn from international practice? </w:t>
      </w:r>
      <w:r w:rsidRPr="00911412">
        <w:rPr>
          <w:rFonts w:ascii="Garamond" w:hAnsi="Garamond"/>
          <w:i/>
          <w:iCs/>
          <w:sz w:val="22"/>
          <w:szCs w:val="22"/>
          <w:lang w:val="en-US"/>
        </w:rPr>
        <w:t>European Journal of Teacher Education</w:t>
      </w:r>
      <w:r w:rsidRPr="00911412">
        <w:rPr>
          <w:rFonts w:ascii="Garamond" w:hAnsi="Garamond"/>
          <w:sz w:val="22"/>
          <w:szCs w:val="22"/>
          <w:lang w:val="en-US"/>
        </w:rPr>
        <w:t xml:space="preserve">, </w:t>
      </w:r>
      <w:r w:rsidRPr="00911412">
        <w:rPr>
          <w:rFonts w:ascii="Garamond" w:hAnsi="Garamond"/>
          <w:i/>
          <w:iCs/>
          <w:sz w:val="22"/>
          <w:szCs w:val="22"/>
          <w:lang w:val="en-US"/>
        </w:rPr>
        <w:t>40</w:t>
      </w:r>
      <w:r w:rsidRPr="00911412">
        <w:rPr>
          <w:rFonts w:ascii="Garamond" w:hAnsi="Garamond"/>
          <w:sz w:val="22"/>
          <w:szCs w:val="22"/>
          <w:lang w:val="en-US"/>
        </w:rPr>
        <w:t>(3), 291–309. https://doi.org/10.1080/02619768.2017.1315399</w:t>
      </w:r>
    </w:p>
    <w:p w14:paraId="19F82243"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Delos Reyes, R. P. (2021). Evaluating NAT performance in Mathematics: A case study of selected public schools. </w:t>
      </w:r>
      <w:r w:rsidRPr="00911412">
        <w:rPr>
          <w:rFonts w:ascii="Garamond" w:hAnsi="Garamond"/>
          <w:i/>
          <w:iCs/>
          <w:sz w:val="22"/>
          <w:szCs w:val="22"/>
          <w:lang w:val="en-US"/>
        </w:rPr>
        <w:t>Journal of Educational Measurement and Evaluation</w:t>
      </w:r>
      <w:r w:rsidRPr="00911412">
        <w:rPr>
          <w:rFonts w:ascii="Garamond" w:hAnsi="Garamond"/>
          <w:sz w:val="22"/>
          <w:szCs w:val="22"/>
          <w:lang w:val="en-US"/>
        </w:rPr>
        <w:t xml:space="preserve">, </w:t>
      </w:r>
      <w:r w:rsidRPr="00911412">
        <w:rPr>
          <w:rFonts w:ascii="Garamond" w:hAnsi="Garamond"/>
          <w:i/>
          <w:iCs/>
          <w:sz w:val="22"/>
          <w:szCs w:val="22"/>
          <w:lang w:val="en-US"/>
        </w:rPr>
        <w:t>11</w:t>
      </w:r>
      <w:r w:rsidRPr="00911412">
        <w:rPr>
          <w:rFonts w:ascii="Garamond" w:hAnsi="Garamond"/>
          <w:sz w:val="22"/>
          <w:szCs w:val="22"/>
          <w:lang w:val="en-US"/>
        </w:rPr>
        <w:t>(1), 12–24.</w:t>
      </w:r>
    </w:p>
    <w:p w14:paraId="5F472F1E"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Department of Education (DepEd). (2023). </w:t>
      </w:r>
      <w:r w:rsidRPr="00911412">
        <w:rPr>
          <w:rFonts w:ascii="Garamond" w:hAnsi="Garamond"/>
          <w:i/>
          <w:iCs/>
          <w:sz w:val="22"/>
          <w:szCs w:val="22"/>
          <w:lang w:val="en-US"/>
        </w:rPr>
        <w:t>National Achievement Test: Guidelines and Results</w:t>
      </w:r>
      <w:r w:rsidRPr="00911412">
        <w:rPr>
          <w:rFonts w:ascii="Garamond" w:hAnsi="Garamond"/>
          <w:sz w:val="22"/>
          <w:szCs w:val="22"/>
          <w:lang w:val="en-US"/>
        </w:rPr>
        <w:t xml:space="preserve">. Department of Education, Philippines. </w:t>
      </w:r>
      <w:hyperlink r:id="rId8" w:tgtFrame="_new" w:history="1">
        <w:r w:rsidR="007F0518" w:rsidRPr="00911412">
          <w:rPr>
            <w:rStyle w:val="Hyperlink"/>
            <w:rFonts w:ascii="Garamond" w:hAnsi="Garamond"/>
            <w:color w:val="auto"/>
            <w:sz w:val="22"/>
            <w:szCs w:val="22"/>
            <w:lang w:val="en-US"/>
          </w:rPr>
          <w:t>https://www.deped.gov.ph</w:t>
        </w:r>
      </w:hyperlink>
    </w:p>
    <w:p w14:paraId="48E77661"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Gustafsson, J. E. (2020). Large-scale assessments as tools for monitoring educational systems. </w:t>
      </w:r>
      <w:r w:rsidRPr="00911412">
        <w:rPr>
          <w:rFonts w:ascii="Garamond" w:hAnsi="Garamond"/>
          <w:i/>
          <w:iCs/>
          <w:sz w:val="22"/>
          <w:szCs w:val="22"/>
          <w:lang w:val="en-US"/>
        </w:rPr>
        <w:t>Educational Research and Evaluation</w:t>
      </w:r>
      <w:r w:rsidRPr="00911412">
        <w:rPr>
          <w:rFonts w:ascii="Garamond" w:hAnsi="Garamond"/>
          <w:sz w:val="22"/>
          <w:szCs w:val="22"/>
          <w:lang w:val="en-US"/>
        </w:rPr>
        <w:t xml:space="preserve">, </w:t>
      </w:r>
      <w:r w:rsidRPr="00911412">
        <w:rPr>
          <w:rFonts w:ascii="Garamond" w:hAnsi="Garamond"/>
          <w:i/>
          <w:iCs/>
          <w:sz w:val="22"/>
          <w:szCs w:val="22"/>
          <w:lang w:val="en-US"/>
        </w:rPr>
        <w:t>26</w:t>
      </w:r>
      <w:r w:rsidRPr="00911412">
        <w:rPr>
          <w:rFonts w:ascii="Garamond" w:hAnsi="Garamond"/>
          <w:sz w:val="22"/>
          <w:szCs w:val="22"/>
          <w:lang w:val="en-US"/>
        </w:rPr>
        <w:t>(3–4), 169–190. https://doi.org/10.1080/13803611.2020.1821996</w:t>
      </w:r>
    </w:p>
    <w:p w14:paraId="72B530F7"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Mullis, I. V. S., Martin, M. O., Foy, P., &amp; Hooper, M. (2020). </w:t>
      </w:r>
      <w:r w:rsidRPr="00911412">
        <w:rPr>
          <w:rFonts w:ascii="Garamond" w:hAnsi="Garamond"/>
          <w:i/>
          <w:iCs/>
          <w:sz w:val="22"/>
          <w:szCs w:val="22"/>
          <w:lang w:val="en-US"/>
        </w:rPr>
        <w:t>TIMSS 2019 International Results in Mathematics and Science</w:t>
      </w:r>
      <w:r w:rsidRPr="00911412">
        <w:rPr>
          <w:rFonts w:ascii="Garamond" w:hAnsi="Garamond"/>
          <w:sz w:val="22"/>
          <w:szCs w:val="22"/>
          <w:lang w:val="en-US"/>
        </w:rPr>
        <w:t>. TIMSS &amp; PIRLS International Study Center, Boston College. https://timssandpirls.bc.edu/timss2019/</w:t>
      </w:r>
    </w:p>
    <w:p w14:paraId="2C2469BE"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National Center for Education Statistics (NCES). (2021). </w:t>
      </w:r>
      <w:r w:rsidRPr="00911412">
        <w:rPr>
          <w:rFonts w:ascii="Garamond" w:hAnsi="Garamond"/>
          <w:i/>
          <w:iCs/>
          <w:sz w:val="22"/>
          <w:szCs w:val="22"/>
          <w:lang w:val="en-US"/>
        </w:rPr>
        <w:t>The Nation’s Report Card: An Overview of NAEP Results</w:t>
      </w:r>
      <w:r w:rsidRPr="00911412">
        <w:rPr>
          <w:rFonts w:ascii="Garamond" w:hAnsi="Garamond"/>
          <w:sz w:val="22"/>
          <w:szCs w:val="22"/>
          <w:lang w:val="en-US"/>
        </w:rPr>
        <w:t>. U.S. Department of Education. https://nces.ed.gov/nationsreportcard/</w:t>
      </w:r>
    </w:p>
    <w:p w14:paraId="0BF97B2A"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lastRenderedPageBreak/>
        <w:t xml:space="preserve">OECD. (2019). </w:t>
      </w:r>
      <w:r w:rsidRPr="00911412">
        <w:rPr>
          <w:rFonts w:ascii="Garamond" w:hAnsi="Garamond"/>
          <w:i/>
          <w:iCs/>
          <w:sz w:val="22"/>
          <w:szCs w:val="22"/>
          <w:lang w:val="en-US"/>
        </w:rPr>
        <w:t>PISA 2018 Results (Volume I): What Students Know and Can Do</w:t>
      </w:r>
      <w:r w:rsidRPr="00911412">
        <w:rPr>
          <w:rFonts w:ascii="Garamond" w:hAnsi="Garamond"/>
          <w:sz w:val="22"/>
          <w:szCs w:val="22"/>
          <w:lang w:val="en-US"/>
        </w:rPr>
        <w:t>. OECD Publishing. https://doi.org/10.1787/5f07c754-en</w:t>
      </w:r>
    </w:p>
    <w:p w14:paraId="7CF6A543" w14:textId="77777777" w:rsidR="00040ED9"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Print, M. (1993). </w:t>
      </w:r>
      <w:r w:rsidRPr="00911412">
        <w:rPr>
          <w:rFonts w:ascii="Garamond" w:hAnsi="Garamond"/>
          <w:i/>
          <w:iCs/>
          <w:sz w:val="22"/>
          <w:szCs w:val="22"/>
          <w:lang w:val="en-US"/>
        </w:rPr>
        <w:t>Curriculum Development and Design</w:t>
      </w:r>
      <w:r w:rsidRPr="00911412">
        <w:rPr>
          <w:rFonts w:ascii="Garamond" w:hAnsi="Garamond"/>
          <w:sz w:val="22"/>
          <w:szCs w:val="22"/>
          <w:lang w:val="en-US"/>
        </w:rPr>
        <w:t>. Allen &amp; Unwin.</w:t>
      </w:r>
    </w:p>
    <w:p w14:paraId="1D2F0596"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Sarmiento, J. A., &amp; Oracion, E. G. (2022). Challenges in Philippine basic education: A review of recent trends and policy responses. </w:t>
      </w:r>
      <w:r w:rsidRPr="00911412">
        <w:rPr>
          <w:rFonts w:ascii="Garamond" w:hAnsi="Garamond"/>
          <w:i/>
          <w:iCs/>
          <w:sz w:val="22"/>
          <w:szCs w:val="22"/>
          <w:lang w:val="en-US"/>
        </w:rPr>
        <w:t>Philippine Social Science Review</w:t>
      </w:r>
      <w:r w:rsidRPr="00911412">
        <w:rPr>
          <w:rFonts w:ascii="Garamond" w:hAnsi="Garamond"/>
          <w:sz w:val="22"/>
          <w:szCs w:val="22"/>
          <w:lang w:val="en-US"/>
        </w:rPr>
        <w:t xml:space="preserve">, </w:t>
      </w:r>
      <w:r w:rsidRPr="00911412">
        <w:rPr>
          <w:rFonts w:ascii="Garamond" w:hAnsi="Garamond"/>
          <w:i/>
          <w:iCs/>
          <w:sz w:val="22"/>
          <w:szCs w:val="22"/>
          <w:lang w:val="en-US"/>
        </w:rPr>
        <w:t>74</w:t>
      </w:r>
      <w:r w:rsidRPr="00911412">
        <w:rPr>
          <w:rFonts w:ascii="Garamond" w:hAnsi="Garamond"/>
          <w:sz w:val="22"/>
          <w:szCs w:val="22"/>
          <w:lang w:val="en-US"/>
        </w:rPr>
        <w:t>(1), 89–110.</w:t>
      </w:r>
    </w:p>
    <w:p w14:paraId="2FF603EA"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Schleicher, A. (2018). </w:t>
      </w:r>
      <w:r w:rsidRPr="00911412">
        <w:rPr>
          <w:rFonts w:ascii="Garamond" w:hAnsi="Garamond"/>
          <w:i/>
          <w:iCs/>
          <w:sz w:val="22"/>
          <w:szCs w:val="22"/>
          <w:lang w:val="en-US"/>
        </w:rPr>
        <w:t>World Class: How to Build a 21st-Century School System</w:t>
      </w:r>
      <w:r w:rsidRPr="00911412">
        <w:rPr>
          <w:rFonts w:ascii="Garamond" w:hAnsi="Garamond"/>
          <w:sz w:val="22"/>
          <w:szCs w:val="22"/>
          <w:lang w:val="en-US"/>
        </w:rPr>
        <w:t>. OECD Publishing. https://doi.org/10.1787/9789264300002-en</w:t>
      </w:r>
    </w:p>
    <w:p w14:paraId="0C00F93C"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Tupas, R. (2019). Language, inequality, and the National Achievement Test in the Philippines. </w:t>
      </w:r>
      <w:r w:rsidRPr="00911412">
        <w:rPr>
          <w:rFonts w:ascii="Garamond" w:hAnsi="Garamond"/>
          <w:i/>
          <w:iCs/>
          <w:sz w:val="22"/>
          <w:szCs w:val="22"/>
          <w:lang w:val="en-US"/>
        </w:rPr>
        <w:t>International Journal of the Sociology of Language</w:t>
      </w:r>
      <w:r w:rsidRPr="00911412">
        <w:rPr>
          <w:rFonts w:ascii="Garamond" w:hAnsi="Garamond"/>
          <w:sz w:val="22"/>
          <w:szCs w:val="22"/>
          <w:lang w:val="en-US"/>
        </w:rPr>
        <w:t xml:space="preserve">, </w:t>
      </w:r>
      <w:r w:rsidRPr="00911412">
        <w:rPr>
          <w:rFonts w:ascii="Garamond" w:hAnsi="Garamond"/>
          <w:i/>
          <w:iCs/>
          <w:sz w:val="22"/>
          <w:szCs w:val="22"/>
          <w:lang w:val="en-US"/>
        </w:rPr>
        <w:t>257</w:t>
      </w:r>
      <w:r w:rsidRPr="00911412">
        <w:rPr>
          <w:rFonts w:ascii="Garamond" w:hAnsi="Garamond"/>
          <w:sz w:val="22"/>
          <w:szCs w:val="22"/>
          <w:lang w:val="en-US"/>
        </w:rPr>
        <w:t xml:space="preserve">(1), 99–115. </w:t>
      </w:r>
      <w:hyperlink r:id="rId9" w:history="1">
        <w:r w:rsidR="00040ED9" w:rsidRPr="00911412">
          <w:rPr>
            <w:rStyle w:val="Hyperlink"/>
            <w:rFonts w:ascii="Garamond" w:hAnsi="Garamond"/>
            <w:color w:val="auto"/>
            <w:sz w:val="22"/>
            <w:szCs w:val="22"/>
            <w:lang w:val="en-US"/>
          </w:rPr>
          <w:t>https://doi.org/10.1515/ijsl-2019-2045</w:t>
        </w:r>
      </w:hyperlink>
    </w:p>
    <w:p w14:paraId="1C662261" w14:textId="77777777" w:rsidR="007F0518" w:rsidRPr="00911412" w:rsidRDefault="005D722A" w:rsidP="003731E0">
      <w:pPr>
        <w:ind w:left="720" w:hanging="720"/>
        <w:jc w:val="both"/>
        <w:rPr>
          <w:rFonts w:ascii="Garamond" w:hAnsi="Garamond"/>
          <w:sz w:val="22"/>
          <w:szCs w:val="22"/>
          <w:lang w:val="en-US"/>
        </w:rPr>
      </w:pPr>
      <w:r w:rsidRPr="00911412">
        <w:rPr>
          <w:rFonts w:ascii="Garamond" w:hAnsi="Garamond"/>
          <w:sz w:val="22"/>
          <w:szCs w:val="22"/>
          <w:lang w:val="en-US"/>
        </w:rPr>
        <w:t xml:space="preserve">Tyler, R. W. (1949). </w:t>
      </w:r>
      <w:r w:rsidRPr="00911412">
        <w:rPr>
          <w:rFonts w:ascii="Garamond" w:hAnsi="Garamond"/>
          <w:i/>
          <w:iCs/>
          <w:sz w:val="22"/>
          <w:szCs w:val="22"/>
          <w:lang w:val="en-US"/>
        </w:rPr>
        <w:t>Basic Principles of Curriculum and Instruction</w:t>
      </w:r>
      <w:r w:rsidRPr="00911412">
        <w:rPr>
          <w:rFonts w:ascii="Garamond" w:hAnsi="Garamond"/>
          <w:sz w:val="22"/>
          <w:szCs w:val="22"/>
          <w:lang w:val="en-US"/>
        </w:rPr>
        <w:t>. University of Chicago Press.</w:t>
      </w:r>
    </w:p>
    <w:sectPr w:rsidR="007F0518" w:rsidRPr="00911412" w:rsidSect="00040ED9">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6AAA" w14:textId="77777777" w:rsidR="00D81B90" w:rsidRDefault="00D81B90" w:rsidP="00F31B4F">
      <w:pPr>
        <w:spacing w:after="0" w:line="240" w:lineRule="auto"/>
      </w:pPr>
      <w:r>
        <w:separator/>
      </w:r>
    </w:p>
  </w:endnote>
  <w:endnote w:type="continuationSeparator" w:id="0">
    <w:p w14:paraId="6DDDB058" w14:textId="77777777" w:rsidR="00D81B90" w:rsidRDefault="00D81B90" w:rsidP="00F3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3AD0" w14:textId="77777777" w:rsidR="00F31B4F" w:rsidRDefault="00F31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111D" w14:textId="77777777" w:rsidR="00F31B4F" w:rsidRDefault="00F31B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61BB8" w14:textId="77777777" w:rsidR="00F31B4F" w:rsidRDefault="00F31B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C3E5A" w14:textId="77777777" w:rsidR="00D81B90" w:rsidRDefault="00D81B90" w:rsidP="00F31B4F">
      <w:pPr>
        <w:spacing w:after="0" w:line="240" w:lineRule="auto"/>
      </w:pPr>
      <w:r>
        <w:separator/>
      </w:r>
    </w:p>
  </w:footnote>
  <w:footnote w:type="continuationSeparator" w:id="0">
    <w:p w14:paraId="7EF2C901" w14:textId="77777777" w:rsidR="00D81B90" w:rsidRDefault="00D81B90" w:rsidP="00F3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695E" w14:textId="38869122" w:rsidR="00F31B4F" w:rsidRDefault="00F31B4F">
    <w:pPr>
      <w:pStyle w:val="Header"/>
    </w:pPr>
    <w:r>
      <w:rPr>
        <w:noProof/>
      </w:rPr>
      <w:pict w14:anchorId="31482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9522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8DAA" w14:textId="5C9C4AC2" w:rsidR="00F31B4F" w:rsidRDefault="00F31B4F">
    <w:pPr>
      <w:pStyle w:val="Header"/>
    </w:pPr>
    <w:r>
      <w:rPr>
        <w:noProof/>
      </w:rPr>
      <w:pict w14:anchorId="185A5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9522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B57B" w14:textId="1E5113F6" w:rsidR="00F31B4F" w:rsidRDefault="00F31B4F">
    <w:pPr>
      <w:pStyle w:val="Header"/>
    </w:pPr>
    <w:r>
      <w:rPr>
        <w:noProof/>
      </w:rPr>
      <w:pict w14:anchorId="751AC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9522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5175"/>
    <w:multiLevelType w:val="hybridMultilevel"/>
    <w:tmpl w:val="63BCA45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63649CF"/>
    <w:multiLevelType w:val="hybridMultilevel"/>
    <w:tmpl w:val="C9DA620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342E78FD"/>
    <w:multiLevelType w:val="multilevel"/>
    <w:tmpl w:val="1A20A7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Garamond" w:eastAsiaTheme="minorHAnsi" w:hAnsi="Garamond" w:cstheme="minorBidi"/>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1075987">
    <w:abstractNumId w:val="2"/>
  </w:num>
  <w:num w:numId="2" w16cid:durableId="313264566">
    <w:abstractNumId w:val="0"/>
  </w:num>
  <w:num w:numId="3" w16cid:durableId="833060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18"/>
    <w:rsid w:val="000218A9"/>
    <w:rsid w:val="00023FA2"/>
    <w:rsid w:val="00040ED9"/>
    <w:rsid w:val="00065172"/>
    <w:rsid w:val="000D58D9"/>
    <w:rsid w:val="001A6BEA"/>
    <w:rsid w:val="001B70A5"/>
    <w:rsid w:val="001C0D87"/>
    <w:rsid w:val="001D6A8E"/>
    <w:rsid w:val="002A4845"/>
    <w:rsid w:val="002B4865"/>
    <w:rsid w:val="002D7AB6"/>
    <w:rsid w:val="002E6D40"/>
    <w:rsid w:val="00355665"/>
    <w:rsid w:val="003731E0"/>
    <w:rsid w:val="0046224A"/>
    <w:rsid w:val="004D5FCD"/>
    <w:rsid w:val="0053094F"/>
    <w:rsid w:val="005C0530"/>
    <w:rsid w:val="005D2B89"/>
    <w:rsid w:val="005D59ED"/>
    <w:rsid w:val="005D722A"/>
    <w:rsid w:val="005E1BF6"/>
    <w:rsid w:val="005E650F"/>
    <w:rsid w:val="006063E7"/>
    <w:rsid w:val="006157DD"/>
    <w:rsid w:val="00685B41"/>
    <w:rsid w:val="006C233A"/>
    <w:rsid w:val="00704FA3"/>
    <w:rsid w:val="0072676D"/>
    <w:rsid w:val="00774762"/>
    <w:rsid w:val="007B483C"/>
    <w:rsid w:val="007B7697"/>
    <w:rsid w:val="007F0518"/>
    <w:rsid w:val="008E6EDF"/>
    <w:rsid w:val="00911412"/>
    <w:rsid w:val="009B1194"/>
    <w:rsid w:val="009B48D5"/>
    <w:rsid w:val="009D1F4C"/>
    <w:rsid w:val="00A540A5"/>
    <w:rsid w:val="00A646E4"/>
    <w:rsid w:val="00A72B51"/>
    <w:rsid w:val="00AE7401"/>
    <w:rsid w:val="00B15C48"/>
    <w:rsid w:val="00B67AE0"/>
    <w:rsid w:val="00B70DA7"/>
    <w:rsid w:val="00BC5A63"/>
    <w:rsid w:val="00C1380B"/>
    <w:rsid w:val="00C351BF"/>
    <w:rsid w:val="00C76736"/>
    <w:rsid w:val="00C9739D"/>
    <w:rsid w:val="00CB4CC7"/>
    <w:rsid w:val="00CE65B0"/>
    <w:rsid w:val="00D7077B"/>
    <w:rsid w:val="00D73770"/>
    <w:rsid w:val="00D81B90"/>
    <w:rsid w:val="00DE7C62"/>
    <w:rsid w:val="00E236D8"/>
    <w:rsid w:val="00E36562"/>
    <w:rsid w:val="00EB594C"/>
    <w:rsid w:val="00F12B48"/>
    <w:rsid w:val="00F31B4F"/>
    <w:rsid w:val="00F433DF"/>
    <w:rsid w:val="00F8576F"/>
    <w:rsid w:val="00FA5268"/>
    <w:rsid w:val="00FB0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DF649"/>
  <w15:chartTrackingRefBased/>
  <w15:docId w15:val="{A3AB7F5C-6F71-4C0D-B799-DD6EEC0B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18"/>
    <w:pPr>
      <w:spacing w:line="276" w:lineRule="auto"/>
    </w:pPr>
    <w:rPr>
      <w:kern w:val="2"/>
      <w:sz w:val="24"/>
      <w:szCs w:val="24"/>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51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7F0518"/>
    <w:rPr>
      <w:color w:val="0563C1" w:themeColor="hyperlink"/>
      <w:u w:val="single"/>
    </w:rPr>
  </w:style>
  <w:style w:type="table" w:styleId="TableGrid">
    <w:name w:val="Table Grid"/>
    <w:basedOn w:val="TableNormal"/>
    <w:uiPriority w:val="39"/>
    <w:rsid w:val="00DE7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218A9"/>
    <w:pPr>
      <w:spacing w:after="0" w:line="240" w:lineRule="auto"/>
    </w:pPr>
    <w:rPr>
      <w:rFonts w:ascii="Aptos" w:eastAsia="Aptos" w:hAnsi="Aptos" w:cs="Aptos"/>
      <w:sz w:val="24"/>
      <w:szCs w:val="24"/>
      <w:lang w:val="en-PH"/>
    </w:rPr>
  </w:style>
  <w:style w:type="table" w:styleId="PlainTable2">
    <w:name w:val="Plain Table 2"/>
    <w:basedOn w:val="TableNormal"/>
    <w:uiPriority w:val="42"/>
    <w:rsid w:val="000218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B1194"/>
    <w:rPr>
      <w:b/>
      <w:bCs/>
    </w:rPr>
  </w:style>
  <w:style w:type="paragraph" w:styleId="ListParagraph">
    <w:name w:val="List Paragraph"/>
    <w:basedOn w:val="Normal"/>
    <w:uiPriority w:val="34"/>
    <w:qFormat/>
    <w:rsid w:val="001C0D87"/>
    <w:pPr>
      <w:ind w:left="720"/>
      <w:contextualSpacing/>
    </w:pPr>
  </w:style>
  <w:style w:type="character" w:styleId="UnresolvedMention">
    <w:name w:val="Unresolved Mention"/>
    <w:basedOn w:val="DefaultParagraphFont"/>
    <w:uiPriority w:val="99"/>
    <w:semiHidden/>
    <w:unhideWhenUsed/>
    <w:rsid w:val="004D5FCD"/>
    <w:rPr>
      <w:color w:val="605E5C"/>
      <w:shd w:val="clear" w:color="auto" w:fill="E1DFDD"/>
    </w:rPr>
  </w:style>
  <w:style w:type="paragraph" w:styleId="Header">
    <w:name w:val="header"/>
    <w:basedOn w:val="Normal"/>
    <w:link w:val="HeaderChar"/>
    <w:uiPriority w:val="99"/>
    <w:unhideWhenUsed/>
    <w:rsid w:val="00F31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B4F"/>
    <w:rPr>
      <w:kern w:val="2"/>
      <w:sz w:val="24"/>
      <w:szCs w:val="24"/>
      <w:lang w:val="en-PH"/>
      <w14:ligatures w14:val="standardContextual"/>
    </w:rPr>
  </w:style>
  <w:style w:type="paragraph" w:styleId="Footer">
    <w:name w:val="footer"/>
    <w:basedOn w:val="Normal"/>
    <w:link w:val="FooterChar"/>
    <w:uiPriority w:val="99"/>
    <w:unhideWhenUsed/>
    <w:rsid w:val="00F31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B4F"/>
    <w:rPr>
      <w:kern w:val="2"/>
      <w:sz w:val="24"/>
      <w:szCs w:val="24"/>
      <w:lang w:val="en-P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36793">
      <w:bodyDiv w:val="1"/>
      <w:marLeft w:val="0"/>
      <w:marRight w:val="0"/>
      <w:marTop w:val="0"/>
      <w:marBottom w:val="0"/>
      <w:divBdr>
        <w:top w:val="none" w:sz="0" w:space="0" w:color="auto"/>
        <w:left w:val="none" w:sz="0" w:space="0" w:color="auto"/>
        <w:bottom w:val="none" w:sz="0" w:space="0" w:color="auto"/>
        <w:right w:val="none" w:sz="0" w:space="0" w:color="auto"/>
      </w:divBdr>
    </w:div>
    <w:div w:id="429544082">
      <w:bodyDiv w:val="1"/>
      <w:marLeft w:val="0"/>
      <w:marRight w:val="0"/>
      <w:marTop w:val="0"/>
      <w:marBottom w:val="0"/>
      <w:divBdr>
        <w:top w:val="none" w:sz="0" w:space="0" w:color="auto"/>
        <w:left w:val="none" w:sz="0" w:space="0" w:color="auto"/>
        <w:bottom w:val="none" w:sz="0" w:space="0" w:color="auto"/>
        <w:right w:val="none" w:sz="0" w:space="0" w:color="auto"/>
      </w:divBdr>
    </w:div>
    <w:div w:id="75512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ped.gov.p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515/ijsl-2019-2045"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7E091-A049-489A-9FC5-830E863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2640</Words>
  <Characters>15049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Editor-22</cp:lastModifiedBy>
  <cp:revision>26</cp:revision>
  <cp:lastPrinted>2025-05-30T14:00:00Z</cp:lastPrinted>
  <dcterms:created xsi:type="dcterms:W3CDTF">2025-06-06T11:29:00Z</dcterms:created>
  <dcterms:modified xsi:type="dcterms:W3CDTF">2025-06-07T08:29:00Z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b0f0043c-bf8e-4309-aea6-a4f423407f26</vt:lpwstr>
  </property>
</Properties>
</file>