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FCA95" w14:textId="77777777" w:rsidR="00ED1F8E" w:rsidRPr="00ED1F8E" w:rsidRDefault="00ED1F8E" w:rsidP="00ED1F8E">
      <w:pPr>
        <w:jc w:val="center"/>
        <w:rPr>
          <w:rFonts w:ascii="Arial" w:hAnsi="Arial" w:cs="Arial"/>
          <w:b/>
          <w:bCs/>
          <w:i/>
          <w:iCs/>
          <w:szCs w:val="20"/>
          <w:u w:val="single"/>
          <w:lang w:val="en-US"/>
        </w:rPr>
      </w:pPr>
      <w:r w:rsidRPr="00ED1F8E">
        <w:rPr>
          <w:rFonts w:ascii="Arial" w:hAnsi="Arial" w:cs="Arial"/>
          <w:b/>
          <w:bCs/>
          <w:i/>
          <w:iCs/>
          <w:szCs w:val="20"/>
          <w:u w:val="single"/>
          <w:lang w:val="en-US"/>
        </w:rPr>
        <w:t>Review Article</w:t>
      </w:r>
    </w:p>
    <w:p w14:paraId="313898B6" w14:textId="77777777" w:rsidR="00ED1F8E" w:rsidRDefault="00ED1F8E" w:rsidP="001F54FB">
      <w:pPr>
        <w:jc w:val="center"/>
        <w:rPr>
          <w:rFonts w:ascii="Arial" w:hAnsi="Arial" w:cs="Arial"/>
          <w:b/>
          <w:szCs w:val="20"/>
          <w:lang w:val="en-US"/>
        </w:rPr>
      </w:pPr>
    </w:p>
    <w:p w14:paraId="6A03FB56" w14:textId="11B03D9E" w:rsidR="00E6638F" w:rsidRPr="00E05A3F" w:rsidRDefault="00802F64" w:rsidP="001F54FB">
      <w:pPr>
        <w:jc w:val="center"/>
        <w:rPr>
          <w:rFonts w:ascii="Arial" w:hAnsi="Arial" w:cs="Arial"/>
          <w:b/>
          <w:szCs w:val="20"/>
          <w:lang w:val="en-US"/>
        </w:rPr>
      </w:pPr>
      <w:r w:rsidRPr="00E05A3F">
        <w:rPr>
          <w:rFonts w:ascii="Arial" w:hAnsi="Arial" w:cs="Arial"/>
          <w:b/>
          <w:szCs w:val="20"/>
          <w:lang w:val="en-US"/>
        </w:rPr>
        <w:t>BIOFORTIFICATION OF VEGETABLE CROPS: A MECHANISM TO OPTIMIZE A HIDDEN HUNGER</w:t>
      </w:r>
    </w:p>
    <w:p w14:paraId="74536035" w14:textId="77777777" w:rsidR="008C448A" w:rsidRPr="00CC1ABE" w:rsidRDefault="008C448A" w:rsidP="00546A57">
      <w:pPr>
        <w:spacing w:line="360" w:lineRule="auto"/>
        <w:jc w:val="center"/>
        <w:rPr>
          <w:rFonts w:ascii="Arial" w:hAnsi="Arial" w:cs="Arial"/>
          <w:b/>
          <w:sz w:val="20"/>
          <w:szCs w:val="20"/>
        </w:rPr>
      </w:pPr>
    </w:p>
    <w:p w14:paraId="3981C0CF" w14:textId="0026E35F" w:rsidR="00E6638F" w:rsidRPr="00CC1ABE" w:rsidRDefault="00E6638F" w:rsidP="00E6638F">
      <w:pPr>
        <w:rPr>
          <w:rFonts w:ascii="Arial" w:hAnsi="Arial" w:cs="Arial"/>
          <w:b/>
          <w:szCs w:val="20"/>
          <w:lang w:val="en-US"/>
        </w:rPr>
      </w:pPr>
      <w:r w:rsidRPr="00CC1ABE">
        <w:rPr>
          <w:rFonts w:ascii="Arial" w:hAnsi="Arial" w:cs="Arial"/>
          <w:b/>
          <w:szCs w:val="20"/>
          <w:lang w:val="en-US"/>
        </w:rPr>
        <w:t>Abstract:</w:t>
      </w:r>
    </w:p>
    <w:p w14:paraId="64F23817" w14:textId="79C2486B" w:rsidR="00802F64" w:rsidRPr="00CC1ABE" w:rsidRDefault="00E6638F" w:rsidP="00CA389B">
      <w:pPr>
        <w:spacing w:line="360" w:lineRule="auto"/>
        <w:jc w:val="both"/>
        <w:rPr>
          <w:rFonts w:ascii="Arial" w:hAnsi="Arial" w:cs="Arial"/>
          <w:sz w:val="20"/>
          <w:szCs w:val="20"/>
          <w:lang w:val="en-US"/>
        </w:rPr>
      </w:pPr>
      <w:r w:rsidRPr="00CC1ABE">
        <w:rPr>
          <w:rFonts w:ascii="Arial" w:hAnsi="Arial" w:cs="Arial"/>
          <w:sz w:val="20"/>
          <w:szCs w:val="20"/>
          <w:lang w:val="en-US"/>
        </w:rPr>
        <w:tab/>
        <w:t>Hidden hunger, also known as micronutrient deficiency, affects approximately 2 billion individuals worldwide and is often disregarded or masked by hunger caused by energy shortages.</w:t>
      </w:r>
      <w:r w:rsidRPr="00CC1ABE">
        <w:rPr>
          <w:rFonts w:ascii="Arial" w:hAnsi="Arial" w:cs="Arial"/>
          <w:sz w:val="20"/>
          <w:szCs w:val="20"/>
        </w:rPr>
        <w:t xml:space="preserve"> </w:t>
      </w:r>
      <w:r w:rsidRPr="00CC1ABE">
        <w:rPr>
          <w:rFonts w:ascii="Arial" w:hAnsi="Arial" w:cs="Arial"/>
          <w:sz w:val="20"/>
          <w:szCs w:val="20"/>
          <w:lang w:val="en-US"/>
        </w:rPr>
        <w:t>This deficiency in important vitamins and minerals can have long-term, irreversible health effects, as well as socioeconomic consequences that can erode a person's well-being and development.</w:t>
      </w:r>
      <w:r w:rsidR="00662553" w:rsidRPr="00CC1ABE">
        <w:rPr>
          <w:rFonts w:ascii="Arial" w:hAnsi="Arial" w:cs="Arial"/>
          <w:sz w:val="20"/>
          <w:szCs w:val="20"/>
        </w:rPr>
        <w:t xml:space="preserve"> </w:t>
      </w:r>
      <w:r w:rsidR="00662553" w:rsidRPr="00CC1ABE">
        <w:rPr>
          <w:rFonts w:ascii="Arial" w:hAnsi="Arial" w:cs="Arial"/>
          <w:sz w:val="20"/>
          <w:szCs w:val="20"/>
          <w:lang w:val="en-US"/>
        </w:rPr>
        <w:t>Poor diet, sickness, decreased absorption, and higher micronutrient needs during particular life phases, such as pregnancy, lactation, and infancy, are among the reasons of hidden hunger, which can "invisibly" influence a population's health and development.</w:t>
      </w:r>
      <w:r w:rsidR="00CA389B" w:rsidRPr="00CC1ABE">
        <w:rPr>
          <w:rFonts w:ascii="Arial" w:hAnsi="Arial" w:cs="Arial"/>
          <w:sz w:val="20"/>
          <w:szCs w:val="20"/>
        </w:rPr>
        <w:t xml:space="preserve"> </w:t>
      </w:r>
      <w:r w:rsidR="00CA389B" w:rsidRPr="00CC1ABE">
        <w:rPr>
          <w:rFonts w:ascii="Arial" w:hAnsi="Arial" w:cs="Arial"/>
          <w:sz w:val="20"/>
          <w:szCs w:val="20"/>
          <w:lang w:val="en-US"/>
        </w:rPr>
        <w:t>Biofortification, a process of breeding nutrients into food crops that provides a relatively cost-effective, sustainable, and long-term means of delivering more micronutrients to rural populations in developing countries, is one such approach to combating the issue of micronutrient malnutrition. Vegetables are crucial pillars of proper nutrition because they contain phytochemicals, vitamins, antioxidants, and minerals.</w:t>
      </w:r>
      <w:r w:rsidR="00CA389B" w:rsidRPr="00CC1ABE">
        <w:rPr>
          <w:rFonts w:ascii="Arial" w:hAnsi="Arial" w:cs="Arial"/>
          <w:sz w:val="20"/>
          <w:szCs w:val="20"/>
        </w:rPr>
        <w:t xml:space="preserve"> </w:t>
      </w:r>
      <w:r w:rsidR="00CA389B" w:rsidRPr="00CC1ABE">
        <w:rPr>
          <w:rFonts w:ascii="Arial" w:hAnsi="Arial" w:cs="Arial"/>
          <w:sz w:val="20"/>
          <w:szCs w:val="20"/>
          <w:lang w:val="en-US"/>
        </w:rPr>
        <w:t>The current necessity for developing countries to tackle different health difficulties is biofortification of vegetables with vitamins and minerals.</w:t>
      </w:r>
      <w:r w:rsidR="00CA389B" w:rsidRPr="00CC1ABE">
        <w:rPr>
          <w:rFonts w:ascii="Arial" w:hAnsi="Arial" w:cs="Arial"/>
          <w:sz w:val="20"/>
          <w:szCs w:val="20"/>
        </w:rPr>
        <w:t xml:space="preserve"> </w:t>
      </w:r>
      <w:r w:rsidR="00CA389B" w:rsidRPr="00CC1ABE">
        <w:rPr>
          <w:rFonts w:ascii="Arial" w:hAnsi="Arial" w:cs="Arial"/>
          <w:sz w:val="20"/>
          <w:szCs w:val="20"/>
          <w:lang w:val="en-US"/>
        </w:rPr>
        <w:t>Currently, agronomic biofortification, conventional plant breeding and genetic modification of vegetable crops are three common approaches.</w:t>
      </w:r>
      <w:r w:rsidR="00CA389B" w:rsidRPr="00CC1ABE">
        <w:rPr>
          <w:rFonts w:ascii="Arial" w:hAnsi="Arial" w:cs="Arial"/>
          <w:sz w:val="20"/>
          <w:szCs w:val="20"/>
        </w:rPr>
        <w:t xml:space="preserve"> </w:t>
      </w:r>
      <w:r w:rsidR="00CA389B" w:rsidRPr="00CC1ABE">
        <w:rPr>
          <w:rFonts w:ascii="Arial" w:hAnsi="Arial" w:cs="Arial"/>
          <w:sz w:val="20"/>
          <w:szCs w:val="20"/>
          <w:lang w:val="en-US"/>
        </w:rPr>
        <w:t>These methods can significantly increase the level of minerals and vitamins in various vegetables.</w:t>
      </w:r>
      <w:r w:rsidR="00EF0857" w:rsidRPr="00CC1ABE">
        <w:rPr>
          <w:rFonts w:ascii="Arial" w:hAnsi="Arial" w:cs="Arial"/>
          <w:sz w:val="20"/>
          <w:szCs w:val="20"/>
        </w:rPr>
        <w:t xml:space="preserve"> This paper reviews se</w:t>
      </w:r>
      <w:bookmarkStart w:id="0" w:name="_GoBack"/>
      <w:bookmarkEnd w:id="0"/>
      <w:r w:rsidR="00EF0857" w:rsidRPr="00CC1ABE">
        <w:rPr>
          <w:rFonts w:ascii="Arial" w:hAnsi="Arial" w:cs="Arial"/>
          <w:sz w:val="20"/>
          <w:szCs w:val="20"/>
        </w:rPr>
        <w:t>veral publications that looked into biofortification with respect to the environment, sustainability, human nutrition, trends, future prospects around the world.</w:t>
      </w:r>
    </w:p>
    <w:p w14:paraId="06EF1E73" w14:textId="237F1546" w:rsidR="00E6638F" w:rsidRPr="00CC1ABE" w:rsidRDefault="00E6638F" w:rsidP="00E6638F">
      <w:pPr>
        <w:spacing w:line="360" w:lineRule="auto"/>
        <w:jc w:val="both"/>
        <w:rPr>
          <w:rFonts w:ascii="Arial" w:hAnsi="Arial" w:cs="Arial"/>
          <w:sz w:val="20"/>
          <w:szCs w:val="20"/>
          <w:lang w:val="en-US"/>
        </w:rPr>
      </w:pPr>
      <w:r w:rsidRPr="00CC1ABE">
        <w:rPr>
          <w:rFonts w:ascii="Arial" w:hAnsi="Arial" w:cs="Arial"/>
          <w:b/>
          <w:szCs w:val="20"/>
          <w:lang w:val="en-US"/>
        </w:rPr>
        <w:t>Keywords:</w:t>
      </w:r>
      <w:r w:rsidRPr="00CC1ABE">
        <w:rPr>
          <w:rFonts w:ascii="Arial" w:hAnsi="Arial" w:cs="Arial"/>
          <w:szCs w:val="20"/>
          <w:lang w:val="en-US"/>
        </w:rPr>
        <w:t xml:space="preserve"> </w:t>
      </w:r>
      <w:r w:rsidR="00662553" w:rsidRPr="00CC1ABE">
        <w:rPr>
          <w:rFonts w:ascii="Arial" w:hAnsi="Arial" w:cs="Arial"/>
          <w:sz w:val="20"/>
          <w:szCs w:val="20"/>
          <w:lang w:val="en-US"/>
        </w:rPr>
        <w:t>Malnutrition, Hidden hunger, Biofortification, Vegetables, Minerals.</w:t>
      </w:r>
    </w:p>
    <w:p w14:paraId="3D7F6DC7" w14:textId="2258B8B0" w:rsidR="00802F64" w:rsidRPr="00CC1ABE" w:rsidRDefault="00CC1ABE" w:rsidP="00CC1ABE">
      <w:pPr>
        <w:spacing w:line="360" w:lineRule="auto"/>
        <w:jc w:val="both"/>
        <w:rPr>
          <w:rFonts w:ascii="Arial" w:hAnsi="Arial" w:cs="Arial"/>
          <w:b/>
          <w:szCs w:val="20"/>
          <w:lang w:val="en-US"/>
        </w:rPr>
      </w:pPr>
      <w:r>
        <w:rPr>
          <w:rFonts w:ascii="Arial" w:hAnsi="Arial" w:cs="Arial"/>
          <w:b/>
          <w:szCs w:val="20"/>
          <w:lang w:val="en-US"/>
        </w:rPr>
        <w:t>1.</w:t>
      </w:r>
      <w:r w:rsidR="0052208B" w:rsidRPr="00CC1ABE">
        <w:rPr>
          <w:rFonts w:ascii="Arial" w:hAnsi="Arial" w:cs="Arial"/>
          <w:b/>
          <w:szCs w:val="20"/>
          <w:lang w:val="en-US"/>
        </w:rPr>
        <w:t>Introduction:</w:t>
      </w:r>
    </w:p>
    <w:p w14:paraId="30426742" w14:textId="456EB6A3" w:rsidR="00A37341" w:rsidRPr="00CC1ABE" w:rsidRDefault="001E6795" w:rsidP="007E38B9">
      <w:pPr>
        <w:spacing w:line="360" w:lineRule="auto"/>
        <w:jc w:val="both"/>
        <w:rPr>
          <w:rFonts w:ascii="Arial" w:hAnsi="Arial" w:cs="Arial"/>
          <w:sz w:val="20"/>
          <w:szCs w:val="20"/>
        </w:rPr>
      </w:pPr>
      <w:r w:rsidRPr="00CC1ABE">
        <w:rPr>
          <w:rFonts w:ascii="Arial" w:hAnsi="Arial" w:cs="Arial"/>
          <w:sz w:val="20"/>
          <w:szCs w:val="20"/>
          <w:lang w:val="en-US"/>
        </w:rPr>
        <w:tab/>
        <w:t>The increasing population poses a global danger to nutritional security, underscoring the need for practical and affordable solutions to be implemented in the global food system. It is estimated that over 2 billion individuals worldwide suffer from deficiencies in important micronutrients like zinc and iron.</w:t>
      </w:r>
      <w:r w:rsidRPr="00CC1ABE">
        <w:rPr>
          <w:rFonts w:ascii="Arial" w:hAnsi="Arial" w:cs="Arial"/>
          <w:sz w:val="20"/>
          <w:szCs w:val="20"/>
        </w:rPr>
        <w:t xml:space="preserve"> </w:t>
      </w:r>
      <w:r w:rsidR="005642D9" w:rsidRPr="00CC1ABE">
        <w:rPr>
          <w:rFonts w:ascii="Arial" w:hAnsi="Arial" w:cs="Arial"/>
          <w:sz w:val="20"/>
          <w:szCs w:val="20"/>
          <w:lang w:val="en-US"/>
        </w:rPr>
        <w:t>A worldwide issue of malnourishment is brought about by shortages in certain micronutrients, which impact human health by making vitamins and other micronutrients insufficiently available. Half of the world's population suffers from a distinct kind of dietary insufficiency, with emerging nations being the most affected</w:t>
      </w:r>
      <w:r w:rsidR="005642D9" w:rsidRPr="00CC1ABE">
        <w:rPr>
          <w:rFonts w:ascii="Arial" w:hAnsi="Arial" w:cs="Arial"/>
          <w:sz w:val="20"/>
          <w:szCs w:val="20"/>
        </w:rPr>
        <w:t xml:space="preserve"> (Ortiz-Monasterio </w:t>
      </w:r>
      <w:r w:rsidR="005642D9" w:rsidRPr="00CC1ABE">
        <w:rPr>
          <w:rFonts w:ascii="Arial" w:hAnsi="Arial" w:cs="Arial"/>
          <w:i/>
          <w:sz w:val="20"/>
          <w:szCs w:val="20"/>
        </w:rPr>
        <w:t>et al.,</w:t>
      </w:r>
      <w:r w:rsidR="005642D9" w:rsidRPr="00CC1ABE">
        <w:rPr>
          <w:rFonts w:ascii="Arial" w:hAnsi="Arial" w:cs="Arial"/>
          <w:sz w:val="20"/>
          <w:szCs w:val="20"/>
        </w:rPr>
        <w:t xml:space="preserve"> 2007)</w:t>
      </w:r>
      <w:r w:rsidR="005642D9" w:rsidRPr="00CC1ABE">
        <w:rPr>
          <w:rFonts w:ascii="Arial" w:hAnsi="Arial" w:cs="Arial"/>
          <w:sz w:val="20"/>
          <w:szCs w:val="20"/>
          <w:lang w:val="en-US"/>
        </w:rPr>
        <w:t>.</w:t>
      </w:r>
      <w:r w:rsidR="005642D9" w:rsidRPr="00CC1ABE">
        <w:rPr>
          <w:rFonts w:ascii="Arial" w:hAnsi="Arial" w:cs="Arial"/>
          <w:sz w:val="20"/>
          <w:szCs w:val="20"/>
        </w:rPr>
        <w:t xml:space="preserve"> The hunger and malnutrition are biggest challenges due to the ever-increasing world population. A diet with insufficient quantity of one or more nutrients can lead to malnutrition.</w:t>
      </w:r>
      <w:r w:rsidR="00A37341" w:rsidRPr="00CC1ABE">
        <w:rPr>
          <w:rFonts w:ascii="Arial" w:hAnsi="Arial" w:cs="Arial"/>
          <w:sz w:val="20"/>
          <w:szCs w:val="20"/>
        </w:rPr>
        <w:t xml:space="preserve"> The World Health Organization defines malnutrition as deficiencies, excesses, or imbalances in the consumption of energy, protein, and other nutrients and it encompasses both undernutrition and overnutrition. </w:t>
      </w:r>
      <w:r w:rsidR="00675A4F" w:rsidRPr="00CC1ABE">
        <w:rPr>
          <w:rFonts w:ascii="Arial" w:hAnsi="Arial" w:cs="Arial"/>
          <w:sz w:val="20"/>
          <w:szCs w:val="20"/>
        </w:rPr>
        <w:t>M</w:t>
      </w:r>
      <w:r w:rsidR="0052208B" w:rsidRPr="00CC1ABE">
        <w:rPr>
          <w:rFonts w:ascii="Arial" w:hAnsi="Arial" w:cs="Arial"/>
          <w:sz w:val="20"/>
          <w:szCs w:val="20"/>
        </w:rPr>
        <w:t xml:space="preserve">icronutrient deficiency of the population's Iron, zinc, iodine, and selenium account for 60%, 30%, and 15%, respectively (Gomathi </w:t>
      </w:r>
      <w:r w:rsidR="0052208B" w:rsidRPr="00CC1ABE">
        <w:rPr>
          <w:rFonts w:ascii="Arial" w:hAnsi="Arial" w:cs="Arial"/>
          <w:i/>
          <w:sz w:val="20"/>
          <w:szCs w:val="20"/>
        </w:rPr>
        <w:t>et al.,</w:t>
      </w:r>
      <w:r w:rsidR="0052208B" w:rsidRPr="00CC1ABE">
        <w:rPr>
          <w:rFonts w:ascii="Arial" w:hAnsi="Arial" w:cs="Arial"/>
          <w:sz w:val="20"/>
          <w:szCs w:val="20"/>
        </w:rPr>
        <w:t xml:space="preserve"> 2017).</w:t>
      </w:r>
    </w:p>
    <w:p w14:paraId="36FFF966" w14:textId="77777777" w:rsidR="003C0D32" w:rsidRPr="00CC1ABE" w:rsidRDefault="00A37341" w:rsidP="007E38B9">
      <w:pPr>
        <w:spacing w:line="360" w:lineRule="auto"/>
        <w:jc w:val="both"/>
        <w:rPr>
          <w:rFonts w:ascii="Arial" w:hAnsi="Arial" w:cs="Arial"/>
          <w:sz w:val="20"/>
          <w:szCs w:val="20"/>
        </w:rPr>
      </w:pPr>
      <w:r w:rsidRPr="00CC1ABE">
        <w:rPr>
          <w:rFonts w:ascii="Arial" w:hAnsi="Arial" w:cs="Arial"/>
          <w:sz w:val="20"/>
          <w:szCs w:val="20"/>
        </w:rPr>
        <w:lastRenderedPageBreak/>
        <w:tab/>
      </w:r>
      <w:r w:rsidR="0052208B" w:rsidRPr="00CC1ABE">
        <w:rPr>
          <w:rFonts w:ascii="Arial" w:hAnsi="Arial" w:cs="Arial"/>
          <w:sz w:val="20"/>
          <w:szCs w:val="20"/>
        </w:rPr>
        <w:t>Furthermore, an additional 2 billion individuals worldwide suffer from a different kind of hunger called hidden hunger, which is brought on by inadequate daily dietary intake of vital micronutrients (</w:t>
      </w:r>
      <w:proofErr w:type="spellStart"/>
      <w:r w:rsidR="0052208B" w:rsidRPr="00CC1ABE">
        <w:rPr>
          <w:rFonts w:ascii="Arial" w:hAnsi="Arial" w:cs="Arial"/>
          <w:sz w:val="20"/>
          <w:szCs w:val="20"/>
        </w:rPr>
        <w:t>Muthayya</w:t>
      </w:r>
      <w:proofErr w:type="spellEnd"/>
      <w:r w:rsidR="0052208B" w:rsidRPr="00CC1ABE">
        <w:rPr>
          <w:rFonts w:ascii="Arial" w:hAnsi="Arial" w:cs="Arial"/>
          <w:sz w:val="20"/>
          <w:szCs w:val="20"/>
        </w:rPr>
        <w:t xml:space="preserve"> </w:t>
      </w:r>
      <w:r w:rsidR="0052208B" w:rsidRPr="00CC1ABE">
        <w:rPr>
          <w:rFonts w:ascii="Arial" w:hAnsi="Arial" w:cs="Arial"/>
          <w:i/>
          <w:sz w:val="20"/>
          <w:szCs w:val="20"/>
        </w:rPr>
        <w:t>et al.,</w:t>
      </w:r>
      <w:r w:rsidR="0052208B" w:rsidRPr="00CC1ABE">
        <w:rPr>
          <w:rFonts w:ascii="Arial" w:hAnsi="Arial" w:cs="Arial"/>
          <w:sz w:val="20"/>
          <w:szCs w:val="20"/>
        </w:rPr>
        <w:t xml:space="preserve"> 2013, Gillespie </w:t>
      </w:r>
      <w:r w:rsidR="0052208B" w:rsidRPr="00CC1ABE">
        <w:rPr>
          <w:rFonts w:ascii="Arial" w:hAnsi="Arial" w:cs="Arial"/>
          <w:i/>
          <w:sz w:val="20"/>
          <w:szCs w:val="20"/>
        </w:rPr>
        <w:t>et al.,</w:t>
      </w:r>
      <w:r w:rsidR="0052208B" w:rsidRPr="00CC1ABE">
        <w:rPr>
          <w:rFonts w:ascii="Arial" w:hAnsi="Arial" w:cs="Arial"/>
          <w:sz w:val="20"/>
          <w:szCs w:val="20"/>
        </w:rPr>
        <w:t xml:space="preserve"> 2016). </w:t>
      </w:r>
      <w:r w:rsidRPr="00CC1ABE">
        <w:rPr>
          <w:rFonts w:ascii="Arial" w:hAnsi="Arial" w:cs="Arial"/>
          <w:sz w:val="20"/>
          <w:szCs w:val="20"/>
        </w:rPr>
        <w:t>Hidden Hunger</w:t>
      </w:r>
      <w:r w:rsidR="0052208B" w:rsidRPr="00CC1ABE">
        <w:rPr>
          <w:rFonts w:ascii="Arial" w:hAnsi="Arial" w:cs="Arial"/>
          <w:sz w:val="20"/>
          <w:szCs w:val="20"/>
        </w:rPr>
        <w:t xml:space="preserve"> is </w:t>
      </w:r>
      <w:r w:rsidRPr="00CC1ABE">
        <w:rPr>
          <w:rFonts w:ascii="Arial" w:hAnsi="Arial" w:cs="Arial"/>
          <w:sz w:val="20"/>
          <w:szCs w:val="20"/>
        </w:rPr>
        <w:t>a type of undernutrition, results when intake and absorption of vitamins and minerals (such as zinc, iodine, and iron) are insufficient to support optimal health and development. Its effects can be devasting, resulting in poor health, low productivity, mental impairment, and even death.</w:t>
      </w:r>
      <w:r w:rsidR="0052208B" w:rsidRPr="00CC1ABE">
        <w:rPr>
          <w:rFonts w:ascii="Arial" w:hAnsi="Arial" w:cs="Arial"/>
          <w:sz w:val="20"/>
          <w:szCs w:val="20"/>
        </w:rPr>
        <w:t xml:space="preserve"> One solution is to use nutritional supplements, but these are not cheap. Adding necessary micronutrients to basic foods is one strategy to combat this hidden hunger. A number of agricultural techniques, including micronutrient fertilization, crop variety breeding for increased micronutrient status, transgenic production, and biofortification, can all help reduce hidden hunger. Many strategies are being tried to alleviate this hidden hunger.</w:t>
      </w:r>
      <w:r w:rsidR="003C0D32" w:rsidRPr="00CC1ABE">
        <w:rPr>
          <w:rFonts w:ascii="Arial" w:hAnsi="Arial" w:cs="Arial"/>
          <w:sz w:val="20"/>
          <w:szCs w:val="20"/>
        </w:rPr>
        <w:t xml:space="preserve"> In addition to dietary diversity, food fortification, and supplementation, which are presently used to address micronutrient deficiencies in human diets, biofortification offers a sustainable solution to prevent micronutrient malnutrition (Ramesh </w:t>
      </w:r>
      <w:r w:rsidR="003C0D32" w:rsidRPr="00CC1ABE">
        <w:rPr>
          <w:rFonts w:ascii="Arial" w:hAnsi="Arial" w:cs="Arial"/>
          <w:i/>
          <w:sz w:val="20"/>
          <w:szCs w:val="20"/>
        </w:rPr>
        <w:t>et al.,</w:t>
      </w:r>
      <w:r w:rsidR="003C0D32" w:rsidRPr="00CC1ABE">
        <w:rPr>
          <w:rFonts w:ascii="Arial" w:hAnsi="Arial" w:cs="Arial"/>
          <w:sz w:val="20"/>
          <w:szCs w:val="20"/>
        </w:rPr>
        <w:t xml:space="preserve"> 2018). </w:t>
      </w:r>
    </w:p>
    <w:p w14:paraId="262FE911" w14:textId="215FCAC9" w:rsidR="003C0D32" w:rsidRPr="00CC1ABE" w:rsidRDefault="003C0D32" w:rsidP="007E38B9">
      <w:pPr>
        <w:spacing w:line="360" w:lineRule="auto"/>
        <w:jc w:val="both"/>
        <w:rPr>
          <w:rFonts w:ascii="Arial" w:hAnsi="Arial" w:cs="Arial"/>
          <w:sz w:val="20"/>
          <w:szCs w:val="20"/>
        </w:rPr>
      </w:pPr>
      <w:r w:rsidRPr="00CC1ABE">
        <w:rPr>
          <w:rFonts w:ascii="Arial" w:hAnsi="Arial" w:cs="Arial"/>
          <w:sz w:val="20"/>
          <w:szCs w:val="20"/>
        </w:rPr>
        <w:t xml:space="preserve">From an economic perspective, biofortification is a one-time investment that provides a long-term, sustainable, and cost-effective means of combating hidden hunger because, once the biofortified crops are developed, there are no further expenses associated with purchasing </w:t>
      </w:r>
      <w:proofErr w:type="spellStart"/>
      <w:r w:rsidRPr="00CC1ABE">
        <w:rPr>
          <w:rFonts w:ascii="Arial" w:hAnsi="Arial" w:cs="Arial"/>
          <w:sz w:val="20"/>
          <w:szCs w:val="20"/>
        </w:rPr>
        <w:t>fortificants</w:t>
      </w:r>
      <w:proofErr w:type="spellEnd"/>
      <w:r w:rsidRPr="00CC1ABE">
        <w:rPr>
          <w:rFonts w:ascii="Arial" w:hAnsi="Arial" w:cs="Arial"/>
          <w:sz w:val="20"/>
          <w:szCs w:val="20"/>
        </w:rPr>
        <w:t xml:space="preserve"> and incorporating them into the food supply during processing (Hirschi, 2009; Hefferon, 2016; Meenakshi </w:t>
      </w:r>
      <w:r w:rsidRPr="00CC1ABE">
        <w:rPr>
          <w:rFonts w:ascii="Arial" w:hAnsi="Arial" w:cs="Arial"/>
          <w:i/>
          <w:sz w:val="20"/>
          <w:szCs w:val="20"/>
        </w:rPr>
        <w:t>et al.,</w:t>
      </w:r>
      <w:r w:rsidRPr="00CC1ABE">
        <w:rPr>
          <w:rFonts w:ascii="Arial" w:hAnsi="Arial" w:cs="Arial"/>
          <w:sz w:val="20"/>
          <w:szCs w:val="20"/>
        </w:rPr>
        <w:t xml:space="preserve"> 2010). For those who are not receiving the micronutrients through other measures, biofortified foods may offer a reliable and secure source. Agriculture-based goods are the main source of nutrients for humans, particularly for those who reside in underdeveloped nations (Graham </w:t>
      </w:r>
      <w:r w:rsidRPr="00CC1ABE">
        <w:rPr>
          <w:rFonts w:ascii="Arial" w:hAnsi="Arial" w:cs="Arial"/>
          <w:i/>
          <w:sz w:val="20"/>
          <w:szCs w:val="20"/>
        </w:rPr>
        <w:t>et al.,</w:t>
      </w:r>
      <w:r w:rsidRPr="00CC1ABE">
        <w:rPr>
          <w:rFonts w:ascii="Arial" w:hAnsi="Arial" w:cs="Arial"/>
          <w:sz w:val="20"/>
          <w:szCs w:val="20"/>
        </w:rPr>
        <w:t xml:space="preserve"> 2001). Biofortification was developed as a result of </w:t>
      </w:r>
      <w:r w:rsidR="007E38B9" w:rsidRPr="00CC1ABE">
        <w:rPr>
          <w:rFonts w:ascii="Arial" w:hAnsi="Arial" w:cs="Arial"/>
          <w:sz w:val="20"/>
          <w:szCs w:val="20"/>
        </w:rPr>
        <w:t>advanced</w:t>
      </w:r>
      <w:r w:rsidRPr="00CC1ABE">
        <w:rPr>
          <w:rFonts w:ascii="Arial" w:hAnsi="Arial" w:cs="Arial"/>
          <w:sz w:val="20"/>
          <w:szCs w:val="20"/>
        </w:rPr>
        <w:t xml:space="preserve"> research to counteract nutritional inadequacies, even if conventional growing methods may only slightly increase the nutritious content of plant </w:t>
      </w:r>
      <w:r w:rsidR="007E38B9" w:rsidRPr="00CC1ABE">
        <w:rPr>
          <w:rFonts w:ascii="Arial" w:hAnsi="Arial" w:cs="Arial"/>
          <w:sz w:val="20"/>
          <w:szCs w:val="20"/>
        </w:rPr>
        <w:t>food</w:t>
      </w:r>
      <w:r w:rsidRPr="00CC1ABE">
        <w:rPr>
          <w:rFonts w:ascii="Arial" w:hAnsi="Arial" w:cs="Arial"/>
          <w:sz w:val="20"/>
          <w:szCs w:val="20"/>
        </w:rPr>
        <w:t>.</w:t>
      </w:r>
    </w:p>
    <w:p w14:paraId="49A124B6" w14:textId="0481749B" w:rsidR="005B79BD" w:rsidRPr="00CC1ABE" w:rsidRDefault="00CC1ABE" w:rsidP="007E38B9">
      <w:pPr>
        <w:spacing w:line="360" w:lineRule="auto"/>
        <w:jc w:val="both"/>
        <w:rPr>
          <w:rFonts w:ascii="Arial" w:hAnsi="Arial" w:cs="Arial"/>
          <w:b/>
          <w:szCs w:val="20"/>
        </w:rPr>
      </w:pPr>
      <w:r>
        <w:rPr>
          <w:rFonts w:ascii="Arial" w:hAnsi="Arial" w:cs="Arial"/>
          <w:b/>
          <w:szCs w:val="20"/>
        </w:rPr>
        <w:t>2.</w:t>
      </w:r>
      <w:r w:rsidR="005B79BD" w:rsidRPr="00CC1ABE">
        <w:rPr>
          <w:rFonts w:ascii="Arial" w:hAnsi="Arial" w:cs="Arial"/>
          <w:b/>
          <w:szCs w:val="20"/>
        </w:rPr>
        <w:t>Biofortification:</w:t>
      </w:r>
    </w:p>
    <w:p w14:paraId="597E7255" w14:textId="71AB8971" w:rsidR="009360E0" w:rsidRPr="00CC1ABE" w:rsidRDefault="00D74E1E" w:rsidP="009360E0">
      <w:pPr>
        <w:spacing w:line="360" w:lineRule="auto"/>
        <w:ind w:firstLine="720"/>
        <w:jc w:val="both"/>
        <w:rPr>
          <w:rFonts w:ascii="Arial" w:hAnsi="Arial" w:cs="Arial"/>
          <w:sz w:val="20"/>
          <w:szCs w:val="20"/>
        </w:rPr>
      </w:pPr>
      <w:r w:rsidRPr="00CC1ABE">
        <w:rPr>
          <w:rFonts w:ascii="Arial" w:hAnsi="Arial" w:cs="Arial"/>
          <w:sz w:val="20"/>
          <w:szCs w:val="20"/>
        </w:rPr>
        <w:t>The word biofortification is originated from the Greek word "bios," which means "life," and the Latin word "</w:t>
      </w:r>
      <w:proofErr w:type="spellStart"/>
      <w:r w:rsidRPr="00CC1ABE">
        <w:rPr>
          <w:rFonts w:ascii="Arial" w:hAnsi="Arial" w:cs="Arial"/>
          <w:sz w:val="20"/>
          <w:szCs w:val="20"/>
        </w:rPr>
        <w:t>fortificare</w:t>
      </w:r>
      <w:proofErr w:type="spellEnd"/>
      <w:r w:rsidRPr="00CC1ABE">
        <w:rPr>
          <w:rFonts w:ascii="Arial" w:hAnsi="Arial" w:cs="Arial"/>
          <w:sz w:val="20"/>
          <w:szCs w:val="20"/>
        </w:rPr>
        <w:t>," which means "make strong,"</w:t>
      </w:r>
      <w:r w:rsidR="005D2B28" w:rsidRPr="00CC1ABE">
        <w:rPr>
          <w:rFonts w:ascii="Arial" w:hAnsi="Arial" w:cs="Arial"/>
          <w:sz w:val="20"/>
          <w:szCs w:val="20"/>
        </w:rPr>
        <w:t>. Simply,</w:t>
      </w:r>
      <w:r w:rsidRPr="00CC1ABE">
        <w:rPr>
          <w:rFonts w:ascii="Arial" w:hAnsi="Arial" w:cs="Arial"/>
          <w:sz w:val="20"/>
          <w:szCs w:val="20"/>
        </w:rPr>
        <w:t xml:space="preserve"> </w:t>
      </w:r>
      <w:r w:rsidR="005D2B28" w:rsidRPr="00CC1ABE">
        <w:rPr>
          <w:rFonts w:ascii="Arial" w:hAnsi="Arial" w:cs="Arial"/>
          <w:sz w:val="20"/>
          <w:szCs w:val="20"/>
        </w:rPr>
        <w:t>the</w:t>
      </w:r>
      <w:r w:rsidRPr="00CC1ABE">
        <w:rPr>
          <w:rFonts w:ascii="Arial" w:hAnsi="Arial" w:cs="Arial"/>
          <w:sz w:val="20"/>
          <w:szCs w:val="20"/>
        </w:rPr>
        <w:t xml:space="preserve"> biofortification is "to make life strong." </w:t>
      </w:r>
      <w:r w:rsidR="005D2B28" w:rsidRPr="00CC1ABE">
        <w:rPr>
          <w:rFonts w:ascii="Arial" w:hAnsi="Arial" w:cs="Arial"/>
          <w:sz w:val="20"/>
          <w:szCs w:val="20"/>
        </w:rPr>
        <w:t>It is defined as enhancing the nutritional quality of the plant's edible portion. It is the process of using conventional breeding methods, genetic modification, or agronomic techniques to increase the bioavailable concentrations of an element in the edible parts of plants. It offers a more economical, long-lasting, and sustainable way to add more micronutrients to food. Unlike fortification, which adds nutrients to meals after they are processed, biofortification concentrates on increasing the nutritional value of plant foods while the plants are still growing.</w:t>
      </w:r>
      <w:r w:rsidR="00BB75C9" w:rsidRPr="00CC1ABE">
        <w:rPr>
          <w:rFonts w:ascii="Arial" w:hAnsi="Arial" w:cs="Arial"/>
          <w:sz w:val="20"/>
          <w:szCs w:val="20"/>
        </w:rPr>
        <w:t xml:space="preserve"> By using this method, the number of severely malnourished individuals who need supplemental interventions for treatment will be reduced, and their nutritional condition will remain improved. It also offers a workable way to address undernourished rural communities that might not have easy access to commercially marketed supplements and foods that have been fortified (Jena </w:t>
      </w:r>
      <w:r w:rsidR="00BB75C9" w:rsidRPr="00CC1ABE">
        <w:rPr>
          <w:rFonts w:ascii="Arial" w:hAnsi="Arial" w:cs="Arial"/>
          <w:i/>
          <w:sz w:val="20"/>
          <w:szCs w:val="20"/>
        </w:rPr>
        <w:t>et al.,</w:t>
      </w:r>
      <w:r w:rsidR="00BB75C9" w:rsidRPr="00CC1ABE">
        <w:rPr>
          <w:rFonts w:ascii="Arial" w:hAnsi="Arial" w:cs="Arial"/>
          <w:sz w:val="20"/>
          <w:szCs w:val="20"/>
        </w:rPr>
        <w:t xml:space="preserve"> 2018). This facilitates the introduction of the micronutrient-dense characteristic into market-oriented and already-popular cultivars. The process of creating biofortified crops also increases the crops' capacity to grow on soils with low or unavailable mineral content (Borg </w:t>
      </w:r>
      <w:r w:rsidR="00BB75C9" w:rsidRPr="00CC1ABE">
        <w:rPr>
          <w:rFonts w:ascii="Arial" w:hAnsi="Arial" w:cs="Arial"/>
          <w:i/>
          <w:sz w:val="20"/>
          <w:szCs w:val="20"/>
        </w:rPr>
        <w:t>et al.,</w:t>
      </w:r>
      <w:r w:rsidR="00BB75C9" w:rsidRPr="00CC1ABE">
        <w:rPr>
          <w:rFonts w:ascii="Arial" w:hAnsi="Arial" w:cs="Arial"/>
          <w:sz w:val="20"/>
          <w:szCs w:val="20"/>
        </w:rPr>
        <w:t xml:space="preserve"> 2009).</w:t>
      </w:r>
      <w:r w:rsidR="009360E0" w:rsidRPr="00CC1ABE">
        <w:rPr>
          <w:rFonts w:ascii="Arial" w:hAnsi="Arial" w:cs="Arial"/>
          <w:sz w:val="20"/>
          <w:szCs w:val="20"/>
        </w:rPr>
        <w:t xml:space="preserve"> For those in underdeveloped nations who cannot afford high-quality food, a low-cost strategy is to breed plants to increase the bioavailability of micronutrients in the desired edible food. </w:t>
      </w:r>
      <w:r w:rsidR="009360E0" w:rsidRPr="00CC1ABE">
        <w:rPr>
          <w:rFonts w:ascii="Arial" w:hAnsi="Arial" w:cs="Arial"/>
          <w:sz w:val="20"/>
          <w:szCs w:val="20"/>
        </w:rPr>
        <w:lastRenderedPageBreak/>
        <w:t>This strategy can therefore be used to mitigate micronutrient deficiency, which will guarantee improved health (Waters and Sankaran, 2011).</w:t>
      </w:r>
    </w:p>
    <w:p w14:paraId="45991CB0" w14:textId="20B93247" w:rsidR="00006DF2" w:rsidRPr="00CC1ABE" w:rsidRDefault="009360E0" w:rsidP="00006DF2">
      <w:pPr>
        <w:spacing w:line="360" w:lineRule="auto"/>
        <w:ind w:firstLine="720"/>
        <w:jc w:val="both"/>
        <w:rPr>
          <w:rFonts w:ascii="Arial" w:hAnsi="Arial" w:cs="Arial"/>
          <w:sz w:val="20"/>
          <w:szCs w:val="20"/>
        </w:rPr>
      </w:pPr>
      <w:r w:rsidRPr="00CC1ABE">
        <w:rPr>
          <w:rFonts w:ascii="Arial" w:hAnsi="Arial" w:cs="Arial"/>
          <w:sz w:val="20"/>
          <w:szCs w:val="20"/>
        </w:rPr>
        <w:t>However, bio fortification offers two major advantages over other approaches: it is more affordable in the long run and can be applied to rural areas that are underserved.</w:t>
      </w:r>
      <w:r w:rsidR="002A136D" w:rsidRPr="00CC1ABE">
        <w:rPr>
          <w:rFonts w:ascii="Arial" w:hAnsi="Arial" w:cs="Arial"/>
          <w:sz w:val="20"/>
          <w:szCs w:val="20"/>
        </w:rPr>
        <w:t xml:space="preserve"> An initial investment in plant breeding delivers micronutrient-rich biofortified planting material for farmers to grow at almost zero marginal cost, in contrast to the ongoing financial outlays necessary for commercial fortification programs and supplementation. After produced, crops with enhanced nutrition can be assessed and tailored to different climates and regions, increasing the return on the initial investment. </w:t>
      </w:r>
      <w:r w:rsidR="00412E77" w:rsidRPr="00CC1ABE">
        <w:rPr>
          <w:rFonts w:ascii="Arial" w:hAnsi="Arial" w:cs="Arial"/>
          <w:sz w:val="20"/>
          <w:szCs w:val="20"/>
        </w:rPr>
        <w:t xml:space="preserve">The combination of high nutrient density with high yields and profitability is essential for biofortification to be successful. Enough nutrients must also be retained during processing and cooking, and they must be sufficiently bioavailable. Additionally, farmers must adopt biofortified crops, which should be consumed by a sizable portion of the population suffering from micronutrient malnutrition (Jena </w:t>
      </w:r>
      <w:r w:rsidR="00412E77" w:rsidRPr="00CC1ABE">
        <w:rPr>
          <w:rFonts w:ascii="Arial" w:hAnsi="Arial" w:cs="Arial"/>
          <w:i/>
          <w:sz w:val="20"/>
          <w:szCs w:val="20"/>
        </w:rPr>
        <w:t>et al.,</w:t>
      </w:r>
      <w:r w:rsidR="00412E77" w:rsidRPr="00CC1ABE">
        <w:rPr>
          <w:rFonts w:ascii="Arial" w:hAnsi="Arial" w:cs="Arial"/>
          <w:sz w:val="20"/>
          <w:szCs w:val="20"/>
        </w:rPr>
        <w:t xml:space="preserve"> 2018).</w:t>
      </w:r>
      <w:r w:rsidR="00006DF2" w:rsidRPr="00CC1ABE">
        <w:rPr>
          <w:rFonts w:ascii="Arial" w:hAnsi="Arial" w:cs="Arial"/>
          <w:sz w:val="20"/>
          <w:szCs w:val="20"/>
        </w:rPr>
        <w:t xml:space="preserve"> Three methods can be used to achieve biofortification: Agronomic biofortification, Conventional plant breeding and Genetic engineering, </w:t>
      </w:r>
    </w:p>
    <w:p w14:paraId="0EC58B18" w14:textId="75A83270" w:rsidR="00412E77" w:rsidRPr="00CC1ABE" w:rsidRDefault="00CC1ABE" w:rsidP="00006DF2">
      <w:pPr>
        <w:spacing w:line="360" w:lineRule="auto"/>
        <w:jc w:val="both"/>
        <w:rPr>
          <w:rFonts w:ascii="Arial" w:hAnsi="Arial" w:cs="Arial"/>
          <w:b/>
          <w:szCs w:val="20"/>
        </w:rPr>
      </w:pPr>
      <w:r>
        <w:rPr>
          <w:rFonts w:ascii="Arial" w:hAnsi="Arial" w:cs="Arial"/>
          <w:b/>
          <w:szCs w:val="20"/>
        </w:rPr>
        <w:t>3.</w:t>
      </w:r>
      <w:r w:rsidR="00006DF2" w:rsidRPr="00CC1ABE">
        <w:rPr>
          <w:rFonts w:ascii="Arial" w:hAnsi="Arial" w:cs="Arial"/>
          <w:b/>
          <w:szCs w:val="20"/>
        </w:rPr>
        <w:t>Agronomic Biofortification:</w:t>
      </w:r>
    </w:p>
    <w:p w14:paraId="5C2884C2" w14:textId="7A257239" w:rsidR="008F3C71" w:rsidRPr="00CC1ABE" w:rsidRDefault="00006DF2" w:rsidP="008F3C71">
      <w:pPr>
        <w:spacing w:line="360" w:lineRule="auto"/>
        <w:jc w:val="both"/>
        <w:rPr>
          <w:rFonts w:ascii="Arial" w:hAnsi="Arial" w:cs="Arial"/>
          <w:sz w:val="20"/>
          <w:szCs w:val="20"/>
        </w:rPr>
      </w:pPr>
      <w:r w:rsidRPr="00CC1ABE">
        <w:rPr>
          <w:rFonts w:ascii="Arial" w:hAnsi="Arial" w:cs="Arial"/>
          <w:sz w:val="20"/>
          <w:szCs w:val="20"/>
        </w:rPr>
        <w:tab/>
        <w:t xml:space="preserve">The practice of improving crops' nutritional content through soil management and fertilization is known as agronomic biofortification. Though it is only a temporary solution, it provides the fastest, most cost-effective approach to manufacture nutrient-dense food in an efficient and timely manner. Iodine (soil application of iodide or iodate), Zinc (foliar treatment of ZnSO4), and Selenium (as selenate) are the micronutrients most suited for agronomic biofortification. Applying foliar or soil application of micronutrient-containing organic/inorganic fertilizers or biofertilizers increases the </w:t>
      </w:r>
      <w:proofErr w:type="gramStart"/>
      <w:r w:rsidRPr="00CC1ABE">
        <w:rPr>
          <w:rFonts w:ascii="Arial" w:hAnsi="Arial" w:cs="Arial"/>
          <w:sz w:val="20"/>
          <w:szCs w:val="20"/>
        </w:rPr>
        <w:t>amount</w:t>
      </w:r>
      <w:proofErr w:type="gramEnd"/>
      <w:r w:rsidRPr="00CC1ABE">
        <w:rPr>
          <w:rFonts w:ascii="Arial" w:hAnsi="Arial" w:cs="Arial"/>
          <w:sz w:val="20"/>
          <w:szCs w:val="20"/>
        </w:rPr>
        <w:t xml:space="preserve"> of micronutrients in the plant's edible parts.</w:t>
      </w:r>
      <w:r w:rsidR="008F3C71" w:rsidRPr="00CC1ABE">
        <w:rPr>
          <w:rFonts w:ascii="Arial" w:hAnsi="Arial" w:cs="Arial"/>
          <w:sz w:val="20"/>
          <w:szCs w:val="20"/>
        </w:rPr>
        <w:t xml:space="preserve"> The success of agronomical biofortification is highly variable because of differences in mineral mobility, mineral accumulation among plant species, and soil composition in the specific geographic region of each crop (Ismail </w:t>
      </w:r>
      <w:r w:rsidR="008F3C71" w:rsidRPr="00CC1ABE">
        <w:rPr>
          <w:rFonts w:ascii="Arial" w:hAnsi="Arial" w:cs="Arial"/>
          <w:i/>
          <w:sz w:val="20"/>
          <w:szCs w:val="20"/>
        </w:rPr>
        <w:t>et al.,</w:t>
      </w:r>
      <w:r w:rsidR="008F3C71" w:rsidRPr="00CC1ABE">
        <w:rPr>
          <w:rFonts w:ascii="Arial" w:hAnsi="Arial" w:cs="Arial"/>
          <w:sz w:val="20"/>
          <w:szCs w:val="20"/>
        </w:rPr>
        <w:t xml:space="preserve"> 2007). The degree of mineral element mobility in the soil and in the plant determines the success of agronomic biofortification (White and Broadley 2005). A subset of nanotechnology applications in agriculture known as nano</w:t>
      </w:r>
      <w:r w:rsidR="00B05CB4" w:rsidRPr="00CC1ABE">
        <w:rPr>
          <w:rFonts w:ascii="Arial" w:hAnsi="Arial" w:cs="Arial"/>
          <w:sz w:val="20"/>
          <w:szCs w:val="20"/>
        </w:rPr>
        <w:t xml:space="preserve"> </w:t>
      </w:r>
      <w:r w:rsidR="008F3C71" w:rsidRPr="00CC1ABE">
        <w:rPr>
          <w:rFonts w:ascii="Arial" w:hAnsi="Arial" w:cs="Arial"/>
          <w:sz w:val="20"/>
          <w:szCs w:val="20"/>
        </w:rPr>
        <w:t>fertilizers (NFs) have the potential to completely transform current practices for increasing crop nutrient content and raising nutritional quality. NFs provide a viable means of enhancing the concentration and bioavailability of vital nutrients in food crops by utilizing the special qualities of nanoparticles; this approach is referred to as "nano</w:t>
      </w:r>
      <w:r w:rsidR="00B05CB4" w:rsidRPr="00CC1ABE">
        <w:rPr>
          <w:rFonts w:ascii="Arial" w:hAnsi="Arial" w:cs="Arial"/>
          <w:sz w:val="20"/>
          <w:szCs w:val="20"/>
        </w:rPr>
        <w:t xml:space="preserve"> </w:t>
      </w:r>
      <w:r w:rsidR="008F3C71" w:rsidRPr="00CC1ABE">
        <w:rPr>
          <w:rFonts w:ascii="Arial" w:hAnsi="Arial" w:cs="Arial"/>
          <w:sz w:val="20"/>
          <w:szCs w:val="20"/>
        </w:rPr>
        <w:t xml:space="preserve">fertilizer-assisted biofortification." Plants are able to absorb the particles with ease due to the NFs' small size and significant increase in surface area (Chandra </w:t>
      </w:r>
      <w:r w:rsidR="008F3C71" w:rsidRPr="00CC1ABE">
        <w:rPr>
          <w:rFonts w:ascii="Arial" w:hAnsi="Arial" w:cs="Arial"/>
          <w:i/>
          <w:sz w:val="20"/>
          <w:szCs w:val="20"/>
        </w:rPr>
        <w:t>et al.,</w:t>
      </w:r>
      <w:r w:rsidR="008F3C71" w:rsidRPr="00CC1ABE">
        <w:rPr>
          <w:rFonts w:ascii="Arial" w:hAnsi="Arial" w:cs="Arial"/>
          <w:sz w:val="20"/>
          <w:szCs w:val="20"/>
        </w:rPr>
        <w:t xml:space="preserve"> 2023)</w:t>
      </w:r>
      <w:r w:rsidR="002E1322" w:rsidRPr="00CC1ABE">
        <w:rPr>
          <w:rFonts w:ascii="Arial" w:hAnsi="Arial" w:cs="Arial"/>
          <w:sz w:val="20"/>
          <w:szCs w:val="20"/>
        </w:rPr>
        <w:t>.</w:t>
      </w:r>
    </w:p>
    <w:p w14:paraId="1E8AE63B" w14:textId="77147F0A" w:rsidR="002E1322" w:rsidRPr="00CC1ABE" w:rsidRDefault="00CC1ABE" w:rsidP="008F3C71">
      <w:pPr>
        <w:spacing w:line="360" w:lineRule="auto"/>
        <w:jc w:val="both"/>
        <w:rPr>
          <w:rFonts w:ascii="Arial" w:hAnsi="Arial" w:cs="Arial"/>
          <w:b/>
          <w:szCs w:val="20"/>
        </w:rPr>
      </w:pPr>
      <w:r>
        <w:rPr>
          <w:rFonts w:ascii="Arial" w:hAnsi="Arial" w:cs="Arial"/>
          <w:b/>
          <w:szCs w:val="20"/>
        </w:rPr>
        <w:t>3.</w:t>
      </w:r>
      <w:proofErr w:type="gramStart"/>
      <w:r>
        <w:rPr>
          <w:rFonts w:ascii="Arial" w:hAnsi="Arial" w:cs="Arial"/>
          <w:b/>
          <w:szCs w:val="20"/>
        </w:rPr>
        <w:t>1.</w:t>
      </w:r>
      <w:r w:rsidR="002E1322" w:rsidRPr="00CC1ABE">
        <w:rPr>
          <w:rFonts w:ascii="Arial" w:hAnsi="Arial" w:cs="Arial"/>
          <w:b/>
          <w:szCs w:val="20"/>
        </w:rPr>
        <w:t>Iron</w:t>
      </w:r>
      <w:proofErr w:type="gramEnd"/>
      <w:r w:rsidR="002E1322" w:rsidRPr="00CC1ABE">
        <w:rPr>
          <w:rFonts w:ascii="Arial" w:hAnsi="Arial" w:cs="Arial"/>
          <w:b/>
          <w:szCs w:val="20"/>
        </w:rPr>
        <w:t xml:space="preserve"> biofortification:</w:t>
      </w:r>
    </w:p>
    <w:p w14:paraId="34C5016B" w14:textId="25416F43" w:rsidR="00546A57" w:rsidRDefault="002E1322" w:rsidP="00793343">
      <w:pPr>
        <w:spacing w:line="360" w:lineRule="auto"/>
        <w:jc w:val="both"/>
        <w:rPr>
          <w:rFonts w:ascii="Arial" w:hAnsi="Arial" w:cs="Arial"/>
          <w:sz w:val="20"/>
          <w:szCs w:val="20"/>
        </w:rPr>
      </w:pPr>
      <w:r w:rsidRPr="00CC1ABE">
        <w:rPr>
          <w:rFonts w:ascii="Arial" w:hAnsi="Arial" w:cs="Arial"/>
          <w:sz w:val="20"/>
          <w:szCs w:val="20"/>
        </w:rPr>
        <w:tab/>
        <w:t>The primary role of iron (Fe) in human health is associated with the synthesis of h</w:t>
      </w:r>
      <w:r w:rsidR="00712395" w:rsidRPr="00CC1ABE">
        <w:rPr>
          <w:rFonts w:ascii="Arial" w:hAnsi="Arial" w:cs="Arial"/>
          <w:sz w:val="20"/>
          <w:szCs w:val="20"/>
        </w:rPr>
        <w:t>ae</w:t>
      </w:r>
      <w:r w:rsidRPr="00CC1ABE">
        <w:rPr>
          <w:rFonts w:ascii="Arial" w:hAnsi="Arial" w:cs="Arial"/>
          <w:sz w:val="20"/>
          <w:szCs w:val="20"/>
        </w:rPr>
        <w:t>moglobin and myoglobin. In addition to being necessary for numerous metabolic activities like electron transport, oxygen transport, and the synthesis of deoxyribonucleic acid (DNA), iron is also needed for the creation of energy</w:t>
      </w:r>
      <w:r w:rsidR="00712395" w:rsidRPr="00CC1ABE">
        <w:rPr>
          <w:rFonts w:ascii="Arial" w:hAnsi="Arial" w:cs="Arial"/>
          <w:sz w:val="20"/>
          <w:szCs w:val="20"/>
        </w:rPr>
        <w:t xml:space="preserve"> (</w:t>
      </w:r>
      <w:bookmarkStart w:id="1" w:name="_Hlk151716149"/>
      <w:r w:rsidR="00712395" w:rsidRPr="00CC1ABE">
        <w:rPr>
          <w:rFonts w:ascii="Arial" w:hAnsi="Arial" w:cs="Arial"/>
          <w:sz w:val="20"/>
          <w:szCs w:val="20"/>
        </w:rPr>
        <w:t xml:space="preserve">Abbaspour </w:t>
      </w:r>
      <w:r w:rsidR="00712395" w:rsidRPr="00CC1ABE">
        <w:rPr>
          <w:rFonts w:ascii="Arial" w:hAnsi="Arial" w:cs="Arial"/>
          <w:i/>
          <w:sz w:val="20"/>
          <w:szCs w:val="20"/>
        </w:rPr>
        <w:t>et al.,</w:t>
      </w:r>
      <w:r w:rsidR="00712395" w:rsidRPr="00CC1ABE">
        <w:rPr>
          <w:rFonts w:ascii="Arial" w:hAnsi="Arial" w:cs="Arial"/>
          <w:sz w:val="20"/>
          <w:szCs w:val="20"/>
        </w:rPr>
        <w:t xml:space="preserve"> 2014</w:t>
      </w:r>
      <w:bookmarkEnd w:id="1"/>
      <w:r w:rsidR="00712395" w:rsidRPr="00CC1ABE">
        <w:rPr>
          <w:rFonts w:ascii="Arial" w:hAnsi="Arial" w:cs="Arial"/>
          <w:sz w:val="20"/>
          <w:szCs w:val="20"/>
        </w:rPr>
        <w:t>)</w:t>
      </w:r>
      <w:r w:rsidRPr="00CC1ABE">
        <w:rPr>
          <w:rFonts w:ascii="Arial" w:hAnsi="Arial" w:cs="Arial"/>
          <w:sz w:val="20"/>
          <w:szCs w:val="20"/>
        </w:rPr>
        <w:t>.</w:t>
      </w:r>
      <w:r w:rsidR="00712395" w:rsidRPr="00CC1ABE">
        <w:rPr>
          <w:rFonts w:ascii="Arial" w:hAnsi="Arial" w:cs="Arial"/>
          <w:sz w:val="20"/>
          <w:szCs w:val="20"/>
        </w:rPr>
        <w:t xml:space="preserve"> Iron deficiency is a widespread problem, especially in developing nations, and it can have detrimental effects on health. Iron deficiency can lead to a number of health </w:t>
      </w:r>
      <w:r w:rsidR="00712395" w:rsidRPr="00CC1ABE">
        <w:rPr>
          <w:rFonts w:ascii="Arial" w:hAnsi="Arial" w:cs="Arial"/>
          <w:sz w:val="20"/>
          <w:szCs w:val="20"/>
        </w:rPr>
        <w:lastRenderedPageBreak/>
        <w:t>problems, including an</w:t>
      </w:r>
      <w:r w:rsidR="00793343" w:rsidRPr="00CC1ABE">
        <w:rPr>
          <w:rFonts w:ascii="Arial" w:hAnsi="Arial" w:cs="Arial"/>
          <w:sz w:val="20"/>
          <w:szCs w:val="20"/>
        </w:rPr>
        <w:t>a</w:t>
      </w:r>
      <w:r w:rsidR="00712395" w:rsidRPr="00CC1ABE">
        <w:rPr>
          <w:rFonts w:ascii="Arial" w:hAnsi="Arial" w:cs="Arial"/>
          <w:sz w:val="20"/>
          <w:szCs w:val="20"/>
        </w:rPr>
        <w:t xml:space="preserve">emia, fatigue, and immune system disfunction, particularly in developing countries where plant-based meals are the primary supply of iron. By raising the iron content of crops, biofortification can assist address this problem and enhance the iron intake </w:t>
      </w:r>
      <w:r w:rsidR="00793343" w:rsidRPr="00CC1ABE">
        <w:rPr>
          <w:rFonts w:ascii="Arial" w:hAnsi="Arial" w:cs="Arial"/>
          <w:sz w:val="20"/>
          <w:szCs w:val="20"/>
        </w:rPr>
        <w:t>in the edible part of the plant. Enhancing the uptake of iron by crops can be achieved by using fertilizers rich in iron and by managing the soil properly, which includes balancing the pH and nutrients. It is significant to note that the effectiveness of these techniques can change depending on the specific crop and growing conditions. Vegetarians should eat 1.8 times more iron than the recommended daily intake (RDA) compared to meat eaters (</w:t>
      </w:r>
      <w:bookmarkStart w:id="2" w:name="_Hlk151716286"/>
      <w:r w:rsidR="00793343" w:rsidRPr="00CC1ABE">
        <w:rPr>
          <w:rFonts w:ascii="Arial" w:hAnsi="Arial" w:cs="Arial"/>
          <w:sz w:val="20"/>
          <w:szCs w:val="20"/>
        </w:rPr>
        <w:t>NIH, 2022</w:t>
      </w:r>
      <w:bookmarkEnd w:id="2"/>
      <w:r w:rsidR="00793343" w:rsidRPr="00CC1ABE">
        <w:rPr>
          <w:rFonts w:ascii="Arial" w:hAnsi="Arial" w:cs="Arial"/>
          <w:sz w:val="20"/>
          <w:szCs w:val="20"/>
        </w:rPr>
        <w:t>)</w:t>
      </w:r>
      <w:r w:rsidR="00CC1ABE">
        <w:rPr>
          <w:rFonts w:ascii="Arial" w:hAnsi="Arial" w:cs="Arial"/>
          <w:sz w:val="20"/>
          <w:szCs w:val="20"/>
        </w:rPr>
        <w:t xml:space="preserve"> (Table 1).</w:t>
      </w:r>
    </w:p>
    <w:p w14:paraId="61356A3C"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1: Agronomic biofortification of Iron</w:t>
      </w:r>
    </w:p>
    <w:tbl>
      <w:tblPr>
        <w:tblStyle w:val="TableGrid"/>
        <w:tblW w:w="9640" w:type="dxa"/>
        <w:tblInd w:w="-147" w:type="dxa"/>
        <w:tblLook w:val="04A0" w:firstRow="1" w:lastRow="0" w:firstColumn="1" w:lastColumn="0" w:noHBand="0" w:noVBand="1"/>
      </w:tblPr>
      <w:tblGrid>
        <w:gridCol w:w="2836"/>
        <w:gridCol w:w="4677"/>
        <w:gridCol w:w="2127"/>
      </w:tblGrid>
      <w:tr w:rsidR="00CC1ABE" w:rsidRPr="00CC1ABE" w14:paraId="28D72745" w14:textId="77777777" w:rsidTr="00685654">
        <w:tc>
          <w:tcPr>
            <w:tcW w:w="2836" w:type="dxa"/>
          </w:tcPr>
          <w:p w14:paraId="593966BF" w14:textId="77777777" w:rsidR="00CC1ABE" w:rsidRPr="00CC1ABE" w:rsidRDefault="00CC1ABE" w:rsidP="00685654">
            <w:pPr>
              <w:spacing w:line="360" w:lineRule="auto"/>
              <w:jc w:val="both"/>
              <w:rPr>
                <w:rFonts w:ascii="Arial" w:hAnsi="Arial" w:cs="Arial"/>
                <w:b/>
                <w:bCs/>
                <w:sz w:val="20"/>
                <w:szCs w:val="20"/>
              </w:rPr>
            </w:pPr>
            <w:r w:rsidRPr="00CC1ABE">
              <w:rPr>
                <w:rFonts w:ascii="Arial" w:hAnsi="Arial" w:cs="Arial"/>
                <w:b/>
                <w:bCs/>
                <w:sz w:val="20"/>
                <w:szCs w:val="20"/>
              </w:rPr>
              <w:t>Crop</w:t>
            </w:r>
          </w:p>
        </w:tc>
        <w:tc>
          <w:tcPr>
            <w:tcW w:w="4677" w:type="dxa"/>
          </w:tcPr>
          <w:p w14:paraId="0A279D42" w14:textId="77777777" w:rsidR="00CC1ABE" w:rsidRPr="00CC1ABE" w:rsidRDefault="00CC1ABE" w:rsidP="00685654">
            <w:pPr>
              <w:spacing w:line="360" w:lineRule="auto"/>
              <w:jc w:val="both"/>
              <w:rPr>
                <w:rFonts w:ascii="Arial" w:hAnsi="Arial" w:cs="Arial"/>
                <w:b/>
                <w:bCs/>
                <w:sz w:val="20"/>
                <w:szCs w:val="20"/>
              </w:rPr>
            </w:pPr>
            <w:r w:rsidRPr="00CC1ABE">
              <w:rPr>
                <w:rFonts w:ascii="Arial" w:hAnsi="Arial" w:cs="Arial"/>
                <w:b/>
                <w:bCs/>
                <w:sz w:val="20"/>
                <w:szCs w:val="20"/>
              </w:rPr>
              <w:t>Treatment</w:t>
            </w:r>
          </w:p>
        </w:tc>
        <w:tc>
          <w:tcPr>
            <w:tcW w:w="2127" w:type="dxa"/>
          </w:tcPr>
          <w:p w14:paraId="2CC8A7B9" w14:textId="77777777" w:rsidR="00CC1ABE" w:rsidRPr="00CC1ABE" w:rsidRDefault="00CC1ABE" w:rsidP="00685654">
            <w:pPr>
              <w:spacing w:line="360" w:lineRule="auto"/>
              <w:jc w:val="both"/>
              <w:rPr>
                <w:rFonts w:ascii="Arial" w:hAnsi="Arial" w:cs="Arial"/>
                <w:b/>
                <w:bCs/>
                <w:sz w:val="20"/>
                <w:szCs w:val="20"/>
              </w:rPr>
            </w:pPr>
            <w:r w:rsidRPr="00CC1ABE">
              <w:rPr>
                <w:rFonts w:ascii="Arial" w:hAnsi="Arial" w:cs="Arial"/>
                <w:b/>
                <w:bCs/>
                <w:sz w:val="20"/>
                <w:szCs w:val="20"/>
              </w:rPr>
              <w:t>Reference</w:t>
            </w:r>
          </w:p>
        </w:tc>
      </w:tr>
      <w:tr w:rsidR="00CC1ABE" w:rsidRPr="00CC1ABE" w14:paraId="1A850A53" w14:textId="77777777" w:rsidTr="00685654">
        <w:tc>
          <w:tcPr>
            <w:tcW w:w="2836" w:type="dxa"/>
          </w:tcPr>
          <w:p w14:paraId="610A4B58" w14:textId="77777777" w:rsidR="00CC1ABE" w:rsidRPr="00CC1ABE" w:rsidRDefault="00CC1ABE" w:rsidP="00685654">
            <w:pPr>
              <w:spacing w:line="360" w:lineRule="auto"/>
              <w:jc w:val="both"/>
              <w:rPr>
                <w:rFonts w:ascii="Arial" w:hAnsi="Arial" w:cs="Arial"/>
                <w:sz w:val="20"/>
                <w:szCs w:val="20"/>
              </w:rPr>
            </w:pPr>
            <w:bookmarkStart w:id="3" w:name="_Hlk151716334"/>
            <w:r w:rsidRPr="00CC1ABE">
              <w:rPr>
                <w:rFonts w:ascii="Arial" w:hAnsi="Arial" w:cs="Arial"/>
                <w:sz w:val="20"/>
                <w:szCs w:val="20"/>
              </w:rPr>
              <w:t xml:space="preserve">Potato </w:t>
            </w:r>
          </w:p>
        </w:tc>
        <w:tc>
          <w:tcPr>
            <w:tcW w:w="4677" w:type="dxa"/>
          </w:tcPr>
          <w:p w14:paraId="62F96188"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Soil (Amino acid-based Fe complex) and foliar applied EDTA chelated Fe </w:t>
            </w:r>
          </w:p>
        </w:tc>
        <w:tc>
          <w:tcPr>
            <w:tcW w:w="2127" w:type="dxa"/>
          </w:tcPr>
          <w:p w14:paraId="141F943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 Kromann et al., 2017</w:t>
            </w:r>
          </w:p>
        </w:tc>
      </w:tr>
      <w:tr w:rsidR="00CC1ABE" w:rsidRPr="00CC1ABE" w14:paraId="51A0E74D" w14:textId="77777777" w:rsidTr="00685654">
        <w:tc>
          <w:tcPr>
            <w:tcW w:w="2836" w:type="dxa"/>
          </w:tcPr>
          <w:p w14:paraId="7CE9C28D"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Red and green pigmented Lettuce</w:t>
            </w:r>
          </w:p>
        </w:tc>
        <w:tc>
          <w:tcPr>
            <w:tcW w:w="4677" w:type="dxa"/>
          </w:tcPr>
          <w:p w14:paraId="2ED9A877"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Soilless culture: Fe at conc. 0.5, 1.0 and 2.0mM iron </w:t>
            </w:r>
          </w:p>
        </w:tc>
        <w:tc>
          <w:tcPr>
            <w:tcW w:w="2127" w:type="dxa"/>
          </w:tcPr>
          <w:p w14:paraId="6F209FD7"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Giordano et al., 2019</w:t>
            </w:r>
          </w:p>
        </w:tc>
      </w:tr>
      <w:tr w:rsidR="00CC1ABE" w:rsidRPr="00CC1ABE" w14:paraId="197DA3AD" w14:textId="77777777" w:rsidTr="00685654">
        <w:tc>
          <w:tcPr>
            <w:tcW w:w="2836" w:type="dxa"/>
          </w:tcPr>
          <w:p w14:paraId="24D659E7"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Brassicaceae microgreens (Arugula, red cabbage, and red mustard)</w:t>
            </w:r>
          </w:p>
        </w:tc>
        <w:tc>
          <w:tcPr>
            <w:tcW w:w="4677" w:type="dxa"/>
          </w:tcPr>
          <w:p w14:paraId="4E43C018"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Soilless media: Fe conc. 0, 10, 20, 40mgL−1</w:t>
            </w:r>
          </w:p>
        </w:tc>
        <w:tc>
          <w:tcPr>
            <w:tcW w:w="2127" w:type="dxa"/>
          </w:tcPr>
          <w:p w14:paraId="182D360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Gioia et al., 2019</w:t>
            </w:r>
          </w:p>
        </w:tc>
      </w:tr>
      <w:bookmarkEnd w:id="3"/>
    </w:tbl>
    <w:p w14:paraId="53C5AAC7" w14:textId="77777777" w:rsidR="00CC1ABE" w:rsidRPr="00CC1ABE" w:rsidRDefault="00CC1ABE" w:rsidP="00793343">
      <w:pPr>
        <w:spacing w:line="360" w:lineRule="auto"/>
        <w:jc w:val="both"/>
        <w:rPr>
          <w:rFonts w:ascii="Arial" w:hAnsi="Arial" w:cs="Arial"/>
          <w:sz w:val="20"/>
          <w:szCs w:val="20"/>
        </w:rPr>
      </w:pPr>
    </w:p>
    <w:p w14:paraId="614D2A7B" w14:textId="14DA0081" w:rsidR="00407439" w:rsidRPr="00CC1ABE" w:rsidRDefault="00CC1ABE" w:rsidP="00793343">
      <w:pPr>
        <w:spacing w:line="360" w:lineRule="auto"/>
        <w:jc w:val="both"/>
        <w:rPr>
          <w:rFonts w:ascii="Arial" w:hAnsi="Arial" w:cs="Arial"/>
          <w:b/>
          <w:szCs w:val="20"/>
        </w:rPr>
      </w:pPr>
      <w:r>
        <w:rPr>
          <w:rFonts w:ascii="Arial" w:hAnsi="Arial" w:cs="Arial"/>
          <w:b/>
          <w:szCs w:val="20"/>
        </w:rPr>
        <w:t>3.</w:t>
      </w:r>
      <w:proofErr w:type="gramStart"/>
      <w:r>
        <w:rPr>
          <w:rFonts w:ascii="Arial" w:hAnsi="Arial" w:cs="Arial"/>
          <w:b/>
          <w:szCs w:val="20"/>
        </w:rPr>
        <w:t>2.</w:t>
      </w:r>
      <w:r w:rsidR="00407439" w:rsidRPr="00CC1ABE">
        <w:rPr>
          <w:rFonts w:ascii="Arial" w:hAnsi="Arial" w:cs="Arial"/>
          <w:b/>
          <w:szCs w:val="20"/>
        </w:rPr>
        <w:t>Iodine</w:t>
      </w:r>
      <w:proofErr w:type="gramEnd"/>
      <w:r w:rsidR="00407439" w:rsidRPr="00CC1ABE">
        <w:rPr>
          <w:rFonts w:ascii="Arial" w:hAnsi="Arial" w:cs="Arial"/>
          <w:b/>
          <w:szCs w:val="20"/>
        </w:rPr>
        <w:t xml:space="preserve"> biofortification:</w:t>
      </w:r>
    </w:p>
    <w:p w14:paraId="5092A2EC" w14:textId="1AF13E67" w:rsidR="00AB27C0" w:rsidRDefault="00407439" w:rsidP="00675A4F">
      <w:pPr>
        <w:spacing w:line="360" w:lineRule="auto"/>
        <w:jc w:val="both"/>
        <w:rPr>
          <w:rFonts w:ascii="Arial" w:hAnsi="Arial" w:cs="Arial"/>
          <w:sz w:val="20"/>
          <w:szCs w:val="20"/>
        </w:rPr>
      </w:pPr>
      <w:r w:rsidRPr="00CC1ABE">
        <w:rPr>
          <w:rFonts w:ascii="Arial" w:hAnsi="Arial" w:cs="Arial"/>
          <w:sz w:val="20"/>
          <w:szCs w:val="20"/>
        </w:rPr>
        <w:tab/>
        <w:t>Humans need iodine (I) for the synthesis of the thyroid gland-produced hormones thyroxine and triiodothyronine, which control growth and development in addition to sustaining the baseline metabolic rate (</w:t>
      </w:r>
      <w:bookmarkStart w:id="4" w:name="_Hlk151716689"/>
      <w:r w:rsidRPr="00CC1ABE">
        <w:rPr>
          <w:rFonts w:ascii="Arial" w:hAnsi="Arial" w:cs="Arial"/>
          <w:sz w:val="20"/>
          <w:szCs w:val="20"/>
        </w:rPr>
        <w:t xml:space="preserve">Zicker </w:t>
      </w:r>
      <w:r w:rsidRPr="00CC1ABE">
        <w:rPr>
          <w:rFonts w:ascii="Arial" w:hAnsi="Arial" w:cs="Arial"/>
          <w:i/>
          <w:sz w:val="20"/>
          <w:szCs w:val="20"/>
        </w:rPr>
        <w:t>et al.,</w:t>
      </w:r>
      <w:r w:rsidRPr="00CC1ABE">
        <w:rPr>
          <w:rFonts w:ascii="Arial" w:hAnsi="Arial" w:cs="Arial"/>
          <w:sz w:val="20"/>
          <w:szCs w:val="20"/>
        </w:rPr>
        <w:t xml:space="preserve"> 2012</w:t>
      </w:r>
      <w:bookmarkEnd w:id="4"/>
      <w:r w:rsidRPr="00CC1ABE">
        <w:rPr>
          <w:rFonts w:ascii="Arial" w:hAnsi="Arial" w:cs="Arial"/>
          <w:sz w:val="20"/>
          <w:szCs w:val="20"/>
        </w:rPr>
        <w:t>).</w:t>
      </w:r>
      <w:r w:rsidR="009A2C40" w:rsidRPr="00CC1ABE">
        <w:rPr>
          <w:rFonts w:ascii="Arial" w:hAnsi="Arial" w:cs="Arial"/>
          <w:sz w:val="20"/>
          <w:szCs w:val="20"/>
        </w:rPr>
        <w:t xml:space="preserve"> Iodine deficiency can cause </w:t>
      </w:r>
      <w:proofErr w:type="spellStart"/>
      <w:r w:rsidR="009A2C40" w:rsidRPr="00CC1ABE">
        <w:rPr>
          <w:rFonts w:ascii="Arial" w:hAnsi="Arial" w:cs="Arial"/>
          <w:sz w:val="20"/>
          <w:szCs w:val="20"/>
        </w:rPr>
        <w:t>goiter</w:t>
      </w:r>
      <w:proofErr w:type="spellEnd"/>
      <w:r w:rsidR="009A2C40" w:rsidRPr="00CC1ABE">
        <w:rPr>
          <w:rFonts w:ascii="Arial" w:hAnsi="Arial" w:cs="Arial"/>
          <w:sz w:val="20"/>
          <w:szCs w:val="20"/>
        </w:rPr>
        <w:t>, infertility, stunting, hypothyroidism, and intellectual incapacity, among other health issues. The consumption of iodine biofortified plant-based foods can enhance the nutritional status of those who eat them and aid a population's total iodine intake. Iodine added to salt is one of the most popular techniques to fortify iodine. This is refer</w:t>
      </w:r>
      <w:r w:rsidR="00B05CB4" w:rsidRPr="00CC1ABE">
        <w:rPr>
          <w:rFonts w:ascii="Arial" w:hAnsi="Arial" w:cs="Arial"/>
          <w:sz w:val="20"/>
          <w:szCs w:val="20"/>
        </w:rPr>
        <w:t>r</w:t>
      </w:r>
      <w:r w:rsidR="009A2C40" w:rsidRPr="00CC1ABE">
        <w:rPr>
          <w:rFonts w:ascii="Arial" w:hAnsi="Arial" w:cs="Arial"/>
          <w:sz w:val="20"/>
          <w:szCs w:val="20"/>
        </w:rPr>
        <w:t>ed as "iodized salt." Since iodized salt can increase blood pressure, a major risk factor for heart disease and stroke, it may not be a useful preventive measure against iodine deficiency in many populations. Agronomic biofortification is a potentially effective method of increasing the iodine content of crops.</w:t>
      </w:r>
      <w:r w:rsidR="00157D3D" w:rsidRPr="00CC1ABE">
        <w:rPr>
          <w:rFonts w:ascii="Arial" w:hAnsi="Arial" w:cs="Arial"/>
          <w:sz w:val="20"/>
          <w:szCs w:val="20"/>
        </w:rPr>
        <w:t xml:space="preserve"> Since there is evidence that iodine biofortification can reduce the uptake of Cu by plants and needs to be carefully considered (</w:t>
      </w:r>
      <w:bookmarkStart w:id="5" w:name="_Hlk151717892"/>
      <w:r w:rsidR="00157D3D" w:rsidRPr="00CC1ABE">
        <w:rPr>
          <w:rFonts w:ascii="Arial" w:hAnsi="Arial" w:cs="Arial"/>
          <w:sz w:val="20"/>
          <w:szCs w:val="20"/>
        </w:rPr>
        <w:t xml:space="preserve">Medrano-Macías </w:t>
      </w:r>
      <w:r w:rsidR="00157D3D" w:rsidRPr="00CC1ABE">
        <w:rPr>
          <w:rFonts w:ascii="Arial" w:hAnsi="Arial" w:cs="Arial"/>
          <w:i/>
          <w:sz w:val="20"/>
          <w:szCs w:val="20"/>
        </w:rPr>
        <w:t>et al.,</w:t>
      </w:r>
      <w:r w:rsidR="00157D3D" w:rsidRPr="00CC1ABE">
        <w:rPr>
          <w:rFonts w:ascii="Arial" w:hAnsi="Arial" w:cs="Arial"/>
          <w:sz w:val="20"/>
          <w:szCs w:val="20"/>
        </w:rPr>
        <w:t xml:space="preserve"> 2016</w:t>
      </w:r>
      <w:bookmarkEnd w:id="5"/>
      <w:r w:rsidR="00157D3D" w:rsidRPr="00CC1ABE">
        <w:rPr>
          <w:rFonts w:ascii="Arial" w:hAnsi="Arial" w:cs="Arial"/>
          <w:sz w:val="20"/>
          <w:szCs w:val="20"/>
        </w:rPr>
        <w:t>).</w:t>
      </w:r>
      <w:r w:rsidR="009A2C40" w:rsidRPr="00CC1ABE">
        <w:rPr>
          <w:rFonts w:ascii="Arial" w:hAnsi="Arial" w:cs="Arial"/>
          <w:sz w:val="20"/>
          <w:szCs w:val="20"/>
        </w:rPr>
        <w:t xml:space="preserve"> Tomato plants are able to withstand elevated iodine concentrations, which are retained in their fruits and vegetative tissues at levels that are more than adequate for human consumption</w:t>
      </w:r>
      <w:r w:rsidR="00157D3D" w:rsidRPr="00CC1ABE">
        <w:rPr>
          <w:rFonts w:ascii="Arial" w:hAnsi="Arial" w:cs="Arial"/>
          <w:sz w:val="20"/>
          <w:szCs w:val="20"/>
        </w:rPr>
        <w:t xml:space="preserve"> and</w:t>
      </w:r>
      <w:r w:rsidR="009A2C40" w:rsidRPr="00CC1ABE">
        <w:rPr>
          <w:rFonts w:ascii="Arial" w:hAnsi="Arial" w:cs="Arial"/>
          <w:sz w:val="20"/>
          <w:szCs w:val="20"/>
        </w:rPr>
        <w:t xml:space="preserve"> tomato is a crop that works well for iodine biofortification.</w:t>
      </w:r>
      <w:r w:rsidR="00157D3D" w:rsidRPr="00CC1ABE">
        <w:rPr>
          <w:rFonts w:ascii="Arial" w:hAnsi="Arial" w:cs="Arial"/>
          <w:sz w:val="20"/>
          <w:szCs w:val="20"/>
        </w:rPr>
        <w:t xml:space="preserve"> The amount of iodine found in the fruit of plants treated with 5 mM iodide was more than sufficient to meet a 150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daily consumption need for humans (Landini </w:t>
      </w:r>
      <w:r w:rsidR="00157D3D" w:rsidRPr="00CC1ABE">
        <w:rPr>
          <w:rFonts w:ascii="Arial" w:hAnsi="Arial" w:cs="Arial"/>
          <w:i/>
          <w:sz w:val="20"/>
          <w:szCs w:val="20"/>
        </w:rPr>
        <w:t>et al.,</w:t>
      </w:r>
      <w:r w:rsidR="00157D3D" w:rsidRPr="00CC1ABE">
        <w:rPr>
          <w:rFonts w:ascii="Arial" w:hAnsi="Arial" w:cs="Arial"/>
          <w:sz w:val="20"/>
          <w:szCs w:val="20"/>
        </w:rPr>
        <w:t xml:space="preserve"> 2011). The recommended daily intake of iodine for adults is 150–290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with a tolerable daily maximum of 1,100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(Patrick L,</w:t>
      </w:r>
      <w:r w:rsidR="000C30FA" w:rsidRPr="00CC1ABE">
        <w:rPr>
          <w:rFonts w:ascii="Arial" w:hAnsi="Arial" w:cs="Arial"/>
          <w:sz w:val="20"/>
          <w:szCs w:val="20"/>
        </w:rPr>
        <w:t xml:space="preserve"> </w:t>
      </w:r>
      <w:r w:rsidR="00157D3D" w:rsidRPr="00CC1ABE">
        <w:rPr>
          <w:rFonts w:ascii="Arial" w:hAnsi="Arial" w:cs="Arial"/>
          <w:sz w:val="20"/>
          <w:szCs w:val="20"/>
        </w:rPr>
        <w:t>2008</w:t>
      </w:r>
      <w:r w:rsidR="000C30FA" w:rsidRPr="00CC1ABE">
        <w:rPr>
          <w:rFonts w:ascii="Arial" w:hAnsi="Arial" w:cs="Arial"/>
          <w:sz w:val="20"/>
          <w:szCs w:val="20"/>
        </w:rPr>
        <w:t>;</w:t>
      </w:r>
      <w:r w:rsidR="00157D3D" w:rsidRPr="00CC1ABE">
        <w:rPr>
          <w:rFonts w:ascii="Arial" w:hAnsi="Arial" w:cs="Arial"/>
          <w:sz w:val="20"/>
          <w:szCs w:val="20"/>
        </w:rPr>
        <w:t xml:space="preserve"> WHO</w:t>
      </w:r>
      <w:r w:rsidR="000C30FA" w:rsidRPr="00CC1ABE">
        <w:rPr>
          <w:rFonts w:ascii="Arial" w:hAnsi="Arial" w:cs="Arial"/>
          <w:sz w:val="20"/>
          <w:szCs w:val="20"/>
        </w:rPr>
        <w:t>,</w:t>
      </w:r>
      <w:r w:rsidR="00CC1ABE">
        <w:rPr>
          <w:rFonts w:ascii="Arial" w:hAnsi="Arial" w:cs="Arial"/>
          <w:sz w:val="20"/>
          <w:szCs w:val="20"/>
        </w:rPr>
        <w:t xml:space="preserve"> 2007) (Table 2).</w:t>
      </w:r>
    </w:p>
    <w:p w14:paraId="181CB6C0"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2: Agronomic biofortification of iodine</w:t>
      </w:r>
    </w:p>
    <w:tbl>
      <w:tblPr>
        <w:tblStyle w:val="TableGrid"/>
        <w:tblW w:w="9498" w:type="dxa"/>
        <w:tblInd w:w="-5" w:type="dxa"/>
        <w:tblLook w:val="04A0" w:firstRow="1" w:lastRow="0" w:firstColumn="1" w:lastColumn="0" w:noHBand="0" w:noVBand="1"/>
      </w:tblPr>
      <w:tblGrid>
        <w:gridCol w:w="2552"/>
        <w:gridCol w:w="4536"/>
        <w:gridCol w:w="2410"/>
      </w:tblGrid>
      <w:tr w:rsidR="00CC1ABE" w:rsidRPr="00CC1ABE" w14:paraId="14AC898B" w14:textId="77777777" w:rsidTr="00685654">
        <w:tc>
          <w:tcPr>
            <w:tcW w:w="2552" w:type="dxa"/>
          </w:tcPr>
          <w:p w14:paraId="209BB280" w14:textId="77777777" w:rsidR="00CC1ABE" w:rsidRPr="00CC1ABE" w:rsidRDefault="00CC1ABE" w:rsidP="00685654">
            <w:pPr>
              <w:spacing w:line="360" w:lineRule="auto"/>
              <w:jc w:val="both"/>
              <w:rPr>
                <w:rFonts w:ascii="Arial" w:hAnsi="Arial" w:cs="Arial"/>
                <w:b/>
                <w:bCs/>
                <w:sz w:val="20"/>
                <w:szCs w:val="20"/>
              </w:rPr>
            </w:pPr>
            <w:r w:rsidRPr="00CC1ABE">
              <w:rPr>
                <w:rFonts w:ascii="Arial" w:hAnsi="Arial" w:cs="Arial"/>
                <w:b/>
                <w:bCs/>
                <w:sz w:val="20"/>
                <w:szCs w:val="20"/>
              </w:rPr>
              <w:lastRenderedPageBreak/>
              <w:t>Crop</w:t>
            </w:r>
          </w:p>
        </w:tc>
        <w:tc>
          <w:tcPr>
            <w:tcW w:w="4536" w:type="dxa"/>
          </w:tcPr>
          <w:p w14:paraId="101BAEAC" w14:textId="77777777" w:rsidR="00CC1ABE" w:rsidRPr="00CC1ABE" w:rsidRDefault="00CC1ABE" w:rsidP="00685654">
            <w:pPr>
              <w:spacing w:line="360" w:lineRule="auto"/>
              <w:jc w:val="both"/>
              <w:rPr>
                <w:rFonts w:ascii="Arial" w:hAnsi="Arial" w:cs="Arial"/>
                <w:b/>
                <w:bCs/>
                <w:sz w:val="20"/>
                <w:szCs w:val="20"/>
              </w:rPr>
            </w:pPr>
            <w:r w:rsidRPr="00CC1ABE">
              <w:rPr>
                <w:rFonts w:ascii="Arial" w:hAnsi="Arial" w:cs="Arial"/>
                <w:b/>
                <w:bCs/>
                <w:sz w:val="20"/>
                <w:szCs w:val="20"/>
              </w:rPr>
              <w:t>Treatment</w:t>
            </w:r>
          </w:p>
        </w:tc>
        <w:tc>
          <w:tcPr>
            <w:tcW w:w="2410" w:type="dxa"/>
          </w:tcPr>
          <w:p w14:paraId="1108AB9E" w14:textId="77777777" w:rsidR="00CC1ABE" w:rsidRPr="00CC1ABE" w:rsidRDefault="00CC1ABE" w:rsidP="00685654">
            <w:pPr>
              <w:spacing w:line="360" w:lineRule="auto"/>
              <w:jc w:val="both"/>
              <w:rPr>
                <w:rFonts w:ascii="Arial" w:hAnsi="Arial" w:cs="Arial"/>
                <w:b/>
                <w:bCs/>
                <w:sz w:val="20"/>
                <w:szCs w:val="20"/>
              </w:rPr>
            </w:pPr>
            <w:r w:rsidRPr="00CC1ABE">
              <w:rPr>
                <w:rFonts w:ascii="Arial" w:hAnsi="Arial" w:cs="Arial"/>
                <w:b/>
                <w:bCs/>
                <w:sz w:val="20"/>
                <w:szCs w:val="20"/>
              </w:rPr>
              <w:t>Reference</w:t>
            </w:r>
          </w:p>
        </w:tc>
      </w:tr>
      <w:tr w:rsidR="00CC1ABE" w:rsidRPr="00CC1ABE" w14:paraId="2BA85B2D" w14:textId="77777777" w:rsidTr="00685654">
        <w:tc>
          <w:tcPr>
            <w:tcW w:w="2552" w:type="dxa"/>
          </w:tcPr>
          <w:p w14:paraId="3A25555D"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Tomato</w:t>
            </w:r>
          </w:p>
        </w:tc>
        <w:tc>
          <w:tcPr>
            <w:tcW w:w="4536" w:type="dxa"/>
          </w:tcPr>
          <w:p w14:paraId="4548AFA5"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Potassium iodide (KI), KIO3 +SA, KI+SA @ I-7.88μM and 7.24μM</w:t>
            </w:r>
          </w:p>
        </w:tc>
        <w:tc>
          <w:tcPr>
            <w:tcW w:w="2410" w:type="dxa"/>
          </w:tcPr>
          <w:p w14:paraId="10872523"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Smolen et al., 2015</w:t>
            </w:r>
          </w:p>
        </w:tc>
      </w:tr>
      <w:tr w:rsidR="00CC1ABE" w:rsidRPr="00CC1ABE" w14:paraId="5621BBF6" w14:textId="77777777" w:rsidTr="00685654">
        <w:tc>
          <w:tcPr>
            <w:tcW w:w="2552" w:type="dxa"/>
          </w:tcPr>
          <w:p w14:paraId="74BE8E4F"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Cabbage and cowpea</w:t>
            </w:r>
          </w:p>
        </w:tc>
        <w:tc>
          <w:tcPr>
            <w:tcW w:w="4536" w:type="dxa"/>
          </w:tcPr>
          <w:p w14:paraId="4D66590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Potassium iodide @ 15 kg I /ha </w:t>
            </w:r>
          </w:p>
        </w:tc>
        <w:tc>
          <w:tcPr>
            <w:tcW w:w="2410" w:type="dxa"/>
          </w:tcPr>
          <w:p w14:paraId="6A72EE0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Ojok et al., 2019</w:t>
            </w:r>
          </w:p>
        </w:tc>
      </w:tr>
      <w:tr w:rsidR="00CC1ABE" w:rsidRPr="00CC1ABE" w14:paraId="43A3F7B0" w14:textId="77777777" w:rsidTr="00685654">
        <w:tc>
          <w:tcPr>
            <w:tcW w:w="2552" w:type="dxa"/>
          </w:tcPr>
          <w:p w14:paraId="6734A228"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Carrot</w:t>
            </w:r>
          </w:p>
        </w:tc>
        <w:tc>
          <w:tcPr>
            <w:tcW w:w="4536" w:type="dxa"/>
          </w:tcPr>
          <w:p w14:paraId="693DD7E8"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Iodine dose at 0.5mg/L</w:t>
            </w:r>
          </w:p>
        </w:tc>
        <w:tc>
          <w:tcPr>
            <w:tcW w:w="2410" w:type="dxa"/>
          </w:tcPr>
          <w:p w14:paraId="0490D765"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Dobosy et al., 2020</w:t>
            </w:r>
          </w:p>
        </w:tc>
      </w:tr>
      <w:tr w:rsidR="00CC1ABE" w:rsidRPr="00CC1ABE" w14:paraId="52BDB0E8" w14:textId="77777777" w:rsidTr="00685654">
        <w:tc>
          <w:tcPr>
            <w:tcW w:w="2552" w:type="dxa"/>
          </w:tcPr>
          <w:p w14:paraId="0461E50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Potato </w:t>
            </w:r>
          </w:p>
        </w:tc>
        <w:tc>
          <w:tcPr>
            <w:tcW w:w="4536" w:type="dxa"/>
          </w:tcPr>
          <w:p w14:paraId="3A9CA320"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KIO3 @ 2.0 kg iodine per hectare</w:t>
            </w:r>
          </w:p>
        </w:tc>
        <w:tc>
          <w:tcPr>
            <w:tcW w:w="2410" w:type="dxa"/>
          </w:tcPr>
          <w:p w14:paraId="262ACB15"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Smolen et al., 2020</w:t>
            </w:r>
          </w:p>
        </w:tc>
      </w:tr>
      <w:tr w:rsidR="00CC1ABE" w:rsidRPr="00CC1ABE" w14:paraId="2026D0E1" w14:textId="77777777" w:rsidTr="00685654">
        <w:tc>
          <w:tcPr>
            <w:tcW w:w="2552" w:type="dxa"/>
          </w:tcPr>
          <w:p w14:paraId="52388AA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Leafy greens (Rapeseed and Amaranthus) </w:t>
            </w:r>
          </w:p>
        </w:tc>
        <w:tc>
          <w:tcPr>
            <w:tcW w:w="4536" w:type="dxa"/>
          </w:tcPr>
          <w:p w14:paraId="5E2CD2E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Soil and foliar Iodine application at different concentrations (0, 5, 10 kg/ha)</w:t>
            </w:r>
          </w:p>
        </w:tc>
        <w:tc>
          <w:tcPr>
            <w:tcW w:w="2410" w:type="dxa"/>
          </w:tcPr>
          <w:p w14:paraId="78A2FF3D" w14:textId="77777777" w:rsidR="00CC1ABE" w:rsidRPr="00CC1ABE" w:rsidRDefault="00CC1ABE" w:rsidP="00685654">
            <w:pPr>
              <w:spacing w:line="360" w:lineRule="auto"/>
              <w:jc w:val="both"/>
              <w:rPr>
                <w:rFonts w:ascii="Arial" w:hAnsi="Arial" w:cs="Arial"/>
                <w:sz w:val="20"/>
                <w:szCs w:val="20"/>
              </w:rPr>
            </w:pPr>
            <w:proofErr w:type="spellStart"/>
            <w:r w:rsidRPr="00CC1ABE">
              <w:rPr>
                <w:rFonts w:ascii="Arial" w:hAnsi="Arial" w:cs="Arial"/>
                <w:sz w:val="20"/>
                <w:szCs w:val="20"/>
              </w:rPr>
              <w:t>Ligowe</w:t>
            </w:r>
            <w:proofErr w:type="spellEnd"/>
            <w:r w:rsidRPr="00CC1ABE">
              <w:rPr>
                <w:rFonts w:ascii="Arial" w:hAnsi="Arial" w:cs="Arial"/>
                <w:sz w:val="20"/>
                <w:szCs w:val="20"/>
              </w:rPr>
              <w:t xml:space="preserve"> et al., 2021</w:t>
            </w:r>
          </w:p>
        </w:tc>
      </w:tr>
    </w:tbl>
    <w:p w14:paraId="3A48DB95" w14:textId="5D257EC7" w:rsidR="00CC1ABE" w:rsidRPr="00CC1ABE" w:rsidRDefault="00CC1ABE" w:rsidP="00675A4F">
      <w:pPr>
        <w:spacing w:line="360" w:lineRule="auto"/>
        <w:jc w:val="both"/>
        <w:rPr>
          <w:rFonts w:ascii="Arial" w:hAnsi="Arial" w:cs="Arial"/>
          <w:sz w:val="20"/>
          <w:szCs w:val="20"/>
        </w:rPr>
      </w:pPr>
    </w:p>
    <w:p w14:paraId="055F814C" w14:textId="42A1BF62" w:rsidR="00157D3D" w:rsidRPr="00CC1ABE" w:rsidRDefault="00CC1ABE" w:rsidP="00157D3D">
      <w:pPr>
        <w:rPr>
          <w:rFonts w:ascii="Arial" w:hAnsi="Arial" w:cs="Arial"/>
          <w:b/>
          <w:szCs w:val="20"/>
        </w:rPr>
      </w:pPr>
      <w:r>
        <w:rPr>
          <w:rFonts w:ascii="Arial" w:hAnsi="Arial" w:cs="Arial"/>
          <w:b/>
          <w:szCs w:val="20"/>
        </w:rPr>
        <w:t>3.</w:t>
      </w:r>
      <w:proofErr w:type="gramStart"/>
      <w:r>
        <w:rPr>
          <w:rFonts w:ascii="Arial" w:hAnsi="Arial" w:cs="Arial"/>
          <w:b/>
          <w:szCs w:val="20"/>
        </w:rPr>
        <w:t>3.</w:t>
      </w:r>
      <w:r w:rsidR="00AE4BDB" w:rsidRPr="00CC1ABE">
        <w:rPr>
          <w:rFonts w:ascii="Arial" w:hAnsi="Arial" w:cs="Arial"/>
          <w:b/>
          <w:szCs w:val="20"/>
        </w:rPr>
        <w:t>Zinc</w:t>
      </w:r>
      <w:proofErr w:type="gramEnd"/>
      <w:r w:rsidR="00AE4BDB" w:rsidRPr="00CC1ABE">
        <w:rPr>
          <w:rFonts w:ascii="Arial" w:hAnsi="Arial" w:cs="Arial"/>
          <w:b/>
          <w:szCs w:val="20"/>
        </w:rPr>
        <w:t xml:space="preserve"> biofortification:</w:t>
      </w:r>
    </w:p>
    <w:p w14:paraId="5B11B0EF" w14:textId="56E14D38" w:rsidR="00546A57" w:rsidRDefault="00AE4BDB" w:rsidP="00334F18">
      <w:pPr>
        <w:spacing w:line="360" w:lineRule="auto"/>
        <w:jc w:val="both"/>
        <w:rPr>
          <w:rFonts w:ascii="Arial" w:hAnsi="Arial" w:cs="Arial"/>
          <w:sz w:val="20"/>
          <w:szCs w:val="20"/>
        </w:rPr>
      </w:pPr>
      <w:r w:rsidRPr="00CC1ABE">
        <w:rPr>
          <w:rFonts w:ascii="Arial" w:hAnsi="Arial" w:cs="Arial"/>
          <w:sz w:val="20"/>
          <w:szCs w:val="20"/>
        </w:rPr>
        <w:tab/>
        <w:t>Zinc (Zn) is an important mineral for human health because it plays a crucial role in the creation of proteins and nucleic acids and in maintaining the structure and function of several enzymes. It influences insulin secretion, glucose uptake, and cell differentiation (</w:t>
      </w:r>
      <w:proofErr w:type="spellStart"/>
      <w:r w:rsidRPr="00CC1ABE">
        <w:rPr>
          <w:rFonts w:ascii="Arial" w:hAnsi="Arial" w:cs="Arial"/>
          <w:sz w:val="20"/>
          <w:szCs w:val="20"/>
        </w:rPr>
        <w:t>Roohani</w:t>
      </w:r>
      <w:proofErr w:type="spellEnd"/>
      <w:r w:rsidRPr="00CC1ABE">
        <w:rPr>
          <w:rFonts w:ascii="Arial" w:hAnsi="Arial" w:cs="Arial"/>
          <w:sz w:val="20"/>
          <w:szCs w:val="20"/>
        </w:rPr>
        <w:t xml:space="preserve"> </w:t>
      </w:r>
      <w:r w:rsidRPr="00CC1ABE">
        <w:rPr>
          <w:rFonts w:ascii="Arial" w:hAnsi="Arial" w:cs="Arial"/>
          <w:i/>
          <w:sz w:val="20"/>
          <w:szCs w:val="20"/>
        </w:rPr>
        <w:t>et al.,</w:t>
      </w:r>
      <w:r w:rsidRPr="00CC1ABE">
        <w:rPr>
          <w:rFonts w:ascii="Arial" w:hAnsi="Arial" w:cs="Arial"/>
          <w:sz w:val="20"/>
          <w:szCs w:val="20"/>
        </w:rPr>
        <w:t xml:space="preserve"> 2013). In regions where zinc is deficit, biofortification can help address the problem and enhance the nutritional content of crops. In India, 36.5% of the country's agricultural land is zinc deficient, and growing crops on these soils lowers the amount of zinc in the edible parts of the crops (</w:t>
      </w:r>
      <w:bookmarkStart w:id="6" w:name="_Hlk151808409"/>
      <w:r w:rsidRPr="00CC1ABE">
        <w:rPr>
          <w:rFonts w:ascii="Arial" w:hAnsi="Arial" w:cs="Arial"/>
          <w:sz w:val="20"/>
          <w:szCs w:val="20"/>
        </w:rPr>
        <w:t xml:space="preserve">Shukla </w:t>
      </w:r>
      <w:r w:rsidRPr="00CC1ABE">
        <w:rPr>
          <w:rFonts w:ascii="Arial" w:hAnsi="Arial" w:cs="Arial"/>
          <w:i/>
          <w:sz w:val="20"/>
          <w:szCs w:val="20"/>
        </w:rPr>
        <w:t>et al.,</w:t>
      </w:r>
      <w:r w:rsidRPr="00CC1ABE">
        <w:rPr>
          <w:rFonts w:ascii="Arial" w:hAnsi="Arial" w:cs="Arial"/>
          <w:sz w:val="20"/>
          <w:szCs w:val="20"/>
        </w:rPr>
        <w:t xml:space="preserve"> 2018</w:t>
      </w:r>
      <w:bookmarkEnd w:id="6"/>
      <w:r w:rsidRPr="00CC1ABE">
        <w:rPr>
          <w:rFonts w:ascii="Arial" w:hAnsi="Arial" w:cs="Arial"/>
          <w:sz w:val="20"/>
          <w:szCs w:val="20"/>
        </w:rPr>
        <w:t>). There have been numerous reports of successful agronomic biofortifica</w:t>
      </w:r>
      <w:r w:rsidR="00CC1ABE">
        <w:rPr>
          <w:rFonts w:ascii="Arial" w:hAnsi="Arial" w:cs="Arial"/>
          <w:sz w:val="20"/>
          <w:szCs w:val="20"/>
        </w:rPr>
        <w:t>tions of zinc in various crops (Table 3).</w:t>
      </w:r>
    </w:p>
    <w:p w14:paraId="5983013D"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3: Agronomic biofortification of zinc</w:t>
      </w:r>
    </w:p>
    <w:tbl>
      <w:tblPr>
        <w:tblStyle w:val="TableGrid"/>
        <w:tblW w:w="9214" w:type="dxa"/>
        <w:tblInd w:w="-5" w:type="dxa"/>
        <w:tblLook w:val="04A0" w:firstRow="1" w:lastRow="0" w:firstColumn="1" w:lastColumn="0" w:noHBand="0" w:noVBand="1"/>
      </w:tblPr>
      <w:tblGrid>
        <w:gridCol w:w="3010"/>
        <w:gridCol w:w="3511"/>
        <w:gridCol w:w="2693"/>
      </w:tblGrid>
      <w:tr w:rsidR="00CC1ABE" w:rsidRPr="00CC1ABE" w14:paraId="706124B3" w14:textId="77777777" w:rsidTr="00685654">
        <w:tc>
          <w:tcPr>
            <w:tcW w:w="3010" w:type="dxa"/>
          </w:tcPr>
          <w:p w14:paraId="11D35BC0"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b/>
                <w:bCs/>
                <w:sz w:val="20"/>
                <w:szCs w:val="20"/>
              </w:rPr>
              <w:t>Crop</w:t>
            </w:r>
          </w:p>
        </w:tc>
        <w:tc>
          <w:tcPr>
            <w:tcW w:w="3511" w:type="dxa"/>
          </w:tcPr>
          <w:p w14:paraId="74739F60"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b/>
                <w:bCs/>
                <w:sz w:val="20"/>
                <w:szCs w:val="20"/>
              </w:rPr>
              <w:t>Treatment</w:t>
            </w:r>
          </w:p>
        </w:tc>
        <w:tc>
          <w:tcPr>
            <w:tcW w:w="2693" w:type="dxa"/>
          </w:tcPr>
          <w:p w14:paraId="12B622C9"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b/>
                <w:bCs/>
                <w:sz w:val="20"/>
                <w:szCs w:val="20"/>
              </w:rPr>
              <w:t>Reference</w:t>
            </w:r>
          </w:p>
        </w:tc>
      </w:tr>
      <w:tr w:rsidR="00CC1ABE" w:rsidRPr="00CC1ABE" w14:paraId="5B2610C9" w14:textId="77777777" w:rsidTr="00685654">
        <w:tc>
          <w:tcPr>
            <w:tcW w:w="3010" w:type="dxa"/>
          </w:tcPr>
          <w:p w14:paraId="59C9E34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Brassicaceae microgreens (Arugula, red cabbage and red mustard)</w:t>
            </w:r>
          </w:p>
        </w:tc>
        <w:tc>
          <w:tcPr>
            <w:tcW w:w="3511" w:type="dxa"/>
          </w:tcPr>
          <w:p w14:paraId="31203B1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Soilless media: ZnSO4 (5–10mg/L)</w:t>
            </w:r>
          </w:p>
        </w:tc>
        <w:tc>
          <w:tcPr>
            <w:tcW w:w="2693" w:type="dxa"/>
          </w:tcPr>
          <w:p w14:paraId="3C887CB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Gioia et al., 2019</w:t>
            </w:r>
          </w:p>
        </w:tc>
      </w:tr>
      <w:tr w:rsidR="00CC1ABE" w:rsidRPr="00CC1ABE" w14:paraId="02460DC9" w14:textId="77777777" w:rsidTr="00685654">
        <w:tc>
          <w:tcPr>
            <w:tcW w:w="3010" w:type="dxa"/>
          </w:tcPr>
          <w:p w14:paraId="5E5EDCB7"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Lettuce </w:t>
            </w:r>
          </w:p>
        </w:tc>
        <w:tc>
          <w:tcPr>
            <w:tcW w:w="3511" w:type="dxa"/>
          </w:tcPr>
          <w:p w14:paraId="78462F5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Different Zn doses (0,5, 10, 20, 30mg kg</w:t>
            </w:r>
            <w:r w:rsidRPr="00CC1ABE">
              <w:rPr>
                <w:rFonts w:ascii="Arial" w:hAnsi="Arial" w:cs="Arial"/>
                <w:sz w:val="20"/>
                <w:szCs w:val="20"/>
                <w:vertAlign w:val="superscript"/>
              </w:rPr>
              <w:t>-1</w:t>
            </w:r>
            <w:r w:rsidRPr="00CC1ABE">
              <w:rPr>
                <w:rFonts w:ascii="Arial" w:hAnsi="Arial" w:cs="Arial"/>
                <w:sz w:val="20"/>
                <w:szCs w:val="20"/>
              </w:rPr>
              <w:t>)</w:t>
            </w:r>
          </w:p>
        </w:tc>
        <w:tc>
          <w:tcPr>
            <w:tcW w:w="2693" w:type="dxa"/>
          </w:tcPr>
          <w:p w14:paraId="37924AA3"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Almeida et al., 2020</w:t>
            </w:r>
          </w:p>
        </w:tc>
      </w:tr>
      <w:tr w:rsidR="00CC1ABE" w:rsidRPr="00CC1ABE" w14:paraId="45A0B31C" w14:textId="77777777" w:rsidTr="00685654">
        <w:tc>
          <w:tcPr>
            <w:tcW w:w="3010" w:type="dxa"/>
          </w:tcPr>
          <w:p w14:paraId="548B7ED5"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Broccoli </w:t>
            </w:r>
          </w:p>
        </w:tc>
        <w:tc>
          <w:tcPr>
            <w:tcW w:w="3511" w:type="dxa"/>
          </w:tcPr>
          <w:p w14:paraId="068D8EA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0.25% ZnSO4. 7 H2O @ 15mL per pot</w:t>
            </w:r>
          </w:p>
        </w:tc>
        <w:tc>
          <w:tcPr>
            <w:tcW w:w="2693" w:type="dxa"/>
          </w:tcPr>
          <w:p w14:paraId="7FA70611"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Rivera-Martin et al., 2020</w:t>
            </w:r>
          </w:p>
        </w:tc>
      </w:tr>
    </w:tbl>
    <w:p w14:paraId="4104199B" w14:textId="77777777" w:rsidR="00CC1ABE" w:rsidRPr="00CC1ABE" w:rsidRDefault="00CC1ABE" w:rsidP="00CC1ABE">
      <w:pPr>
        <w:spacing w:line="360" w:lineRule="auto"/>
        <w:jc w:val="both"/>
        <w:rPr>
          <w:rFonts w:ascii="Arial" w:hAnsi="Arial" w:cs="Arial"/>
          <w:b/>
          <w:sz w:val="20"/>
          <w:szCs w:val="20"/>
        </w:rPr>
      </w:pPr>
    </w:p>
    <w:p w14:paraId="523BC1B4" w14:textId="77777777" w:rsidR="00CC1ABE" w:rsidRPr="00CC1ABE" w:rsidRDefault="00CC1ABE" w:rsidP="00334F18">
      <w:pPr>
        <w:spacing w:line="360" w:lineRule="auto"/>
        <w:jc w:val="both"/>
        <w:rPr>
          <w:rFonts w:ascii="Arial" w:hAnsi="Arial" w:cs="Arial"/>
          <w:sz w:val="20"/>
          <w:szCs w:val="20"/>
        </w:rPr>
      </w:pPr>
    </w:p>
    <w:p w14:paraId="5C4FF4DC" w14:textId="09DD8D8D" w:rsidR="00AD03AB" w:rsidRPr="00CC1ABE" w:rsidRDefault="00CC1ABE" w:rsidP="00334F18">
      <w:pPr>
        <w:spacing w:line="360" w:lineRule="auto"/>
        <w:jc w:val="both"/>
        <w:rPr>
          <w:rFonts w:ascii="Arial" w:hAnsi="Arial" w:cs="Arial"/>
          <w:b/>
          <w:szCs w:val="20"/>
        </w:rPr>
      </w:pPr>
      <w:r>
        <w:rPr>
          <w:rFonts w:ascii="Arial" w:hAnsi="Arial" w:cs="Arial"/>
          <w:b/>
          <w:szCs w:val="20"/>
        </w:rPr>
        <w:t>3.</w:t>
      </w:r>
      <w:proofErr w:type="gramStart"/>
      <w:r>
        <w:rPr>
          <w:rFonts w:ascii="Arial" w:hAnsi="Arial" w:cs="Arial"/>
          <w:b/>
          <w:szCs w:val="20"/>
        </w:rPr>
        <w:t>4.</w:t>
      </w:r>
      <w:r w:rsidR="00AD03AB" w:rsidRPr="00CC1ABE">
        <w:rPr>
          <w:rFonts w:ascii="Arial" w:hAnsi="Arial" w:cs="Arial"/>
          <w:b/>
          <w:szCs w:val="20"/>
        </w:rPr>
        <w:t>Selenium</w:t>
      </w:r>
      <w:proofErr w:type="gramEnd"/>
      <w:r w:rsidR="00AD03AB" w:rsidRPr="00CC1ABE">
        <w:rPr>
          <w:rFonts w:ascii="Arial" w:hAnsi="Arial" w:cs="Arial"/>
          <w:b/>
          <w:szCs w:val="20"/>
        </w:rPr>
        <w:t xml:space="preserve"> biofortification:</w:t>
      </w:r>
    </w:p>
    <w:p w14:paraId="020109D8" w14:textId="21C6FEB5" w:rsidR="00675A4F" w:rsidRDefault="00AD03AB" w:rsidP="0043258E">
      <w:pPr>
        <w:spacing w:line="360" w:lineRule="auto"/>
        <w:jc w:val="both"/>
        <w:rPr>
          <w:rFonts w:ascii="Arial" w:hAnsi="Arial" w:cs="Arial"/>
          <w:sz w:val="20"/>
          <w:szCs w:val="20"/>
        </w:rPr>
      </w:pPr>
      <w:r w:rsidRPr="00CC1ABE">
        <w:rPr>
          <w:rFonts w:ascii="Arial" w:hAnsi="Arial" w:cs="Arial"/>
          <w:sz w:val="20"/>
          <w:szCs w:val="20"/>
        </w:rPr>
        <w:tab/>
      </w:r>
      <w:r w:rsidR="00CA76FA" w:rsidRPr="00CC1ABE">
        <w:rPr>
          <w:rFonts w:ascii="Arial" w:hAnsi="Arial" w:cs="Arial"/>
          <w:sz w:val="20"/>
          <w:szCs w:val="20"/>
        </w:rPr>
        <w:t xml:space="preserve">A necessary trace mineral, selenium (Se) is a component of </w:t>
      </w:r>
      <w:proofErr w:type="spellStart"/>
      <w:r w:rsidR="00CA76FA" w:rsidRPr="00CC1ABE">
        <w:rPr>
          <w:rFonts w:ascii="Arial" w:hAnsi="Arial" w:cs="Arial"/>
          <w:sz w:val="20"/>
          <w:szCs w:val="20"/>
        </w:rPr>
        <w:t>selenoproteins</w:t>
      </w:r>
      <w:proofErr w:type="spellEnd"/>
      <w:r w:rsidR="00CA76FA" w:rsidRPr="00CC1ABE">
        <w:rPr>
          <w:rFonts w:ascii="Arial" w:hAnsi="Arial" w:cs="Arial"/>
          <w:sz w:val="20"/>
          <w:szCs w:val="20"/>
        </w:rPr>
        <w:t xml:space="preserve"> like glutathione peroxidase, which have a major role in enzymatic processes. Selenium (Se) is primarily linked to immune function and cancer prevention in human metabolism. It is important for brain function, mood, thyroid health, and cardiovascular disease (Rayman, 2012). </w:t>
      </w:r>
      <w:proofErr w:type="spellStart"/>
      <w:r w:rsidR="00CA76FA" w:rsidRPr="00CC1ABE">
        <w:rPr>
          <w:rFonts w:ascii="Arial" w:hAnsi="Arial" w:cs="Arial"/>
          <w:sz w:val="20"/>
          <w:szCs w:val="20"/>
        </w:rPr>
        <w:t>Se</w:t>
      </w:r>
      <w:proofErr w:type="spellEnd"/>
      <w:r w:rsidR="00CA76FA" w:rsidRPr="00CC1ABE">
        <w:rPr>
          <w:rFonts w:ascii="Arial" w:hAnsi="Arial" w:cs="Arial"/>
          <w:sz w:val="20"/>
          <w:szCs w:val="20"/>
        </w:rPr>
        <w:t xml:space="preserve"> is not necessary for plants</w:t>
      </w:r>
      <w:r w:rsidR="00334F18" w:rsidRPr="00CC1ABE">
        <w:rPr>
          <w:rFonts w:ascii="Arial" w:hAnsi="Arial" w:cs="Arial"/>
          <w:sz w:val="20"/>
          <w:szCs w:val="20"/>
        </w:rPr>
        <w:t xml:space="preserve"> (</w:t>
      </w:r>
      <w:bookmarkStart w:id="7" w:name="_Hlk151809814"/>
      <w:r w:rsidR="00334F18" w:rsidRPr="00CC1ABE">
        <w:rPr>
          <w:rFonts w:ascii="Arial" w:hAnsi="Arial" w:cs="Arial"/>
          <w:sz w:val="20"/>
          <w:szCs w:val="20"/>
        </w:rPr>
        <w:t xml:space="preserve">Boldrin </w:t>
      </w:r>
      <w:r w:rsidR="00334F18" w:rsidRPr="00CC1ABE">
        <w:rPr>
          <w:rFonts w:ascii="Arial" w:hAnsi="Arial" w:cs="Arial"/>
          <w:i/>
          <w:sz w:val="20"/>
          <w:szCs w:val="20"/>
        </w:rPr>
        <w:t>et al.,</w:t>
      </w:r>
      <w:r w:rsidR="00334F18" w:rsidRPr="00CC1ABE">
        <w:rPr>
          <w:rFonts w:ascii="Arial" w:hAnsi="Arial" w:cs="Arial"/>
          <w:sz w:val="20"/>
          <w:szCs w:val="20"/>
        </w:rPr>
        <w:t xml:space="preserve"> 2012; Ramos </w:t>
      </w:r>
      <w:r w:rsidR="00334F18" w:rsidRPr="00CC1ABE">
        <w:rPr>
          <w:rFonts w:ascii="Arial" w:hAnsi="Arial" w:cs="Arial"/>
          <w:i/>
          <w:sz w:val="20"/>
          <w:szCs w:val="20"/>
        </w:rPr>
        <w:t>et al.,</w:t>
      </w:r>
      <w:r w:rsidR="00334F18" w:rsidRPr="00CC1ABE">
        <w:rPr>
          <w:rFonts w:ascii="Arial" w:hAnsi="Arial" w:cs="Arial"/>
          <w:sz w:val="20"/>
          <w:szCs w:val="20"/>
        </w:rPr>
        <w:t xml:space="preserve"> 2011</w:t>
      </w:r>
      <w:bookmarkEnd w:id="7"/>
      <w:r w:rsidR="00334F18" w:rsidRPr="00CC1ABE">
        <w:rPr>
          <w:rFonts w:ascii="Arial" w:hAnsi="Arial" w:cs="Arial"/>
          <w:sz w:val="20"/>
          <w:szCs w:val="20"/>
        </w:rPr>
        <w:t>)</w:t>
      </w:r>
      <w:r w:rsidR="00CA76FA" w:rsidRPr="00CC1ABE">
        <w:rPr>
          <w:rFonts w:ascii="Arial" w:hAnsi="Arial" w:cs="Arial"/>
          <w:sz w:val="20"/>
          <w:szCs w:val="20"/>
        </w:rPr>
        <w:t xml:space="preserve">, however when given in small amounts, it helps certain plant species by boosting the activity of several enzyme systems. In certain plants, selenium alone or in combination with iodine has been shown to improve quality and concentration. </w:t>
      </w:r>
      <w:bookmarkStart w:id="8" w:name="_Hlk151886426"/>
      <w:r w:rsidR="00FD495B" w:rsidRPr="00CC1ABE">
        <w:rPr>
          <w:rFonts w:ascii="Arial" w:hAnsi="Arial" w:cs="Arial"/>
          <w:sz w:val="20"/>
          <w:szCs w:val="20"/>
        </w:rPr>
        <w:t>Adhikari (2012)</w:t>
      </w:r>
      <w:bookmarkEnd w:id="8"/>
      <w:r w:rsidR="00FD495B" w:rsidRPr="00CC1ABE">
        <w:rPr>
          <w:rFonts w:ascii="Arial" w:hAnsi="Arial" w:cs="Arial"/>
          <w:sz w:val="20"/>
          <w:szCs w:val="20"/>
        </w:rPr>
        <w:t xml:space="preserve"> used foliar application of a solution of 77Se</w:t>
      </w:r>
      <w:r w:rsidR="00AB27C0" w:rsidRPr="00CC1ABE">
        <w:rPr>
          <w:rFonts w:ascii="Arial" w:hAnsi="Arial" w:cs="Arial"/>
          <w:sz w:val="20"/>
          <w:szCs w:val="20"/>
        </w:rPr>
        <w:t xml:space="preserve"> </w:t>
      </w:r>
      <w:r w:rsidR="00FD495B" w:rsidRPr="00CC1ABE">
        <w:rPr>
          <w:rFonts w:ascii="Arial" w:hAnsi="Arial" w:cs="Arial"/>
          <w:sz w:val="20"/>
          <w:szCs w:val="20"/>
        </w:rPr>
        <w:t xml:space="preserve">(IV) that was enriched to 99.7% to study the selenium content in three onion </w:t>
      </w:r>
      <w:r w:rsidR="00FD495B" w:rsidRPr="00CC1ABE">
        <w:rPr>
          <w:rFonts w:ascii="Arial" w:hAnsi="Arial" w:cs="Arial"/>
          <w:sz w:val="20"/>
          <w:szCs w:val="20"/>
        </w:rPr>
        <w:lastRenderedPageBreak/>
        <w:t xml:space="preserve">varieties: Summit, </w:t>
      </w:r>
      <w:proofErr w:type="spellStart"/>
      <w:r w:rsidR="00FD495B" w:rsidRPr="00CC1ABE">
        <w:rPr>
          <w:rFonts w:ascii="Arial" w:hAnsi="Arial" w:cs="Arial"/>
          <w:sz w:val="20"/>
          <w:szCs w:val="20"/>
        </w:rPr>
        <w:t>Hytec</w:t>
      </w:r>
      <w:proofErr w:type="spellEnd"/>
      <w:r w:rsidR="00FD495B" w:rsidRPr="00CC1ABE">
        <w:rPr>
          <w:rFonts w:ascii="Arial" w:hAnsi="Arial" w:cs="Arial"/>
          <w:sz w:val="20"/>
          <w:szCs w:val="20"/>
        </w:rPr>
        <w:t>, and Red Baron and discovered that the Red Baron variety had the highest selenium content when 50 mg of selenium was applied. With increasing Se fertilization, the concentration of Se increases for all varieties. Many vegetable crops have had success with selenium biofortification employing either Na selenite or Na selenate.</w:t>
      </w:r>
      <w:r w:rsidR="00A558B9" w:rsidRPr="00CC1ABE">
        <w:rPr>
          <w:rFonts w:ascii="Arial" w:hAnsi="Arial" w:cs="Arial"/>
          <w:sz w:val="20"/>
          <w:szCs w:val="20"/>
        </w:rPr>
        <w:t xml:space="preserve"> Additionally, Se having antioxidant and antisenescence properties that prolong shelf life during postharvest storage (</w:t>
      </w:r>
      <w:bookmarkStart w:id="9" w:name="_Hlk151886715"/>
      <w:r w:rsidR="00A558B9" w:rsidRPr="00CC1ABE">
        <w:rPr>
          <w:rFonts w:ascii="Arial" w:hAnsi="Arial" w:cs="Arial"/>
          <w:sz w:val="20"/>
          <w:szCs w:val="20"/>
        </w:rPr>
        <w:t xml:space="preserve">Puccinelli </w:t>
      </w:r>
      <w:r w:rsidR="00A558B9" w:rsidRPr="00CC1ABE">
        <w:rPr>
          <w:rFonts w:ascii="Arial" w:hAnsi="Arial" w:cs="Arial"/>
          <w:i/>
          <w:sz w:val="20"/>
          <w:szCs w:val="20"/>
        </w:rPr>
        <w:t>et al.,</w:t>
      </w:r>
      <w:r w:rsidR="00A558B9" w:rsidRPr="00CC1ABE">
        <w:rPr>
          <w:rFonts w:ascii="Arial" w:hAnsi="Arial" w:cs="Arial"/>
          <w:sz w:val="20"/>
          <w:szCs w:val="20"/>
        </w:rPr>
        <w:t xml:space="preserve"> 2017</w:t>
      </w:r>
      <w:bookmarkEnd w:id="9"/>
      <w:r w:rsidR="00A558B9" w:rsidRPr="00CC1ABE">
        <w:rPr>
          <w:rFonts w:ascii="Arial" w:hAnsi="Arial" w:cs="Arial"/>
          <w:sz w:val="20"/>
          <w:szCs w:val="20"/>
        </w:rPr>
        <w:t>).</w:t>
      </w:r>
      <w:r w:rsidR="00862746" w:rsidRPr="00CC1ABE">
        <w:rPr>
          <w:rFonts w:ascii="Arial" w:hAnsi="Arial" w:cs="Arial"/>
          <w:sz w:val="20"/>
          <w:szCs w:val="20"/>
        </w:rPr>
        <w:t xml:space="preserve"> However, due to the high toxicity of selenium, particularly when present in the form of selenate, agricultural workers and product safety need to</w:t>
      </w:r>
      <w:r w:rsidR="00CC1ABE">
        <w:rPr>
          <w:rFonts w:ascii="Arial" w:hAnsi="Arial" w:cs="Arial"/>
          <w:sz w:val="20"/>
          <w:szCs w:val="20"/>
        </w:rPr>
        <w:t xml:space="preserve"> be given careful consideration (Table 4).</w:t>
      </w:r>
    </w:p>
    <w:p w14:paraId="436792B7"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4: Agronomic biofortification of selenium</w:t>
      </w:r>
    </w:p>
    <w:tbl>
      <w:tblPr>
        <w:tblStyle w:val="TableGrid"/>
        <w:tblW w:w="0" w:type="auto"/>
        <w:tblLook w:val="04A0" w:firstRow="1" w:lastRow="0" w:firstColumn="1" w:lastColumn="0" w:noHBand="0" w:noVBand="1"/>
      </w:tblPr>
      <w:tblGrid>
        <w:gridCol w:w="1980"/>
        <w:gridCol w:w="4030"/>
        <w:gridCol w:w="3006"/>
      </w:tblGrid>
      <w:tr w:rsidR="00CC1ABE" w:rsidRPr="00CC1ABE" w14:paraId="3AE17FBF" w14:textId="77777777" w:rsidTr="00685654">
        <w:tc>
          <w:tcPr>
            <w:tcW w:w="1980" w:type="dxa"/>
          </w:tcPr>
          <w:p w14:paraId="77744587"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b/>
                <w:bCs/>
                <w:sz w:val="20"/>
                <w:szCs w:val="20"/>
              </w:rPr>
              <w:t>Crop</w:t>
            </w:r>
          </w:p>
        </w:tc>
        <w:tc>
          <w:tcPr>
            <w:tcW w:w="4030" w:type="dxa"/>
          </w:tcPr>
          <w:p w14:paraId="429C3E16"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b/>
                <w:bCs/>
                <w:sz w:val="20"/>
                <w:szCs w:val="20"/>
              </w:rPr>
              <w:t>Treatment</w:t>
            </w:r>
          </w:p>
        </w:tc>
        <w:tc>
          <w:tcPr>
            <w:tcW w:w="3006" w:type="dxa"/>
          </w:tcPr>
          <w:p w14:paraId="7F069726"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b/>
                <w:bCs/>
                <w:sz w:val="20"/>
                <w:szCs w:val="20"/>
              </w:rPr>
              <w:t>Reference</w:t>
            </w:r>
          </w:p>
        </w:tc>
      </w:tr>
      <w:tr w:rsidR="00CC1ABE" w:rsidRPr="00CC1ABE" w14:paraId="34DDB32B" w14:textId="77777777" w:rsidTr="00685654">
        <w:tc>
          <w:tcPr>
            <w:tcW w:w="1980" w:type="dxa"/>
          </w:tcPr>
          <w:p w14:paraId="77EE8E70" w14:textId="77777777" w:rsidR="00CC1ABE" w:rsidRPr="00CC1ABE" w:rsidRDefault="00CC1ABE" w:rsidP="00685654">
            <w:pPr>
              <w:spacing w:line="360" w:lineRule="auto"/>
              <w:jc w:val="both"/>
              <w:rPr>
                <w:rFonts w:ascii="Arial" w:hAnsi="Arial" w:cs="Arial"/>
                <w:b/>
                <w:bCs/>
                <w:sz w:val="20"/>
                <w:szCs w:val="20"/>
              </w:rPr>
            </w:pPr>
            <w:r w:rsidRPr="00CC1ABE">
              <w:rPr>
                <w:rFonts w:ascii="Arial" w:hAnsi="Arial" w:cs="Arial"/>
                <w:sz w:val="20"/>
                <w:szCs w:val="20"/>
              </w:rPr>
              <w:t xml:space="preserve">Tomato </w:t>
            </w:r>
          </w:p>
        </w:tc>
        <w:tc>
          <w:tcPr>
            <w:tcW w:w="4030" w:type="dxa"/>
          </w:tcPr>
          <w:p w14:paraId="15DB468B" w14:textId="77777777" w:rsidR="00CC1ABE" w:rsidRPr="00CC1ABE" w:rsidRDefault="00CC1ABE" w:rsidP="00685654">
            <w:pPr>
              <w:spacing w:line="360" w:lineRule="auto"/>
              <w:jc w:val="both"/>
              <w:rPr>
                <w:rFonts w:ascii="Arial" w:hAnsi="Arial" w:cs="Arial"/>
                <w:b/>
                <w:bCs/>
                <w:sz w:val="20"/>
                <w:szCs w:val="20"/>
                <w:vertAlign w:val="superscript"/>
              </w:rPr>
            </w:pPr>
            <w:r w:rsidRPr="00CC1ABE">
              <w:rPr>
                <w:rFonts w:ascii="Arial" w:hAnsi="Arial" w:cs="Arial"/>
                <w:sz w:val="20"/>
                <w:szCs w:val="20"/>
              </w:rPr>
              <w:t>Selenium dose at 10mgL</w:t>
            </w:r>
            <w:r w:rsidRPr="00CC1ABE">
              <w:rPr>
                <w:rFonts w:ascii="Arial" w:hAnsi="Arial" w:cs="Arial"/>
                <w:sz w:val="20"/>
                <w:szCs w:val="20"/>
                <w:vertAlign w:val="superscript"/>
              </w:rPr>
              <w:t>-1</w:t>
            </w:r>
          </w:p>
        </w:tc>
        <w:tc>
          <w:tcPr>
            <w:tcW w:w="3006" w:type="dxa"/>
          </w:tcPr>
          <w:p w14:paraId="182DECAF" w14:textId="77777777" w:rsidR="00CC1ABE" w:rsidRPr="00CC1ABE" w:rsidRDefault="00CC1ABE" w:rsidP="00685654">
            <w:pPr>
              <w:spacing w:line="360" w:lineRule="auto"/>
              <w:jc w:val="both"/>
              <w:rPr>
                <w:rFonts w:ascii="Arial" w:hAnsi="Arial" w:cs="Arial"/>
                <w:b/>
                <w:bCs/>
                <w:sz w:val="20"/>
                <w:szCs w:val="20"/>
              </w:rPr>
            </w:pPr>
            <w:r w:rsidRPr="00CC1ABE">
              <w:rPr>
                <w:rFonts w:ascii="Arial" w:hAnsi="Arial" w:cs="Arial"/>
                <w:sz w:val="20"/>
                <w:szCs w:val="20"/>
              </w:rPr>
              <w:t>Narvaez et al., 2018</w:t>
            </w:r>
          </w:p>
        </w:tc>
      </w:tr>
      <w:tr w:rsidR="00CC1ABE" w:rsidRPr="00CC1ABE" w14:paraId="57412020" w14:textId="77777777" w:rsidTr="00685654">
        <w:tc>
          <w:tcPr>
            <w:tcW w:w="1980" w:type="dxa"/>
          </w:tcPr>
          <w:p w14:paraId="382F37F0"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Carrot </w:t>
            </w:r>
          </w:p>
        </w:tc>
        <w:tc>
          <w:tcPr>
            <w:tcW w:w="4030" w:type="dxa"/>
          </w:tcPr>
          <w:p w14:paraId="0681B853" w14:textId="77777777" w:rsidR="00CC1ABE" w:rsidRPr="00CC1ABE" w:rsidRDefault="00CC1ABE" w:rsidP="00685654">
            <w:pPr>
              <w:spacing w:line="360" w:lineRule="auto"/>
              <w:jc w:val="both"/>
              <w:rPr>
                <w:rFonts w:ascii="Arial" w:hAnsi="Arial" w:cs="Arial"/>
                <w:sz w:val="20"/>
                <w:szCs w:val="20"/>
                <w:vertAlign w:val="subscript"/>
              </w:rPr>
            </w:pPr>
            <w:r w:rsidRPr="00CC1ABE">
              <w:rPr>
                <w:rFonts w:ascii="Arial" w:hAnsi="Arial" w:cs="Arial"/>
                <w:sz w:val="20"/>
                <w:szCs w:val="20"/>
              </w:rPr>
              <w:t>KI+Na</w:t>
            </w:r>
            <w:r w:rsidRPr="00CC1ABE">
              <w:rPr>
                <w:rFonts w:ascii="Arial" w:hAnsi="Arial" w:cs="Arial"/>
                <w:sz w:val="20"/>
                <w:szCs w:val="20"/>
                <w:vertAlign w:val="subscript"/>
              </w:rPr>
              <w:t>2</w:t>
            </w:r>
            <w:r w:rsidRPr="00CC1ABE">
              <w:rPr>
                <w:rFonts w:ascii="Arial" w:hAnsi="Arial" w:cs="Arial"/>
                <w:sz w:val="20"/>
                <w:szCs w:val="20"/>
              </w:rPr>
              <w:t>SeO</w:t>
            </w:r>
            <w:r w:rsidRPr="00CC1ABE">
              <w:rPr>
                <w:rFonts w:ascii="Arial" w:hAnsi="Arial" w:cs="Arial"/>
                <w:sz w:val="20"/>
                <w:szCs w:val="20"/>
                <w:vertAlign w:val="subscript"/>
              </w:rPr>
              <w:t>3</w:t>
            </w:r>
            <w:r w:rsidRPr="00CC1ABE">
              <w:rPr>
                <w:rFonts w:ascii="Arial" w:hAnsi="Arial" w:cs="Arial"/>
                <w:sz w:val="20"/>
                <w:szCs w:val="20"/>
              </w:rPr>
              <w:t xml:space="preserve"> &amp; KIO</w:t>
            </w:r>
            <w:r w:rsidRPr="00CC1ABE">
              <w:rPr>
                <w:rFonts w:ascii="Arial" w:hAnsi="Arial" w:cs="Arial"/>
                <w:sz w:val="20"/>
                <w:szCs w:val="20"/>
                <w:vertAlign w:val="subscript"/>
              </w:rPr>
              <w:t>3</w:t>
            </w:r>
            <w:r w:rsidRPr="00CC1ABE">
              <w:rPr>
                <w:rFonts w:ascii="Arial" w:hAnsi="Arial" w:cs="Arial"/>
                <w:sz w:val="20"/>
                <w:szCs w:val="20"/>
              </w:rPr>
              <w:t>+Na</w:t>
            </w:r>
            <w:r w:rsidRPr="00CC1ABE">
              <w:rPr>
                <w:rFonts w:ascii="Arial" w:hAnsi="Arial" w:cs="Arial"/>
                <w:sz w:val="20"/>
                <w:szCs w:val="20"/>
                <w:vertAlign w:val="subscript"/>
              </w:rPr>
              <w:t>2</w:t>
            </w:r>
            <w:r w:rsidRPr="00CC1ABE">
              <w:rPr>
                <w:rFonts w:ascii="Arial" w:hAnsi="Arial" w:cs="Arial"/>
                <w:sz w:val="20"/>
                <w:szCs w:val="20"/>
              </w:rPr>
              <w:t>SeO</w:t>
            </w:r>
            <w:r w:rsidRPr="00CC1ABE">
              <w:rPr>
                <w:rFonts w:ascii="Arial" w:hAnsi="Arial" w:cs="Arial"/>
                <w:sz w:val="20"/>
                <w:szCs w:val="20"/>
                <w:vertAlign w:val="subscript"/>
              </w:rPr>
              <w:t>3</w:t>
            </w:r>
          </w:p>
        </w:tc>
        <w:tc>
          <w:tcPr>
            <w:tcW w:w="3006" w:type="dxa"/>
          </w:tcPr>
          <w:p w14:paraId="3988FC3A"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Smolen et al., 2016</w:t>
            </w:r>
          </w:p>
        </w:tc>
      </w:tr>
      <w:tr w:rsidR="00CC1ABE" w:rsidRPr="00CC1ABE" w14:paraId="65973C4E" w14:textId="77777777" w:rsidTr="00685654">
        <w:tc>
          <w:tcPr>
            <w:tcW w:w="1980" w:type="dxa"/>
          </w:tcPr>
          <w:p w14:paraId="787A4A68"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Turnip</w:t>
            </w:r>
          </w:p>
        </w:tc>
        <w:tc>
          <w:tcPr>
            <w:tcW w:w="4030" w:type="dxa"/>
          </w:tcPr>
          <w:p w14:paraId="06856F5F" w14:textId="77777777" w:rsidR="00CC1ABE" w:rsidRPr="00CC1ABE" w:rsidRDefault="00CC1ABE" w:rsidP="00685654">
            <w:pPr>
              <w:spacing w:line="360" w:lineRule="auto"/>
              <w:jc w:val="both"/>
              <w:rPr>
                <w:rFonts w:ascii="Arial" w:hAnsi="Arial" w:cs="Arial"/>
                <w:sz w:val="20"/>
                <w:szCs w:val="20"/>
                <w:vertAlign w:val="superscript"/>
              </w:rPr>
            </w:pPr>
            <w:r w:rsidRPr="00CC1ABE">
              <w:rPr>
                <w:rFonts w:ascii="Arial" w:hAnsi="Arial" w:cs="Arial"/>
                <w:sz w:val="20"/>
                <w:szCs w:val="20"/>
              </w:rPr>
              <w:t>Selenite at 50 to 100mgL</w:t>
            </w:r>
            <w:r w:rsidRPr="00CC1ABE">
              <w:rPr>
                <w:rFonts w:ascii="Arial" w:hAnsi="Arial" w:cs="Arial"/>
                <w:sz w:val="20"/>
                <w:szCs w:val="20"/>
                <w:vertAlign w:val="superscript"/>
              </w:rPr>
              <w:t>-1</w:t>
            </w:r>
          </w:p>
        </w:tc>
        <w:tc>
          <w:tcPr>
            <w:tcW w:w="3006" w:type="dxa"/>
          </w:tcPr>
          <w:p w14:paraId="480E3F17"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Li X et al., 2018</w:t>
            </w:r>
          </w:p>
        </w:tc>
      </w:tr>
      <w:tr w:rsidR="00CC1ABE" w:rsidRPr="00CC1ABE" w14:paraId="1BF22E18" w14:textId="77777777" w:rsidTr="00685654">
        <w:tc>
          <w:tcPr>
            <w:tcW w:w="1980" w:type="dxa"/>
          </w:tcPr>
          <w:p w14:paraId="75F16C33"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Radish </w:t>
            </w:r>
          </w:p>
        </w:tc>
        <w:tc>
          <w:tcPr>
            <w:tcW w:w="4030" w:type="dxa"/>
          </w:tcPr>
          <w:p w14:paraId="49D0E7FF" w14:textId="77777777" w:rsidR="00CC1ABE" w:rsidRPr="00CC1ABE" w:rsidRDefault="00CC1ABE" w:rsidP="00685654">
            <w:pPr>
              <w:spacing w:line="360" w:lineRule="auto"/>
              <w:jc w:val="both"/>
              <w:rPr>
                <w:rFonts w:ascii="Arial" w:hAnsi="Arial" w:cs="Arial"/>
                <w:sz w:val="20"/>
                <w:szCs w:val="20"/>
                <w:vertAlign w:val="superscript"/>
              </w:rPr>
            </w:pPr>
            <w:r w:rsidRPr="00CC1ABE">
              <w:rPr>
                <w:rFonts w:ascii="Arial" w:hAnsi="Arial" w:cs="Arial"/>
                <w:sz w:val="20"/>
                <w:szCs w:val="20"/>
              </w:rPr>
              <w:t xml:space="preserve"> Selenate and selenite @ 20μmolL</w:t>
            </w:r>
            <w:r w:rsidRPr="00CC1ABE">
              <w:rPr>
                <w:rFonts w:ascii="Arial" w:hAnsi="Arial" w:cs="Arial"/>
                <w:sz w:val="20"/>
                <w:szCs w:val="20"/>
                <w:vertAlign w:val="superscript"/>
              </w:rPr>
              <w:t>-1</w:t>
            </w:r>
          </w:p>
        </w:tc>
        <w:tc>
          <w:tcPr>
            <w:tcW w:w="3006" w:type="dxa"/>
          </w:tcPr>
          <w:p w14:paraId="6E610B0F" w14:textId="77777777" w:rsidR="00CC1ABE" w:rsidRPr="00CC1ABE" w:rsidRDefault="00CC1ABE" w:rsidP="00685654">
            <w:pPr>
              <w:spacing w:line="360" w:lineRule="auto"/>
              <w:jc w:val="both"/>
              <w:rPr>
                <w:rFonts w:ascii="Arial" w:hAnsi="Arial" w:cs="Arial"/>
                <w:sz w:val="20"/>
                <w:szCs w:val="20"/>
              </w:rPr>
            </w:pPr>
            <w:proofErr w:type="spellStart"/>
            <w:r w:rsidRPr="00CC1ABE">
              <w:rPr>
                <w:rFonts w:ascii="Arial" w:hAnsi="Arial" w:cs="Arial"/>
                <w:sz w:val="20"/>
                <w:szCs w:val="20"/>
              </w:rPr>
              <w:t>Woch</w:t>
            </w:r>
            <w:proofErr w:type="spellEnd"/>
            <w:r w:rsidRPr="00CC1ABE">
              <w:rPr>
                <w:rFonts w:ascii="Arial" w:hAnsi="Arial" w:cs="Arial"/>
                <w:sz w:val="20"/>
                <w:szCs w:val="20"/>
              </w:rPr>
              <w:t xml:space="preserve"> et al.,2019</w:t>
            </w:r>
          </w:p>
        </w:tc>
      </w:tr>
      <w:tr w:rsidR="00CC1ABE" w:rsidRPr="00CC1ABE" w14:paraId="066D59F9" w14:textId="77777777" w:rsidTr="00685654">
        <w:tc>
          <w:tcPr>
            <w:tcW w:w="1980" w:type="dxa"/>
          </w:tcPr>
          <w:p w14:paraId="34DF1B1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Broccoli </w:t>
            </w:r>
          </w:p>
        </w:tc>
        <w:tc>
          <w:tcPr>
            <w:tcW w:w="4030" w:type="dxa"/>
          </w:tcPr>
          <w:p w14:paraId="6E1E5EE6"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Sodium selenate (50μM)</w:t>
            </w:r>
          </w:p>
        </w:tc>
        <w:tc>
          <w:tcPr>
            <w:tcW w:w="3006" w:type="dxa"/>
          </w:tcPr>
          <w:p w14:paraId="1E2B83D6" w14:textId="77777777" w:rsidR="00CC1ABE" w:rsidRPr="00CC1ABE" w:rsidRDefault="00CC1ABE" w:rsidP="00685654">
            <w:pPr>
              <w:spacing w:line="360" w:lineRule="auto"/>
              <w:jc w:val="both"/>
              <w:rPr>
                <w:rFonts w:ascii="Arial" w:hAnsi="Arial" w:cs="Arial"/>
                <w:sz w:val="20"/>
                <w:szCs w:val="20"/>
              </w:rPr>
            </w:pPr>
            <w:proofErr w:type="spellStart"/>
            <w:r w:rsidRPr="00CC1ABE">
              <w:rPr>
                <w:rFonts w:ascii="Arial" w:hAnsi="Arial" w:cs="Arial"/>
                <w:sz w:val="20"/>
                <w:szCs w:val="20"/>
              </w:rPr>
              <w:t>Bachiega</w:t>
            </w:r>
            <w:proofErr w:type="spellEnd"/>
            <w:r w:rsidRPr="00CC1ABE">
              <w:rPr>
                <w:rFonts w:ascii="Arial" w:hAnsi="Arial" w:cs="Arial"/>
                <w:sz w:val="20"/>
                <w:szCs w:val="20"/>
              </w:rPr>
              <w:t xml:space="preserve"> et al., 2016</w:t>
            </w:r>
          </w:p>
        </w:tc>
      </w:tr>
      <w:tr w:rsidR="00CC1ABE" w:rsidRPr="00CC1ABE" w14:paraId="7BDDE358" w14:textId="77777777" w:rsidTr="00685654">
        <w:tc>
          <w:tcPr>
            <w:tcW w:w="1980" w:type="dxa"/>
          </w:tcPr>
          <w:p w14:paraId="2C2165E6"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Cabbage </w:t>
            </w:r>
          </w:p>
        </w:tc>
        <w:tc>
          <w:tcPr>
            <w:tcW w:w="4030" w:type="dxa"/>
          </w:tcPr>
          <w:p w14:paraId="184EE420"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8mg kg</w:t>
            </w:r>
            <w:r w:rsidRPr="00CC1ABE">
              <w:rPr>
                <w:rFonts w:ascii="Arial" w:hAnsi="Arial" w:cs="Arial"/>
                <w:sz w:val="20"/>
                <w:szCs w:val="20"/>
                <w:vertAlign w:val="superscript"/>
              </w:rPr>
              <w:t>-1</w:t>
            </w:r>
            <w:r w:rsidRPr="00CC1ABE">
              <w:rPr>
                <w:rFonts w:ascii="Arial" w:hAnsi="Arial" w:cs="Arial"/>
                <w:sz w:val="20"/>
                <w:szCs w:val="20"/>
              </w:rPr>
              <w:t xml:space="preserve"> and 16mg kg</w:t>
            </w:r>
            <w:r w:rsidRPr="00CC1ABE">
              <w:rPr>
                <w:rFonts w:ascii="Arial" w:hAnsi="Arial" w:cs="Arial"/>
                <w:sz w:val="20"/>
                <w:szCs w:val="20"/>
                <w:vertAlign w:val="superscript"/>
              </w:rPr>
              <w:t>-1</w:t>
            </w:r>
            <w:r w:rsidRPr="00CC1ABE">
              <w:rPr>
                <w:rFonts w:ascii="Arial" w:hAnsi="Arial" w:cs="Arial"/>
                <w:sz w:val="20"/>
                <w:szCs w:val="20"/>
              </w:rPr>
              <w:t xml:space="preserve"> Se yeast</w:t>
            </w:r>
          </w:p>
        </w:tc>
        <w:tc>
          <w:tcPr>
            <w:tcW w:w="3006" w:type="dxa"/>
          </w:tcPr>
          <w:p w14:paraId="2592629D" w14:textId="77777777" w:rsidR="00CC1ABE" w:rsidRPr="00CC1ABE" w:rsidRDefault="00CC1ABE" w:rsidP="00685654">
            <w:pPr>
              <w:spacing w:line="360" w:lineRule="auto"/>
              <w:jc w:val="both"/>
              <w:rPr>
                <w:rFonts w:ascii="Arial" w:hAnsi="Arial" w:cs="Arial"/>
                <w:sz w:val="20"/>
                <w:szCs w:val="20"/>
              </w:rPr>
            </w:pPr>
            <w:proofErr w:type="spellStart"/>
            <w:r w:rsidRPr="00CC1ABE">
              <w:rPr>
                <w:rFonts w:ascii="Arial" w:hAnsi="Arial" w:cs="Arial"/>
                <w:sz w:val="20"/>
                <w:szCs w:val="20"/>
              </w:rPr>
              <w:t>Bachiega</w:t>
            </w:r>
            <w:proofErr w:type="spellEnd"/>
            <w:r w:rsidRPr="00CC1ABE">
              <w:rPr>
                <w:rFonts w:ascii="Arial" w:hAnsi="Arial" w:cs="Arial"/>
                <w:sz w:val="20"/>
                <w:szCs w:val="20"/>
              </w:rPr>
              <w:t xml:space="preserve"> et al., 2021</w:t>
            </w:r>
          </w:p>
        </w:tc>
      </w:tr>
      <w:tr w:rsidR="00CC1ABE" w:rsidRPr="00CC1ABE" w14:paraId="3B3615B5" w14:textId="77777777" w:rsidTr="00685654">
        <w:tc>
          <w:tcPr>
            <w:tcW w:w="1980" w:type="dxa"/>
          </w:tcPr>
          <w:p w14:paraId="0A679DA9"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Lettuce </w:t>
            </w:r>
          </w:p>
        </w:tc>
        <w:tc>
          <w:tcPr>
            <w:tcW w:w="4030" w:type="dxa"/>
          </w:tcPr>
          <w:p w14:paraId="44180515" w14:textId="77777777" w:rsidR="00CC1ABE" w:rsidRPr="00CC1ABE" w:rsidRDefault="00CC1ABE" w:rsidP="00685654">
            <w:pPr>
              <w:spacing w:line="360" w:lineRule="auto"/>
              <w:jc w:val="both"/>
              <w:rPr>
                <w:rFonts w:ascii="Arial" w:hAnsi="Arial" w:cs="Arial"/>
                <w:sz w:val="20"/>
                <w:szCs w:val="20"/>
                <w:vertAlign w:val="superscript"/>
              </w:rPr>
            </w:pPr>
            <w:r w:rsidRPr="00CC1ABE">
              <w:rPr>
                <w:rFonts w:ascii="Arial" w:hAnsi="Arial" w:cs="Arial"/>
                <w:sz w:val="20"/>
                <w:szCs w:val="20"/>
              </w:rPr>
              <w:t>Selenate at 40μmolL</w:t>
            </w:r>
            <w:r w:rsidRPr="00CC1ABE">
              <w:rPr>
                <w:rFonts w:ascii="Arial" w:hAnsi="Arial" w:cs="Arial"/>
                <w:sz w:val="20"/>
                <w:szCs w:val="20"/>
                <w:vertAlign w:val="superscript"/>
              </w:rPr>
              <w:t>-1</w:t>
            </w:r>
          </w:p>
        </w:tc>
        <w:tc>
          <w:tcPr>
            <w:tcW w:w="3006" w:type="dxa"/>
          </w:tcPr>
          <w:p w14:paraId="6887C24E"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Ríos et al., 2008</w:t>
            </w:r>
          </w:p>
        </w:tc>
      </w:tr>
    </w:tbl>
    <w:p w14:paraId="783C7BD5" w14:textId="77777777" w:rsidR="00CC1ABE" w:rsidRPr="00CC1ABE" w:rsidRDefault="00CC1ABE" w:rsidP="0043258E">
      <w:pPr>
        <w:spacing w:line="360" w:lineRule="auto"/>
        <w:jc w:val="both"/>
        <w:rPr>
          <w:rFonts w:ascii="Arial" w:hAnsi="Arial" w:cs="Arial"/>
          <w:sz w:val="20"/>
          <w:szCs w:val="20"/>
        </w:rPr>
      </w:pPr>
    </w:p>
    <w:p w14:paraId="56B3B134" w14:textId="35600CBE" w:rsidR="0043258E" w:rsidRPr="00CC1ABE" w:rsidRDefault="00CC1ABE" w:rsidP="0043258E">
      <w:pPr>
        <w:spacing w:line="360" w:lineRule="auto"/>
        <w:jc w:val="both"/>
        <w:rPr>
          <w:rFonts w:ascii="Arial" w:hAnsi="Arial" w:cs="Arial"/>
          <w:b/>
          <w:szCs w:val="20"/>
        </w:rPr>
      </w:pPr>
      <w:r>
        <w:rPr>
          <w:rFonts w:ascii="Arial" w:hAnsi="Arial" w:cs="Arial"/>
          <w:b/>
          <w:szCs w:val="20"/>
        </w:rPr>
        <w:t>4.</w:t>
      </w:r>
      <w:r w:rsidR="00104E6F" w:rsidRPr="00CC1ABE">
        <w:rPr>
          <w:rFonts w:ascii="Arial" w:hAnsi="Arial" w:cs="Arial"/>
          <w:b/>
          <w:szCs w:val="20"/>
        </w:rPr>
        <w:t>Conventional Plant Breeding:</w:t>
      </w:r>
    </w:p>
    <w:p w14:paraId="4F60A85F" w14:textId="18A72233" w:rsidR="00ED5169" w:rsidRPr="00CC1ABE" w:rsidRDefault="00104E6F" w:rsidP="007A1603">
      <w:pPr>
        <w:spacing w:line="360" w:lineRule="auto"/>
        <w:jc w:val="both"/>
        <w:rPr>
          <w:rFonts w:ascii="Arial" w:hAnsi="Arial" w:cs="Arial"/>
          <w:sz w:val="20"/>
          <w:szCs w:val="20"/>
        </w:rPr>
      </w:pPr>
      <w:r w:rsidRPr="00CC1ABE">
        <w:rPr>
          <w:rFonts w:ascii="Arial" w:hAnsi="Arial" w:cs="Arial"/>
          <w:sz w:val="20"/>
          <w:szCs w:val="20"/>
        </w:rPr>
        <w:tab/>
      </w:r>
      <w:r w:rsidR="00821C16" w:rsidRPr="00CC1ABE">
        <w:rPr>
          <w:rFonts w:ascii="Arial" w:hAnsi="Arial" w:cs="Arial"/>
          <w:sz w:val="20"/>
          <w:szCs w:val="20"/>
        </w:rPr>
        <w:t>T</w:t>
      </w:r>
      <w:r w:rsidRPr="00CC1ABE">
        <w:rPr>
          <w:rFonts w:ascii="Arial" w:hAnsi="Arial" w:cs="Arial"/>
          <w:sz w:val="20"/>
          <w:szCs w:val="20"/>
        </w:rPr>
        <w:t xml:space="preserve">raditional plant breeding can increase the nutritional value of crops </w:t>
      </w:r>
      <w:r w:rsidR="00B9786F" w:rsidRPr="00CC1ABE">
        <w:rPr>
          <w:rFonts w:ascii="Arial" w:hAnsi="Arial" w:cs="Arial"/>
          <w:sz w:val="20"/>
          <w:szCs w:val="20"/>
        </w:rPr>
        <w:t>by</w:t>
      </w:r>
      <w:r w:rsidRPr="00CC1ABE">
        <w:rPr>
          <w:rFonts w:ascii="Arial" w:hAnsi="Arial" w:cs="Arial"/>
          <w:sz w:val="20"/>
          <w:szCs w:val="20"/>
        </w:rPr>
        <w:t xml:space="preserve"> carefully combining many plant </w:t>
      </w:r>
      <w:r w:rsidR="00821C16" w:rsidRPr="00CC1ABE">
        <w:rPr>
          <w:rFonts w:ascii="Arial" w:hAnsi="Arial" w:cs="Arial"/>
          <w:sz w:val="20"/>
          <w:szCs w:val="20"/>
        </w:rPr>
        <w:t xml:space="preserve">varieties for selected </w:t>
      </w:r>
      <w:r w:rsidRPr="00CC1ABE">
        <w:rPr>
          <w:rFonts w:ascii="Arial" w:hAnsi="Arial" w:cs="Arial"/>
          <w:sz w:val="20"/>
          <w:szCs w:val="20"/>
        </w:rPr>
        <w:t>specific qualities.</w:t>
      </w:r>
      <w:r w:rsidR="00821C16" w:rsidRPr="00CC1ABE">
        <w:rPr>
          <w:rFonts w:ascii="Arial" w:hAnsi="Arial" w:cs="Arial"/>
          <w:sz w:val="20"/>
          <w:szCs w:val="20"/>
        </w:rPr>
        <w:t xml:space="preserve"> The last forty years have seen traditional breeding place a greater emphasis on resistance breeding and yield traits than on nutritional factors. As a result, the nutritional status of the existing varieties has diminished. Important vitamins, antioxidants, and minerals have been fortified in traditional plant breeding as a result of recent advancements. Plants with desired properties, like a higher micronutrient content, are chosen, and they are then crossed with other plants to generate a hybrid with improved traits. Eventually, this procedure is repeat</w:t>
      </w:r>
      <w:r w:rsidR="00B9786F" w:rsidRPr="00CC1ABE">
        <w:rPr>
          <w:rFonts w:ascii="Arial" w:hAnsi="Arial" w:cs="Arial"/>
          <w:sz w:val="20"/>
          <w:szCs w:val="20"/>
        </w:rPr>
        <w:t>ed</w:t>
      </w:r>
      <w:r w:rsidR="00821C16" w:rsidRPr="00CC1ABE">
        <w:rPr>
          <w:rFonts w:ascii="Arial" w:hAnsi="Arial" w:cs="Arial"/>
          <w:sz w:val="20"/>
          <w:szCs w:val="20"/>
        </w:rPr>
        <w:t xml:space="preserve"> and screening </w:t>
      </w:r>
      <w:r w:rsidR="00B9786F" w:rsidRPr="00CC1ABE">
        <w:rPr>
          <w:rFonts w:ascii="Arial" w:hAnsi="Arial" w:cs="Arial"/>
          <w:sz w:val="20"/>
          <w:szCs w:val="20"/>
        </w:rPr>
        <w:t xml:space="preserve">is done for </w:t>
      </w:r>
      <w:r w:rsidR="00821C16" w:rsidRPr="00CC1ABE">
        <w:rPr>
          <w:rFonts w:ascii="Arial" w:hAnsi="Arial" w:cs="Arial"/>
          <w:sz w:val="20"/>
          <w:szCs w:val="20"/>
        </w:rPr>
        <w:t>progeny for desired characteristics.</w:t>
      </w:r>
      <w:r w:rsidR="00ED5169" w:rsidRPr="00CC1ABE">
        <w:rPr>
          <w:rFonts w:ascii="Arial" w:hAnsi="Arial" w:cs="Arial"/>
          <w:sz w:val="20"/>
          <w:szCs w:val="20"/>
        </w:rPr>
        <w:t xml:space="preserve"> Conventional breeding techniques enhance nutritional efficiency by optimizing the concentration of β-carotene, caroten</w:t>
      </w:r>
      <w:r w:rsidR="00B05CB4" w:rsidRPr="00CC1ABE">
        <w:rPr>
          <w:rFonts w:ascii="Arial" w:hAnsi="Arial" w:cs="Arial"/>
          <w:sz w:val="20"/>
          <w:szCs w:val="20"/>
        </w:rPr>
        <w:t>oi</w:t>
      </w:r>
      <w:r w:rsidR="00ED5169" w:rsidRPr="00CC1ABE">
        <w:rPr>
          <w:rFonts w:ascii="Arial" w:hAnsi="Arial" w:cs="Arial"/>
          <w:sz w:val="20"/>
          <w:szCs w:val="20"/>
        </w:rPr>
        <w:t xml:space="preserve">ds, amino acids, amylase, carbohydrates, and other minerals by appropriate selection of breeding material (Gregorio </w:t>
      </w:r>
      <w:r w:rsidR="00ED5169" w:rsidRPr="00CC1ABE">
        <w:rPr>
          <w:rFonts w:ascii="Arial" w:hAnsi="Arial" w:cs="Arial"/>
          <w:i/>
          <w:sz w:val="20"/>
          <w:szCs w:val="20"/>
        </w:rPr>
        <w:t>et al.,</w:t>
      </w:r>
      <w:r w:rsidR="00ED5169" w:rsidRPr="00CC1ABE">
        <w:rPr>
          <w:rFonts w:ascii="Arial" w:hAnsi="Arial" w:cs="Arial"/>
          <w:sz w:val="20"/>
          <w:szCs w:val="20"/>
        </w:rPr>
        <w:t xml:space="preserve"> 2000). It is an ecological and economical process of crop development for nutraceuticals values of the food. It has proven possible to develop nutraceutical properties in vegetables and tuber crops by utilizing popular conventional breeding techniques like selection, introduction, and hybridization. Using conventional breeding techniques, a number of </w:t>
      </w:r>
      <w:proofErr w:type="spellStart"/>
      <w:r w:rsidR="00ED5169" w:rsidRPr="00CC1ABE">
        <w:rPr>
          <w:rFonts w:ascii="Arial" w:hAnsi="Arial" w:cs="Arial"/>
          <w:sz w:val="20"/>
          <w:szCs w:val="20"/>
        </w:rPr>
        <w:t>resistent</w:t>
      </w:r>
      <w:proofErr w:type="spellEnd"/>
      <w:r w:rsidR="00ED5169" w:rsidRPr="00CC1ABE">
        <w:rPr>
          <w:rFonts w:ascii="Arial" w:hAnsi="Arial" w:cs="Arial"/>
          <w:sz w:val="20"/>
          <w:szCs w:val="20"/>
        </w:rPr>
        <w:t xml:space="preserve"> sources of nutraceuticals have been found and incorporated into well-known cultivars.</w:t>
      </w:r>
    </w:p>
    <w:p w14:paraId="390B74D7" w14:textId="184E15F3" w:rsidR="00000480" w:rsidRPr="00CC1ABE" w:rsidRDefault="00B9786F" w:rsidP="00000480">
      <w:pPr>
        <w:spacing w:line="360" w:lineRule="auto"/>
        <w:jc w:val="both"/>
        <w:rPr>
          <w:rFonts w:ascii="Arial" w:hAnsi="Arial" w:cs="Arial"/>
          <w:sz w:val="20"/>
          <w:szCs w:val="20"/>
        </w:rPr>
      </w:pPr>
      <w:r w:rsidRPr="00CC1ABE">
        <w:rPr>
          <w:rFonts w:ascii="Arial" w:hAnsi="Arial" w:cs="Arial"/>
          <w:sz w:val="20"/>
          <w:szCs w:val="20"/>
        </w:rPr>
        <w:tab/>
        <w:t>A crop is considered biofortified through breeding when it naturally contains certain amounts of micronutrients like iron, zinc, and vitamin A. This indicates that genetic variety is available in a form that may be used.</w:t>
      </w:r>
      <w:r w:rsidR="00000480" w:rsidRPr="00CC1ABE">
        <w:rPr>
          <w:rFonts w:ascii="Arial" w:hAnsi="Arial" w:cs="Arial"/>
          <w:sz w:val="20"/>
          <w:szCs w:val="20"/>
        </w:rPr>
        <w:t xml:space="preserve"> Examples of biofortified vegetables are iron-rich beans, iodine-rich cassava and sweet potatoes and vitamin A-rich sweet potatoes. Since it is safe and does not raise the same safety issues as genetic engineering, this approach is widely accepted. To produce a crop with a higher nutrient </w:t>
      </w:r>
      <w:r w:rsidR="00000480" w:rsidRPr="00CC1ABE">
        <w:rPr>
          <w:rFonts w:ascii="Arial" w:hAnsi="Arial" w:cs="Arial"/>
          <w:sz w:val="20"/>
          <w:szCs w:val="20"/>
        </w:rPr>
        <w:lastRenderedPageBreak/>
        <w:t xml:space="preserve">content, conventional breeding, however, can be a </w:t>
      </w:r>
      <w:proofErr w:type="spellStart"/>
      <w:r w:rsidR="00000480" w:rsidRPr="00CC1ABE">
        <w:rPr>
          <w:rFonts w:ascii="Arial" w:hAnsi="Arial" w:cs="Arial"/>
          <w:sz w:val="20"/>
          <w:szCs w:val="20"/>
        </w:rPr>
        <w:t>labor</w:t>
      </w:r>
      <w:proofErr w:type="spellEnd"/>
      <w:r w:rsidR="00AB27C0" w:rsidRPr="00CC1ABE">
        <w:rPr>
          <w:rFonts w:ascii="Arial" w:hAnsi="Arial" w:cs="Arial"/>
          <w:sz w:val="20"/>
          <w:szCs w:val="20"/>
        </w:rPr>
        <w:t xml:space="preserve"> </w:t>
      </w:r>
      <w:r w:rsidR="00000480" w:rsidRPr="00CC1ABE">
        <w:rPr>
          <w:rFonts w:ascii="Arial" w:hAnsi="Arial" w:cs="Arial"/>
          <w:sz w:val="20"/>
          <w:szCs w:val="20"/>
        </w:rPr>
        <w:t>-</w:t>
      </w:r>
      <w:r w:rsidR="00AB27C0" w:rsidRPr="00CC1ABE">
        <w:rPr>
          <w:rFonts w:ascii="Arial" w:hAnsi="Arial" w:cs="Arial"/>
          <w:sz w:val="20"/>
          <w:szCs w:val="20"/>
        </w:rPr>
        <w:t xml:space="preserve"> </w:t>
      </w:r>
      <w:r w:rsidR="00000480" w:rsidRPr="00CC1ABE">
        <w:rPr>
          <w:rFonts w:ascii="Arial" w:hAnsi="Arial" w:cs="Arial"/>
          <w:sz w:val="20"/>
          <w:szCs w:val="20"/>
        </w:rPr>
        <w:t>intensive and slow process that takes many years.</w:t>
      </w:r>
    </w:p>
    <w:p w14:paraId="56511E75" w14:textId="17F15043" w:rsidR="00000480" w:rsidRPr="00CC1ABE" w:rsidRDefault="00CC1ABE" w:rsidP="00000480">
      <w:pPr>
        <w:spacing w:line="360" w:lineRule="auto"/>
        <w:jc w:val="both"/>
        <w:rPr>
          <w:rFonts w:ascii="Arial" w:hAnsi="Arial" w:cs="Arial"/>
          <w:b/>
          <w:szCs w:val="20"/>
        </w:rPr>
      </w:pPr>
      <w:r w:rsidRPr="00CC1ABE">
        <w:rPr>
          <w:rFonts w:ascii="Arial" w:hAnsi="Arial" w:cs="Arial"/>
          <w:b/>
          <w:szCs w:val="20"/>
        </w:rPr>
        <w:t>4.</w:t>
      </w:r>
      <w:proofErr w:type="gramStart"/>
      <w:r w:rsidRPr="00CC1ABE">
        <w:rPr>
          <w:rFonts w:ascii="Arial" w:hAnsi="Arial" w:cs="Arial"/>
          <w:b/>
          <w:szCs w:val="20"/>
        </w:rPr>
        <w:t>1.</w:t>
      </w:r>
      <w:r w:rsidR="00000480" w:rsidRPr="00CC1ABE">
        <w:rPr>
          <w:rFonts w:ascii="Arial" w:hAnsi="Arial" w:cs="Arial"/>
          <w:b/>
          <w:szCs w:val="20"/>
        </w:rPr>
        <w:t>Breeding</w:t>
      </w:r>
      <w:proofErr w:type="gramEnd"/>
      <w:r w:rsidR="00000480" w:rsidRPr="00CC1ABE">
        <w:rPr>
          <w:rFonts w:ascii="Arial" w:hAnsi="Arial" w:cs="Arial"/>
          <w:b/>
          <w:szCs w:val="20"/>
        </w:rPr>
        <w:t xml:space="preserve"> Criteria for biofortification of vegetables:</w:t>
      </w:r>
    </w:p>
    <w:p w14:paraId="6EE9CA13" w14:textId="24801743" w:rsidR="00000480" w:rsidRPr="00CC1ABE" w:rsidRDefault="00000480" w:rsidP="00000480">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Crop yield must be maintained.</w:t>
      </w:r>
    </w:p>
    <w:p w14:paraId="621FA9ED" w14:textId="77777777"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The human health should be significantly impacted by the enriched micronutrient.</w:t>
      </w:r>
    </w:p>
    <w:p w14:paraId="69DD64CC" w14:textId="2E648A70" w:rsidR="00B9786F"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The characteristic need to remain consistent throughout generations and many biological regions.</w:t>
      </w:r>
    </w:p>
    <w:p w14:paraId="2CF1AEB0" w14:textId="17901301"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Human testing is necessary to determine the bioavailability of micronutrients in enhanced lines.</w:t>
      </w:r>
    </w:p>
    <w:p w14:paraId="1411BE0E" w14:textId="131AEA5B"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Taste and quality of cooking must be inspected.</w:t>
      </w:r>
    </w:p>
    <w:p w14:paraId="536A3731" w14:textId="06FEFD8C" w:rsidR="00CC1ABE" w:rsidRPr="00CC1ABE" w:rsidRDefault="00000480" w:rsidP="00CC1ABE">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Farmers need to adopt the variety broadly (Welch and Graham, 2004).</w:t>
      </w:r>
      <w:bookmarkStart w:id="10" w:name="_Hlk151978802"/>
    </w:p>
    <w:p w14:paraId="2CD43928" w14:textId="77777777" w:rsidR="00CC1ABE" w:rsidRPr="00E05A3F" w:rsidRDefault="00CC1ABE" w:rsidP="00CC1ABE">
      <w:pPr>
        <w:spacing w:line="360" w:lineRule="auto"/>
        <w:jc w:val="both"/>
        <w:rPr>
          <w:rFonts w:ascii="Arial" w:hAnsi="Arial" w:cs="Arial"/>
          <w:b/>
          <w:szCs w:val="20"/>
        </w:rPr>
      </w:pPr>
      <w:r w:rsidRPr="00E05A3F">
        <w:rPr>
          <w:rFonts w:ascii="Arial" w:hAnsi="Arial" w:cs="Arial"/>
          <w:b/>
          <w:szCs w:val="20"/>
        </w:rPr>
        <w:t>Table 5: Biofortified vegetable varieties developed through conventional breeding</w:t>
      </w:r>
    </w:p>
    <w:tbl>
      <w:tblPr>
        <w:tblStyle w:val="TableGrid"/>
        <w:tblW w:w="0" w:type="auto"/>
        <w:tblLook w:val="04A0" w:firstRow="1" w:lastRow="0" w:firstColumn="1" w:lastColumn="0" w:noHBand="0" w:noVBand="1"/>
      </w:tblPr>
      <w:tblGrid>
        <w:gridCol w:w="1129"/>
        <w:gridCol w:w="2268"/>
        <w:gridCol w:w="1418"/>
        <w:gridCol w:w="1701"/>
        <w:gridCol w:w="850"/>
        <w:gridCol w:w="1650"/>
      </w:tblGrid>
      <w:tr w:rsidR="00CC1ABE" w:rsidRPr="00CC1ABE" w14:paraId="0E584105" w14:textId="77777777" w:rsidTr="00685654">
        <w:tc>
          <w:tcPr>
            <w:tcW w:w="1129" w:type="dxa"/>
            <w:tcBorders>
              <w:bottom w:val="single" w:sz="4" w:space="0" w:color="auto"/>
            </w:tcBorders>
          </w:tcPr>
          <w:p w14:paraId="64A16BA7"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Crop </w:t>
            </w:r>
          </w:p>
        </w:tc>
        <w:tc>
          <w:tcPr>
            <w:tcW w:w="2268" w:type="dxa"/>
          </w:tcPr>
          <w:p w14:paraId="1FABC16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Variety </w:t>
            </w:r>
          </w:p>
        </w:tc>
        <w:tc>
          <w:tcPr>
            <w:tcW w:w="1418" w:type="dxa"/>
          </w:tcPr>
          <w:p w14:paraId="1B268CAB"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Trait </w:t>
            </w:r>
          </w:p>
        </w:tc>
        <w:tc>
          <w:tcPr>
            <w:tcW w:w="1701" w:type="dxa"/>
          </w:tcPr>
          <w:p w14:paraId="30EF3B36"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Country</w:t>
            </w:r>
          </w:p>
        </w:tc>
        <w:tc>
          <w:tcPr>
            <w:tcW w:w="850" w:type="dxa"/>
          </w:tcPr>
          <w:p w14:paraId="64BF5E35"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Year </w:t>
            </w:r>
          </w:p>
        </w:tc>
        <w:tc>
          <w:tcPr>
            <w:tcW w:w="1650" w:type="dxa"/>
            <w:tcBorders>
              <w:bottom w:val="single" w:sz="4" w:space="0" w:color="auto"/>
            </w:tcBorders>
          </w:tcPr>
          <w:p w14:paraId="1C8DFE0F"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Reference </w:t>
            </w:r>
          </w:p>
        </w:tc>
      </w:tr>
      <w:tr w:rsidR="00CC1ABE" w:rsidRPr="00CC1ABE" w14:paraId="24954351" w14:textId="77777777" w:rsidTr="00685654">
        <w:tc>
          <w:tcPr>
            <w:tcW w:w="1129" w:type="dxa"/>
            <w:tcBorders>
              <w:bottom w:val="nil"/>
            </w:tcBorders>
          </w:tcPr>
          <w:p w14:paraId="6AC31FCD" w14:textId="77777777" w:rsidR="00CC1ABE" w:rsidRPr="00CC1ABE" w:rsidRDefault="00CC1ABE" w:rsidP="00685654">
            <w:pPr>
              <w:spacing w:line="360" w:lineRule="auto"/>
              <w:jc w:val="both"/>
              <w:rPr>
                <w:rFonts w:ascii="Arial" w:hAnsi="Arial" w:cs="Arial"/>
                <w:sz w:val="20"/>
                <w:szCs w:val="20"/>
              </w:rPr>
            </w:pPr>
          </w:p>
        </w:tc>
        <w:tc>
          <w:tcPr>
            <w:tcW w:w="2268" w:type="dxa"/>
          </w:tcPr>
          <w:p w14:paraId="5AA7E425"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Delvia </w:t>
            </w:r>
          </w:p>
        </w:tc>
        <w:tc>
          <w:tcPr>
            <w:tcW w:w="1418" w:type="dxa"/>
          </w:tcPr>
          <w:p w14:paraId="75E85620"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Vitamin A</w:t>
            </w:r>
          </w:p>
        </w:tc>
        <w:tc>
          <w:tcPr>
            <w:tcW w:w="1701" w:type="dxa"/>
          </w:tcPr>
          <w:p w14:paraId="6D3CFF09"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Zimbabwe</w:t>
            </w:r>
          </w:p>
        </w:tc>
        <w:tc>
          <w:tcPr>
            <w:tcW w:w="850" w:type="dxa"/>
          </w:tcPr>
          <w:p w14:paraId="5810EE62"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2021</w:t>
            </w:r>
          </w:p>
        </w:tc>
        <w:tc>
          <w:tcPr>
            <w:tcW w:w="1650" w:type="dxa"/>
            <w:vMerge w:val="restart"/>
          </w:tcPr>
          <w:p w14:paraId="1C961805" w14:textId="77777777" w:rsidR="00CC1ABE" w:rsidRPr="00CC1ABE" w:rsidRDefault="00CC1ABE" w:rsidP="00685654">
            <w:pPr>
              <w:spacing w:line="360" w:lineRule="auto"/>
              <w:jc w:val="both"/>
              <w:rPr>
                <w:rFonts w:ascii="Arial" w:hAnsi="Arial" w:cs="Arial"/>
                <w:sz w:val="20"/>
                <w:szCs w:val="20"/>
              </w:rPr>
            </w:pPr>
          </w:p>
          <w:p w14:paraId="4524394E" w14:textId="77777777" w:rsidR="00CC1ABE" w:rsidRPr="00CC1ABE" w:rsidRDefault="00CC1ABE" w:rsidP="00685654">
            <w:pPr>
              <w:spacing w:line="360" w:lineRule="auto"/>
              <w:jc w:val="both"/>
              <w:rPr>
                <w:rFonts w:ascii="Arial" w:hAnsi="Arial" w:cs="Arial"/>
                <w:sz w:val="20"/>
                <w:szCs w:val="20"/>
              </w:rPr>
            </w:pPr>
          </w:p>
          <w:p w14:paraId="19B735BD"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Harvest plus. Biofortified crops released. (2022)</w:t>
            </w:r>
          </w:p>
        </w:tc>
      </w:tr>
      <w:tr w:rsidR="00CC1ABE" w:rsidRPr="00CC1ABE" w14:paraId="23863D12" w14:textId="77777777" w:rsidTr="00685654">
        <w:tc>
          <w:tcPr>
            <w:tcW w:w="1129" w:type="dxa"/>
            <w:tcBorders>
              <w:top w:val="nil"/>
              <w:bottom w:val="nil"/>
            </w:tcBorders>
          </w:tcPr>
          <w:p w14:paraId="0D4441F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Sweet potato</w:t>
            </w:r>
          </w:p>
        </w:tc>
        <w:tc>
          <w:tcPr>
            <w:tcW w:w="2268" w:type="dxa"/>
          </w:tcPr>
          <w:p w14:paraId="0EA425EF" w14:textId="77777777" w:rsidR="00CC1ABE" w:rsidRPr="00CC1ABE" w:rsidRDefault="00CC1ABE" w:rsidP="00685654">
            <w:pPr>
              <w:spacing w:line="360" w:lineRule="auto"/>
              <w:jc w:val="both"/>
              <w:rPr>
                <w:rFonts w:ascii="Arial" w:hAnsi="Arial" w:cs="Arial"/>
                <w:sz w:val="20"/>
                <w:szCs w:val="20"/>
              </w:rPr>
            </w:pPr>
            <w:proofErr w:type="spellStart"/>
            <w:r w:rsidRPr="00CC1ABE">
              <w:rPr>
                <w:rFonts w:ascii="Arial" w:hAnsi="Arial" w:cs="Arial"/>
                <w:sz w:val="20"/>
                <w:szCs w:val="20"/>
              </w:rPr>
              <w:t>Kokota</w:t>
            </w:r>
            <w:proofErr w:type="spellEnd"/>
            <w:r w:rsidRPr="00CC1ABE">
              <w:rPr>
                <w:rFonts w:ascii="Arial" w:hAnsi="Arial" w:cs="Arial"/>
                <w:sz w:val="20"/>
                <w:szCs w:val="20"/>
              </w:rPr>
              <w:t xml:space="preserve">, </w:t>
            </w:r>
            <w:proofErr w:type="spellStart"/>
            <w:r w:rsidRPr="00CC1ABE">
              <w:rPr>
                <w:rFonts w:ascii="Arial" w:hAnsi="Arial" w:cs="Arial"/>
                <w:sz w:val="20"/>
                <w:szCs w:val="20"/>
              </w:rPr>
              <w:t>Chumfwa</w:t>
            </w:r>
            <w:proofErr w:type="spellEnd"/>
            <w:r w:rsidRPr="00CC1ABE">
              <w:rPr>
                <w:rFonts w:ascii="Arial" w:hAnsi="Arial" w:cs="Arial"/>
                <w:sz w:val="20"/>
                <w:szCs w:val="20"/>
              </w:rPr>
              <w:t xml:space="preserve">, Olympia </w:t>
            </w:r>
          </w:p>
        </w:tc>
        <w:tc>
          <w:tcPr>
            <w:tcW w:w="1418" w:type="dxa"/>
          </w:tcPr>
          <w:p w14:paraId="4A4FFCF1"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Vitamin A</w:t>
            </w:r>
          </w:p>
        </w:tc>
        <w:tc>
          <w:tcPr>
            <w:tcW w:w="1701" w:type="dxa"/>
          </w:tcPr>
          <w:p w14:paraId="79A78F73"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Zambia</w:t>
            </w:r>
          </w:p>
        </w:tc>
        <w:tc>
          <w:tcPr>
            <w:tcW w:w="850" w:type="dxa"/>
          </w:tcPr>
          <w:p w14:paraId="2C37302E"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2014</w:t>
            </w:r>
          </w:p>
        </w:tc>
        <w:tc>
          <w:tcPr>
            <w:tcW w:w="1650" w:type="dxa"/>
            <w:vMerge/>
          </w:tcPr>
          <w:p w14:paraId="5C4022DC" w14:textId="77777777" w:rsidR="00CC1ABE" w:rsidRPr="00CC1ABE" w:rsidRDefault="00CC1ABE" w:rsidP="00685654">
            <w:pPr>
              <w:spacing w:line="360" w:lineRule="auto"/>
              <w:jc w:val="both"/>
              <w:rPr>
                <w:rFonts w:ascii="Arial" w:hAnsi="Arial" w:cs="Arial"/>
                <w:sz w:val="20"/>
                <w:szCs w:val="20"/>
              </w:rPr>
            </w:pPr>
          </w:p>
        </w:tc>
      </w:tr>
      <w:tr w:rsidR="00CC1ABE" w:rsidRPr="00CC1ABE" w14:paraId="0317FAA5" w14:textId="77777777" w:rsidTr="00685654">
        <w:tc>
          <w:tcPr>
            <w:tcW w:w="1129" w:type="dxa"/>
            <w:tcBorders>
              <w:top w:val="nil"/>
              <w:bottom w:val="single" w:sz="4" w:space="0" w:color="auto"/>
            </w:tcBorders>
          </w:tcPr>
          <w:p w14:paraId="6FE1ABA3" w14:textId="77777777" w:rsidR="00CC1ABE" w:rsidRPr="00CC1ABE" w:rsidRDefault="00CC1ABE" w:rsidP="00685654">
            <w:pPr>
              <w:spacing w:line="360" w:lineRule="auto"/>
              <w:jc w:val="both"/>
              <w:rPr>
                <w:rFonts w:ascii="Arial" w:hAnsi="Arial" w:cs="Arial"/>
                <w:sz w:val="20"/>
                <w:szCs w:val="20"/>
              </w:rPr>
            </w:pPr>
          </w:p>
        </w:tc>
        <w:tc>
          <w:tcPr>
            <w:tcW w:w="2268" w:type="dxa"/>
          </w:tcPr>
          <w:p w14:paraId="3F826CB9"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Gerald, </w:t>
            </w:r>
            <w:proofErr w:type="spellStart"/>
            <w:r w:rsidRPr="00CC1ABE">
              <w:rPr>
                <w:rFonts w:ascii="Arial" w:hAnsi="Arial" w:cs="Arial"/>
                <w:sz w:val="20"/>
                <w:szCs w:val="20"/>
              </w:rPr>
              <w:t>Joweria</w:t>
            </w:r>
            <w:proofErr w:type="spellEnd"/>
            <w:r w:rsidRPr="00CC1ABE">
              <w:rPr>
                <w:rFonts w:ascii="Arial" w:hAnsi="Arial" w:cs="Arial"/>
                <w:sz w:val="20"/>
                <w:szCs w:val="20"/>
              </w:rPr>
              <w:t xml:space="preserve"> </w:t>
            </w:r>
          </w:p>
        </w:tc>
        <w:tc>
          <w:tcPr>
            <w:tcW w:w="1418" w:type="dxa"/>
          </w:tcPr>
          <w:p w14:paraId="0991CD40"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Vitamin A</w:t>
            </w:r>
          </w:p>
        </w:tc>
        <w:tc>
          <w:tcPr>
            <w:tcW w:w="1701" w:type="dxa"/>
          </w:tcPr>
          <w:p w14:paraId="397BD423"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Uganda</w:t>
            </w:r>
          </w:p>
        </w:tc>
        <w:tc>
          <w:tcPr>
            <w:tcW w:w="850" w:type="dxa"/>
          </w:tcPr>
          <w:p w14:paraId="5E860BEB"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2013</w:t>
            </w:r>
          </w:p>
        </w:tc>
        <w:tc>
          <w:tcPr>
            <w:tcW w:w="1650" w:type="dxa"/>
            <w:vMerge/>
          </w:tcPr>
          <w:p w14:paraId="578421F8" w14:textId="77777777" w:rsidR="00CC1ABE" w:rsidRPr="00CC1ABE" w:rsidRDefault="00CC1ABE" w:rsidP="00685654">
            <w:pPr>
              <w:spacing w:line="360" w:lineRule="auto"/>
              <w:jc w:val="both"/>
              <w:rPr>
                <w:rFonts w:ascii="Arial" w:hAnsi="Arial" w:cs="Arial"/>
                <w:sz w:val="20"/>
                <w:szCs w:val="20"/>
              </w:rPr>
            </w:pPr>
          </w:p>
        </w:tc>
      </w:tr>
      <w:tr w:rsidR="00CC1ABE" w:rsidRPr="00CC1ABE" w14:paraId="136F8AC1" w14:textId="77777777" w:rsidTr="00685654">
        <w:tc>
          <w:tcPr>
            <w:tcW w:w="1129" w:type="dxa"/>
            <w:tcBorders>
              <w:bottom w:val="nil"/>
            </w:tcBorders>
          </w:tcPr>
          <w:p w14:paraId="49F72D5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Cassava </w:t>
            </w:r>
          </w:p>
        </w:tc>
        <w:tc>
          <w:tcPr>
            <w:tcW w:w="2268" w:type="dxa"/>
          </w:tcPr>
          <w:p w14:paraId="2A93FCB7" w14:textId="77777777" w:rsidR="00CC1ABE" w:rsidRPr="00CC1ABE" w:rsidRDefault="00CC1ABE" w:rsidP="00685654">
            <w:pPr>
              <w:spacing w:line="360" w:lineRule="auto"/>
              <w:jc w:val="both"/>
              <w:rPr>
                <w:rFonts w:ascii="Arial" w:hAnsi="Arial" w:cs="Arial"/>
                <w:sz w:val="20"/>
                <w:szCs w:val="20"/>
              </w:rPr>
            </w:pPr>
            <w:proofErr w:type="spellStart"/>
            <w:r w:rsidRPr="00CC1ABE">
              <w:rPr>
                <w:rFonts w:ascii="Arial" w:hAnsi="Arial" w:cs="Arial"/>
                <w:sz w:val="20"/>
                <w:szCs w:val="20"/>
              </w:rPr>
              <w:t>Slicass</w:t>
            </w:r>
            <w:proofErr w:type="spellEnd"/>
            <w:r w:rsidRPr="00CC1ABE">
              <w:rPr>
                <w:rFonts w:ascii="Arial" w:hAnsi="Arial" w:cs="Arial"/>
                <w:sz w:val="20"/>
                <w:szCs w:val="20"/>
              </w:rPr>
              <w:t xml:space="preserve"> 12</w:t>
            </w:r>
          </w:p>
        </w:tc>
        <w:tc>
          <w:tcPr>
            <w:tcW w:w="1418" w:type="dxa"/>
          </w:tcPr>
          <w:p w14:paraId="0A52BE3E"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Vitamin A</w:t>
            </w:r>
          </w:p>
        </w:tc>
        <w:tc>
          <w:tcPr>
            <w:tcW w:w="1701" w:type="dxa"/>
          </w:tcPr>
          <w:p w14:paraId="2359081F"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Sierra Leone</w:t>
            </w:r>
          </w:p>
        </w:tc>
        <w:tc>
          <w:tcPr>
            <w:tcW w:w="850" w:type="dxa"/>
          </w:tcPr>
          <w:p w14:paraId="29995E90"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2014</w:t>
            </w:r>
          </w:p>
        </w:tc>
        <w:tc>
          <w:tcPr>
            <w:tcW w:w="1650" w:type="dxa"/>
            <w:vMerge/>
          </w:tcPr>
          <w:p w14:paraId="7BCD70DB" w14:textId="77777777" w:rsidR="00CC1ABE" w:rsidRPr="00CC1ABE" w:rsidRDefault="00CC1ABE" w:rsidP="00685654">
            <w:pPr>
              <w:spacing w:line="360" w:lineRule="auto"/>
              <w:jc w:val="both"/>
              <w:rPr>
                <w:rFonts w:ascii="Arial" w:hAnsi="Arial" w:cs="Arial"/>
                <w:sz w:val="20"/>
                <w:szCs w:val="20"/>
              </w:rPr>
            </w:pPr>
          </w:p>
        </w:tc>
      </w:tr>
      <w:tr w:rsidR="00CC1ABE" w:rsidRPr="00CC1ABE" w14:paraId="220ECE7B" w14:textId="77777777" w:rsidTr="00685654">
        <w:tc>
          <w:tcPr>
            <w:tcW w:w="1129" w:type="dxa"/>
            <w:tcBorders>
              <w:top w:val="nil"/>
              <w:bottom w:val="single" w:sz="4" w:space="0" w:color="auto"/>
            </w:tcBorders>
          </w:tcPr>
          <w:p w14:paraId="392AD811" w14:textId="77777777" w:rsidR="00CC1ABE" w:rsidRPr="00CC1ABE" w:rsidRDefault="00CC1ABE" w:rsidP="00685654">
            <w:pPr>
              <w:spacing w:line="360" w:lineRule="auto"/>
              <w:jc w:val="both"/>
              <w:rPr>
                <w:rFonts w:ascii="Arial" w:hAnsi="Arial" w:cs="Arial"/>
                <w:sz w:val="20"/>
                <w:szCs w:val="20"/>
              </w:rPr>
            </w:pPr>
          </w:p>
        </w:tc>
        <w:tc>
          <w:tcPr>
            <w:tcW w:w="2268" w:type="dxa"/>
          </w:tcPr>
          <w:p w14:paraId="3BAFE8BB"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UMUCASS 44 </w:t>
            </w:r>
          </w:p>
        </w:tc>
        <w:tc>
          <w:tcPr>
            <w:tcW w:w="1418" w:type="dxa"/>
          </w:tcPr>
          <w:p w14:paraId="66801EA1"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Vitamin A</w:t>
            </w:r>
          </w:p>
        </w:tc>
        <w:tc>
          <w:tcPr>
            <w:tcW w:w="1701" w:type="dxa"/>
          </w:tcPr>
          <w:p w14:paraId="5C23F861"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Nigeria</w:t>
            </w:r>
          </w:p>
        </w:tc>
        <w:tc>
          <w:tcPr>
            <w:tcW w:w="850" w:type="dxa"/>
          </w:tcPr>
          <w:p w14:paraId="6AFC7EAC"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2014</w:t>
            </w:r>
          </w:p>
        </w:tc>
        <w:tc>
          <w:tcPr>
            <w:tcW w:w="1650" w:type="dxa"/>
            <w:vMerge/>
          </w:tcPr>
          <w:p w14:paraId="739479BA" w14:textId="77777777" w:rsidR="00CC1ABE" w:rsidRPr="00CC1ABE" w:rsidRDefault="00CC1ABE" w:rsidP="00685654">
            <w:pPr>
              <w:spacing w:line="360" w:lineRule="auto"/>
              <w:jc w:val="both"/>
              <w:rPr>
                <w:rFonts w:ascii="Arial" w:hAnsi="Arial" w:cs="Arial"/>
                <w:sz w:val="20"/>
                <w:szCs w:val="20"/>
              </w:rPr>
            </w:pPr>
          </w:p>
        </w:tc>
      </w:tr>
      <w:tr w:rsidR="00CC1ABE" w:rsidRPr="00CC1ABE" w14:paraId="2F0D0E8A" w14:textId="77777777" w:rsidTr="00685654">
        <w:tc>
          <w:tcPr>
            <w:tcW w:w="1129" w:type="dxa"/>
            <w:tcBorders>
              <w:top w:val="single" w:sz="4" w:space="0" w:color="auto"/>
              <w:bottom w:val="nil"/>
            </w:tcBorders>
          </w:tcPr>
          <w:p w14:paraId="2D140C8B"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Cowpea</w:t>
            </w:r>
          </w:p>
        </w:tc>
        <w:tc>
          <w:tcPr>
            <w:tcW w:w="2268" w:type="dxa"/>
          </w:tcPr>
          <w:p w14:paraId="7531EB63"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Pant Lobia-7  </w:t>
            </w:r>
          </w:p>
        </w:tc>
        <w:tc>
          <w:tcPr>
            <w:tcW w:w="1418" w:type="dxa"/>
          </w:tcPr>
          <w:p w14:paraId="17202C54"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Iron</w:t>
            </w:r>
          </w:p>
        </w:tc>
        <w:tc>
          <w:tcPr>
            <w:tcW w:w="1701" w:type="dxa"/>
          </w:tcPr>
          <w:p w14:paraId="485153A1"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India</w:t>
            </w:r>
          </w:p>
        </w:tc>
        <w:tc>
          <w:tcPr>
            <w:tcW w:w="850" w:type="dxa"/>
          </w:tcPr>
          <w:p w14:paraId="73021B68"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2019</w:t>
            </w:r>
          </w:p>
        </w:tc>
        <w:tc>
          <w:tcPr>
            <w:tcW w:w="1650" w:type="dxa"/>
            <w:vMerge/>
          </w:tcPr>
          <w:p w14:paraId="32E24F68" w14:textId="77777777" w:rsidR="00CC1ABE" w:rsidRPr="00CC1ABE" w:rsidRDefault="00CC1ABE" w:rsidP="00685654">
            <w:pPr>
              <w:spacing w:line="360" w:lineRule="auto"/>
              <w:jc w:val="both"/>
              <w:rPr>
                <w:rFonts w:ascii="Arial" w:hAnsi="Arial" w:cs="Arial"/>
                <w:sz w:val="20"/>
                <w:szCs w:val="20"/>
              </w:rPr>
            </w:pPr>
          </w:p>
        </w:tc>
      </w:tr>
      <w:tr w:rsidR="00CC1ABE" w:rsidRPr="00CC1ABE" w14:paraId="75CFCDCC" w14:textId="77777777" w:rsidTr="00685654">
        <w:tc>
          <w:tcPr>
            <w:tcW w:w="1129" w:type="dxa"/>
            <w:tcBorders>
              <w:top w:val="nil"/>
            </w:tcBorders>
          </w:tcPr>
          <w:p w14:paraId="22F3A218" w14:textId="77777777" w:rsidR="00CC1ABE" w:rsidRPr="00CC1ABE" w:rsidRDefault="00CC1ABE" w:rsidP="00685654">
            <w:pPr>
              <w:spacing w:line="360" w:lineRule="auto"/>
              <w:jc w:val="both"/>
              <w:rPr>
                <w:rFonts w:ascii="Arial" w:hAnsi="Arial" w:cs="Arial"/>
                <w:sz w:val="20"/>
                <w:szCs w:val="20"/>
              </w:rPr>
            </w:pPr>
          </w:p>
        </w:tc>
        <w:tc>
          <w:tcPr>
            <w:tcW w:w="2268" w:type="dxa"/>
          </w:tcPr>
          <w:p w14:paraId="779E4403"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BRS Araca</w:t>
            </w:r>
          </w:p>
        </w:tc>
        <w:tc>
          <w:tcPr>
            <w:tcW w:w="1418" w:type="dxa"/>
          </w:tcPr>
          <w:p w14:paraId="0DA42A5E"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 xml:space="preserve">Iron </w:t>
            </w:r>
          </w:p>
        </w:tc>
        <w:tc>
          <w:tcPr>
            <w:tcW w:w="1701" w:type="dxa"/>
          </w:tcPr>
          <w:p w14:paraId="6DFA149D"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Brazil</w:t>
            </w:r>
          </w:p>
        </w:tc>
        <w:tc>
          <w:tcPr>
            <w:tcW w:w="850" w:type="dxa"/>
          </w:tcPr>
          <w:p w14:paraId="2DF5BB47" w14:textId="77777777" w:rsidR="00CC1ABE" w:rsidRPr="00CC1ABE" w:rsidRDefault="00CC1ABE" w:rsidP="00685654">
            <w:pPr>
              <w:spacing w:line="360" w:lineRule="auto"/>
              <w:jc w:val="both"/>
              <w:rPr>
                <w:rFonts w:ascii="Arial" w:hAnsi="Arial" w:cs="Arial"/>
                <w:sz w:val="20"/>
                <w:szCs w:val="20"/>
              </w:rPr>
            </w:pPr>
            <w:r w:rsidRPr="00CC1ABE">
              <w:rPr>
                <w:rFonts w:ascii="Arial" w:hAnsi="Arial" w:cs="Arial"/>
                <w:sz w:val="20"/>
                <w:szCs w:val="20"/>
              </w:rPr>
              <w:t>2009</w:t>
            </w:r>
          </w:p>
        </w:tc>
        <w:tc>
          <w:tcPr>
            <w:tcW w:w="1650" w:type="dxa"/>
            <w:vMerge/>
          </w:tcPr>
          <w:p w14:paraId="471E7087" w14:textId="77777777" w:rsidR="00CC1ABE" w:rsidRPr="00CC1ABE" w:rsidRDefault="00CC1ABE" w:rsidP="00685654">
            <w:pPr>
              <w:spacing w:line="360" w:lineRule="auto"/>
              <w:jc w:val="both"/>
              <w:rPr>
                <w:rFonts w:ascii="Arial" w:hAnsi="Arial" w:cs="Arial"/>
                <w:sz w:val="20"/>
                <w:szCs w:val="20"/>
              </w:rPr>
            </w:pPr>
          </w:p>
        </w:tc>
      </w:tr>
    </w:tbl>
    <w:p w14:paraId="4FD44F62" w14:textId="5E1A4359" w:rsidR="00CC1ABE" w:rsidRPr="00CC1ABE" w:rsidRDefault="00CC1ABE" w:rsidP="00CC1ABE">
      <w:pPr>
        <w:spacing w:line="360" w:lineRule="auto"/>
        <w:jc w:val="both"/>
        <w:rPr>
          <w:rFonts w:ascii="Arial" w:hAnsi="Arial" w:cs="Arial"/>
          <w:sz w:val="20"/>
          <w:szCs w:val="20"/>
        </w:rPr>
      </w:pPr>
    </w:p>
    <w:p w14:paraId="61918B79" w14:textId="2CF6F00D" w:rsidR="00ED5169" w:rsidRPr="00CC1ABE" w:rsidRDefault="00CC1ABE" w:rsidP="00ED5169">
      <w:pPr>
        <w:rPr>
          <w:rFonts w:ascii="Arial" w:hAnsi="Arial" w:cs="Arial"/>
          <w:b/>
          <w:szCs w:val="20"/>
        </w:rPr>
      </w:pPr>
      <w:r w:rsidRPr="00CC1ABE">
        <w:rPr>
          <w:rFonts w:ascii="Arial" w:hAnsi="Arial" w:cs="Arial"/>
          <w:b/>
          <w:szCs w:val="20"/>
        </w:rPr>
        <w:t>4.</w:t>
      </w:r>
      <w:proofErr w:type="gramStart"/>
      <w:r w:rsidRPr="00CC1ABE">
        <w:rPr>
          <w:rFonts w:ascii="Arial" w:hAnsi="Arial" w:cs="Arial"/>
          <w:b/>
          <w:szCs w:val="20"/>
        </w:rPr>
        <w:t>2.</w:t>
      </w:r>
      <w:r w:rsidR="00883762" w:rsidRPr="00CC1ABE">
        <w:rPr>
          <w:rFonts w:ascii="Arial" w:hAnsi="Arial" w:cs="Arial"/>
          <w:b/>
          <w:szCs w:val="20"/>
        </w:rPr>
        <w:t>Genetic</w:t>
      </w:r>
      <w:proofErr w:type="gramEnd"/>
      <w:r w:rsidR="00883762" w:rsidRPr="00CC1ABE">
        <w:rPr>
          <w:rFonts w:ascii="Arial" w:hAnsi="Arial" w:cs="Arial"/>
          <w:b/>
          <w:szCs w:val="20"/>
        </w:rPr>
        <w:t xml:space="preserve"> engineering: </w:t>
      </w:r>
    </w:p>
    <w:bookmarkEnd w:id="10"/>
    <w:p w14:paraId="5E0F8DED" w14:textId="6F20DEF4" w:rsidR="00F732A8" w:rsidRPr="00CC1ABE" w:rsidRDefault="007327ED" w:rsidP="00F732A8">
      <w:pPr>
        <w:spacing w:line="360" w:lineRule="auto"/>
        <w:jc w:val="both"/>
        <w:rPr>
          <w:rFonts w:ascii="Arial" w:hAnsi="Arial" w:cs="Arial"/>
          <w:sz w:val="20"/>
          <w:szCs w:val="20"/>
        </w:rPr>
      </w:pPr>
      <w:r w:rsidRPr="00CC1ABE">
        <w:rPr>
          <w:rFonts w:ascii="Arial" w:hAnsi="Arial" w:cs="Arial"/>
          <w:sz w:val="20"/>
          <w:szCs w:val="20"/>
        </w:rPr>
        <w:tab/>
        <w:t xml:space="preserve">Genetic engineering provides a viable alternative for boosting the concentration and bioavailability of micronutrients in the edible crop tissues when there is insufficient variation among genotypes for the desired character/trait within the species or when the crop itself is unsuitable for conventional plant breeding (due to lack of sexuality) (Prasad </w:t>
      </w:r>
      <w:r w:rsidRPr="00CC1ABE">
        <w:rPr>
          <w:rFonts w:ascii="Arial" w:hAnsi="Arial" w:cs="Arial"/>
          <w:i/>
          <w:sz w:val="20"/>
          <w:szCs w:val="20"/>
        </w:rPr>
        <w:t>et al.,</w:t>
      </w:r>
      <w:r w:rsidRPr="00CC1ABE">
        <w:rPr>
          <w:rFonts w:ascii="Arial" w:hAnsi="Arial" w:cs="Arial"/>
          <w:sz w:val="20"/>
          <w:szCs w:val="20"/>
        </w:rPr>
        <w:t xml:space="preserve"> 2015). Through the transfer of desirable traits from one organism to another, genetic engineering techniques can create new cultivars from an infinite pool of genes, increasing the value of the original population. Recent advances in genetic engineering techniques have also made it feasible to incorporate characters that conventional breeding is unable to produce (Chaudhary </w:t>
      </w:r>
      <w:r w:rsidRPr="00CC1ABE">
        <w:rPr>
          <w:rFonts w:ascii="Arial" w:hAnsi="Arial" w:cs="Arial"/>
          <w:i/>
          <w:sz w:val="20"/>
          <w:szCs w:val="20"/>
        </w:rPr>
        <w:t>et al.,</w:t>
      </w:r>
      <w:r w:rsidRPr="00CC1ABE">
        <w:rPr>
          <w:rFonts w:ascii="Arial" w:hAnsi="Arial" w:cs="Arial"/>
          <w:sz w:val="20"/>
          <w:szCs w:val="20"/>
        </w:rPr>
        <w:t xml:space="preserve"> 2019</w:t>
      </w:r>
      <w:r w:rsidR="00F732A8" w:rsidRPr="00CC1ABE">
        <w:rPr>
          <w:rFonts w:ascii="Arial" w:hAnsi="Arial" w:cs="Arial"/>
          <w:sz w:val="20"/>
          <w:szCs w:val="20"/>
        </w:rPr>
        <w:t>;</w:t>
      </w:r>
      <w:r w:rsidRPr="00CC1ABE">
        <w:rPr>
          <w:rFonts w:ascii="Arial" w:hAnsi="Arial" w:cs="Arial"/>
          <w:sz w:val="20"/>
          <w:szCs w:val="20"/>
        </w:rPr>
        <w:t xml:space="preserve"> Rana </w:t>
      </w:r>
      <w:r w:rsidRPr="00CC1ABE">
        <w:rPr>
          <w:rFonts w:ascii="Arial" w:hAnsi="Arial" w:cs="Arial"/>
          <w:i/>
          <w:sz w:val="20"/>
          <w:szCs w:val="20"/>
        </w:rPr>
        <w:t>et al.,</w:t>
      </w:r>
      <w:r w:rsidRPr="00CC1ABE">
        <w:rPr>
          <w:rFonts w:ascii="Arial" w:hAnsi="Arial" w:cs="Arial"/>
          <w:sz w:val="20"/>
          <w:szCs w:val="20"/>
        </w:rPr>
        <w:t xml:space="preserve"> 2019).</w:t>
      </w:r>
      <w:r w:rsidR="00F732A8" w:rsidRPr="00CC1ABE">
        <w:rPr>
          <w:rFonts w:ascii="Arial" w:hAnsi="Arial" w:cs="Arial"/>
          <w:sz w:val="20"/>
          <w:szCs w:val="20"/>
        </w:rPr>
        <w:t xml:space="preserve"> One of the primary worries is the so-called "gene flow" environmental issue, which refers to the risk of foreign genes spreading to non-target species (Winkler, 2011). Vegetable crops are genetically modified to confer desired traits like higher nutritional status, reduced bitterness, delayed ripening, seedless fruit, enhanced sweetness, and decreased anti-nutritional elements (Tripathy </w:t>
      </w:r>
      <w:r w:rsidR="00F732A8" w:rsidRPr="00CC1ABE">
        <w:rPr>
          <w:rFonts w:ascii="Arial" w:hAnsi="Arial" w:cs="Arial"/>
          <w:i/>
          <w:sz w:val="20"/>
          <w:szCs w:val="20"/>
        </w:rPr>
        <w:t>et al.,</w:t>
      </w:r>
      <w:r w:rsidR="00F732A8" w:rsidRPr="00CC1ABE">
        <w:rPr>
          <w:rFonts w:ascii="Arial" w:hAnsi="Arial" w:cs="Arial"/>
          <w:sz w:val="20"/>
          <w:szCs w:val="20"/>
        </w:rPr>
        <w:t xml:space="preserve"> 2020). </w:t>
      </w:r>
    </w:p>
    <w:p w14:paraId="43FD9EBF" w14:textId="544CE2D2" w:rsidR="00AB27C0" w:rsidRDefault="00F732A8" w:rsidP="00AB27C0">
      <w:pPr>
        <w:spacing w:line="360" w:lineRule="auto"/>
        <w:jc w:val="both"/>
        <w:rPr>
          <w:rFonts w:ascii="Arial" w:hAnsi="Arial" w:cs="Arial"/>
          <w:sz w:val="20"/>
          <w:szCs w:val="20"/>
        </w:rPr>
      </w:pPr>
      <w:r w:rsidRPr="00CC1ABE">
        <w:rPr>
          <w:rFonts w:ascii="Arial" w:hAnsi="Arial" w:cs="Arial"/>
          <w:sz w:val="20"/>
          <w:szCs w:val="20"/>
        </w:rPr>
        <w:tab/>
        <w:t>Enhancing the expression of genes already existing that are involved in nutrient production or introducing additional genes that give the plants more vitamins or minerals are two ways to improve the nutritional quality of crops.</w:t>
      </w:r>
      <w:r w:rsidR="002D0C9A" w:rsidRPr="00CC1ABE">
        <w:rPr>
          <w:rFonts w:ascii="Arial" w:hAnsi="Arial" w:cs="Arial"/>
          <w:sz w:val="20"/>
          <w:szCs w:val="20"/>
        </w:rPr>
        <w:t xml:space="preserve"> Through the use of transgenic techniques, genes that enhance the </w:t>
      </w:r>
      <w:r w:rsidR="002D0C9A" w:rsidRPr="00CC1ABE">
        <w:rPr>
          <w:rFonts w:ascii="Arial" w:hAnsi="Arial" w:cs="Arial"/>
          <w:sz w:val="20"/>
          <w:szCs w:val="20"/>
        </w:rPr>
        <w:lastRenderedPageBreak/>
        <w:t xml:space="preserve">concentration and bioavailability of micronutrients as well as those that block antinutritional factors (ANFs) in crops that limit nutrient utilization can be incorporated simultaneously (Garg </w:t>
      </w:r>
      <w:r w:rsidR="002D0C9A" w:rsidRPr="00CC1ABE">
        <w:rPr>
          <w:rFonts w:ascii="Arial" w:hAnsi="Arial" w:cs="Arial"/>
          <w:i/>
          <w:sz w:val="20"/>
          <w:szCs w:val="20"/>
        </w:rPr>
        <w:t>et al.,</w:t>
      </w:r>
      <w:r w:rsidR="002D0C9A" w:rsidRPr="00CC1ABE">
        <w:rPr>
          <w:rFonts w:ascii="Arial" w:hAnsi="Arial" w:cs="Arial"/>
          <w:sz w:val="20"/>
          <w:szCs w:val="20"/>
        </w:rPr>
        <w:t xml:space="preserve"> 2018). Transgenic technology offers a sensible way to increase the concentration and bioavailability of micronutrients (Rehan </w:t>
      </w:r>
      <w:r w:rsidR="002D0C9A" w:rsidRPr="00CC1ABE">
        <w:rPr>
          <w:rFonts w:ascii="Arial" w:hAnsi="Arial" w:cs="Arial"/>
          <w:i/>
          <w:sz w:val="20"/>
          <w:szCs w:val="20"/>
        </w:rPr>
        <w:t>et al.,</w:t>
      </w:r>
      <w:r w:rsidR="002D0C9A" w:rsidRPr="00CC1ABE">
        <w:rPr>
          <w:rFonts w:ascii="Arial" w:hAnsi="Arial" w:cs="Arial"/>
          <w:sz w:val="20"/>
          <w:szCs w:val="20"/>
        </w:rPr>
        <w:t xml:space="preserve"> 2020), particularly in cases when several plant species have diverse genetic bases. Furthermore, food quality can be enhanced by biotechnology through extending its shelf life, improving its </w:t>
      </w:r>
      <w:proofErr w:type="spellStart"/>
      <w:r w:rsidR="002D0C9A" w:rsidRPr="00CC1ABE">
        <w:rPr>
          <w:rFonts w:ascii="Arial" w:hAnsi="Arial" w:cs="Arial"/>
          <w:sz w:val="20"/>
          <w:szCs w:val="20"/>
        </w:rPr>
        <w:t>flavor</w:t>
      </w:r>
      <w:proofErr w:type="spellEnd"/>
      <w:r w:rsidR="002D0C9A" w:rsidRPr="00CC1ABE">
        <w:rPr>
          <w:rFonts w:ascii="Arial" w:hAnsi="Arial" w:cs="Arial"/>
          <w:sz w:val="20"/>
          <w:szCs w:val="20"/>
        </w:rPr>
        <w:t xml:space="preserve">, lowering its allergenicity, and creating food elements that are good for you, including functional proteins, </w:t>
      </w:r>
      <w:proofErr w:type="spellStart"/>
      <w:r w:rsidR="002D0C9A" w:rsidRPr="00CC1ABE">
        <w:rPr>
          <w:rFonts w:ascii="Arial" w:hAnsi="Arial" w:cs="Arial"/>
          <w:sz w:val="20"/>
          <w:szCs w:val="20"/>
        </w:rPr>
        <w:t>fibers</w:t>
      </w:r>
      <w:proofErr w:type="spellEnd"/>
      <w:r w:rsidR="002D0C9A" w:rsidRPr="00CC1ABE">
        <w:rPr>
          <w:rFonts w:ascii="Arial" w:hAnsi="Arial" w:cs="Arial"/>
          <w:sz w:val="20"/>
          <w:szCs w:val="20"/>
        </w:rPr>
        <w:t>, and lipids. By adding these substances to food products, their nutritional content can be increased, improving their overall health and benefit to customers.</w:t>
      </w:r>
      <w:r w:rsidR="00716482" w:rsidRPr="00CC1ABE">
        <w:rPr>
          <w:rFonts w:ascii="Arial" w:hAnsi="Arial" w:cs="Arial"/>
          <w:sz w:val="20"/>
          <w:szCs w:val="20"/>
        </w:rPr>
        <w:t xml:space="preserve"> When food is scarce or expensive, this can help make food more accessible and inexpensive for customers. Although it is a controversial topic and requires more research to properly grasp its potential effects and risks, it is a promising strategy for increasing th</w:t>
      </w:r>
      <w:r w:rsidR="00E05A3F">
        <w:rPr>
          <w:rFonts w:ascii="Arial" w:hAnsi="Arial" w:cs="Arial"/>
          <w:sz w:val="20"/>
          <w:szCs w:val="20"/>
        </w:rPr>
        <w:t>e nutritional value of crops (Table 6).</w:t>
      </w:r>
    </w:p>
    <w:p w14:paraId="1E868B8F" w14:textId="77777777" w:rsidR="00E05A3F" w:rsidRPr="00E05A3F" w:rsidRDefault="00E05A3F" w:rsidP="00E05A3F">
      <w:pPr>
        <w:rPr>
          <w:rFonts w:ascii="Arial" w:hAnsi="Arial" w:cs="Arial"/>
          <w:b/>
          <w:szCs w:val="20"/>
        </w:rPr>
      </w:pPr>
      <w:r w:rsidRPr="00E05A3F">
        <w:rPr>
          <w:rFonts w:ascii="Arial" w:hAnsi="Arial" w:cs="Arial"/>
          <w:b/>
          <w:szCs w:val="20"/>
        </w:rPr>
        <w:t>Table 6: Genes involved in micronutrient enrichment</w:t>
      </w:r>
    </w:p>
    <w:tbl>
      <w:tblPr>
        <w:tblStyle w:val="TableGrid"/>
        <w:tblW w:w="0" w:type="auto"/>
        <w:tblLook w:val="04A0" w:firstRow="1" w:lastRow="0" w:firstColumn="1" w:lastColumn="0" w:noHBand="0" w:noVBand="1"/>
      </w:tblPr>
      <w:tblGrid>
        <w:gridCol w:w="1363"/>
        <w:gridCol w:w="2743"/>
        <w:gridCol w:w="2693"/>
        <w:gridCol w:w="2217"/>
      </w:tblGrid>
      <w:tr w:rsidR="00E05A3F" w:rsidRPr="00CC1ABE" w14:paraId="359E5942" w14:textId="77777777" w:rsidTr="00685654">
        <w:tc>
          <w:tcPr>
            <w:tcW w:w="1363" w:type="dxa"/>
          </w:tcPr>
          <w:p w14:paraId="2AA4C1D8"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Crop </w:t>
            </w:r>
          </w:p>
        </w:tc>
        <w:tc>
          <w:tcPr>
            <w:tcW w:w="2743" w:type="dxa"/>
          </w:tcPr>
          <w:p w14:paraId="0DAD4D98"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Genes involved</w:t>
            </w:r>
          </w:p>
        </w:tc>
        <w:tc>
          <w:tcPr>
            <w:tcW w:w="2693" w:type="dxa"/>
          </w:tcPr>
          <w:p w14:paraId="4C8676B1"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Micro nutrient </w:t>
            </w:r>
          </w:p>
        </w:tc>
        <w:tc>
          <w:tcPr>
            <w:tcW w:w="2217" w:type="dxa"/>
          </w:tcPr>
          <w:p w14:paraId="5D844029"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Reference </w:t>
            </w:r>
          </w:p>
        </w:tc>
      </w:tr>
      <w:tr w:rsidR="00E05A3F" w:rsidRPr="00CC1ABE" w14:paraId="341E9DEF" w14:textId="77777777" w:rsidTr="00685654">
        <w:tc>
          <w:tcPr>
            <w:tcW w:w="1363" w:type="dxa"/>
            <w:vMerge w:val="restart"/>
          </w:tcPr>
          <w:p w14:paraId="16D31631"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Tomato </w:t>
            </w:r>
          </w:p>
        </w:tc>
        <w:tc>
          <w:tcPr>
            <w:tcW w:w="2743" w:type="dxa"/>
          </w:tcPr>
          <w:p w14:paraId="3B0707C7"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SINCED1</w:t>
            </w:r>
          </w:p>
        </w:tc>
        <w:tc>
          <w:tcPr>
            <w:tcW w:w="2693" w:type="dxa"/>
          </w:tcPr>
          <w:p w14:paraId="17C23D0E"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Vitamin A, pectin and lycopene</w:t>
            </w:r>
          </w:p>
        </w:tc>
        <w:tc>
          <w:tcPr>
            <w:tcW w:w="2217" w:type="dxa"/>
          </w:tcPr>
          <w:p w14:paraId="11ACFACF"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Sun et al., 2012; Thakur et al., 2022</w:t>
            </w:r>
          </w:p>
        </w:tc>
      </w:tr>
      <w:tr w:rsidR="00E05A3F" w:rsidRPr="00CC1ABE" w14:paraId="68B88E1E" w14:textId="77777777" w:rsidTr="00685654">
        <w:tc>
          <w:tcPr>
            <w:tcW w:w="1363" w:type="dxa"/>
            <w:vMerge/>
          </w:tcPr>
          <w:p w14:paraId="159D9F49" w14:textId="77777777" w:rsidR="00E05A3F" w:rsidRPr="00CC1ABE" w:rsidRDefault="00E05A3F" w:rsidP="00685654">
            <w:pPr>
              <w:spacing w:line="360" w:lineRule="auto"/>
              <w:jc w:val="both"/>
              <w:rPr>
                <w:rFonts w:ascii="Arial" w:hAnsi="Arial" w:cs="Arial"/>
                <w:sz w:val="20"/>
                <w:szCs w:val="20"/>
              </w:rPr>
            </w:pPr>
          </w:p>
        </w:tc>
        <w:tc>
          <w:tcPr>
            <w:tcW w:w="2743" w:type="dxa"/>
          </w:tcPr>
          <w:p w14:paraId="5AF4759B"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Delila, Rosea1, SIANT1 </w:t>
            </w:r>
          </w:p>
        </w:tc>
        <w:tc>
          <w:tcPr>
            <w:tcW w:w="2693" w:type="dxa"/>
          </w:tcPr>
          <w:p w14:paraId="6F509D16"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Anthocyanin</w:t>
            </w:r>
          </w:p>
        </w:tc>
        <w:tc>
          <w:tcPr>
            <w:tcW w:w="2217" w:type="dxa"/>
          </w:tcPr>
          <w:p w14:paraId="02A756C6"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Cermak et al., 2015; </w:t>
            </w:r>
            <w:proofErr w:type="spellStart"/>
            <w:r w:rsidRPr="00CC1ABE">
              <w:rPr>
                <w:rFonts w:ascii="Arial" w:hAnsi="Arial" w:cs="Arial"/>
                <w:sz w:val="20"/>
                <w:szCs w:val="20"/>
              </w:rPr>
              <w:t>Maligeppagol</w:t>
            </w:r>
            <w:proofErr w:type="spellEnd"/>
            <w:r w:rsidRPr="00CC1ABE">
              <w:rPr>
                <w:rFonts w:ascii="Arial" w:hAnsi="Arial" w:cs="Arial"/>
                <w:sz w:val="20"/>
                <w:szCs w:val="20"/>
              </w:rPr>
              <w:t xml:space="preserve"> et al., 2013</w:t>
            </w:r>
          </w:p>
        </w:tc>
      </w:tr>
      <w:tr w:rsidR="00E05A3F" w:rsidRPr="00CC1ABE" w14:paraId="0B97CB7F" w14:textId="77777777" w:rsidTr="00685654">
        <w:tc>
          <w:tcPr>
            <w:tcW w:w="1363" w:type="dxa"/>
            <w:vMerge/>
          </w:tcPr>
          <w:p w14:paraId="0B310AD7" w14:textId="77777777" w:rsidR="00E05A3F" w:rsidRPr="00CC1ABE" w:rsidRDefault="00E05A3F" w:rsidP="00685654">
            <w:pPr>
              <w:spacing w:line="360" w:lineRule="auto"/>
              <w:jc w:val="both"/>
              <w:rPr>
                <w:rFonts w:ascii="Arial" w:hAnsi="Arial" w:cs="Arial"/>
                <w:sz w:val="20"/>
                <w:szCs w:val="20"/>
              </w:rPr>
            </w:pPr>
          </w:p>
        </w:tc>
        <w:tc>
          <w:tcPr>
            <w:tcW w:w="2743" w:type="dxa"/>
          </w:tcPr>
          <w:p w14:paraId="7379A0D6"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HMT, S3H, SAMT </w:t>
            </w:r>
          </w:p>
        </w:tc>
        <w:tc>
          <w:tcPr>
            <w:tcW w:w="2693" w:type="dxa"/>
          </w:tcPr>
          <w:p w14:paraId="1C1C1D91"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Iodine</w:t>
            </w:r>
          </w:p>
        </w:tc>
        <w:tc>
          <w:tcPr>
            <w:tcW w:w="2217" w:type="dxa"/>
          </w:tcPr>
          <w:p w14:paraId="7DA705D6"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Halka et al., 2019</w:t>
            </w:r>
          </w:p>
        </w:tc>
      </w:tr>
      <w:tr w:rsidR="00E05A3F" w:rsidRPr="00CC1ABE" w14:paraId="5E58A810" w14:textId="77777777" w:rsidTr="00685654">
        <w:tc>
          <w:tcPr>
            <w:tcW w:w="1363" w:type="dxa"/>
            <w:vMerge w:val="restart"/>
          </w:tcPr>
          <w:p w14:paraId="59667837"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Potato </w:t>
            </w:r>
          </w:p>
        </w:tc>
        <w:tc>
          <w:tcPr>
            <w:tcW w:w="2743" w:type="dxa"/>
          </w:tcPr>
          <w:p w14:paraId="4B1EAED8"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GBSS</w:t>
            </w:r>
          </w:p>
        </w:tc>
        <w:tc>
          <w:tcPr>
            <w:tcW w:w="2693" w:type="dxa"/>
          </w:tcPr>
          <w:p w14:paraId="73267EA4"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Starch quality</w:t>
            </w:r>
          </w:p>
        </w:tc>
        <w:tc>
          <w:tcPr>
            <w:tcW w:w="2217" w:type="dxa"/>
          </w:tcPr>
          <w:p w14:paraId="26D5422E"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Andersson et al., 2017</w:t>
            </w:r>
          </w:p>
        </w:tc>
      </w:tr>
      <w:tr w:rsidR="00E05A3F" w:rsidRPr="00CC1ABE" w14:paraId="61FADC1F" w14:textId="77777777" w:rsidTr="00685654">
        <w:tc>
          <w:tcPr>
            <w:tcW w:w="1363" w:type="dxa"/>
            <w:vMerge/>
          </w:tcPr>
          <w:p w14:paraId="0A34675A" w14:textId="77777777" w:rsidR="00E05A3F" w:rsidRPr="00CC1ABE" w:rsidRDefault="00E05A3F" w:rsidP="00685654">
            <w:pPr>
              <w:spacing w:line="360" w:lineRule="auto"/>
              <w:jc w:val="both"/>
              <w:rPr>
                <w:rFonts w:ascii="Arial" w:hAnsi="Arial" w:cs="Arial"/>
                <w:sz w:val="20"/>
                <w:szCs w:val="20"/>
              </w:rPr>
            </w:pPr>
          </w:p>
        </w:tc>
        <w:tc>
          <w:tcPr>
            <w:tcW w:w="2743" w:type="dxa"/>
          </w:tcPr>
          <w:p w14:paraId="176D8CA3"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AmA1, tar-1, </w:t>
            </w:r>
            <w:proofErr w:type="spellStart"/>
            <w:r w:rsidRPr="00CC1ABE">
              <w:rPr>
                <w:rFonts w:ascii="Arial" w:hAnsi="Arial" w:cs="Arial"/>
                <w:sz w:val="20"/>
                <w:szCs w:val="20"/>
              </w:rPr>
              <w:t>Boxla</w:t>
            </w:r>
            <w:proofErr w:type="spellEnd"/>
            <w:r w:rsidRPr="00CC1ABE">
              <w:rPr>
                <w:rFonts w:ascii="Arial" w:hAnsi="Arial" w:cs="Arial"/>
                <w:sz w:val="20"/>
                <w:szCs w:val="20"/>
              </w:rPr>
              <w:t xml:space="preserve">, </w:t>
            </w:r>
            <w:proofErr w:type="spellStart"/>
            <w:r w:rsidRPr="00CC1ABE">
              <w:rPr>
                <w:rFonts w:ascii="Arial" w:hAnsi="Arial" w:cs="Arial"/>
                <w:sz w:val="20"/>
                <w:szCs w:val="20"/>
              </w:rPr>
              <w:t>BoxIIa</w:t>
            </w:r>
            <w:proofErr w:type="spellEnd"/>
            <w:r w:rsidRPr="00CC1ABE">
              <w:rPr>
                <w:rFonts w:ascii="Arial" w:hAnsi="Arial" w:cs="Arial"/>
                <w:sz w:val="20"/>
                <w:szCs w:val="20"/>
              </w:rPr>
              <w:t xml:space="preserve"> &amp; BoxaIIa-2</w:t>
            </w:r>
          </w:p>
        </w:tc>
        <w:tc>
          <w:tcPr>
            <w:tcW w:w="2693" w:type="dxa"/>
          </w:tcPr>
          <w:p w14:paraId="60B911BE"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Protein</w:t>
            </w:r>
          </w:p>
        </w:tc>
        <w:tc>
          <w:tcPr>
            <w:tcW w:w="2217" w:type="dxa"/>
          </w:tcPr>
          <w:p w14:paraId="36EA9FA2"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Gomathi et al., 2017</w:t>
            </w:r>
          </w:p>
        </w:tc>
      </w:tr>
      <w:tr w:rsidR="00E05A3F" w:rsidRPr="00CC1ABE" w14:paraId="74CC5677" w14:textId="77777777" w:rsidTr="00685654">
        <w:tc>
          <w:tcPr>
            <w:tcW w:w="1363" w:type="dxa"/>
            <w:vMerge/>
          </w:tcPr>
          <w:p w14:paraId="6FDB7C08" w14:textId="77777777" w:rsidR="00E05A3F" w:rsidRPr="00CC1ABE" w:rsidRDefault="00E05A3F" w:rsidP="00685654">
            <w:pPr>
              <w:spacing w:line="360" w:lineRule="auto"/>
              <w:jc w:val="both"/>
              <w:rPr>
                <w:rFonts w:ascii="Arial" w:hAnsi="Arial" w:cs="Arial"/>
                <w:sz w:val="20"/>
                <w:szCs w:val="20"/>
              </w:rPr>
            </w:pPr>
          </w:p>
        </w:tc>
        <w:tc>
          <w:tcPr>
            <w:tcW w:w="2743" w:type="dxa"/>
          </w:tcPr>
          <w:p w14:paraId="523238E4" w14:textId="77777777" w:rsidR="00E05A3F" w:rsidRPr="00CC1ABE" w:rsidRDefault="00E05A3F" w:rsidP="00685654">
            <w:pPr>
              <w:spacing w:line="360" w:lineRule="auto"/>
              <w:jc w:val="both"/>
              <w:rPr>
                <w:rFonts w:ascii="Arial" w:hAnsi="Arial" w:cs="Arial"/>
                <w:sz w:val="20"/>
                <w:szCs w:val="20"/>
              </w:rPr>
            </w:pPr>
            <w:proofErr w:type="spellStart"/>
            <w:r w:rsidRPr="00CC1ABE">
              <w:rPr>
                <w:rFonts w:ascii="Arial" w:hAnsi="Arial" w:cs="Arial"/>
                <w:sz w:val="20"/>
                <w:szCs w:val="20"/>
              </w:rPr>
              <w:t>nptII</w:t>
            </w:r>
            <w:proofErr w:type="spellEnd"/>
          </w:p>
        </w:tc>
        <w:tc>
          <w:tcPr>
            <w:tcW w:w="2693" w:type="dxa"/>
          </w:tcPr>
          <w:p w14:paraId="6BBD5193"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Amylopectin component of starch</w:t>
            </w:r>
          </w:p>
        </w:tc>
        <w:tc>
          <w:tcPr>
            <w:tcW w:w="2217" w:type="dxa"/>
          </w:tcPr>
          <w:p w14:paraId="58EF70EF" w14:textId="77777777" w:rsidR="00E05A3F" w:rsidRPr="00CC1ABE" w:rsidRDefault="00E05A3F" w:rsidP="00685654">
            <w:pPr>
              <w:spacing w:line="360" w:lineRule="auto"/>
              <w:jc w:val="both"/>
              <w:rPr>
                <w:rFonts w:ascii="Arial" w:hAnsi="Arial" w:cs="Arial"/>
                <w:sz w:val="20"/>
                <w:szCs w:val="20"/>
              </w:rPr>
            </w:pPr>
            <w:proofErr w:type="spellStart"/>
            <w:r w:rsidRPr="00CC1ABE">
              <w:rPr>
                <w:rFonts w:ascii="Arial" w:hAnsi="Arial" w:cs="Arial"/>
                <w:sz w:val="20"/>
                <w:szCs w:val="20"/>
              </w:rPr>
              <w:t>Tilocca</w:t>
            </w:r>
            <w:proofErr w:type="spellEnd"/>
            <w:r w:rsidRPr="00CC1ABE">
              <w:rPr>
                <w:rFonts w:ascii="Arial" w:hAnsi="Arial" w:cs="Arial"/>
                <w:sz w:val="20"/>
                <w:szCs w:val="20"/>
              </w:rPr>
              <w:t xml:space="preserve"> et al., 2014</w:t>
            </w:r>
          </w:p>
        </w:tc>
      </w:tr>
      <w:tr w:rsidR="00E05A3F" w:rsidRPr="00CC1ABE" w14:paraId="0AE6BA09" w14:textId="77777777" w:rsidTr="00685654">
        <w:tc>
          <w:tcPr>
            <w:tcW w:w="1363" w:type="dxa"/>
          </w:tcPr>
          <w:p w14:paraId="5E1E04AC"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Cauliflower </w:t>
            </w:r>
          </w:p>
        </w:tc>
        <w:tc>
          <w:tcPr>
            <w:tcW w:w="2743" w:type="dxa"/>
          </w:tcPr>
          <w:p w14:paraId="40A614A0"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Or gene</w:t>
            </w:r>
          </w:p>
        </w:tc>
        <w:tc>
          <w:tcPr>
            <w:tcW w:w="2693" w:type="dxa"/>
          </w:tcPr>
          <w:p w14:paraId="3E72054F"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β-carotene</w:t>
            </w:r>
          </w:p>
        </w:tc>
        <w:tc>
          <w:tcPr>
            <w:tcW w:w="2217" w:type="dxa"/>
          </w:tcPr>
          <w:p w14:paraId="3742709B"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Kalia et al., 2016</w:t>
            </w:r>
          </w:p>
        </w:tc>
      </w:tr>
      <w:tr w:rsidR="00E05A3F" w:rsidRPr="00CC1ABE" w14:paraId="36F22BD1" w14:textId="77777777" w:rsidTr="00685654">
        <w:tc>
          <w:tcPr>
            <w:tcW w:w="1363" w:type="dxa"/>
            <w:vMerge w:val="restart"/>
          </w:tcPr>
          <w:p w14:paraId="507BA8EF"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Cassava </w:t>
            </w:r>
          </w:p>
        </w:tc>
        <w:tc>
          <w:tcPr>
            <w:tcW w:w="2743" w:type="dxa"/>
          </w:tcPr>
          <w:p w14:paraId="330CC579"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Erwinia </w:t>
            </w:r>
            <w:proofErr w:type="spellStart"/>
            <w:r w:rsidRPr="00CC1ABE">
              <w:rPr>
                <w:rFonts w:ascii="Arial" w:hAnsi="Arial" w:cs="Arial"/>
                <w:sz w:val="20"/>
                <w:szCs w:val="20"/>
              </w:rPr>
              <w:t>crtB</w:t>
            </w:r>
            <w:proofErr w:type="spellEnd"/>
            <w:r w:rsidRPr="00CC1ABE">
              <w:rPr>
                <w:rFonts w:ascii="Arial" w:hAnsi="Arial" w:cs="Arial"/>
                <w:sz w:val="20"/>
                <w:szCs w:val="20"/>
              </w:rPr>
              <w:t xml:space="preserve"> phytoene-synthase gene, &amp; </w:t>
            </w:r>
            <w:proofErr w:type="spellStart"/>
            <w:r w:rsidRPr="00CC1ABE">
              <w:rPr>
                <w:rFonts w:ascii="Arial" w:hAnsi="Arial" w:cs="Arial"/>
                <w:sz w:val="20"/>
                <w:szCs w:val="20"/>
              </w:rPr>
              <w:t>Arbidoopsis</w:t>
            </w:r>
            <w:proofErr w:type="spellEnd"/>
            <w:r w:rsidRPr="00CC1ABE">
              <w:rPr>
                <w:rFonts w:ascii="Arial" w:hAnsi="Arial" w:cs="Arial"/>
                <w:sz w:val="20"/>
                <w:szCs w:val="20"/>
              </w:rPr>
              <w:t xml:space="preserve"> 1-deoxyxylulose-5- phosphate synthase</w:t>
            </w:r>
          </w:p>
        </w:tc>
        <w:tc>
          <w:tcPr>
            <w:tcW w:w="2693" w:type="dxa"/>
          </w:tcPr>
          <w:p w14:paraId="0C0074F9"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β-carotene</w:t>
            </w:r>
          </w:p>
        </w:tc>
        <w:tc>
          <w:tcPr>
            <w:tcW w:w="2217" w:type="dxa"/>
          </w:tcPr>
          <w:p w14:paraId="089428E9" w14:textId="77777777" w:rsidR="00E05A3F" w:rsidRPr="00CC1ABE" w:rsidRDefault="00E05A3F" w:rsidP="00685654">
            <w:pPr>
              <w:spacing w:line="360" w:lineRule="auto"/>
              <w:jc w:val="both"/>
              <w:rPr>
                <w:rFonts w:ascii="Arial" w:hAnsi="Arial" w:cs="Arial"/>
                <w:sz w:val="20"/>
                <w:szCs w:val="20"/>
              </w:rPr>
            </w:pPr>
            <w:proofErr w:type="spellStart"/>
            <w:r w:rsidRPr="00CC1ABE">
              <w:rPr>
                <w:rFonts w:ascii="Arial" w:hAnsi="Arial" w:cs="Arial"/>
                <w:sz w:val="20"/>
                <w:szCs w:val="20"/>
              </w:rPr>
              <w:t>Telengech</w:t>
            </w:r>
            <w:proofErr w:type="spellEnd"/>
            <w:r w:rsidRPr="00CC1ABE">
              <w:rPr>
                <w:rFonts w:ascii="Arial" w:hAnsi="Arial" w:cs="Arial"/>
                <w:sz w:val="20"/>
                <w:szCs w:val="20"/>
              </w:rPr>
              <w:t xml:space="preserve"> et al., 2015</w:t>
            </w:r>
          </w:p>
        </w:tc>
      </w:tr>
      <w:tr w:rsidR="00E05A3F" w:rsidRPr="00CC1ABE" w14:paraId="55F5E0AB" w14:textId="77777777" w:rsidTr="00685654">
        <w:tc>
          <w:tcPr>
            <w:tcW w:w="1363" w:type="dxa"/>
            <w:vMerge/>
          </w:tcPr>
          <w:p w14:paraId="0387BB1C" w14:textId="77777777" w:rsidR="00E05A3F" w:rsidRPr="00CC1ABE" w:rsidRDefault="00E05A3F" w:rsidP="00685654">
            <w:pPr>
              <w:spacing w:line="360" w:lineRule="auto"/>
              <w:jc w:val="both"/>
              <w:rPr>
                <w:rFonts w:ascii="Arial" w:hAnsi="Arial" w:cs="Arial"/>
                <w:sz w:val="20"/>
                <w:szCs w:val="20"/>
              </w:rPr>
            </w:pPr>
          </w:p>
        </w:tc>
        <w:tc>
          <w:tcPr>
            <w:tcW w:w="2743" w:type="dxa"/>
          </w:tcPr>
          <w:p w14:paraId="0921CDE8"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EFA1 gene</w:t>
            </w:r>
          </w:p>
        </w:tc>
        <w:tc>
          <w:tcPr>
            <w:tcW w:w="2693" w:type="dxa"/>
          </w:tcPr>
          <w:p w14:paraId="70E5019D"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Fe</w:t>
            </w:r>
          </w:p>
        </w:tc>
        <w:tc>
          <w:tcPr>
            <w:tcW w:w="2217" w:type="dxa"/>
          </w:tcPr>
          <w:p w14:paraId="1C7BD70D"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Sharma et al. 2017</w:t>
            </w:r>
          </w:p>
        </w:tc>
      </w:tr>
      <w:tr w:rsidR="00E05A3F" w:rsidRPr="00CC1ABE" w14:paraId="773109EC" w14:textId="77777777" w:rsidTr="00685654">
        <w:tc>
          <w:tcPr>
            <w:tcW w:w="1363" w:type="dxa"/>
            <w:vMerge/>
          </w:tcPr>
          <w:p w14:paraId="54B8DCE2" w14:textId="77777777" w:rsidR="00E05A3F" w:rsidRPr="00CC1ABE" w:rsidRDefault="00E05A3F" w:rsidP="00685654">
            <w:pPr>
              <w:spacing w:line="360" w:lineRule="auto"/>
              <w:jc w:val="both"/>
              <w:rPr>
                <w:rFonts w:ascii="Arial" w:hAnsi="Arial" w:cs="Arial"/>
                <w:sz w:val="20"/>
                <w:szCs w:val="20"/>
              </w:rPr>
            </w:pPr>
          </w:p>
        </w:tc>
        <w:tc>
          <w:tcPr>
            <w:tcW w:w="2743" w:type="dxa"/>
          </w:tcPr>
          <w:p w14:paraId="52FE9EFF"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ASP 1, </w:t>
            </w:r>
            <w:proofErr w:type="spellStart"/>
            <w:r w:rsidRPr="00CC1ABE">
              <w:rPr>
                <w:rFonts w:ascii="Arial" w:hAnsi="Arial" w:cs="Arial"/>
                <w:sz w:val="20"/>
                <w:szCs w:val="20"/>
              </w:rPr>
              <w:t>Zeolin</w:t>
            </w:r>
            <w:proofErr w:type="spellEnd"/>
          </w:p>
        </w:tc>
        <w:tc>
          <w:tcPr>
            <w:tcW w:w="2693" w:type="dxa"/>
          </w:tcPr>
          <w:p w14:paraId="0D266EC3"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Protein</w:t>
            </w:r>
          </w:p>
        </w:tc>
        <w:tc>
          <w:tcPr>
            <w:tcW w:w="2217" w:type="dxa"/>
          </w:tcPr>
          <w:p w14:paraId="1673E551"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Sayre et al., 2011</w:t>
            </w:r>
          </w:p>
        </w:tc>
      </w:tr>
      <w:tr w:rsidR="00E05A3F" w:rsidRPr="00CC1ABE" w14:paraId="63A54889" w14:textId="77777777" w:rsidTr="00685654">
        <w:tc>
          <w:tcPr>
            <w:tcW w:w="1363" w:type="dxa"/>
            <w:vMerge w:val="restart"/>
          </w:tcPr>
          <w:p w14:paraId="2F569719"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Sweet potato </w:t>
            </w:r>
          </w:p>
        </w:tc>
        <w:tc>
          <w:tcPr>
            <w:tcW w:w="2743" w:type="dxa"/>
          </w:tcPr>
          <w:p w14:paraId="27EF775F"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 xml:space="preserve">IbMYB1, </w:t>
            </w:r>
            <w:proofErr w:type="spellStart"/>
            <w:r w:rsidRPr="00CC1ABE">
              <w:rPr>
                <w:rFonts w:ascii="Arial" w:hAnsi="Arial" w:cs="Arial"/>
                <w:sz w:val="20"/>
                <w:szCs w:val="20"/>
              </w:rPr>
              <w:t>npt</w:t>
            </w:r>
            <w:proofErr w:type="spellEnd"/>
            <w:r w:rsidRPr="00CC1ABE">
              <w:rPr>
                <w:rFonts w:ascii="Arial" w:hAnsi="Arial" w:cs="Arial"/>
                <w:sz w:val="20"/>
                <w:szCs w:val="20"/>
              </w:rPr>
              <w:t xml:space="preserve"> II</w:t>
            </w:r>
          </w:p>
        </w:tc>
        <w:tc>
          <w:tcPr>
            <w:tcW w:w="2693" w:type="dxa"/>
          </w:tcPr>
          <w:p w14:paraId="28C33075"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Anthocyanin, carotenoids and antioxidants</w:t>
            </w:r>
          </w:p>
        </w:tc>
        <w:tc>
          <w:tcPr>
            <w:tcW w:w="2217" w:type="dxa"/>
          </w:tcPr>
          <w:p w14:paraId="6326D424"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Park et al., 2015</w:t>
            </w:r>
          </w:p>
        </w:tc>
      </w:tr>
      <w:tr w:rsidR="00E05A3F" w:rsidRPr="00CC1ABE" w14:paraId="572F168C" w14:textId="77777777" w:rsidTr="00685654">
        <w:tc>
          <w:tcPr>
            <w:tcW w:w="1363" w:type="dxa"/>
            <w:vMerge/>
          </w:tcPr>
          <w:p w14:paraId="56DC9958" w14:textId="77777777" w:rsidR="00E05A3F" w:rsidRPr="00CC1ABE" w:rsidRDefault="00E05A3F" w:rsidP="00685654">
            <w:pPr>
              <w:spacing w:line="360" w:lineRule="auto"/>
              <w:jc w:val="both"/>
              <w:rPr>
                <w:rFonts w:ascii="Arial" w:hAnsi="Arial" w:cs="Arial"/>
                <w:sz w:val="20"/>
                <w:szCs w:val="20"/>
              </w:rPr>
            </w:pPr>
          </w:p>
        </w:tc>
        <w:tc>
          <w:tcPr>
            <w:tcW w:w="2743" w:type="dxa"/>
          </w:tcPr>
          <w:p w14:paraId="67F39C2F" w14:textId="77777777" w:rsidR="00E05A3F" w:rsidRPr="00CC1ABE" w:rsidRDefault="00E05A3F" w:rsidP="00685654">
            <w:pPr>
              <w:spacing w:line="360" w:lineRule="auto"/>
              <w:jc w:val="both"/>
              <w:rPr>
                <w:rFonts w:ascii="Arial" w:hAnsi="Arial" w:cs="Arial"/>
                <w:sz w:val="20"/>
                <w:szCs w:val="20"/>
              </w:rPr>
            </w:pPr>
            <w:proofErr w:type="spellStart"/>
            <w:r w:rsidRPr="00CC1ABE">
              <w:rPr>
                <w:rFonts w:ascii="Arial" w:hAnsi="Arial" w:cs="Arial"/>
                <w:sz w:val="20"/>
                <w:szCs w:val="20"/>
              </w:rPr>
              <w:t>Crtl</w:t>
            </w:r>
            <w:proofErr w:type="spellEnd"/>
            <w:r w:rsidRPr="00CC1ABE">
              <w:rPr>
                <w:rFonts w:ascii="Arial" w:hAnsi="Arial" w:cs="Arial"/>
                <w:sz w:val="20"/>
                <w:szCs w:val="20"/>
              </w:rPr>
              <w:t xml:space="preserve">, </w:t>
            </w:r>
            <w:proofErr w:type="spellStart"/>
            <w:r w:rsidRPr="00CC1ABE">
              <w:rPr>
                <w:rFonts w:ascii="Arial" w:hAnsi="Arial" w:cs="Arial"/>
                <w:sz w:val="20"/>
                <w:szCs w:val="20"/>
              </w:rPr>
              <w:t>CrtB</w:t>
            </w:r>
            <w:proofErr w:type="spellEnd"/>
            <w:r w:rsidRPr="00CC1ABE">
              <w:rPr>
                <w:rFonts w:ascii="Arial" w:hAnsi="Arial" w:cs="Arial"/>
                <w:sz w:val="20"/>
                <w:szCs w:val="20"/>
              </w:rPr>
              <w:t xml:space="preserve">, </w:t>
            </w:r>
            <w:proofErr w:type="spellStart"/>
            <w:r w:rsidRPr="00CC1ABE">
              <w:rPr>
                <w:rFonts w:ascii="Arial" w:hAnsi="Arial" w:cs="Arial"/>
                <w:sz w:val="20"/>
                <w:szCs w:val="20"/>
              </w:rPr>
              <w:t>CrtY</w:t>
            </w:r>
            <w:proofErr w:type="spellEnd"/>
            <w:r w:rsidRPr="00CC1ABE">
              <w:rPr>
                <w:rFonts w:ascii="Arial" w:hAnsi="Arial" w:cs="Arial"/>
                <w:sz w:val="20"/>
                <w:szCs w:val="20"/>
              </w:rPr>
              <w:t xml:space="preserve">, </w:t>
            </w:r>
            <w:proofErr w:type="spellStart"/>
            <w:r w:rsidRPr="00CC1ABE">
              <w:rPr>
                <w:rFonts w:ascii="Arial" w:hAnsi="Arial" w:cs="Arial"/>
                <w:sz w:val="20"/>
                <w:szCs w:val="20"/>
              </w:rPr>
              <w:t>LCYe</w:t>
            </w:r>
            <w:proofErr w:type="spellEnd"/>
          </w:p>
        </w:tc>
        <w:tc>
          <w:tcPr>
            <w:tcW w:w="2693" w:type="dxa"/>
          </w:tcPr>
          <w:p w14:paraId="07BBA167"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β -Carotene</w:t>
            </w:r>
          </w:p>
        </w:tc>
        <w:tc>
          <w:tcPr>
            <w:tcW w:w="2217" w:type="dxa"/>
          </w:tcPr>
          <w:p w14:paraId="442B963A" w14:textId="77777777" w:rsidR="00E05A3F" w:rsidRPr="00CC1ABE" w:rsidRDefault="00E05A3F" w:rsidP="00685654">
            <w:pPr>
              <w:spacing w:line="360" w:lineRule="auto"/>
              <w:jc w:val="both"/>
              <w:rPr>
                <w:rFonts w:ascii="Arial" w:hAnsi="Arial" w:cs="Arial"/>
                <w:sz w:val="20"/>
                <w:szCs w:val="20"/>
              </w:rPr>
            </w:pPr>
            <w:r w:rsidRPr="00CC1ABE">
              <w:rPr>
                <w:rFonts w:ascii="Arial" w:hAnsi="Arial" w:cs="Arial"/>
                <w:sz w:val="20"/>
                <w:szCs w:val="20"/>
              </w:rPr>
              <w:t>Mir et al., 2020</w:t>
            </w:r>
          </w:p>
        </w:tc>
      </w:tr>
    </w:tbl>
    <w:p w14:paraId="24A6653D" w14:textId="77777777" w:rsidR="00E05A3F" w:rsidRPr="00CC1ABE" w:rsidRDefault="00E05A3F" w:rsidP="00AB27C0">
      <w:pPr>
        <w:spacing w:line="360" w:lineRule="auto"/>
        <w:jc w:val="both"/>
        <w:rPr>
          <w:rFonts w:ascii="Arial" w:hAnsi="Arial" w:cs="Arial"/>
          <w:sz w:val="20"/>
          <w:szCs w:val="20"/>
        </w:rPr>
      </w:pPr>
    </w:p>
    <w:p w14:paraId="75433431" w14:textId="35DAA419" w:rsidR="002D0C9A" w:rsidRPr="00CC1ABE" w:rsidRDefault="00CC1ABE" w:rsidP="002D0C9A">
      <w:pPr>
        <w:rPr>
          <w:rFonts w:ascii="Arial" w:hAnsi="Arial" w:cs="Arial"/>
          <w:b/>
          <w:szCs w:val="20"/>
        </w:rPr>
      </w:pPr>
      <w:r w:rsidRPr="00CC1ABE">
        <w:rPr>
          <w:rFonts w:ascii="Arial" w:hAnsi="Arial" w:cs="Arial"/>
          <w:b/>
          <w:szCs w:val="20"/>
        </w:rPr>
        <w:t>5.</w:t>
      </w:r>
      <w:r w:rsidR="00767AB5" w:rsidRPr="00CC1ABE">
        <w:rPr>
          <w:rFonts w:ascii="Arial" w:hAnsi="Arial" w:cs="Arial"/>
          <w:b/>
          <w:szCs w:val="20"/>
        </w:rPr>
        <w:t>Biofortifi</w:t>
      </w:r>
      <w:r w:rsidR="00C9737D" w:rsidRPr="00CC1ABE">
        <w:rPr>
          <w:rFonts w:ascii="Arial" w:hAnsi="Arial" w:cs="Arial"/>
          <w:b/>
          <w:szCs w:val="20"/>
        </w:rPr>
        <w:t xml:space="preserve">ed </w:t>
      </w:r>
      <w:r w:rsidR="00767AB5" w:rsidRPr="00CC1ABE">
        <w:rPr>
          <w:rFonts w:ascii="Arial" w:hAnsi="Arial" w:cs="Arial"/>
          <w:b/>
          <w:szCs w:val="20"/>
        </w:rPr>
        <w:t xml:space="preserve">vegetables varieties: </w:t>
      </w:r>
    </w:p>
    <w:p w14:paraId="667F7FE9" w14:textId="41EF6476" w:rsidR="00767AB5" w:rsidRPr="00CC1ABE" w:rsidRDefault="00CC1ABE" w:rsidP="000E4A70">
      <w:pPr>
        <w:spacing w:line="360" w:lineRule="auto"/>
        <w:jc w:val="both"/>
        <w:rPr>
          <w:rFonts w:ascii="Arial" w:hAnsi="Arial" w:cs="Arial"/>
          <w:b/>
          <w:szCs w:val="20"/>
        </w:rPr>
      </w:pPr>
      <w:r w:rsidRPr="00CC1ABE">
        <w:rPr>
          <w:rFonts w:ascii="Arial" w:hAnsi="Arial" w:cs="Arial"/>
          <w:b/>
          <w:szCs w:val="20"/>
        </w:rPr>
        <w:t>5.</w:t>
      </w:r>
      <w:proofErr w:type="gramStart"/>
      <w:r w:rsidRPr="00CC1ABE">
        <w:rPr>
          <w:rFonts w:ascii="Arial" w:hAnsi="Arial" w:cs="Arial"/>
          <w:b/>
          <w:szCs w:val="20"/>
        </w:rPr>
        <w:t>1.</w:t>
      </w:r>
      <w:r w:rsidR="00767AB5" w:rsidRPr="00CC1ABE">
        <w:rPr>
          <w:rFonts w:ascii="Arial" w:hAnsi="Arial" w:cs="Arial"/>
          <w:b/>
          <w:szCs w:val="20"/>
        </w:rPr>
        <w:t>Brinjal</w:t>
      </w:r>
      <w:proofErr w:type="gramEnd"/>
      <w:r w:rsidR="00767AB5" w:rsidRPr="00CC1ABE">
        <w:rPr>
          <w:rFonts w:ascii="Arial" w:hAnsi="Arial" w:cs="Arial"/>
          <w:b/>
          <w:szCs w:val="20"/>
        </w:rPr>
        <w:t>: Pusa Safed Baingan-1</w:t>
      </w:r>
    </w:p>
    <w:p w14:paraId="0B12E61F" w14:textId="3F41D6BE" w:rsidR="00767AB5" w:rsidRPr="00CC1ABE" w:rsidRDefault="00767AB5" w:rsidP="000E4A70">
      <w:pPr>
        <w:spacing w:line="360" w:lineRule="auto"/>
        <w:jc w:val="both"/>
        <w:rPr>
          <w:rFonts w:ascii="Arial" w:hAnsi="Arial" w:cs="Arial"/>
          <w:sz w:val="20"/>
          <w:szCs w:val="20"/>
        </w:rPr>
      </w:pPr>
      <w:r w:rsidRPr="00CC1ABE">
        <w:rPr>
          <w:rFonts w:ascii="Arial" w:hAnsi="Arial" w:cs="Arial"/>
          <w:sz w:val="20"/>
          <w:szCs w:val="20"/>
        </w:rPr>
        <w:lastRenderedPageBreak/>
        <w:tab/>
        <w:t>IARI released this enhanced, nutrient-dense cultivar in 2018. Its antioxidant activity is strong (3.48 mg 100 g-1) and its total phenol content is high (31.21 mg 100 g-1). It is the first white-</w:t>
      </w:r>
      <w:proofErr w:type="spellStart"/>
      <w:r w:rsidRPr="00CC1ABE">
        <w:rPr>
          <w:rFonts w:ascii="Arial" w:hAnsi="Arial" w:cs="Arial"/>
          <w:sz w:val="20"/>
          <w:szCs w:val="20"/>
        </w:rPr>
        <w:t>colored</w:t>
      </w:r>
      <w:proofErr w:type="spellEnd"/>
      <w:r w:rsidRPr="00CC1ABE">
        <w:rPr>
          <w:rFonts w:ascii="Arial" w:hAnsi="Arial" w:cs="Arial"/>
          <w:sz w:val="20"/>
          <w:szCs w:val="20"/>
        </w:rPr>
        <w:t xml:space="preserve">, oval-fruited variety of brinjal that can be grown in the north plains during the kharif season. The Division of Vegetable Science, ICAR-IARI, Pusa, New Delhi, developed it by selecting a single plant from native material that was gathered from a farmer's field in West Garo Hills, Meghalaya </w:t>
      </w:r>
      <w:bookmarkStart w:id="11" w:name="_Hlk152058330"/>
      <w:r w:rsidRPr="00CC1ABE">
        <w:rPr>
          <w:rFonts w:ascii="Arial" w:hAnsi="Arial" w:cs="Arial"/>
          <w:sz w:val="20"/>
          <w:szCs w:val="20"/>
        </w:rPr>
        <w:t xml:space="preserve">(Kumar </w:t>
      </w:r>
      <w:r w:rsidRPr="00CC1ABE">
        <w:rPr>
          <w:rFonts w:ascii="Arial" w:hAnsi="Arial" w:cs="Arial"/>
          <w:i/>
          <w:sz w:val="20"/>
          <w:szCs w:val="20"/>
        </w:rPr>
        <w:t>et al.,</w:t>
      </w:r>
      <w:r w:rsidRPr="00CC1ABE">
        <w:rPr>
          <w:rFonts w:ascii="Arial" w:hAnsi="Arial" w:cs="Arial"/>
          <w:sz w:val="20"/>
          <w:szCs w:val="20"/>
        </w:rPr>
        <w:t xml:space="preserve"> 2021). </w:t>
      </w:r>
    </w:p>
    <w:p w14:paraId="30D88418" w14:textId="733012AC" w:rsidR="00B65AC4" w:rsidRPr="00CC1ABE" w:rsidRDefault="00CC1ABE" w:rsidP="000E4A70">
      <w:pPr>
        <w:spacing w:line="360" w:lineRule="auto"/>
        <w:jc w:val="both"/>
        <w:rPr>
          <w:rFonts w:ascii="Arial" w:hAnsi="Arial" w:cs="Arial"/>
          <w:b/>
          <w:szCs w:val="20"/>
        </w:rPr>
      </w:pPr>
      <w:r w:rsidRPr="00CC1ABE">
        <w:rPr>
          <w:rFonts w:ascii="Arial" w:hAnsi="Arial" w:cs="Arial"/>
          <w:b/>
          <w:szCs w:val="20"/>
        </w:rPr>
        <w:t>5.</w:t>
      </w:r>
      <w:proofErr w:type="gramStart"/>
      <w:r w:rsidRPr="00CC1ABE">
        <w:rPr>
          <w:rFonts w:ascii="Arial" w:hAnsi="Arial" w:cs="Arial"/>
          <w:b/>
          <w:szCs w:val="20"/>
        </w:rPr>
        <w:t>2.</w:t>
      </w:r>
      <w:r w:rsidR="00B65AC4" w:rsidRPr="00CC1ABE">
        <w:rPr>
          <w:rFonts w:ascii="Arial" w:hAnsi="Arial" w:cs="Arial"/>
          <w:b/>
          <w:szCs w:val="20"/>
        </w:rPr>
        <w:t>Potato</w:t>
      </w:r>
      <w:proofErr w:type="gramEnd"/>
      <w:r w:rsidR="00B65AC4" w:rsidRPr="00CC1ABE">
        <w:rPr>
          <w:rFonts w:ascii="Arial" w:hAnsi="Arial" w:cs="Arial"/>
          <w:b/>
          <w:szCs w:val="20"/>
        </w:rPr>
        <w:t>: Kufri Neelkanth</w:t>
      </w:r>
    </w:p>
    <w:p w14:paraId="11AAF4BD" w14:textId="4D7F6372" w:rsidR="00B65AC4" w:rsidRPr="00CC1ABE" w:rsidRDefault="00B65AC4" w:rsidP="000E4A70">
      <w:pPr>
        <w:spacing w:line="360" w:lineRule="auto"/>
        <w:jc w:val="both"/>
        <w:rPr>
          <w:rFonts w:ascii="Arial" w:hAnsi="Arial" w:cs="Arial"/>
          <w:sz w:val="20"/>
          <w:szCs w:val="20"/>
        </w:rPr>
      </w:pPr>
      <w:r w:rsidRPr="00CC1ABE">
        <w:rPr>
          <w:rFonts w:ascii="Arial" w:hAnsi="Arial" w:cs="Arial"/>
          <w:sz w:val="20"/>
          <w:szCs w:val="20"/>
        </w:rPr>
        <w:tab/>
        <w:t>It yields ovoid, homogeneous, purple-</w:t>
      </w:r>
      <w:proofErr w:type="spellStart"/>
      <w:r w:rsidRPr="00CC1ABE">
        <w:rPr>
          <w:rFonts w:ascii="Arial" w:hAnsi="Arial" w:cs="Arial"/>
          <w:sz w:val="20"/>
          <w:szCs w:val="20"/>
        </w:rPr>
        <w:t>colored</w:t>
      </w:r>
      <w:proofErr w:type="spellEnd"/>
      <w:r w:rsidRPr="00CC1ABE">
        <w:rPr>
          <w:rFonts w:ascii="Arial" w:hAnsi="Arial" w:cs="Arial"/>
          <w:sz w:val="20"/>
          <w:szCs w:val="20"/>
        </w:rPr>
        <w:t xml:space="preserve"> tubers with shallow eyes, yellow flesh, good storability, and a medium dry matter content of 18% along with excellent </w:t>
      </w:r>
      <w:proofErr w:type="spellStart"/>
      <w:r w:rsidRPr="00CC1ABE">
        <w:rPr>
          <w:rFonts w:ascii="Arial" w:hAnsi="Arial" w:cs="Arial"/>
          <w:sz w:val="20"/>
          <w:szCs w:val="20"/>
        </w:rPr>
        <w:t>flavor</w:t>
      </w:r>
      <w:proofErr w:type="spellEnd"/>
      <w:r w:rsidRPr="00CC1ABE">
        <w:rPr>
          <w:rFonts w:ascii="Arial" w:hAnsi="Arial" w:cs="Arial"/>
          <w:sz w:val="20"/>
          <w:szCs w:val="20"/>
        </w:rPr>
        <w:t xml:space="preserve">. It has more antioxidants than other native red-skinned varieties. This type of main season table potatoes is medium-maturing, yields a large </w:t>
      </w:r>
      <w:proofErr w:type="gramStart"/>
      <w:r w:rsidRPr="00CC1ABE">
        <w:rPr>
          <w:rFonts w:ascii="Arial" w:hAnsi="Arial" w:cs="Arial"/>
          <w:sz w:val="20"/>
          <w:szCs w:val="20"/>
        </w:rPr>
        <w:t>amount</w:t>
      </w:r>
      <w:proofErr w:type="gramEnd"/>
      <w:r w:rsidRPr="00CC1ABE">
        <w:rPr>
          <w:rFonts w:ascii="Arial" w:hAnsi="Arial" w:cs="Arial"/>
          <w:sz w:val="20"/>
          <w:szCs w:val="20"/>
        </w:rPr>
        <w:t xml:space="preserve"> of tubers, resists late blight in the field, has good keeping and culinary quality, and grows well in the plains of North India. This is a clonal selection derived from the cross between MS/89-1095 × CP3290, created at CPRI, Shimla (Luthra </w:t>
      </w:r>
      <w:r w:rsidRPr="00CC1ABE">
        <w:rPr>
          <w:rFonts w:ascii="Arial" w:hAnsi="Arial" w:cs="Arial"/>
          <w:i/>
          <w:sz w:val="20"/>
          <w:szCs w:val="20"/>
        </w:rPr>
        <w:t>et al.,</w:t>
      </w:r>
      <w:r w:rsidRPr="00CC1ABE">
        <w:rPr>
          <w:rFonts w:ascii="Arial" w:hAnsi="Arial" w:cs="Arial"/>
          <w:sz w:val="20"/>
          <w:szCs w:val="20"/>
        </w:rPr>
        <w:t xml:space="preserve"> 2020).</w:t>
      </w:r>
    </w:p>
    <w:p w14:paraId="2A0D4BF5" w14:textId="6CFF6CB9" w:rsidR="00C9737D" w:rsidRPr="00CC1ABE" w:rsidRDefault="00CC1ABE" w:rsidP="000E4A70">
      <w:pPr>
        <w:spacing w:line="360" w:lineRule="auto"/>
        <w:jc w:val="both"/>
        <w:rPr>
          <w:rFonts w:ascii="Arial" w:hAnsi="Arial" w:cs="Arial"/>
          <w:b/>
          <w:sz w:val="20"/>
          <w:szCs w:val="20"/>
        </w:rPr>
      </w:pPr>
      <w:r>
        <w:rPr>
          <w:rFonts w:ascii="Arial" w:hAnsi="Arial" w:cs="Arial"/>
          <w:b/>
          <w:sz w:val="20"/>
          <w:szCs w:val="20"/>
        </w:rPr>
        <w:t>5.</w:t>
      </w:r>
      <w:proofErr w:type="gramStart"/>
      <w:r>
        <w:rPr>
          <w:rFonts w:ascii="Arial" w:hAnsi="Arial" w:cs="Arial"/>
          <w:b/>
          <w:sz w:val="20"/>
          <w:szCs w:val="20"/>
        </w:rPr>
        <w:t>3.</w:t>
      </w:r>
      <w:r w:rsidR="00C9737D" w:rsidRPr="00CC1ABE">
        <w:rPr>
          <w:rFonts w:ascii="Arial" w:hAnsi="Arial" w:cs="Arial"/>
          <w:b/>
          <w:sz w:val="20"/>
          <w:szCs w:val="20"/>
        </w:rPr>
        <w:t>Cauliflower</w:t>
      </w:r>
      <w:proofErr w:type="gramEnd"/>
      <w:r w:rsidR="00C9737D" w:rsidRPr="00CC1ABE">
        <w:rPr>
          <w:rFonts w:ascii="Arial" w:hAnsi="Arial" w:cs="Arial"/>
          <w:b/>
          <w:sz w:val="20"/>
          <w:szCs w:val="20"/>
        </w:rPr>
        <w:t>: Pusa Betakesari-1</w:t>
      </w:r>
    </w:p>
    <w:p w14:paraId="5BA22BCE" w14:textId="028D5019" w:rsidR="00C9737D" w:rsidRPr="00CC1ABE" w:rsidRDefault="00C9737D" w:rsidP="000E4A70">
      <w:pPr>
        <w:spacing w:line="360" w:lineRule="auto"/>
        <w:jc w:val="both"/>
        <w:rPr>
          <w:rFonts w:ascii="Arial" w:hAnsi="Arial" w:cs="Arial"/>
          <w:sz w:val="20"/>
          <w:szCs w:val="20"/>
        </w:rPr>
      </w:pPr>
      <w:r w:rsidRPr="00CC1ABE">
        <w:rPr>
          <w:rFonts w:ascii="Arial" w:hAnsi="Arial" w:cs="Arial"/>
          <w:sz w:val="20"/>
          <w:szCs w:val="20"/>
        </w:rPr>
        <w:tab/>
        <w:t xml:space="preserve">It is the first-ever indigenously bred biofortified variety through marker-assisted backcrossing, was released by IARI, New Delhi in 2015–16. It matures ready for harvesting in December and January, placing it in the mid-late maturity group of Indian cauliflower. With a semi-self-blanching growing habit, its curds are compact, orange in </w:t>
      </w:r>
      <w:proofErr w:type="spellStart"/>
      <w:r w:rsidRPr="00CC1ABE">
        <w:rPr>
          <w:rFonts w:ascii="Arial" w:hAnsi="Arial" w:cs="Arial"/>
          <w:sz w:val="20"/>
          <w:szCs w:val="20"/>
        </w:rPr>
        <w:t>color</w:t>
      </w:r>
      <w:proofErr w:type="spellEnd"/>
      <w:r w:rsidRPr="00CC1ABE">
        <w:rPr>
          <w:rFonts w:ascii="Arial" w:hAnsi="Arial" w:cs="Arial"/>
          <w:sz w:val="20"/>
          <w:szCs w:val="20"/>
        </w:rPr>
        <w:t xml:space="preserve">, and incredibly appealing. This is an effort to address the malnutrition issue associated with beta carotene insufficiency in India (Parulekar </w:t>
      </w:r>
      <w:r w:rsidRPr="00CC1ABE">
        <w:rPr>
          <w:rFonts w:ascii="Arial" w:hAnsi="Arial" w:cs="Arial"/>
          <w:i/>
          <w:sz w:val="20"/>
          <w:szCs w:val="20"/>
        </w:rPr>
        <w:t>et al.,</w:t>
      </w:r>
      <w:r w:rsidRPr="00CC1ABE">
        <w:rPr>
          <w:rFonts w:ascii="Arial" w:hAnsi="Arial" w:cs="Arial"/>
          <w:sz w:val="20"/>
          <w:szCs w:val="20"/>
        </w:rPr>
        <w:t xml:space="preserve"> 2019).</w:t>
      </w:r>
    </w:p>
    <w:p w14:paraId="57C4DED1" w14:textId="42226E8B" w:rsidR="00C9737D" w:rsidRPr="00CC1ABE" w:rsidRDefault="00CC1ABE" w:rsidP="000E4A70">
      <w:pPr>
        <w:spacing w:line="360" w:lineRule="auto"/>
        <w:jc w:val="both"/>
        <w:rPr>
          <w:rFonts w:ascii="Arial" w:hAnsi="Arial" w:cs="Arial"/>
          <w:b/>
          <w:szCs w:val="20"/>
        </w:rPr>
      </w:pPr>
      <w:r w:rsidRPr="00CC1ABE">
        <w:rPr>
          <w:rFonts w:ascii="Arial" w:hAnsi="Arial" w:cs="Arial"/>
          <w:b/>
          <w:szCs w:val="20"/>
        </w:rPr>
        <w:t>5.</w:t>
      </w:r>
      <w:proofErr w:type="gramStart"/>
      <w:r w:rsidRPr="00CC1ABE">
        <w:rPr>
          <w:rFonts w:ascii="Arial" w:hAnsi="Arial" w:cs="Arial"/>
          <w:b/>
          <w:szCs w:val="20"/>
        </w:rPr>
        <w:t>4.</w:t>
      </w:r>
      <w:r w:rsidR="00C9737D" w:rsidRPr="00CC1ABE">
        <w:rPr>
          <w:rFonts w:ascii="Arial" w:hAnsi="Arial" w:cs="Arial"/>
          <w:b/>
          <w:szCs w:val="20"/>
        </w:rPr>
        <w:t>Carrot</w:t>
      </w:r>
      <w:proofErr w:type="gramEnd"/>
      <w:r w:rsidR="00C9737D" w:rsidRPr="00CC1ABE">
        <w:rPr>
          <w:rFonts w:ascii="Arial" w:hAnsi="Arial" w:cs="Arial"/>
          <w:b/>
          <w:szCs w:val="20"/>
        </w:rPr>
        <w:t>: Pusa Meghali</w:t>
      </w:r>
    </w:p>
    <w:p w14:paraId="2128D9A9" w14:textId="5FD5AF82" w:rsidR="00AB27C0" w:rsidRPr="00CC1ABE" w:rsidRDefault="00C9737D" w:rsidP="000E4A70">
      <w:pPr>
        <w:spacing w:line="360" w:lineRule="auto"/>
        <w:jc w:val="both"/>
        <w:rPr>
          <w:rFonts w:ascii="Arial" w:hAnsi="Arial" w:cs="Arial"/>
          <w:sz w:val="20"/>
          <w:szCs w:val="20"/>
        </w:rPr>
      </w:pPr>
      <w:r w:rsidRPr="00CC1ABE">
        <w:rPr>
          <w:rFonts w:ascii="Arial" w:hAnsi="Arial" w:cs="Arial"/>
          <w:sz w:val="20"/>
          <w:szCs w:val="20"/>
        </w:rPr>
        <w:tab/>
      </w:r>
      <w:r w:rsidR="00682037" w:rsidRPr="00CC1ABE">
        <w:rPr>
          <w:rFonts w:ascii="Arial" w:hAnsi="Arial" w:cs="Arial"/>
          <w:sz w:val="20"/>
          <w:szCs w:val="20"/>
        </w:rPr>
        <w:t>It is a t</w:t>
      </w:r>
      <w:r w:rsidRPr="00CC1ABE">
        <w:rPr>
          <w:rFonts w:ascii="Arial" w:hAnsi="Arial" w:cs="Arial"/>
          <w:sz w:val="20"/>
          <w:szCs w:val="20"/>
        </w:rPr>
        <w:t>ropical variety whose flesh is orange in colo</w:t>
      </w:r>
      <w:r w:rsidR="00B05CB4" w:rsidRPr="00CC1ABE">
        <w:rPr>
          <w:rFonts w:ascii="Arial" w:hAnsi="Arial" w:cs="Arial"/>
          <w:sz w:val="20"/>
          <w:szCs w:val="20"/>
        </w:rPr>
        <w:t>u</w:t>
      </w:r>
      <w:r w:rsidRPr="00CC1ABE">
        <w:rPr>
          <w:rFonts w:ascii="Arial" w:hAnsi="Arial" w:cs="Arial"/>
          <w:sz w:val="20"/>
          <w:szCs w:val="20"/>
        </w:rPr>
        <w:t>r. It can be sown early and takes 100–120 days to reach maturity.</w:t>
      </w:r>
      <w:r w:rsidR="00682037" w:rsidRPr="00CC1ABE">
        <w:rPr>
          <w:rFonts w:ascii="Arial" w:hAnsi="Arial" w:cs="Arial"/>
          <w:sz w:val="20"/>
          <w:szCs w:val="20"/>
        </w:rPr>
        <w:t xml:space="preserve"> Pusa Kesar and Nantes crossed to produce this variety with the highest beta carotene content</w:t>
      </w:r>
      <w:r w:rsidR="00B05CB4" w:rsidRPr="00CC1ABE">
        <w:rPr>
          <w:rFonts w:ascii="Arial" w:hAnsi="Arial" w:cs="Arial"/>
          <w:sz w:val="20"/>
          <w:szCs w:val="20"/>
        </w:rPr>
        <w:t xml:space="preserve"> </w:t>
      </w:r>
      <w:r w:rsidR="00682037" w:rsidRPr="00CC1ABE">
        <w:rPr>
          <w:rFonts w:ascii="Arial" w:hAnsi="Arial" w:cs="Arial"/>
          <w:sz w:val="20"/>
          <w:szCs w:val="20"/>
        </w:rPr>
        <w:t>(11,571 IU/100g) created at IARI, New Delhi.</w:t>
      </w:r>
      <w:r w:rsidR="00B05CB4" w:rsidRPr="00CC1ABE">
        <w:rPr>
          <w:rFonts w:ascii="Arial" w:hAnsi="Arial" w:cs="Arial"/>
          <w:sz w:val="20"/>
          <w:szCs w:val="20"/>
        </w:rPr>
        <w:t xml:space="preserve"> </w:t>
      </w:r>
      <w:r w:rsidR="00682037" w:rsidRPr="00CC1ABE">
        <w:rPr>
          <w:rFonts w:ascii="Arial" w:hAnsi="Arial" w:cs="Arial"/>
          <w:sz w:val="20"/>
          <w:szCs w:val="20"/>
        </w:rPr>
        <w:t xml:space="preserve">A root's average yield is 25–30 t ha-1. </w:t>
      </w:r>
    </w:p>
    <w:p w14:paraId="1C3CD8EB" w14:textId="77777777" w:rsidR="00E05A3F" w:rsidRDefault="00E05A3F" w:rsidP="000E4A70">
      <w:pPr>
        <w:spacing w:line="360" w:lineRule="auto"/>
        <w:jc w:val="both"/>
        <w:rPr>
          <w:rFonts w:ascii="Arial" w:hAnsi="Arial" w:cs="Arial"/>
          <w:b/>
          <w:szCs w:val="20"/>
        </w:rPr>
      </w:pPr>
    </w:p>
    <w:p w14:paraId="5A497114" w14:textId="77777777" w:rsidR="00E05A3F" w:rsidRDefault="00E05A3F" w:rsidP="000E4A70">
      <w:pPr>
        <w:spacing w:line="360" w:lineRule="auto"/>
        <w:jc w:val="both"/>
        <w:rPr>
          <w:rFonts w:ascii="Arial" w:hAnsi="Arial" w:cs="Arial"/>
          <w:b/>
          <w:szCs w:val="20"/>
        </w:rPr>
      </w:pPr>
    </w:p>
    <w:p w14:paraId="31309A97" w14:textId="655A750D" w:rsidR="00682037" w:rsidRPr="00CC1ABE" w:rsidRDefault="00CC1ABE" w:rsidP="000E4A70">
      <w:pPr>
        <w:spacing w:line="360" w:lineRule="auto"/>
        <w:jc w:val="both"/>
        <w:rPr>
          <w:rFonts w:ascii="Arial" w:hAnsi="Arial" w:cs="Arial"/>
          <w:b/>
          <w:szCs w:val="20"/>
        </w:rPr>
      </w:pPr>
      <w:r w:rsidRPr="00CC1ABE">
        <w:rPr>
          <w:rFonts w:ascii="Arial" w:hAnsi="Arial" w:cs="Arial"/>
          <w:b/>
          <w:szCs w:val="20"/>
        </w:rPr>
        <w:t>5.</w:t>
      </w:r>
      <w:proofErr w:type="gramStart"/>
      <w:r w:rsidRPr="00CC1ABE">
        <w:rPr>
          <w:rFonts w:ascii="Arial" w:hAnsi="Arial" w:cs="Arial"/>
          <w:b/>
          <w:szCs w:val="20"/>
        </w:rPr>
        <w:t>5.</w:t>
      </w:r>
      <w:r w:rsidR="00682037" w:rsidRPr="00CC1ABE">
        <w:rPr>
          <w:rFonts w:ascii="Arial" w:hAnsi="Arial" w:cs="Arial"/>
          <w:b/>
          <w:szCs w:val="20"/>
        </w:rPr>
        <w:t>Radish</w:t>
      </w:r>
      <w:proofErr w:type="gramEnd"/>
      <w:r w:rsidR="00682037" w:rsidRPr="00CC1ABE">
        <w:rPr>
          <w:rFonts w:ascii="Arial" w:hAnsi="Arial" w:cs="Arial"/>
          <w:b/>
          <w:szCs w:val="20"/>
        </w:rPr>
        <w:t xml:space="preserve">: </w:t>
      </w:r>
      <w:proofErr w:type="spellStart"/>
      <w:r w:rsidR="00682037" w:rsidRPr="00CC1ABE">
        <w:rPr>
          <w:rFonts w:ascii="Arial" w:hAnsi="Arial" w:cs="Arial"/>
          <w:b/>
          <w:szCs w:val="20"/>
        </w:rPr>
        <w:t>Pusa</w:t>
      </w:r>
      <w:proofErr w:type="spellEnd"/>
      <w:r w:rsidR="00B51E28" w:rsidRPr="00CC1ABE">
        <w:rPr>
          <w:rFonts w:ascii="Arial" w:hAnsi="Arial" w:cs="Arial"/>
          <w:b/>
          <w:szCs w:val="20"/>
        </w:rPr>
        <w:t xml:space="preserve"> </w:t>
      </w:r>
      <w:proofErr w:type="spellStart"/>
      <w:r w:rsidR="00682037" w:rsidRPr="00CC1ABE">
        <w:rPr>
          <w:rFonts w:ascii="Arial" w:hAnsi="Arial" w:cs="Arial"/>
          <w:b/>
          <w:szCs w:val="20"/>
        </w:rPr>
        <w:t>Gulabi</w:t>
      </w:r>
      <w:proofErr w:type="spellEnd"/>
    </w:p>
    <w:p w14:paraId="5FA04DC1" w14:textId="1B03EF19" w:rsidR="00682037" w:rsidRPr="00CC1ABE" w:rsidRDefault="00682037" w:rsidP="000E4A70">
      <w:pPr>
        <w:spacing w:line="360" w:lineRule="auto"/>
        <w:jc w:val="both"/>
        <w:rPr>
          <w:rFonts w:ascii="Arial" w:hAnsi="Arial" w:cs="Arial"/>
          <w:sz w:val="20"/>
          <w:szCs w:val="20"/>
        </w:rPr>
      </w:pPr>
      <w:r w:rsidRPr="00CC1ABE">
        <w:rPr>
          <w:rFonts w:ascii="Arial" w:hAnsi="Arial" w:cs="Arial"/>
          <w:sz w:val="20"/>
          <w:szCs w:val="20"/>
        </w:rPr>
        <w:tab/>
        <w:t>It is the first cultivar of pink</w:t>
      </w:r>
      <w:r w:rsidR="00D75E3F" w:rsidRPr="00CC1ABE">
        <w:rPr>
          <w:rFonts w:ascii="Arial" w:hAnsi="Arial" w:cs="Arial"/>
          <w:sz w:val="20"/>
          <w:szCs w:val="20"/>
        </w:rPr>
        <w:t>-</w:t>
      </w:r>
      <w:r w:rsidRPr="00CC1ABE">
        <w:rPr>
          <w:rFonts w:ascii="Arial" w:hAnsi="Arial" w:cs="Arial"/>
          <w:sz w:val="20"/>
          <w:szCs w:val="20"/>
        </w:rPr>
        <w:t>fleshed radish introduced by IARI,</w:t>
      </w:r>
      <w:r w:rsidR="00D75E3F" w:rsidRPr="00CC1ABE">
        <w:rPr>
          <w:rFonts w:ascii="Arial" w:hAnsi="Arial" w:cs="Arial"/>
          <w:sz w:val="20"/>
          <w:szCs w:val="20"/>
        </w:rPr>
        <w:t xml:space="preserve"> </w:t>
      </w:r>
      <w:r w:rsidRPr="00CC1ABE">
        <w:rPr>
          <w:rFonts w:ascii="Arial" w:hAnsi="Arial" w:cs="Arial"/>
          <w:sz w:val="20"/>
          <w:szCs w:val="20"/>
        </w:rPr>
        <w:t>New Delhi in 2013</w:t>
      </w:r>
      <w:r w:rsidR="00D75E3F" w:rsidRPr="00CC1ABE">
        <w:rPr>
          <w:rFonts w:ascii="Arial" w:hAnsi="Arial" w:cs="Arial"/>
          <w:sz w:val="20"/>
          <w:szCs w:val="20"/>
        </w:rPr>
        <w:t>. It is cylindrical in shape and has medium sized roots. It grows particularly well in the summer heat and has a high level of ascorbic acid, anthocyanins, and total carotenoids</w:t>
      </w:r>
      <w:r w:rsidR="00B51E28" w:rsidRPr="00CC1ABE">
        <w:rPr>
          <w:rFonts w:ascii="Arial" w:hAnsi="Arial" w:cs="Arial"/>
          <w:sz w:val="20"/>
          <w:szCs w:val="20"/>
        </w:rPr>
        <w:t>.</w:t>
      </w:r>
    </w:p>
    <w:p w14:paraId="08C7972A" w14:textId="4B04E66C" w:rsidR="00B51E28" w:rsidRPr="00CC1ABE" w:rsidRDefault="00CC1ABE" w:rsidP="000E4A70">
      <w:pPr>
        <w:spacing w:line="360" w:lineRule="auto"/>
        <w:jc w:val="both"/>
        <w:rPr>
          <w:rFonts w:ascii="Arial" w:hAnsi="Arial" w:cs="Arial"/>
          <w:b/>
          <w:szCs w:val="20"/>
        </w:rPr>
      </w:pPr>
      <w:r w:rsidRPr="00CC1ABE">
        <w:rPr>
          <w:rFonts w:ascii="Arial" w:hAnsi="Arial" w:cs="Arial"/>
          <w:b/>
          <w:szCs w:val="20"/>
        </w:rPr>
        <w:t>5.</w:t>
      </w:r>
      <w:proofErr w:type="gramStart"/>
      <w:r w:rsidRPr="00CC1ABE">
        <w:rPr>
          <w:rFonts w:ascii="Arial" w:hAnsi="Arial" w:cs="Arial"/>
          <w:b/>
          <w:szCs w:val="20"/>
        </w:rPr>
        <w:t>6.</w:t>
      </w:r>
      <w:r w:rsidR="00B51E28" w:rsidRPr="00CC1ABE">
        <w:rPr>
          <w:rFonts w:ascii="Arial" w:hAnsi="Arial" w:cs="Arial"/>
          <w:b/>
          <w:szCs w:val="20"/>
        </w:rPr>
        <w:t>Pusa</w:t>
      </w:r>
      <w:proofErr w:type="gramEnd"/>
      <w:r w:rsidR="00B51E28" w:rsidRPr="00CC1ABE">
        <w:rPr>
          <w:rFonts w:ascii="Arial" w:hAnsi="Arial" w:cs="Arial"/>
          <w:b/>
          <w:szCs w:val="20"/>
        </w:rPr>
        <w:t xml:space="preserve"> </w:t>
      </w:r>
      <w:proofErr w:type="spellStart"/>
      <w:r w:rsidR="00B51E28" w:rsidRPr="00CC1ABE">
        <w:rPr>
          <w:rFonts w:ascii="Arial" w:hAnsi="Arial" w:cs="Arial"/>
          <w:b/>
          <w:szCs w:val="20"/>
        </w:rPr>
        <w:t>Jamuni</w:t>
      </w:r>
      <w:proofErr w:type="spellEnd"/>
      <w:r w:rsidR="00B51E28" w:rsidRPr="00CC1ABE">
        <w:rPr>
          <w:rFonts w:ascii="Arial" w:hAnsi="Arial" w:cs="Arial"/>
          <w:b/>
          <w:szCs w:val="20"/>
        </w:rPr>
        <w:t>:</w:t>
      </w:r>
    </w:p>
    <w:p w14:paraId="47D87CA4" w14:textId="4D5F756D" w:rsidR="00B51E28" w:rsidRPr="00CC1ABE" w:rsidRDefault="00B51E28" w:rsidP="000E4A70">
      <w:pPr>
        <w:spacing w:line="360" w:lineRule="auto"/>
        <w:jc w:val="both"/>
        <w:rPr>
          <w:rFonts w:ascii="Arial" w:hAnsi="Arial" w:cs="Arial"/>
          <w:sz w:val="20"/>
          <w:szCs w:val="20"/>
        </w:rPr>
      </w:pPr>
      <w:r w:rsidRPr="00CC1ABE">
        <w:rPr>
          <w:rFonts w:ascii="Arial" w:hAnsi="Arial" w:cs="Arial"/>
          <w:sz w:val="20"/>
          <w:szCs w:val="20"/>
        </w:rPr>
        <w:tab/>
        <w:t>It is released in 2012 IARI, New Delhi with purple flesh that is rich in nutrients and high in ascorbic acid and anthocyanins.</w:t>
      </w:r>
    </w:p>
    <w:p w14:paraId="735BB809" w14:textId="2EE33BA3" w:rsidR="00682037" w:rsidRPr="00CC1ABE" w:rsidRDefault="00CC1ABE" w:rsidP="000E4A70">
      <w:pPr>
        <w:spacing w:line="360" w:lineRule="auto"/>
        <w:jc w:val="both"/>
        <w:rPr>
          <w:rFonts w:ascii="Arial" w:hAnsi="Arial" w:cs="Arial"/>
          <w:b/>
          <w:szCs w:val="20"/>
        </w:rPr>
      </w:pPr>
      <w:r w:rsidRPr="00CC1ABE">
        <w:rPr>
          <w:rFonts w:ascii="Arial" w:hAnsi="Arial" w:cs="Arial"/>
          <w:b/>
          <w:szCs w:val="20"/>
        </w:rPr>
        <w:t>5.</w:t>
      </w:r>
      <w:proofErr w:type="gramStart"/>
      <w:r w:rsidRPr="00CC1ABE">
        <w:rPr>
          <w:rFonts w:ascii="Arial" w:hAnsi="Arial" w:cs="Arial"/>
          <w:b/>
          <w:szCs w:val="20"/>
        </w:rPr>
        <w:t>7.</w:t>
      </w:r>
      <w:r w:rsidR="00B51E28" w:rsidRPr="00CC1ABE">
        <w:rPr>
          <w:rFonts w:ascii="Arial" w:hAnsi="Arial" w:cs="Arial"/>
          <w:b/>
          <w:szCs w:val="20"/>
        </w:rPr>
        <w:t>Cowpea</w:t>
      </w:r>
      <w:proofErr w:type="gramEnd"/>
      <w:r w:rsidR="00B51E28" w:rsidRPr="00CC1ABE">
        <w:rPr>
          <w:rFonts w:ascii="Arial" w:hAnsi="Arial" w:cs="Arial"/>
          <w:b/>
          <w:szCs w:val="20"/>
        </w:rPr>
        <w:t>: Pant Lobia-1 and Pant Lobia-2</w:t>
      </w:r>
      <w:r w:rsidR="00682037" w:rsidRPr="00CC1ABE">
        <w:rPr>
          <w:rFonts w:ascii="Arial" w:hAnsi="Arial" w:cs="Arial"/>
          <w:b/>
          <w:szCs w:val="20"/>
        </w:rPr>
        <w:tab/>
      </w:r>
    </w:p>
    <w:p w14:paraId="29C92A70" w14:textId="4A485439" w:rsidR="00C41E32" w:rsidRPr="00CC1ABE" w:rsidRDefault="00B51E28" w:rsidP="000E4A70">
      <w:pPr>
        <w:spacing w:line="360" w:lineRule="auto"/>
        <w:jc w:val="both"/>
        <w:rPr>
          <w:rFonts w:ascii="Arial" w:hAnsi="Arial" w:cs="Arial"/>
          <w:sz w:val="20"/>
          <w:szCs w:val="20"/>
        </w:rPr>
      </w:pPr>
      <w:r w:rsidRPr="00CC1ABE">
        <w:rPr>
          <w:rFonts w:ascii="Arial" w:hAnsi="Arial" w:cs="Arial"/>
          <w:sz w:val="20"/>
          <w:szCs w:val="20"/>
        </w:rPr>
        <w:lastRenderedPageBreak/>
        <w:tab/>
        <w:t>Two early-maturing, high-iron and zinc fortified cultivars, Pant Lobia-1 (82 ppm Fe and 40 ppm Zn) and Pant Lobia-2 (100 ppm Fe and 37 ppm Zn), were created by traditional plant breeding and released in 2008 and 2010 at GBPUAT, Pant</w:t>
      </w:r>
      <w:r w:rsidR="00B05CB4" w:rsidRPr="00CC1ABE">
        <w:rPr>
          <w:rFonts w:ascii="Arial" w:hAnsi="Arial" w:cs="Arial"/>
          <w:sz w:val="20"/>
          <w:szCs w:val="20"/>
        </w:rPr>
        <w:t xml:space="preserve"> </w:t>
      </w:r>
      <w:proofErr w:type="spellStart"/>
      <w:r w:rsidRPr="00CC1ABE">
        <w:rPr>
          <w:rFonts w:ascii="Arial" w:hAnsi="Arial" w:cs="Arial"/>
          <w:sz w:val="20"/>
          <w:szCs w:val="20"/>
        </w:rPr>
        <w:t>nagar</w:t>
      </w:r>
      <w:proofErr w:type="spellEnd"/>
      <w:r w:rsidRPr="00CC1ABE">
        <w:rPr>
          <w:rFonts w:ascii="Arial" w:hAnsi="Arial" w:cs="Arial"/>
          <w:sz w:val="20"/>
          <w:szCs w:val="20"/>
        </w:rPr>
        <w:t>, India (</w:t>
      </w:r>
      <w:proofErr w:type="spellStart"/>
      <w:r w:rsidRPr="00CC1ABE">
        <w:rPr>
          <w:rFonts w:ascii="Arial" w:hAnsi="Arial" w:cs="Arial"/>
          <w:sz w:val="20"/>
          <w:szCs w:val="20"/>
        </w:rPr>
        <w:t>Boukaret</w:t>
      </w:r>
      <w:proofErr w:type="spellEnd"/>
      <w:r w:rsidRPr="00CC1ABE">
        <w:rPr>
          <w:rFonts w:ascii="Arial" w:hAnsi="Arial" w:cs="Arial"/>
          <w:sz w:val="20"/>
          <w:szCs w:val="20"/>
        </w:rPr>
        <w:t xml:space="preserve"> al., 2011).</w:t>
      </w:r>
    </w:p>
    <w:p w14:paraId="6FDCA9EE" w14:textId="25784867" w:rsidR="00EE25DE" w:rsidRPr="00CC1ABE" w:rsidRDefault="00CC1ABE" w:rsidP="000E4A70">
      <w:pPr>
        <w:spacing w:line="360" w:lineRule="auto"/>
        <w:jc w:val="both"/>
        <w:rPr>
          <w:rFonts w:ascii="Arial" w:hAnsi="Arial" w:cs="Arial"/>
          <w:b/>
          <w:szCs w:val="20"/>
        </w:rPr>
      </w:pPr>
      <w:r w:rsidRPr="00CC1ABE">
        <w:rPr>
          <w:rFonts w:ascii="Arial" w:hAnsi="Arial" w:cs="Arial"/>
          <w:b/>
          <w:szCs w:val="20"/>
        </w:rPr>
        <w:t>5.</w:t>
      </w:r>
      <w:proofErr w:type="gramStart"/>
      <w:r w:rsidRPr="00CC1ABE">
        <w:rPr>
          <w:rFonts w:ascii="Arial" w:hAnsi="Arial" w:cs="Arial"/>
          <w:b/>
          <w:szCs w:val="20"/>
        </w:rPr>
        <w:t>8.</w:t>
      </w:r>
      <w:r w:rsidR="00EE25DE" w:rsidRPr="00CC1ABE">
        <w:rPr>
          <w:rFonts w:ascii="Arial" w:hAnsi="Arial" w:cs="Arial"/>
          <w:b/>
          <w:szCs w:val="20"/>
        </w:rPr>
        <w:t>Cassava</w:t>
      </w:r>
      <w:proofErr w:type="gramEnd"/>
      <w:r w:rsidR="00EE25DE" w:rsidRPr="00CC1ABE">
        <w:rPr>
          <w:rFonts w:ascii="Arial" w:hAnsi="Arial" w:cs="Arial"/>
          <w:b/>
          <w:szCs w:val="20"/>
        </w:rPr>
        <w:t xml:space="preserve">: </w:t>
      </w:r>
      <w:proofErr w:type="spellStart"/>
      <w:r w:rsidR="00EE25DE" w:rsidRPr="00CC1ABE">
        <w:rPr>
          <w:rFonts w:ascii="Arial" w:hAnsi="Arial" w:cs="Arial"/>
          <w:b/>
          <w:szCs w:val="20"/>
        </w:rPr>
        <w:t>Sree</w:t>
      </w:r>
      <w:proofErr w:type="spellEnd"/>
      <w:r w:rsidR="00EE25DE" w:rsidRPr="00CC1ABE">
        <w:rPr>
          <w:rFonts w:ascii="Arial" w:hAnsi="Arial" w:cs="Arial"/>
          <w:b/>
          <w:szCs w:val="20"/>
        </w:rPr>
        <w:t xml:space="preserve"> </w:t>
      </w:r>
      <w:proofErr w:type="spellStart"/>
      <w:r w:rsidR="00EE25DE" w:rsidRPr="00CC1ABE">
        <w:rPr>
          <w:rFonts w:ascii="Arial" w:hAnsi="Arial" w:cs="Arial"/>
          <w:b/>
          <w:szCs w:val="20"/>
        </w:rPr>
        <w:t>Visakham</w:t>
      </w:r>
      <w:proofErr w:type="spellEnd"/>
    </w:p>
    <w:p w14:paraId="2ADD5565" w14:textId="0BE6ED70" w:rsidR="00EE25DE" w:rsidRPr="00CC1ABE" w:rsidRDefault="00EE25DE" w:rsidP="000E4A70">
      <w:pPr>
        <w:spacing w:line="360" w:lineRule="auto"/>
        <w:jc w:val="both"/>
        <w:rPr>
          <w:rFonts w:ascii="Arial" w:hAnsi="Arial" w:cs="Arial"/>
          <w:sz w:val="20"/>
          <w:szCs w:val="20"/>
        </w:rPr>
      </w:pPr>
      <w:r w:rsidRPr="00CC1ABE">
        <w:rPr>
          <w:rFonts w:ascii="Arial" w:hAnsi="Arial" w:cs="Arial"/>
          <w:sz w:val="20"/>
          <w:szCs w:val="20"/>
        </w:rPr>
        <w:tab/>
        <w:t>It was created at CTCRI, Thiruvananthapuram, as a cross between a local cultivar and a Madagascar variety. With high content of carotene (466 IU per 100g). Fresh tubers have a 25–27% starch content. The average yield is 35–38 t/ha, and the maturity period is 10 months</w:t>
      </w:r>
      <w:r w:rsidR="000E4A70" w:rsidRPr="00CC1ABE">
        <w:rPr>
          <w:rFonts w:ascii="Arial" w:hAnsi="Arial" w:cs="Arial"/>
          <w:sz w:val="20"/>
          <w:szCs w:val="20"/>
        </w:rPr>
        <w:t xml:space="preserve"> (Anonymous, 2013) </w:t>
      </w:r>
      <w:hyperlink r:id="rId8" w:history="1">
        <w:r w:rsidR="000E4A70" w:rsidRPr="00CC1ABE">
          <w:rPr>
            <w:rStyle w:val="Hyperlink"/>
            <w:rFonts w:ascii="Arial" w:hAnsi="Arial" w:cs="Arial"/>
            <w:sz w:val="20"/>
            <w:szCs w:val="20"/>
          </w:rPr>
          <w:t>www.ctcri.org</w:t>
        </w:r>
      </w:hyperlink>
      <w:r w:rsidRPr="00CC1ABE">
        <w:rPr>
          <w:rFonts w:ascii="Arial" w:hAnsi="Arial" w:cs="Arial"/>
          <w:sz w:val="20"/>
          <w:szCs w:val="20"/>
        </w:rPr>
        <w:t>.</w:t>
      </w:r>
    </w:p>
    <w:p w14:paraId="33ED380D" w14:textId="08AB9D52" w:rsidR="000E4A70" w:rsidRPr="00CC1ABE" w:rsidRDefault="00CC1ABE" w:rsidP="000E4A70">
      <w:pPr>
        <w:spacing w:line="360" w:lineRule="auto"/>
        <w:jc w:val="both"/>
        <w:rPr>
          <w:rFonts w:ascii="Arial" w:hAnsi="Arial" w:cs="Arial"/>
          <w:b/>
          <w:sz w:val="20"/>
          <w:szCs w:val="20"/>
        </w:rPr>
      </w:pPr>
      <w:r w:rsidRPr="00CC1ABE">
        <w:rPr>
          <w:rFonts w:ascii="Arial" w:hAnsi="Arial" w:cs="Arial"/>
          <w:b/>
          <w:szCs w:val="20"/>
        </w:rPr>
        <w:t>5.</w:t>
      </w:r>
      <w:proofErr w:type="gramStart"/>
      <w:r w:rsidRPr="00CC1ABE">
        <w:rPr>
          <w:rFonts w:ascii="Arial" w:hAnsi="Arial" w:cs="Arial"/>
          <w:b/>
          <w:szCs w:val="20"/>
        </w:rPr>
        <w:t>9.</w:t>
      </w:r>
      <w:r w:rsidR="000E4A70" w:rsidRPr="00CC1ABE">
        <w:rPr>
          <w:rFonts w:ascii="Arial" w:hAnsi="Arial" w:cs="Arial"/>
          <w:b/>
          <w:szCs w:val="20"/>
        </w:rPr>
        <w:t>Sweet</w:t>
      </w:r>
      <w:proofErr w:type="gramEnd"/>
      <w:r w:rsidR="000E4A70" w:rsidRPr="00CC1ABE">
        <w:rPr>
          <w:rFonts w:ascii="Arial" w:hAnsi="Arial" w:cs="Arial"/>
          <w:b/>
          <w:szCs w:val="20"/>
        </w:rPr>
        <w:t xml:space="preserve"> potato: Bhu Krishna</w:t>
      </w:r>
      <w:r w:rsidR="000E4A70" w:rsidRPr="00CC1ABE">
        <w:rPr>
          <w:rFonts w:ascii="Arial" w:hAnsi="Arial" w:cs="Arial"/>
          <w:b/>
          <w:sz w:val="20"/>
          <w:szCs w:val="20"/>
        </w:rPr>
        <w:tab/>
      </w:r>
    </w:p>
    <w:p w14:paraId="2CC75BB4" w14:textId="50EA411A" w:rsidR="000E4A70" w:rsidRPr="00CC1ABE" w:rsidRDefault="000E4A70" w:rsidP="000E4A70">
      <w:pPr>
        <w:spacing w:line="360" w:lineRule="auto"/>
        <w:jc w:val="both"/>
        <w:rPr>
          <w:rFonts w:ascii="Arial" w:hAnsi="Arial" w:cs="Arial"/>
          <w:szCs w:val="20"/>
        </w:rPr>
      </w:pPr>
      <w:r w:rsidRPr="00CC1ABE">
        <w:rPr>
          <w:rFonts w:ascii="Arial" w:hAnsi="Arial" w:cs="Arial"/>
          <w:sz w:val="20"/>
          <w:szCs w:val="20"/>
        </w:rPr>
        <w:tab/>
        <w:t>It is developed by CTCRI, Thiruvananthapuram in 2017 through pure</w:t>
      </w:r>
      <w:r w:rsidR="00B05CB4" w:rsidRPr="00CC1ABE">
        <w:rPr>
          <w:rFonts w:ascii="Arial" w:hAnsi="Arial" w:cs="Arial"/>
          <w:sz w:val="20"/>
          <w:szCs w:val="20"/>
        </w:rPr>
        <w:t xml:space="preserve"> </w:t>
      </w:r>
      <w:r w:rsidRPr="00CC1ABE">
        <w:rPr>
          <w:rFonts w:ascii="Arial" w:hAnsi="Arial" w:cs="Arial"/>
          <w:sz w:val="20"/>
          <w:szCs w:val="20"/>
        </w:rPr>
        <w:t>line selection</w:t>
      </w:r>
      <w:r w:rsidR="00060140" w:rsidRPr="00CC1ABE">
        <w:rPr>
          <w:rFonts w:ascii="Arial" w:hAnsi="Arial" w:cs="Arial"/>
          <w:sz w:val="20"/>
          <w:szCs w:val="20"/>
        </w:rPr>
        <w:t>. It has h</w:t>
      </w:r>
      <w:r w:rsidRPr="00CC1ABE">
        <w:rPr>
          <w:rFonts w:ascii="Arial" w:hAnsi="Arial" w:cs="Arial"/>
          <w:sz w:val="20"/>
          <w:szCs w:val="20"/>
        </w:rPr>
        <w:t>igh anthocyanin (90.0 mg/100g)</w:t>
      </w:r>
      <w:r w:rsidR="00060140" w:rsidRPr="00CC1ABE">
        <w:rPr>
          <w:rFonts w:ascii="Arial" w:hAnsi="Arial" w:cs="Arial"/>
          <w:sz w:val="20"/>
          <w:szCs w:val="20"/>
        </w:rPr>
        <w:t>, Starch</w:t>
      </w:r>
      <w:r w:rsidR="005E5BDD" w:rsidRPr="00CC1ABE">
        <w:rPr>
          <w:rFonts w:ascii="Arial" w:hAnsi="Arial" w:cs="Arial"/>
          <w:sz w:val="20"/>
          <w:szCs w:val="20"/>
        </w:rPr>
        <w:t xml:space="preserve"> </w:t>
      </w:r>
      <w:r w:rsidR="00060140" w:rsidRPr="00CC1ABE">
        <w:rPr>
          <w:rFonts w:ascii="Arial" w:hAnsi="Arial" w:cs="Arial"/>
          <w:sz w:val="20"/>
          <w:szCs w:val="20"/>
        </w:rPr>
        <w:t xml:space="preserve">(19.5%), Total sugar of 1.9–2.2% and </w:t>
      </w:r>
      <w:r w:rsidR="005E5BDD" w:rsidRPr="00CC1ABE">
        <w:rPr>
          <w:rFonts w:ascii="Arial" w:hAnsi="Arial" w:cs="Arial"/>
          <w:sz w:val="20"/>
          <w:szCs w:val="20"/>
        </w:rPr>
        <w:t>d</w:t>
      </w:r>
      <w:r w:rsidR="00060140" w:rsidRPr="00CC1ABE">
        <w:rPr>
          <w:rFonts w:ascii="Arial" w:hAnsi="Arial" w:cs="Arial"/>
          <w:sz w:val="20"/>
          <w:szCs w:val="20"/>
        </w:rPr>
        <w:t>ry matter of 24.0–25.5%. It is t</w:t>
      </w:r>
      <w:r w:rsidRPr="00CC1ABE">
        <w:rPr>
          <w:rFonts w:ascii="Arial" w:hAnsi="Arial" w:cs="Arial"/>
          <w:sz w:val="20"/>
          <w:szCs w:val="20"/>
        </w:rPr>
        <w:t xml:space="preserve">olerant to high salinity </w:t>
      </w:r>
      <w:r w:rsidR="00060140" w:rsidRPr="00CC1ABE">
        <w:rPr>
          <w:rFonts w:ascii="Arial" w:hAnsi="Arial" w:cs="Arial"/>
          <w:sz w:val="20"/>
          <w:szCs w:val="20"/>
        </w:rPr>
        <w:t>(</w:t>
      </w:r>
      <w:bookmarkStart w:id="12" w:name="_Hlk152062236"/>
      <w:r w:rsidRPr="00CC1ABE">
        <w:rPr>
          <w:rFonts w:ascii="Arial" w:hAnsi="Arial" w:cs="Arial"/>
          <w:sz w:val="20"/>
          <w:szCs w:val="20"/>
        </w:rPr>
        <w:t xml:space="preserve">Yadav </w:t>
      </w:r>
      <w:r w:rsidRPr="00CC1ABE">
        <w:rPr>
          <w:rFonts w:ascii="Arial" w:hAnsi="Arial" w:cs="Arial"/>
          <w:i/>
          <w:sz w:val="20"/>
          <w:szCs w:val="20"/>
        </w:rPr>
        <w:t>et al.,</w:t>
      </w:r>
      <w:r w:rsidRPr="00CC1ABE">
        <w:rPr>
          <w:rFonts w:ascii="Arial" w:hAnsi="Arial" w:cs="Arial"/>
          <w:sz w:val="20"/>
          <w:szCs w:val="20"/>
        </w:rPr>
        <w:t xml:space="preserve"> 2017</w:t>
      </w:r>
      <w:r w:rsidR="00060140" w:rsidRPr="00CC1ABE">
        <w:rPr>
          <w:rFonts w:ascii="Arial" w:hAnsi="Arial" w:cs="Arial"/>
          <w:sz w:val="20"/>
          <w:szCs w:val="20"/>
        </w:rPr>
        <w:t>)</w:t>
      </w:r>
      <w:r w:rsidR="005E5BDD" w:rsidRPr="00CC1ABE">
        <w:rPr>
          <w:rFonts w:ascii="Arial" w:hAnsi="Arial" w:cs="Arial"/>
          <w:sz w:val="20"/>
          <w:szCs w:val="20"/>
        </w:rPr>
        <w:t>.</w:t>
      </w:r>
    </w:p>
    <w:p w14:paraId="41380620" w14:textId="4E51A583" w:rsidR="006C20AD" w:rsidRPr="00CC1ABE" w:rsidRDefault="00CC1ABE" w:rsidP="000E4A70">
      <w:pPr>
        <w:spacing w:line="360" w:lineRule="auto"/>
        <w:jc w:val="both"/>
        <w:rPr>
          <w:rFonts w:ascii="Arial" w:hAnsi="Arial" w:cs="Arial"/>
          <w:sz w:val="20"/>
          <w:szCs w:val="20"/>
        </w:rPr>
      </w:pPr>
      <w:bookmarkStart w:id="13" w:name="_Hlk152065525"/>
      <w:r w:rsidRPr="00CC1ABE">
        <w:rPr>
          <w:rFonts w:ascii="Arial" w:hAnsi="Arial" w:cs="Arial"/>
          <w:b/>
          <w:szCs w:val="20"/>
        </w:rPr>
        <w:t>6.</w:t>
      </w:r>
      <w:r w:rsidR="006C20AD" w:rsidRPr="00CC1ABE">
        <w:rPr>
          <w:rFonts w:ascii="Arial" w:hAnsi="Arial" w:cs="Arial"/>
          <w:b/>
          <w:szCs w:val="20"/>
        </w:rPr>
        <w:t>Trends in malnutrition and hidden hunger</w:t>
      </w:r>
      <w:r w:rsidR="006C20AD" w:rsidRPr="00CC1ABE">
        <w:rPr>
          <w:rFonts w:ascii="Arial" w:hAnsi="Arial" w:cs="Arial"/>
          <w:sz w:val="20"/>
          <w:szCs w:val="20"/>
        </w:rPr>
        <w:t>:</w:t>
      </w:r>
    </w:p>
    <w:bookmarkEnd w:id="13"/>
    <w:p w14:paraId="563EB10A" w14:textId="45D06008" w:rsidR="005B5098" w:rsidRPr="00CC1ABE" w:rsidRDefault="006C20AD" w:rsidP="00B3017B">
      <w:pPr>
        <w:spacing w:line="360" w:lineRule="auto"/>
        <w:jc w:val="both"/>
        <w:rPr>
          <w:rFonts w:ascii="Arial" w:hAnsi="Arial" w:cs="Arial"/>
          <w:sz w:val="20"/>
          <w:szCs w:val="20"/>
        </w:rPr>
      </w:pPr>
      <w:r w:rsidRPr="00CC1ABE">
        <w:rPr>
          <w:rFonts w:ascii="Arial" w:hAnsi="Arial" w:cs="Arial"/>
          <w:sz w:val="20"/>
          <w:szCs w:val="20"/>
        </w:rPr>
        <w:tab/>
        <w:t>In developing and developed nations, hunger, poverty, and malnutrition are interconnected problems. The majority of individuals who experience chronic malnutrition are caught in a vicious cycle wherein they are unable to obtain regular, nourishing meals, which makes it difficult for them to lead active, healthy lives; they are also unable to obtain proper healthcare, which makes it difficult for them to produce or purchase the essential nutritious food. Poverty, malnutrition, and hunger are closely related and linked. The term "poverty trap" refers to this situation, whereby the poor become trapped in poverty due to their hunger (</w:t>
      </w:r>
      <w:bookmarkStart w:id="14" w:name="_Hlk152065538"/>
      <w:r w:rsidRPr="00CC1ABE">
        <w:rPr>
          <w:rFonts w:ascii="Arial" w:hAnsi="Arial" w:cs="Arial"/>
          <w:sz w:val="20"/>
          <w:szCs w:val="20"/>
        </w:rPr>
        <w:t xml:space="preserve">Singh </w:t>
      </w:r>
      <w:r w:rsidRPr="00CC1ABE">
        <w:rPr>
          <w:rFonts w:ascii="Arial" w:hAnsi="Arial" w:cs="Arial"/>
          <w:i/>
          <w:sz w:val="20"/>
          <w:szCs w:val="20"/>
        </w:rPr>
        <w:t>et al.,</w:t>
      </w:r>
      <w:r w:rsidRPr="00CC1ABE">
        <w:rPr>
          <w:rFonts w:ascii="Arial" w:hAnsi="Arial" w:cs="Arial"/>
          <w:sz w:val="20"/>
          <w:szCs w:val="20"/>
        </w:rPr>
        <w:t xml:space="preserve"> 2016</w:t>
      </w:r>
      <w:bookmarkEnd w:id="14"/>
      <w:r w:rsidRPr="00CC1ABE">
        <w:rPr>
          <w:rFonts w:ascii="Arial" w:hAnsi="Arial" w:cs="Arial"/>
          <w:sz w:val="20"/>
          <w:szCs w:val="20"/>
        </w:rPr>
        <w:t>).</w:t>
      </w:r>
      <w:r w:rsidR="003D6F8A" w:rsidRPr="00CC1ABE">
        <w:rPr>
          <w:rFonts w:ascii="Arial" w:hAnsi="Arial" w:cs="Arial"/>
          <w:sz w:val="20"/>
          <w:szCs w:val="20"/>
        </w:rPr>
        <w:t xml:space="preserve"> The goal of the second Sustainable Development Goal is to end extreme hunger and malnutrition while advancing sustainable agriculture and food security (</w:t>
      </w:r>
      <w:bookmarkStart w:id="15" w:name="_Hlk152143418"/>
      <w:r w:rsidR="003D6F8A" w:rsidRPr="00CC1ABE">
        <w:rPr>
          <w:rFonts w:ascii="Arial" w:hAnsi="Arial" w:cs="Arial"/>
          <w:sz w:val="20"/>
          <w:szCs w:val="20"/>
        </w:rPr>
        <w:t xml:space="preserve">Olson </w:t>
      </w:r>
      <w:r w:rsidR="003D6F8A" w:rsidRPr="00CC1ABE">
        <w:rPr>
          <w:rFonts w:ascii="Arial" w:hAnsi="Arial" w:cs="Arial"/>
          <w:i/>
          <w:sz w:val="20"/>
          <w:szCs w:val="20"/>
        </w:rPr>
        <w:t>et al.,</w:t>
      </w:r>
      <w:r w:rsidR="003D6F8A" w:rsidRPr="00CC1ABE">
        <w:rPr>
          <w:rFonts w:ascii="Arial" w:hAnsi="Arial" w:cs="Arial"/>
          <w:sz w:val="20"/>
          <w:szCs w:val="20"/>
        </w:rPr>
        <w:t xml:space="preserve"> 2021</w:t>
      </w:r>
      <w:bookmarkEnd w:id="15"/>
      <w:r w:rsidR="003D6F8A" w:rsidRPr="00CC1ABE">
        <w:rPr>
          <w:rFonts w:ascii="Arial" w:hAnsi="Arial" w:cs="Arial"/>
          <w:sz w:val="20"/>
          <w:szCs w:val="20"/>
        </w:rPr>
        <w:t>). The high incidence of hidden hunger in developing nations has been linked to a number of factors, including low incomes</w:t>
      </w:r>
      <w:r w:rsidR="009D2D25" w:rsidRPr="00CC1ABE">
        <w:rPr>
          <w:rFonts w:ascii="Arial" w:hAnsi="Arial" w:cs="Arial"/>
          <w:sz w:val="20"/>
          <w:szCs w:val="20"/>
        </w:rPr>
        <w:t xml:space="preserve"> (</w:t>
      </w:r>
      <w:bookmarkStart w:id="16" w:name="_Hlk152143721"/>
      <w:r w:rsidR="009D2D25" w:rsidRPr="00CC1ABE">
        <w:rPr>
          <w:rFonts w:ascii="Arial" w:hAnsi="Arial" w:cs="Arial"/>
          <w:sz w:val="20"/>
          <w:szCs w:val="20"/>
        </w:rPr>
        <w:t xml:space="preserve">Wakee </w:t>
      </w:r>
      <w:r w:rsidR="009D2D25" w:rsidRPr="00CC1ABE">
        <w:rPr>
          <w:rFonts w:ascii="Arial" w:hAnsi="Arial" w:cs="Arial"/>
          <w:i/>
          <w:sz w:val="20"/>
          <w:szCs w:val="20"/>
        </w:rPr>
        <w:t>et al.,</w:t>
      </w:r>
      <w:r w:rsidR="009D2D25" w:rsidRPr="00CC1ABE">
        <w:rPr>
          <w:rFonts w:ascii="Arial" w:hAnsi="Arial" w:cs="Arial"/>
          <w:sz w:val="20"/>
          <w:szCs w:val="20"/>
        </w:rPr>
        <w:t xml:space="preserve"> 2018</w:t>
      </w:r>
      <w:bookmarkEnd w:id="16"/>
      <w:r w:rsidR="009D2D25" w:rsidRPr="00CC1ABE">
        <w:rPr>
          <w:rFonts w:ascii="Arial" w:hAnsi="Arial" w:cs="Arial"/>
          <w:sz w:val="20"/>
          <w:szCs w:val="20"/>
        </w:rPr>
        <w:t>)</w:t>
      </w:r>
      <w:r w:rsidR="003D6F8A" w:rsidRPr="00CC1ABE">
        <w:rPr>
          <w:rFonts w:ascii="Arial" w:hAnsi="Arial" w:cs="Arial"/>
          <w:sz w:val="20"/>
          <w:szCs w:val="20"/>
        </w:rPr>
        <w:t xml:space="preserve"> that prevent them from having access to adequate diets, an over-reliance on staple foods with low micronutrient contents, a shift in diets from traditional, less-processed to highly processed foods</w:t>
      </w:r>
      <w:r w:rsidR="009D2D25" w:rsidRPr="00CC1ABE">
        <w:rPr>
          <w:rFonts w:ascii="Arial" w:hAnsi="Arial" w:cs="Arial"/>
          <w:sz w:val="20"/>
          <w:szCs w:val="20"/>
        </w:rPr>
        <w:t xml:space="preserve"> (</w:t>
      </w:r>
      <w:bookmarkStart w:id="17" w:name="_Hlk152143738"/>
      <w:r w:rsidR="009D2D25" w:rsidRPr="00CC1ABE">
        <w:rPr>
          <w:rFonts w:ascii="Arial" w:hAnsi="Arial" w:cs="Arial"/>
          <w:sz w:val="20"/>
          <w:szCs w:val="20"/>
        </w:rPr>
        <w:t xml:space="preserve">Beenish </w:t>
      </w:r>
      <w:r w:rsidR="009D2D25" w:rsidRPr="00CC1ABE">
        <w:rPr>
          <w:rFonts w:ascii="Arial" w:hAnsi="Arial" w:cs="Arial"/>
          <w:i/>
          <w:sz w:val="20"/>
          <w:szCs w:val="20"/>
        </w:rPr>
        <w:t>et al.,</w:t>
      </w:r>
      <w:r w:rsidR="009D2D25" w:rsidRPr="00CC1ABE">
        <w:rPr>
          <w:rFonts w:ascii="Arial" w:hAnsi="Arial" w:cs="Arial"/>
          <w:sz w:val="20"/>
          <w:szCs w:val="20"/>
        </w:rPr>
        <w:t xml:space="preserve"> 2018</w:t>
      </w:r>
      <w:bookmarkEnd w:id="17"/>
      <w:r w:rsidR="009D2D25" w:rsidRPr="00CC1ABE">
        <w:rPr>
          <w:rFonts w:ascii="Arial" w:hAnsi="Arial" w:cs="Arial"/>
          <w:sz w:val="20"/>
          <w:szCs w:val="20"/>
        </w:rPr>
        <w:t>)</w:t>
      </w:r>
      <w:r w:rsidR="003D6F8A" w:rsidRPr="00CC1ABE">
        <w:rPr>
          <w:rFonts w:ascii="Arial" w:hAnsi="Arial" w:cs="Arial"/>
          <w:sz w:val="20"/>
          <w:szCs w:val="20"/>
        </w:rPr>
        <w:t>, poor food quality, unfavo</w:t>
      </w:r>
      <w:r w:rsidR="00B05CB4" w:rsidRPr="00CC1ABE">
        <w:rPr>
          <w:rFonts w:ascii="Arial" w:hAnsi="Arial" w:cs="Arial"/>
          <w:sz w:val="20"/>
          <w:szCs w:val="20"/>
        </w:rPr>
        <w:t>u</w:t>
      </w:r>
      <w:r w:rsidR="003D6F8A" w:rsidRPr="00CC1ABE">
        <w:rPr>
          <w:rFonts w:ascii="Arial" w:hAnsi="Arial" w:cs="Arial"/>
          <w:sz w:val="20"/>
          <w:szCs w:val="20"/>
        </w:rPr>
        <w:t>rable political systems, and poor economic status</w:t>
      </w:r>
      <w:r w:rsidR="009D2D25" w:rsidRPr="00CC1ABE">
        <w:rPr>
          <w:rFonts w:ascii="Arial" w:hAnsi="Arial" w:cs="Arial"/>
          <w:sz w:val="20"/>
          <w:szCs w:val="20"/>
        </w:rPr>
        <w:t xml:space="preserve"> (</w:t>
      </w:r>
      <w:bookmarkStart w:id="18" w:name="_Hlk152143757"/>
      <w:proofErr w:type="spellStart"/>
      <w:r w:rsidR="009D2D25" w:rsidRPr="00CC1ABE">
        <w:rPr>
          <w:rFonts w:ascii="Arial" w:hAnsi="Arial" w:cs="Arial"/>
          <w:sz w:val="20"/>
          <w:szCs w:val="20"/>
        </w:rPr>
        <w:t>Grebmer</w:t>
      </w:r>
      <w:proofErr w:type="spellEnd"/>
      <w:r w:rsidR="009D2D25" w:rsidRPr="00CC1ABE">
        <w:rPr>
          <w:rFonts w:ascii="Arial" w:hAnsi="Arial" w:cs="Arial"/>
          <w:sz w:val="20"/>
          <w:szCs w:val="20"/>
        </w:rPr>
        <w:t xml:space="preserve"> </w:t>
      </w:r>
      <w:r w:rsidR="009D2D25" w:rsidRPr="00CC1ABE">
        <w:rPr>
          <w:rFonts w:ascii="Arial" w:hAnsi="Arial" w:cs="Arial"/>
          <w:i/>
          <w:sz w:val="20"/>
          <w:szCs w:val="20"/>
        </w:rPr>
        <w:t>et al.,</w:t>
      </w:r>
      <w:r w:rsidR="009D2D25" w:rsidRPr="00CC1ABE">
        <w:rPr>
          <w:rFonts w:ascii="Arial" w:hAnsi="Arial" w:cs="Arial"/>
          <w:sz w:val="20"/>
          <w:szCs w:val="20"/>
        </w:rPr>
        <w:t xml:space="preserve"> 2017</w:t>
      </w:r>
      <w:bookmarkEnd w:id="18"/>
      <w:r w:rsidR="009D2D25" w:rsidRPr="00CC1ABE">
        <w:rPr>
          <w:rFonts w:ascii="Arial" w:hAnsi="Arial" w:cs="Arial"/>
          <w:sz w:val="20"/>
          <w:szCs w:val="20"/>
        </w:rPr>
        <w:t>)</w:t>
      </w:r>
      <w:r w:rsidR="003D6F8A" w:rsidRPr="00CC1ABE">
        <w:rPr>
          <w:rFonts w:ascii="Arial" w:hAnsi="Arial" w:cs="Arial"/>
          <w:sz w:val="20"/>
          <w:szCs w:val="20"/>
        </w:rPr>
        <w:t>.</w:t>
      </w:r>
      <w:r w:rsidR="005B5098" w:rsidRPr="00CC1ABE">
        <w:rPr>
          <w:rFonts w:ascii="Arial" w:hAnsi="Arial" w:cs="Arial"/>
          <w:sz w:val="20"/>
          <w:szCs w:val="20"/>
        </w:rPr>
        <w:t xml:space="preserve"> </w:t>
      </w:r>
    </w:p>
    <w:p w14:paraId="42D3BB8A" w14:textId="5672D117" w:rsidR="0033754E" w:rsidRPr="00CC1ABE" w:rsidRDefault="005B5098" w:rsidP="00153DC3">
      <w:pPr>
        <w:spacing w:line="360" w:lineRule="auto"/>
        <w:ind w:firstLine="720"/>
        <w:jc w:val="both"/>
        <w:rPr>
          <w:rFonts w:ascii="Arial" w:hAnsi="Arial" w:cs="Arial"/>
          <w:sz w:val="20"/>
          <w:szCs w:val="20"/>
        </w:rPr>
      </w:pPr>
      <w:r w:rsidRPr="00CC1ABE">
        <w:rPr>
          <w:rFonts w:ascii="Arial" w:hAnsi="Arial" w:cs="Arial"/>
          <w:sz w:val="20"/>
          <w:szCs w:val="20"/>
        </w:rPr>
        <w:t xml:space="preserve">While hidden hunger is less common in wealthy nations than in impoverished ones, most developed nations have shortages in iron and zinc (Beenish </w:t>
      </w:r>
      <w:r w:rsidRPr="00CC1ABE">
        <w:rPr>
          <w:rFonts w:ascii="Arial" w:hAnsi="Arial" w:cs="Arial"/>
          <w:i/>
          <w:sz w:val="20"/>
          <w:szCs w:val="20"/>
        </w:rPr>
        <w:t>et al</w:t>
      </w:r>
      <w:r w:rsidR="00675A4F" w:rsidRPr="00CC1ABE">
        <w:rPr>
          <w:rFonts w:ascii="Arial" w:hAnsi="Arial" w:cs="Arial"/>
          <w:i/>
          <w:sz w:val="20"/>
          <w:szCs w:val="20"/>
        </w:rPr>
        <w:t>.,</w:t>
      </w:r>
      <w:r w:rsidRPr="00CC1ABE">
        <w:rPr>
          <w:rFonts w:ascii="Arial" w:hAnsi="Arial" w:cs="Arial"/>
          <w:sz w:val="20"/>
          <w:szCs w:val="20"/>
        </w:rPr>
        <w:t xml:space="preserve"> 2018). Studies conducted in the United States, Canada, Great Britain, and other industrialized nations revealed that a particular proportion of the population did not meet the RDA for micronutrients like iron, iodine, vitamin D, and E (</w:t>
      </w:r>
      <w:bookmarkStart w:id="19" w:name="_Hlk152144526"/>
      <w:r w:rsidRPr="00CC1ABE">
        <w:rPr>
          <w:rFonts w:ascii="Arial" w:hAnsi="Arial" w:cs="Arial"/>
          <w:sz w:val="20"/>
          <w:szCs w:val="20"/>
        </w:rPr>
        <w:t xml:space="preserve">Cashman </w:t>
      </w:r>
      <w:r w:rsidRPr="00CC1ABE">
        <w:rPr>
          <w:rFonts w:ascii="Arial" w:hAnsi="Arial" w:cs="Arial"/>
          <w:i/>
          <w:sz w:val="20"/>
          <w:szCs w:val="20"/>
        </w:rPr>
        <w:t>et al.,</w:t>
      </w:r>
      <w:r w:rsidRPr="00CC1ABE">
        <w:rPr>
          <w:rFonts w:ascii="Arial" w:hAnsi="Arial" w:cs="Arial"/>
          <w:sz w:val="20"/>
          <w:szCs w:val="20"/>
        </w:rPr>
        <w:t xml:space="preserve"> 2018</w:t>
      </w:r>
      <w:bookmarkEnd w:id="19"/>
      <w:r w:rsidRPr="00CC1ABE">
        <w:rPr>
          <w:rFonts w:ascii="Arial" w:hAnsi="Arial" w:cs="Arial"/>
          <w:sz w:val="20"/>
          <w:szCs w:val="20"/>
        </w:rPr>
        <w:t xml:space="preserve">). This was linked to modifications in the food habits of those developed nations, which had a significant impact on the consumption of balanced diets and raised the incidence of hidden hunger in those nations. More people than the typical percentage of the world's population have suffered as a result of these deficiencies (Wakeel </w:t>
      </w:r>
      <w:r w:rsidRPr="00CC1ABE">
        <w:rPr>
          <w:rFonts w:ascii="Arial" w:hAnsi="Arial" w:cs="Arial"/>
          <w:i/>
          <w:sz w:val="20"/>
          <w:szCs w:val="20"/>
        </w:rPr>
        <w:t>et al.,</w:t>
      </w:r>
      <w:r w:rsidRPr="00CC1ABE">
        <w:rPr>
          <w:rFonts w:ascii="Arial" w:hAnsi="Arial" w:cs="Arial"/>
          <w:sz w:val="20"/>
          <w:szCs w:val="20"/>
        </w:rPr>
        <w:t xml:space="preserve"> 2018).</w:t>
      </w:r>
      <w:r w:rsidR="00CE63F4" w:rsidRPr="00CC1ABE">
        <w:rPr>
          <w:rFonts w:ascii="Arial" w:hAnsi="Arial" w:cs="Arial"/>
          <w:sz w:val="20"/>
          <w:szCs w:val="20"/>
        </w:rPr>
        <w:t xml:space="preserve"> </w:t>
      </w:r>
      <w:r w:rsidRPr="00CC1ABE">
        <w:rPr>
          <w:rFonts w:ascii="Arial" w:hAnsi="Arial" w:cs="Arial"/>
          <w:sz w:val="20"/>
          <w:szCs w:val="20"/>
        </w:rPr>
        <w:t>Globally, an estimated two billion people have experienced hidden hunger</w:t>
      </w:r>
      <w:r w:rsidR="00CE63F4" w:rsidRPr="00CC1ABE">
        <w:rPr>
          <w:rFonts w:ascii="Arial" w:hAnsi="Arial" w:cs="Arial"/>
          <w:sz w:val="20"/>
          <w:szCs w:val="20"/>
        </w:rPr>
        <w:t xml:space="preserve"> (</w:t>
      </w:r>
      <w:proofErr w:type="spellStart"/>
      <w:r w:rsidR="00CE63F4" w:rsidRPr="00CC1ABE">
        <w:rPr>
          <w:rFonts w:ascii="Arial" w:hAnsi="Arial" w:cs="Arial"/>
          <w:sz w:val="20"/>
          <w:szCs w:val="20"/>
        </w:rPr>
        <w:t>Godecke</w:t>
      </w:r>
      <w:proofErr w:type="spellEnd"/>
      <w:r w:rsidR="00CE63F4" w:rsidRPr="00CC1ABE">
        <w:rPr>
          <w:rFonts w:ascii="Arial" w:hAnsi="Arial" w:cs="Arial"/>
          <w:sz w:val="20"/>
          <w:szCs w:val="20"/>
        </w:rPr>
        <w:t xml:space="preserve"> </w:t>
      </w:r>
      <w:r w:rsidR="00CE63F4" w:rsidRPr="00CC1ABE">
        <w:rPr>
          <w:rFonts w:ascii="Arial" w:hAnsi="Arial" w:cs="Arial"/>
          <w:i/>
          <w:sz w:val="20"/>
          <w:szCs w:val="20"/>
        </w:rPr>
        <w:t>et al.,</w:t>
      </w:r>
      <w:r w:rsidR="00CE63F4" w:rsidRPr="00CC1ABE">
        <w:rPr>
          <w:rFonts w:ascii="Arial" w:hAnsi="Arial" w:cs="Arial"/>
          <w:sz w:val="20"/>
          <w:szCs w:val="20"/>
        </w:rPr>
        <w:t xml:space="preserve"> 2018)</w:t>
      </w:r>
      <w:r w:rsidRPr="00CC1ABE">
        <w:rPr>
          <w:rFonts w:ascii="Arial" w:hAnsi="Arial" w:cs="Arial"/>
          <w:sz w:val="20"/>
          <w:szCs w:val="20"/>
        </w:rPr>
        <w:t>.</w:t>
      </w:r>
      <w:r w:rsidR="00CE63F4" w:rsidRPr="00CC1ABE">
        <w:rPr>
          <w:rFonts w:ascii="Arial" w:hAnsi="Arial" w:cs="Arial"/>
          <w:sz w:val="20"/>
          <w:szCs w:val="20"/>
        </w:rPr>
        <w:t xml:space="preserve"> The economy is impacted by the reduced production caused by hidden hunger among the affected people (Wakee </w:t>
      </w:r>
      <w:r w:rsidR="00CE63F4" w:rsidRPr="00CC1ABE">
        <w:rPr>
          <w:rFonts w:ascii="Arial" w:hAnsi="Arial" w:cs="Arial"/>
          <w:i/>
          <w:sz w:val="20"/>
          <w:szCs w:val="20"/>
        </w:rPr>
        <w:t>et al.,</w:t>
      </w:r>
      <w:r w:rsidR="00CE63F4" w:rsidRPr="00CC1ABE">
        <w:rPr>
          <w:rFonts w:ascii="Arial" w:hAnsi="Arial" w:cs="Arial"/>
          <w:sz w:val="20"/>
          <w:szCs w:val="20"/>
        </w:rPr>
        <w:t xml:space="preserve"> 2018).</w:t>
      </w:r>
      <w:r w:rsidR="0033754E" w:rsidRPr="00CC1ABE">
        <w:rPr>
          <w:rFonts w:ascii="Arial" w:hAnsi="Arial" w:cs="Arial"/>
          <w:sz w:val="20"/>
          <w:szCs w:val="20"/>
        </w:rPr>
        <w:t xml:space="preserve"> The necessity to develop </w:t>
      </w:r>
      <w:r w:rsidR="0033754E" w:rsidRPr="00CC1ABE">
        <w:rPr>
          <w:rFonts w:ascii="Arial" w:hAnsi="Arial" w:cs="Arial"/>
          <w:sz w:val="20"/>
          <w:szCs w:val="20"/>
        </w:rPr>
        <w:lastRenderedPageBreak/>
        <w:t>appropriate strategies for managing hidden hunger and malnutrition is well explained by these detrimental impacts.</w:t>
      </w:r>
    </w:p>
    <w:p w14:paraId="7AED99BE" w14:textId="6914C7CB" w:rsidR="0033754E" w:rsidRPr="00CC1ABE" w:rsidRDefault="0033754E" w:rsidP="00B3017B">
      <w:pPr>
        <w:spacing w:line="360" w:lineRule="auto"/>
        <w:jc w:val="both"/>
        <w:rPr>
          <w:rFonts w:ascii="Arial" w:hAnsi="Arial" w:cs="Arial"/>
          <w:sz w:val="20"/>
          <w:szCs w:val="20"/>
        </w:rPr>
      </w:pPr>
      <w:r w:rsidRPr="00CC1ABE">
        <w:rPr>
          <w:rFonts w:ascii="Arial" w:hAnsi="Arial" w:cs="Arial"/>
          <w:sz w:val="20"/>
          <w:szCs w:val="20"/>
        </w:rPr>
        <w:tab/>
        <w:t>It is crucial to note that, even after biofortified varieties are developed, addressing different sociopolitical and economic issues will be necessary to encourage their production and ultimately, their consumption by customers in order to effectively battle hidden hunger through biofortification. An integrated approach is needed for future activities; in addition to politicians and citizens, farmers, food product developers, dietitians, and educators must be involved. These parties have the power to alter the dietary patterns of the population and encourage more people to consume the targeted PBFs (</w:t>
      </w:r>
      <w:bookmarkStart w:id="20" w:name="_Hlk152146189"/>
      <w:proofErr w:type="spellStart"/>
      <w:r w:rsidRPr="00CC1ABE">
        <w:rPr>
          <w:rFonts w:ascii="Arial" w:hAnsi="Arial" w:cs="Arial"/>
          <w:sz w:val="20"/>
          <w:szCs w:val="20"/>
        </w:rPr>
        <w:t>Buturi</w:t>
      </w:r>
      <w:proofErr w:type="spellEnd"/>
      <w:r w:rsidRPr="00CC1ABE">
        <w:rPr>
          <w:rFonts w:ascii="Arial" w:hAnsi="Arial" w:cs="Arial"/>
          <w:sz w:val="20"/>
          <w:szCs w:val="20"/>
        </w:rPr>
        <w:t xml:space="preserve"> </w:t>
      </w:r>
      <w:r w:rsidRPr="00CC1ABE">
        <w:rPr>
          <w:rFonts w:ascii="Arial" w:hAnsi="Arial" w:cs="Arial"/>
          <w:i/>
          <w:sz w:val="20"/>
          <w:szCs w:val="20"/>
        </w:rPr>
        <w:t>et al.,</w:t>
      </w:r>
      <w:r w:rsidRPr="00CC1ABE">
        <w:rPr>
          <w:rFonts w:ascii="Arial" w:hAnsi="Arial" w:cs="Arial"/>
          <w:sz w:val="20"/>
          <w:szCs w:val="20"/>
        </w:rPr>
        <w:t xml:space="preserve"> 2021</w:t>
      </w:r>
      <w:bookmarkEnd w:id="20"/>
      <w:r w:rsidR="00B3017B" w:rsidRPr="00CC1ABE">
        <w:rPr>
          <w:rFonts w:ascii="Arial" w:hAnsi="Arial" w:cs="Arial"/>
          <w:sz w:val="20"/>
          <w:szCs w:val="20"/>
        </w:rPr>
        <w:t>)</w:t>
      </w:r>
      <w:r w:rsidRPr="00CC1ABE">
        <w:rPr>
          <w:rFonts w:ascii="Arial" w:hAnsi="Arial" w:cs="Arial"/>
          <w:sz w:val="20"/>
          <w:szCs w:val="20"/>
        </w:rPr>
        <w:t>.</w:t>
      </w:r>
    </w:p>
    <w:p w14:paraId="35911F10" w14:textId="27E3CBF6" w:rsidR="004E7ECF" w:rsidRPr="00CC1ABE" w:rsidRDefault="00CC1ABE" w:rsidP="00B3017B">
      <w:pPr>
        <w:spacing w:line="360" w:lineRule="auto"/>
        <w:jc w:val="both"/>
        <w:rPr>
          <w:rFonts w:ascii="Arial" w:hAnsi="Arial" w:cs="Arial"/>
          <w:b/>
          <w:szCs w:val="20"/>
        </w:rPr>
      </w:pPr>
      <w:r w:rsidRPr="00CC1ABE">
        <w:rPr>
          <w:rFonts w:ascii="Arial" w:hAnsi="Arial" w:cs="Arial"/>
          <w:b/>
          <w:szCs w:val="20"/>
        </w:rPr>
        <w:t>7.</w:t>
      </w:r>
      <w:r w:rsidR="00B05CB4" w:rsidRPr="00CC1ABE">
        <w:rPr>
          <w:rFonts w:ascii="Arial" w:hAnsi="Arial" w:cs="Arial"/>
          <w:b/>
          <w:szCs w:val="20"/>
        </w:rPr>
        <w:t>Future prospects:</w:t>
      </w:r>
    </w:p>
    <w:p w14:paraId="21CF0F80" w14:textId="3FA35721" w:rsidR="00C6274F" w:rsidRPr="00CC1ABE" w:rsidRDefault="00B05CB4" w:rsidP="00C6274F">
      <w:pPr>
        <w:spacing w:line="360" w:lineRule="auto"/>
        <w:jc w:val="both"/>
        <w:rPr>
          <w:rFonts w:ascii="Arial" w:hAnsi="Arial" w:cs="Arial"/>
          <w:sz w:val="20"/>
          <w:szCs w:val="20"/>
        </w:rPr>
      </w:pPr>
      <w:r w:rsidRPr="00CC1ABE">
        <w:rPr>
          <w:rFonts w:ascii="Arial" w:hAnsi="Arial" w:cs="Arial"/>
          <w:sz w:val="20"/>
          <w:szCs w:val="20"/>
        </w:rPr>
        <w:tab/>
        <w:t xml:space="preserve">Biofortification features a variety of exciting research areas with considerable future promise. It is becoming a more essential subject of study as the world's population continues to rise and the demand for nutrient-rich food rises. </w:t>
      </w:r>
      <w:r w:rsidR="00592143" w:rsidRPr="00CC1ABE">
        <w:rPr>
          <w:rFonts w:ascii="Arial" w:hAnsi="Arial" w:cs="Arial"/>
          <w:sz w:val="20"/>
          <w:szCs w:val="20"/>
        </w:rPr>
        <w:t>Scientists are striving to create new crop kinds rich in important vitamins and minerals including iron, zinc, and vitamin A and will witness an increase in the number of nutrient-rich crop varieties, which will aid in addressing global malnutrition and improving public health. Another area of biofortification research involves improving plant uptake and absorption of essential nutrients and also includes the use of fertilizers and other agricultural measures that increase the availability of nutrients in the soil and improve plant absorption. Some of the prospective advantages of biofortification includes :</w:t>
      </w:r>
      <w:r w:rsidR="00C6274F" w:rsidRPr="00CC1ABE">
        <w:rPr>
          <w:rFonts w:ascii="Arial" w:hAnsi="Arial" w:cs="Arial"/>
          <w:sz w:val="20"/>
          <w:szCs w:val="20"/>
        </w:rPr>
        <w:t xml:space="preserve"> Expanding the range of biofortified crops,</w:t>
      </w:r>
      <w:r w:rsidR="00592143" w:rsidRPr="00CC1ABE">
        <w:rPr>
          <w:rFonts w:ascii="Arial" w:hAnsi="Arial" w:cs="Arial"/>
          <w:sz w:val="20"/>
          <w:szCs w:val="20"/>
        </w:rPr>
        <w:t xml:space="preserve"> To make biofortification more cost-effective and sustainable, scientists are researching on strategies to boost the nutrient content of crops while using fewer resources,</w:t>
      </w:r>
      <w:r w:rsidR="00C6274F" w:rsidRPr="00CC1ABE">
        <w:rPr>
          <w:rFonts w:ascii="Arial" w:hAnsi="Arial" w:cs="Arial"/>
          <w:sz w:val="20"/>
          <w:szCs w:val="20"/>
        </w:rPr>
        <w:t xml:space="preserve"> educating the public about the benefits of biofortified crops and dispelling any myths or worries about their safety or nutritional worth, increase the nutrient value of locally grown crops, which can help to address vitamin and mineral deficiencies, improve the nutritional status of populations who rely on these crops as a major source of energy and nutrients, and contribute to food security by increasing the availability of nutritious foods, Women and children are frequently the most vulnerable to malnutrition, and biofortification can assist to bridge the gender gap in access to healthy foods. Overall, the future of biofortification are very promising.</w:t>
      </w:r>
    </w:p>
    <w:p w14:paraId="3475D31D" w14:textId="77777777" w:rsidR="00E05A3F" w:rsidRDefault="00E05A3F" w:rsidP="00C6274F">
      <w:pPr>
        <w:spacing w:line="360" w:lineRule="auto"/>
        <w:jc w:val="both"/>
        <w:rPr>
          <w:rFonts w:ascii="Arial" w:hAnsi="Arial" w:cs="Arial"/>
          <w:b/>
          <w:szCs w:val="20"/>
        </w:rPr>
      </w:pPr>
    </w:p>
    <w:p w14:paraId="69CA5915" w14:textId="4E83E1AF" w:rsidR="00C6274F" w:rsidRPr="00CC1ABE" w:rsidRDefault="00CC1ABE" w:rsidP="00C6274F">
      <w:pPr>
        <w:spacing w:line="360" w:lineRule="auto"/>
        <w:jc w:val="both"/>
        <w:rPr>
          <w:rFonts w:ascii="Arial" w:hAnsi="Arial" w:cs="Arial"/>
          <w:b/>
          <w:szCs w:val="20"/>
        </w:rPr>
      </w:pPr>
      <w:r w:rsidRPr="00CC1ABE">
        <w:rPr>
          <w:rFonts w:ascii="Arial" w:hAnsi="Arial" w:cs="Arial"/>
          <w:b/>
          <w:szCs w:val="20"/>
        </w:rPr>
        <w:t>8.</w:t>
      </w:r>
      <w:r w:rsidR="00C6274F" w:rsidRPr="00CC1ABE">
        <w:rPr>
          <w:rFonts w:ascii="Arial" w:hAnsi="Arial" w:cs="Arial"/>
          <w:b/>
          <w:szCs w:val="20"/>
        </w:rPr>
        <w:t xml:space="preserve">Conclusions: </w:t>
      </w:r>
    </w:p>
    <w:p w14:paraId="062AB5F0" w14:textId="256DC9A1" w:rsidR="00F946F5" w:rsidRPr="00CC1ABE" w:rsidRDefault="00C6274F" w:rsidP="00F946F5">
      <w:pPr>
        <w:spacing w:line="360" w:lineRule="auto"/>
        <w:jc w:val="both"/>
        <w:rPr>
          <w:rFonts w:ascii="Arial" w:hAnsi="Arial" w:cs="Arial"/>
          <w:sz w:val="20"/>
          <w:szCs w:val="20"/>
        </w:rPr>
      </w:pPr>
      <w:r w:rsidRPr="00CC1ABE">
        <w:rPr>
          <w:rFonts w:ascii="Arial" w:hAnsi="Arial" w:cs="Arial"/>
          <w:sz w:val="20"/>
          <w:szCs w:val="20"/>
        </w:rPr>
        <w:tab/>
      </w:r>
      <w:r w:rsidR="00740629" w:rsidRPr="00CC1ABE">
        <w:rPr>
          <w:rFonts w:ascii="Arial" w:hAnsi="Arial" w:cs="Arial"/>
          <w:sz w:val="20"/>
          <w:szCs w:val="20"/>
        </w:rPr>
        <w:t xml:space="preserve">Hunger and malnutrition are serious issues that must be addressed as soon as possible. Biofortification is a viable method of reaching malnourished populations in relatively rural locations by distributing naturally fortified foods to people who have limited access to commercially promoted fortified foods, which are more easily available in urban areas. Biofortified crops may also have higher yields in some situations, which can help to enhance food security and farmer income. Micronutrient deficiency may be addressed through plant breeding, transgenics, and mineral fertilizer treatments.  Because it depends on current agricultural infrastructure and techniques, it can be a cost-effective and sustainable method of improving nutrition. It is also crucial to note that, even after the development of biofortified </w:t>
      </w:r>
      <w:r w:rsidR="00740629" w:rsidRPr="00CC1ABE">
        <w:rPr>
          <w:rFonts w:ascii="Arial" w:hAnsi="Arial" w:cs="Arial"/>
          <w:sz w:val="20"/>
          <w:szCs w:val="20"/>
        </w:rPr>
        <w:lastRenderedPageBreak/>
        <w:t>cultivars, it will be necessary to address numerous sociopolitical and economic problems in order to encourage their cultivation and, ultimately, their consumption by customers. However, several obstacles must be overcome in order to effectively implement biofortification programs, including a lack of biofortified varieties, high production costs, a lack of awareness and understanding, a lack of distribution and access, and political and regulatory barriers. In order to prevent a variety of health problems, the development, manufacturing, and consumption of biofortified vegetables must be promoted.</w:t>
      </w:r>
      <w:r w:rsidR="00796DE1" w:rsidRPr="00CC1ABE">
        <w:rPr>
          <w:rFonts w:ascii="Arial" w:hAnsi="Arial" w:cs="Arial"/>
          <w:sz w:val="20"/>
          <w:szCs w:val="20"/>
        </w:rPr>
        <w:t xml:space="preserve"> </w:t>
      </w:r>
      <w:r w:rsidR="00F946F5" w:rsidRPr="00CC1ABE">
        <w:rPr>
          <w:rFonts w:ascii="Arial" w:hAnsi="Arial" w:cs="Arial"/>
          <w:sz w:val="20"/>
          <w:szCs w:val="20"/>
        </w:rPr>
        <w:t xml:space="preserve">Thus, </w:t>
      </w:r>
      <w:r w:rsidR="00796DE1" w:rsidRPr="00CC1ABE">
        <w:rPr>
          <w:rFonts w:ascii="Arial" w:hAnsi="Arial" w:cs="Arial"/>
          <w:sz w:val="20"/>
          <w:szCs w:val="20"/>
        </w:rPr>
        <w:t>w</w:t>
      </w:r>
      <w:r w:rsidR="00F946F5" w:rsidRPr="00CC1ABE">
        <w:rPr>
          <w:rFonts w:ascii="Arial" w:hAnsi="Arial" w:cs="Arial"/>
          <w:sz w:val="20"/>
          <w:szCs w:val="20"/>
        </w:rPr>
        <w:t>ith careful planning, execution, and implementation, biofortified food crops have the potential to greatly enhance the lives and health of millions of poor people in India while needing little investment in research.</w:t>
      </w:r>
      <w:r w:rsidR="0051748E" w:rsidRPr="00CC1ABE">
        <w:rPr>
          <w:rFonts w:ascii="Arial" w:hAnsi="Arial" w:cs="Arial"/>
          <w:sz w:val="20"/>
          <w:szCs w:val="20"/>
        </w:rPr>
        <w:br/>
      </w:r>
    </w:p>
    <w:p w14:paraId="4B349746" w14:textId="77777777" w:rsidR="00E05A3F" w:rsidRPr="00CC1ABE" w:rsidRDefault="00E05A3F" w:rsidP="00F946F5">
      <w:pPr>
        <w:spacing w:line="360" w:lineRule="auto"/>
        <w:jc w:val="both"/>
        <w:rPr>
          <w:rFonts w:ascii="Arial" w:hAnsi="Arial" w:cs="Arial"/>
          <w:sz w:val="20"/>
          <w:szCs w:val="20"/>
        </w:rPr>
      </w:pPr>
    </w:p>
    <w:p w14:paraId="6A4E0755" w14:textId="77777777" w:rsidR="0051748E" w:rsidRPr="00CC1ABE" w:rsidRDefault="0051748E" w:rsidP="0051748E">
      <w:pPr>
        <w:spacing w:line="360" w:lineRule="auto"/>
        <w:jc w:val="both"/>
        <w:rPr>
          <w:rFonts w:ascii="Arial" w:hAnsi="Arial" w:cs="Arial"/>
          <w:b/>
          <w:sz w:val="20"/>
          <w:szCs w:val="20"/>
        </w:rPr>
      </w:pPr>
      <w:r w:rsidRPr="00CC1ABE">
        <w:rPr>
          <w:rFonts w:ascii="Arial" w:hAnsi="Arial" w:cs="Arial"/>
          <w:b/>
          <w:sz w:val="20"/>
          <w:szCs w:val="20"/>
        </w:rPr>
        <w:t>REFERENCES:</w:t>
      </w:r>
    </w:p>
    <w:p w14:paraId="4E7C26D0" w14:textId="4BA8D5BA"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w:t>
      </w:r>
      <w:r w:rsidRPr="00CC1ABE">
        <w:rPr>
          <w:rFonts w:ascii="Arial" w:hAnsi="Arial" w:cs="Arial"/>
          <w:sz w:val="20"/>
          <w:szCs w:val="20"/>
        </w:rPr>
        <w:tab/>
        <w:t>Abbaspour</w:t>
      </w:r>
      <w:r w:rsidR="00F87E82" w:rsidRPr="00CC1ABE">
        <w:rPr>
          <w:rFonts w:ascii="Arial" w:hAnsi="Arial" w:cs="Arial"/>
          <w:sz w:val="20"/>
          <w:szCs w:val="20"/>
        </w:rPr>
        <w:t xml:space="preserve">, N.; Hurrell, R.; </w:t>
      </w:r>
      <w:proofErr w:type="spellStart"/>
      <w:r w:rsidR="00F87E82" w:rsidRPr="00CC1ABE">
        <w:rPr>
          <w:rFonts w:ascii="Arial" w:hAnsi="Arial" w:cs="Arial"/>
          <w:sz w:val="20"/>
          <w:szCs w:val="20"/>
        </w:rPr>
        <w:t>Kelishadi</w:t>
      </w:r>
      <w:proofErr w:type="spellEnd"/>
      <w:r w:rsidR="00F87E82" w:rsidRPr="00CC1ABE">
        <w:rPr>
          <w:rFonts w:ascii="Arial" w:hAnsi="Arial" w:cs="Arial"/>
          <w:sz w:val="20"/>
          <w:szCs w:val="20"/>
        </w:rPr>
        <w:t>, R, 2014.</w:t>
      </w:r>
      <w:r w:rsidRPr="00CC1ABE">
        <w:rPr>
          <w:rFonts w:ascii="Arial" w:hAnsi="Arial" w:cs="Arial"/>
          <w:sz w:val="20"/>
          <w:szCs w:val="20"/>
        </w:rPr>
        <w:t xml:space="preserve"> Review on iron and its importance for human health. J. Res. Med. Sci., 19, 164</w:t>
      </w:r>
    </w:p>
    <w:p w14:paraId="0BE9D8BA"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w:t>
      </w:r>
      <w:r w:rsidRPr="00CC1ABE">
        <w:rPr>
          <w:rFonts w:ascii="Arial" w:hAnsi="Arial" w:cs="Arial"/>
          <w:sz w:val="20"/>
          <w:szCs w:val="20"/>
        </w:rPr>
        <w:tab/>
        <w:t>Adhikari, P., 2012. Biofortification of selenium in broccoli and onion. Master’s thesis, Norwegian University of Life Sciences Norway.</w:t>
      </w:r>
    </w:p>
    <w:p w14:paraId="252BFEE9" w14:textId="307B8E36"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3.</w:t>
      </w:r>
      <w:r w:rsidRPr="00CC1ABE">
        <w:rPr>
          <w:rFonts w:ascii="Arial" w:hAnsi="Arial" w:cs="Arial"/>
          <w:sz w:val="20"/>
          <w:szCs w:val="20"/>
        </w:rPr>
        <w:tab/>
        <w:t xml:space="preserve">Beenish I, Omar Bashir I, </w:t>
      </w:r>
      <w:proofErr w:type="spellStart"/>
      <w:r w:rsidRPr="00CC1ABE">
        <w:rPr>
          <w:rFonts w:ascii="Arial" w:hAnsi="Arial" w:cs="Arial"/>
          <w:sz w:val="20"/>
          <w:szCs w:val="20"/>
        </w:rPr>
        <w:t>Tashooq</w:t>
      </w:r>
      <w:proofErr w:type="spellEnd"/>
      <w:r w:rsidRPr="00CC1ABE">
        <w:rPr>
          <w:rFonts w:ascii="Arial" w:hAnsi="Arial" w:cs="Arial"/>
          <w:sz w:val="20"/>
          <w:szCs w:val="20"/>
        </w:rPr>
        <w:t xml:space="preserve"> Ah Bhat I, Bazila Naseer I, Tahiya Qadri I, Nusrat Jan I, et al.</w:t>
      </w:r>
      <w:r w:rsidR="00F87E82" w:rsidRPr="00CC1ABE">
        <w:rPr>
          <w:rFonts w:ascii="Arial" w:hAnsi="Arial" w:cs="Arial"/>
          <w:sz w:val="20"/>
          <w:szCs w:val="20"/>
        </w:rPr>
        <w:t>, 2018.</w:t>
      </w:r>
      <w:r w:rsidRPr="00CC1ABE">
        <w:rPr>
          <w:rFonts w:ascii="Arial" w:hAnsi="Arial" w:cs="Arial"/>
          <w:sz w:val="20"/>
          <w:szCs w:val="20"/>
        </w:rPr>
        <w:t xml:space="preserve"> Hidden hunger and its prevention by food processing: a review</w:t>
      </w:r>
      <w:r w:rsidR="00C41E32" w:rsidRPr="00CC1ABE">
        <w:rPr>
          <w:rFonts w:ascii="Arial" w:hAnsi="Arial" w:cs="Arial"/>
          <w:sz w:val="20"/>
          <w:szCs w:val="20"/>
        </w:rPr>
        <w:t xml:space="preserve">. Int J Unani </w:t>
      </w:r>
      <w:proofErr w:type="spellStart"/>
      <w:r w:rsidR="00C41E32" w:rsidRPr="00CC1ABE">
        <w:rPr>
          <w:rFonts w:ascii="Arial" w:hAnsi="Arial" w:cs="Arial"/>
          <w:sz w:val="20"/>
          <w:szCs w:val="20"/>
        </w:rPr>
        <w:t>Integr</w:t>
      </w:r>
      <w:proofErr w:type="spellEnd"/>
      <w:r w:rsidR="00C41E32" w:rsidRPr="00CC1ABE">
        <w:rPr>
          <w:rFonts w:ascii="Arial" w:hAnsi="Arial" w:cs="Arial"/>
          <w:sz w:val="20"/>
          <w:szCs w:val="20"/>
        </w:rPr>
        <w:t xml:space="preserve"> Med,</w:t>
      </w:r>
      <w:r w:rsidRPr="00CC1ABE">
        <w:rPr>
          <w:rFonts w:ascii="Arial" w:hAnsi="Arial" w:cs="Arial"/>
          <w:sz w:val="20"/>
          <w:szCs w:val="20"/>
        </w:rPr>
        <w:t xml:space="preserve"> 2:1–10</w:t>
      </w:r>
    </w:p>
    <w:p w14:paraId="23DEF1FC" w14:textId="7CB40B93"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4.</w:t>
      </w:r>
      <w:r w:rsidRPr="00CC1ABE">
        <w:rPr>
          <w:rFonts w:ascii="Arial" w:hAnsi="Arial" w:cs="Arial"/>
          <w:sz w:val="20"/>
          <w:szCs w:val="20"/>
        </w:rPr>
        <w:tab/>
      </w:r>
      <w:proofErr w:type="spellStart"/>
      <w:r w:rsidRPr="00CC1ABE">
        <w:rPr>
          <w:rFonts w:ascii="Arial" w:hAnsi="Arial" w:cs="Arial"/>
          <w:sz w:val="20"/>
          <w:szCs w:val="20"/>
        </w:rPr>
        <w:t>Boldrin</w:t>
      </w:r>
      <w:proofErr w:type="spellEnd"/>
      <w:r w:rsidRPr="00CC1ABE">
        <w:rPr>
          <w:rFonts w:ascii="Arial" w:hAnsi="Arial" w:cs="Arial"/>
          <w:sz w:val="20"/>
          <w:szCs w:val="20"/>
        </w:rPr>
        <w:t xml:space="preserve"> PF, </w:t>
      </w:r>
      <w:proofErr w:type="spellStart"/>
      <w:r w:rsidRPr="00CC1ABE">
        <w:rPr>
          <w:rFonts w:ascii="Arial" w:hAnsi="Arial" w:cs="Arial"/>
          <w:sz w:val="20"/>
          <w:szCs w:val="20"/>
        </w:rPr>
        <w:t>Faquin</w:t>
      </w:r>
      <w:proofErr w:type="spellEnd"/>
      <w:r w:rsidRPr="00CC1ABE">
        <w:rPr>
          <w:rFonts w:ascii="Arial" w:hAnsi="Arial" w:cs="Arial"/>
          <w:sz w:val="20"/>
          <w:szCs w:val="20"/>
        </w:rPr>
        <w:t xml:space="preserve"> V, Ramos SJ, Guilherme LRG, Bastos CEA, Carvalho GS, et al. </w:t>
      </w:r>
      <w:r w:rsidR="00C41E32" w:rsidRPr="00CC1ABE">
        <w:rPr>
          <w:rFonts w:ascii="Arial" w:hAnsi="Arial" w:cs="Arial"/>
          <w:sz w:val="20"/>
          <w:szCs w:val="20"/>
        </w:rPr>
        <w:t xml:space="preserve">2012. </w:t>
      </w:r>
      <w:proofErr w:type="spellStart"/>
      <w:r w:rsidRPr="00CC1ABE">
        <w:rPr>
          <w:rFonts w:ascii="Arial" w:hAnsi="Arial" w:cs="Arial"/>
          <w:sz w:val="20"/>
          <w:szCs w:val="20"/>
        </w:rPr>
        <w:t>Selenato</w:t>
      </w:r>
      <w:proofErr w:type="spellEnd"/>
      <w:r w:rsidRPr="00CC1ABE">
        <w:rPr>
          <w:rFonts w:ascii="Arial" w:hAnsi="Arial" w:cs="Arial"/>
          <w:sz w:val="20"/>
          <w:szCs w:val="20"/>
        </w:rPr>
        <w:t xml:space="preserve"> e </w:t>
      </w:r>
      <w:proofErr w:type="spellStart"/>
      <w:r w:rsidRPr="00CC1ABE">
        <w:rPr>
          <w:rFonts w:ascii="Arial" w:hAnsi="Arial" w:cs="Arial"/>
          <w:sz w:val="20"/>
          <w:szCs w:val="20"/>
        </w:rPr>
        <w:t>selenito</w:t>
      </w:r>
      <w:proofErr w:type="spellEnd"/>
      <w:r w:rsidRPr="00CC1ABE">
        <w:rPr>
          <w:rFonts w:ascii="Arial" w:hAnsi="Arial" w:cs="Arial"/>
          <w:sz w:val="20"/>
          <w:szCs w:val="20"/>
        </w:rPr>
        <w:t xml:space="preserve"> </w:t>
      </w:r>
      <w:proofErr w:type="spellStart"/>
      <w:r w:rsidRPr="00CC1ABE">
        <w:rPr>
          <w:rFonts w:ascii="Arial" w:hAnsi="Arial" w:cs="Arial"/>
          <w:sz w:val="20"/>
          <w:szCs w:val="20"/>
        </w:rPr>
        <w:t>na</w:t>
      </w:r>
      <w:proofErr w:type="spellEnd"/>
      <w:r w:rsidRPr="00CC1ABE">
        <w:rPr>
          <w:rFonts w:ascii="Arial" w:hAnsi="Arial" w:cs="Arial"/>
          <w:sz w:val="20"/>
          <w:szCs w:val="20"/>
        </w:rPr>
        <w:t xml:space="preserve"> </w:t>
      </w:r>
      <w:proofErr w:type="spellStart"/>
      <w:r w:rsidRPr="00CC1ABE">
        <w:rPr>
          <w:rFonts w:ascii="Arial" w:hAnsi="Arial" w:cs="Arial"/>
          <w:sz w:val="20"/>
          <w:szCs w:val="20"/>
        </w:rPr>
        <w:t>produção</w:t>
      </w:r>
      <w:proofErr w:type="spellEnd"/>
      <w:r w:rsidRPr="00CC1ABE">
        <w:rPr>
          <w:rFonts w:ascii="Arial" w:hAnsi="Arial" w:cs="Arial"/>
          <w:sz w:val="20"/>
          <w:szCs w:val="20"/>
        </w:rPr>
        <w:t xml:space="preserve"> e </w:t>
      </w:r>
      <w:proofErr w:type="spellStart"/>
      <w:r w:rsidRPr="00CC1ABE">
        <w:rPr>
          <w:rFonts w:ascii="Arial" w:hAnsi="Arial" w:cs="Arial"/>
          <w:sz w:val="20"/>
          <w:szCs w:val="20"/>
        </w:rPr>
        <w:t>biofortificação</w:t>
      </w:r>
      <w:proofErr w:type="spellEnd"/>
      <w:r w:rsidRPr="00CC1ABE">
        <w:rPr>
          <w:rFonts w:ascii="Arial" w:hAnsi="Arial" w:cs="Arial"/>
          <w:sz w:val="20"/>
          <w:szCs w:val="20"/>
        </w:rPr>
        <w:t xml:space="preserve"> </w:t>
      </w:r>
      <w:proofErr w:type="spellStart"/>
      <w:r w:rsidRPr="00CC1ABE">
        <w:rPr>
          <w:rFonts w:ascii="Arial" w:hAnsi="Arial" w:cs="Arial"/>
          <w:sz w:val="20"/>
          <w:szCs w:val="20"/>
        </w:rPr>
        <w:t>agronômica</w:t>
      </w:r>
      <w:proofErr w:type="spellEnd"/>
      <w:r w:rsidRPr="00CC1ABE">
        <w:rPr>
          <w:rFonts w:ascii="Arial" w:hAnsi="Arial" w:cs="Arial"/>
          <w:sz w:val="20"/>
          <w:szCs w:val="20"/>
        </w:rPr>
        <w:t xml:space="preserve"> com </w:t>
      </w:r>
      <w:proofErr w:type="spellStart"/>
      <w:r w:rsidRPr="00CC1ABE">
        <w:rPr>
          <w:rFonts w:ascii="Arial" w:hAnsi="Arial" w:cs="Arial"/>
          <w:sz w:val="20"/>
          <w:szCs w:val="20"/>
        </w:rPr>
        <w:t>selênio</w:t>
      </w:r>
      <w:proofErr w:type="spellEnd"/>
      <w:r w:rsidRPr="00CC1ABE">
        <w:rPr>
          <w:rFonts w:ascii="Arial" w:hAnsi="Arial" w:cs="Arial"/>
          <w:sz w:val="20"/>
          <w:szCs w:val="20"/>
        </w:rPr>
        <w:t xml:space="preserve"> </w:t>
      </w:r>
      <w:proofErr w:type="spellStart"/>
      <w:r w:rsidRPr="00CC1ABE">
        <w:rPr>
          <w:rFonts w:ascii="Arial" w:hAnsi="Arial" w:cs="Arial"/>
          <w:sz w:val="20"/>
          <w:szCs w:val="20"/>
        </w:rPr>
        <w:t>em</w:t>
      </w:r>
      <w:proofErr w:type="spellEnd"/>
      <w:r w:rsidRPr="00CC1ABE">
        <w:rPr>
          <w:rFonts w:ascii="Arial" w:hAnsi="Arial" w:cs="Arial"/>
          <w:sz w:val="20"/>
          <w:szCs w:val="20"/>
        </w:rPr>
        <w:t xml:space="preserve"> arr</w:t>
      </w:r>
      <w:r w:rsidR="00C41E32" w:rsidRPr="00CC1ABE">
        <w:rPr>
          <w:rFonts w:ascii="Arial" w:hAnsi="Arial" w:cs="Arial"/>
          <w:sz w:val="20"/>
          <w:szCs w:val="20"/>
        </w:rPr>
        <w:t xml:space="preserve">oz. </w:t>
      </w:r>
      <w:proofErr w:type="spellStart"/>
      <w:r w:rsidR="00C41E32" w:rsidRPr="00CC1ABE">
        <w:rPr>
          <w:rFonts w:ascii="Arial" w:hAnsi="Arial" w:cs="Arial"/>
          <w:sz w:val="20"/>
          <w:szCs w:val="20"/>
        </w:rPr>
        <w:t>Pesqui</w:t>
      </w:r>
      <w:proofErr w:type="spellEnd"/>
      <w:r w:rsidR="00C41E32" w:rsidRPr="00CC1ABE">
        <w:rPr>
          <w:rFonts w:ascii="Arial" w:hAnsi="Arial" w:cs="Arial"/>
          <w:sz w:val="20"/>
          <w:szCs w:val="20"/>
        </w:rPr>
        <w:t xml:space="preserve"> </w:t>
      </w:r>
      <w:proofErr w:type="spellStart"/>
      <w:r w:rsidR="00C41E32" w:rsidRPr="00CC1ABE">
        <w:rPr>
          <w:rFonts w:ascii="Arial" w:hAnsi="Arial" w:cs="Arial"/>
          <w:sz w:val="20"/>
          <w:szCs w:val="20"/>
        </w:rPr>
        <w:t>Agropecu</w:t>
      </w:r>
      <w:proofErr w:type="spellEnd"/>
      <w:r w:rsidR="00C41E32" w:rsidRPr="00CC1ABE">
        <w:rPr>
          <w:rFonts w:ascii="Arial" w:hAnsi="Arial" w:cs="Arial"/>
          <w:sz w:val="20"/>
          <w:szCs w:val="20"/>
        </w:rPr>
        <w:t xml:space="preserve"> Bras,</w:t>
      </w:r>
      <w:r w:rsidRPr="00CC1ABE">
        <w:rPr>
          <w:rFonts w:ascii="Arial" w:hAnsi="Arial" w:cs="Arial"/>
          <w:sz w:val="20"/>
          <w:szCs w:val="20"/>
        </w:rPr>
        <w:t xml:space="preserve"> 47:831–7.</w:t>
      </w:r>
    </w:p>
    <w:p w14:paraId="3AF61302"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5.</w:t>
      </w:r>
      <w:r w:rsidRPr="00CC1ABE">
        <w:rPr>
          <w:rFonts w:ascii="Arial" w:hAnsi="Arial" w:cs="Arial"/>
          <w:sz w:val="20"/>
          <w:szCs w:val="20"/>
        </w:rPr>
        <w:tab/>
        <w:t>Borg, S., Brinch-Pedersen, H., Tauris, B., Holm, P. B., 2009. Iron transport, deposition and bioavailability in the wheat and barley grain. Plant and Soil 325(1), 15–24.</w:t>
      </w:r>
    </w:p>
    <w:p w14:paraId="0D4411FD"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6.</w:t>
      </w:r>
      <w:r w:rsidRPr="00CC1ABE">
        <w:rPr>
          <w:rFonts w:ascii="Arial" w:hAnsi="Arial" w:cs="Arial"/>
          <w:sz w:val="20"/>
          <w:szCs w:val="20"/>
        </w:rPr>
        <w:tab/>
        <w:t xml:space="preserve">Boukar, O., </w:t>
      </w:r>
      <w:proofErr w:type="spellStart"/>
      <w:r w:rsidRPr="00CC1ABE">
        <w:rPr>
          <w:rFonts w:ascii="Arial" w:hAnsi="Arial" w:cs="Arial"/>
          <w:sz w:val="20"/>
          <w:szCs w:val="20"/>
        </w:rPr>
        <w:t>Massawe</w:t>
      </w:r>
      <w:proofErr w:type="spellEnd"/>
      <w:r w:rsidRPr="00CC1ABE">
        <w:rPr>
          <w:rFonts w:ascii="Arial" w:hAnsi="Arial" w:cs="Arial"/>
          <w:sz w:val="20"/>
          <w:szCs w:val="20"/>
        </w:rPr>
        <w:t xml:space="preserve">, F., Muranaka, S., Franco, J., </w:t>
      </w:r>
      <w:proofErr w:type="spellStart"/>
      <w:r w:rsidRPr="00CC1ABE">
        <w:rPr>
          <w:rFonts w:ascii="Arial" w:hAnsi="Arial" w:cs="Arial"/>
          <w:sz w:val="20"/>
          <w:szCs w:val="20"/>
        </w:rPr>
        <w:t>MaziyaDixon</w:t>
      </w:r>
      <w:proofErr w:type="spellEnd"/>
      <w:r w:rsidRPr="00CC1ABE">
        <w:rPr>
          <w:rFonts w:ascii="Arial" w:hAnsi="Arial" w:cs="Arial"/>
          <w:sz w:val="20"/>
          <w:szCs w:val="20"/>
        </w:rPr>
        <w:t xml:space="preserve">, B., Singh, B., </w:t>
      </w:r>
      <w:proofErr w:type="spellStart"/>
      <w:r w:rsidRPr="00CC1ABE">
        <w:rPr>
          <w:rFonts w:ascii="Arial" w:hAnsi="Arial" w:cs="Arial"/>
          <w:sz w:val="20"/>
          <w:szCs w:val="20"/>
        </w:rPr>
        <w:t>Fatokun</w:t>
      </w:r>
      <w:proofErr w:type="spellEnd"/>
      <w:r w:rsidRPr="00CC1ABE">
        <w:rPr>
          <w:rFonts w:ascii="Arial" w:hAnsi="Arial" w:cs="Arial"/>
          <w:sz w:val="20"/>
          <w:szCs w:val="20"/>
        </w:rPr>
        <w:t>, C., 2011. Evaluation of cowpea germplasm lines for protein and mineral concentrations in grains. Plant Genetic Resources 9(4), 515–522.</w:t>
      </w:r>
    </w:p>
    <w:p w14:paraId="0772DDB9" w14:textId="599B2AF5"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7.</w:t>
      </w:r>
      <w:r w:rsidRPr="00CC1ABE">
        <w:rPr>
          <w:rFonts w:ascii="Arial" w:hAnsi="Arial" w:cs="Arial"/>
          <w:sz w:val="20"/>
          <w:szCs w:val="20"/>
        </w:rPr>
        <w:tab/>
      </w:r>
      <w:proofErr w:type="spellStart"/>
      <w:r w:rsidRPr="00CC1ABE">
        <w:rPr>
          <w:rFonts w:ascii="Arial" w:hAnsi="Arial" w:cs="Arial"/>
          <w:sz w:val="20"/>
          <w:szCs w:val="20"/>
        </w:rPr>
        <w:t>Buturi</w:t>
      </w:r>
      <w:proofErr w:type="spellEnd"/>
      <w:r w:rsidRPr="00CC1ABE">
        <w:rPr>
          <w:rFonts w:ascii="Arial" w:hAnsi="Arial" w:cs="Arial"/>
          <w:sz w:val="20"/>
          <w:szCs w:val="20"/>
        </w:rPr>
        <w:t xml:space="preserve"> CV, Mauro RP, Fogliano V, Leonardi C, Giuffrida F. </w:t>
      </w:r>
      <w:r w:rsidR="00C41E32" w:rsidRPr="00CC1ABE">
        <w:rPr>
          <w:rFonts w:ascii="Arial" w:hAnsi="Arial" w:cs="Arial"/>
          <w:sz w:val="20"/>
          <w:szCs w:val="20"/>
        </w:rPr>
        <w:t xml:space="preserve">2012, </w:t>
      </w:r>
      <w:r w:rsidRPr="00CC1ABE">
        <w:rPr>
          <w:rFonts w:ascii="Arial" w:hAnsi="Arial" w:cs="Arial"/>
          <w:sz w:val="20"/>
          <w:szCs w:val="20"/>
        </w:rPr>
        <w:t>Mineral biofortification of vegetables as a tool to i</w:t>
      </w:r>
      <w:r w:rsidR="00C41E32" w:rsidRPr="00CC1ABE">
        <w:rPr>
          <w:rFonts w:ascii="Arial" w:hAnsi="Arial" w:cs="Arial"/>
          <w:sz w:val="20"/>
          <w:szCs w:val="20"/>
        </w:rPr>
        <w:t>mprove human diet. Foods,</w:t>
      </w:r>
      <w:r w:rsidRPr="00CC1ABE">
        <w:rPr>
          <w:rFonts w:ascii="Arial" w:hAnsi="Arial" w:cs="Arial"/>
          <w:sz w:val="20"/>
          <w:szCs w:val="20"/>
        </w:rPr>
        <w:t xml:space="preserve"> 10:223</w:t>
      </w:r>
    </w:p>
    <w:p w14:paraId="5CB0A845" w14:textId="3D920CD0"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8.</w:t>
      </w:r>
      <w:r w:rsidRPr="00CC1ABE">
        <w:rPr>
          <w:rFonts w:ascii="Arial" w:hAnsi="Arial" w:cs="Arial"/>
          <w:sz w:val="20"/>
          <w:szCs w:val="20"/>
        </w:rPr>
        <w:tab/>
        <w:t>Cashman KD. Vitamin D</w:t>
      </w:r>
      <w:r w:rsidR="00C41E32" w:rsidRPr="00CC1ABE">
        <w:rPr>
          <w:rFonts w:ascii="Arial" w:hAnsi="Arial" w:cs="Arial"/>
          <w:sz w:val="20"/>
          <w:szCs w:val="20"/>
        </w:rPr>
        <w:t>, 2018.</w:t>
      </w:r>
      <w:r w:rsidRPr="00CC1ABE">
        <w:rPr>
          <w:rFonts w:ascii="Arial" w:hAnsi="Arial" w:cs="Arial"/>
          <w:sz w:val="20"/>
          <w:szCs w:val="20"/>
        </w:rPr>
        <w:t xml:space="preserve"> </w:t>
      </w:r>
      <w:r w:rsidR="00C41E32" w:rsidRPr="00CC1ABE">
        <w:rPr>
          <w:rFonts w:ascii="Arial" w:hAnsi="Arial" w:cs="Arial"/>
          <w:sz w:val="20"/>
          <w:szCs w:val="20"/>
        </w:rPr>
        <w:t>D</w:t>
      </w:r>
      <w:r w:rsidRPr="00CC1ABE">
        <w:rPr>
          <w:rFonts w:ascii="Arial" w:hAnsi="Arial" w:cs="Arial"/>
          <w:sz w:val="20"/>
          <w:szCs w:val="20"/>
        </w:rPr>
        <w:t xml:space="preserve">eficiency: a public health issue in high- and </w:t>
      </w:r>
      <w:proofErr w:type="spellStart"/>
      <w:r w:rsidRPr="00CC1ABE">
        <w:rPr>
          <w:rFonts w:ascii="Arial" w:hAnsi="Arial" w:cs="Arial"/>
          <w:sz w:val="20"/>
          <w:szCs w:val="20"/>
        </w:rPr>
        <w:t>lowincome</w:t>
      </w:r>
      <w:proofErr w:type="spellEnd"/>
      <w:r w:rsidRPr="00CC1ABE">
        <w:rPr>
          <w:rFonts w:ascii="Arial" w:hAnsi="Arial" w:cs="Arial"/>
          <w:sz w:val="20"/>
          <w:szCs w:val="20"/>
        </w:rPr>
        <w:t xml:space="preserve"> countries or </w:t>
      </w:r>
      <w:r w:rsidR="00C41E32" w:rsidRPr="00CC1ABE">
        <w:rPr>
          <w:rFonts w:ascii="Arial" w:hAnsi="Arial" w:cs="Arial"/>
          <w:sz w:val="20"/>
          <w:szCs w:val="20"/>
        </w:rPr>
        <w:t xml:space="preserve">just hype? World Rev </w:t>
      </w:r>
      <w:proofErr w:type="spellStart"/>
      <w:r w:rsidR="00C41E32" w:rsidRPr="00CC1ABE">
        <w:rPr>
          <w:rFonts w:ascii="Arial" w:hAnsi="Arial" w:cs="Arial"/>
          <w:sz w:val="20"/>
          <w:szCs w:val="20"/>
        </w:rPr>
        <w:t>Nutr</w:t>
      </w:r>
      <w:proofErr w:type="spellEnd"/>
      <w:r w:rsidR="00C41E32" w:rsidRPr="00CC1ABE">
        <w:rPr>
          <w:rFonts w:ascii="Arial" w:hAnsi="Arial" w:cs="Arial"/>
          <w:sz w:val="20"/>
          <w:szCs w:val="20"/>
        </w:rPr>
        <w:t xml:space="preserve"> Diet, </w:t>
      </w:r>
      <w:r w:rsidRPr="00CC1ABE">
        <w:rPr>
          <w:rFonts w:ascii="Arial" w:hAnsi="Arial" w:cs="Arial"/>
          <w:sz w:val="20"/>
          <w:szCs w:val="20"/>
        </w:rPr>
        <w:t>118:206–14</w:t>
      </w:r>
    </w:p>
    <w:p w14:paraId="00344366" w14:textId="3B0AD08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9.</w:t>
      </w:r>
      <w:r w:rsidRPr="00CC1ABE">
        <w:rPr>
          <w:rFonts w:ascii="Arial" w:hAnsi="Arial" w:cs="Arial"/>
          <w:sz w:val="20"/>
          <w:szCs w:val="20"/>
        </w:rPr>
        <w:tab/>
        <w:t xml:space="preserve">Chandra M, Kadam P, Shaikh C, Geethanjali D. </w:t>
      </w:r>
      <w:r w:rsidR="00C41E32" w:rsidRPr="00CC1ABE">
        <w:rPr>
          <w:rFonts w:ascii="Arial" w:hAnsi="Arial" w:cs="Arial"/>
          <w:sz w:val="20"/>
          <w:szCs w:val="20"/>
        </w:rPr>
        <w:t xml:space="preserve">2023. </w:t>
      </w:r>
      <w:r w:rsidRPr="00CC1ABE">
        <w:rPr>
          <w:rFonts w:ascii="Arial" w:hAnsi="Arial" w:cs="Arial"/>
          <w:sz w:val="20"/>
          <w:szCs w:val="20"/>
        </w:rPr>
        <w:t xml:space="preserve">Role of Nano-particles in agronomic biofortification </w:t>
      </w:r>
      <w:proofErr w:type="gramStart"/>
      <w:r w:rsidRPr="00CC1ABE">
        <w:rPr>
          <w:rFonts w:ascii="Arial" w:hAnsi="Arial" w:cs="Arial"/>
          <w:sz w:val="20"/>
          <w:szCs w:val="20"/>
        </w:rPr>
        <w:t>In</w:t>
      </w:r>
      <w:proofErr w:type="gramEnd"/>
      <w:r w:rsidRPr="00CC1ABE">
        <w:rPr>
          <w:rFonts w:ascii="Arial" w:hAnsi="Arial" w:cs="Arial"/>
          <w:sz w:val="20"/>
          <w:szCs w:val="20"/>
        </w:rPr>
        <w:t>: Sustainable agriculture and food security. Chapter 5 Deepika Book Agen</w:t>
      </w:r>
      <w:r w:rsidR="00C41E32" w:rsidRPr="00CC1ABE">
        <w:rPr>
          <w:rFonts w:ascii="Arial" w:hAnsi="Arial" w:cs="Arial"/>
          <w:sz w:val="20"/>
          <w:szCs w:val="20"/>
        </w:rPr>
        <w:t xml:space="preserve">cy, </w:t>
      </w:r>
      <w:r w:rsidRPr="00CC1ABE">
        <w:rPr>
          <w:rFonts w:ascii="Arial" w:hAnsi="Arial" w:cs="Arial"/>
          <w:sz w:val="20"/>
          <w:szCs w:val="20"/>
        </w:rPr>
        <w:t>89–4</w:t>
      </w:r>
    </w:p>
    <w:p w14:paraId="700A5BD8"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lastRenderedPageBreak/>
        <w:t>10.</w:t>
      </w:r>
      <w:r w:rsidRPr="00CC1ABE">
        <w:rPr>
          <w:rFonts w:ascii="Arial" w:hAnsi="Arial" w:cs="Arial"/>
          <w:sz w:val="20"/>
          <w:szCs w:val="20"/>
        </w:rPr>
        <w:tab/>
        <w:t xml:space="preserve">Chaudhary, J., Khatri, P., Singla, P., Kumawat, S., </w:t>
      </w:r>
      <w:proofErr w:type="spellStart"/>
      <w:proofErr w:type="gramStart"/>
      <w:r w:rsidRPr="00CC1ABE">
        <w:rPr>
          <w:rFonts w:ascii="Arial" w:hAnsi="Arial" w:cs="Arial"/>
          <w:sz w:val="20"/>
          <w:szCs w:val="20"/>
        </w:rPr>
        <w:t>Kumar,i</w:t>
      </w:r>
      <w:proofErr w:type="spellEnd"/>
      <w:proofErr w:type="gramEnd"/>
      <w:r w:rsidRPr="00CC1ABE">
        <w:rPr>
          <w:rFonts w:ascii="Arial" w:hAnsi="Arial" w:cs="Arial"/>
          <w:sz w:val="20"/>
          <w:szCs w:val="20"/>
        </w:rPr>
        <w:t xml:space="preserve"> A., Vikram, A., Jindal, S.K., Kardile, H., Kumar, R., Sonah, H., Deshmukh, R., 2019. Advances in omics approaches for abiotic stress tolerance in tomato. Biology 8(4), 90.</w:t>
      </w:r>
    </w:p>
    <w:p w14:paraId="58726BB9" w14:textId="78B27899"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11.</w:t>
      </w:r>
      <w:r w:rsidRPr="00CC1ABE">
        <w:rPr>
          <w:rFonts w:ascii="Arial" w:hAnsi="Arial" w:cs="Arial"/>
          <w:sz w:val="20"/>
          <w:szCs w:val="20"/>
        </w:rPr>
        <w:tab/>
        <w:t>Garg M, Sharma N, Sharma S, Kapoor</w:t>
      </w:r>
      <w:r w:rsidR="00C41E32" w:rsidRPr="00CC1ABE">
        <w:rPr>
          <w:rFonts w:ascii="Arial" w:hAnsi="Arial" w:cs="Arial"/>
          <w:sz w:val="20"/>
          <w:szCs w:val="20"/>
        </w:rPr>
        <w:t xml:space="preserve"> P, Kumar A, Chunduri V, et al., 2018. </w:t>
      </w:r>
      <w:r w:rsidRPr="00CC1ABE">
        <w:rPr>
          <w:rFonts w:ascii="Arial" w:hAnsi="Arial" w:cs="Arial"/>
          <w:sz w:val="20"/>
          <w:szCs w:val="20"/>
        </w:rPr>
        <w:t>Biofortified crops generated by breeding, agronomy, and transgenic approaches are improving lives of millions of people arou</w:t>
      </w:r>
      <w:r w:rsidR="00C41E32" w:rsidRPr="00CC1ABE">
        <w:rPr>
          <w:rFonts w:ascii="Arial" w:hAnsi="Arial" w:cs="Arial"/>
          <w:sz w:val="20"/>
          <w:szCs w:val="20"/>
        </w:rPr>
        <w:t xml:space="preserve">nd the world. Front </w:t>
      </w:r>
      <w:proofErr w:type="spellStart"/>
      <w:r w:rsidR="00C41E32" w:rsidRPr="00CC1ABE">
        <w:rPr>
          <w:rFonts w:ascii="Arial" w:hAnsi="Arial" w:cs="Arial"/>
          <w:sz w:val="20"/>
          <w:szCs w:val="20"/>
        </w:rPr>
        <w:t>Nutr</w:t>
      </w:r>
      <w:proofErr w:type="spellEnd"/>
      <w:r w:rsidR="00C41E32" w:rsidRPr="00CC1ABE">
        <w:rPr>
          <w:rFonts w:ascii="Arial" w:hAnsi="Arial" w:cs="Arial"/>
          <w:sz w:val="20"/>
          <w:szCs w:val="20"/>
        </w:rPr>
        <w:t>.</w:t>
      </w:r>
    </w:p>
    <w:p w14:paraId="389B82FB"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12.</w:t>
      </w:r>
      <w:r w:rsidRPr="00CC1ABE">
        <w:rPr>
          <w:rFonts w:ascii="Arial" w:hAnsi="Arial" w:cs="Arial"/>
          <w:sz w:val="20"/>
          <w:szCs w:val="20"/>
        </w:rPr>
        <w:tab/>
        <w:t>Gillespie, S., Hodge, J., Yosef, S., Pandya-Lorch, R., 2016. Nourishing millions: stories of change in nutrition. (Washington, DC: International Food Policy Research Institute).</w:t>
      </w:r>
    </w:p>
    <w:p w14:paraId="40FCAACE"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13.</w:t>
      </w:r>
      <w:r w:rsidRPr="00CC1ABE">
        <w:rPr>
          <w:rFonts w:ascii="Arial" w:hAnsi="Arial" w:cs="Arial"/>
          <w:sz w:val="20"/>
          <w:szCs w:val="20"/>
        </w:rPr>
        <w:tab/>
        <w:t xml:space="preserve">Gomathi, M., Irene, V.P., </w:t>
      </w:r>
      <w:proofErr w:type="spellStart"/>
      <w:r w:rsidRPr="00CC1ABE">
        <w:rPr>
          <w:rFonts w:ascii="Arial" w:hAnsi="Arial" w:cs="Arial"/>
          <w:sz w:val="20"/>
          <w:szCs w:val="20"/>
        </w:rPr>
        <w:t>Vethamoni</w:t>
      </w:r>
      <w:proofErr w:type="spellEnd"/>
      <w:r w:rsidRPr="00CC1ABE">
        <w:rPr>
          <w:rFonts w:ascii="Arial" w:hAnsi="Arial" w:cs="Arial"/>
          <w:sz w:val="20"/>
          <w:szCs w:val="20"/>
        </w:rPr>
        <w:t>, I., Gopinath, P., 2017. Biofortification in vegetable crops- a review. Chemical Science Review Letters 6(22), 1227–1237.</w:t>
      </w:r>
    </w:p>
    <w:p w14:paraId="38316F96"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14.</w:t>
      </w:r>
      <w:r w:rsidRPr="00CC1ABE">
        <w:rPr>
          <w:rFonts w:ascii="Arial" w:hAnsi="Arial" w:cs="Arial"/>
          <w:sz w:val="20"/>
          <w:szCs w:val="20"/>
        </w:rPr>
        <w:tab/>
        <w:t>Graham, R.D., Welch, R.M., Bouis, H.E., 2001. Addressing micronutrient malnutrition through enhancing the nutritional quality of staple foods: principles, perspectives and knowledge gaps. Advance Agronomy 70, 77–142.</w:t>
      </w:r>
    </w:p>
    <w:p w14:paraId="5B92A3A9" w14:textId="38558F6D"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15.</w:t>
      </w:r>
      <w:r w:rsidRPr="00CC1ABE">
        <w:rPr>
          <w:rFonts w:ascii="Arial" w:hAnsi="Arial" w:cs="Arial"/>
          <w:sz w:val="20"/>
          <w:szCs w:val="20"/>
        </w:rPr>
        <w:tab/>
      </w:r>
      <w:proofErr w:type="spellStart"/>
      <w:r w:rsidRPr="00CC1ABE">
        <w:rPr>
          <w:rFonts w:ascii="Arial" w:hAnsi="Arial" w:cs="Arial"/>
          <w:sz w:val="20"/>
          <w:szCs w:val="20"/>
        </w:rPr>
        <w:t>Gre</w:t>
      </w:r>
      <w:r w:rsidR="00C41E32" w:rsidRPr="00CC1ABE">
        <w:rPr>
          <w:rFonts w:ascii="Arial" w:hAnsi="Arial" w:cs="Arial"/>
          <w:sz w:val="20"/>
          <w:szCs w:val="20"/>
        </w:rPr>
        <w:t>bmer</w:t>
      </w:r>
      <w:proofErr w:type="spellEnd"/>
      <w:r w:rsidR="00C41E32" w:rsidRPr="00CC1ABE">
        <w:rPr>
          <w:rFonts w:ascii="Arial" w:hAnsi="Arial" w:cs="Arial"/>
          <w:sz w:val="20"/>
          <w:szCs w:val="20"/>
        </w:rPr>
        <w:t xml:space="preserve"> K, Bernstein J, Hossain N., 2016, </w:t>
      </w:r>
      <w:r w:rsidRPr="00CC1ABE">
        <w:rPr>
          <w:rFonts w:ascii="Arial" w:hAnsi="Arial" w:cs="Arial"/>
          <w:sz w:val="20"/>
          <w:szCs w:val="20"/>
        </w:rPr>
        <w:t xml:space="preserve">Global Hunger Index: The Inequalities of Hunger. Washington, DC: International Food </w:t>
      </w:r>
      <w:r w:rsidR="00C41E32" w:rsidRPr="00CC1ABE">
        <w:rPr>
          <w:rFonts w:ascii="Arial" w:hAnsi="Arial" w:cs="Arial"/>
          <w:sz w:val="20"/>
          <w:szCs w:val="20"/>
        </w:rPr>
        <w:t>Policy Research Institute,</w:t>
      </w:r>
      <w:r w:rsidRPr="00CC1ABE">
        <w:rPr>
          <w:rFonts w:ascii="Arial" w:hAnsi="Arial" w:cs="Arial"/>
          <w:sz w:val="20"/>
          <w:szCs w:val="20"/>
        </w:rPr>
        <w:t xml:space="preserve"> 46 p.</w:t>
      </w:r>
    </w:p>
    <w:p w14:paraId="239D5FE4"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16.</w:t>
      </w:r>
      <w:r w:rsidRPr="00CC1ABE">
        <w:rPr>
          <w:rFonts w:ascii="Arial" w:hAnsi="Arial" w:cs="Arial"/>
          <w:sz w:val="20"/>
          <w:szCs w:val="20"/>
        </w:rPr>
        <w:tab/>
        <w:t xml:space="preserve">Gregorio., Glen, B., </w:t>
      </w:r>
      <w:proofErr w:type="spellStart"/>
      <w:r w:rsidRPr="00CC1ABE">
        <w:rPr>
          <w:rFonts w:ascii="Arial" w:hAnsi="Arial" w:cs="Arial"/>
          <w:sz w:val="20"/>
          <w:szCs w:val="20"/>
        </w:rPr>
        <w:t>Senadhira</w:t>
      </w:r>
      <w:proofErr w:type="spellEnd"/>
      <w:r w:rsidRPr="00CC1ABE">
        <w:rPr>
          <w:rFonts w:ascii="Arial" w:hAnsi="Arial" w:cs="Arial"/>
          <w:sz w:val="20"/>
          <w:szCs w:val="20"/>
        </w:rPr>
        <w:t>, D., Htut, H., Graham, R.D., 2000. Breeding for trace mineral density in rice. Food and Nutrition Bulletin 21(4), 382–386.</w:t>
      </w:r>
    </w:p>
    <w:p w14:paraId="67746AF8"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17.</w:t>
      </w:r>
      <w:r w:rsidRPr="00CC1ABE">
        <w:rPr>
          <w:rFonts w:ascii="Arial" w:hAnsi="Arial" w:cs="Arial"/>
          <w:sz w:val="20"/>
          <w:szCs w:val="20"/>
        </w:rPr>
        <w:tab/>
        <w:t>Hefferon, K.L., 2016. Can biofortified crops help attain food security. Current Molecular Biology Report 2(4), 180–185</w:t>
      </w:r>
    </w:p>
    <w:p w14:paraId="78388E52"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18.</w:t>
      </w:r>
      <w:r w:rsidRPr="00CC1ABE">
        <w:rPr>
          <w:rFonts w:ascii="Arial" w:hAnsi="Arial" w:cs="Arial"/>
          <w:sz w:val="20"/>
          <w:szCs w:val="20"/>
        </w:rPr>
        <w:tab/>
        <w:t>Hirschi, K.D., 2009. Nutrient biofortification of food crops. Annual Review of Nutrition 29, 401–421.</w:t>
      </w:r>
    </w:p>
    <w:p w14:paraId="2CB8E503"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19.</w:t>
      </w:r>
      <w:r w:rsidRPr="00CC1ABE">
        <w:rPr>
          <w:rFonts w:ascii="Arial" w:hAnsi="Arial" w:cs="Arial"/>
          <w:sz w:val="20"/>
          <w:szCs w:val="20"/>
        </w:rPr>
        <w:tab/>
        <w:t xml:space="preserve">Jena AK, Bora G, </w:t>
      </w:r>
      <w:proofErr w:type="spellStart"/>
      <w:r w:rsidRPr="00CC1ABE">
        <w:rPr>
          <w:rFonts w:ascii="Arial" w:hAnsi="Arial" w:cs="Arial"/>
          <w:sz w:val="20"/>
          <w:szCs w:val="20"/>
        </w:rPr>
        <w:t>SharmaP</w:t>
      </w:r>
      <w:proofErr w:type="spellEnd"/>
      <w:r w:rsidRPr="00CC1ABE">
        <w:rPr>
          <w:rFonts w:ascii="Arial" w:hAnsi="Arial" w:cs="Arial"/>
          <w:sz w:val="20"/>
          <w:szCs w:val="20"/>
        </w:rPr>
        <w:t xml:space="preserve">, </w:t>
      </w:r>
      <w:proofErr w:type="spellStart"/>
      <w:r w:rsidRPr="00CC1ABE">
        <w:rPr>
          <w:rFonts w:ascii="Arial" w:hAnsi="Arial" w:cs="Arial"/>
          <w:sz w:val="20"/>
          <w:szCs w:val="20"/>
        </w:rPr>
        <w:t>Deuri</w:t>
      </w:r>
      <w:proofErr w:type="spellEnd"/>
      <w:r w:rsidRPr="00CC1ABE">
        <w:rPr>
          <w:rFonts w:ascii="Arial" w:hAnsi="Arial" w:cs="Arial"/>
          <w:sz w:val="20"/>
          <w:szCs w:val="20"/>
        </w:rPr>
        <w:t xml:space="preserve"> R and Singh SP. (2018). Biofortification of Vegetables. International Journal of Pure Applied Bioscience6: 205-212</w:t>
      </w:r>
    </w:p>
    <w:p w14:paraId="4C367C6E"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20.</w:t>
      </w:r>
      <w:r w:rsidRPr="00CC1ABE">
        <w:rPr>
          <w:rFonts w:ascii="Arial" w:hAnsi="Arial" w:cs="Arial"/>
          <w:sz w:val="20"/>
          <w:szCs w:val="20"/>
        </w:rPr>
        <w:tab/>
        <w:t>Kumar, R., Munshi, A.D., Saha, P., Behera, T.K., Lyngdoh, Y.A., Tomar, B.S., Bhanushree, N., 2021. Pusa Safed Baingan-1: A new brinjal variety. Indian Horticulture 66 (2), 29–31.</w:t>
      </w:r>
    </w:p>
    <w:p w14:paraId="615067B8"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21.</w:t>
      </w:r>
      <w:r w:rsidRPr="00CC1ABE">
        <w:rPr>
          <w:rFonts w:ascii="Arial" w:hAnsi="Arial" w:cs="Arial"/>
          <w:sz w:val="20"/>
          <w:szCs w:val="20"/>
        </w:rPr>
        <w:tab/>
        <w:t xml:space="preserve">Landini, M., </w:t>
      </w:r>
      <w:proofErr w:type="spellStart"/>
      <w:r w:rsidRPr="00CC1ABE">
        <w:rPr>
          <w:rFonts w:ascii="Arial" w:hAnsi="Arial" w:cs="Arial"/>
          <w:sz w:val="20"/>
          <w:szCs w:val="20"/>
        </w:rPr>
        <w:t>Gonzali</w:t>
      </w:r>
      <w:proofErr w:type="spellEnd"/>
      <w:r w:rsidRPr="00CC1ABE">
        <w:rPr>
          <w:rFonts w:ascii="Arial" w:hAnsi="Arial" w:cs="Arial"/>
          <w:sz w:val="20"/>
          <w:szCs w:val="20"/>
        </w:rPr>
        <w:t>, S., Perata, P., 2011. Iodine biofortification in tomato. Journal of Plant Nutrition and Soil Science 174(3), 480–486.</w:t>
      </w:r>
    </w:p>
    <w:p w14:paraId="64A7DCED"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22.</w:t>
      </w:r>
      <w:r w:rsidRPr="00CC1ABE">
        <w:rPr>
          <w:rFonts w:ascii="Arial" w:hAnsi="Arial" w:cs="Arial"/>
          <w:sz w:val="20"/>
          <w:szCs w:val="20"/>
        </w:rPr>
        <w:tab/>
        <w:t xml:space="preserve">Luthra, S.K., Gupta, V.K., Kumar, R., Rawal, S., Lal, M., Kumar, S., </w:t>
      </w:r>
      <w:proofErr w:type="spellStart"/>
      <w:r w:rsidRPr="00CC1ABE">
        <w:rPr>
          <w:rFonts w:ascii="Arial" w:hAnsi="Arial" w:cs="Arial"/>
          <w:sz w:val="20"/>
          <w:szCs w:val="20"/>
        </w:rPr>
        <w:t>Dalamu</w:t>
      </w:r>
      <w:proofErr w:type="spellEnd"/>
      <w:r w:rsidRPr="00CC1ABE">
        <w:rPr>
          <w:rFonts w:ascii="Arial" w:hAnsi="Arial" w:cs="Arial"/>
          <w:sz w:val="20"/>
          <w:szCs w:val="20"/>
        </w:rPr>
        <w:t xml:space="preserve">, Tiwari, J.K., </w:t>
      </w:r>
      <w:proofErr w:type="spellStart"/>
      <w:r w:rsidRPr="00CC1ABE">
        <w:rPr>
          <w:rFonts w:ascii="Arial" w:hAnsi="Arial" w:cs="Arial"/>
          <w:sz w:val="20"/>
          <w:szCs w:val="20"/>
        </w:rPr>
        <w:t>Raigond</w:t>
      </w:r>
      <w:proofErr w:type="spellEnd"/>
      <w:r w:rsidRPr="00CC1ABE">
        <w:rPr>
          <w:rFonts w:ascii="Arial" w:hAnsi="Arial" w:cs="Arial"/>
          <w:sz w:val="20"/>
          <w:szCs w:val="20"/>
        </w:rPr>
        <w:t>, P., Bandana, Kumar, V., Singh, B.P., Chakrabarti, S.K., 2020. Kufri Neelkanth: purple skin coloured speciality potato variety of India. Potato Journal 47 (1), 1–8.</w:t>
      </w:r>
    </w:p>
    <w:p w14:paraId="16D35D32" w14:textId="77323F92"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23.</w:t>
      </w:r>
      <w:r w:rsidRPr="00CC1ABE">
        <w:rPr>
          <w:rFonts w:ascii="Arial" w:hAnsi="Arial" w:cs="Arial"/>
          <w:sz w:val="20"/>
          <w:szCs w:val="20"/>
        </w:rPr>
        <w:tab/>
        <w:t>Medrano-Macías, J.; Leija-Martínez, P.; González-Morales, S.; Juárez-Maldo</w:t>
      </w:r>
      <w:r w:rsidR="00C41E32" w:rsidRPr="00CC1ABE">
        <w:rPr>
          <w:rFonts w:ascii="Arial" w:hAnsi="Arial" w:cs="Arial"/>
          <w:sz w:val="20"/>
          <w:szCs w:val="20"/>
        </w:rPr>
        <w:t xml:space="preserve">nado, A.; Benavides-Mendoza, A., 2016. </w:t>
      </w:r>
      <w:r w:rsidRPr="00CC1ABE">
        <w:rPr>
          <w:rFonts w:ascii="Arial" w:hAnsi="Arial" w:cs="Arial"/>
          <w:sz w:val="20"/>
          <w:szCs w:val="20"/>
        </w:rPr>
        <w:t xml:space="preserve">Use of iodine to biofortify and promote growth and stress tolerance </w:t>
      </w:r>
      <w:r w:rsidR="00C41E32" w:rsidRPr="00CC1ABE">
        <w:rPr>
          <w:rFonts w:ascii="Arial" w:hAnsi="Arial" w:cs="Arial"/>
          <w:sz w:val="20"/>
          <w:szCs w:val="20"/>
        </w:rPr>
        <w:t>in crops. Front. Plant Sci.</w:t>
      </w:r>
      <w:r w:rsidRPr="00CC1ABE">
        <w:rPr>
          <w:rFonts w:ascii="Arial" w:hAnsi="Arial" w:cs="Arial"/>
          <w:sz w:val="20"/>
          <w:szCs w:val="20"/>
        </w:rPr>
        <w:t>, 7, 1146.</w:t>
      </w:r>
    </w:p>
    <w:p w14:paraId="45AB0C9F"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lastRenderedPageBreak/>
        <w:t>24.</w:t>
      </w:r>
      <w:r w:rsidRPr="00CC1ABE">
        <w:rPr>
          <w:rFonts w:ascii="Arial" w:hAnsi="Arial" w:cs="Arial"/>
          <w:sz w:val="20"/>
          <w:szCs w:val="20"/>
        </w:rPr>
        <w:tab/>
        <w:t xml:space="preserve">Meenakshi, J.V., Johnson, N.L., </w:t>
      </w:r>
      <w:proofErr w:type="spellStart"/>
      <w:r w:rsidRPr="00CC1ABE">
        <w:rPr>
          <w:rFonts w:ascii="Arial" w:hAnsi="Arial" w:cs="Arial"/>
          <w:sz w:val="20"/>
          <w:szCs w:val="20"/>
        </w:rPr>
        <w:t>Manyong</w:t>
      </w:r>
      <w:proofErr w:type="spellEnd"/>
      <w:r w:rsidRPr="00CC1ABE">
        <w:rPr>
          <w:rFonts w:ascii="Arial" w:hAnsi="Arial" w:cs="Arial"/>
          <w:sz w:val="20"/>
          <w:szCs w:val="20"/>
        </w:rPr>
        <w:t xml:space="preserve">, V.M., DeGroote, H., </w:t>
      </w:r>
      <w:proofErr w:type="spellStart"/>
      <w:r w:rsidRPr="00CC1ABE">
        <w:rPr>
          <w:rFonts w:ascii="Arial" w:hAnsi="Arial" w:cs="Arial"/>
          <w:sz w:val="20"/>
          <w:szCs w:val="20"/>
        </w:rPr>
        <w:t>Javelosa</w:t>
      </w:r>
      <w:proofErr w:type="spellEnd"/>
      <w:r w:rsidRPr="00CC1ABE">
        <w:rPr>
          <w:rFonts w:ascii="Arial" w:hAnsi="Arial" w:cs="Arial"/>
          <w:sz w:val="20"/>
          <w:szCs w:val="20"/>
        </w:rPr>
        <w:t xml:space="preserve">, J., </w:t>
      </w:r>
      <w:proofErr w:type="spellStart"/>
      <w:r w:rsidRPr="00CC1ABE">
        <w:rPr>
          <w:rFonts w:ascii="Arial" w:hAnsi="Arial" w:cs="Arial"/>
          <w:sz w:val="20"/>
          <w:szCs w:val="20"/>
        </w:rPr>
        <w:t>Yanggen</w:t>
      </w:r>
      <w:proofErr w:type="spellEnd"/>
      <w:r w:rsidRPr="00CC1ABE">
        <w:rPr>
          <w:rFonts w:ascii="Arial" w:hAnsi="Arial" w:cs="Arial"/>
          <w:sz w:val="20"/>
          <w:szCs w:val="20"/>
        </w:rPr>
        <w:t xml:space="preserve">, D.R., </w:t>
      </w:r>
      <w:proofErr w:type="spellStart"/>
      <w:r w:rsidRPr="00CC1ABE">
        <w:rPr>
          <w:rFonts w:ascii="Arial" w:hAnsi="Arial" w:cs="Arial"/>
          <w:sz w:val="20"/>
          <w:szCs w:val="20"/>
        </w:rPr>
        <w:t>Naher</w:t>
      </w:r>
      <w:proofErr w:type="spellEnd"/>
      <w:r w:rsidRPr="00CC1ABE">
        <w:rPr>
          <w:rFonts w:ascii="Arial" w:hAnsi="Arial" w:cs="Arial"/>
          <w:sz w:val="20"/>
          <w:szCs w:val="20"/>
        </w:rPr>
        <w:t>, F., Gonzalez, C., Garcia, J., Meng, E., 2010. How cost-effective is biofortification in combating micronutrient malnutrition? An ex ante assessment. World Development 38(1), 64–75.</w:t>
      </w:r>
    </w:p>
    <w:p w14:paraId="4E101836"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25.</w:t>
      </w:r>
      <w:r w:rsidRPr="00CC1ABE">
        <w:rPr>
          <w:rFonts w:ascii="Arial" w:hAnsi="Arial" w:cs="Arial"/>
          <w:sz w:val="20"/>
          <w:szCs w:val="20"/>
        </w:rPr>
        <w:tab/>
      </w:r>
      <w:proofErr w:type="spellStart"/>
      <w:r w:rsidRPr="00CC1ABE">
        <w:rPr>
          <w:rFonts w:ascii="Arial" w:hAnsi="Arial" w:cs="Arial"/>
          <w:sz w:val="20"/>
          <w:szCs w:val="20"/>
        </w:rPr>
        <w:t>Muthayya</w:t>
      </w:r>
      <w:proofErr w:type="spellEnd"/>
      <w:r w:rsidRPr="00CC1ABE">
        <w:rPr>
          <w:rFonts w:ascii="Arial" w:hAnsi="Arial" w:cs="Arial"/>
          <w:sz w:val="20"/>
          <w:szCs w:val="20"/>
        </w:rPr>
        <w:t xml:space="preserve">, S., Rah, J.H., Sugimoto, J.D., </w:t>
      </w:r>
      <w:proofErr w:type="spellStart"/>
      <w:r w:rsidRPr="00CC1ABE">
        <w:rPr>
          <w:rFonts w:ascii="Arial" w:hAnsi="Arial" w:cs="Arial"/>
          <w:sz w:val="20"/>
          <w:szCs w:val="20"/>
        </w:rPr>
        <w:t>Roos</w:t>
      </w:r>
      <w:proofErr w:type="spellEnd"/>
      <w:r w:rsidRPr="00CC1ABE">
        <w:rPr>
          <w:rFonts w:ascii="Arial" w:hAnsi="Arial" w:cs="Arial"/>
          <w:sz w:val="20"/>
          <w:szCs w:val="20"/>
        </w:rPr>
        <w:t>, F.F., Kraemer, K., Black, R.E., 2013. The global hidden hunger indices and maps: an advocacy tool for action. Public Library of Science 8(6),</w:t>
      </w:r>
    </w:p>
    <w:p w14:paraId="5A7DB166"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26.</w:t>
      </w:r>
      <w:r w:rsidRPr="00CC1ABE">
        <w:rPr>
          <w:rFonts w:ascii="Arial" w:hAnsi="Arial" w:cs="Arial"/>
          <w:sz w:val="20"/>
          <w:szCs w:val="20"/>
        </w:rPr>
        <w:tab/>
        <w:t>NIH (National Institute of Health) Iron-fact sheet for health professionals. Available at: https://ods.od.nih.gov/factsheets/Iron-HealthProfessional/ (2022).</w:t>
      </w:r>
    </w:p>
    <w:p w14:paraId="230B7178"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27.</w:t>
      </w:r>
      <w:r w:rsidRPr="00CC1ABE">
        <w:rPr>
          <w:rFonts w:ascii="Arial" w:hAnsi="Arial" w:cs="Arial"/>
          <w:sz w:val="20"/>
          <w:szCs w:val="20"/>
        </w:rPr>
        <w:tab/>
        <w:t xml:space="preserve">Olson R, Gavin-Smith B, </w:t>
      </w:r>
      <w:proofErr w:type="spellStart"/>
      <w:r w:rsidRPr="00CC1ABE">
        <w:rPr>
          <w:rFonts w:ascii="Arial" w:hAnsi="Arial" w:cs="Arial"/>
          <w:sz w:val="20"/>
          <w:szCs w:val="20"/>
        </w:rPr>
        <w:t>Ferraboschi</w:t>
      </w:r>
      <w:proofErr w:type="spellEnd"/>
      <w:r w:rsidRPr="00CC1ABE">
        <w:rPr>
          <w:rFonts w:ascii="Arial" w:hAnsi="Arial" w:cs="Arial"/>
          <w:sz w:val="20"/>
          <w:szCs w:val="20"/>
        </w:rPr>
        <w:t xml:space="preserve"> C, Kraemer K. Food fortification: the advantages, disadvantages and lessons from sight and life programs. Nutrients. (2021) 13:1118.</w:t>
      </w:r>
    </w:p>
    <w:p w14:paraId="090CD327"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28.</w:t>
      </w:r>
      <w:r w:rsidRPr="00CC1ABE">
        <w:rPr>
          <w:rFonts w:ascii="Arial" w:hAnsi="Arial" w:cs="Arial"/>
          <w:sz w:val="20"/>
          <w:szCs w:val="20"/>
        </w:rPr>
        <w:tab/>
        <w:t xml:space="preserve">Ortiz-Monasterio, J.I., Palacios-Rojas, N., Meng, E., 2007. Enhancing the mineral and vitamin content of wheat and maize through plant breeding. Journal of Cereal Science 46(3), 293–307.Ismail AM, Heuer S, Thomson MJ, </w:t>
      </w:r>
      <w:proofErr w:type="spellStart"/>
      <w:r w:rsidRPr="00CC1ABE">
        <w:rPr>
          <w:rFonts w:ascii="Arial" w:hAnsi="Arial" w:cs="Arial"/>
          <w:sz w:val="20"/>
          <w:szCs w:val="20"/>
        </w:rPr>
        <w:t>Wissuwa</w:t>
      </w:r>
      <w:proofErr w:type="spellEnd"/>
      <w:r w:rsidRPr="00CC1ABE">
        <w:rPr>
          <w:rFonts w:ascii="Arial" w:hAnsi="Arial" w:cs="Arial"/>
          <w:sz w:val="20"/>
          <w:szCs w:val="20"/>
        </w:rPr>
        <w:t xml:space="preserve"> M. Genetic and genomic approaches to develop rice germplasm for problem soils. Plant Soil. (2007) 65:547–0. </w:t>
      </w:r>
      <w:proofErr w:type="spellStart"/>
      <w:r w:rsidRPr="00CC1ABE">
        <w:rPr>
          <w:rFonts w:ascii="Arial" w:hAnsi="Arial" w:cs="Arial"/>
          <w:sz w:val="20"/>
          <w:szCs w:val="20"/>
        </w:rPr>
        <w:t>doi</w:t>
      </w:r>
      <w:proofErr w:type="spellEnd"/>
      <w:r w:rsidRPr="00CC1ABE">
        <w:rPr>
          <w:rFonts w:ascii="Arial" w:hAnsi="Arial" w:cs="Arial"/>
          <w:sz w:val="20"/>
          <w:szCs w:val="20"/>
        </w:rPr>
        <w:t>: 10.1007/ s11103-007-9215-2</w:t>
      </w:r>
    </w:p>
    <w:p w14:paraId="4C0D2861"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29.</w:t>
      </w:r>
      <w:r w:rsidRPr="00CC1ABE">
        <w:rPr>
          <w:rFonts w:ascii="Arial" w:hAnsi="Arial" w:cs="Arial"/>
          <w:sz w:val="20"/>
          <w:szCs w:val="20"/>
        </w:rPr>
        <w:tab/>
      </w:r>
      <w:proofErr w:type="spellStart"/>
      <w:r w:rsidRPr="00CC1ABE">
        <w:rPr>
          <w:rFonts w:ascii="Arial" w:hAnsi="Arial" w:cs="Arial"/>
          <w:sz w:val="20"/>
          <w:szCs w:val="20"/>
        </w:rPr>
        <w:t>Parulekar</w:t>
      </w:r>
      <w:proofErr w:type="spellEnd"/>
      <w:r w:rsidRPr="00CC1ABE">
        <w:rPr>
          <w:rFonts w:ascii="Arial" w:hAnsi="Arial" w:cs="Arial"/>
          <w:sz w:val="20"/>
          <w:szCs w:val="20"/>
        </w:rPr>
        <w:t xml:space="preserve">, Y.R., </w:t>
      </w:r>
      <w:proofErr w:type="spellStart"/>
      <w:r w:rsidRPr="00CC1ABE">
        <w:rPr>
          <w:rFonts w:ascii="Arial" w:hAnsi="Arial" w:cs="Arial"/>
          <w:sz w:val="20"/>
          <w:szCs w:val="20"/>
        </w:rPr>
        <w:t>Haldankar</w:t>
      </w:r>
      <w:proofErr w:type="spellEnd"/>
      <w:r w:rsidRPr="00CC1ABE">
        <w:rPr>
          <w:rFonts w:ascii="Arial" w:hAnsi="Arial" w:cs="Arial"/>
          <w:sz w:val="20"/>
          <w:szCs w:val="20"/>
        </w:rPr>
        <w:t xml:space="preserve"> P.M., Dalvi, N.V., Salvi, B.R., Bhattacharyya, T., 2019. Nutraceuticals and their biofortification in vegetable crops: a review. Advanced Agricultural Research &amp; Technology Journal 3(2), 219–229.</w:t>
      </w:r>
    </w:p>
    <w:p w14:paraId="2FD2E755"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30.</w:t>
      </w:r>
      <w:r w:rsidRPr="00CC1ABE">
        <w:rPr>
          <w:rFonts w:ascii="Arial" w:hAnsi="Arial" w:cs="Arial"/>
          <w:sz w:val="20"/>
          <w:szCs w:val="20"/>
        </w:rPr>
        <w:tab/>
        <w:t xml:space="preserve">Prasad, B.V.G., </w:t>
      </w:r>
      <w:proofErr w:type="spellStart"/>
      <w:r w:rsidRPr="00CC1ABE">
        <w:rPr>
          <w:rFonts w:ascii="Arial" w:hAnsi="Arial" w:cs="Arial"/>
          <w:sz w:val="20"/>
          <w:szCs w:val="20"/>
        </w:rPr>
        <w:t>Smaranika</w:t>
      </w:r>
      <w:proofErr w:type="spellEnd"/>
      <w:r w:rsidRPr="00CC1ABE">
        <w:rPr>
          <w:rFonts w:ascii="Arial" w:hAnsi="Arial" w:cs="Arial"/>
          <w:sz w:val="20"/>
          <w:szCs w:val="20"/>
        </w:rPr>
        <w:t xml:space="preserve">, M., Rahaman, S., </w:t>
      </w:r>
      <w:proofErr w:type="spellStart"/>
      <w:r w:rsidRPr="00CC1ABE">
        <w:rPr>
          <w:rFonts w:ascii="Arial" w:hAnsi="Arial" w:cs="Arial"/>
          <w:sz w:val="20"/>
          <w:szCs w:val="20"/>
        </w:rPr>
        <w:t>Bareily</w:t>
      </w:r>
      <w:proofErr w:type="spellEnd"/>
      <w:r w:rsidRPr="00CC1ABE">
        <w:rPr>
          <w:rFonts w:ascii="Arial" w:hAnsi="Arial" w:cs="Arial"/>
          <w:sz w:val="20"/>
          <w:szCs w:val="20"/>
        </w:rPr>
        <w:t>, P., 2015. Biofortification in horticultural crops. Journal of Agricultural Engineering and Food Technology 2(2), 95–99.</w:t>
      </w:r>
    </w:p>
    <w:p w14:paraId="49017667" w14:textId="7E884D51"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31.</w:t>
      </w:r>
      <w:r w:rsidRPr="00CC1ABE">
        <w:rPr>
          <w:rFonts w:ascii="Arial" w:hAnsi="Arial" w:cs="Arial"/>
          <w:sz w:val="20"/>
          <w:szCs w:val="20"/>
        </w:rPr>
        <w:tab/>
        <w:t>Puccinelli, M</w:t>
      </w:r>
      <w:r w:rsidR="00C41E32" w:rsidRPr="00CC1ABE">
        <w:rPr>
          <w:rFonts w:ascii="Arial" w:hAnsi="Arial" w:cs="Arial"/>
          <w:sz w:val="20"/>
          <w:szCs w:val="20"/>
        </w:rPr>
        <w:t xml:space="preserve">.; </w:t>
      </w:r>
      <w:proofErr w:type="spellStart"/>
      <w:r w:rsidR="00C41E32" w:rsidRPr="00CC1ABE">
        <w:rPr>
          <w:rFonts w:ascii="Arial" w:hAnsi="Arial" w:cs="Arial"/>
          <w:sz w:val="20"/>
          <w:szCs w:val="20"/>
        </w:rPr>
        <w:t>Malorgio</w:t>
      </w:r>
      <w:proofErr w:type="spellEnd"/>
      <w:r w:rsidR="00C41E32" w:rsidRPr="00CC1ABE">
        <w:rPr>
          <w:rFonts w:ascii="Arial" w:hAnsi="Arial" w:cs="Arial"/>
          <w:sz w:val="20"/>
          <w:szCs w:val="20"/>
        </w:rPr>
        <w:t xml:space="preserve">, F.; </w:t>
      </w:r>
      <w:proofErr w:type="spellStart"/>
      <w:r w:rsidR="00C41E32" w:rsidRPr="00CC1ABE">
        <w:rPr>
          <w:rFonts w:ascii="Arial" w:hAnsi="Arial" w:cs="Arial"/>
          <w:sz w:val="20"/>
          <w:szCs w:val="20"/>
        </w:rPr>
        <w:t>Pezzarossa</w:t>
      </w:r>
      <w:proofErr w:type="spellEnd"/>
      <w:r w:rsidR="00C41E32" w:rsidRPr="00CC1ABE">
        <w:rPr>
          <w:rFonts w:ascii="Arial" w:hAnsi="Arial" w:cs="Arial"/>
          <w:sz w:val="20"/>
          <w:szCs w:val="20"/>
        </w:rPr>
        <w:t xml:space="preserve">, B., 2017. </w:t>
      </w:r>
      <w:r w:rsidRPr="00CC1ABE">
        <w:rPr>
          <w:rFonts w:ascii="Arial" w:hAnsi="Arial" w:cs="Arial"/>
          <w:sz w:val="20"/>
          <w:szCs w:val="20"/>
        </w:rPr>
        <w:t>Selenium enrichment of hor</w:t>
      </w:r>
      <w:r w:rsidR="00C41E32" w:rsidRPr="00CC1ABE">
        <w:rPr>
          <w:rFonts w:ascii="Arial" w:hAnsi="Arial" w:cs="Arial"/>
          <w:sz w:val="20"/>
          <w:szCs w:val="20"/>
        </w:rPr>
        <w:t>ticultural crops. Molecules</w:t>
      </w:r>
      <w:r w:rsidRPr="00CC1ABE">
        <w:rPr>
          <w:rFonts w:ascii="Arial" w:hAnsi="Arial" w:cs="Arial"/>
          <w:sz w:val="20"/>
          <w:szCs w:val="20"/>
        </w:rPr>
        <w:t>, 22, 933.</w:t>
      </w:r>
    </w:p>
    <w:p w14:paraId="5828350B"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32.</w:t>
      </w:r>
      <w:r w:rsidRPr="00CC1ABE">
        <w:rPr>
          <w:rFonts w:ascii="Arial" w:hAnsi="Arial" w:cs="Arial"/>
          <w:sz w:val="20"/>
          <w:szCs w:val="20"/>
        </w:rPr>
        <w:tab/>
        <w:t xml:space="preserve">Ramesh, S., Jayaraj, M., </w:t>
      </w:r>
      <w:proofErr w:type="spellStart"/>
      <w:r w:rsidRPr="00CC1ABE">
        <w:rPr>
          <w:rFonts w:ascii="Arial" w:hAnsi="Arial" w:cs="Arial"/>
          <w:sz w:val="20"/>
          <w:szCs w:val="20"/>
        </w:rPr>
        <w:t>Sodhakar</w:t>
      </w:r>
      <w:proofErr w:type="spellEnd"/>
      <w:r w:rsidRPr="00CC1ABE">
        <w:rPr>
          <w:rFonts w:ascii="Arial" w:hAnsi="Arial" w:cs="Arial"/>
          <w:sz w:val="20"/>
          <w:szCs w:val="20"/>
        </w:rPr>
        <w:t xml:space="preserve">, P., Manimaran, S., Ramesh, N., 2018. Nutritional security through </w:t>
      </w:r>
      <w:proofErr w:type="spellStart"/>
      <w:r w:rsidRPr="00CC1ABE">
        <w:rPr>
          <w:rFonts w:ascii="Arial" w:hAnsi="Arial" w:cs="Arial"/>
          <w:sz w:val="20"/>
          <w:szCs w:val="20"/>
        </w:rPr>
        <w:t>biofortificationan</w:t>
      </w:r>
      <w:proofErr w:type="spellEnd"/>
      <w:r w:rsidRPr="00CC1ABE">
        <w:rPr>
          <w:rFonts w:ascii="Arial" w:hAnsi="Arial" w:cs="Arial"/>
          <w:sz w:val="20"/>
          <w:szCs w:val="20"/>
        </w:rPr>
        <w:t xml:space="preserve"> overview. Journal of Emerging Technologies and Innovative Research 5(8), 592–597.</w:t>
      </w:r>
    </w:p>
    <w:p w14:paraId="1987C8DB"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33.</w:t>
      </w:r>
      <w:r w:rsidRPr="00CC1ABE">
        <w:rPr>
          <w:rFonts w:ascii="Arial" w:hAnsi="Arial" w:cs="Arial"/>
          <w:sz w:val="20"/>
          <w:szCs w:val="20"/>
        </w:rPr>
        <w:tab/>
        <w:t>Rana, N., Rahim, M.S., Kaur, G., Bansal, R., Kumawat, S., Roy, J., Deshmukh, R., Sonah, H., Sharma, T.R., 2019. Applications and challenges for efficient exploration of omics interventions for the enhancement of nutritional quality in rice (Oryza sativa L.). Critical Reviews in Food Science and Nutrition 60(19), 3304–3320.</w:t>
      </w:r>
    </w:p>
    <w:p w14:paraId="09313594" w14:textId="60C0E025" w:rsidR="0051748E" w:rsidRPr="00CC1ABE" w:rsidRDefault="00C41E32" w:rsidP="0051748E">
      <w:pPr>
        <w:spacing w:line="360" w:lineRule="auto"/>
        <w:jc w:val="both"/>
        <w:rPr>
          <w:rFonts w:ascii="Arial" w:hAnsi="Arial" w:cs="Arial"/>
          <w:sz w:val="20"/>
          <w:szCs w:val="20"/>
        </w:rPr>
      </w:pPr>
      <w:r w:rsidRPr="00CC1ABE">
        <w:rPr>
          <w:rFonts w:ascii="Arial" w:hAnsi="Arial" w:cs="Arial"/>
          <w:sz w:val="20"/>
          <w:szCs w:val="20"/>
        </w:rPr>
        <w:t>34.</w:t>
      </w:r>
      <w:r w:rsidRPr="00CC1ABE">
        <w:rPr>
          <w:rFonts w:ascii="Arial" w:hAnsi="Arial" w:cs="Arial"/>
          <w:sz w:val="20"/>
          <w:szCs w:val="20"/>
        </w:rPr>
        <w:tab/>
        <w:t xml:space="preserve">Rayman, M.P., 2012. </w:t>
      </w:r>
      <w:r w:rsidR="0051748E" w:rsidRPr="00CC1ABE">
        <w:rPr>
          <w:rFonts w:ascii="Arial" w:hAnsi="Arial" w:cs="Arial"/>
          <w:sz w:val="20"/>
          <w:szCs w:val="20"/>
        </w:rPr>
        <w:t>Seleni</w:t>
      </w:r>
      <w:r w:rsidRPr="00CC1ABE">
        <w:rPr>
          <w:rFonts w:ascii="Arial" w:hAnsi="Arial" w:cs="Arial"/>
          <w:sz w:val="20"/>
          <w:szCs w:val="20"/>
        </w:rPr>
        <w:t>um and human health. Lancet</w:t>
      </w:r>
      <w:r w:rsidR="0051748E" w:rsidRPr="00CC1ABE">
        <w:rPr>
          <w:rFonts w:ascii="Arial" w:hAnsi="Arial" w:cs="Arial"/>
          <w:sz w:val="20"/>
          <w:szCs w:val="20"/>
        </w:rPr>
        <w:t>, 379, 1256–1268.</w:t>
      </w:r>
    </w:p>
    <w:p w14:paraId="3FE13533" w14:textId="4B9001AB" w:rsidR="0051748E" w:rsidRPr="00CC1ABE" w:rsidRDefault="00C41E32" w:rsidP="0051748E">
      <w:pPr>
        <w:spacing w:line="360" w:lineRule="auto"/>
        <w:jc w:val="both"/>
        <w:rPr>
          <w:rFonts w:ascii="Arial" w:hAnsi="Arial" w:cs="Arial"/>
          <w:sz w:val="20"/>
          <w:szCs w:val="20"/>
        </w:rPr>
      </w:pPr>
      <w:r w:rsidRPr="00CC1ABE">
        <w:rPr>
          <w:rFonts w:ascii="Arial" w:hAnsi="Arial" w:cs="Arial"/>
          <w:sz w:val="20"/>
          <w:szCs w:val="20"/>
        </w:rPr>
        <w:t>35.</w:t>
      </w:r>
      <w:r w:rsidRPr="00CC1ABE">
        <w:rPr>
          <w:rFonts w:ascii="Arial" w:hAnsi="Arial" w:cs="Arial"/>
          <w:sz w:val="20"/>
          <w:szCs w:val="20"/>
        </w:rPr>
        <w:tab/>
        <w:t xml:space="preserve">Rehan SA, Singh P., 2020. </w:t>
      </w:r>
      <w:r w:rsidR="0051748E" w:rsidRPr="00CC1ABE">
        <w:rPr>
          <w:rFonts w:ascii="Arial" w:hAnsi="Arial" w:cs="Arial"/>
          <w:sz w:val="20"/>
          <w:szCs w:val="20"/>
        </w:rPr>
        <w:t xml:space="preserve">Biofortification: enriching vegetable crops with nutrients to reduce global hunger. Int </w:t>
      </w:r>
      <w:r w:rsidRPr="00CC1ABE">
        <w:rPr>
          <w:rFonts w:ascii="Arial" w:hAnsi="Arial" w:cs="Arial"/>
          <w:sz w:val="20"/>
          <w:szCs w:val="20"/>
        </w:rPr>
        <w:t xml:space="preserve">J </w:t>
      </w:r>
      <w:proofErr w:type="spellStart"/>
      <w:r w:rsidRPr="00CC1ABE">
        <w:rPr>
          <w:rFonts w:ascii="Arial" w:hAnsi="Arial" w:cs="Arial"/>
          <w:sz w:val="20"/>
          <w:szCs w:val="20"/>
        </w:rPr>
        <w:t>Curr</w:t>
      </w:r>
      <w:proofErr w:type="spellEnd"/>
      <w:r w:rsidRPr="00CC1ABE">
        <w:rPr>
          <w:rFonts w:ascii="Arial" w:hAnsi="Arial" w:cs="Arial"/>
          <w:sz w:val="20"/>
          <w:szCs w:val="20"/>
        </w:rPr>
        <w:t xml:space="preserve"> </w:t>
      </w:r>
      <w:proofErr w:type="spellStart"/>
      <w:r w:rsidRPr="00CC1ABE">
        <w:rPr>
          <w:rFonts w:ascii="Arial" w:hAnsi="Arial" w:cs="Arial"/>
          <w:sz w:val="20"/>
          <w:szCs w:val="20"/>
        </w:rPr>
        <w:t>Microbiol</w:t>
      </w:r>
      <w:proofErr w:type="spellEnd"/>
      <w:r w:rsidRPr="00CC1ABE">
        <w:rPr>
          <w:rFonts w:ascii="Arial" w:hAnsi="Arial" w:cs="Arial"/>
          <w:sz w:val="20"/>
          <w:szCs w:val="20"/>
        </w:rPr>
        <w:t xml:space="preserve"> App Sci.,</w:t>
      </w:r>
      <w:r w:rsidR="0051748E" w:rsidRPr="00CC1ABE">
        <w:rPr>
          <w:rFonts w:ascii="Arial" w:hAnsi="Arial" w:cs="Arial"/>
          <w:sz w:val="20"/>
          <w:szCs w:val="20"/>
        </w:rPr>
        <w:t xml:space="preserve"> 11:2499–11.</w:t>
      </w:r>
    </w:p>
    <w:p w14:paraId="3DC2B57A" w14:textId="47E81906"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36.</w:t>
      </w:r>
      <w:r w:rsidRPr="00CC1ABE">
        <w:rPr>
          <w:rFonts w:ascii="Arial" w:hAnsi="Arial" w:cs="Arial"/>
          <w:sz w:val="20"/>
          <w:szCs w:val="20"/>
        </w:rPr>
        <w:tab/>
      </w:r>
      <w:proofErr w:type="spellStart"/>
      <w:r w:rsidRPr="00CC1ABE">
        <w:rPr>
          <w:rFonts w:ascii="Arial" w:hAnsi="Arial" w:cs="Arial"/>
          <w:sz w:val="20"/>
          <w:szCs w:val="20"/>
        </w:rPr>
        <w:t>Roohani</w:t>
      </w:r>
      <w:proofErr w:type="spellEnd"/>
      <w:r w:rsidRPr="00CC1ABE">
        <w:rPr>
          <w:rFonts w:ascii="Arial" w:hAnsi="Arial" w:cs="Arial"/>
          <w:sz w:val="20"/>
          <w:szCs w:val="20"/>
        </w:rPr>
        <w:t>, N.; Hurrell,</w:t>
      </w:r>
      <w:r w:rsidR="00C41E32" w:rsidRPr="00CC1ABE">
        <w:rPr>
          <w:rFonts w:ascii="Arial" w:hAnsi="Arial" w:cs="Arial"/>
          <w:sz w:val="20"/>
          <w:szCs w:val="20"/>
        </w:rPr>
        <w:t xml:space="preserve"> R.; </w:t>
      </w:r>
      <w:proofErr w:type="spellStart"/>
      <w:r w:rsidR="00C41E32" w:rsidRPr="00CC1ABE">
        <w:rPr>
          <w:rFonts w:ascii="Arial" w:hAnsi="Arial" w:cs="Arial"/>
          <w:sz w:val="20"/>
          <w:szCs w:val="20"/>
        </w:rPr>
        <w:t>Kelishadi</w:t>
      </w:r>
      <w:proofErr w:type="spellEnd"/>
      <w:r w:rsidR="00C41E32" w:rsidRPr="00CC1ABE">
        <w:rPr>
          <w:rFonts w:ascii="Arial" w:hAnsi="Arial" w:cs="Arial"/>
          <w:sz w:val="20"/>
          <w:szCs w:val="20"/>
        </w:rPr>
        <w:t xml:space="preserve">, R.; Schulin, R., 2013. </w:t>
      </w:r>
      <w:r w:rsidRPr="00CC1ABE">
        <w:rPr>
          <w:rFonts w:ascii="Arial" w:hAnsi="Arial" w:cs="Arial"/>
          <w:sz w:val="20"/>
          <w:szCs w:val="20"/>
        </w:rPr>
        <w:t>Zinc and its importance for human health: An integrative review. J. Res. Med. Sci., 18, 144.</w:t>
      </w:r>
    </w:p>
    <w:p w14:paraId="71B8DBE3" w14:textId="0D37BAF3"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37.</w:t>
      </w:r>
      <w:r w:rsidRPr="00CC1ABE">
        <w:rPr>
          <w:rFonts w:ascii="Arial" w:hAnsi="Arial" w:cs="Arial"/>
          <w:sz w:val="20"/>
          <w:szCs w:val="20"/>
        </w:rPr>
        <w:tab/>
        <w:t>Shukla A, Behera SK.</w:t>
      </w:r>
      <w:r w:rsidR="00C41E32" w:rsidRPr="00CC1ABE">
        <w:rPr>
          <w:rFonts w:ascii="Arial" w:hAnsi="Arial" w:cs="Arial"/>
          <w:sz w:val="20"/>
          <w:szCs w:val="20"/>
        </w:rPr>
        <w:t>, 2018.</w:t>
      </w:r>
      <w:r w:rsidRPr="00CC1ABE">
        <w:rPr>
          <w:rFonts w:ascii="Arial" w:hAnsi="Arial" w:cs="Arial"/>
          <w:sz w:val="20"/>
          <w:szCs w:val="20"/>
        </w:rPr>
        <w:t xml:space="preserve"> Micronutrient research in India: retrospect and prospects. Preprints of seminar papers-2017 unde</w:t>
      </w:r>
      <w:r w:rsidR="00C41E32" w:rsidRPr="00CC1ABE">
        <w:rPr>
          <w:rFonts w:ascii="Arial" w:hAnsi="Arial" w:cs="Arial"/>
          <w:sz w:val="20"/>
          <w:szCs w:val="20"/>
        </w:rPr>
        <w:t>r AICRP on micronutrients</w:t>
      </w:r>
      <w:r w:rsidRPr="00CC1ABE">
        <w:rPr>
          <w:rFonts w:ascii="Arial" w:hAnsi="Arial" w:cs="Arial"/>
          <w:sz w:val="20"/>
          <w:szCs w:val="20"/>
        </w:rPr>
        <w:t>.</w:t>
      </w:r>
    </w:p>
    <w:p w14:paraId="5BD89A1C" w14:textId="55B81038"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lastRenderedPageBreak/>
        <w:t>38.</w:t>
      </w:r>
      <w:r w:rsidRPr="00CC1ABE">
        <w:rPr>
          <w:rFonts w:ascii="Arial" w:hAnsi="Arial" w:cs="Arial"/>
          <w:sz w:val="20"/>
          <w:szCs w:val="20"/>
        </w:rPr>
        <w:tab/>
        <w:t>Singh U, Praharaj CS, Singh SS, S</w:t>
      </w:r>
      <w:r w:rsidR="00C41E32" w:rsidRPr="00CC1ABE">
        <w:rPr>
          <w:rFonts w:ascii="Arial" w:hAnsi="Arial" w:cs="Arial"/>
          <w:sz w:val="20"/>
          <w:szCs w:val="20"/>
        </w:rPr>
        <w:t xml:space="preserve">ingh NP (eds), 2016. </w:t>
      </w:r>
      <w:r w:rsidRPr="00CC1ABE">
        <w:rPr>
          <w:rFonts w:ascii="Arial" w:hAnsi="Arial" w:cs="Arial"/>
          <w:sz w:val="20"/>
          <w:szCs w:val="20"/>
        </w:rPr>
        <w:t xml:space="preserve"> Biofortification of Food C</w:t>
      </w:r>
      <w:r w:rsidR="00C41E32" w:rsidRPr="00CC1ABE">
        <w:rPr>
          <w:rFonts w:ascii="Arial" w:hAnsi="Arial" w:cs="Arial"/>
          <w:sz w:val="20"/>
          <w:szCs w:val="20"/>
        </w:rPr>
        <w:t>rops. New Delhi: Springer,</w:t>
      </w:r>
      <w:r w:rsidRPr="00CC1ABE">
        <w:rPr>
          <w:rFonts w:ascii="Arial" w:hAnsi="Arial" w:cs="Arial"/>
          <w:sz w:val="20"/>
          <w:szCs w:val="20"/>
        </w:rPr>
        <w:t xml:space="preserve"> p. 1–490.</w:t>
      </w:r>
    </w:p>
    <w:p w14:paraId="1F9D0DC0"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39.</w:t>
      </w:r>
      <w:r w:rsidRPr="00CC1ABE">
        <w:rPr>
          <w:rFonts w:ascii="Arial" w:hAnsi="Arial" w:cs="Arial"/>
          <w:sz w:val="20"/>
          <w:szCs w:val="20"/>
        </w:rPr>
        <w:tab/>
        <w:t>Tripathy, B., Tripathy, P., Sahu, P., Rout, S., Sindhu, M.S., 2020. Biofortification of vegetable crops - a new tool to alleviate micronutrient malnutrition. Agriculture and Rural Development: Spatial Issues, Challenges and Approaches 14, 83–97</w:t>
      </w:r>
    </w:p>
    <w:p w14:paraId="67252F9A" w14:textId="00D7B203"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40.</w:t>
      </w:r>
      <w:r w:rsidRPr="00CC1ABE">
        <w:rPr>
          <w:rFonts w:ascii="Arial" w:hAnsi="Arial" w:cs="Arial"/>
          <w:sz w:val="20"/>
          <w:szCs w:val="20"/>
        </w:rPr>
        <w:tab/>
        <w:t>Wakeel A, Farooq M, Bashir K, Ozturk L.</w:t>
      </w:r>
      <w:r w:rsidR="00C41E32" w:rsidRPr="00CC1ABE">
        <w:rPr>
          <w:rFonts w:ascii="Arial" w:hAnsi="Arial" w:cs="Arial"/>
          <w:sz w:val="20"/>
          <w:szCs w:val="20"/>
        </w:rPr>
        <w:t xml:space="preserve">, 2018. </w:t>
      </w:r>
      <w:r w:rsidRPr="00CC1ABE">
        <w:rPr>
          <w:rFonts w:ascii="Arial" w:hAnsi="Arial" w:cs="Arial"/>
          <w:sz w:val="20"/>
          <w:szCs w:val="20"/>
        </w:rPr>
        <w:t xml:space="preserve"> Micronutrient malnutrition and biofortification: recent advances and future perspectives. In: Hossain MA, Kamiya T, Burritt DJ, Tran LSP, Fujiwara T, editors. Plant Micronutrient Use Efficiency: Molecular and Genomic Perspectives in Crop Plants</w:t>
      </w:r>
      <w:r w:rsidR="00C41E32" w:rsidRPr="00CC1ABE">
        <w:rPr>
          <w:rFonts w:ascii="Arial" w:hAnsi="Arial" w:cs="Arial"/>
          <w:sz w:val="20"/>
          <w:szCs w:val="20"/>
        </w:rPr>
        <w:t>. Amsterdam: Elsevier Inc</w:t>
      </w:r>
      <w:r w:rsidRPr="00CC1ABE">
        <w:rPr>
          <w:rFonts w:ascii="Arial" w:hAnsi="Arial" w:cs="Arial"/>
          <w:sz w:val="20"/>
          <w:szCs w:val="20"/>
        </w:rPr>
        <w:t>.</w:t>
      </w:r>
      <w:r w:rsidR="00C41E32" w:rsidRPr="00CC1ABE">
        <w:rPr>
          <w:rFonts w:ascii="Arial" w:hAnsi="Arial" w:cs="Arial"/>
          <w:sz w:val="20"/>
          <w:szCs w:val="20"/>
        </w:rPr>
        <w:t>,</w:t>
      </w:r>
      <w:r w:rsidRPr="00CC1ABE">
        <w:rPr>
          <w:rFonts w:ascii="Arial" w:hAnsi="Arial" w:cs="Arial"/>
          <w:sz w:val="20"/>
          <w:szCs w:val="20"/>
        </w:rPr>
        <w:t xml:space="preserve"> p. 225–4]</w:t>
      </w:r>
    </w:p>
    <w:p w14:paraId="18A01145"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41.</w:t>
      </w:r>
      <w:r w:rsidRPr="00CC1ABE">
        <w:rPr>
          <w:rFonts w:ascii="Arial" w:hAnsi="Arial" w:cs="Arial"/>
          <w:sz w:val="20"/>
          <w:szCs w:val="20"/>
        </w:rPr>
        <w:tab/>
        <w:t>Waters, B.M., Sankaran, R.P., 2011. Moving micronutrients from the soil to the seeds: genes and physiological processes from a biofortification perspective. Plant Science 180(4), 562–574.</w:t>
      </w:r>
    </w:p>
    <w:p w14:paraId="4FC3543D"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42.</w:t>
      </w:r>
      <w:r w:rsidRPr="00CC1ABE">
        <w:rPr>
          <w:rFonts w:ascii="Arial" w:hAnsi="Arial" w:cs="Arial"/>
          <w:sz w:val="20"/>
          <w:szCs w:val="20"/>
        </w:rPr>
        <w:tab/>
        <w:t>Welch, R.M., Graham, R.D., 2004. Breeding for micronutrients in staple food crops from a human nutrition perspective. Journal of Experimental Botany 55(396), 353–364.</w:t>
      </w:r>
    </w:p>
    <w:p w14:paraId="13838FA4"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43.</w:t>
      </w:r>
      <w:r w:rsidRPr="00CC1ABE">
        <w:rPr>
          <w:rFonts w:ascii="Arial" w:hAnsi="Arial" w:cs="Arial"/>
          <w:sz w:val="20"/>
          <w:szCs w:val="20"/>
        </w:rPr>
        <w:tab/>
        <w:t>White, P.J., Broadley, M.R., 2005. Biofortifying crops with essential mineral elements. Trends in plant science 10, (12) 586–593.</w:t>
      </w:r>
    </w:p>
    <w:p w14:paraId="392A3423" w14:textId="49ACCECC" w:rsidR="0051748E" w:rsidRPr="00CC1ABE" w:rsidRDefault="00C41E32" w:rsidP="0051748E">
      <w:pPr>
        <w:spacing w:line="360" w:lineRule="auto"/>
        <w:jc w:val="both"/>
        <w:rPr>
          <w:rFonts w:ascii="Arial" w:hAnsi="Arial" w:cs="Arial"/>
          <w:sz w:val="20"/>
          <w:szCs w:val="20"/>
        </w:rPr>
      </w:pPr>
      <w:r w:rsidRPr="00CC1ABE">
        <w:rPr>
          <w:rFonts w:ascii="Arial" w:hAnsi="Arial" w:cs="Arial"/>
          <w:sz w:val="20"/>
          <w:szCs w:val="20"/>
        </w:rPr>
        <w:t>44.</w:t>
      </w:r>
      <w:r w:rsidRPr="00CC1ABE">
        <w:rPr>
          <w:rFonts w:ascii="Arial" w:hAnsi="Arial" w:cs="Arial"/>
          <w:sz w:val="20"/>
          <w:szCs w:val="20"/>
        </w:rPr>
        <w:tab/>
        <w:t>Winkler, J. T., 2011</w:t>
      </w:r>
      <w:r w:rsidR="0051748E" w:rsidRPr="00CC1ABE">
        <w:rPr>
          <w:rFonts w:ascii="Arial" w:hAnsi="Arial" w:cs="Arial"/>
          <w:sz w:val="20"/>
          <w:szCs w:val="20"/>
        </w:rPr>
        <w:t>. Biofortification: Improving the nutritional quality of staple crops. In C. Pasternak (Ed.).5: 100–112.</w:t>
      </w:r>
    </w:p>
    <w:p w14:paraId="231EE6FA" w14:textId="77777777" w:rsidR="0051748E" w:rsidRPr="00CC1ABE" w:rsidRDefault="0051748E" w:rsidP="0051748E">
      <w:pPr>
        <w:spacing w:line="360" w:lineRule="auto"/>
        <w:jc w:val="both"/>
        <w:rPr>
          <w:rFonts w:ascii="Arial" w:hAnsi="Arial" w:cs="Arial"/>
          <w:sz w:val="20"/>
          <w:szCs w:val="20"/>
        </w:rPr>
      </w:pPr>
      <w:r w:rsidRPr="00CC1ABE">
        <w:rPr>
          <w:rFonts w:ascii="Arial" w:hAnsi="Arial" w:cs="Arial"/>
          <w:sz w:val="20"/>
          <w:szCs w:val="20"/>
        </w:rPr>
        <w:t>45.</w:t>
      </w:r>
      <w:r w:rsidRPr="00CC1ABE">
        <w:rPr>
          <w:rFonts w:ascii="Arial" w:hAnsi="Arial" w:cs="Arial"/>
          <w:sz w:val="20"/>
          <w:szCs w:val="20"/>
        </w:rPr>
        <w:tab/>
        <w:t>Yadav, D.K., Choudhury, P.R., Hossain, F., Kumar, D., 2017. Biofortified varieties: Sustainable way to alleviate malnutrition. New Delhi: Indian Council of Agricultural Research.</w:t>
      </w:r>
    </w:p>
    <w:p w14:paraId="0B61E99A" w14:textId="5C6F93C9" w:rsidR="00C41E32" w:rsidRPr="00CC1ABE" w:rsidRDefault="00C41E32" w:rsidP="00C41E32">
      <w:pPr>
        <w:spacing w:line="360" w:lineRule="auto"/>
        <w:jc w:val="both"/>
        <w:rPr>
          <w:rFonts w:ascii="Arial" w:hAnsi="Arial" w:cs="Arial"/>
          <w:sz w:val="20"/>
          <w:szCs w:val="20"/>
        </w:rPr>
      </w:pPr>
      <w:r w:rsidRPr="00CC1ABE">
        <w:rPr>
          <w:rFonts w:ascii="Arial" w:hAnsi="Arial" w:cs="Arial"/>
          <w:sz w:val="20"/>
          <w:szCs w:val="20"/>
        </w:rPr>
        <w:t>46.</w:t>
      </w:r>
      <w:r w:rsidRPr="00CC1ABE">
        <w:rPr>
          <w:rFonts w:ascii="Arial" w:hAnsi="Arial" w:cs="Arial"/>
          <w:sz w:val="20"/>
          <w:szCs w:val="20"/>
        </w:rPr>
        <w:tab/>
        <w:t xml:space="preserve">Zicker, S.; Schoenherr, B., 2012. </w:t>
      </w:r>
      <w:r w:rsidR="0051748E" w:rsidRPr="00CC1ABE">
        <w:rPr>
          <w:rFonts w:ascii="Arial" w:hAnsi="Arial" w:cs="Arial"/>
          <w:sz w:val="20"/>
          <w:szCs w:val="20"/>
        </w:rPr>
        <w:t xml:space="preserve">Focus on nutrition: The role of iodine in nutrition and metabolism. </w:t>
      </w:r>
      <w:proofErr w:type="spellStart"/>
      <w:r w:rsidRPr="00CC1ABE">
        <w:rPr>
          <w:rFonts w:ascii="Arial" w:hAnsi="Arial" w:cs="Arial"/>
          <w:sz w:val="20"/>
          <w:szCs w:val="20"/>
        </w:rPr>
        <w:t>Compend</w:t>
      </w:r>
      <w:proofErr w:type="spellEnd"/>
      <w:r w:rsidRPr="00CC1ABE">
        <w:rPr>
          <w:rFonts w:ascii="Arial" w:hAnsi="Arial" w:cs="Arial"/>
          <w:sz w:val="20"/>
          <w:szCs w:val="20"/>
        </w:rPr>
        <w:t>. Contin. Educ. Vet.</w:t>
      </w:r>
      <w:r w:rsidR="0051748E" w:rsidRPr="00CC1ABE">
        <w:rPr>
          <w:rFonts w:ascii="Arial" w:hAnsi="Arial" w:cs="Arial"/>
          <w:sz w:val="20"/>
          <w:szCs w:val="20"/>
        </w:rPr>
        <w:t>, 2012, 1–4</w:t>
      </w:r>
      <w:bookmarkEnd w:id="11"/>
      <w:bookmarkEnd w:id="12"/>
    </w:p>
    <w:p w14:paraId="3F855CC9" w14:textId="7A4571E5" w:rsidR="00AB27C0" w:rsidRPr="00CC1ABE" w:rsidRDefault="00AB27C0" w:rsidP="00C41E32">
      <w:pPr>
        <w:spacing w:line="360" w:lineRule="auto"/>
        <w:jc w:val="both"/>
        <w:rPr>
          <w:rFonts w:ascii="Arial" w:hAnsi="Arial" w:cs="Arial"/>
          <w:sz w:val="20"/>
          <w:szCs w:val="20"/>
        </w:rPr>
      </w:pPr>
    </w:p>
    <w:p w14:paraId="1F3F619E" w14:textId="77777777" w:rsidR="00AB27C0" w:rsidRPr="00CC1ABE" w:rsidRDefault="00AB27C0" w:rsidP="00AB27C0">
      <w:pPr>
        <w:spacing w:line="360" w:lineRule="auto"/>
        <w:jc w:val="both"/>
        <w:rPr>
          <w:rFonts w:ascii="Arial" w:hAnsi="Arial" w:cs="Arial"/>
          <w:b/>
          <w:sz w:val="20"/>
          <w:szCs w:val="20"/>
        </w:rPr>
      </w:pPr>
    </w:p>
    <w:p w14:paraId="78BB39F9" w14:textId="77777777" w:rsidR="00AB27C0" w:rsidRPr="00CC1ABE" w:rsidRDefault="00AB27C0" w:rsidP="00C41E32">
      <w:pPr>
        <w:spacing w:line="360" w:lineRule="auto"/>
        <w:jc w:val="both"/>
        <w:rPr>
          <w:rFonts w:ascii="Arial" w:hAnsi="Arial" w:cs="Arial"/>
          <w:sz w:val="20"/>
          <w:szCs w:val="20"/>
        </w:rPr>
      </w:pPr>
    </w:p>
    <w:sectPr w:rsidR="00AB27C0" w:rsidRPr="00CC1AB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ED25C" w14:textId="77777777" w:rsidR="005D3767" w:rsidRDefault="005D3767" w:rsidP="003411D8">
      <w:pPr>
        <w:spacing w:after="0" w:line="240" w:lineRule="auto"/>
      </w:pPr>
      <w:r>
        <w:separator/>
      </w:r>
    </w:p>
  </w:endnote>
  <w:endnote w:type="continuationSeparator" w:id="0">
    <w:p w14:paraId="0BFF7DCF" w14:textId="77777777" w:rsidR="005D3767" w:rsidRDefault="005D3767" w:rsidP="0034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12CD" w14:textId="77777777" w:rsidR="003411D8" w:rsidRDefault="00341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E3FA" w14:textId="77777777" w:rsidR="003411D8" w:rsidRDefault="00341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EA99" w14:textId="77777777" w:rsidR="003411D8" w:rsidRDefault="00341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EE67" w14:textId="77777777" w:rsidR="005D3767" w:rsidRDefault="005D3767" w:rsidP="003411D8">
      <w:pPr>
        <w:spacing w:after="0" w:line="240" w:lineRule="auto"/>
      </w:pPr>
      <w:r>
        <w:separator/>
      </w:r>
    </w:p>
  </w:footnote>
  <w:footnote w:type="continuationSeparator" w:id="0">
    <w:p w14:paraId="6A263ACA" w14:textId="77777777" w:rsidR="005D3767" w:rsidRDefault="005D3767" w:rsidP="0034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80C42" w14:textId="05F4071F" w:rsidR="003411D8" w:rsidRDefault="003411D8">
    <w:pPr>
      <w:pStyle w:val="Header"/>
    </w:pPr>
    <w:r>
      <w:rPr>
        <w:noProof/>
      </w:rPr>
      <w:pict w14:anchorId="35CC9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B0E5" w14:textId="1B1D6D6B" w:rsidR="003411D8" w:rsidRDefault="003411D8">
    <w:pPr>
      <w:pStyle w:val="Header"/>
    </w:pPr>
    <w:r>
      <w:rPr>
        <w:noProof/>
      </w:rPr>
      <w:pict w14:anchorId="1ECF8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6CD9" w14:textId="5853286C" w:rsidR="003411D8" w:rsidRDefault="003411D8">
    <w:pPr>
      <w:pStyle w:val="Header"/>
    </w:pPr>
    <w:r>
      <w:rPr>
        <w:noProof/>
      </w:rPr>
      <w:pict w14:anchorId="565A1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1D9D"/>
    <w:multiLevelType w:val="hybridMultilevel"/>
    <w:tmpl w:val="4426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71FC3"/>
    <w:multiLevelType w:val="hybridMultilevel"/>
    <w:tmpl w:val="050AA94C"/>
    <w:lvl w:ilvl="0" w:tplc="33444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444CBE"/>
    <w:multiLevelType w:val="hybridMultilevel"/>
    <w:tmpl w:val="6C440D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2EE6185"/>
    <w:multiLevelType w:val="hybridMultilevel"/>
    <w:tmpl w:val="5FFA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64"/>
    <w:rsid w:val="00000480"/>
    <w:rsid w:val="00006DF2"/>
    <w:rsid w:val="00060140"/>
    <w:rsid w:val="000C30FA"/>
    <w:rsid w:val="000E4A70"/>
    <w:rsid w:val="00104E6F"/>
    <w:rsid w:val="0012230E"/>
    <w:rsid w:val="00153DC3"/>
    <w:rsid w:val="00157D3D"/>
    <w:rsid w:val="001E6795"/>
    <w:rsid w:val="001F54FB"/>
    <w:rsid w:val="00295460"/>
    <w:rsid w:val="002A136D"/>
    <w:rsid w:val="002D0C9A"/>
    <w:rsid w:val="002E1322"/>
    <w:rsid w:val="00334F18"/>
    <w:rsid w:val="0033754E"/>
    <w:rsid w:val="003411D8"/>
    <w:rsid w:val="00343A38"/>
    <w:rsid w:val="003C0D32"/>
    <w:rsid w:val="003D6F8A"/>
    <w:rsid w:val="00407439"/>
    <w:rsid w:val="00412E77"/>
    <w:rsid w:val="0043258E"/>
    <w:rsid w:val="004E7ECF"/>
    <w:rsid w:val="00502BDA"/>
    <w:rsid w:val="0051748E"/>
    <w:rsid w:val="0052208B"/>
    <w:rsid w:val="00546A57"/>
    <w:rsid w:val="005575C9"/>
    <w:rsid w:val="005642D9"/>
    <w:rsid w:val="00592143"/>
    <w:rsid w:val="005B5098"/>
    <w:rsid w:val="005B79BD"/>
    <w:rsid w:val="005D0DB9"/>
    <w:rsid w:val="005D2B28"/>
    <w:rsid w:val="005D3767"/>
    <w:rsid w:val="005E5BDD"/>
    <w:rsid w:val="00656FB2"/>
    <w:rsid w:val="00662553"/>
    <w:rsid w:val="00675A4F"/>
    <w:rsid w:val="00682037"/>
    <w:rsid w:val="006C20AD"/>
    <w:rsid w:val="00712395"/>
    <w:rsid w:val="00716482"/>
    <w:rsid w:val="007327ED"/>
    <w:rsid w:val="00740629"/>
    <w:rsid w:val="00767AB5"/>
    <w:rsid w:val="00793343"/>
    <w:rsid w:val="00796DE1"/>
    <w:rsid w:val="007A1603"/>
    <w:rsid w:val="007E38B9"/>
    <w:rsid w:val="00802F64"/>
    <w:rsid w:val="00821C16"/>
    <w:rsid w:val="00832D15"/>
    <w:rsid w:val="00853372"/>
    <w:rsid w:val="00854A08"/>
    <w:rsid w:val="00862746"/>
    <w:rsid w:val="00875253"/>
    <w:rsid w:val="00883762"/>
    <w:rsid w:val="008C448A"/>
    <w:rsid w:val="008F3C71"/>
    <w:rsid w:val="00927F0D"/>
    <w:rsid w:val="009360E0"/>
    <w:rsid w:val="009A2C40"/>
    <w:rsid w:val="009D2D25"/>
    <w:rsid w:val="00A37341"/>
    <w:rsid w:val="00A558B9"/>
    <w:rsid w:val="00AB27C0"/>
    <w:rsid w:val="00AD03AB"/>
    <w:rsid w:val="00AE4BDB"/>
    <w:rsid w:val="00B05417"/>
    <w:rsid w:val="00B05CB4"/>
    <w:rsid w:val="00B3017B"/>
    <w:rsid w:val="00B51E28"/>
    <w:rsid w:val="00B65AC4"/>
    <w:rsid w:val="00B9786F"/>
    <w:rsid w:val="00BB6EAE"/>
    <w:rsid w:val="00BB75C9"/>
    <w:rsid w:val="00C41E32"/>
    <w:rsid w:val="00C6274F"/>
    <w:rsid w:val="00C70517"/>
    <w:rsid w:val="00C9737D"/>
    <w:rsid w:val="00CA389B"/>
    <w:rsid w:val="00CA76FA"/>
    <w:rsid w:val="00CC1ABE"/>
    <w:rsid w:val="00CD6CC7"/>
    <w:rsid w:val="00CE63F4"/>
    <w:rsid w:val="00D22652"/>
    <w:rsid w:val="00D402C8"/>
    <w:rsid w:val="00D74E1E"/>
    <w:rsid w:val="00D75E3F"/>
    <w:rsid w:val="00E05A3F"/>
    <w:rsid w:val="00E6638F"/>
    <w:rsid w:val="00EA695B"/>
    <w:rsid w:val="00ED1F8E"/>
    <w:rsid w:val="00ED5169"/>
    <w:rsid w:val="00EE25DE"/>
    <w:rsid w:val="00EF0857"/>
    <w:rsid w:val="00F070E0"/>
    <w:rsid w:val="00F404C6"/>
    <w:rsid w:val="00F732A8"/>
    <w:rsid w:val="00F87E82"/>
    <w:rsid w:val="00F946F5"/>
    <w:rsid w:val="00FD495B"/>
    <w:rsid w:val="00FF0A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D7AB7"/>
  <w15:chartTrackingRefBased/>
  <w15:docId w15:val="{1F3DC22E-CE1D-4BC2-801C-8A7397C6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80"/>
    <w:pPr>
      <w:ind w:left="720"/>
      <w:contextualSpacing/>
    </w:pPr>
  </w:style>
  <w:style w:type="character" w:styleId="Hyperlink">
    <w:name w:val="Hyperlink"/>
    <w:basedOn w:val="DefaultParagraphFont"/>
    <w:uiPriority w:val="99"/>
    <w:unhideWhenUsed/>
    <w:rsid w:val="000E4A70"/>
    <w:rPr>
      <w:color w:val="0563C1" w:themeColor="hyperlink"/>
      <w:u w:val="single"/>
    </w:rPr>
  </w:style>
  <w:style w:type="character" w:customStyle="1" w:styleId="UnresolvedMention1">
    <w:name w:val="Unresolved Mention1"/>
    <w:basedOn w:val="DefaultParagraphFont"/>
    <w:uiPriority w:val="99"/>
    <w:semiHidden/>
    <w:unhideWhenUsed/>
    <w:rsid w:val="000E4A70"/>
    <w:rPr>
      <w:color w:val="605E5C"/>
      <w:shd w:val="clear" w:color="auto" w:fill="E1DFDD"/>
    </w:rPr>
  </w:style>
  <w:style w:type="character" w:styleId="UnresolvedMention">
    <w:name w:val="Unresolved Mention"/>
    <w:basedOn w:val="DefaultParagraphFont"/>
    <w:uiPriority w:val="99"/>
    <w:semiHidden/>
    <w:unhideWhenUsed/>
    <w:rsid w:val="008C448A"/>
    <w:rPr>
      <w:color w:val="605E5C"/>
      <w:shd w:val="clear" w:color="auto" w:fill="E1DFDD"/>
    </w:rPr>
  </w:style>
  <w:style w:type="paragraph" w:styleId="Header">
    <w:name w:val="header"/>
    <w:basedOn w:val="Normal"/>
    <w:link w:val="HeaderChar"/>
    <w:uiPriority w:val="99"/>
    <w:unhideWhenUsed/>
    <w:rsid w:val="0034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D8"/>
  </w:style>
  <w:style w:type="paragraph" w:styleId="Footer">
    <w:name w:val="footer"/>
    <w:basedOn w:val="Normal"/>
    <w:link w:val="FooterChar"/>
    <w:uiPriority w:val="99"/>
    <w:unhideWhenUsed/>
    <w:rsid w:val="0034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cr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810B-A7B2-412E-8C96-BAF723A0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6248</Words>
  <Characters>35619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dc:creator>
  <cp:keywords/>
  <dc:description/>
  <cp:lastModifiedBy>SDI 1084</cp:lastModifiedBy>
  <cp:revision>11</cp:revision>
  <dcterms:created xsi:type="dcterms:W3CDTF">2025-05-30T15:51:00Z</dcterms:created>
  <dcterms:modified xsi:type="dcterms:W3CDTF">2025-06-02T06:13:00Z</dcterms:modified>
</cp:coreProperties>
</file>